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rPr>
          <w:lang w:val="en-US"/>
        </w:rPr>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Второй периодический доклад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Ливан</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850"/>
        <w:gridCol w:w="450"/>
      </w:tblGrid>
      <w:tr w:rsidR="00000000">
        <w:tblPrEx>
          <w:tblCellMar>
            <w:top w:w="0" w:type="dxa"/>
            <w:left w:w="0" w:type="dxa"/>
            <w:bottom w:w="0" w:type="dxa"/>
            <w:right w:w="0" w:type="dxa"/>
          </w:tblCellMar>
        </w:tblPrEx>
        <w:tc>
          <w:tcPr>
            <w:tcW w:w="1060" w:type="dxa"/>
          </w:tcPr>
          <w:p w:rsidR="00000000" w:rsidRDefault="00000000">
            <w:pPr>
              <w:suppressAutoHyphens/>
              <w:spacing w:after="100" w:line="240" w:lineRule="auto"/>
              <w:jc w:val="right"/>
              <w:rPr>
                <w:i/>
                <w:sz w:val="14"/>
              </w:rPr>
            </w:pPr>
          </w:p>
        </w:tc>
        <w:tc>
          <w:tcPr>
            <w:tcW w:w="7850" w:type="dxa"/>
          </w:tcPr>
          <w:p w:rsidR="00000000" w:rsidRDefault="00000000">
            <w:pPr>
              <w:suppressAutoHyphens/>
              <w:spacing w:after="100" w:line="240" w:lineRule="auto"/>
              <w:rPr>
                <w:sz w:val="14"/>
              </w:rPr>
            </w:pPr>
          </w:p>
        </w:tc>
        <w:tc>
          <w:tcPr>
            <w:tcW w:w="450" w:type="dxa"/>
          </w:tcPr>
          <w:p w:rsidR="00000000" w:rsidRDefault="00000000">
            <w:pPr>
              <w:suppressAutoHyphens/>
              <w:spacing w:after="100" w:line="240" w:lineRule="auto"/>
              <w:jc w:val="right"/>
              <w:rPr>
                <w:i/>
                <w:sz w:val="14"/>
              </w:rPr>
            </w:pPr>
            <w:r>
              <w:rPr>
                <w:i/>
                <w:sz w:val="14"/>
              </w:rPr>
              <w:t>Стр.</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Предисловие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w:t>
            </w:r>
          </w:p>
        </w:tc>
      </w:tr>
      <w:tr w:rsidR="00000000">
        <w:tblPrEx>
          <w:tblCellMar>
            <w:top w:w="0" w:type="dxa"/>
            <w:left w:w="0" w:type="dxa"/>
            <w:bottom w:w="0" w:type="dxa"/>
            <w:right w:w="0" w:type="dxa"/>
          </w:tblCellMar>
        </w:tblPrEx>
        <w:trPr>
          <w:trHeight w:val="526"/>
        </w:trPr>
        <w:tc>
          <w:tcPr>
            <w:tcW w:w="8910" w:type="dxa"/>
            <w:gridSpan w:val="2"/>
          </w:tcPr>
          <w:p w:rsidR="00000000" w:rsidRDefault="00000000">
            <w:pPr>
              <w:pStyle w:val="HCh"/>
              <w:tabs>
                <w:tab w:val="left" w:pos="1021"/>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080" w:right="1210"/>
            </w:pPr>
            <w:r>
              <w:t>Часть I</w:t>
            </w:r>
          </w:p>
          <w:p w:rsidR="00000000" w:rsidRDefault="00000000">
            <w:pPr>
              <w:tabs>
                <w:tab w:val="right" w:pos="1080"/>
                <w:tab w:val="left" w:pos="1296"/>
                <w:tab w:val="left" w:pos="1728"/>
                <w:tab w:val="left" w:pos="1800"/>
                <w:tab w:val="right" w:leader="dot" w:pos="9360"/>
              </w:tabs>
              <w:suppressAutoHyphens/>
              <w:spacing w:after="100" w:line="280" w:lineRule="exact"/>
              <w:ind w:left="1080"/>
              <w:rPr>
                <w:b/>
                <w:sz w:val="28"/>
              </w:rPr>
            </w:pPr>
            <w:r>
              <w:rPr>
                <w:b/>
                <w:sz w:val="28"/>
              </w:rPr>
              <w:t>Социальные, политические и правовые условия</w:t>
            </w:r>
            <w:r>
              <w:rPr>
                <w:sz w:val="28"/>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w:t>
            </w:r>
          </w:p>
        </w:tc>
      </w:tr>
      <w:tr w:rsidR="00000000">
        <w:tblPrEx>
          <w:tblCellMar>
            <w:top w:w="0" w:type="dxa"/>
            <w:left w:w="0" w:type="dxa"/>
            <w:bottom w:w="0" w:type="dxa"/>
            <w:right w:w="0" w:type="dxa"/>
          </w:tblCellMar>
        </w:tblPrEx>
        <w:trPr>
          <w:trHeight w:val="526"/>
        </w:trPr>
        <w:tc>
          <w:tcPr>
            <w:tcW w:w="8910" w:type="dxa"/>
            <w:gridSpan w:val="2"/>
          </w:tcPr>
          <w:p w:rsidR="00000000" w:rsidRDefault="00000000">
            <w:pPr>
              <w:tabs>
                <w:tab w:val="right" w:pos="1080"/>
                <w:tab w:val="left" w:pos="1296"/>
                <w:tab w:val="left" w:pos="1728"/>
                <w:tab w:val="right" w:leader="dot" w:pos="9360"/>
              </w:tabs>
              <w:suppressAutoHyphens/>
              <w:spacing w:after="100" w:line="280" w:lineRule="exact"/>
              <w:ind w:left="1080"/>
              <w:rPr>
                <w:b/>
                <w:sz w:val="24"/>
                <w:lang w:val="en-US"/>
              </w:rPr>
            </w:pPr>
            <w:r>
              <w:rPr>
                <w:b/>
                <w:sz w:val="24"/>
              </w:rPr>
              <w:t>Глава 1: Общие сведения</w:t>
            </w:r>
            <w:r>
              <w:rPr>
                <w:sz w:val="24"/>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lang w:val="en-US"/>
              </w:rPr>
              <w:tab/>
              <w:t>I</w:t>
            </w:r>
            <w:r>
              <w:t>.</w:t>
            </w:r>
            <w:r>
              <w:tab/>
              <w:t>Географическое положение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lang w:val="en-US"/>
              </w:rPr>
              <w:tab/>
            </w:r>
            <w:r>
              <w:t>II.</w:t>
            </w:r>
            <w:r>
              <w:tab/>
              <w:t>Демографическая ситуация</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lang w:val="en-US"/>
              </w:rPr>
              <w:tab/>
            </w:r>
            <w:r>
              <w:t>III.</w:t>
            </w:r>
            <w:r>
              <w:tab/>
              <w:t>Семья</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rPr>
                <w:spacing w:val="3"/>
              </w:rPr>
              <w:t xml:space="preserve">1. </w:t>
            </w:r>
            <w:r>
              <w:t>Брак</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t>2. Социальное воспитание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pPr>
            <w:r>
              <w:t xml:space="preserve">3. </w:t>
            </w:r>
            <w:r>
              <w:rPr>
                <w:spacing w:val="3"/>
              </w:rPr>
              <w:t>Планирование размера семьи</w:t>
            </w:r>
            <w:r>
              <w:rPr>
                <w:spacing w:val="3"/>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pPr>
            <w:r>
              <w:t>4. Руководящая роль в семье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rPr>
                <w:lang w:val="en-US"/>
              </w:rPr>
              <w:t xml:space="preserve">5. </w:t>
            </w:r>
            <w:r>
              <w:rPr>
                <w:spacing w:val="3"/>
              </w:rPr>
              <w:t>Образование</w:t>
            </w:r>
            <w:r>
              <w:rPr>
                <w:spacing w:val="3"/>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IV</w:t>
            </w:r>
            <w:r>
              <w:t>.</w:t>
            </w:r>
            <w:r>
              <w:tab/>
              <w:t>Политическая система</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rPr>
                <w:lang w:val="en-US"/>
              </w:rPr>
              <w:t xml:space="preserve">1. </w:t>
            </w:r>
            <w:r>
              <w:t>Ветви власти</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rPr>
                <w:lang w:val="en-US"/>
              </w:rPr>
              <w:t xml:space="preserve">2. </w:t>
            </w:r>
            <w:r>
              <w:t>Местные советы</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right" w:pos="1440"/>
                <w:tab w:val="left" w:pos="1728"/>
                <w:tab w:val="right" w:leader="dot" w:pos="9360"/>
              </w:tabs>
              <w:suppressAutoHyphens/>
              <w:spacing w:after="100" w:line="280" w:lineRule="exact"/>
              <w:ind w:left="1080"/>
              <w:rPr>
                <w:sz w:val="24"/>
              </w:rPr>
            </w:pPr>
            <w:r>
              <w:rPr>
                <w:b/>
                <w:sz w:val="24"/>
              </w:rPr>
              <w:t>Глава 2: Общая правовая основа защиты прав человека</w:t>
            </w:r>
            <w:r>
              <w:rPr>
                <w:sz w:val="24"/>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tab/>
            </w:r>
            <w:r>
              <w:rPr>
                <w:lang w:val="en-US"/>
              </w:rPr>
              <w:t>I</w:t>
            </w:r>
            <w:r>
              <w:t>.</w:t>
            </w:r>
            <w:r>
              <w:tab/>
              <w:t>Положения конституции и обеспечение соответствия законов положениям конституции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tab/>
            </w:r>
            <w:r>
              <w:rPr>
                <w:lang w:val="en-US"/>
              </w:rPr>
              <w:t>II</w:t>
            </w:r>
            <w:r>
              <w:t>.</w:t>
            </w:r>
            <w:r>
              <w:tab/>
              <w:t>Положения международных документов и их приоритет над внутригосударственным законодательством</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tab/>
            </w:r>
            <w:r>
              <w:rPr>
                <w:lang w:val="en-US"/>
              </w:rPr>
              <w:t>III</w:t>
            </w:r>
            <w:r>
              <w:t>.</w:t>
            </w:r>
            <w:r>
              <w:tab/>
              <w:t>Юридический  мониторинг административной деятельности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left" w:pos="1296"/>
                <w:tab w:val="right" w:pos="1440"/>
                <w:tab w:val="left" w:pos="1728"/>
                <w:tab w:val="right" w:leader="dot" w:pos="9360"/>
              </w:tabs>
              <w:suppressAutoHyphens/>
              <w:spacing w:after="100" w:line="280" w:lineRule="exact"/>
              <w:ind w:left="2133" w:hanging="1053"/>
              <w:rPr>
                <w:sz w:val="24"/>
              </w:rPr>
            </w:pPr>
            <w:r>
              <w:rPr>
                <w:b/>
                <w:sz w:val="24"/>
              </w:rPr>
              <w:t>Глава 3: Органы, функционирующие в официальном и неправительственном секторах</w:t>
            </w:r>
            <w:r>
              <w:rPr>
                <w:sz w:val="24"/>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tab/>
            </w:r>
            <w:r>
              <w:rPr>
                <w:lang w:val="en-US"/>
              </w:rPr>
              <w:t>I</w:t>
            </w:r>
            <w:r>
              <w:t>.</w:t>
            </w:r>
            <w:r>
              <w:tab/>
              <w:t>Органы, функционирующие в официальном секторе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pPr>
            <w:r>
              <w:t>1. Национальная комиссия по делам ливанских женщин</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pPr>
            <w:r>
              <w:t>2. Парламентский комитет по делам женщин и детей</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pPr>
            <w:r>
              <w:t>3. Служба по делам женщин при Министерстве по социальным вопр</w:t>
            </w:r>
            <w:r>
              <w:t>о</w:t>
            </w:r>
            <w:r>
              <w:t>сам</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pPr>
            <w:r>
              <w:t>4. Совет по экономическим и социальным вопросам</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24</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4"/>
        </w:rPr>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1060"/>
        <w:gridCol w:w="7850"/>
        <w:gridCol w:w="450"/>
      </w:tblGrid>
      <w:tr w:rsidR="00000000">
        <w:tblPrEx>
          <w:tblCellMar>
            <w:top w:w="0" w:type="dxa"/>
            <w:left w:w="0" w:type="dxa"/>
            <w:bottom w:w="0" w:type="dxa"/>
            <w:right w:w="0" w:type="dxa"/>
          </w:tblCellMar>
        </w:tblPrEx>
        <w:trPr>
          <w:cantSplit/>
          <w:tblHeader/>
        </w:trPr>
        <w:tc>
          <w:tcPr>
            <w:tcW w:w="9360" w:type="dxa"/>
            <w:gridSpan w:val="3"/>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sz w:val="10"/>
              </w:rPr>
            </w:pPr>
          </w:p>
          <w:p w:rsidR="00000000" w:rsidRDefault="00000000">
            <w:pPr>
              <w:suppressAutoHyphens/>
              <w:spacing w:after="100" w:line="240" w:lineRule="auto"/>
              <w:rPr>
                <w:i/>
              </w:rPr>
            </w:pPr>
            <w:r>
              <w:rPr>
                <w:b/>
                <w:sz w:val="28"/>
              </w:rPr>
              <w:t xml:space="preserve">Содержание </w:t>
            </w:r>
            <w:r>
              <w:rPr>
                <w:i/>
              </w:rPr>
              <w:t>(продолжение)</w:t>
            </w:r>
          </w:p>
        </w:tc>
      </w:tr>
      <w:tr w:rsidR="00000000">
        <w:tblPrEx>
          <w:tblCellMar>
            <w:top w:w="0" w:type="dxa"/>
            <w:left w:w="0" w:type="dxa"/>
            <w:bottom w:w="0" w:type="dxa"/>
            <w:right w:w="0" w:type="dxa"/>
          </w:tblCellMar>
        </w:tblPrEx>
        <w:trPr>
          <w:tblHeader/>
        </w:trPr>
        <w:tc>
          <w:tcPr>
            <w:tcW w:w="1060" w:type="dxa"/>
          </w:tcPr>
          <w:p w:rsidR="00000000" w:rsidRDefault="00000000">
            <w:pPr>
              <w:suppressAutoHyphens/>
              <w:spacing w:after="100" w:line="240" w:lineRule="auto"/>
              <w:jc w:val="right"/>
              <w:rPr>
                <w:i/>
                <w:sz w:val="14"/>
              </w:rPr>
            </w:pPr>
          </w:p>
        </w:tc>
        <w:tc>
          <w:tcPr>
            <w:tcW w:w="7850" w:type="dxa"/>
          </w:tcPr>
          <w:p w:rsidR="00000000" w:rsidRDefault="00000000">
            <w:pPr>
              <w:suppressAutoHyphens/>
              <w:spacing w:after="100" w:line="240" w:lineRule="auto"/>
              <w:rPr>
                <w:sz w:val="14"/>
              </w:rPr>
            </w:pPr>
          </w:p>
        </w:tc>
        <w:tc>
          <w:tcPr>
            <w:tcW w:w="450" w:type="dxa"/>
          </w:tcPr>
          <w:p w:rsidR="00000000" w:rsidRDefault="00000000">
            <w:pPr>
              <w:suppressAutoHyphens/>
              <w:spacing w:after="100" w:line="240" w:lineRule="auto"/>
              <w:jc w:val="right"/>
              <w:rPr>
                <w:i/>
                <w:sz w:val="14"/>
              </w:rPr>
            </w:pPr>
            <w:r>
              <w:rPr>
                <w:i/>
                <w:sz w:val="14"/>
              </w:rPr>
              <w:t>Стр</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r>
            <w:r>
              <w:rPr>
                <w:lang w:val="en-US"/>
              </w:rPr>
              <w:t>II</w:t>
            </w:r>
            <w:r>
              <w:t>.</w:t>
            </w:r>
            <w:r>
              <w:tab/>
              <w:t>Органы, функционирующие в неправительственном секторе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rPr>
                <w:lang w:val="en-US"/>
              </w:rPr>
              <w:t xml:space="preserve">1. </w:t>
            </w:r>
            <w:r>
              <w:t>Союзы</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2. Неправительственные организации, которые ведут борьбу с насилием в отношении женщин (два примера)</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3. Женские комитеты в ливанских политических партиях, профсоюзах, других органах и неправ</w:t>
            </w:r>
            <w:r>
              <w:t>и</w:t>
            </w:r>
            <w:r>
              <w:t>тельственных организациях</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4. Неправительственные организации в сфере культуры, информации и коммуникации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right" w:pos="1440"/>
                <w:tab w:val="left" w:pos="1728"/>
                <w:tab w:val="right" w:leader="dot" w:pos="9360"/>
              </w:tabs>
              <w:suppressAutoHyphens/>
              <w:spacing w:after="100" w:line="280" w:lineRule="exact"/>
              <w:ind w:left="1080"/>
              <w:rPr>
                <w:sz w:val="24"/>
              </w:rPr>
            </w:pPr>
            <w:r>
              <w:rPr>
                <w:b/>
                <w:sz w:val="24"/>
              </w:rPr>
              <w:t>Глава 4:</w:t>
            </w:r>
            <w:r>
              <w:rPr>
                <w:sz w:val="24"/>
              </w:rPr>
              <w:t xml:space="preserve"> </w:t>
            </w:r>
            <w:r>
              <w:rPr>
                <w:b/>
                <w:sz w:val="24"/>
              </w:rPr>
              <w:t>Оговорки, сделанные Ливаном в отношении Конвенции</w:t>
            </w:r>
            <w:r>
              <w:rPr>
                <w:sz w:val="24"/>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tab/>
            </w:r>
            <w:r>
              <w:rPr>
                <w:lang w:val="en-US"/>
              </w:rPr>
              <w:t>I.</w:t>
            </w:r>
            <w:r>
              <w:rPr>
                <w:lang w:val="en-US"/>
              </w:rPr>
              <w:tab/>
            </w:r>
            <w:r>
              <w:t>Гражданство</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II.</w:t>
            </w:r>
            <w:r>
              <w:rPr>
                <w:lang w:val="en-US"/>
              </w:rPr>
              <w:tab/>
            </w:r>
            <w:r>
              <w:t>Личный статус</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III.</w:t>
            </w:r>
            <w:r>
              <w:rPr>
                <w:lang w:val="en-US"/>
              </w:rPr>
              <w:tab/>
            </w:r>
            <w:r>
              <w:t>Урегулирование споров</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36</w:t>
            </w:r>
          </w:p>
        </w:tc>
      </w:tr>
      <w:tr w:rsidR="00000000">
        <w:tblPrEx>
          <w:tblCellMar>
            <w:top w:w="0" w:type="dxa"/>
            <w:left w:w="0" w:type="dxa"/>
            <w:bottom w:w="0" w:type="dxa"/>
            <w:right w:w="0" w:type="dxa"/>
          </w:tblCellMar>
        </w:tblPrEx>
        <w:tc>
          <w:tcPr>
            <w:tcW w:w="8910" w:type="dxa"/>
            <w:gridSpan w:val="2"/>
          </w:tcPr>
          <w:p w:rsidR="00000000" w:rsidRDefault="00000000">
            <w:pPr>
              <w:pStyle w:val="HCh"/>
              <w:tabs>
                <w:tab w:val="left" w:pos="1021"/>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080" w:right="1210"/>
            </w:pPr>
            <w:r>
              <w:t>Часть 2</w:t>
            </w:r>
          </w:p>
          <w:p w:rsidR="00000000" w:rsidRDefault="00000000">
            <w:pPr>
              <w:tabs>
                <w:tab w:val="right" w:pos="1080"/>
                <w:tab w:val="left" w:pos="1296"/>
                <w:tab w:val="left" w:pos="1728"/>
                <w:tab w:val="left" w:pos="1800"/>
                <w:tab w:val="right" w:leader="dot" w:pos="9360"/>
              </w:tabs>
              <w:suppressAutoHyphens/>
              <w:spacing w:after="100" w:line="280" w:lineRule="exact"/>
              <w:ind w:left="1080"/>
              <w:rPr>
                <w:sz w:val="28"/>
              </w:rPr>
            </w:pPr>
            <w:r>
              <w:rPr>
                <w:b/>
                <w:sz w:val="28"/>
              </w:rPr>
              <w:t>Контроль за осуществлением Конвенции о ликвидации всех форм дискриминации в отношении же</w:t>
            </w:r>
            <w:r>
              <w:rPr>
                <w:b/>
                <w:sz w:val="28"/>
              </w:rPr>
              <w:t>н</w:t>
            </w:r>
            <w:r>
              <w:rPr>
                <w:b/>
                <w:sz w:val="28"/>
              </w:rPr>
              <w:t>щин</w:t>
            </w:r>
            <w:r>
              <w:rPr>
                <w:sz w:val="28"/>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left" w:pos="1728"/>
                <w:tab w:val="right" w:leader="dot" w:pos="9360"/>
              </w:tabs>
              <w:suppressAutoHyphens/>
              <w:spacing w:after="100" w:line="280" w:lineRule="exact"/>
              <w:ind w:left="1080"/>
              <w:rPr>
                <w:b/>
                <w:sz w:val="24"/>
                <w:lang w:val="en-US"/>
              </w:rPr>
            </w:pPr>
            <w:r>
              <w:rPr>
                <w:b/>
                <w:sz w:val="24"/>
              </w:rPr>
              <w:t>Глава 1: Равенство перед законом</w:t>
            </w:r>
            <w:r>
              <w:rPr>
                <w:sz w:val="24"/>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lang w:val="en-US"/>
              </w:rPr>
              <w:tab/>
              <w:t>I</w:t>
            </w:r>
            <w:r>
              <w:t>.</w:t>
            </w:r>
            <w:r>
              <w:tab/>
              <w:t>Правоспособность</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t>II.</w:t>
            </w:r>
            <w:r>
              <w:tab/>
              <w:t>Изменения в рамках отдельных законов</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Поправки, вступившие в действие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2. Поправки, находящиеся на рассмотрении в парламентских комит</w:t>
            </w:r>
            <w:r>
              <w:t>е</w:t>
            </w:r>
            <w:r>
              <w:t>тах</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t>III.</w:t>
            </w:r>
            <w:r>
              <w:tab/>
              <w:t>Сферы дискриминации в отношении женщин</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728"/>
              <w:rPr>
                <w:lang w:val="en-US"/>
              </w:rPr>
            </w:pPr>
            <w:r>
              <w:rPr>
                <w:spacing w:val="3"/>
              </w:rPr>
              <w:t>1.</w:t>
            </w:r>
            <w:r>
              <w:rPr>
                <w:i/>
              </w:rPr>
              <w:t xml:space="preserve"> </w:t>
            </w:r>
            <w:r>
              <w:t>Неформальный сектор</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2.</w:t>
            </w:r>
            <w:r>
              <w:rPr>
                <w:i/>
              </w:rPr>
              <w:t xml:space="preserve"> </w:t>
            </w:r>
            <w:r>
              <w:t>Положения о надбавках и материальной помощи для гражданских служащих</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3. Общие положения о бюджетных служащих</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t>4. Закон о подоходном налоге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5. Закон о движимом и недвижимом имуществе (Гербовый сбор)</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6. </w:t>
            </w:r>
            <w:r>
              <w:t>Торговый кодекс</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left" w:pos="1728"/>
                <w:tab w:val="right" w:leader="dot" w:pos="9360"/>
              </w:tabs>
              <w:suppressAutoHyphens/>
              <w:spacing w:after="100" w:line="280" w:lineRule="exact"/>
              <w:ind w:left="1080"/>
              <w:rPr>
                <w:lang w:val="en-US"/>
              </w:rPr>
            </w:pPr>
            <w:r>
              <w:rPr>
                <w:b/>
                <w:sz w:val="24"/>
              </w:rPr>
              <w:t>Глава 2</w:t>
            </w:r>
            <w:r>
              <w:rPr>
                <w:b/>
                <w:sz w:val="24"/>
                <w:lang w:val="en-US"/>
              </w:rPr>
              <w:t xml:space="preserve">: </w:t>
            </w:r>
            <w:r>
              <w:rPr>
                <w:b/>
                <w:sz w:val="24"/>
              </w:rPr>
              <w:t>Гендерные стереотипы</w:t>
            </w:r>
            <w:r>
              <w:rPr>
                <w:sz w:val="24"/>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r>
            <w:r>
              <w:rPr>
                <w:lang w:val="en-US"/>
              </w:rPr>
              <w:t>I</w:t>
            </w:r>
            <w:r>
              <w:t>.</w:t>
            </w:r>
            <w:r>
              <w:tab/>
              <w:t>Гендерные стереотипы в общественной и частной жизни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r>
            <w:r>
              <w:rPr>
                <w:lang w:val="en-US"/>
              </w:rPr>
              <w:t>II</w:t>
            </w:r>
            <w:r>
              <w:t>.</w:t>
            </w:r>
            <w:r>
              <w:tab/>
              <w:t>Усилия по преодолению гендерных стереотипов</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b/>
              </w:rPr>
              <w:tab/>
            </w:r>
            <w:r>
              <w:rPr>
                <w:lang w:val="en-US"/>
              </w:rPr>
              <w:t>III</w:t>
            </w:r>
            <w:r>
              <w:t>.</w:t>
            </w:r>
            <w:r>
              <w:tab/>
              <w:t>Препятствия в борьбе со стереотипами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b/>
                <w:lang w:val="en-US"/>
              </w:rPr>
              <w:tab/>
            </w:r>
            <w:r>
              <w:rPr>
                <w:lang w:val="en-US"/>
              </w:rPr>
              <w:t>IV.</w:t>
            </w:r>
            <w:r>
              <w:rPr>
                <w:lang w:val="en-US"/>
              </w:rPr>
              <w:tab/>
            </w:r>
            <w:r>
              <w:t>Насилие и женщины</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left" w:pos="1296"/>
                <w:tab w:val="left" w:pos="1728"/>
                <w:tab w:val="right" w:leader="dot" w:pos="9360"/>
              </w:tabs>
              <w:suppressAutoHyphens/>
              <w:spacing w:after="100" w:line="280" w:lineRule="exact"/>
              <w:ind w:left="2178" w:hanging="1080"/>
              <w:rPr>
                <w:sz w:val="24"/>
              </w:rPr>
            </w:pPr>
            <w:r>
              <w:rPr>
                <w:b/>
                <w:sz w:val="24"/>
              </w:rPr>
              <w:t>Глава 3: Пресечение всех видов торговли женщинами и эксплуатации проституции женщин</w:t>
            </w:r>
            <w:r>
              <w:rPr>
                <w:sz w:val="24"/>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w:t>
            </w:r>
            <w:r>
              <w:rPr>
                <w:lang w:val="en-US"/>
              </w:rPr>
              <w:tab/>
            </w:r>
            <w:r>
              <w:t>Торговля людьми</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II.</w:t>
            </w:r>
            <w:r>
              <w:rPr>
                <w:lang w:val="en-US"/>
              </w:rPr>
              <w:tab/>
            </w:r>
            <w:r>
              <w:t>Проституция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52</w:t>
            </w:r>
          </w:p>
        </w:tc>
      </w:tr>
      <w:tr w:rsidR="00000000">
        <w:tblPrEx>
          <w:tblCellMar>
            <w:top w:w="0" w:type="dxa"/>
            <w:left w:w="0" w:type="dxa"/>
            <w:bottom w:w="0" w:type="dxa"/>
            <w:right w:w="0" w:type="dxa"/>
          </w:tblCellMar>
        </w:tblPrEx>
        <w:tc>
          <w:tcPr>
            <w:tcW w:w="8910" w:type="dxa"/>
            <w:gridSpan w:val="2"/>
          </w:tcPr>
          <w:p w:rsidR="00000000" w:rsidRDefault="00000000">
            <w:pPr>
              <w:tabs>
                <w:tab w:val="left" w:pos="1296"/>
                <w:tab w:val="left" w:pos="1728"/>
                <w:tab w:val="right" w:leader="dot" w:pos="9360"/>
              </w:tabs>
              <w:suppressAutoHyphens/>
              <w:spacing w:after="100" w:line="280" w:lineRule="exact"/>
              <w:ind w:left="2178" w:hanging="1080"/>
              <w:rPr>
                <w:sz w:val="24"/>
              </w:rPr>
            </w:pPr>
            <w:r>
              <w:rPr>
                <w:b/>
                <w:sz w:val="24"/>
              </w:rPr>
              <w:t>Глава 4: Женщины и участие в политической жизни</w:t>
            </w:r>
            <w:r>
              <w:rPr>
                <w:sz w:val="24"/>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b/>
              </w:rPr>
              <w:tab/>
            </w:r>
            <w:r>
              <w:rPr>
                <w:lang w:val="en-US"/>
              </w:rPr>
              <w:t>I</w:t>
            </w:r>
            <w:r>
              <w:t>.</w:t>
            </w:r>
            <w:r>
              <w:tab/>
              <w:t>Права женщин согласно законодательству</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tab/>
            </w:r>
            <w:r>
              <w:rPr>
                <w:lang w:val="en-US"/>
              </w:rPr>
              <w:t>II</w:t>
            </w:r>
            <w:r>
              <w:t>.</w:t>
            </w:r>
            <w:r>
              <w:tab/>
              <w:t>Участие ливанских женщин в различных сферах политической деятельности на современном этапе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1. Осуществление права голоса (на выборах в парламент и органы местного самоуправления</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2. Участие в общенациональных и местных выборах в качестве кандидата</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3. </w:t>
            </w:r>
            <w:r>
              <w:t>Участие в результате назначения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4. Участие в избирательных кампаниях (парламентские и муниципал</w:t>
            </w:r>
            <w:r>
              <w:t>ь</w:t>
            </w:r>
            <w:r>
              <w:t>ные выборы)</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5. </w:t>
            </w:r>
            <w:r>
              <w:t>Участие в акциях протеста</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6. </w:t>
            </w:r>
            <w:r>
              <w:t>Участие в политических партиях</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7. Участие в группах, отстаивающих общие интересы</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r>
            <w:r>
              <w:rPr>
                <w:lang w:val="en-US"/>
              </w:rPr>
              <w:t>III</w:t>
            </w:r>
            <w:r>
              <w:t>.</w:t>
            </w:r>
            <w:r>
              <w:tab/>
              <w:t>Факторы, определяющие участие женщин в политической жизни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66</w:t>
            </w:r>
          </w:p>
        </w:tc>
      </w:tr>
      <w:tr w:rsidR="00000000">
        <w:tblPrEx>
          <w:tblCellMar>
            <w:top w:w="0" w:type="dxa"/>
            <w:left w:w="0" w:type="dxa"/>
            <w:bottom w:w="0" w:type="dxa"/>
            <w:right w:w="0" w:type="dxa"/>
          </w:tblCellMar>
        </w:tblPrEx>
        <w:tc>
          <w:tcPr>
            <w:tcW w:w="8910" w:type="dxa"/>
            <w:gridSpan w:val="2"/>
          </w:tcPr>
          <w:p w:rsidR="00000000" w:rsidRDefault="00000000">
            <w:pPr>
              <w:tabs>
                <w:tab w:val="left" w:pos="1296"/>
                <w:tab w:val="left" w:pos="1728"/>
                <w:tab w:val="right" w:leader="dot" w:pos="9360"/>
              </w:tabs>
              <w:suppressAutoHyphens/>
              <w:spacing w:after="100" w:line="280" w:lineRule="exact"/>
              <w:ind w:left="2178" w:hanging="1080"/>
              <w:rPr>
                <w:sz w:val="24"/>
                <w:lang w:val="en-US"/>
              </w:rPr>
            </w:pPr>
            <w:r>
              <w:rPr>
                <w:b/>
                <w:sz w:val="24"/>
              </w:rPr>
              <w:t>Глава 5: Формальное образование</w:t>
            </w:r>
            <w:r>
              <w:rPr>
                <w:sz w:val="24"/>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w:t>
            </w:r>
            <w:r>
              <w:rPr>
                <w:lang w:val="en-US"/>
              </w:rPr>
              <w:tab/>
            </w:r>
            <w:r>
              <w:t>Общее образование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r>
            <w:r>
              <w:rPr>
                <w:lang w:val="en-US"/>
              </w:rPr>
              <w:t>II</w:t>
            </w:r>
            <w:r>
              <w:t>.</w:t>
            </w:r>
            <w:r>
              <w:tab/>
              <w:t>Техническое и профессиональное образование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III.</w:t>
            </w:r>
            <w:r>
              <w:rPr>
                <w:lang w:val="en-US"/>
              </w:rPr>
              <w:tab/>
            </w:r>
            <w:r>
              <w:t>Неграмотность</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rPr>
                <w:lang w:val="en-US"/>
              </w:rPr>
            </w:pPr>
            <w:r>
              <w:rPr>
                <w:lang w:val="en-US"/>
              </w:rP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tab/>
            </w:r>
            <w:r>
              <w:rPr>
                <w:lang w:val="en-US"/>
              </w:rPr>
              <w:t>IV</w:t>
            </w:r>
            <w:r>
              <w:t>.</w:t>
            </w:r>
            <w:r>
              <w:tab/>
              <w:t>Выбывшие и исключенные из учебных заведений</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V.</w:t>
            </w:r>
            <w:r>
              <w:rPr>
                <w:lang w:val="en-US"/>
              </w:rPr>
              <w:tab/>
            </w:r>
            <w:r>
              <w:t>Спортивные мероприятия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lang w:val="en-US"/>
              </w:rPr>
              <w:tab/>
              <w:t>VI.</w:t>
            </w:r>
            <w:r>
              <w:rPr>
                <w:lang w:val="en-US"/>
              </w:rPr>
              <w:tab/>
            </w:r>
            <w:r>
              <w:t>Высшее образование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75</w:t>
            </w:r>
          </w:p>
        </w:tc>
      </w:tr>
      <w:tr w:rsidR="00000000">
        <w:tblPrEx>
          <w:tblCellMar>
            <w:top w:w="0" w:type="dxa"/>
            <w:left w:w="0" w:type="dxa"/>
            <w:bottom w:w="0" w:type="dxa"/>
            <w:right w:w="0" w:type="dxa"/>
          </w:tblCellMar>
        </w:tblPrEx>
        <w:tc>
          <w:tcPr>
            <w:tcW w:w="8910" w:type="dxa"/>
            <w:gridSpan w:val="2"/>
          </w:tcPr>
          <w:p w:rsidR="00000000" w:rsidRDefault="00000000">
            <w:pPr>
              <w:tabs>
                <w:tab w:val="left" w:pos="1296"/>
                <w:tab w:val="left" w:pos="1728"/>
                <w:tab w:val="right" w:leader="dot" w:pos="9360"/>
              </w:tabs>
              <w:suppressAutoHyphens/>
              <w:spacing w:after="100" w:line="280" w:lineRule="exact"/>
              <w:ind w:left="2178" w:hanging="1080"/>
              <w:rPr>
                <w:sz w:val="24"/>
                <w:lang w:val="en-US"/>
              </w:rPr>
            </w:pPr>
            <w:r>
              <w:rPr>
                <w:b/>
                <w:sz w:val="24"/>
              </w:rPr>
              <w:t>Глава 6: Занятость и экономика</w:t>
            </w:r>
            <w:r>
              <w:rPr>
                <w:sz w:val="24"/>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b/>
              </w:rPr>
              <w:tab/>
            </w:r>
            <w:r>
              <w:rPr>
                <w:lang w:val="en-US"/>
              </w:rPr>
              <w:t>I.</w:t>
            </w:r>
            <w:r>
              <w:rPr>
                <w:lang w:val="en-US"/>
              </w:rPr>
              <w:tab/>
            </w:r>
            <w:r>
              <w:t>Социально-экономическая деятельность</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Рост доходов семей</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2. </w:t>
            </w:r>
            <w:r>
              <w:t>Рост рынка труда</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3. Распределение работников по секторам экономики и регионам стр</w:t>
            </w:r>
            <w:r>
              <w:t>а</w:t>
            </w:r>
            <w:r>
              <w:t>ны</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4. Распределение работников по возрастным группам и половой прина</w:t>
            </w:r>
            <w:r>
              <w:t>д</w:t>
            </w:r>
            <w:r>
              <w:t>лежности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b/>
              </w:rPr>
              <w:tab/>
            </w:r>
            <w:r>
              <w:rPr>
                <w:lang w:val="en-US"/>
              </w:rPr>
              <w:t>II.</w:t>
            </w:r>
            <w:r>
              <w:rPr>
                <w:lang w:val="en-US"/>
              </w:rPr>
              <w:tab/>
            </w:r>
            <w:r>
              <w:t>Занятость среди женщин</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Маргинальный сектор</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2. </w:t>
            </w:r>
            <w:r>
              <w:t>Промышленный сектор</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3. </w:t>
            </w:r>
            <w:r>
              <w:t>Сельскохозяйственный сектор</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4. </w:t>
            </w:r>
            <w:r>
              <w:t>Банковский сектор</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5. </w:t>
            </w:r>
            <w:r>
              <w:t>Сфера образования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6. </w:t>
            </w:r>
            <w:r>
              <w:t>Свободные профессии</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rPr>
                <w:b/>
              </w:rPr>
              <w:tab/>
            </w:r>
            <w:r>
              <w:rPr>
                <w:lang w:val="en-US"/>
              </w:rPr>
              <w:t>III</w:t>
            </w:r>
            <w:r>
              <w:t>.</w:t>
            </w:r>
            <w:r>
              <w:tab/>
              <w:t>Финансовые учреждения и их роль в борьбе с нищетой и безработицей, в том числе среди женщин</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86</w:t>
            </w:r>
          </w:p>
        </w:tc>
      </w:tr>
      <w:tr w:rsidR="00000000">
        <w:tblPrEx>
          <w:tblCellMar>
            <w:top w:w="0" w:type="dxa"/>
            <w:left w:w="0" w:type="dxa"/>
            <w:bottom w:w="0" w:type="dxa"/>
            <w:right w:w="0" w:type="dxa"/>
          </w:tblCellMar>
        </w:tblPrEx>
        <w:tc>
          <w:tcPr>
            <w:tcW w:w="8910" w:type="dxa"/>
            <w:gridSpan w:val="2"/>
          </w:tcPr>
          <w:p w:rsidR="00000000" w:rsidRDefault="00000000">
            <w:pPr>
              <w:tabs>
                <w:tab w:val="left" w:pos="1296"/>
                <w:tab w:val="left" w:pos="1728"/>
                <w:tab w:val="right" w:leader="dot" w:pos="9360"/>
              </w:tabs>
              <w:suppressAutoHyphens/>
              <w:spacing w:after="100" w:line="280" w:lineRule="exact"/>
              <w:ind w:left="2178" w:hanging="1080"/>
              <w:rPr>
                <w:sz w:val="24"/>
              </w:rPr>
            </w:pPr>
            <w:r>
              <w:rPr>
                <w:b/>
                <w:sz w:val="24"/>
              </w:rPr>
              <w:t>Глава 7: Равенство в вопросах охраны здоровья</w:t>
            </w:r>
            <w:r>
              <w:rPr>
                <w:sz w:val="24"/>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b/>
              </w:rPr>
              <w:tab/>
            </w:r>
            <w:r>
              <w:rPr>
                <w:lang w:val="en-US"/>
              </w:rPr>
              <w:t>I.</w:t>
            </w:r>
            <w:r>
              <w:rPr>
                <w:lang w:val="en-US"/>
              </w:rPr>
              <w:tab/>
            </w:r>
            <w:r>
              <w:t>Действующие правовые нормы</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Право на охрану здоровья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2. </w:t>
            </w:r>
            <w:r>
              <w:t>Планирование размера семьи</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3. </w:t>
            </w:r>
            <w:r>
              <w:t>Репродуктивное здоровье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4. </w:t>
            </w:r>
            <w:r>
              <w:t>Аборты</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b/>
              </w:rPr>
              <w:tab/>
            </w:r>
            <w:r>
              <w:rPr>
                <w:lang w:val="en-US"/>
              </w:rPr>
              <w:t>II.</w:t>
            </w:r>
            <w:r>
              <w:rPr>
                <w:lang w:val="en-US"/>
              </w:rPr>
              <w:tab/>
            </w:r>
            <w:r>
              <w:t>Последние юридические изменения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Социальное обеспечение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2. </w:t>
            </w:r>
            <w:r>
              <w:t>Репродуктивное здоровье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3. </w:t>
            </w:r>
            <w:r>
              <w:t>Охрана здоровья работающих женщин</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4. </w:t>
            </w:r>
            <w:r>
              <w:t>Инвалидность</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b/>
              </w:rPr>
              <w:tab/>
            </w:r>
            <w:r>
              <w:rPr>
                <w:lang w:val="en-US"/>
              </w:rPr>
              <w:t>III</w:t>
            </w:r>
            <w:r>
              <w:t>.</w:t>
            </w:r>
            <w:r>
              <w:tab/>
              <w:t>Основные аспекты дискриминации в отношении женщин</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Право на охрану здоровья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2. </w:t>
            </w:r>
            <w:r>
              <w:t>Аборты</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3. </w:t>
            </w:r>
            <w:r>
              <w:t>Инвалидность</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4. </w:t>
            </w:r>
            <w:r>
              <w:t>Окружающая среда</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5. </w:t>
            </w:r>
            <w:r>
              <w:t>Репродуктивное здоровье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pPr>
            <w:r>
              <w:rPr>
                <w:b/>
              </w:rPr>
              <w:tab/>
            </w:r>
            <w:r>
              <w:rPr>
                <w:lang w:val="en-US"/>
              </w:rPr>
              <w:t>IV</w:t>
            </w:r>
            <w:r>
              <w:t>.</w:t>
            </w:r>
            <w:r>
              <w:tab/>
              <w:t>Развитие ситуации в области охраны здоровья женщин</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Право на охрану здоровья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2. </w:t>
            </w:r>
            <w:r>
              <w:t>Инвалидность</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3. </w:t>
            </w:r>
            <w:r>
              <w:t>Репродуктивное здоровье</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p>
          <w:p w:rsidR="00000000" w:rsidRDefault="00000000">
            <w:pPr>
              <w:tabs>
                <w:tab w:val="right" w:pos="1080"/>
                <w:tab w:val="right" w:pos="1440"/>
                <w:tab w:val="right" w:leader="dot" w:pos="9360"/>
              </w:tabs>
              <w:suppressAutoHyphens/>
              <w:spacing w:after="100"/>
              <w:ind w:left="1953" w:hanging="225"/>
              <w:rPr>
                <w:lang w:val="en-US"/>
              </w:rPr>
            </w:pP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rPr>
                <w:b/>
              </w:rPr>
              <w:tab/>
            </w:r>
            <w:r>
              <w:rPr>
                <w:lang w:val="en-US"/>
              </w:rPr>
              <w:t>V</w:t>
            </w:r>
            <w:r>
              <w:t>.</w:t>
            </w:r>
            <w:r>
              <w:tab/>
              <w:t>Национальные программы в области здравоохранения, осущест</w:t>
            </w:r>
            <w:r>
              <w:t>в</w:t>
            </w:r>
            <w:r>
              <w:t>ля</w:t>
            </w:r>
            <w:r>
              <w:t>е</w:t>
            </w:r>
            <w:r>
              <w:t>мые при поддержке Организации Объединенных Наций</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rPr>
                <w:lang w:val="en-US"/>
              </w:rPr>
            </w:pPr>
            <w:r>
              <w:rPr>
                <w:lang w:val="en-US"/>
              </w:rPr>
              <w:t xml:space="preserve">1. </w:t>
            </w:r>
            <w:r>
              <w:t>Национальная программа репродуктивного здоровья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2. Национальная программа борьбы со СПИДом/ЗППП</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3. Национальная программа борьбы с неинфекционными заболевани</w:t>
            </w:r>
            <w:r>
              <w:t>я</w:t>
            </w:r>
            <w:r>
              <w:t>ми</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right" w:leader="dot" w:pos="9360"/>
              </w:tabs>
              <w:suppressAutoHyphens/>
              <w:spacing w:after="100"/>
              <w:ind w:left="1953" w:hanging="225"/>
            </w:pPr>
            <w:r>
              <w:t>4. Программа предоставления лекарств хроническим больным</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right" w:pos="1440"/>
                <w:tab w:val="left" w:pos="1728"/>
                <w:tab w:val="right" w:leader="dot" w:pos="9360"/>
              </w:tabs>
              <w:suppressAutoHyphens/>
              <w:spacing w:after="100"/>
              <w:ind w:left="1080"/>
              <w:rPr>
                <w:lang w:val="en-US"/>
              </w:rPr>
            </w:pPr>
            <w:r>
              <w:rPr>
                <w:b/>
              </w:rPr>
              <w:tab/>
            </w:r>
            <w:r>
              <w:rPr>
                <w:lang w:val="en-US"/>
              </w:rPr>
              <w:t>VI.</w:t>
            </w:r>
            <w:r>
              <w:rPr>
                <w:lang w:val="en-US"/>
              </w:rPr>
              <w:tab/>
            </w:r>
            <w:r>
              <w:t>Работники системы здравоохранения</w:t>
            </w:r>
            <w:r>
              <w:rPr>
                <w:lang w:val="en-US"/>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440"/>
                <w:tab w:val="left" w:pos="1728"/>
                <w:tab w:val="right" w:leader="dot" w:pos="9360"/>
              </w:tabs>
              <w:suppressAutoHyphens/>
              <w:spacing w:after="100"/>
              <w:ind w:left="1728" w:hanging="648"/>
            </w:pPr>
            <w:r>
              <w:rPr>
                <w:b/>
              </w:rPr>
              <w:tab/>
            </w:r>
            <w:r>
              <w:rPr>
                <w:lang w:val="en-US"/>
              </w:rPr>
              <w:t>VII</w:t>
            </w:r>
            <w:r>
              <w:t>.</w:t>
            </w:r>
            <w:r>
              <w:tab/>
              <w:t>Трудности и ограничения в обеспечении права женщин на охр</w:t>
            </w:r>
            <w:r>
              <w:t>а</w:t>
            </w:r>
            <w:r>
              <w:t>ну здоровья Географическое положение</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Справочные материалы</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100</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rPr>
          <w:lang w:val="fr-CA"/>
        </w:rPr>
      </w:pPr>
      <w:r>
        <w:t>Предисловие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Настоящий доклад, который является вторым периодическим докладом Ливана, представляется в соответствии со статьей 18 Конвенции о ликвидации всех форм дискриминации в отношении женщин. В нем представлены общие сведения и подробная информация о последствиях поправок, внесенных в з</w:t>
      </w:r>
      <w:r>
        <w:t>а</w:t>
      </w:r>
      <w:r>
        <w:t>конодательство и другие нормативные акты, и об изменениях, произошедших в обществе, в частности благодаря работе правительственных и неправительс</w:t>
      </w:r>
      <w:r>
        <w:t>т</w:t>
      </w:r>
      <w:r>
        <w:t>венных организаций, направленной на создание условий для обеспечения ра</w:t>
      </w:r>
      <w:r>
        <w:t>в</w:t>
      </w:r>
      <w:r>
        <w:t>ноправия женщин и мужчин.</w:t>
      </w:r>
    </w:p>
    <w:p w:rsidR="00000000" w:rsidRDefault="00000000">
      <w:pPr>
        <w:pStyle w:val="SingleTxt"/>
        <w:tabs>
          <w:tab w:val="clear" w:pos="1267"/>
          <w:tab w:val="left" w:pos="900"/>
        </w:tabs>
      </w:pPr>
      <w:r>
        <w:tab/>
        <w:t>В настоящем докладе описываются как изменения в положении лива</w:t>
      </w:r>
      <w:r>
        <w:t>н</w:t>
      </w:r>
      <w:r>
        <w:t>ских женщин, так и соответствующие постоянные особенности и условия в п</w:t>
      </w:r>
      <w:r>
        <w:t>я</w:t>
      </w:r>
      <w:r>
        <w:t>тилетний период с момента завершения подготовки первоначального доклада, представленного Комитету по ликвидации дискриминации в отношении же</w:t>
      </w:r>
      <w:r>
        <w:t>н</w:t>
      </w:r>
      <w:r>
        <w:t>щин, до настоящего момента, когда осуществляется подготовка второго пери</w:t>
      </w:r>
      <w:r>
        <w:t>о</w:t>
      </w:r>
      <w:r>
        <w:t>дического доклада, в областях, охваченных Конвенцией: законодательстве, а</w:t>
      </w:r>
      <w:r>
        <w:t>д</w:t>
      </w:r>
      <w:r>
        <w:t>министрации, политике, образовании, здравоохранении, занятости, а также в культурной среде, которая лежит в осн</w:t>
      </w:r>
      <w:r>
        <w:t>о</w:t>
      </w:r>
      <w:r>
        <w:t>ве каждой из этих областей.</w:t>
      </w:r>
    </w:p>
    <w:p w:rsidR="00000000" w:rsidRDefault="00000000">
      <w:pPr>
        <w:pStyle w:val="SingleTxt"/>
        <w:tabs>
          <w:tab w:val="clear" w:pos="1267"/>
          <w:tab w:val="left" w:pos="900"/>
        </w:tabs>
        <w:ind w:left="1764" w:hanging="497"/>
      </w:pPr>
      <w:r>
        <w:tab/>
        <w:t>Настоящий доклад состоит из двух частей:</w:t>
      </w:r>
    </w:p>
    <w:p w:rsidR="00000000" w:rsidRDefault="00000000">
      <w:pPr>
        <w:pStyle w:val="SingleTxt"/>
        <w:tabs>
          <w:tab w:val="clear" w:pos="1267"/>
          <w:tab w:val="left" w:pos="720"/>
        </w:tabs>
        <w:ind w:left="1764" w:hanging="497"/>
      </w:pPr>
      <w:r>
        <w:t>-</w:t>
      </w:r>
      <w:r>
        <w:tab/>
        <w:t>в первой части приводится общая информация о географических и соц</w:t>
      </w:r>
      <w:r>
        <w:t>и</w:t>
      </w:r>
      <w:r>
        <w:t>альных особенностях Ливанской Республики и представлено аналитич</w:t>
      </w:r>
      <w:r>
        <w:t>е</w:t>
      </w:r>
      <w:r>
        <w:t>ское описание политической, законодательной и учрежденческой систем, лежащих в ее основе, с целью дать представление об общей среде, кот</w:t>
      </w:r>
      <w:r>
        <w:t>о</w:t>
      </w:r>
      <w:r>
        <w:t>рая окружает женщин и оказывает влияние на их положение. Это делае</w:t>
      </w:r>
      <w:r>
        <w:t>т</w:t>
      </w:r>
      <w:r>
        <w:t>ся в рамках мероприятий, направленных, прямо или косвенно, на обесп</w:t>
      </w:r>
      <w:r>
        <w:t>е</w:t>
      </w:r>
      <w:r>
        <w:t>чение соблюдения бу</w:t>
      </w:r>
      <w:r>
        <w:t>к</w:t>
      </w:r>
      <w:r>
        <w:t>вы и духа Конвенции;</w:t>
      </w:r>
    </w:p>
    <w:p w:rsidR="00000000" w:rsidRDefault="00000000">
      <w:pPr>
        <w:pStyle w:val="SingleTxt"/>
        <w:tabs>
          <w:tab w:val="clear" w:pos="1267"/>
          <w:tab w:val="left" w:pos="900"/>
        </w:tabs>
        <w:ind w:left="1764" w:hanging="497"/>
      </w:pPr>
      <w:r>
        <w:t>-</w:t>
      </w:r>
      <w:r>
        <w:tab/>
        <w:t>во второй части подробно рассматриваются статьи Конвенции, и инфо</w:t>
      </w:r>
      <w:r>
        <w:t>р</w:t>
      </w:r>
      <w:r>
        <w:t>мация по ним представлена в отдельных главах, в основном в соответс</w:t>
      </w:r>
      <w:r>
        <w:t>т</w:t>
      </w:r>
      <w:r>
        <w:t>вии с порядком их расположения в Конвенции, хотя статья 14 по мере н</w:t>
      </w:r>
      <w:r>
        <w:t>е</w:t>
      </w:r>
      <w:r>
        <w:t>обходимости з</w:t>
      </w:r>
      <w:r>
        <w:t>а</w:t>
      </w:r>
      <w:r>
        <w:t>трагивается в различных главах доклада.</w:t>
      </w:r>
    </w:p>
    <w:p w:rsidR="00000000" w:rsidRDefault="00000000">
      <w:pPr>
        <w:pStyle w:val="SingleTxt"/>
        <w:tabs>
          <w:tab w:val="clear" w:pos="1267"/>
          <w:tab w:val="left" w:pos="900"/>
        </w:tabs>
      </w:pPr>
      <w:r>
        <w:tab/>
        <w:t>Настоящий доклад подготовлен Национальной комиссией по делам л</w:t>
      </w:r>
      <w:r>
        <w:t>и</w:t>
      </w:r>
      <w:r>
        <w:t>ванских женщин; комитет, состоящий из ее членов, подготовил первую часть доклада и наблюдал за подготовкой второй его части, работа над которой была поручена группе экспертов, специализирующихся в различных областях зн</w:t>
      </w:r>
      <w:r>
        <w:t>а</w:t>
      </w:r>
      <w:r>
        <w:t>ний, в состав которой входили как женщины, так и мужчины.</w:t>
      </w:r>
    </w:p>
    <w:p w:rsidR="00000000" w:rsidRDefault="00000000">
      <w:pPr>
        <w:pStyle w:val="SingleTxt"/>
        <w:tabs>
          <w:tab w:val="clear" w:pos="1267"/>
          <w:tab w:val="left" w:pos="900"/>
        </w:tabs>
      </w:pPr>
      <w:r>
        <w:tab/>
        <w:t>Национальная комиссия по делам ливанских женщин выражает призн</w:t>
      </w:r>
      <w:r>
        <w:t>а</w:t>
      </w:r>
      <w:r>
        <w:t>тельность всем, кто оказывал помощь в подготовке второго периодического доклада, касающегося Конвенции о ликвидации всех форм дискриминации в отношении женщин.</w:t>
      </w:r>
    </w:p>
    <w:p w:rsidR="00000000" w:rsidRDefault="00000000">
      <w:pPr>
        <w:pStyle w:val="SingleTxt"/>
        <w:tabs>
          <w:tab w:val="clear" w:pos="1267"/>
          <w:tab w:val="left" w:pos="900"/>
        </w:tabs>
      </w:pPr>
      <w:r>
        <w:tab/>
        <w:t>-</w:t>
      </w:r>
      <w:r>
        <w:tab/>
        <w:t>Наблюдательный комитет: д-р Маха эль-Мукаддам, д-р Азза Шарара Байдун, д-р Лейла Азури Джумхури и профессор Джамана Муфа</w:t>
      </w:r>
      <w:r>
        <w:t>р</w:t>
      </w:r>
      <w:r>
        <w:t>радж.</w:t>
      </w:r>
    </w:p>
    <w:p w:rsidR="00000000" w:rsidRDefault="00000000">
      <w:pPr>
        <w:pStyle w:val="SingleTxt"/>
        <w:tabs>
          <w:tab w:val="clear" w:pos="1267"/>
          <w:tab w:val="left" w:pos="900"/>
        </w:tabs>
      </w:pPr>
      <w:r>
        <w:tab/>
        <w:t>-</w:t>
      </w:r>
      <w:r>
        <w:tab/>
        <w:t>Эксперты: д-р Маргарет эль-Хильв, д-р Фадия Хатит, д-р Башарах Ханна, профессор Рана Хури, д-р Лейла Азури Джумхури и профессор Хайам Ка’и.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sz w:val="10"/>
        </w:rPr>
      </w:pPr>
      <w:r>
        <w:rPr>
          <w:b/>
        </w:rPr>
        <w:br w:type="page"/>
      </w:r>
    </w:p>
    <w:p w:rsidR="00000000" w:rsidRDefault="00000000">
      <w:pPr>
        <w:pStyle w:val="HCh"/>
        <w:tabs>
          <w:tab w:val="left" w:pos="1021"/>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0" w:right="1210"/>
      </w:pPr>
      <w:r>
        <w:t>Часть I</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Социальные, политические и правовые условия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Глава 1</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Общие сведения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w:t>
      </w:r>
      <w:r>
        <w:t>.</w:t>
      </w:r>
      <w:r>
        <w:tab/>
        <w:t>Географическое положение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Границы: Общая площадь Ливана составляет 10 452 квадратных киломе</w:t>
      </w:r>
      <w:r>
        <w:t>т</w:t>
      </w:r>
      <w:r>
        <w:t>ра. Он граничит с Сирийской Арабской Республикой на севере и востоке и с Палестиной на юге, а с запада омывается Средиземным м</w:t>
      </w:r>
      <w:r>
        <w:t>о</w:t>
      </w:r>
      <w:r>
        <w:t>рем.</w:t>
      </w:r>
    </w:p>
    <w:p w:rsidR="00000000" w:rsidRDefault="00000000">
      <w:pPr>
        <w:pStyle w:val="SingleTxt"/>
        <w:tabs>
          <w:tab w:val="clear" w:pos="1267"/>
          <w:tab w:val="left" w:pos="900"/>
        </w:tabs>
      </w:pPr>
      <w:r>
        <w:tab/>
        <w:t>Расположение: Ливан, расположенный в юго-западной части азиатского континента, занимает уникальное географическое положение, поскольку его территория омывается водами восточной акватории Средиземного моря в ее северной части с умеренным климатом. Ливан издавна известен своеобразным расположением гор, высота которых достигает 3 088 метров. Он считается важным центром торговли и культурного развития и представляет собой смесь культур Востока и Запада, поэтому его часто называют "воротами" на пути с Запада на Восток.</w:t>
      </w:r>
    </w:p>
    <w:p w:rsidR="00000000" w:rsidRDefault="00000000">
      <w:pPr>
        <w:pStyle w:val="SingleTxt"/>
        <w:tabs>
          <w:tab w:val="clear" w:pos="1267"/>
          <w:tab w:val="left" w:pos="900"/>
        </w:tabs>
      </w:pPr>
      <w:r>
        <w:tab/>
        <w:t>Географическое положение Ливана не только обусловливало политич</w:t>
      </w:r>
      <w:r>
        <w:t>е</w:t>
      </w:r>
      <w:r>
        <w:t>ские условия в стране в различные периоды ее истории, но и оказывает огро</w:t>
      </w:r>
      <w:r>
        <w:t>м</w:t>
      </w:r>
      <w:r>
        <w:t>ное влияние на ее природные ресурсы и экономические сист</w:t>
      </w:r>
      <w:r>
        <w:t>е</w:t>
      </w:r>
      <w:r>
        <w:t>мы.</w:t>
      </w:r>
    </w:p>
    <w:p w:rsidR="00000000" w:rsidRDefault="00000000">
      <w:pPr>
        <w:pStyle w:val="SingleTxt"/>
        <w:tabs>
          <w:tab w:val="clear" w:pos="1267"/>
          <w:tab w:val="left" w:pos="900"/>
        </w:tabs>
      </w:pPr>
      <w:r>
        <w:tab/>
        <w:t>С 1978 года значительная часть южного Ливана была оккупирована И</w:t>
      </w:r>
      <w:r>
        <w:t>з</w:t>
      </w:r>
      <w:r>
        <w:t>раилем. Так называемая пограничная полоса была успешно освобождена в конце мая 2000 года, за исключением сельскохозяйственных угодий Шебаа, которые все еще находятся под израильской оккупацией. В результате из це</w:t>
      </w:r>
      <w:r>
        <w:t>н</w:t>
      </w:r>
      <w:r>
        <w:t>тра содержания под стражей в Хияме были освобождены заключенные: как мужчины, так и женщины, и в настоящее время его посещают люди со всего мира, которые приезжают для того, чтобы узнать об угнетении и тирании со стороны Израиля. Несмотря на увеличение количества эмигрирующих за р</w:t>
      </w:r>
      <w:r>
        <w:t>у</w:t>
      </w:r>
      <w:r>
        <w:t>беж вследствие гражданской войны и ее катастрофических экономических п</w:t>
      </w:r>
      <w:r>
        <w:t>о</w:t>
      </w:r>
      <w:r>
        <w:t>следствий, большинство вынужденных переселенцев уже вернулись домой, поскольку больше нет причин, которые бы заставляли их покидать родные места.</w:t>
      </w:r>
    </w:p>
    <w:p w:rsidR="00000000" w:rsidRDefault="00000000">
      <w:pPr>
        <w:pStyle w:val="SingleTxt"/>
        <w:tabs>
          <w:tab w:val="clear" w:pos="1267"/>
          <w:tab w:val="left" w:pos="900"/>
        </w:tabs>
      </w:pPr>
      <w:r>
        <w:tab/>
        <w:t>Столица: Столица Ливана - Бейрут, в котором проживает около 1,5 ми</w:t>
      </w:r>
      <w:r>
        <w:t>л</w:t>
      </w:r>
      <w:r>
        <w:t>лионов человек. Он расположен на скалистом мысе в средней части побережья и является главным коммуникац</w:t>
      </w:r>
      <w:r>
        <w:t>и</w:t>
      </w:r>
      <w:r>
        <w:t>онным центром Ливана.</w:t>
      </w:r>
    </w:p>
    <w:p w:rsidR="00000000" w:rsidRDefault="00000000">
      <w:pPr>
        <w:pStyle w:val="SingleTxt"/>
        <w:tabs>
          <w:tab w:val="clear" w:pos="1267"/>
          <w:tab w:val="left" w:pos="900"/>
        </w:tabs>
      </w:pPr>
      <w:r>
        <w:tab/>
        <w:t>Климат: Климат Ливана считается одним из лучших в мире; четко выр</w:t>
      </w:r>
      <w:r>
        <w:t>а</w:t>
      </w:r>
      <w:r>
        <w:t>женные четыре времени года и умеренно низкие и высокие температуры дел</w:t>
      </w:r>
      <w:r>
        <w:t>а</w:t>
      </w:r>
      <w:r>
        <w:t>ют климат приятным и здоровым. Территория страны делится на три основные климатические зоны: морскую, горную и континентал</w:t>
      </w:r>
      <w:r>
        <w:t>ь</w:t>
      </w:r>
      <w:r>
        <w:t>ную.</w:t>
      </w:r>
      <w:r>
        <w:rPr>
          <w:sz w:val="10"/>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t>II.</w:t>
      </w:r>
      <w:r>
        <w:tab/>
        <w:t>Демографическая ситуация</w:t>
      </w:r>
    </w:p>
    <w:p w:rsidR="00000000" w:rsidRDefault="00000000">
      <w:pPr>
        <w:pStyle w:val="SingleTxt"/>
        <w:keepNext/>
        <w:spacing w:after="0" w:line="180" w:lineRule="auto"/>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Численность населения: В 1997 году численность населения Ливана с</w:t>
      </w:r>
      <w:r>
        <w:t>о</w:t>
      </w:r>
      <w:r>
        <w:t>ставляла около четырех миллионов человек.</w:t>
      </w:r>
    </w:p>
    <w:p w:rsidR="00000000" w:rsidRDefault="00000000">
      <w:pPr>
        <w:pStyle w:val="SingleTxt"/>
        <w:tabs>
          <w:tab w:val="clear" w:pos="1267"/>
          <w:tab w:val="left" w:pos="900"/>
        </w:tabs>
      </w:pPr>
      <w:r>
        <w:tab/>
        <w:t>Рост численности населения: В период с 1996 по 2001 год ежегодный прирост населения составлял 1,3 процента, тогда как в 1970 году – 2,5 процента.</w:t>
      </w:r>
    </w:p>
    <w:p w:rsidR="00000000" w:rsidRDefault="00000000">
      <w:pPr>
        <w:pStyle w:val="SingleTxt"/>
        <w:tabs>
          <w:tab w:val="clear" w:pos="1267"/>
          <w:tab w:val="left" w:pos="900"/>
        </w:tabs>
      </w:pPr>
      <w:r>
        <w:tab/>
        <w:t>Высокая плотность населения делает Ливан перенаселенной страной, что, наряду с прочими экономическими, политическими и психологическими фа</w:t>
      </w:r>
      <w:r>
        <w:t>к</w:t>
      </w:r>
      <w:r>
        <w:t>торами, возможно в определенной степени обусловливает решение некоторых ливанцев эмигрировать в поисках средств к сущес</w:t>
      </w:r>
      <w:r>
        <w:t>т</w:t>
      </w:r>
      <w:r>
        <w:t>вованию.</w:t>
      </w:r>
    </w:p>
    <w:p w:rsidR="00000000" w:rsidRDefault="00000000">
      <w:pPr>
        <w:pStyle w:val="SingleTxt"/>
        <w:tabs>
          <w:tab w:val="clear" w:pos="1267"/>
          <w:tab w:val="left" w:pos="900"/>
        </w:tabs>
      </w:pPr>
      <w:r>
        <w:tab/>
        <w:t>Средняя продолжительность жизни: В 2001 году средняя продолжител</w:t>
      </w:r>
      <w:r>
        <w:t>ь</w:t>
      </w:r>
      <w:r>
        <w:t>ность жизни составляла 72,6 года, что более чем на семь лет больше, чем в 1970 году. В 2002 году ожидаемая продолжительность жизни при рождении составляла 72 года для женщин и 67,6 лет для мужчин.</w:t>
      </w:r>
    </w:p>
    <w:p w:rsidR="00000000" w:rsidRDefault="00000000">
      <w:pPr>
        <w:pStyle w:val="SingleTxt"/>
        <w:tabs>
          <w:tab w:val="clear" w:pos="1267"/>
          <w:tab w:val="left" w:pos="900"/>
        </w:tabs>
      </w:pPr>
      <w:r>
        <w:tab/>
        <w:t>Рождаемость: В 2000 году средний коэффициент живорождений среди замужних женщин или женщин, ранее состоявших в браке, соста</w:t>
      </w:r>
      <w:r>
        <w:t>в</w:t>
      </w:r>
      <w:r>
        <w:t>лял 3,16.</w:t>
      </w:r>
    </w:p>
    <w:p w:rsidR="00000000" w:rsidRDefault="00000000">
      <w:pPr>
        <w:pStyle w:val="SingleTxt"/>
        <w:tabs>
          <w:tab w:val="clear" w:pos="1267"/>
          <w:tab w:val="left" w:pos="900"/>
        </w:tabs>
      </w:pPr>
      <w:r>
        <w:tab/>
        <w:t>Детская смертность: Согласно статистическим данным за 2000 год, 52 процента случаев смерти среди детей происходят в течение первой недели жизни, а 77 процентов - в течение первого месяца жизни. В статистических данных за 2002 год также приводится разбивка случаев детской смертности, согласно которой на 1000 младенцев приходится 29 смертей среди младенцев женского пола и 35 смертей среди младенцев мужского пола, что свидетельс</w:t>
      </w:r>
      <w:r>
        <w:t>т</w:t>
      </w:r>
      <w:r>
        <w:t>вует о важности охраны здоровья матери и ребенка в течение перинатального периода.</w:t>
      </w:r>
    </w:p>
    <w:p w:rsidR="00000000" w:rsidRDefault="00000000">
      <w:pPr>
        <w:pStyle w:val="SingleTxt"/>
        <w:tabs>
          <w:tab w:val="clear" w:pos="1267"/>
          <w:tab w:val="left" w:pos="900"/>
        </w:tabs>
      </w:pPr>
      <w:r>
        <w:tab/>
        <w:t>Смертность: В 1996 году средний коэффициент смертности сократился с</w:t>
      </w:r>
      <w:r>
        <w:rPr>
          <w:lang w:val="en-US"/>
        </w:rPr>
        <w:t> </w:t>
      </w:r>
      <w:r>
        <w:t>9 до 7,4 смертей на 1000 жителей. Ожидается, что к 2021 году этот коэфф</w:t>
      </w:r>
      <w:r>
        <w:t>и</w:t>
      </w:r>
      <w:r>
        <w:t>циент сократится до 6 смертей на 1000 жителей.</w:t>
      </w:r>
    </w:p>
    <w:p w:rsidR="00000000" w:rsidRDefault="00000000">
      <w:pPr>
        <w:pStyle w:val="SingleTxt"/>
        <w:tabs>
          <w:tab w:val="clear" w:pos="1267"/>
          <w:tab w:val="left" w:pos="900"/>
        </w:tabs>
      </w:pPr>
      <w:r>
        <w:tab/>
        <w:t>В статистических данных за 2002 год также приводится разбивка, согла</w:t>
      </w:r>
      <w:r>
        <w:t>с</w:t>
      </w:r>
      <w:r>
        <w:t>но которой коэффициент смертности среди взрослого населения составляет 129 среди женщин и 201 среди мужчин на 1000 человек.</w:t>
      </w:r>
    </w:p>
    <w:p w:rsidR="00000000" w:rsidRDefault="00000000">
      <w:pPr>
        <w:pStyle w:val="SingleTxt"/>
        <w:tabs>
          <w:tab w:val="clear" w:pos="1267"/>
          <w:tab w:val="left" w:pos="900"/>
        </w:tabs>
      </w:pPr>
      <w:r>
        <w:tab/>
        <w:t>Следует отметить, что показатели в Ливане различны в различных пр</w:t>
      </w:r>
      <w:r>
        <w:t>о</w:t>
      </w:r>
      <w:r>
        <w:t>винциях (мухафазах), а также в различных районах каждой из провинций (м</w:t>
      </w:r>
      <w:r>
        <w:t>у</w:t>
      </w:r>
      <w:r>
        <w:t>хафаз).</w:t>
      </w:r>
    </w:p>
    <w:p w:rsidR="00000000" w:rsidRDefault="00000000">
      <w:pPr>
        <w:pStyle w:val="SingleTxt"/>
        <w:tabs>
          <w:tab w:val="clear" w:pos="1267"/>
          <w:tab w:val="left" w:pos="900"/>
        </w:tabs>
      </w:pPr>
      <w:r>
        <w:tab/>
        <w:t>Занятость: Статистические данные свидетельствуют о том, что в 2001 году доля женщин на рынке труда повысилась до 25 процентов женщин трудоспособного возраста.</w:t>
      </w:r>
    </w:p>
    <w:p w:rsidR="00000000" w:rsidRDefault="00000000">
      <w:pPr>
        <w:pStyle w:val="SingleTxt"/>
        <w:tabs>
          <w:tab w:val="clear" w:pos="1267"/>
          <w:tab w:val="left" w:pos="900"/>
        </w:tabs>
      </w:pPr>
      <w:r>
        <w:tab/>
        <w:t>Разводы и уход из семьи: Коэффициент разводов особенно высок среди женщин в возрасте от 35 до 39 лет и от 40 до 44 лет, после чего он сокращае</w:t>
      </w:r>
      <w:r>
        <w:t>т</w:t>
      </w:r>
      <w:r>
        <w:t>ся, как показано в таблице ниже: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H1"/>
        <w:keepLines/>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7" w:hanging="1267"/>
      </w:pPr>
      <w:r>
        <w:tab/>
      </w:r>
      <w:r>
        <w:tab/>
      </w:r>
      <w:r>
        <w:rPr>
          <w:b w:val="0"/>
        </w:rPr>
        <w:t>Таблица 1</w:t>
      </w:r>
      <w:r>
        <w:rPr>
          <w:b w:val="0"/>
        </w:rPr>
        <w:br/>
      </w:r>
      <w:r>
        <w:t>Женщины (15-54 лет) в разбивке по семейному положению и возрасту (на 1000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075"/>
        <w:gridCol w:w="1106"/>
        <w:gridCol w:w="1264"/>
        <w:gridCol w:w="1580"/>
        <w:gridCol w:w="1075"/>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left w:val="nil"/>
              <w:bottom w:val="nil"/>
              <w:right w:val="nil"/>
            </w:tcBorders>
            <w:vAlign w:val="center"/>
          </w:tcPr>
          <w:p w:rsidR="00000000" w:rsidRDefault="00000000">
            <w:pPr>
              <w:tabs>
                <w:tab w:val="left" w:pos="288"/>
                <w:tab w:val="left" w:pos="576"/>
                <w:tab w:val="left" w:pos="864"/>
                <w:tab w:val="left" w:pos="900"/>
                <w:tab w:val="left" w:pos="1152"/>
              </w:tabs>
              <w:suppressAutoHyphens/>
              <w:spacing w:before="80"/>
              <w:jc w:val="both"/>
              <w:rPr>
                <w:i/>
                <w:sz w:val="18"/>
              </w:rPr>
            </w:pPr>
            <w:r>
              <w:rPr>
                <w:i/>
                <w:sz w:val="18"/>
              </w:rPr>
              <w:t>Возрастная группа</w:t>
            </w:r>
          </w:p>
        </w:tc>
        <w:tc>
          <w:tcPr>
            <w:tcW w:w="6100" w:type="dxa"/>
            <w:gridSpan w:val="5"/>
            <w:tcBorders>
              <w:top w:val="single" w:sz="4"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80"/>
              <w:jc w:val="center"/>
              <w:rPr>
                <w:i/>
                <w:sz w:val="18"/>
              </w:rPr>
            </w:pPr>
            <w:r>
              <w:rPr>
                <w:i/>
                <w:sz w:val="18"/>
              </w:rPr>
              <w:t>Семейное положение</w:t>
            </w:r>
          </w:p>
        </w:tc>
      </w:tr>
      <w:tr w:rsidR="00000000">
        <w:tblPrEx>
          <w:tblCellMar>
            <w:top w:w="0" w:type="dxa"/>
            <w:left w:w="0" w:type="dxa"/>
            <w:bottom w:w="0" w:type="dxa"/>
            <w:right w:w="0" w:type="dxa"/>
          </w:tblCellMar>
        </w:tblPrEx>
        <w:trPr>
          <w:cantSplit/>
          <w:tblHeader/>
        </w:trPr>
        <w:tc>
          <w:tcPr>
            <w:tcW w:w="1220"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900"/>
                <w:tab w:val="left" w:pos="1152"/>
              </w:tabs>
              <w:suppressAutoHyphens/>
              <w:jc w:val="both"/>
              <w:rPr>
                <w:i/>
                <w:sz w:val="18"/>
              </w:rPr>
            </w:pPr>
          </w:p>
        </w:tc>
        <w:tc>
          <w:tcPr>
            <w:tcW w:w="1075" w:type="dxa"/>
            <w:tcBorders>
              <w:top w:val="nil"/>
              <w:left w:val="nil"/>
              <w:bottom w:val="single" w:sz="12" w:space="0" w:color="auto"/>
              <w:right w:val="nil"/>
            </w:tcBorders>
            <w:vAlign w:val="center"/>
          </w:tcPr>
          <w:p w:rsidR="00000000" w:rsidRDefault="00000000">
            <w:pPr>
              <w:tabs>
                <w:tab w:val="left" w:pos="288"/>
                <w:tab w:val="left" w:pos="576"/>
                <w:tab w:val="left" w:pos="864"/>
                <w:tab w:val="left" w:pos="900"/>
                <w:tab w:val="left" w:pos="1152"/>
              </w:tabs>
              <w:suppressAutoHyphens/>
              <w:jc w:val="center"/>
              <w:rPr>
                <w:i/>
                <w:sz w:val="18"/>
              </w:rPr>
            </w:pPr>
            <w:r>
              <w:rPr>
                <w:i/>
                <w:sz w:val="18"/>
              </w:rPr>
              <w:t>Не замужем</w:t>
            </w:r>
          </w:p>
        </w:tc>
        <w:tc>
          <w:tcPr>
            <w:tcW w:w="1106" w:type="dxa"/>
            <w:tcBorders>
              <w:top w:val="nil"/>
              <w:left w:val="nil"/>
              <w:bottom w:val="single" w:sz="12" w:space="0" w:color="auto"/>
              <w:right w:val="nil"/>
            </w:tcBorders>
            <w:vAlign w:val="center"/>
          </w:tcPr>
          <w:p w:rsidR="00000000" w:rsidRDefault="00000000">
            <w:pPr>
              <w:tabs>
                <w:tab w:val="left" w:pos="288"/>
                <w:tab w:val="left" w:pos="576"/>
                <w:tab w:val="left" w:pos="864"/>
                <w:tab w:val="left" w:pos="900"/>
                <w:tab w:val="left" w:pos="1152"/>
              </w:tabs>
              <w:suppressAutoHyphens/>
              <w:jc w:val="center"/>
              <w:rPr>
                <w:i/>
                <w:sz w:val="18"/>
              </w:rPr>
            </w:pPr>
            <w:r>
              <w:rPr>
                <w:i/>
                <w:sz w:val="18"/>
              </w:rPr>
              <w:t>Замужем</w:t>
            </w:r>
          </w:p>
        </w:tc>
        <w:tc>
          <w:tcPr>
            <w:tcW w:w="1264" w:type="dxa"/>
            <w:tcBorders>
              <w:top w:val="nil"/>
              <w:left w:val="nil"/>
              <w:bottom w:val="single" w:sz="12" w:space="0" w:color="auto"/>
              <w:right w:val="nil"/>
            </w:tcBorders>
            <w:vAlign w:val="center"/>
          </w:tcPr>
          <w:p w:rsidR="00000000" w:rsidRDefault="00000000">
            <w:pPr>
              <w:tabs>
                <w:tab w:val="left" w:pos="288"/>
                <w:tab w:val="left" w:pos="576"/>
                <w:tab w:val="left" w:pos="864"/>
                <w:tab w:val="left" w:pos="900"/>
                <w:tab w:val="left" w:pos="1152"/>
              </w:tabs>
              <w:suppressAutoHyphens/>
              <w:jc w:val="center"/>
              <w:rPr>
                <w:i/>
                <w:sz w:val="18"/>
              </w:rPr>
            </w:pPr>
            <w:r>
              <w:rPr>
                <w:i/>
                <w:sz w:val="18"/>
              </w:rPr>
              <w:t>Вдова</w:t>
            </w:r>
          </w:p>
        </w:tc>
        <w:tc>
          <w:tcPr>
            <w:tcW w:w="1580" w:type="dxa"/>
            <w:tcBorders>
              <w:top w:val="nil"/>
              <w:left w:val="nil"/>
              <w:bottom w:val="single" w:sz="12" w:space="0" w:color="auto"/>
              <w:right w:val="nil"/>
            </w:tcBorders>
            <w:vAlign w:val="center"/>
          </w:tcPr>
          <w:p w:rsidR="00000000" w:rsidRDefault="00000000">
            <w:pPr>
              <w:tabs>
                <w:tab w:val="left" w:pos="288"/>
                <w:tab w:val="left" w:pos="576"/>
                <w:tab w:val="left" w:pos="864"/>
                <w:tab w:val="left" w:pos="900"/>
                <w:tab w:val="left" w:pos="1152"/>
              </w:tabs>
              <w:suppressAutoHyphens/>
              <w:jc w:val="center"/>
              <w:rPr>
                <w:i/>
                <w:sz w:val="18"/>
              </w:rPr>
            </w:pPr>
            <w:r>
              <w:rPr>
                <w:i/>
                <w:sz w:val="18"/>
              </w:rPr>
              <w:t>Разведена или покинута мужем</w:t>
            </w:r>
          </w:p>
        </w:tc>
        <w:tc>
          <w:tcPr>
            <w:tcW w:w="1075" w:type="dxa"/>
            <w:tcBorders>
              <w:top w:val="nil"/>
              <w:left w:val="nil"/>
              <w:bottom w:val="single" w:sz="12" w:space="0" w:color="auto"/>
              <w:right w:val="nil"/>
            </w:tcBorders>
            <w:vAlign w:val="center"/>
          </w:tcPr>
          <w:p w:rsidR="00000000" w:rsidRDefault="00000000">
            <w:pPr>
              <w:tabs>
                <w:tab w:val="left" w:pos="288"/>
                <w:tab w:val="left" w:pos="576"/>
                <w:tab w:val="left" w:pos="864"/>
                <w:tab w:val="left" w:pos="900"/>
                <w:tab w:val="left" w:pos="1152"/>
              </w:tabs>
              <w:suppressAutoHyphens/>
              <w:jc w:val="center"/>
              <w:rPr>
                <w:i/>
                <w:sz w:val="18"/>
              </w:rPr>
            </w:pPr>
            <w:r>
              <w:rPr>
                <w:i/>
                <w:sz w:val="18"/>
              </w:rPr>
              <w:t>Всего</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40"/>
              <w:jc w:val="both"/>
              <w:rPr>
                <w:sz w:val="18"/>
              </w:rPr>
            </w:pPr>
          </w:p>
        </w:tc>
        <w:tc>
          <w:tcPr>
            <w:tcW w:w="1075"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40"/>
              <w:jc w:val="both"/>
              <w:rPr>
                <w:sz w:val="18"/>
              </w:rPr>
            </w:pPr>
          </w:p>
        </w:tc>
        <w:tc>
          <w:tcPr>
            <w:tcW w:w="1106"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40"/>
              <w:jc w:val="both"/>
              <w:rPr>
                <w:sz w:val="18"/>
              </w:rPr>
            </w:pPr>
          </w:p>
        </w:tc>
        <w:tc>
          <w:tcPr>
            <w:tcW w:w="1264"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40"/>
              <w:jc w:val="both"/>
              <w:rPr>
                <w:sz w:val="18"/>
              </w:rPr>
            </w:pPr>
          </w:p>
        </w:tc>
        <w:tc>
          <w:tcPr>
            <w:tcW w:w="15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40"/>
              <w:jc w:val="both"/>
              <w:rPr>
                <w:sz w:val="18"/>
              </w:rPr>
            </w:pPr>
          </w:p>
        </w:tc>
        <w:tc>
          <w:tcPr>
            <w:tcW w:w="1075"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spacing w:before="40"/>
              <w:jc w:val="both"/>
              <w:rPr>
                <w:sz w:val="18"/>
              </w:rPr>
            </w:pP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15-19</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943</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55</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0</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2</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20-24</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727</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266</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1</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6</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25-29</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463</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518</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7</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12</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30-34</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308</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659</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14</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19</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35-39</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203</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746</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29</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22</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40-44</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154</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783</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31</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32</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nil"/>
              <w:right w:val="nil"/>
            </w:tcBorders>
          </w:tcPr>
          <w:p w:rsidR="00000000" w:rsidRDefault="00000000">
            <w:pPr>
              <w:tabs>
                <w:tab w:val="left" w:pos="900"/>
              </w:tabs>
              <w:jc w:val="both"/>
              <w:rPr>
                <w:sz w:val="18"/>
              </w:rPr>
            </w:pPr>
            <w:r>
              <w:rPr>
                <w:sz w:val="18"/>
              </w:rPr>
              <w:t>45-49</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139</w:t>
            </w:r>
          </w:p>
        </w:tc>
        <w:tc>
          <w:tcPr>
            <w:tcW w:w="1106" w:type="dxa"/>
            <w:tcBorders>
              <w:top w:val="nil"/>
              <w:left w:val="nil"/>
              <w:bottom w:val="nil"/>
              <w:right w:val="nil"/>
            </w:tcBorders>
          </w:tcPr>
          <w:p w:rsidR="00000000" w:rsidRDefault="00000000">
            <w:pPr>
              <w:tabs>
                <w:tab w:val="left" w:pos="900"/>
              </w:tabs>
              <w:ind w:right="135"/>
              <w:jc w:val="right"/>
              <w:rPr>
                <w:sz w:val="18"/>
              </w:rPr>
            </w:pPr>
            <w:r>
              <w:rPr>
                <w:sz w:val="18"/>
              </w:rPr>
              <w:t>783</w:t>
            </w:r>
          </w:p>
        </w:tc>
        <w:tc>
          <w:tcPr>
            <w:tcW w:w="1264" w:type="dxa"/>
            <w:tcBorders>
              <w:top w:val="nil"/>
              <w:left w:val="nil"/>
              <w:bottom w:val="nil"/>
              <w:right w:val="nil"/>
            </w:tcBorders>
          </w:tcPr>
          <w:p w:rsidR="00000000" w:rsidRDefault="00000000">
            <w:pPr>
              <w:tabs>
                <w:tab w:val="left" w:pos="900"/>
              </w:tabs>
              <w:ind w:right="135"/>
              <w:jc w:val="right"/>
              <w:rPr>
                <w:sz w:val="18"/>
              </w:rPr>
            </w:pPr>
            <w:r>
              <w:rPr>
                <w:sz w:val="18"/>
              </w:rPr>
              <w:t>63</w:t>
            </w:r>
          </w:p>
        </w:tc>
        <w:tc>
          <w:tcPr>
            <w:tcW w:w="1580" w:type="dxa"/>
            <w:tcBorders>
              <w:top w:val="nil"/>
              <w:left w:val="nil"/>
              <w:bottom w:val="nil"/>
              <w:right w:val="nil"/>
            </w:tcBorders>
          </w:tcPr>
          <w:p w:rsidR="00000000" w:rsidRDefault="00000000">
            <w:pPr>
              <w:tabs>
                <w:tab w:val="left" w:pos="900"/>
              </w:tabs>
              <w:ind w:right="135"/>
              <w:jc w:val="right"/>
              <w:rPr>
                <w:sz w:val="18"/>
              </w:rPr>
            </w:pPr>
            <w:r>
              <w:rPr>
                <w:sz w:val="18"/>
              </w:rPr>
              <w:t>15</w:t>
            </w:r>
          </w:p>
        </w:tc>
        <w:tc>
          <w:tcPr>
            <w:tcW w:w="1075" w:type="dxa"/>
            <w:tcBorders>
              <w:top w:val="nil"/>
              <w:left w:val="nil"/>
              <w:bottom w:val="nil"/>
              <w:right w:val="nil"/>
            </w:tcBorders>
          </w:tcPr>
          <w:p w:rsidR="00000000" w:rsidRDefault="00000000">
            <w:pPr>
              <w:tabs>
                <w:tab w:val="left" w:pos="900"/>
              </w:tabs>
              <w:ind w:right="135"/>
              <w:jc w:val="right"/>
              <w:rPr>
                <w:sz w:val="18"/>
              </w:rPr>
            </w:pPr>
            <w:r>
              <w:rPr>
                <w:sz w:val="18"/>
              </w:rPr>
              <w:t>1000</w:t>
            </w:r>
          </w:p>
        </w:tc>
      </w:tr>
      <w:tr w:rsidR="00000000">
        <w:tblPrEx>
          <w:tblCellMar>
            <w:top w:w="0" w:type="dxa"/>
            <w:left w:w="0" w:type="dxa"/>
            <w:bottom w:w="0" w:type="dxa"/>
            <w:right w:w="0" w:type="dxa"/>
          </w:tblCellMar>
        </w:tblPrEx>
        <w:tc>
          <w:tcPr>
            <w:tcW w:w="1220" w:type="dxa"/>
            <w:tcBorders>
              <w:top w:val="nil"/>
              <w:left w:val="nil"/>
              <w:bottom w:val="single" w:sz="12" w:space="0" w:color="auto"/>
              <w:right w:val="nil"/>
            </w:tcBorders>
          </w:tcPr>
          <w:p w:rsidR="00000000" w:rsidRDefault="00000000">
            <w:pPr>
              <w:tabs>
                <w:tab w:val="left" w:pos="900"/>
              </w:tabs>
              <w:jc w:val="both"/>
              <w:rPr>
                <w:sz w:val="18"/>
              </w:rPr>
            </w:pPr>
            <w:r>
              <w:rPr>
                <w:sz w:val="18"/>
              </w:rPr>
              <w:t>50-54</w:t>
            </w:r>
          </w:p>
        </w:tc>
        <w:tc>
          <w:tcPr>
            <w:tcW w:w="1075" w:type="dxa"/>
            <w:tcBorders>
              <w:top w:val="nil"/>
              <w:left w:val="nil"/>
              <w:bottom w:val="single" w:sz="12" w:space="0" w:color="auto"/>
              <w:right w:val="nil"/>
            </w:tcBorders>
          </w:tcPr>
          <w:p w:rsidR="00000000" w:rsidRDefault="00000000">
            <w:pPr>
              <w:tabs>
                <w:tab w:val="left" w:pos="900"/>
              </w:tabs>
              <w:ind w:right="135"/>
              <w:jc w:val="right"/>
              <w:rPr>
                <w:sz w:val="18"/>
              </w:rPr>
            </w:pPr>
            <w:r>
              <w:rPr>
                <w:sz w:val="18"/>
              </w:rPr>
              <w:t>58</w:t>
            </w:r>
          </w:p>
        </w:tc>
        <w:tc>
          <w:tcPr>
            <w:tcW w:w="1106" w:type="dxa"/>
            <w:tcBorders>
              <w:top w:val="nil"/>
              <w:left w:val="nil"/>
              <w:bottom w:val="single" w:sz="12" w:space="0" w:color="auto"/>
              <w:right w:val="nil"/>
            </w:tcBorders>
          </w:tcPr>
          <w:p w:rsidR="00000000" w:rsidRDefault="00000000">
            <w:pPr>
              <w:tabs>
                <w:tab w:val="left" w:pos="900"/>
              </w:tabs>
              <w:ind w:right="135"/>
              <w:jc w:val="right"/>
              <w:rPr>
                <w:sz w:val="18"/>
              </w:rPr>
            </w:pPr>
            <w:r>
              <w:rPr>
                <w:sz w:val="18"/>
              </w:rPr>
              <w:t>783</w:t>
            </w:r>
          </w:p>
        </w:tc>
        <w:tc>
          <w:tcPr>
            <w:tcW w:w="1264" w:type="dxa"/>
            <w:tcBorders>
              <w:top w:val="nil"/>
              <w:left w:val="nil"/>
              <w:bottom w:val="single" w:sz="12" w:space="0" w:color="auto"/>
              <w:right w:val="nil"/>
            </w:tcBorders>
          </w:tcPr>
          <w:p w:rsidR="00000000" w:rsidRDefault="00000000">
            <w:pPr>
              <w:tabs>
                <w:tab w:val="left" w:pos="900"/>
              </w:tabs>
              <w:ind w:right="135"/>
              <w:jc w:val="right"/>
              <w:rPr>
                <w:sz w:val="18"/>
              </w:rPr>
            </w:pPr>
            <w:r>
              <w:rPr>
                <w:sz w:val="18"/>
              </w:rPr>
              <w:t>148</w:t>
            </w:r>
          </w:p>
        </w:tc>
        <w:tc>
          <w:tcPr>
            <w:tcW w:w="1580" w:type="dxa"/>
            <w:tcBorders>
              <w:top w:val="nil"/>
              <w:left w:val="nil"/>
              <w:bottom w:val="single" w:sz="12" w:space="0" w:color="auto"/>
              <w:right w:val="nil"/>
            </w:tcBorders>
          </w:tcPr>
          <w:p w:rsidR="00000000" w:rsidRDefault="00000000">
            <w:pPr>
              <w:tabs>
                <w:tab w:val="left" w:pos="900"/>
              </w:tabs>
              <w:ind w:right="135"/>
              <w:jc w:val="right"/>
              <w:rPr>
                <w:sz w:val="18"/>
              </w:rPr>
            </w:pPr>
            <w:r>
              <w:rPr>
                <w:sz w:val="18"/>
              </w:rPr>
              <w:t>11</w:t>
            </w:r>
          </w:p>
        </w:tc>
        <w:tc>
          <w:tcPr>
            <w:tcW w:w="1075" w:type="dxa"/>
            <w:tcBorders>
              <w:top w:val="nil"/>
              <w:left w:val="nil"/>
              <w:bottom w:val="single" w:sz="12" w:space="0" w:color="auto"/>
              <w:right w:val="nil"/>
            </w:tcBorders>
          </w:tcPr>
          <w:p w:rsidR="00000000" w:rsidRDefault="00000000">
            <w:pPr>
              <w:tabs>
                <w:tab w:val="left" w:pos="900"/>
              </w:tabs>
              <w:ind w:right="135"/>
              <w:jc w:val="right"/>
              <w:rPr>
                <w:sz w:val="18"/>
              </w:rPr>
            </w:pPr>
            <w:r>
              <w:rPr>
                <w:sz w:val="18"/>
              </w:rPr>
              <w:t>1000</w:t>
            </w:r>
          </w:p>
        </w:tc>
      </w:tr>
    </w:tbl>
    <w:p w:rsidR="00000000" w:rsidRDefault="00000000">
      <w:pPr>
        <w:pStyle w:val="SingleTxt"/>
        <w:tabs>
          <w:tab w:val="clear" w:pos="1267"/>
          <w:tab w:val="left" w:pos="900"/>
        </w:tabs>
        <w:rPr>
          <w:i/>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Источник</w:t>
      </w:r>
      <w:r>
        <w:t>: Центральное статистическое управление/Детский фонд Организ</w:t>
      </w:r>
      <w:r>
        <w:t>а</w:t>
      </w:r>
      <w:r>
        <w:t xml:space="preserve">ции Объединенных Наций (ЮНИСЕФ), Положение детей в Ливане, 2000 год.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III.</w:t>
      </w:r>
      <w:r>
        <w:tab/>
        <w:t>Семья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left" w:pos="900"/>
          <w:tab w:val="right" w:pos="1022"/>
        </w:tabs>
      </w:pPr>
      <w:r>
        <w:tab/>
      </w:r>
      <w:r>
        <w:rPr>
          <w:i/>
          <w:spacing w:val="3"/>
        </w:rPr>
        <w:t>1.</w:t>
      </w:r>
      <w:r>
        <w:rPr>
          <w:i/>
          <w:spacing w:val="3"/>
        </w:rPr>
        <w:tab/>
      </w:r>
      <w:r>
        <w:rPr>
          <w:i/>
        </w:rPr>
        <w:t>Брак:</w:t>
      </w:r>
      <w:r>
        <w:t xml:space="preserve"> Семья тесно связана с вероисповеданием, религиозными уб</w:t>
      </w:r>
      <w:r>
        <w:t>е</w:t>
      </w:r>
      <w:r>
        <w:t>ждениями, традициями, историей и обычаями страны. В целом на ливанской земле сосуществуют 18 религиозных общин и учений, нормами которых в о</w:t>
      </w:r>
      <w:r>
        <w:t>с</w:t>
      </w:r>
      <w:r>
        <w:t>новном руководствуются все жители при решении вопросов, касающихся ли</w:t>
      </w:r>
      <w:r>
        <w:t>ч</w:t>
      </w:r>
      <w:r>
        <w:t>ного статуса. Большинство этих общин считают брак общественным догов</w:t>
      </w:r>
      <w:r>
        <w:t>о</w:t>
      </w:r>
      <w:r>
        <w:t>ром религиозного характера между мужчиной и женщиной, которые по об</w:t>
      </w:r>
      <w:r>
        <w:t>о</w:t>
      </w:r>
      <w:r>
        <w:t>юдному согласию решают жить вместе. В христианских общинах считается, что узы брака священны. Во всех религиозных общинах предусмотрены опр</w:t>
      </w:r>
      <w:r>
        <w:t>е</w:t>
      </w:r>
      <w:r>
        <w:t>деленные условия, которые должны быть выполнены, чтобы заключение брака стало возможным. Вкратце, эти условия связаны с выражением согласия, пр</w:t>
      </w:r>
      <w:r>
        <w:t>а</w:t>
      </w:r>
      <w:r>
        <w:t>воспособностью, опекой, отсутствием препятствий для брака и его формой.</w:t>
      </w:r>
    </w:p>
    <w:p w:rsidR="00000000" w:rsidRDefault="00000000">
      <w:pPr>
        <w:pStyle w:val="SingleTxt"/>
        <w:tabs>
          <w:tab w:val="clear" w:pos="1267"/>
          <w:tab w:val="left" w:pos="900"/>
        </w:tabs>
      </w:pPr>
      <w:r>
        <w:tab/>
        <w:t>Статистические данные за 2000 год свидетельствуют о том, что доля бр</w:t>
      </w:r>
      <w:r>
        <w:t>а</w:t>
      </w:r>
      <w:r>
        <w:t>ков между родственниками сокращается, при этом в браке с родственником с</w:t>
      </w:r>
      <w:r>
        <w:t>о</w:t>
      </w:r>
      <w:r>
        <w:t>стоит каждая четвертая женщина. Доля браков между родственниками сущес</w:t>
      </w:r>
      <w:r>
        <w:t>т</w:t>
      </w:r>
      <w:r>
        <w:t>венно различается в различных провинциях (мухафазах); меньше всего их в Бейруте (15 процентов), за которым следует Горный Ливан (20 процентов), т</w:t>
      </w:r>
      <w:r>
        <w:t>о</w:t>
      </w:r>
      <w:r>
        <w:t>гда как в сельских районах их доля наиболее велика. Ниже в таблице 2 показ</w:t>
      </w:r>
      <w:r>
        <w:t>а</w:t>
      </w:r>
      <w:r>
        <w:t>на взаимосвязь между коэффициентом брачности и уровнем образования же</w:t>
      </w:r>
      <w:r>
        <w:t>н</w:t>
      </w:r>
      <w:r>
        <w:t>щины.</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pStyle w:val="SingleTxt"/>
        <w:tabs>
          <w:tab w:val="clear" w:pos="1267"/>
          <w:tab w:val="left" w:pos="900"/>
        </w:tabs>
        <w:spacing w:after="0"/>
        <w:jc w:val="left"/>
        <w:rPr>
          <w:b/>
        </w:rPr>
      </w:pPr>
      <w:r>
        <w:t>Таблица 2</w:t>
      </w:r>
      <w:r>
        <w:rPr>
          <w:b/>
        </w:rPr>
        <w:br/>
        <w:t>Женщины, ранее состоявшие в браке, в разбивке по возрастным группам и уровню образ</w:t>
      </w:r>
      <w:r>
        <w:rPr>
          <w:b/>
        </w:rPr>
        <w:t>о</w:t>
      </w:r>
      <w:r>
        <w:rPr>
          <w:b/>
        </w:rPr>
        <w:t>вания (в процентах)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1260"/>
        <w:gridCol w:w="1980"/>
        <w:gridCol w:w="2070"/>
        <w:gridCol w:w="930"/>
      </w:tblGrid>
      <w:tr w:rsidR="00000000">
        <w:tblPrEx>
          <w:tblCellMar>
            <w:top w:w="0" w:type="dxa"/>
            <w:left w:w="0" w:type="dxa"/>
            <w:bottom w:w="0" w:type="dxa"/>
            <w:right w:w="0" w:type="dxa"/>
          </w:tblCellMar>
        </w:tblPrEx>
        <w:trPr>
          <w:cantSplit/>
          <w:trHeight w:val="219"/>
          <w:tblHeader/>
        </w:trPr>
        <w:tc>
          <w:tcPr>
            <w:tcW w:w="1080" w:type="dxa"/>
            <w:vMerge w:val="restart"/>
            <w:tcBorders>
              <w:top w:val="single" w:sz="4"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both"/>
              <w:rPr>
                <w:i/>
                <w:sz w:val="18"/>
              </w:rPr>
            </w:pPr>
            <w:r>
              <w:rPr>
                <w:i/>
                <w:sz w:val="18"/>
              </w:rPr>
              <w:t>Возрастная группа</w:t>
            </w:r>
          </w:p>
        </w:tc>
        <w:tc>
          <w:tcPr>
            <w:tcW w:w="6240" w:type="dxa"/>
            <w:gridSpan w:val="4"/>
            <w:tcBorders>
              <w:top w:val="single" w:sz="4"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center"/>
              <w:rPr>
                <w:i/>
                <w:sz w:val="18"/>
              </w:rPr>
            </w:pPr>
            <w:r>
              <w:rPr>
                <w:i/>
                <w:sz w:val="18"/>
              </w:rPr>
              <w:t>Уровень образования</w:t>
            </w:r>
          </w:p>
        </w:tc>
      </w:tr>
      <w:tr w:rsidR="00000000">
        <w:tblPrEx>
          <w:tblCellMar>
            <w:top w:w="0" w:type="dxa"/>
            <w:left w:w="0" w:type="dxa"/>
            <w:bottom w:w="0" w:type="dxa"/>
            <w:right w:w="0" w:type="dxa"/>
          </w:tblCellMar>
        </w:tblPrEx>
        <w:trPr>
          <w:cantSplit/>
          <w:tblHeader/>
        </w:trPr>
        <w:tc>
          <w:tcPr>
            <w:tcW w:w="1080"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900"/>
                <w:tab w:val="left" w:pos="1152"/>
              </w:tabs>
              <w:suppressAutoHyphens/>
              <w:jc w:val="both"/>
              <w:rPr>
                <w:i/>
                <w:sz w:val="18"/>
              </w:rPr>
            </w:pPr>
          </w:p>
        </w:tc>
        <w:tc>
          <w:tcPr>
            <w:tcW w:w="1260" w:type="dxa"/>
            <w:tcBorders>
              <w:top w:val="nil"/>
              <w:left w:val="nil"/>
              <w:bottom w:val="single" w:sz="12" w:space="0" w:color="auto"/>
              <w:right w:val="nil"/>
            </w:tcBorders>
            <w:vAlign w:val="bottom"/>
          </w:tcPr>
          <w:p w:rsidR="00000000" w:rsidRDefault="00000000">
            <w:pPr>
              <w:tabs>
                <w:tab w:val="left" w:pos="288"/>
                <w:tab w:val="left" w:pos="576"/>
                <w:tab w:val="left" w:pos="864"/>
                <w:tab w:val="left" w:pos="900"/>
                <w:tab w:val="left" w:pos="1152"/>
              </w:tabs>
              <w:suppressAutoHyphens/>
              <w:jc w:val="center"/>
              <w:rPr>
                <w:i/>
                <w:sz w:val="18"/>
              </w:rPr>
            </w:pPr>
            <w:r>
              <w:rPr>
                <w:i/>
                <w:sz w:val="18"/>
              </w:rPr>
              <w:t>Неграмотные</w:t>
            </w:r>
          </w:p>
        </w:tc>
        <w:tc>
          <w:tcPr>
            <w:tcW w:w="19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900"/>
                <w:tab w:val="left" w:pos="1152"/>
              </w:tabs>
              <w:suppressAutoHyphens/>
              <w:jc w:val="center"/>
              <w:rPr>
                <w:i/>
                <w:sz w:val="18"/>
              </w:rPr>
            </w:pPr>
            <w:r>
              <w:rPr>
                <w:i/>
                <w:sz w:val="18"/>
              </w:rPr>
              <w:t>Начальное и незаконченное среднее образование</w:t>
            </w:r>
          </w:p>
        </w:tc>
        <w:tc>
          <w:tcPr>
            <w:tcW w:w="2070" w:type="dxa"/>
            <w:tcBorders>
              <w:top w:val="nil"/>
              <w:left w:val="nil"/>
              <w:bottom w:val="single" w:sz="12" w:space="0" w:color="auto"/>
              <w:right w:val="nil"/>
            </w:tcBorders>
            <w:vAlign w:val="bottom"/>
          </w:tcPr>
          <w:p w:rsidR="00000000" w:rsidRDefault="00000000">
            <w:pPr>
              <w:tabs>
                <w:tab w:val="left" w:pos="288"/>
                <w:tab w:val="left" w:pos="576"/>
                <w:tab w:val="left" w:pos="864"/>
                <w:tab w:val="left" w:pos="900"/>
                <w:tab w:val="left" w:pos="1152"/>
              </w:tabs>
              <w:suppressAutoHyphens/>
              <w:jc w:val="center"/>
              <w:rPr>
                <w:i/>
                <w:sz w:val="18"/>
              </w:rPr>
            </w:pPr>
            <w:r>
              <w:rPr>
                <w:i/>
                <w:sz w:val="18"/>
              </w:rPr>
              <w:t>Среднее образование и образование выше среднего</w:t>
            </w:r>
          </w:p>
        </w:tc>
        <w:tc>
          <w:tcPr>
            <w:tcW w:w="930" w:type="dxa"/>
            <w:tcBorders>
              <w:top w:val="nil"/>
              <w:left w:val="nil"/>
              <w:bottom w:val="single" w:sz="12" w:space="0" w:color="auto"/>
              <w:right w:val="nil"/>
            </w:tcBorders>
            <w:vAlign w:val="bottom"/>
          </w:tcPr>
          <w:p w:rsidR="00000000" w:rsidRDefault="00000000">
            <w:pPr>
              <w:tabs>
                <w:tab w:val="left" w:pos="288"/>
                <w:tab w:val="left" w:pos="576"/>
                <w:tab w:val="left" w:pos="864"/>
                <w:tab w:val="left" w:pos="900"/>
                <w:tab w:val="left" w:pos="1152"/>
              </w:tabs>
              <w:suppressAutoHyphens/>
              <w:jc w:val="center"/>
              <w:rPr>
                <w:i/>
                <w:sz w:val="18"/>
              </w:rPr>
            </w:pPr>
            <w:r>
              <w:rPr>
                <w:i/>
                <w:sz w:val="18"/>
              </w:rPr>
              <w:t>Всего</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both"/>
              <w:rPr>
                <w:sz w:val="18"/>
              </w:rPr>
            </w:pPr>
          </w:p>
        </w:tc>
        <w:tc>
          <w:tcPr>
            <w:tcW w:w="126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both"/>
              <w:rPr>
                <w:sz w:val="18"/>
              </w:rPr>
            </w:pPr>
          </w:p>
        </w:tc>
        <w:tc>
          <w:tcPr>
            <w:tcW w:w="19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both"/>
              <w:rPr>
                <w:sz w:val="18"/>
              </w:rPr>
            </w:pPr>
          </w:p>
        </w:tc>
        <w:tc>
          <w:tcPr>
            <w:tcW w:w="207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both"/>
              <w:rPr>
                <w:sz w:val="18"/>
              </w:rPr>
            </w:pPr>
          </w:p>
        </w:tc>
        <w:tc>
          <w:tcPr>
            <w:tcW w:w="930" w:type="dxa"/>
            <w:tcBorders>
              <w:top w:val="single" w:sz="12" w:space="0" w:color="auto"/>
              <w:left w:val="nil"/>
              <w:bottom w:val="nil"/>
              <w:right w:val="nil"/>
            </w:tcBorders>
            <w:vAlign w:val="bottom"/>
          </w:tcPr>
          <w:p w:rsidR="00000000" w:rsidRDefault="00000000">
            <w:pPr>
              <w:tabs>
                <w:tab w:val="left" w:pos="288"/>
                <w:tab w:val="left" w:pos="576"/>
                <w:tab w:val="left" w:pos="864"/>
                <w:tab w:val="left" w:pos="900"/>
                <w:tab w:val="left" w:pos="1152"/>
              </w:tabs>
              <w:suppressAutoHyphens/>
              <w:jc w:val="both"/>
              <w:rPr>
                <w:sz w:val="18"/>
              </w:rPr>
            </w:pP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15-19</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76,7</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23,3</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20-24</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0,9</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32</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67,1</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25-29</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4,2</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52,4</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43,3</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30-34</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4,6</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48,2</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47,2</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35-39</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6,1</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51,6</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42,3</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40-44</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9,4</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57,5</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33,1</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nil"/>
              <w:right w:val="nil"/>
            </w:tcBorders>
          </w:tcPr>
          <w:p w:rsidR="00000000" w:rsidRDefault="00000000">
            <w:pPr>
              <w:tabs>
                <w:tab w:val="left" w:pos="900"/>
              </w:tabs>
              <w:jc w:val="both"/>
              <w:rPr>
                <w:sz w:val="18"/>
              </w:rPr>
            </w:pPr>
            <w:r>
              <w:rPr>
                <w:sz w:val="18"/>
              </w:rPr>
              <w:t>45-49</w:t>
            </w:r>
          </w:p>
        </w:tc>
        <w:tc>
          <w:tcPr>
            <w:tcW w:w="1260" w:type="dxa"/>
            <w:tcBorders>
              <w:top w:val="nil"/>
              <w:left w:val="nil"/>
              <w:bottom w:val="nil"/>
              <w:right w:val="nil"/>
            </w:tcBorders>
          </w:tcPr>
          <w:p w:rsidR="00000000" w:rsidRDefault="00000000">
            <w:pPr>
              <w:tabs>
                <w:tab w:val="left" w:pos="900"/>
              </w:tabs>
              <w:ind w:right="360"/>
              <w:jc w:val="right"/>
              <w:rPr>
                <w:sz w:val="18"/>
              </w:rPr>
            </w:pPr>
            <w:r>
              <w:rPr>
                <w:sz w:val="18"/>
              </w:rPr>
              <w:t>17,9</w:t>
            </w:r>
          </w:p>
        </w:tc>
        <w:tc>
          <w:tcPr>
            <w:tcW w:w="1980" w:type="dxa"/>
            <w:tcBorders>
              <w:top w:val="nil"/>
              <w:left w:val="nil"/>
              <w:bottom w:val="nil"/>
              <w:right w:val="nil"/>
            </w:tcBorders>
          </w:tcPr>
          <w:p w:rsidR="00000000" w:rsidRDefault="00000000">
            <w:pPr>
              <w:tabs>
                <w:tab w:val="left" w:pos="900"/>
              </w:tabs>
              <w:ind w:right="360"/>
              <w:jc w:val="right"/>
              <w:rPr>
                <w:sz w:val="18"/>
              </w:rPr>
            </w:pPr>
            <w:r>
              <w:rPr>
                <w:sz w:val="18"/>
              </w:rPr>
              <w:t>52,6</w:t>
            </w:r>
          </w:p>
        </w:tc>
        <w:tc>
          <w:tcPr>
            <w:tcW w:w="2070" w:type="dxa"/>
            <w:tcBorders>
              <w:top w:val="nil"/>
              <w:left w:val="nil"/>
              <w:bottom w:val="nil"/>
              <w:right w:val="nil"/>
            </w:tcBorders>
          </w:tcPr>
          <w:p w:rsidR="00000000" w:rsidRDefault="00000000">
            <w:pPr>
              <w:tabs>
                <w:tab w:val="left" w:pos="900"/>
              </w:tabs>
              <w:ind w:right="360"/>
              <w:jc w:val="right"/>
              <w:rPr>
                <w:sz w:val="18"/>
              </w:rPr>
            </w:pPr>
            <w:r>
              <w:rPr>
                <w:sz w:val="18"/>
              </w:rPr>
              <w:t>29,5</w:t>
            </w:r>
          </w:p>
        </w:tc>
        <w:tc>
          <w:tcPr>
            <w:tcW w:w="930" w:type="dxa"/>
            <w:tcBorders>
              <w:top w:val="nil"/>
              <w:left w:val="nil"/>
              <w:bottom w:val="nil"/>
              <w:right w:val="nil"/>
            </w:tcBorders>
          </w:tcPr>
          <w:p w:rsidR="00000000" w:rsidRDefault="00000000">
            <w:pPr>
              <w:tabs>
                <w:tab w:val="left" w:pos="900"/>
              </w:tabs>
              <w:ind w:right="360"/>
              <w:jc w:val="right"/>
              <w:rPr>
                <w:sz w:val="18"/>
              </w:rPr>
            </w:pPr>
            <w:r>
              <w:rPr>
                <w:sz w:val="18"/>
              </w:rPr>
              <w:t>100</w:t>
            </w:r>
          </w:p>
        </w:tc>
      </w:tr>
      <w:tr w:rsidR="00000000">
        <w:tblPrEx>
          <w:tblCellMar>
            <w:top w:w="0" w:type="dxa"/>
            <w:left w:w="0" w:type="dxa"/>
            <w:bottom w:w="0" w:type="dxa"/>
            <w:right w:w="0" w:type="dxa"/>
          </w:tblCellMar>
        </w:tblPrEx>
        <w:tc>
          <w:tcPr>
            <w:tcW w:w="1080" w:type="dxa"/>
            <w:tcBorders>
              <w:top w:val="nil"/>
              <w:left w:val="nil"/>
              <w:bottom w:val="single" w:sz="12" w:space="0" w:color="auto"/>
              <w:right w:val="nil"/>
            </w:tcBorders>
          </w:tcPr>
          <w:p w:rsidR="00000000" w:rsidRDefault="00000000">
            <w:pPr>
              <w:tabs>
                <w:tab w:val="left" w:pos="900"/>
              </w:tabs>
              <w:jc w:val="both"/>
              <w:rPr>
                <w:b/>
                <w:sz w:val="18"/>
              </w:rPr>
            </w:pPr>
            <w:r>
              <w:rPr>
                <w:b/>
                <w:sz w:val="18"/>
              </w:rPr>
              <w:t>Всего</w:t>
            </w:r>
          </w:p>
        </w:tc>
        <w:tc>
          <w:tcPr>
            <w:tcW w:w="1260" w:type="dxa"/>
            <w:tcBorders>
              <w:top w:val="nil"/>
              <w:left w:val="nil"/>
              <w:bottom w:val="single" w:sz="12" w:space="0" w:color="auto"/>
              <w:right w:val="nil"/>
            </w:tcBorders>
          </w:tcPr>
          <w:p w:rsidR="00000000" w:rsidRDefault="00000000">
            <w:pPr>
              <w:tabs>
                <w:tab w:val="left" w:pos="900"/>
              </w:tabs>
              <w:ind w:right="360"/>
              <w:jc w:val="right"/>
              <w:rPr>
                <w:b/>
                <w:sz w:val="18"/>
              </w:rPr>
            </w:pPr>
            <w:r>
              <w:rPr>
                <w:b/>
                <w:sz w:val="18"/>
              </w:rPr>
              <w:t>7,1</w:t>
            </w:r>
          </w:p>
        </w:tc>
        <w:tc>
          <w:tcPr>
            <w:tcW w:w="1980" w:type="dxa"/>
            <w:tcBorders>
              <w:top w:val="nil"/>
              <w:left w:val="nil"/>
              <w:bottom w:val="single" w:sz="12" w:space="0" w:color="auto"/>
              <w:right w:val="nil"/>
            </w:tcBorders>
          </w:tcPr>
          <w:p w:rsidR="00000000" w:rsidRDefault="00000000">
            <w:pPr>
              <w:tabs>
                <w:tab w:val="left" w:pos="900"/>
              </w:tabs>
              <w:ind w:right="360"/>
              <w:jc w:val="right"/>
              <w:rPr>
                <w:b/>
                <w:sz w:val="18"/>
              </w:rPr>
            </w:pPr>
            <w:r>
              <w:rPr>
                <w:b/>
                <w:sz w:val="18"/>
              </w:rPr>
              <w:t>53,8</w:t>
            </w:r>
          </w:p>
        </w:tc>
        <w:tc>
          <w:tcPr>
            <w:tcW w:w="2070" w:type="dxa"/>
            <w:tcBorders>
              <w:top w:val="nil"/>
              <w:left w:val="nil"/>
              <w:bottom w:val="single" w:sz="12" w:space="0" w:color="auto"/>
              <w:right w:val="nil"/>
            </w:tcBorders>
          </w:tcPr>
          <w:p w:rsidR="00000000" w:rsidRDefault="00000000">
            <w:pPr>
              <w:tabs>
                <w:tab w:val="left" w:pos="900"/>
              </w:tabs>
              <w:ind w:right="360"/>
              <w:jc w:val="right"/>
              <w:rPr>
                <w:b/>
                <w:sz w:val="18"/>
              </w:rPr>
            </w:pPr>
            <w:r>
              <w:rPr>
                <w:b/>
                <w:sz w:val="18"/>
              </w:rPr>
              <w:t>39,1</w:t>
            </w:r>
          </w:p>
        </w:tc>
        <w:tc>
          <w:tcPr>
            <w:tcW w:w="930" w:type="dxa"/>
            <w:tcBorders>
              <w:top w:val="nil"/>
              <w:left w:val="nil"/>
              <w:bottom w:val="single" w:sz="12" w:space="0" w:color="auto"/>
              <w:right w:val="nil"/>
            </w:tcBorders>
          </w:tcPr>
          <w:p w:rsidR="00000000" w:rsidRDefault="00000000">
            <w:pPr>
              <w:tabs>
                <w:tab w:val="left" w:pos="900"/>
              </w:tabs>
              <w:ind w:right="360"/>
              <w:jc w:val="right"/>
              <w:rPr>
                <w:b/>
                <w:sz w:val="18"/>
              </w:rPr>
            </w:pPr>
            <w:r>
              <w:rPr>
                <w:b/>
                <w:sz w:val="18"/>
              </w:rPr>
              <w:t>100</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left" w:pos="900"/>
        </w:tabs>
      </w:pPr>
      <w:r>
        <w:rPr>
          <w:i/>
        </w:rPr>
        <w:t>Источник:</w:t>
      </w:r>
      <w:r>
        <w:t xml:space="preserve"> Центральное статистическое управление/ЮНИСЕФ, Положение д</w:t>
      </w:r>
      <w:r>
        <w:t>е</w:t>
      </w:r>
      <w:r>
        <w:t>тей в Ливане, 2000 год.</w:t>
      </w:r>
    </w:p>
    <w:p w:rsidR="00000000" w:rsidRDefault="00000000">
      <w:pPr>
        <w:pStyle w:val="SingleTxt"/>
        <w:tabs>
          <w:tab w:val="clear" w:pos="1267"/>
          <w:tab w:val="left" w:pos="900"/>
        </w:tabs>
      </w:pPr>
      <w:r>
        <w:tab/>
        <w:t>Информация, приведенная в этой таблице, наглядно свидетельствует о том, что коэффициент брачности наиболее высок среди женщин с начальным и незаконченным средним образованием практически во всех возрастных гру</w:t>
      </w:r>
      <w:r>
        <w:t>п</w:t>
      </w:r>
      <w:r>
        <w:t>пах и ниже среди неграмотных женщин. Среди женщин со средним образов</w:t>
      </w:r>
      <w:r>
        <w:t>а</w:t>
      </w:r>
      <w:r>
        <w:t>нием и образованием выше среднего он ниже во всех возрастных группах.</w:t>
      </w:r>
    </w:p>
    <w:p w:rsidR="00000000" w:rsidRDefault="00000000">
      <w:pPr>
        <w:pStyle w:val="SingleTxt"/>
        <w:tabs>
          <w:tab w:val="clear" w:pos="1267"/>
          <w:tab w:val="left" w:pos="900"/>
          <w:tab w:val="right" w:pos="1022"/>
        </w:tabs>
      </w:pPr>
      <w:r>
        <w:tab/>
      </w:r>
      <w:r>
        <w:rPr>
          <w:i/>
          <w:spacing w:val="3"/>
        </w:rPr>
        <w:t>2.</w:t>
      </w:r>
      <w:r>
        <w:rPr>
          <w:i/>
          <w:spacing w:val="3"/>
        </w:rPr>
        <w:tab/>
      </w:r>
      <w:r>
        <w:rPr>
          <w:i/>
        </w:rPr>
        <w:t>Социальное воспитание:</w:t>
      </w:r>
      <w:r>
        <w:t xml:space="preserve"> Процесс социального воспитания по-прежнему является одной из важнейших функций семьи и состоит из таких ключевых аспектов, как управление и руководство поведением и поступками детей, оказание помощи в решении их проблем и обеспеч</w:t>
      </w:r>
      <w:r>
        <w:t>е</w:t>
      </w:r>
      <w:r>
        <w:t xml:space="preserve">ние их образования. </w:t>
      </w:r>
    </w:p>
    <w:p w:rsidR="00000000" w:rsidRDefault="00000000">
      <w:pPr>
        <w:pStyle w:val="SingleTxt"/>
        <w:tabs>
          <w:tab w:val="clear" w:pos="1267"/>
          <w:tab w:val="left" w:pos="900"/>
        </w:tabs>
      </w:pPr>
      <w:r>
        <w:tab/>
        <w:t>В результате целого ряда социально-технологических перемен участие мужчин в этом процессе отличается от функции женщин. Оно также зависит от социального положения каждой семьи. Однако, в целом, в ливанском обществе забота о семье считается важнейшей обязанностью женщин; принято, что муж лишь оказывает помощь в этом процессе.</w:t>
      </w:r>
    </w:p>
    <w:p w:rsidR="00000000" w:rsidRDefault="00000000">
      <w:pPr>
        <w:pStyle w:val="SingleTxt"/>
        <w:tabs>
          <w:tab w:val="clear" w:pos="1267"/>
          <w:tab w:val="left" w:pos="900"/>
          <w:tab w:val="right" w:pos="1022"/>
        </w:tabs>
      </w:pPr>
      <w:r>
        <w:tab/>
      </w:r>
      <w:r>
        <w:rPr>
          <w:i/>
          <w:spacing w:val="3"/>
        </w:rPr>
        <w:t>3.</w:t>
      </w:r>
      <w:r>
        <w:rPr>
          <w:i/>
          <w:spacing w:val="3"/>
        </w:rPr>
        <w:tab/>
        <w:t>Планирование размера семьи:</w:t>
      </w:r>
      <w:r>
        <w:t xml:space="preserve"> Женщины демонстрируют заинтерес</w:t>
      </w:r>
      <w:r>
        <w:t>о</w:t>
      </w:r>
      <w:r>
        <w:t>ванность в искоренении различных традиций и обычаев, отвергающих прим</w:t>
      </w:r>
      <w:r>
        <w:t>е</w:t>
      </w:r>
      <w:r>
        <w:t>нение на практике принципа планирования размера семьи. Такая заинтерес</w:t>
      </w:r>
      <w:r>
        <w:t>о</w:t>
      </w:r>
      <w:r>
        <w:t>ванность обусловлена желанием сохранить комфортный уровень жизни, а та</w:t>
      </w:r>
      <w:r>
        <w:t>к</w:t>
      </w:r>
      <w:r>
        <w:t>же влиянием образования, в процессе которого освещаются все соответству</w:t>
      </w:r>
      <w:r>
        <w:t>ю</w:t>
      </w:r>
      <w:r>
        <w:t>щие функциональные и общественные идеи и тенденции. Жители сельских районов, в целом, проявляют меньший интерес к этой проблематике, чем ж</w:t>
      </w:r>
      <w:r>
        <w:t>и</w:t>
      </w:r>
      <w:r>
        <w:t>тели городов, хотя статистические исследования, проведенные в ряде сельских районов, свидетельствуют о расширении использования методов планирования размера семьи; в 2002 году соответствующий показатель составлял 60 процентов, а в 2003 году - 64 процента. Статистические данные также св</w:t>
      </w:r>
      <w:r>
        <w:t>и</w:t>
      </w:r>
      <w:r>
        <w:t>детельствуют о том, что в целом среднее количество членов в ливанской семье сократилось с 5,3 человек в 1970 году до 4,8 человек в 1997 году и 4,6 человек в 2001 году. Этот средний показатель различен в различных регионах: в Бейр</w:t>
      </w:r>
      <w:r>
        <w:t>у</w:t>
      </w:r>
      <w:r>
        <w:t>те семьи самые малочисленные и состоят в среднем из 3,9 членов, в то время как в Северном Ливане – в среднем из 5,1 человека, а на территории освобо</w:t>
      </w:r>
      <w:r>
        <w:t>ж</w:t>
      </w:r>
      <w:r>
        <w:t>денной пограничной полосы – из 6,2 человека. В последнем случае более в</w:t>
      </w:r>
      <w:r>
        <w:t>ы</w:t>
      </w:r>
      <w:r>
        <w:t>сокий показатель обусловлен тем, что на территории, о которой идет речь, преобладают сельские районы.</w:t>
      </w:r>
    </w:p>
    <w:p w:rsidR="00000000" w:rsidRDefault="00000000">
      <w:pPr>
        <w:pStyle w:val="SingleTxt"/>
        <w:tabs>
          <w:tab w:val="clear" w:pos="1267"/>
          <w:tab w:val="left" w:pos="900"/>
          <w:tab w:val="right" w:pos="1022"/>
        </w:tabs>
      </w:pPr>
      <w:r>
        <w:tab/>
      </w:r>
      <w:r>
        <w:rPr>
          <w:i/>
          <w:spacing w:val="3"/>
        </w:rPr>
        <w:t>4.</w:t>
      </w:r>
      <w:r>
        <w:rPr>
          <w:i/>
          <w:spacing w:val="3"/>
        </w:rPr>
        <w:tab/>
      </w:r>
      <w:r>
        <w:rPr>
          <w:i/>
        </w:rPr>
        <w:t>Руководящая роль в семье:</w:t>
      </w:r>
      <w:r>
        <w:t xml:space="preserve"> Ответственность за удовлетворение эк</w:t>
      </w:r>
      <w:r>
        <w:t>о</w:t>
      </w:r>
      <w:r>
        <w:t>номических и социальных потребностей семьи несет тот член семьи, который является ее главой. В целом, право распоряжаться, налагать запреты и обесп</w:t>
      </w:r>
      <w:r>
        <w:t>е</w:t>
      </w:r>
      <w:r>
        <w:t>чивать руководство принадлежит тому, кто более успешен в своей трудовой деятельности и имеет более высокий доход. Поэтому традиционно власть и а</w:t>
      </w:r>
      <w:r>
        <w:t>в</w:t>
      </w:r>
      <w:r>
        <w:t>торитет в рамках семьи принадлежат мужу. Однако сегодня женщины стали разделять с мужем ответственность за управление семейными делами и реш</w:t>
      </w:r>
      <w:r>
        <w:t>е</w:t>
      </w:r>
      <w:r>
        <w:t>ние семейных проблем. В целом, исследования показывают, что женщины все чаще и активнее играют руководящую роль; они принимают более активное участие в управлении делами семьи, их мнение все чаще учитывается, их п</w:t>
      </w:r>
      <w:r>
        <w:t>о</w:t>
      </w:r>
      <w:r>
        <w:t>ложение и статус в рамках семьи повысились, и сегодня их стали восприн</w:t>
      </w:r>
      <w:r>
        <w:t>и</w:t>
      </w:r>
      <w:r>
        <w:t>мать как работников, способных к производительному труду и творческой де</w:t>
      </w:r>
      <w:r>
        <w:t>я</w:t>
      </w:r>
      <w:r>
        <w:t>тельности. Кроме того, возникло явление так называемой "совместной руков</w:t>
      </w:r>
      <w:r>
        <w:t>о</w:t>
      </w:r>
      <w:r>
        <w:t>дящей роли". Возможно, одними из причин возникновения такой формы л</w:t>
      </w:r>
      <w:r>
        <w:t>и</w:t>
      </w:r>
      <w:r>
        <w:t>дерства стали вдовство и эмиграция мужского населения, поскольку в насто</w:t>
      </w:r>
      <w:r>
        <w:t>я</w:t>
      </w:r>
      <w:r>
        <w:t>щее время вдовы составляют 82 процента женщин, стоящих во главе домашних хозяйств.</w:t>
      </w:r>
    </w:p>
    <w:p w:rsidR="00000000" w:rsidRDefault="00000000">
      <w:pPr>
        <w:pStyle w:val="SingleTxt"/>
        <w:tabs>
          <w:tab w:val="clear" w:pos="1267"/>
          <w:tab w:val="left" w:pos="900"/>
        </w:tabs>
      </w:pPr>
      <w:r>
        <w:tab/>
        <w:t>Хотя в сельских районах право распоряжаться и принимать окончател</w:t>
      </w:r>
      <w:r>
        <w:t>ь</w:t>
      </w:r>
      <w:r>
        <w:t>ные решения является преимущественно прерогативой мужчин, сельские же</w:t>
      </w:r>
      <w:r>
        <w:t>н</w:t>
      </w:r>
      <w:r>
        <w:t>щины вносят значительный вклад в сельскохозяйственное производство. В случае смерти мужа женщина нередко занимает его место и в полной мере б</w:t>
      </w:r>
      <w:r>
        <w:t>е</w:t>
      </w:r>
      <w:r>
        <w:t>рет на себя ответственность за семью, в результате чего ее статус повышается. Статистические данные свидетельствуют о том, что в ряде сельских районов 33 процента женщин, стоящих во главе домашних хозяйств, заняты в сельск</w:t>
      </w:r>
      <w:r>
        <w:t>о</w:t>
      </w:r>
      <w:r>
        <w:t>хозяйственном производстве. В период с 1970 по 1987 год доля женщин, сто</w:t>
      </w:r>
      <w:r>
        <w:t>я</w:t>
      </w:r>
      <w:r>
        <w:t>щих во главе домашних хозяйств, в сельских районах возросла в целом с 6,5 до 10,9 процентов.</w:t>
      </w:r>
    </w:p>
    <w:p w:rsidR="00000000" w:rsidRDefault="00000000">
      <w:pPr>
        <w:pStyle w:val="SingleTxt"/>
        <w:tabs>
          <w:tab w:val="clear" w:pos="1267"/>
          <w:tab w:val="left" w:pos="900"/>
          <w:tab w:val="right" w:pos="1022"/>
        </w:tabs>
      </w:pPr>
      <w:r>
        <w:tab/>
      </w:r>
      <w:r>
        <w:rPr>
          <w:i/>
          <w:spacing w:val="3"/>
        </w:rPr>
        <w:t>5.</w:t>
      </w:r>
      <w:r>
        <w:rPr>
          <w:i/>
          <w:spacing w:val="3"/>
        </w:rPr>
        <w:tab/>
        <w:t>Образование:</w:t>
      </w:r>
      <w:r>
        <w:t xml:space="preserve"> В ливанском обществе растет осознание важности о</w:t>
      </w:r>
      <w:r>
        <w:t>б</w:t>
      </w:r>
      <w:r>
        <w:t>разования женщин, и доля женщин, поступающих в общеобразовательные у</w:t>
      </w:r>
      <w:r>
        <w:t>ч</w:t>
      </w:r>
      <w:r>
        <w:t>реждения, университеты и высшие учебные заведения, больше, чем их доля в профессионально-технических учебных заведениях; в 2003-2004 годах доля женщин, обучающихся в профессионально-технических учебных заведениях, составляла 41,3 процента от общего количества студентов, тогда как их доля в высших учебных заведениях составляла 49,6 процентов. Образование позвол</w:t>
      </w:r>
      <w:r>
        <w:t>я</w:t>
      </w:r>
      <w:r>
        <w:t>ет женщинам не только повысить свой социальный статус; они также считают, что оно открывает перед ними возможности участия в прибыльных видах эк</w:t>
      </w:r>
      <w:r>
        <w:t>о</w:t>
      </w:r>
      <w:r>
        <w:t>номической деятельности. Следует отметить, что иногда выбор специальности в университете и в ходе дальнейшего образования делается ими без учета п</w:t>
      </w:r>
      <w:r>
        <w:t>о</w:t>
      </w:r>
      <w:r>
        <w:t>требностей рынка труда, что приводит к росту уровня безработицы среди женщин.</w:t>
      </w:r>
    </w:p>
    <w:p w:rsidR="00000000" w:rsidRDefault="00000000">
      <w:pPr>
        <w:pStyle w:val="SingleTxt"/>
        <w:tabs>
          <w:tab w:val="clear" w:pos="1267"/>
          <w:tab w:val="left" w:pos="900"/>
        </w:tabs>
      </w:pPr>
      <w:r>
        <w:tab/>
        <w:t>Несмотря на изменение общественного мнения по вопросу о женском о</w:t>
      </w:r>
      <w:r>
        <w:t>б</w:t>
      </w:r>
      <w:r>
        <w:t>разовании, результаты, полученные в ходе большинства исследований среди лиц, не имеющих доступа к образованию, свидетельствуют о наличии четких различий между полами; в освобожденных пограничных районах доля же</w:t>
      </w:r>
      <w:r>
        <w:t>н</w:t>
      </w:r>
      <w:r>
        <w:t>щин, никогда не посещавших школу, достигает 15 процентов, в то время как среди мужчин этот показатель составляет 7 процентов, то есть сельские семьи еще не полностью отказались от традиционных взглядов на образование же</w:t>
      </w:r>
      <w:r>
        <w:t>н</w:t>
      </w:r>
      <w:r>
        <w:t>щин. Сегодня сельским женщинам удалось улучшить свое положение с точки зрения образования и, таким образом, расширить свои возможности в области дальнейшего образования и подготовки, однако лишь отча</w:t>
      </w:r>
      <w:r>
        <w:t>с</w:t>
      </w:r>
      <w:r>
        <w:t>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ab/>
        <w:t>В этой связи стоит упомянуть о том, что в Ливане завершилась разрабо</w:t>
      </w:r>
      <w:r>
        <w:t>т</w:t>
      </w:r>
      <w:r>
        <w:t xml:space="preserve">ка стратегии под названием "Стратегические руководящие принципы в области образования в Ливане на период до 2015 года". Эта стратегия направлена на достижение ряда основных общих задач, в том числе в области обязательного образования, ликвидации неграмотности, мер по предупреждению отсева из школ и тому подобное.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IV.</w:t>
      </w:r>
      <w:r>
        <w:tab/>
        <w:t>Политическая система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Ливан является полностью суверенным независимым государством, нед</w:t>
      </w:r>
      <w:r>
        <w:t>е</w:t>
      </w:r>
      <w:r>
        <w:t>лимым в пределах границ, предусмотренных в Конституции и признанных м</w:t>
      </w:r>
      <w:r>
        <w:t>е</w:t>
      </w:r>
      <w:r>
        <w:t>ждународным сообществом.</w:t>
      </w:r>
    </w:p>
    <w:p w:rsidR="00000000" w:rsidRDefault="00000000">
      <w:pPr>
        <w:pStyle w:val="SingleTxt"/>
        <w:tabs>
          <w:tab w:val="clear" w:pos="1267"/>
          <w:tab w:val="left" w:pos="900"/>
        </w:tabs>
      </w:pPr>
      <w:r>
        <w:tab/>
        <w:t>Ливан является демократической парламентской республикой, в которой источником власти являются граждане страны; именно они избирают предст</w:t>
      </w:r>
      <w:r>
        <w:t>а</w:t>
      </w:r>
      <w:r>
        <w:t>вителей законодательной власти - иными словами, депутатов – в ходе прямых выборов, а также Президента Республики. В Конституции также закреплен принцип равенства всех ливанцев перед законом и подчеркивается необход</w:t>
      </w:r>
      <w:r>
        <w:t>и</w:t>
      </w:r>
      <w:r>
        <w:t>мость обеспечения свободы личности, частной собственности и всех гражда</w:t>
      </w:r>
      <w:r>
        <w:t>н</w:t>
      </w:r>
      <w:r>
        <w:t>ских свобод.</w:t>
      </w:r>
    </w:p>
    <w:p w:rsidR="00000000" w:rsidRDefault="00000000">
      <w:pPr>
        <w:pStyle w:val="SingleTxt"/>
        <w:tabs>
          <w:tab w:val="clear" w:pos="1267"/>
          <w:tab w:val="left" w:pos="900"/>
        </w:tabs>
        <w:spacing w:after="0"/>
      </w:pPr>
      <w:r>
        <w:tab/>
        <w:t xml:space="preserve">В целях разъяснения устройства политической системы ниже приводится информация о ветвях власти и местных советах.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tabs>
          <w:tab w:val="clear" w:pos="360"/>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ab/>
        <w:t>1.</w:t>
      </w:r>
      <w:r>
        <w:tab/>
        <w:t>Ветви власти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a)</w:t>
      </w:r>
      <w:r>
        <w:tab/>
        <w:t>Законодательная власть: Ответственность за осуществление закон</w:t>
      </w:r>
      <w:r>
        <w:t>о</w:t>
      </w:r>
      <w:r>
        <w:t>дательной власти несет Национальная ассамблея. На сегодняшний день в па</w:t>
      </w:r>
      <w:r>
        <w:t>р</w:t>
      </w:r>
      <w:r>
        <w:t>ламент Ливана входят 128 депутатов, половина из которых представляют и</w:t>
      </w:r>
      <w:r>
        <w:t>с</w:t>
      </w:r>
      <w:r>
        <w:t>ламскую религиозную общину, а другая половина – христианскую религио</w:t>
      </w:r>
      <w:r>
        <w:t>з</w:t>
      </w:r>
      <w:r>
        <w:t>ную общину. Депутаты избираются тайным голосованием на четырехлетний срок.</w:t>
      </w:r>
    </w:p>
    <w:p w:rsidR="00000000" w:rsidRDefault="00000000">
      <w:pPr>
        <w:pStyle w:val="SingleTxt"/>
        <w:tabs>
          <w:tab w:val="clear" w:pos="1267"/>
          <w:tab w:val="left" w:pos="900"/>
        </w:tabs>
      </w:pPr>
      <w:r>
        <w:tab/>
        <w:t>Хотя количество женщин-кандидатов, баллотировавшихся в парламент на выборах 2000 года, а также имеющиеся у женщин возможности избрания в Н</w:t>
      </w:r>
      <w:r>
        <w:t>а</w:t>
      </w:r>
      <w:r>
        <w:t>циональную ассамблею свидетельствуют о том, что женщины играют опред</w:t>
      </w:r>
      <w:r>
        <w:t>е</w:t>
      </w:r>
      <w:r>
        <w:t>ленную роль в осуществлении государственной власти, им удалось добиться лишь весьма скромных результатов в этой области; только три женщины в</w:t>
      </w:r>
      <w:r>
        <w:t>о</w:t>
      </w:r>
      <w:r>
        <w:t>шли в число 128 депутатов, избранных в парламент, – эта ситуация требует а</w:t>
      </w:r>
      <w:r>
        <w:t>к</w:t>
      </w:r>
      <w:r>
        <w:t>тивизации усилий, направленных на создание социальных условий и измен</w:t>
      </w:r>
      <w:r>
        <w:t>е</w:t>
      </w:r>
      <w:r>
        <w:t>ние традиционного мышления в целях обеспечения более плодотворного уч</w:t>
      </w:r>
      <w:r>
        <w:t>а</w:t>
      </w:r>
      <w:r>
        <w:t>стия женщин в законодательном пр</w:t>
      </w:r>
      <w:r>
        <w:t>о</w:t>
      </w:r>
      <w:r>
        <w:t>цессе.</w:t>
      </w:r>
    </w:p>
    <w:p w:rsidR="00000000" w:rsidRDefault="00000000">
      <w:pPr>
        <w:pStyle w:val="SingleTxt"/>
        <w:tabs>
          <w:tab w:val="clear" w:pos="1267"/>
          <w:tab w:val="left" w:pos="900"/>
        </w:tabs>
      </w:pPr>
      <w:r>
        <w:tab/>
        <w:t>b)</w:t>
      </w:r>
      <w:r>
        <w:tab/>
        <w:t>Исполнительная власть: Исполнительную власть представляют Пр</w:t>
      </w:r>
      <w:r>
        <w:t>е</w:t>
      </w:r>
      <w:r>
        <w:t>зидент Республики и Кабинет министров, которые отвечают за разработку и осуществление общей п</w:t>
      </w:r>
      <w:r>
        <w:t>о</w:t>
      </w:r>
      <w:r>
        <w:t>литики государства во всех областях.</w:t>
      </w:r>
    </w:p>
    <w:p w:rsidR="00000000" w:rsidRDefault="00000000">
      <w:pPr>
        <w:pStyle w:val="SingleTxt"/>
        <w:tabs>
          <w:tab w:val="clear" w:pos="1267"/>
          <w:tab w:val="left" w:pos="900"/>
        </w:tabs>
      </w:pPr>
      <w:r>
        <w:tab/>
        <w:t>Президент: Институт президентства претерпел ряд исторических измен</w:t>
      </w:r>
      <w:r>
        <w:t>е</w:t>
      </w:r>
      <w:r>
        <w:t>ний, и в Конституции Ливана закреплен принцип разделения законодательной, исполнительной и судебной ветвей власти, а также принцип распределения п</w:t>
      </w:r>
      <w:r>
        <w:t>о</w:t>
      </w:r>
      <w:r>
        <w:t>литических должностей среди представителей религ</w:t>
      </w:r>
      <w:r>
        <w:t>и</w:t>
      </w:r>
      <w:r>
        <w:t>озных общин.</w:t>
      </w:r>
    </w:p>
    <w:p w:rsidR="00000000" w:rsidRDefault="00000000">
      <w:pPr>
        <w:pStyle w:val="SingleTxt"/>
        <w:tabs>
          <w:tab w:val="clear" w:pos="1267"/>
          <w:tab w:val="left" w:pos="900"/>
        </w:tabs>
      </w:pPr>
      <w:r>
        <w:tab/>
        <w:t>После окончания войны в Ливане в 1990 году было достигнуто соглаш</w:t>
      </w:r>
      <w:r>
        <w:t>е</w:t>
      </w:r>
      <w:r>
        <w:t>ние по вопросу о Хартии национального примирения, которая предусматривает процедуры передачи полномочий, ряд из которых уже были претворены в жизнь, а другие лишь планируется применить. Полномочия Президента Ре</w:t>
      </w:r>
      <w:r>
        <w:t>с</w:t>
      </w:r>
      <w:r>
        <w:t>публики, главы Кабинета министров и председателя Национальной ассамблеи также были пересмотрены в соответствии со статьями Конституции.</w:t>
      </w:r>
    </w:p>
    <w:p w:rsidR="00000000" w:rsidRDefault="00000000">
      <w:pPr>
        <w:pStyle w:val="SingleTxt"/>
        <w:tabs>
          <w:tab w:val="clear" w:pos="1267"/>
          <w:tab w:val="left" w:pos="900"/>
        </w:tabs>
      </w:pPr>
      <w:r>
        <w:tab/>
        <w:t>Женщины еще никогда не занимали должность Президента Республики, председателя Национальной ассамблеи или главы Кабинета мин</w:t>
      </w:r>
      <w:r>
        <w:t>и</w:t>
      </w:r>
      <w:r>
        <w:t>стров.</w:t>
      </w:r>
    </w:p>
    <w:p w:rsidR="00000000" w:rsidRDefault="00000000">
      <w:pPr>
        <w:pStyle w:val="SingleTxt"/>
        <w:tabs>
          <w:tab w:val="clear" w:pos="1267"/>
          <w:tab w:val="left" w:pos="900"/>
        </w:tabs>
      </w:pPr>
      <w:r>
        <w:tab/>
        <w:t>Кабинет министров: Юридических препятствий для участия женщин в политической жизни не существует. Следует отметить, что после получения независимости ни одна женщина не выполняла обязанности министра, что у</w:t>
      </w:r>
      <w:r>
        <w:t>к</w:t>
      </w:r>
      <w:r>
        <w:t>репило бы положение женщин или позволило бы им внести свой вклад в пол</w:t>
      </w:r>
      <w:r>
        <w:t>и</w:t>
      </w:r>
      <w:r>
        <w:t>тику, вплоть до 26 октября 2004 года, когда был сформирован нынешний К</w:t>
      </w:r>
      <w:r>
        <w:t>а</w:t>
      </w:r>
      <w:r>
        <w:t>бинет министров и женщина заняла должность государственного министра. Другая женщина вошла в состав министерства промышленности, что стало п</w:t>
      </w:r>
      <w:r>
        <w:t>о</w:t>
      </w:r>
      <w:r>
        <w:t>ложительным шагом в направлении обеспечения равноправия женщин и му</w:t>
      </w:r>
      <w:r>
        <w:t>ж</w:t>
      </w:r>
      <w:r>
        <w:t>чин.</w:t>
      </w:r>
    </w:p>
    <w:p w:rsidR="00000000" w:rsidRDefault="00000000">
      <w:pPr>
        <w:pStyle w:val="SingleTxt"/>
        <w:tabs>
          <w:tab w:val="clear" w:pos="1267"/>
          <w:tab w:val="left" w:pos="900"/>
        </w:tabs>
      </w:pPr>
      <w:r>
        <w:tab/>
        <w:t>с)</w:t>
      </w:r>
      <w:r>
        <w:tab/>
        <w:t>Судебная власть: В соответствии с законом в ведении судебной вл</w:t>
      </w:r>
      <w:r>
        <w:t>а</w:t>
      </w:r>
      <w:r>
        <w:t>сти находятся все суды, независимо от их уровня и юрисдикции. Решения и постановления выносятся всеми судами, а затем претворяются в жизнь от им</w:t>
      </w:r>
      <w:r>
        <w:t>е</w:t>
      </w:r>
      <w:r>
        <w:t>ни народа Ливана.</w:t>
      </w:r>
    </w:p>
    <w:p w:rsidR="00000000" w:rsidRDefault="00000000">
      <w:pPr>
        <w:pStyle w:val="SingleTxt"/>
        <w:tabs>
          <w:tab w:val="clear" w:pos="1267"/>
          <w:tab w:val="left" w:pos="900"/>
        </w:tabs>
      </w:pPr>
      <w:r>
        <w:tab/>
        <w:t>Судьи независимы в выполнении своих обязанностей, и совмещение с</w:t>
      </w:r>
      <w:r>
        <w:t>у</w:t>
      </w:r>
      <w:r>
        <w:t>дебной и гос</w:t>
      </w:r>
      <w:r>
        <w:t>у</w:t>
      </w:r>
      <w:r>
        <w:t>дарственной должностей запрещено.</w:t>
      </w:r>
    </w:p>
    <w:p w:rsidR="00000000" w:rsidRDefault="00000000">
      <w:pPr>
        <w:pStyle w:val="SingleTxt"/>
        <w:tabs>
          <w:tab w:val="clear" w:pos="1267"/>
          <w:tab w:val="left" w:pos="900"/>
        </w:tabs>
      </w:pPr>
      <w:r>
        <w:tab/>
        <w:t>Судебная система в Ливане включает в себя, главным образом, суды о</w:t>
      </w:r>
      <w:r>
        <w:t>б</w:t>
      </w:r>
      <w:r>
        <w:t>щей юрисди</w:t>
      </w:r>
      <w:r>
        <w:t>к</w:t>
      </w:r>
      <w:r>
        <w:t>ции и административные суды.</w:t>
      </w:r>
    </w:p>
    <w:p w:rsidR="00000000" w:rsidRDefault="00000000">
      <w:pPr>
        <w:pStyle w:val="SingleTxt"/>
        <w:tabs>
          <w:tab w:val="clear" w:pos="1267"/>
          <w:tab w:val="left" w:pos="900"/>
        </w:tabs>
      </w:pPr>
      <w:r>
        <w:tab/>
        <w:t>Суды общей юрисдикции: К судам общей юрисдикции относятся суды первой инста</w:t>
      </w:r>
      <w:r>
        <w:t>н</w:t>
      </w:r>
      <w:r>
        <w:t>ции, апелляционные суды и Кассационный суд.</w:t>
      </w:r>
    </w:p>
    <w:p w:rsidR="00000000" w:rsidRDefault="00000000">
      <w:pPr>
        <w:pStyle w:val="SingleTxt"/>
        <w:tabs>
          <w:tab w:val="clear" w:pos="1267"/>
          <w:tab w:val="left" w:pos="900"/>
        </w:tabs>
      </w:pPr>
      <w:r>
        <w:tab/>
        <w:t>Кассационный суд является единственным судом такого рода в Ливане и расположен в Бейруте. В его юрисдикцию входит рассмотрение ходатайств о кассации окончательных решений, вынесенных апелляционными судами, а также прочих ходатайств, рассмотрение которых является его обязанностью по закону.</w:t>
      </w:r>
    </w:p>
    <w:p w:rsidR="00000000" w:rsidRDefault="00000000">
      <w:pPr>
        <w:pStyle w:val="SingleTxt"/>
        <w:tabs>
          <w:tab w:val="clear" w:pos="1267"/>
          <w:tab w:val="left" w:pos="900"/>
        </w:tabs>
      </w:pPr>
      <w:r>
        <w:tab/>
        <w:t>Кроме того, он рассматривает ходатайства о передаче дел из одного суда в другой, а также ходатайства о вынесении авторитетного решения в случае возникновения положительных или отрицательных разногласий между судами.</w:t>
      </w:r>
    </w:p>
    <w:p w:rsidR="00000000" w:rsidRDefault="00000000">
      <w:pPr>
        <w:pStyle w:val="SingleTxt"/>
        <w:tabs>
          <w:tab w:val="clear" w:pos="1267"/>
          <w:tab w:val="left" w:pos="900"/>
        </w:tabs>
      </w:pPr>
      <w:r>
        <w:tab/>
        <w:t>Административные суды: Административные суды Ливана осуществляют надзор за Государственным консультативным советом - судебным органом, н</w:t>
      </w:r>
      <w:r>
        <w:t>е</w:t>
      </w:r>
      <w:r>
        <w:t>зависимым от административно-судебной власти. Хотя они представляют с</w:t>
      </w:r>
      <w:r>
        <w:t>о</w:t>
      </w:r>
      <w:r>
        <w:t>бой учреждения министерства юстиции, они полностью независимы в выпо</w:t>
      </w:r>
      <w:r>
        <w:t>л</w:t>
      </w:r>
      <w:r>
        <w:t>нении своих обязанностей.</w:t>
      </w:r>
    </w:p>
    <w:p w:rsidR="00000000" w:rsidRDefault="00000000">
      <w:pPr>
        <w:pStyle w:val="SingleTxt"/>
        <w:tabs>
          <w:tab w:val="clear" w:pos="1267"/>
          <w:tab w:val="left" w:pos="900"/>
        </w:tabs>
      </w:pPr>
      <w:r>
        <w:tab/>
        <w:t>Они уполномочены объявлять недействительными любые администр</w:t>
      </w:r>
      <w:r>
        <w:t>а</w:t>
      </w:r>
      <w:r>
        <w:t xml:space="preserve">тивные меры любого из органов исполнительной власти (Кабинета министров, министров, губернаторов, глав районных администраций, муниципалитетов и государственных учреждений), если такие меры противоречат закону, связаны </w:t>
      </w:r>
      <w:r>
        <w:rPr>
          <w:lang w:val="en-US"/>
        </w:rPr>
        <w:t>c</w:t>
      </w:r>
      <w:r>
        <w:t xml:space="preserve"> превышением полномочий, неверным представлением о полномочиях или нарушают какие-либо нормы или общие пр</w:t>
      </w:r>
      <w:r>
        <w:t>а</w:t>
      </w:r>
      <w:r>
        <w:t>вовые принципы.</w:t>
      </w:r>
    </w:p>
    <w:p w:rsidR="00000000" w:rsidRDefault="00000000">
      <w:pPr>
        <w:pStyle w:val="SingleTxt"/>
        <w:tabs>
          <w:tab w:val="clear" w:pos="1267"/>
          <w:tab w:val="left" w:pos="900"/>
        </w:tabs>
      </w:pPr>
      <w:r>
        <w:tab/>
        <w:t>В компетенцию Консультативного совета входит урегулированию вопр</w:t>
      </w:r>
      <w:r>
        <w:t>о</w:t>
      </w:r>
      <w:r>
        <w:t>сов, связанных с выборами в муниципальные органы власти и советы добр</w:t>
      </w:r>
      <w:r>
        <w:t>о</w:t>
      </w:r>
      <w:r>
        <w:t>вольцев.</w:t>
      </w:r>
    </w:p>
    <w:p w:rsidR="00000000" w:rsidRDefault="00000000">
      <w:pPr>
        <w:pStyle w:val="SingleTxt"/>
        <w:tabs>
          <w:tab w:val="clear" w:pos="1267"/>
          <w:tab w:val="left" w:pos="900"/>
        </w:tabs>
      </w:pPr>
      <w:r>
        <w:tab/>
        <w:t>Помимо судов и административных судов, в Ливане также существуют финансовые и военные судебные органы.</w:t>
      </w:r>
    </w:p>
    <w:p w:rsidR="00000000" w:rsidRDefault="00000000">
      <w:pPr>
        <w:pStyle w:val="SingleTxt"/>
        <w:tabs>
          <w:tab w:val="clear" w:pos="1267"/>
          <w:tab w:val="left" w:pos="900"/>
        </w:tabs>
      </w:pPr>
      <w:r>
        <w:tab/>
        <w:t>В соответствии с конституционным законом, обнародованным 21 сентября 1990 года, был создан Конституционный совет. В законе № 250 от 14 июля 1993 года сформулированы правила его организации, принципы его работы, а также порядок его учреждения и процедуры о</w:t>
      </w:r>
      <w:r>
        <w:t>б</w:t>
      </w:r>
      <w:r>
        <w:t>ращения в него.</w:t>
      </w:r>
    </w:p>
    <w:p w:rsidR="00000000" w:rsidRDefault="00000000">
      <w:pPr>
        <w:pStyle w:val="SingleTxt"/>
        <w:tabs>
          <w:tab w:val="clear" w:pos="1267"/>
          <w:tab w:val="left" w:pos="900"/>
        </w:tabs>
      </w:pPr>
      <w:r>
        <w:tab/>
        <w:t>Конституционный совет отвечает за обеспечение соответствия законов положениям Конституции и урегулирование споров и разногласий, возника</w:t>
      </w:r>
      <w:r>
        <w:t>ю</w:t>
      </w:r>
      <w:r>
        <w:t>щие в ходе президентских и па</w:t>
      </w:r>
      <w:r>
        <w:t>р</w:t>
      </w:r>
      <w:r>
        <w:t>ламентских выборов.</w:t>
      </w:r>
    </w:p>
    <w:p w:rsidR="00000000" w:rsidRDefault="00000000">
      <w:pPr>
        <w:pStyle w:val="SingleTxt"/>
        <w:tabs>
          <w:tab w:val="clear" w:pos="1267"/>
          <w:tab w:val="left" w:pos="900"/>
        </w:tabs>
      </w:pPr>
      <w:r>
        <w:tab/>
        <w:t>Президент Республики, председатель Национальной ассамблеи, глава К</w:t>
      </w:r>
      <w:r>
        <w:t>а</w:t>
      </w:r>
      <w:r>
        <w:t>бинета министров или группа Национальной ассамблеи, состоящая из десяти членов, имеют право обращаться в Совет по вопросам обеспечения констит</w:t>
      </w:r>
      <w:r>
        <w:t>у</w:t>
      </w:r>
      <w:r>
        <w:t>ционности законов. Лидеры законно признанных религиозных общин также имеют право обращаться в Совет, но лишь по вопросам личного статуса, св</w:t>
      </w:r>
      <w:r>
        <w:t>о</w:t>
      </w:r>
      <w:r>
        <w:t>боды вероисповедания, отправления религиозных обрядов и свободы получ</w:t>
      </w:r>
      <w:r>
        <w:t>е</w:t>
      </w:r>
      <w:r>
        <w:t>ния религ</w:t>
      </w:r>
      <w:r>
        <w:t>и</w:t>
      </w:r>
      <w:r>
        <w:t>озного образования.</w:t>
      </w:r>
    </w:p>
    <w:p w:rsidR="00000000" w:rsidRDefault="00000000">
      <w:pPr>
        <w:pStyle w:val="SingleTxt"/>
        <w:tabs>
          <w:tab w:val="clear" w:pos="1267"/>
          <w:tab w:val="left" w:pos="900"/>
        </w:tabs>
        <w:spacing w:after="0"/>
      </w:pPr>
      <w:r>
        <w:tab/>
        <w:t>Следует отметить, что вопрос о доле женщин, работающих в органах с</w:t>
      </w:r>
      <w:r>
        <w:t>у</w:t>
      </w:r>
      <w:r>
        <w:t>дебной власти, будет рассмотрен во второй части настоящего до</w:t>
      </w:r>
      <w:r>
        <w:t>к</w:t>
      </w:r>
      <w:r>
        <w:t>лада.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tabs>
          <w:tab w:val="clear" w:pos="360"/>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ab/>
        <w:t>2.</w:t>
      </w:r>
      <w:r>
        <w:tab/>
        <w:t>Местные советы</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Муниципальные советы: Территория Ливана разделена на провинции (мухафазы) и районы. Провинции (мухафазы) возглавляют губернаторы, а ра</w:t>
      </w:r>
      <w:r>
        <w:t>й</w:t>
      </w:r>
      <w:r>
        <w:t>оны - главы районных администраций. В городах и селениях, где имеются м</w:t>
      </w:r>
      <w:r>
        <w:t>у</w:t>
      </w:r>
      <w:r>
        <w:t>ниципальные советы, центральная власть принадлежит главе муниципалитета, который также представляет граждан, проживающих в муниципальном округе, и обеспечивает соблюдение их интересов.</w:t>
      </w:r>
    </w:p>
    <w:p w:rsidR="00000000" w:rsidRDefault="00000000">
      <w:pPr>
        <w:pStyle w:val="SingleTxt"/>
        <w:tabs>
          <w:tab w:val="clear" w:pos="1267"/>
          <w:tab w:val="left" w:pos="900"/>
        </w:tabs>
      </w:pPr>
      <w:r>
        <w:tab/>
        <w:t>В соответствии с законодательным постановлением № 5 от 3 февраля 1930 года была произведена реорганизация административных районов и со</w:t>
      </w:r>
      <w:r>
        <w:t>з</w:t>
      </w:r>
      <w:r>
        <w:t>дано пять основных регионов, число которых позднее было увеличено до ше</w:t>
      </w:r>
      <w:r>
        <w:t>с</w:t>
      </w:r>
      <w:r>
        <w:t>ти в соответствии с постановлением № 253 от 24 февраля 1983 года. Этими р</w:t>
      </w:r>
      <w:r>
        <w:t>е</w:t>
      </w:r>
      <w:r>
        <w:t>гионами являются провинции (мухафазы) Бейрут, Горный Ливан, Северный Ливан, Бекаа, Южный Ливан и Наб</w:t>
      </w:r>
      <w:r>
        <w:t>а</w:t>
      </w:r>
      <w:r>
        <w:t>тия.</w:t>
      </w:r>
    </w:p>
    <w:p w:rsidR="00000000" w:rsidRDefault="00000000">
      <w:pPr>
        <w:pStyle w:val="SingleTxt"/>
        <w:tabs>
          <w:tab w:val="clear" w:pos="1267"/>
          <w:tab w:val="left" w:pos="900"/>
        </w:tabs>
      </w:pPr>
      <w:r>
        <w:tab/>
        <w:t>Национальная ассамблея Ливана 1 июля 2003 года одобрила создание в Ливане двух новых провинций (мухафаз) в целях дальнейшей децентрализации административной власти, и таким образом количество провинций (мухафаз) в Лиане увеличилось до восьми. Двумя новыми провинциями (мухафазами) ст</w:t>
      </w:r>
      <w:r>
        <w:t>а</w:t>
      </w:r>
      <w:r>
        <w:t>ли Баальбек эль-Хармаль и Аккар. Однако процесс претворения в жизнь этого решения еще не завершен.</w:t>
      </w:r>
    </w:p>
    <w:p w:rsidR="00000000" w:rsidRDefault="00000000">
      <w:pPr>
        <w:pStyle w:val="SingleTxt"/>
        <w:tabs>
          <w:tab w:val="clear" w:pos="1267"/>
          <w:tab w:val="left" w:pos="900"/>
        </w:tabs>
      </w:pPr>
      <w:r>
        <w:tab/>
        <w:t>Каждая провинция (мухафаза) состоит из районов, за исключением пр</w:t>
      </w:r>
      <w:r>
        <w:t>о</w:t>
      </w:r>
      <w:r>
        <w:t>винции (мухафазы) Бейрут, в состав которой входит только город Бейрут. К</w:t>
      </w:r>
      <w:r>
        <w:t>а</w:t>
      </w:r>
      <w:r>
        <w:t>ждый район состоит из населенных пунктов – как городов, так и селений – в большинстве из которых имеются собственные муниципалитеты. В соответс</w:t>
      </w:r>
      <w:r>
        <w:t>т</w:t>
      </w:r>
      <w:r>
        <w:t>вии с постановлением № 116 от 12 июня 1959 года эта структура претерпела различные изменения.</w:t>
      </w:r>
    </w:p>
    <w:p w:rsidR="00000000" w:rsidRDefault="00000000">
      <w:pPr>
        <w:pStyle w:val="SingleTxt"/>
        <w:tabs>
          <w:tab w:val="clear" w:pos="1267"/>
          <w:tab w:val="left" w:pos="900"/>
        </w:tabs>
      </w:pPr>
      <w:r>
        <w:tab/>
        <w:t>Структура муниципалитетов включает в себя органы представления о</w:t>
      </w:r>
      <w:r>
        <w:t>т</w:t>
      </w:r>
      <w:r>
        <w:t>четности и органы исполнительной власти. В 2004 году на выборах в муниц</w:t>
      </w:r>
      <w:r>
        <w:t>и</w:t>
      </w:r>
      <w:r>
        <w:t>пальный совет в провинции (мухафазе) Бейрут одно место из 25 заняла же</w:t>
      </w:r>
      <w:r>
        <w:t>н</w:t>
      </w:r>
      <w:r>
        <w:t>щина, чего недостаточно с точки зрения достижения желаемых результатов в области обеспечения эффективного участия женщин в политической и общес</w:t>
      </w:r>
      <w:r>
        <w:t>т</w:t>
      </w:r>
      <w:r>
        <w:t>венной жизни. Следует отметить, что в последнее время на должность губе</w:t>
      </w:r>
      <w:r>
        <w:t>р</w:t>
      </w:r>
      <w:r>
        <w:t>натора не было назначено ни одной женщины, однако 15 лет назад одна же</w:t>
      </w:r>
      <w:r>
        <w:t>н</w:t>
      </w:r>
      <w:r>
        <w:t>щина была назначена на должность главы районной администрации, а в 2003 году еще одна женщина была назначена одним из двадцати глав райо</w:t>
      </w:r>
      <w:r>
        <w:t>н</w:t>
      </w:r>
      <w:r>
        <w:t>ных администраций.</w:t>
      </w:r>
    </w:p>
    <w:p w:rsidR="00000000" w:rsidRDefault="00000000">
      <w:pPr>
        <w:pStyle w:val="SingleTxt"/>
        <w:tabs>
          <w:tab w:val="clear" w:pos="1267"/>
          <w:tab w:val="left" w:pos="900"/>
        </w:tabs>
      </w:pPr>
      <w:r>
        <w:tab/>
        <w:t>Советы добровольцев: Любой населенный пункт с населением более 50 жителей должен управляться мэром при содействии совета добровольцев, с</w:t>
      </w:r>
      <w:r>
        <w:t>о</w:t>
      </w:r>
      <w:r>
        <w:t>стоящего из двух членов. Количество членов совета увеличивается пропорци</w:t>
      </w:r>
      <w:r>
        <w:t>о</w:t>
      </w:r>
      <w:r>
        <w:t>нально количеству жителей. Селениями с населением менее 50 жителей упра</w:t>
      </w:r>
      <w:r>
        <w:t>в</w:t>
      </w:r>
      <w:r>
        <w:t>ляет мэр совместно с ближайшим сельским советом. В отличие от главы мун</w:t>
      </w:r>
      <w:r>
        <w:t>и</w:t>
      </w:r>
      <w:r>
        <w:t>ципалитета, мэр не избирается советом добровольцев. Он, как и члены советов, избирается в ходе прямых выборов в соответствии с процедурами, аналоги</w:t>
      </w:r>
      <w:r>
        <w:t>ч</w:t>
      </w:r>
      <w:r>
        <w:t>ными процедурам выборов в муниципальные советы. Он является председат</w:t>
      </w:r>
      <w:r>
        <w:t>е</w:t>
      </w:r>
      <w:r>
        <w:t>лем совета добровольцев и представляет селение или округу в ходе консульт</w:t>
      </w:r>
      <w:r>
        <w:t>а</w:t>
      </w:r>
      <w:r>
        <w:t>ций с властями, отстаивая интересы жителей. Он обеспечивает руководство по вопросам чисто а</w:t>
      </w:r>
      <w:r>
        <w:t>д</w:t>
      </w:r>
      <w:r>
        <w:t>министративного характера.</w:t>
      </w:r>
    </w:p>
    <w:p w:rsidR="00000000" w:rsidRDefault="00000000">
      <w:pPr>
        <w:pStyle w:val="SingleTxt"/>
        <w:tabs>
          <w:tab w:val="clear" w:pos="1267"/>
          <w:tab w:val="left" w:pos="900"/>
        </w:tabs>
      </w:pPr>
      <w:r>
        <w:tab/>
        <w:t>За исключением средств, которые мэр получает за некоторые коммерч</w:t>
      </w:r>
      <w:r>
        <w:t>е</w:t>
      </w:r>
      <w:r>
        <w:t>ские сделки, он выполняет свои обязанности на общественных началах, как и члены совета добровольцев. Однако центральная государственная власть в л</w:t>
      </w:r>
      <w:r>
        <w:t>и</w:t>
      </w:r>
      <w:r>
        <w:t>це представляющих ее губернаторов и глав районных администраций осущес</w:t>
      </w:r>
      <w:r>
        <w:t>т</w:t>
      </w:r>
      <w:r>
        <w:t>вляет постоянный контроль за деятельностью как мэра, так и членов совета добровольцев. По итогам выборов, состоявшихся в провинции (мухафазе) Бе</w:t>
      </w:r>
      <w:r>
        <w:t>й</w:t>
      </w:r>
      <w:r>
        <w:t>рут в</w:t>
      </w:r>
      <w:r>
        <w:rPr>
          <w:lang w:val="en-US"/>
        </w:rPr>
        <w:t> </w:t>
      </w:r>
      <w:r>
        <w:t>2004 году, женщины получили в советах добровольцев лишь два места из 108, что свидетельствует о том, что им не удалось достичь требуемых резул</w:t>
      </w:r>
      <w:r>
        <w:t>ь</w:t>
      </w:r>
      <w:r>
        <w:t>татов в этой области.</w:t>
      </w:r>
    </w:p>
    <w:p w:rsidR="00000000" w:rsidRDefault="00000000">
      <w:pPr>
        <w:pStyle w:val="SingleTxt"/>
        <w:tabs>
          <w:tab w:val="clear" w:pos="1267"/>
          <w:tab w:val="left" w:pos="900"/>
        </w:tabs>
      </w:pPr>
      <w:r>
        <w:tab/>
        <w:t>Следует отметить, что женщины не добились равных с мужчинами во</w:t>
      </w:r>
      <w:r>
        <w:t>з</w:t>
      </w:r>
      <w:r>
        <w:t>можностей в деле представления правительства на международном уровне, и, таким образом, политические, внутренние, региональные и международные вопросы по-прежнему решают мужчины.</w:t>
      </w:r>
    </w:p>
    <w:p w:rsidR="00000000" w:rsidRDefault="00000000">
      <w:pPr>
        <w:pStyle w:val="SingleTxt"/>
        <w:tabs>
          <w:tab w:val="clear" w:pos="1267"/>
          <w:tab w:val="left" w:pos="900"/>
        </w:tabs>
        <w:spacing w:after="0"/>
      </w:pPr>
      <w:r>
        <w:tab/>
        <w:t>Нет никаких сомнений в том, что устранение препятствий на пути же</w:t>
      </w:r>
      <w:r>
        <w:t>н</w:t>
      </w:r>
      <w:r>
        <w:t>щин требует от них неустанных усилий, направленных на то, чтобы продемо</w:t>
      </w:r>
      <w:r>
        <w:t>н</w:t>
      </w:r>
      <w:r>
        <w:t>стрировать свою компетентность, опыт и способности в целях укрепления св</w:t>
      </w:r>
      <w:r>
        <w:t>о</w:t>
      </w:r>
      <w:r>
        <w:t>ей роли в процессе политического руководства, более активного участия в де</w:t>
      </w:r>
      <w:r>
        <w:t>я</w:t>
      </w:r>
      <w:r>
        <w:t>тельности политических партий и профсоюзов, а также освобождения полит</w:t>
      </w:r>
      <w:r>
        <w:t>и</w:t>
      </w:r>
      <w:r>
        <w:t>ческой системы от конфессиональных ограничений. В то же время правител</w:t>
      </w:r>
      <w:r>
        <w:t>ь</w:t>
      </w:r>
      <w:r>
        <w:t>ство должно осуществлять меры и программы, призванные создать для же</w:t>
      </w:r>
      <w:r>
        <w:t>н</w:t>
      </w:r>
      <w:r>
        <w:t>щин дополнительные стимулы и обеспечить их успешное и эффективное уч</w:t>
      </w:r>
      <w:r>
        <w:t>а</w:t>
      </w:r>
      <w:r>
        <w:t>стие.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1260"/>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2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Общая правовая основа защиты прав человека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270" w:lineRule="exact"/>
        <w:rPr>
          <w:b/>
          <w:sz w:val="24"/>
        </w:rPr>
      </w:pPr>
      <w:r>
        <w:rPr>
          <w:b/>
          <w:sz w:val="24"/>
        </w:rPr>
        <w:t>(Статья 2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left" w:pos="900"/>
        </w:tabs>
      </w:pPr>
      <w:r>
        <w:tab/>
        <w:t>Существует три столпа, на которых зиждется защита прав человека:</w:t>
      </w:r>
    </w:p>
    <w:p w:rsidR="00000000" w:rsidRDefault="00000000">
      <w:pPr>
        <w:pStyle w:val="SingleTxt"/>
        <w:tabs>
          <w:tab w:val="clear" w:pos="1267"/>
          <w:tab w:val="left" w:pos="900"/>
        </w:tabs>
        <w:ind w:left="2223" w:hanging="956"/>
      </w:pPr>
      <w:r>
        <w:tab/>
        <w:t>-</w:t>
      </w:r>
      <w:r>
        <w:tab/>
        <w:t>положения конституции и обеспечение соответствия законов пол</w:t>
      </w:r>
      <w:r>
        <w:t>о</w:t>
      </w:r>
      <w:r>
        <w:t>жениям констит</w:t>
      </w:r>
      <w:r>
        <w:t>у</w:t>
      </w:r>
      <w:r>
        <w:t>ции;</w:t>
      </w:r>
    </w:p>
    <w:p w:rsidR="00000000" w:rsidRDefault="00000000">
      <w:pPr>
        <w:pStyle w:val="SingleTxt"/>
        <w:tabs>
          <w:tab w:val="clear" w:pos="1267"/>
          <w:tab w:val="left" w:pos="900"/>
        </w:tabs>
        <w:ind w:left="2223" w:hanging="956"/>
      </w:pPr>
      <w:r>
        <w:tab/>
        <w:t>-</w:t>
      </w:r>
      <w:r>
        <w:tab/>
        <w:t>положения международных документов и их приоритет над внутр</w:t>
      </w:r>
      <w:r>
        <w:t>и</w:t>
      </w:r>
      <w:r>
        <w:t>государс</w:t>
      </w:r>
      <w:r>
        <w:t>т</w:t>
      </w:r>
      <w:r>
        <w:t>венным законодательством;</w:t>
      </w:r>
    </w:p>
    <w:p w:rsidR="00000000" w:rsidRDefault="00000000">
      <w:pPr>
        <w:pStyle w:val="SingleTxt"/>
        <w:tabs>
          <w:tab w:val="clear" w:pos="1267"/>
          <w:tab w:val="left" w:pos="900"/>
        </w:tabs>
        <w:ind w:left="2223" w:hanging="956"/>
      </w:pPr>
      <w:r>
        <w:tab/>
        <w:t>-</w:t>
      </w:r>
      <w:r>
        <w:tab/>
        <w:t>юридический мониторинг административной деятельности.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I.</w:t>
      </w:r>
      <w:r>
        <w:tab/>
        <w:t>Положения конституции и обеспечение соответствия законов положениям конституции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left" w:pos="900"/>
        </w:tabs>
      </w:pPr>
      <w:r>
        <w:tab/>
        <w:t xml:space="preserve">Положения Конституции Ливана предваряет преамбула, добавленная к основному тексту в 1990 году, за которой следует глава </w:t>
      </w:r>
      <w:r>
        <w:rPr>
          <w:lang w:val="en-US"/>
        </w:rPr>
        <w:t>I</w:t>
      </w:r>
      <w:r>
        <w:t>, состоящая из перв</w:t>
      </w:r>
      <w:r>
        <w:t>о</w:t>
      </w:r>
      <w:r>
        <w:t>го раздела, озаглавленного "Государство и его территории", и второго раздела под названием "Граждане Ливана, их права и обязанн</w:t>
      </w:r>
      <w:r>
        <w:t>о</w:t>
      </w:r>
      <w:r>
        <w:t>сти".</w:t>
      </w:r>
    </w:p>
    <w:p w:rsidR="00000000" w:rsidRDefault="00000000">
      <w:pPr>
        <w:pStyle w:val="SingleTxt"/>
        <w:tabs>
          <w:tab w:val="clear" w:pos="1267"/>
          <w:tab w:val="left" w:pos="900"/>
        </w:tabs>
      </w:pPr>
      <w:r>
        <w:tab/>
        <w:t>В статье 7 второго раздела Конституции говорится следующее: "Все гр</w:t>
      </w:r>
      <w:r>
        <w:t>а</w:t>
      </w:r>
      <w:r>
        <w:t>ждане Ливана равны перед законом. Они пользуются равными гражданскими и политическими правами и в равной степени связаны общественными обяз</w:t>
      </w:r>
      <w:r>
        <w:t>а</w:t>
      </w:r>
      <w:r>
        <w:t>тельствами и обязанностями без какого-либо различия между ними". В статье 12 также говорится, что "каждый гражданин Ливана имеет право на работу в системе гражданской службы; ни один человек не вправе иметь пр</w:t>
      </w:r>
      <w:r>
        <w:t>е</w:t>
      </w:r>
      <w:r>
        <w:t>имущества над другими людьми, кроме как по причинам личных заслуг и сп</w:t>
      </w:r>
      <w:r>
        <w:t>о</w:t>
      </w:r>
      <w:r>
        <w:t>собностей, в соответствии с предусмотренн</w:t>
      </w:r>
      <w:r>
        <w:t>ы</w:t>
      </w:r>
      <w:r>
        <w:t xml:space="preserve">ми законом условиями". </w:t>
      </w:r>
    </w:p>
    <w:p w:rsidR="00000000" w:rsidRDefault="00000000">
      <w:pPr>
        <w:pStyle w:val="SingleTxt"/>
        <w:tabs>
          <w:tab w:val="clear" w:pos="1267"/>
          <w:tab w:val="left" w:pos="900"/>
        </w:tabs>
      </w:pPr>
      <w:r>
        <w:tab/>
        <w:t>Таким образом, в Конституции Ливана закреплено полное равенство всех граждан перед законом, однако в ней не содержится конкретных или прямо сформулированных положений о равноправии мужчин и женщин. Тем не м</w:t>
      </w:r>
      <w:r>
        <w:t>е</w:t>
      </w:r>
      <w:r>
        <w:t>нее, такое равноправие является одним из принципов Конституции, которые законодательные органы обязаны соблюдать (решение № 1/2000 Конституц</w:t>
      </w:r>
      <w:r>
        <w:t>и</w:t>
      </w:r>
      <w:r>
        <w:t>онного совета Ливана от 1 февраля 2000 года). Кроме того, текст преамбулы к Конституции имеет такое же конституционное значение, как и прямо сформ</w:t>
      </w:r>
      <w:r>
        <w:t>у</w:t>
      </w:r>
      <w:r>
        <w:t>лированные положения самой Конст</w:t>
      </w:r>
      <w:r>
        <w:t>и</w:t>
      </w:r>
      <w:r>
        <w:t>туции.</w:t>
      </w:r>
    </w:p>
    <w:p w:rsidR="00000000" w:rsidRDefault="00000000">
      <w:pPr>
        <w:pStyle w:val="SingleTxt"/>
        <w:tabs>
          <w:tab w:val="clear" w:pos="1267"/>
          <w:tab w:val="left" w:pos="900"/>
        </w:tabs>
      </w:pPr>
      <w:r>
        <w:tab/>
        <w:t>В преамбуле к Конституции говорится, что Ливан является "одним из о</w:t>
      </w:r>
      <w:r>
        <w:t>с</w:t>
      </w:r>
      <w:r>
        <w:t>нователей Организации Объединенных Наций и руководствуется ее постано</w:t>
      </w:r>
      <w:r>
        <w:t>в</w:t>
      </w:r>
      <w:r>
        <w:t>лениями и Всеобщей декларацией прав человека. Государству надлежит и</w:t>
      </w:r>
      <w:r>
        <w:t>с</w:t>
      </w:r>
      <w:r>
        <w:t>пользовать эти принципы во всех областях и сферах без и</w:t>
      </w:r>
      <w:r>
        <w:t>с</w:t>
      </w:r>
      <w:r>
        <w:t>ключения".</w:t>
      </w:r>
    </w:p>
    <w:p w:rsidR="00000000" w:rsidRDefault="00000000">
      <w:pPr>
        <w:pStyle w:val="SingleTxt"/>
        <w:tabs>
          <w:tab w:val="clear" w:pos="1267"/>
          <w:tab w:val="left" w:pos="900"/>
        </w:tabs>
      </w:pPr>
      <w:r>
        <w:tab/>
        <w:t>С момента принятия своего первого решения о контроле за обеспечением соответствия законов положениям Конституции Конституционный совет Л</w:t>
      </w:r>
      <w:r>
        <w:t>и</w:t>
      </w:r>
      <w:r>
        <w:t>вана не раз ссылался на преамбулу к Конституции (решение № 3/95 от 18 сентября 1995 года, решение № 4/96 от 7 августа 1996 года и решения №№ 1 и 2 от 12 сентября 1997 года) и на общие конституционные принципы (реш</w:t>
      </w:r>
      <w:r>
        <w:t>е</w:t>
      </w:r>
      <w:r>
        <w:t>ние № 2/95 от 25 февраля 1995 года), тем самым проложив путь усилиям, кот</w:t>
      </w:r>
      <w:r>
        <w:t>о</w:t>
      </w:r>
      <w:r>
        <w:t>рые предпринимались в течение последних пяти лет и благодаря которым пр</w:t>
      </w:r>
      <w:r>
        <w:t>е</w:t>
      </w:r>
      <w:r>
        <w:t>амбула к Конституции считается "ее неотъемлемой частью", имеющей "такое же конституционное значение, как и положения Конституции" (решение № 2/1999 от 24 ноября 1999 года и решение № 2/2001 от 10 мая 2001 года). В более широком смысле, Конституционный совет Ливана утверждает, что "п</w:t>
      </w:r>
      <w:r>
        <w:t>о</w:t>
      </w:r>
      <w:r>
        <w:t>скольку в Хартию национального примирения включены положения, содерж</w:t>
      </w:r>
      <w:r>
        <w:t>а</w:t>
      </w:r>
      <w:r>
        <w:t>щиеся в преамбуле или тексте Конституции, или общие принципы, имеющие конституционное значение, нарушение этих положений и принципов подлежит рассмотрению Конституционным советом" (решение № 2/1 от 31 января 2001 года и решение № 2/2002 от 3 июля 2002 года).</w:t>
      </w:r>
    </w:p>
    <w:p w:rsidR="00000000" w:rsidRDefault="00000000">
      <w:pPr>
        <w:pStyle w:val="SingleTxt"/>
        <w:tabs>
          <w:tab w:val="clear" w:pos="1267"/>
          <w:tab w:val="left" w:pos="900"/>
        </w:tabs>
      </w:pPr>
      <w:r>
        <w:tab/>
        <w:t>Кроме того, "международные документы, прямо упоминаемые в преамб</w:t>
      </w:r>
      <w:r>
        <w:t>у</w:t>
      </w:r>
      <w:r>
        <w:t>ле к Конституции, вместе с самой преамбулой составляют … [ее] неотъемл</w:t>
      </w:r>
      <w:r>
        <w:t>е</w:t>
      </w:r>
      <w:r>
        <w:t>мую часть и имеют равную конституционную силу" (решение № 2/2001 Ко</w:t>
      </w:r>
      <w:r>
        <w:t>н</w:t>
      </w:r>
      <w:r>
        <w:t>ституционного совета Ливана от 10 мая 2001 года). Более того, в Уставе Орг</w:t>
      </w:r>
      <w:r>
        <w:t>а</w:t>
      </w:r>
      <w:r>
        <w:t>низации Объединенных Наций, как и во Всеобщей декларации прав человека – оба эти документа стали неотъемлемой частью преамбулы к Конституции – подчеркивается право на обладание всеми правами и свободами без какой бы то ни было дискриминации по признаку расы, цвета кожи, пола, языка или р</w:t>
      </w:r>
      <w:r>
        <w:t>е</w:t>
      </w:r>
      <w:r>
        <w:t>лигии, […] без какого-либо различия между му</w:t>
      </w:r>
      <w:r>
        <w:t>ж</w:t>
      </w:r>
      <w:r>
        <w:t>чинами и женщинами.</w:t>
      </w:r>
    </w:p>
    <w:p w:rsidR="00000000" w:rsidRDefault="00000000">
      <w:pPr>
        <w:pStyle w:val="SingleTxt"/>
        <w:tabs>
          <w:tab w:val="clear" w:pos="1267"/>
          <w:tab w:val="left" w:pos="900"/>
        </w:tabs>
      </w:pPr>
      <w:r>
        <w:tab/>
        <w:t>На этом основании можно, наконец, подчеркнуть, что в Ливане равнопр</w:t>
      </w:r>
      <w:r>
        <w:t>а</w:t>
      </w:r>
      <w:r>
        <w:t>вие мужчин и женщин является общим принципом, имеющим конституцио</w:t>
      </w:r>
      <w:r>
        <w:t>н</w:t>
      </w:r>
      <w:r>
        <w:t>ное значение. Соответственно, любые новые законоположения, не обеспеч</w:t>
      </w:r>
      <w:r>
        <w:t>и</w:t>
      </w:r>
      <w:r>
        <w:t>вающие такого равноправия, будут аннулированы Констит</w:t>
      </w:r>
      <w:r>
        <w:t>у</w:t>
      </w:r>
      <w:r>
        <w:t>ционным советом.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Что касается решений Конституционного совета, они имеют такую же с</w:t>
      </w:r>
      <w:r>
        <w:t>и</w:t>
      </w:r>
      <w:r>
        <w:t xml:space="preserve">лу, как судебные постановления, и являются обязательными для всех органов государственной, судебной и административной власти. </w:t>
      </w:r>
    </w:p>
    <w:p w:rsidR="00000000" w:rsidRDefault="00000000">
      <w:pPr>
        <w:pStyle w:val="SingleTxt"/>
        <w:spacing w:after="0" w:line="180" w:lineRule="auto"/>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w:t>
      </w:r>
      <w:r>
        <w:tab/>
        <w:t>Положения международных документов и их приоритет над внутригосударственным законодательством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left" w:pos="900"/>
        </w:tabs>
      </w:pPr>
      <w:r>
        <w:tab/>
        <w:t>Помимо обязательств, предусмотренных в документах Организации Об</w:t>
      </w:r>
      <w:r>
        <w:t>ъ</w:t>
      </w:r>
      <w:r>
        <w:t>единенных Наций и во Всеобщей декларации прав человека, для Ливана обяз</w:t>
      </w:r>
      <w:r>
        <w:t>а</w:t>
      </w:r>
      <w:r>
        <w:t>тельными являются положения Международного пакта об экономических, с</w:t>
      </w:r>
      <w:r>
        <w:t>о</w:t>
      </w:r>
      <w:r>
        <w:t>циальных и культурных правах и Международного пакта о гражданских и п</w:t>
      </w:r>
      <w:r>
        <w:t>о</w:t>
      </w:r>
      <w:r>
        <w:t>литических правах.</w:t>
      </w:r>
    </w:p>
    <w:p w:rsidR="00000000" w:rsidRDefault="00000000">
      <w:pPr>
        <w:pStyle w:val="SingleTxt"/>
        <w:tabs>
          <w:tab w:val="clear" w:pos="1267"/>
          <w:tab w:val="left" w:pos="900"/>
        </w:tabs>
      </w:pPr>
      <w:r>
        <w:tab/>
        <w:t>На данном этапе следует отметить, что государства, участвующие в двух вышеупомянутых пактах, обязуются обеспечивать соблюдение закрепленных в них прав без какого бы то ни было различия, как-то в отношении расы… (ст</w:t>
      </w:r>
      <w:r>
        <w:t>а</w:t>
      </w:r>
      <w:r>
        <w:t>тья 2 первого Пакта и статья 2 второго Пакта). Участвующие в пактах госуда</w:t>
      </w:r>
      <w:r>
        <w:t>р</w:t>
      </w:r>
      <w:r>
        <w:t>ства также обязуются обеспечить равное для мужчин и женщин право польз</w:t>
      </w:r>
      <w:r>
        <w:t>о</w:t>
      </w:r>
      <w:r>
        <w:t>вания всеми гражданскими и политическими правами, закрепленными в пе</w:t>
      </w:r>
      <w:r>
        <w:t>р</w:t>
      </w:r>
      <w:r>
        <w:t>вом Пакте (статья 3 Пакта), и всеми гражданскими и политическими правами, закрепленными во втором Па</w:t>
      </w:r>
      <w:r>
        <w:t>к</w:t>
      </w:r>
      <w:r>
        <w:t>те (статья 3 Пакта).</w:t>
      </w:r>
    </w:p>
    <w:p w:rsidR="00000000" w:rsidRDefault="00000000">
      <w:pPr>
        <w:pStyle w:val="SingleTxt"/>
        <w:tabs>
          <w:tab w:val="clear" w:pos="1267"/>
          <w:tab w:val="left" w:pos="900"/>
        </w:tabs>
      </w:pPr>
      <w:r>
        <w:tab/>
        <w:t>Помимо вышесказанного, обязательными для Ливана являются также п</w:t>
      </w:r>
      <w:r>
        <w:t>о</w:t>
      </w:r>
      <w:r>
        <w:t>ложения целого ряда международных конвенций (некоторые из них упомянуты в первоначальном докладе), направленных на предупреждение дискриминации по признаку пола в целом ряде областей. Однако следует особо отметить, что в Ливане международные конвенции имеют приоритет над внутригосударстве</w:t>
      </w:r>
      <w:r>
        <w:t>н</w:t>
      </w:r>
      <w:r>
        <w:t>ным законодательством в соответствии с прямо сформулированным положен</w:t>
      </w:r>
      <w:r>
        <w:t>и</w:t>
      </w:r>
      <w:r>
        <w:t>ем, гласящим, что "в случае если положения международных договоров прот</w:t>
      </w:r>
      <w:r>
        <w:t>и</w:t>
      </w:r>
      <w:r>
        <w:t>воречат положениям обыкновенного законодательства, первые имеют приор</w:t>
      </w:r>
      <w:r>
        <w:t>и</w:t>
      </w:r>
      <w:r>
        <w:t>тет над вторыми с точки зрения их применения" (пункт 2 статьи 2 Гражданск</w:t>
      </w:r>
      <w:r>
        <w:t>о</w:t>
      </w:r>
      <w:r>
        <w:t>го проце</w:t>
      </w:r>
      <w:r>
        <w:t>с</w:t>
      </w:r>
      <w:r>
        <w:t xml:space="preserve">суального кодекса). </w:t>
      </w:r>
    </w:p>
    <w:p w:rsidR="00000000" w:rsidRDefault="00000000">
      <w:pPr>
        <w:pStyle w:val="SingleTxt"/>
        <w:tabs>
          <w:tab w:val="clear" w:pos="1267"/>
          <w:tab w:val="left" w:pos="900"/>
        </w:tabs>
      </w:pPr>
      <w:r>
        <w:tab/>
        <w:t>В этой связи следует отметить, что Конвенция № 111 Международной о</w:t>
      </w:r>
      <w:r>
        <w:t>р</w:t>
      </w:r>
      <w:r>
        <w:t>ганизации труда, в соответствии с которой запрещена дискриминация в обла</w:t>
      </w:r>
      <w:r>
        <w:t>с</w:t>
      </w:r>
      <w:r>
        <w:t>ти труда и занятий, сыграла решающую роль, когда судебные органы Ливана приняли независимое решение о том, что мужчины и женщины, охваченные программой социального страхования, имеют равные права и что имеющие страховку женщины имеют право на получение пособий по социальному обе</w:t>
      </w:r>
      <w:r>
        <w:t>с</w:t>
      </w:r>
      <w:r>
        <w:t>печению для своих детей в случае отсутствия других источников финансир</w:t>
      </w:r>
      <w:r>
        <w:t>о</w:t>
      </w:r>
      <w:r>
        <w:t>вания. Это независимое решение оставалось в силе до 2000 года, когда закон</w:t>
      </w:r>
      <w:r>
        <w:t>о</w:t>
      </w:r>
      <w:r>
        <w:t>дательный орган принял меры к внесению прямо сформулированной поправки такого рода к статье 14 З</w:t>
      </w:r>
      <w:r>
        <w:t>а</w:t>
      </w:r>
      <w:r>
        <w:t>кона о социальном страховании.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настоящее время в рамках процесса модернизации ливанского закон</w:t>
      </w:r>
      <w:r>
        <w:t>о</w:t>
      </w:r>
      <w:r>
        <w:t>дательства продолжается согласование положений внутригосударственного з</w:t>
      </w:r>
      <w:r>
        <w:t>а</w:t>
      </w:r>
      <w:r>
        <w:t>конодательства с международными конвенциями, к которым присоединился Ливан. (В июле 2004 года министр труда представил Генеральному секрет</w:t>
      </w:r>
      <w:r>
        <w:t>а</w:t>
      </w:r>
      <w:r>
        <w:t>риату Управления Председателя Кабинета министров законопроект о внесении изменений в Закон о занятости с целью заложить основу для ликвидации н</w:t>
      </w:r>
      <w:r>
        <w:t>е</w:t>
      </w:r>
      <w:r>
        <w:t>равноправия мужчин и женщин и обеспечить соблюдение арабских и межд</w:t>
      </w:r>
      <w:r>
        <w:t>у</w:t>
      </w:r>
      <w:r>
        <w:t>народных конвенций, к которым присоединился Ливан. До этого, 30 января 2004 года, было введено в действие постановление, регулирующее вопросы охраны, техники безопасности и гигиены труда в учреждениях в соответствии с Законом о занятости. Его положения согласованы с соответствующими п</w:t>
      </w:r>
      <w:r>
        <w:t>о</w:t>
      </w:r>
      <w:r>
        <w:t>ложениями международных конвенций о нормах труда, к которым присоед</w:t>
      </w:r>
      <w:r>
        <w:t>и</w:t>
      </w:r>
      <w:r>
        <w:t>нился Л</w:t>
      </w:r>
      <w:r>
        <w:t>и</w:t>
      </w:r>
      <w:r>
        <w:t xml:space="preserve">ван.)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III.</w:t>
      </w:r>
      <w:r>
        <w:tab/>
        <w:t xml:space="preserve">Юридический  мониторинг административной деятельности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left" w:pos="900"/>
        </w:tabs>
      </w:pPr>
      <w:r>
        <w:tab/>
        <w:t>Суды в Ливане не имеют права объявлять недействительными какие-либо акты законодательной власти по причине несоответствия обыкновенных зак</w:t>
      </w:r>
      <w:r>
        <w:t>о</w:t>
      </w:r>
      <w:r>
        <w:t>нов Конституции или международным конвенциям (пункт 3 статьи 2 Гражда</w:t>
      </w:r>
      <w:r>
        <w:t>н</w:t>
      </w:r>
      <w:r>
        <w:t>ского процессуального кодекса). Однако любые административные решения, идущие вразрез с каким-либо законом, положением или судебным постановл</w:t>
      </w:r>
      <w:r>
        <w:t>е</w:t>
      </w:r>
      <w:r>
        <w:t>нием, объявляются недействительными (статья 108 Закона, включающего в с</w:t>
      </w:r>
      <w:r>
        <w:t>е</w:t>
      </w:r>
      <w:r>
        <w:t>бя устав Государственного ко</w:t>
      </w:r>
      <w:r>
        <w:t>н</w:t>
      </w:r>
      <w:r>
        <w:t>сультативного совета).</w:t>
      </w:r>
    </w:p>
    <w:p w:rsidR="00000000" w:rsidRDefault="00000000">
      <w:pPr>
        <w:pStyle w:val="SingleTxt"/>
        <w:tabs>
          <w:tab w:val="clear" w:pos="1267"/>
          <w:tab w:val="left" w:pos="900"/>
        </w:tabs>
      </w:pPr>
      <w:r>
        <w:tab/>
        <w:t>Нарушение законодательства является основным препятствием для в</w:t>
      </w:r>
      <w:r>
        <w:t>ы</w:t>
      </w:r>
      <w:r>
        <w:t>полнения административных решений и, таким образом, представляет собой главную причину их последующего аннулирования.</w:t>
      </w:r>
    </w:p>
    <w:p w:rsidR="00000000" w:rsidRDefault="00000000">
      <w:pPr>
        <w:pStyle w:val="SingleTxt"/>
        <w:tabs>
          <w:tab w:val="clear" w:pos="1267"/>
          <w:tab w:val="left" w:pos="900"/>
        </w:tabs>
      </w:pPr>
      <w:r>
        <w:tab/>
        <w:t>Нарушением законодательства считается не только нарушение прямо сформулированных законодательных положений или нормативных правовых актов; оно также охватывает все источники, в которых сформулированы пр</w:t>
      </w:r>
      <w:r>
        <w:t>а</w:t>
      </w:r>
      <w:r>
        <w:t>вовые нормы, прежде всего Конституцию и международные конвенции. В р</w:t>
      </w:r>
      <w:r>
        <w:t>е</w:t>
      </w:r>
      <w:r>
        <w:t>шении Государственного конституционного совета Ливана говорится, что именно Совет, являющийся "верховным конституционным судом, осуществл</w:t>
      </w:r>
      <w:r>
        <w:t>я</w:t>
      </w:r>
      <w:r>
        <w:t>ет контроль за соответствием административных решений положениям Ко</w:t>
      </w:r>
      <w:r>
        <w:t>н</w:t>
      </w:r>
      <w:r>
        <w:t>ституции в случаях, когда такие решения представляют собой явное наруш</w:t>
      </w:r>
      <w:r>
        <w:t>е</w:t>
      </w:r>
      <w:r>
        <w:t>ние Конституции" (решение № 522 от 8 мая 1996 года).</w:t>
      </w:r>
    </w:p>
    <w:p w:rsidR="00000000" w:rsidRDefault="00000000">
      <w:pPr>
        <w:pStyle w:val="SingleTxt"/>
        <w:tabs>
          <w:tab w:val="clear" w:pos="1267"/>
          <w:tab w:val="left" w:pos="900"/>
        </w:tabs>
      </w:pPr>
      <w:r>
        <w:tab/>
        <w:t>Соответственно, любая мера, ведущая к нарушению какой-либо нормы или какого-либо общего правового принципа, такого как, например, право пользоваться правами и свободами без какой бы то ни было дискриминации, могут быть аннулированы Государственным консультати</w:t>
      </w:r>
      <w:r>
        <w:t>в</w:t>
      </w:r>
      <w:r>
        <w:t>ным советом.</w:t>
      </w:r>
    </w:p>
    <w:p w:rsidR="00000000" w:rsidRDefault="00000000">
      <w:pPr>
        <w:pStyle w:val="SingleTxt"/>
        <w:tabs>
          <w:tab w:val="clear" w:pos="1267"/>
          <w:tab w:val="left" w:pos="900"/>
        </w:tabs>
        <w:spacing w:after="0"/>
      </w:pPr>
      <w:r>
        <w:tab/>
        <w:t>Хотя вышесказанное и подразумевает защиту основных прав законод</w:t>
      </w:r>
      <w:r>
        <w:t>а</w:t>
      </w:r>
      <w:r>
        <w:t>тельством, соответствующее требование до сих пор не установлено, поскольку в Конституции не содержится четкого положения о запрете дискриминации по признаку п</w:t>
      </w:r>
      <w:r>
        <w:t>о</w:t>
      </w:r>
      <w:r>
        <w:t>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126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1260"/>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3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Органы, функционирующие в официальном и неправительственном секторах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w:t>
      </w:r>
      <w:r>
        <w:t>.</w:t>
      </w:r>
      <w:r>
        <w:tab/>
        <w:t xml:space="preserve">Органы, функционирующие в официальном секторе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left" w:pos="900"/>
        </w:tabs>
      </w:pPr>
      <w:r>
        <w:tab/>
        <w:t xml:space="preserve">Делами и проблемами женщин занимаются четыре официальных органа: </w:t>
      </w:r>
    </w:p>
    <w:p w:rsidR="00000000" w:rsidRDefault="00000000">
      <w:pPr>
        <w:pStyle w:val="SingleTxt"/>
        <w:tabs>
          <w:tab w:val="clear" w:pos="1267"/>
          <w:tab w:val="left" w:pos="900"/>
        </w:tabs>
      </w:pPr>
      <w:r>
        <w:rPr>
          <w:i/>
        </w:rPr>
        <w:tab/>
        <w:t>1.</w:t>
      </w:r>
      <w:r>
        <w:rPr>
          <w:i/>
        </w:rPr>
        <w:tab/>
        <w:t xml:space="preserve">Национальная комиссия по делам ливанских женщин. </w:t>
      </w:r>
      <w:r>
        <w:t>Национальная комиссия по делам ливанских женщин была учреждена в 1998 году по итогам Пекинской конференции. На нее, как на ведущий официальный орган по делам женщин, возложена задача собирать максимально полную информацию по д</w:t>
      </w:r>
      <w:r>
        <w:t>е</w:t>
      </w:r>
      <w:r>
        <w:t>лам женщин и на ее основе разрабатывать стратегии, планы действий и рек</w:t>
      </w:r>
      <w:r>
        <w:t>о</w:t>
      </w:r>
      <w:r>
        <w:t>мендации. Кроме того, она обязана обеспечивать координацию и взаимодейс</w:t>
      </w:r>
      <w:r>
        <w:t>т</w:t>
      </w:r>
      <w:r>
        <w:t>вие с государственными учреждениями и неправительственными организаци</w:t>
      </w:r>
      <w:r>
        <w:t>я</w:t>
      </w:r>
      <w:r>
        <w:t>ми, а также исполнять представительские функции внутри страны и за руб</w:t>
      </w:r>
      <w:r>
        <w:t>е</w:t>
      </w:r>
      <w:r>
        <w:t>жом, повсеместно подтверждая, таким образом, официальную позицию лива</w:t>
      </w:r>
      <w:r>
        <w:t>н</w:t>
      </w:r>
      <w:r>
        <w:t>ского государства в отношении проблем женщин.</w:t>
      </w:r>
    </w:p>
    <w:p w:rsidR="00000000" w:rsidRDefault="00000000">
      <w:pPr>
        <w:pStyle w:val="SingleTxt"/>
        <w:tabs>
          <w:tab w:val="clear" w:pos="1267"/>
          <w:tab w:val="left" w:pos="900"/>
        </w:tabs>
      </w:pPr>
      <w:r>
        <w:tab/>
        <w:t>За период, прошедший между представлением первоначального доклада Комитету по ликвидации всех форм дискриминации в отношении женщин и настоящего доклада (2000-2004 годы), Комиссия дважды реформировалась. Национальная комиссия по делам ливанских женщин внесла свой вклад в ос</w:t>
      </w:r>
      <w:r>
        <w:t>у</w:t>
      </w:r>
      <w:r>
        <w:t>ществление Конвенции о ликвидации всех форм дискриминации в отношении женщин с помощью целого ряда мероприятий/проектов, важнейшие из кот</w:t>
      </w:r>
      <w:r>
        <w:t>о</w:t>
      </w:r>
      <w:r>
        <w:t>рых перечисляются н</w:t>
      </w:r>
      <w:r>
        <w:t>и</w:t>
      </w:r>
      <w:r>
        <w:t>же.</w:t>
      </w:r>
    </w:p>
    <w:p w:rsidR="00000000" w:rsidRDefault="00000000">
      <w:pPr>
        <w:pStyle w:val="SingleTxt"/>
        <w:tabs>
          <w:tab w:val="clear" w:pos="1267"/>
          <w:tab w:val="left" w:pos="900"/>
        </w:tabs>
      </w:pPr>
      <w:r>
        <w:tab/>
        <w:t>Представители Комиссии приняли участие в заседании Парламентского комитета по административным вопросам и вопросам правосудия для пре</w:t>
      </w:r>
      <w:r>
        <w:t>д</w:t>
      </w:r>
      <w:r>
        <w:t>ставления предложений по законопроекту, который касается Факультативного протокола о предупреждении и пресечении торговли людьми, особенно же</w:t>
      </w:r>
      <w:r>
        <w:t>н</w:t>
      </w:r>
      <w:r>
        <w:t>щинами и детьми, и наказании за нее, дополняющего Конвенцию Организации Объединенных Наций против транснациональной организованной преступн</w:t>
      </w:r>
      <w:r>
        <w:t>о</w:t>
      </w:r>
      <w:r>
        <w:t>сти. Недавно они также приняли участие в заседании Парламентского подк</w:t>
      </w:r>
      <w:r>
        <w:t>о</w:t>
      </w:r>
      <w:r>
        <w:t>митета по административным вопросам и вопросам правосудия, которому б</w:t>
      </w:r>
      <w:r>
        <w:t>ы</w:t>
      </w:r>
      <w:r>
        <w:t>ло пор</w:t>
      </w:r>
      <w:r>
        <w:t>у</w:t>
      </w:r>
      <w:r>
        <w:t xml:space="preserve">чено изучить законопроект о внесении поправок в Уголовный кодекс. </w:t>
      </w:r>
    </w:p>
    <w:p w:rsidR="00000000" w:rsidRDefault="00000000">
      <w:pPr>
        <w:pStyle w:val="SingleTxt"/>
        <w:tabs>
          <w:tab w:val="clear" w:pos="1267"/>
          <w:tab w:val="left" w:pos="900"/>
        </w:tabs>
      </w:pPr>
      <w:r>
        <w:tab/>
        <w:t>В контексте долгосрочной стратегии по изменению традиционных взгл</w:t>
      </w:r>
      <w:r>
        <w:t>я</w:t>
      </w:r>
      <w:r>
        <w:t>дов, включающих социальные и культурные стереотипы в связи с поведением мужчин и женщин, Комиссия особо отметила выдающихся и активно зан</w:t>
      </w:r>
      <w:r>
        <w:t>и</w:t>
      </w:r>
      <w:r>
        <w:t>мающихся общественной работой женщин, награждая женщин-ученых, акт</w:t>
      </w:r>
      <w:r>
        <w:t>и</w:t>
      </w:r>
      <w:r>
        <w:t>висток, работников СМИ и студенток на мероприятиях и церемониях, посв</w:t>
      </w:r>
      <w:r>
        <w:t>я</w:t>
      </w:r>
      <w:r>
        <w:t>щенных ливанским или арабским же</w:t>
      </w:r>
      <w:r>
        <w:t>н</w:t>
      </w:r>
      <w:r>
        <w:t>щинам, матерям и т.д.</w:t>
      </w:r>
    </w:p>
    <w:p w:rsidR="00000000" w:rsidRDefault="00000000">
      <w:pPr>
        <w:pStyle w:val="SingleTxt"/>
        <w:tabs>
          <w:tab w:val="clear" w:pos="1267"/>
          <w:tab w:val="left" w:pos="900"/>
        </w:tabs>
      </w:pPr>
      <w:r>
        <w:tab/>
        <w:t>Комиссия была представлена на конференциях арабских женщин и орг</w:t>
      </w:r>
      <w:r>
        <w:t>а</w:t>
      </w:r>
      <w:r>
        <w:t>низовала Форум по теме "Арабские женщины и вооруженный конфликт", в общих призывах и рекомендациях которого особо подчеркивалась важная роль женщин в пропаганде культуры мира и справедливости. Представители Коми</w:t>
      </w:r>
      <w:r>
        <w:t>с</w:t>
      </w:r>
      <w:r>
        <w:t>сии также приняли участие в основании Организации арабских женщин, кот</w:t>
      </w:r>
      <w:r>
        <w:t>о</w:t>
      </w:r>
      <w:r>
        <w:t>рая является специальной правительственной организацией, учрежденной в рамках Лиги арабских государств на основе соглашения, к которому Ливан присоединился 12 декабря 2002 года и которое вступило в силу 1 марта 2003 года. Цели этой организации включают развитие совместного сотрудничества и обмена информацией в связи с улучшением положения женщин и выдвиж</w:t>
      </w:r>
      <w:r>
        <w:t>е</w:t>
      </w:r>
      <w:r>
        <w:t>ние на первый план проблем женщин в планах и стратегиях комплексного ра</w:t>
      </w:r>
      <w:r>
        <w:t>з</w:t>
      </w:r>
      <w:r>
        <w:t>вития.</w:t>
      </w:r>
    </w:p>
    <w:p w:rsidR="00000000" w:rsidRDefault="00000000">
      <w:pPr>
        <w:pStyle w:val="SingleTxt"/>
        <w:tabs>
          <w:tab w:val="clear" w:pos="1267"/>
          <w:tab w:val="left" w:pos="900"/>
        </w:tabs>
      </w:pPr>
      <w:r>
        <w:tab/>
        <w:t>Кроме того, был создан Информационный центр ливанских женщин, к</w:t>
      </w:r>
      <w:r>
        <w:t>о</w:t>
      </w:r>
      <w:r>
        <w:t>торый должен фиксировать любые данные, касающиеся ливанских женщин, в самых разнообразных архивных документах, будь то в бумажной, аудио-визуальной или электронной форме. В настоящее время идет подготовка к со</w:t>
      </w:r>
      <w:r>
        <w:t>з</w:t>
      </w:r>
      <w:r>
        <w:t>данию веб-сайта этого центра.</w:t>
      </w:r>
    </w:p>
    <w:p w:rsidR="00000000" w:rsidRDefault="00000000">
      <w:pPr>
        <w:pStyle w:val="SingleTxt"/>
        <w:tabs>
          <w:tab w:val="clear" w:pos="1267"/>
          <w:tab w:val="left" w:pos="900"/>
        </w:tabs>
      </w:pPr>
      <w:r>
        <w:tab/>
        <w:t>Уделяя особое внимание санитарному просвещению, Комиссия прист</w:t>
      </w:r>
      <w:r>
        <w:t>у</w:t>
      </w:r>
      <w:r>
        <w:t>пила к подготовке целого ряда лекций и симпозиумов в своем собственном центре по темам, касающимся репродуктивного здоровья и питания. Она орг</w:t>
      </w:r>
      <w:r>
        <w:t>а</w:t>
      </w:r>
      <w:r>
        <w:t>низовала семинар по вопросам охраны здоровья матери и новорожденных д</w:t>
      </w:r>
      <w:r>
        <w:t>е</w:t>
      </w:r>
      <w:r>
        <w:t>тей в рамках третьей Конференции по перинатальной медицине для развива</w:t>
      </w:r>
      <w:r>
        <w:t>ю</w:t>
      </w:r>
      <w:r>
        <w:t>щихся стран и, кроме того, способствовала проведению Конференции на вы</w:t>
      </w:r>
      <w:r>
        <w:t>с</w:t>
      </w:r>
      <w:r>
        <w:t>шем уровне для франкоязычных стран по вопросам дородовой медицины в Л</w:t>
      </w:r>
      <w:r>
        <w:t>и</w:t>
      </w:r>
      <w:r>
        <w:t>ване в 2001 году.</w:t>
      </w:r>
    </w:p>
    <w:p w:rsidR="00000000" w:rsidRDefault="00000000">
      <w:pPr>
        <w:pStyle w:val="SingleTxt"/>
        <w:tabs>
          <w:tab w:val="clear" w:pos="1267"/>
          <w:tab w:val="left" w:pos="900"/>
        </w:tabs>
      </w:pPr>
      <w:r>
        <w:tab/>
        <w:t>В контексте ликвидации правовой неграмотности и Закона о занятости, Комиссия подготовила, осуществила и оценила рассчитанный на 11 месяцев проект, нацеленный на консультирование работающих женщин по правовым вопросам, совместно с Министерством по социальным вопросам и ЮНИСЕФ в центрах обслуживания развития Министерства по социальным вопросам во всех регионах страны. Директора соответствующих центров сочли этот проект образц</w:t>
      </w:r>
      <w:r>
        <w:t>о</w:t>
      </w:r>
      <w:r>
        <w:t>вым.</w:t>
      </w:r>
    </w:p>
    <w:p w:rsidR="00000000" w:rsidRDefault="00000000">
      <w:pPr>
        <w:pStyle w:val="SingleTxt"/>
        <w:tabs>
          <w:tab w:val="clear" w:pos="1267"/>
          <w:tab w:val="left" w:pos="900"/>
        </w:tabs>
      </w:pPr>
      <w:r>
        <w:tab/>
        <w:t>В рамках расширения экономических прав и возможностей женщин в сентябре 2004 года Комиссия организовала семинар по вопросам мелких ссуд и сбыта ремесленных изделий с участием представителей 47 женских ассоци</w:t>
      </w:r>
      <w:r>
        <w:t>а</w:t>
      </w:r>
      <w:r>
        <w:t>ций. С лекциями выступали специалисты по этой проблематике, а лица, раб</w:t>
      </w:r>
      <w:r>
        <w:t>о</w:t>
      </w:r>
      <w:r>
        <w:t>тающие в обеих о</w:t>
      </w:r>
      <w:r>
        <w:t>б</w:t>
      </w:r>
      <w:r>
        <w:t>ластях, обменивались накопленным ими опытом.</w:t>
      </w:r>
    </w:p>
    <w:p w:rsidR="00000000" w:rsidRDefault="00000000">
      <w:pPr>
        <w:pStyle w:val="SingleTxt"/>
        <w:tabs>
          <w:tab w:val="clear" w:pos="1267"/>
          <w:tab w:val="left" w:pos="900"/>
        </w:tabs>
      </w:pPr>
      <w:r>
        <w:tab/>
        <w:t xml:space="preserve">2. </w:t>
      </w:r>
      <w:r>
        <w:tab/>
      </w:r>
      <w:r>
        <w:rPr>
          <w:i/>
        </w:rPr>
        <w:t>Парламентский комитет по делам женщин и детей</w:t>
      </w:r>
      <w:r>
        <w:t>. Этот комитет, созданный в конце 2000 года, объединяет 12 депутатов, в том числе трех же</w:t>
      </w:r>
      <w:r>
        <w:t>н</w:t>
      </w:r>
      <w:r>
        <w:t>щин-депутатов Национальной ассамблеи, и работает под руководством депут</w:t>
      </w:r>
      <w:r>
        <w:t>а</w:t>
      </w:r>
      <w:r>
        <w:t>та Найлы Муаввад.</w:t>
      </w:r>
    </w:p>
    <w:p w:rsidR="00000000" w:rsidRDefault="00000000">
      <w:pPr>
        <w:pStyle w:val="SingleTxt"/>
        <w:tabs>
          <w:tab w:val="clear" w:pos="1267"/>
          <w:tab w:val="left" w:pos="900"/>
        </w:tabs>
      </w:pPr>
      <w:r>
        <w:tab/>
        <w:t>Комитет функционирует в соответствии с механизмом, который регл</w:t>
      </w:r>
      <w:r>
        <w:t>а</w:t>
      </w:r>
      <w:r>
        <w:t>ментирует работу парламентских комитетов по законодательству; предлож</w:t>
      </w:r>
      <w:r>
        <w:t>е</w:t>
      </w:r>
      <w:r>
        <w:t>ния и законопроекты, касающиеся женщин (а также детей), поступают в ком</w:t>
      </w:r>
      <w:r>
        <w:t>и</w:t>
      </w:r>
      <w:r>
        <w:t>тет на рассмотрение с учетом предложений соответствующих гражданских и правительственных учреждений, а также для определения их соответствия м</w:t>
      </w:r>
      <w:r>
        <w:t>е</w:t>
      </w:r>
      <w:r>
        <w:t>ждународным конвенциям. Затем его предложения препровождаются соотве</w:t>
      </w:r>
      <w:r>
        <w:t>т</w:t>
      </w:r>
      <w:r>
        <w:t>ствующей общей межкомитетской группе для рассмотрения (в тех случаях, к</w:t>
      </w:r>
      <w:r>
        <w:t>о</w:t>
      </w:r>
      <w:r>
        <w:t>гда законопроект или предложение выносятся на рассмотрение нескольких к</w:t>
      </w:r>
      <w:r>
        <w:t>о</w:t>
      </w:r>
      <w:r>
        <w:t>митетов) до того, как они в окончательной форме поступают в общий орган Ассамблеи.</w:t>
      </w:r>
    </w:p>
    <w:p w:rsidR="00000000" w:rsidRDefault="00000000">
      <w:pPr>
        <w:pStyle w:val="SingleTxt"/>
        <w:tabs>
          <w:tab w:val="clear" w:pos="1267"/>
          <w:tab w:val="left" w:pos="900"/>
        </w:tabs>
      </w:pPr>
      <w:r>
        <w:tab/>
        <w:t>За период после своего создания Комитет работал над несколькими зак</w:t>
      </w:r>
      <w:r>
        <w:t>о</w:t>
      </w:r>
      <w:r>
        <w:t>нами, включая:</w:t>
      </w:r>
    </w:p>
    <w:p w:rsidR="00000000" w:rsidRDefault="00000000">
      <w:pPr>
        <w:pStyle w:val="SingleTxt"/>
        <w:tabs>
          <w:tab w:val="clear" w:pos="1267"/>
          <w:tab w:val="left" w:pos="900"/>
        </w:tabs>
        <w:ind w:left="2250" w:hanging="983"/>
      </w:pPr>
      <w:r>
        <w:tab/>
        <w:t xml:space="preserve">- </w:t>
      </w:r>
      <w:r>
        <w:tab/>
        <w:t>Закон № 343 от 6 августа 2001 года, который предусматривает р</w:t>
      </w:r>
      <w:r>
        <w:t>а</w:t>
      </w:r>
      <w:r>
        <w:t>венство мужчин и женщин на государственной службе в том, что касается правил в</w:t>
      </w:r>
      <w:r>
        <w:t>ы</w:t>
      </w:r>
      <w:r>
        <w:t>хода в отставку и увольнения;</w:t>
      </w:r>
    </w:p>
    <w:p w:rsidR="00000000" w:rsidRDefault="00000000">
      <w:pPr>
        <w:pStyle w:val="SingleTxt"/>
        <w:tabs>
          <w:tab w:val="clear" w:pos="1267"/>
          <w:tab w:val="left" w:pos="900"/>
        </w:tabs>
        <w:ind w:left="2250" w:hanging="983"/>
      </w:pPr>
      <w:r>
        <w:tab/>
        <w:t xml:space="preserve">- </w:t>
      </w:r>
      <w:r>
        <w:tab/>
        <w:t>Закон № 483/2002, который предусматривает внесение поправки в ст</w:t>
      </w:r>
      <w:r>
        <w:t>а</w:t>
      </w:r>
      <w:r>
        <w:t>тью 14 Закона о социальном обеспечении.</w:t>
      </w:r>
    </w:p>
    <w:p w:rsidR="00000000" w:rsidRDefault="00000000">
      <w:pPr>
        <w:pStyle w:val="SingleTxt"/>
        <w:tabs>
          <w:tab w:val="clear" w:pos="1267"/>
          <w:tab w:val="left" w:pos="900"/>
        </w:tabs>
      </w:pPr>
      <w:r>
        <w:rPr>
          <w:i/>
        </w:rPr>
        <w:tab/>
        <w:t xml:space="preserve">3. </w:t>
      </w:r>
      <w:r>
        <w:rPr>
          <w:i/>
        </w:rPr>
        <w:tab/>
        <w:t>Служба по делам женщин при Министерстве по социальным вопр</w:t>
      </w:r>
      <w:r>
        <w:rPr>
          <w:i/>
        </w:rPr>
        <w:t>о</w:t>
      </w:r>
      <w:r>
        <w:rPr>
          <w:i/>
        </w:rPr>
        <w:t>сам</w:t>
      </w:r>
      <w:r>
        <w:t>. Речь идет о службе в составе Департамента по делам семьи данного мин</w:t>
      </w:r>
      <w:r>
        <w:t>и</w:t>
      </w:r>
      <w:r>
        <w:t>стерства. Ее функции охватывают, в частности, формулирование и разработку программ, нацеленных на удовлетворение потребностей женщин и расширение и укрепление их потенциала, а также выдвижение бюджетных предложений, предусматривающих выделение финансовых средств для реализации таких программ совместно с другими министерствами и неправительственными о</w:t>
      </w:r>
      <w:r>
        <w:t>р</w:t>
      </w:r>
      <w:r>
        <w:t>ганизациями. Служба также контролирует деятельность правительственных и неправительственных организаций, касающуюся интересов женщин, и прин</w:t>
      </w:r>
      <w:r>
        <w:t>и</w:t>
      </w:r>
      <w:r>
        <w:t>мает последующие меры по итогам такой деятельности, а также координирует работу правительства Ливана и международных, арабских и национальных у</w:t>
      </w:r>
      <w:r>
        <w:t>ч</w:t>
      </w:r>
      <w:r>
        <w:t>реждений. Кроме того, она поддерживает усилия движения женщин, сотрудн</w:t>
      </w:r>
      <w:r>
        <w:t>и</w:t>
      </w:r>
      <w:r>
        <w:t>чает в рамках своей деятельности и стремится обеспечить объединение усилий, а также контролирует осуществление конвенций Организации Объединенных Наций по женской проблематике, к которым присоединилось ливанское гос</w:t>
      </w:r>
      <w:r>
        <w:t>у</w:t>
      </w:r>
      <w:r>
        <w:t>дарство, и соответствующую последующую деятельность.</w:t>
      </w:r>
    </w:p>
    <w:p w:rsidR="00000000" w:rsidRDefault="00000000">
      <w:pPr>
        <w:pStyle w:val="SingleTxt"/>
        <w:tabs>
          <w:tab w:val="clear" w:pos="1267"/>
          <w:tab w:val="left" w:pos="900"/>
        </w:tabs>
      </w:pPr>
      <w:r>
        <w:tab/>
        <w:t>Деятельность Службы в контексте Конвенции о ликвидации всех форм дискриминации в отношении женщин. Во-первых, следует отметить, что любая деятельность под руководством Министерства по социальным вопросам ор</w:t>
      </w:r>
      <w:r>
        <w:t>и</w:t>
      </w:r>
      <w:r>
        <w:t>ентирована на оказание помощи в первую очередь женщинам. Различные пр</w:t>
      </w:r>
      <w:r>
        <w:t>о</w:t>
      </w:r>
      <w:r>
        <w:t>екты, реализованные данным министерством в рамках центров обслуживания развития в различных районах Ливана (проекты, касающиеся здравоохранения, репродуктивного здоровья, ликвидации неграмотности, санитарного просв</w:t>
      </w:r>
      <w:r>
        <w:t>е</w:t>
      </w:r>
      <w:r>
        <w:t>щения подростков и т.д.), были ориентированы главным образом на удовл</w:t>
      </w:r>
      <w:r>
        <w:t>е</w:t>
      </w:r>
      <w:r>
        <w:t>творение п</w:t>
      </w:r>
      <w:r>
        <w:t>о</w:t>
      </w:r>
      <w:r>
        <w:t>требностей женщин.</w:t>
      </w:r>
    </w:p>
    <w:p w:rsidR="00000000" w:rsidRDefault="00000000">
      <w:pPr>
        <w:pStyle w:val="SingleTxt"/>
        <w:tabs>
          <w:tab w:val="clear" w:pos="1267"/>
          <w:tab w:val="left" w:pos="900"/>
        </w:tabs>
      </w:pPr>
      <w:r>
        <w:tab/>
        <w:t>Принимая меры по борьбе с насилием в отношении женщин и доведения до сведения нашей общественности того факта, что такое насилие существует, совместно с заинтересованными неправительственными организациями Слу</w:t>
      </w:r>
      <w:r>
        <w:t>ж</w:t>
      </w:r>
      <w:r>
        <w:t>ба осуществляет проект по борьбе с насилием в семье в отношении детей, п</w:t>
      </w:r>
      <w:r>
        <w:t>о</w:t>
      </w:r>
      <w:r>
        <w:t>жилых людей и женщин под лозунгом "Семьи без насилия: безопасное и зд</w:t>
      </w:r>
      <w:r>
        <w:t>о</w:t>
      </w:r>
      <w:r>
        <w:t>ровое общество". Проект осуществляется в три этапа: первый этап предусма</w:t>
      </w:r>
      <w:r>
        <w:t>т</w:t>
      </w:r>
      <w:r>
        <w:t>ривает развитие потенциала тех, кто работает в центрах обслуживания разв</w:t>
      </w:r>
      <w:r>
        <w:t>и</w:t>
      </w:r>
      <w:r>
        <w:t>тия; второй этап предусматривает повышение осведомленности местных о</w:t>
      </w:r>
      <w:r>
        <w:t>б</w:t>
      </w:r>
      <w:r>
        <w:t>щин о проблеме насилия в семье; а третий - подготовку специалистов к работе с женщинами, пострадавшими от насилия. Эта деятельность по оказанию услуг расширяется в рамках нового проекта, который осуществляется в руководимых неправительственными организациями центрах, участвующими в борьбе с н</w:t>
      </w:r>
      <w:r>
        <w:t>а</w:t>
      </w:r>
      <w:r>
        <w:t>силием в отношении женщин.</w:t>
      </w:r>
    </w:p>
    <w:p w:rsidR="00000000" w:rsidRDefault="00000000">
      <w:pPr>
        <w:pStyle w:val="SingleTxt"/>
        <w:tabs>
          <w:tab w:val="clear" w:pos="1267"/>
          <w:tab w:val="left" w:pos="900"/>
        </w:tabs>
      </w:pPr>
      <w:r>
        <w:tab/>
        <w:t>Служба осуществляет также экспериментальный проект по расширению юридических прав и возможностей женщин. Он нацелен на повышение осв</w:t>
      </w:r>
      <w:r>
        <w:t>е</w:t>
      </w:r>
      <w:r>
        <w:t>домленности о правовых вопросах (законы о труде, наказания, личный статус и торговля) различных групп женщин из местных общин в районах местонахо</w:t>
      </w:r>
      <w:r>
        <w:t>ж</w:t>
      </w:r>
      <w:r>
        <w:t>дения центров обслуживания развития. В рамках этого проекта также беспла</w:t>
      </w:r>
      <w:r>
        <w:t>т</w:t>
      </w:r>
      <w:r>
        <w:t>но оказываются консультативные услуги, которые со временем будут расш</w:t>
      </w:r>
      <w:r>
        <w:t>и</w:t>
      </w:r>
      <w:r>
        <w:t>рены. Совместно с неправительственными ассоциациями Служба должна з</w:t>
      </w:r>
      <w:r>
        <w:t>а</w:t>
      </w:r>
      <w:r>
        <w:t>ниматься осуществлением общего проекта, рассчитанного на расширение юр</w:t>
      </w:r>
      <w:r>
        <w:t>и</w:t>
      </w:r>
      <w:r>
        <w:t>дических прав и возможностей работающих женщин и издание руководства или буклета, содержащего информацию правового характера.</w:t>
      </w:r>
    </w:p>
    <w:p w:rsidR="00000000" w:rsidRDefault="00000000">
      <w:pPr>
        <w:pStyle w:val="SingleTxt"/>
        <w:tabs>
          <w:tab w:val="clear" w:pos="1267"/>
          <w:tab w:val="left" w:pos="900"/>
        </w:tabs>
      </w:pPr>
      <w:r>
        <w:tab/>
        <w:t>Более ранний проект (осуществлявшийся вплоть до 2000 года) в интер</w:t>
      </w:r>
      <w:r>
        <w:t>е</w:t>
      </w:r>
      <w:r>
        <w:t>сах расширения экономических прав и возможностей женщин в нынешней экономической ситуации завершился тем, что данное министерство издало брошюру под названием "Гендерные показатели для программ, связанных с небольшими проектами, в Ливане", которая закладывает научную основу для разработки проектов в области развития, нацеленных на улучшение эконом</w:t>
      </w:r>
      <w:r>
        <w:t>и</w:t>
      </w:r>
      <w:r>
        <w:t>ческого п</w:t>
      </w:r>
      <w:r>
        <w:t>о</w:t>
      </w:r>
      <w:r>
        <w:t>ложения женщин.</w:t>
      </w:r>
    </w:p>
    <w:p w:rsidR="00000000" w:rsidRDefault="00000000">
      <w:pPr>
        <w:pStyle w:val="SingleTxt"/>
        <w:tabs>
          <w:tab w:val="clear" w:pos="1267"/>
          <w:tab w:val="left" w:pos="900"/>
        </w:tabs>
      </w:pPr>
      <w:r>
        <w:tab/>
      </w:r>
      <w:r>
        <w:rPr>
          <w:i/>
        </w:rPr>
        <w:t xml:space="preserve">4. </w:t>
      </w:r>
      <w:r>
        <w:rPr>
          <w:i/>
        </w:rPr>
        <w:tab/>
        <w:t>Совет по экономическим и социальным вопросам</w:t>
      </w:r>
      <w:r>
        <w:t>. В соответствии с законом об учреждении Совета, опубликованным в 1995 году, в его состав в</w:t>
      </w:r>
      <w:r>
        <w:t>о</w:t>
      </w:r>
      <w:r>
        <w:t>шли мужчины и женщины, представляющие ключевые экономические, соц</w:t>
      </w:r>
      <w:r>
        <w:t>и</w:t>
      </w:r>
      <w:r>
        <w:t>альные и профессиональные сектора. Совет объединяет ключевые сектора, к</w:t>
      </w:r>
      <w:r>
        <w:t>о</w:t>
      </w:r>
      <w:r>
        <w:t>торые включают "общественные учреждения", в том числе и федерации же</w:t>
      </w:r>
      <w:r>
        <w:t>н</w:t>
      </w:r>
      <w:r>
        <w:t>щин, а его функция заключается в "обеспечении участия (этих секторов) в в</w:t>
      </w:r>
      <w:r>
        <w:t>ы</w:t>
      </w:r>
      <w:r>
        <w:t>несении рекомендаций относительно разработки экономической и социальной политики". Таким образом, он стремится к "расширению диалога и сотрудн</w:t>
      </w:r>
      <w:r>
        <w:t>и</w:t>
      </w:r>
      <w:r>
        <w:t>чества" между этими различными секторами. Вначале Кабинет направляет з</w:t>
      </w:r>
      <w:r>
        <w:t>а</w:t>
      </w:r>
      <w:r>
        <w:t>просы о подготовке заключения, а также исследований и докладов по экон</w:t>
      </w:r>
      <w:r>
        <w:t>о</w:t>
      </w:r>
      <w:r>
        <w:t>мическим, социальным и профессиональным проблемам Совету по экономич</w:t>
      </w:r>
      <w:r>
        <w:t>е</w:t>
      </w:r>
      <w:r>
        <w:t>ским и социальным вопросам, который имеет также право излагать свои соо</w:t>
      </w:r>
      <w:r>
        <w:t>б</w:t>
      </w:r>
      <w:r>
        <w:t>ражения по конкретной теме, если в пользу этого выскажется одна треть его членов.</w:t>
      </w:r>
    </w:p>
    <w:p w:rsidR="00000000" w:rsidRDefault="00000000">
      <w:pPr>
        <w:pStyle w:val="SingleTxt"/>
        <w:tabs>
          <w:tab w:val="clear" w:pos="1267"/>
          <w:tab w:val="left" w:pos="900"/>
        </w:tabs>
      </w:pPr>
      <w:r>
        <w:tab/>
        <w:t>На конец 1999 года в составе данного Совета, в его первоначальной и единственной форме, насчитывался 71 член из представленных секторов. Из них шестеро были женщинами, две из которых были назначены с тем, чтобы представлять женские федерации. Одна из них, пока в первый и последний раз, была избрана в состав бюро Совета, однако должности председателей его 8 комитетов неизменно занимают мужчины. Пять женщин одновременно раб</w:t>
      </w:r>
      <w:r>
        <w:t>о</w:t>
      </w:r>
      <w:r>
        <w:t>тали в Комитете по вопросам развития человеческого потенциала и прав чел</w:t>
      </w:r>
      <w:r>
        <w:t>о</w:t>
      </w:r>
      <w:r>
        <w:t xml:space="preserve">века. </w:t>
      </w:r>
    </w:p>
    <w:p w:rsidR="00000000" w:rsidRDefault="00000000">
      <w:pPr>
        <w:pStyle w:val="SingleTxt"/>
        <w:tabs>
          <w:tab w:val="clear" w:pos="1267"/>
          <w:tab w:val="left" w:pos="900"/>
        </w:tabs>
      </w:pPr>
      <w:r>
        <w:tab/>
        <w:t>Помимо функций, для исполнения которых он и был учрежден, Совет подг</w:t>
      </w:r>
      <w:r>
        <w:t>о</w:t>
      </w:r>
      <w:r>
        <w:t>товил исследование под названием "Ликвидация социально-экономического кризиса", в котором излагаются получившие всеобщее одо</w:t>
      </w:r>
      <w:r>
        <w:t>б</w:t>
      </w:r>
      <w:r>
        <w:t>рение методы улучшения социально-экономической ситуации, поддержива</w:t>
      </w:r>
      <w:r>
        <w:t>е</w:t>
      </w:r>
      <w:r>
        <w:t>мые теми секторами, которые представлены в составе Совета. В исследовании указывается, что здоровье матери и ребенка является ключевым приоритетом политики, которую следует проводить в области здравоохранения. В нем также настоятельно рекомендуется укреплять роль женщин в экономике и обеспеч</w:t>
      </w:r>
      <w:r>
        <w:t>и</w:t>
      </w:r>
      <w:r>
        <w:t xml:space="preserve">вать их эффективное участие в производственном цикле.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 основе их функций, которые были изложены выше, основные органы уделяют большое внимание обеспечению координации с неправительственн</w:t>
      </w:r>
      <w:r>
        <w:t>ы</w:t>
      </w:r>
      <w:r>
        <w:t>ми кругами и гражданским обществом и привлечению их к разработке своих концепций и планов, а также к осуществлению своих программ. Такая коорд</w:t>
      </w:r>
      <w:r>
        <w:t>и</w:t>
      </w:r>
      <w:r>
        <w:t>нация лучше была видна в случаях не с добровольцами, а с должностными л</w:t>
      </w:r>
      <w:r>
        <w:t>и</w:t>
      </w:r>
      <w:r>
        <w:t>цами, работающими на постоя</w:t>
      </w:r>
      <w:r>
        <w:t>н</w:t>
      </w:r>
      <w:r>
        <w:t xml:space="preserve">ной основе.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II</w:t>
      </w:r>
      <w:r>
        <w:rPr>
          <w:b w:val="0"/>
        </w:rPr>
        <w:t>.</w:t>
      </w:r>
      <w:r>
        <w:tab/>
        <w:t xml:space="preserve">Органы, функционирующие в неправительственном секторе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Ливанцы могут свободно создавать ассоциации без предварительного разрешения государства; любой человек, который хочет создать ассоциацию, обязан всего лишь уведомить об этом Министерство внутренних дел (Отт</w:t>
      </w:r>
      <w:r>
        <w:t>о</w:t>
      </w:r>
      <w:r>
        <w:t>манский закон об ассоциациях 1909 года). В таблице ниже приведены данные о положении женщин в том, что касается целей и деятельности ассоциаций, функционирующих в Ливанской Республике.</w:t>
      </w:r>
    </w:p>
    <w:p w:rsidR="00000000" w:rsidRDefault="00000000">
      <w:pPr>
        <w:pStyle w:val="BodyText"/>
        <w:spacing w:after="0"/>
        <w:ind w:left="1267" w:right="1267"/>
      </w:pPr>
      <w:r>
        <w:t>Таблица 1</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jc w:val="left"/>
        <w:rPr>
          <w:b/>
        </w:rPr>
      </w:pPr>
      <w:r>
        <w:rPr>
          <w:b/>
        </w:rPr>
        <w:t>Численность организаций в разбивке по их цели и географическому м</w:t>
      </w:r>
      <w:r>
        <w:rPr>
          <w:b/>
        </w:rPr>
        <w:t>е</w:t>
      </w:r>
      <w:r>
        <w:rPr>
          <w:b/>
        </w:rPr>
        <w:t>стон</w:t>
      </w:r>
      <w:r>
        <w:rPr>
          <w:b/>
        </w:rPr>
        <w:t>а</w:t>
      </w:r>
      <w:r>
        <w:rPr>
          <w:b/>
        </w:rPr>
        <w:t>хождению</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tbl>
      <w:tblPr>
        <w:tblW w:w="0" w:type="auto"/>
        <w:tblInd w:w="1262" w:type="dxa"/>
        <w:tblBorders>
          <w:top w:val="single" w:sz="4" w:space="0" w:color="auto"/>
          <w:bottom w:val="single" w:sz="12" w:space="0" w:color="auto"/>
        </w:tblBorders>
        <w:tblLayout w:type="fixed"/>
        <w:tblCellMar>
          <w:left w:w="36" w:type="dxa"/>
          <w:right w:w="36" w:type="dxa"/>
        </w:tblCellMar>
        <w:tblLook w:val="0000" w:firstRow="0" w:lastRow="0" w:firstColumn="0" w:lastColumn="0" w:noHBand="0" w:noVBand="0"/>
      </w:tblPr>
      <w:tblGrid>
        <w:gridCol w:w="1800"/>
        <w:gridCol w:w="2880"/>
        <w:gridCol w:w="2546"/>
      </w:tblGrid>
      <w:tr w:rsidR="00000000">
        <w:tblPrEx>
          <w:tblCellMar>
            <w:top w:w="0" w:type="dxa"/>
            <w:bottom w:w="0" w:type="dxa"/>
          </w:tblCellMar>
        </w:tblPrEx>
        <w:tc>
          <w:tcPr>
            <w:tcW w:w="1800" w:type="dxa"/>
            <w:tcBorders>
              <w:top w:val="single" w:sz="4" w:space="0" w:color="auto"/>
              <w:bottom w:val="single" w:sz="12" w:space="0" w:color="auto"/>
            </w:tcBorders>
            <w:vAlign w:val="bottom"/>
          </w:tcPr>
          <w:p w:rsidR="00000000" w:rsidRDefault="00000000">
            <w:pPr>
              <w:pStyle w:val="BodyText"/>
              <w:spacing w:after="0"/>
              <w:ind w:left="0" w:right="0"/>
              <w:rPr>
                <w:i/>
                <w:sz w:val="18"/>
              </w:rPr>
            </w:pPr>
            <w:r>
              <w:rPr>
                <w:i/>
                <w:sz w:val="18"/>
              </w:rPr>
              <w:t>Численность</w:t>
            </w:r>
          </w:p>
        </w:tc>
        <w:tc>
          <w:tcPr>
            <w:tcW w:w="2880" w:type="dxa"/>
            <w:tcBorders>
              <w:top w:val="single" w:sz="4" w:space="0" w:color="auto"/>
              <w:bottom w:val="single" w:sz="12" w:space="0" w:color="auto"/>
            </w:tcBorders>
            <w:vAlign w:val="bottom"/>
          </w:tcPr>
          <w:p w:rsidR="00000000" w:rsidRDefault="00000000">
            <w:pPr>
              <w:pStyle w:val="BodyText"/>
              <w:spacing w:after="0"/>
              <w:ind w:left="0" w:right="0"/>
              <w:jc w:val="right"/>
              <w:rPr>
                <w:i/>
                <w:sz w:val="18"/>
              </w:rPr>
            </w:pPr>
            <w:r>
              <w:rPr>
                <w:i/>
                <w:sz w:val="18"/>
              </w:rPr>
              <w:t>Неправительственные организации, чья основная цель заключается в улучшении положения женщин (с</w:t>
            </w:r>
            <w:r>
              <w:rPr>
                <w:i/>
                <w:sz w:val="18"/>
              </w:rPr>
              <w:t>о</w:t>
            </w:r>
            <w:r>
              <w:rPr>
                <w:i/>
                <w:sz w:val="18"/>
              </w:rPr>
              <w:t>гласно их уставам)</w:t>
            </w:r>
          </w:p>
          <w:p w:rsidR="00000000" w:rsidRDefault="00000000">
            <w:pPr>
              <w:pStyle w:val="BodyText"/>
              <w:spacing w:after="0"/>
              <w:ind w:left="0" w:right="0"/>
              <w:jc w:val="right"/>
              <w:rPr>
                <w:i/>
                <w:sz w:val="18"/>
              </w:rPr>
            </w:pPr>
          </w:p>
          <w:p w:rsidR="00000000" w:rsidRDefault="00000000">
            <w:pPr>
              <w:pStyle w:val="BodyText"/>
              <w:spacing w:after="0"/>
              <w:ind w:left="0" w:right="0"/>
              <w:jc w:val="right"/>
              <w:rPr>
                <w:sz w:val="18"/>
              </w:rPr>
            </w:pPr>
            <w:r>
              <w:rPr>
                <w:i/>
                <w:sz w:val="18"/>
              </w:rPr>
              <w:t>61 (из 4 073)</w:t>
            </w:r>
          </w:p>
        </w:tc>
        <w:tc>
          <w:tcPr>
            <w:tcW w:w="2546" w:type="dxa"/>
            <w:tcBorders>
              <w:top w:val="single" w:sz="4" w:space="0" w:color="auto"/>
              <w:bottom w:val="single" w:sz="12" w:space="0" w:color="auto"/>
            </w:tcBorders>
            <w:vAlign w:val="bottom"/>
          </w:tcPr>
          <w:p w:rsidR="00000000" w:rsidRDefault="00000000">
            <w:pPr>
              <w:pStyle w:val="BodyText"/>
              <w:spacing w:after="0"/>
              <w:ind w:left="0" w:right="0"/>
              <w:jc w:val="right"/>
              <w:rPr>
                <w:i/>
                <w:sz w:val="18"/>
              </w:rPr>
            </w:pPr>
            <w:r>
              <w:rPr>
                <w:i/>
                <w:sz w:val="18"/>
              </w:rPr>
              <w:t>Неправительственные орган</w:t>
            </w:r>
            <w:r>
              <w:rPr>
                <w:i/>
                <w:sz w:val="18"/>
              </w:rPr>
              <w:t>и</w:t>
            </w:r>
            <w:r>
              <w:rPr>
                <w:i/>
                <w:sz w:val="18"/>
              </w:rPr>
              <w:t>зации, занимающиеся пробл</w:t>
            </w:r>
            <w:r>
              <w:rPr>
                <w:i/>
                <w:sz w:val="18"/>
              </w:rPr>
              <w:t>е</w:t>
            </w:r>
            <w:r>
              <w:rPr>
                <w:i/>
                <w:sz w:val="18"/>
              </w:rPr>
              <w:t>мами женщин (согласно их у</w:t>
            </w:r>
            <w:r>
              <w:rPr>
                <w:i/>
                <w:sz w:val="18"/>
              </w:rPr>
              <w:t>с</w:t>
            </w:r>
            <w:r>
              <w:rPr>
                <w:i/>
                <w:sz w:val="18"/>
              </w:rPr>
              <w:t>тавам)</w:t>
            </w:r>
          </w:p>
          <w:p w:rsidR="00000000" w:rsidRDefault="00000000">
            <w:pPr>
              <w:pStyle w:val="BodyText"/>
              <w:spacing w:after="0"/>
              <w:ind w:left="0" w:right="0"/>
              <w:jc w:val="right"/>
              <w:rPr>
                <w:i/>
                <w:sz w:val="18"/>
              </w:rPr>
            </w:pPr>
          </w:p>
          <w:p w:rsidR="00000000" w:rsidRDefault="00000000">
            <w:pPr>
              <w:pStyle w:val="BodyText"/>
              <w:spacing w:after="0"/>
              <w:ind w:left="0" w:right="0"/>
              <w:jc w:val="right"/>
              <w:rPr>
                <w:sz w:val="18"/>
              </w:rPr>
            </w:pPr>
            <w:r>
              <w:rPr>
                <w:i/>
                <w:sz w:val="18"/>
              </w:rPr>
              <w:t>101 (из 4 073)</w:t>
            </w:r>
          </w:p>
        </w:tc>
      </w:tr>
      <w:tr w:rsidR="00000000">
        <w:tblPrEx>
          <w:tblCellMar>
            <w:top w:w="0" w:type="dxa"/>
            <w:bottom w:w="0" w:type="dxa"/>
          </w:tblCellMar>
        </w:tblPrEx>
        <w:tc>
          <w:tcPr>
            <w:tcW w:w="1800" w:type="dxa"/>
            <w:tcBorders>
              <w:top w:val="nil"/>
            </w:tcBorders>
          </w:tcPr>
          <w:p w:rsidR="00000000" w:rsidRDefault="00000000">
            <w:pPr>
              <w:pStyle w:val="BodyText"/>
              <w:spacing w:after="0"/>
              <w:ind w:left="0" w:right="0"/>
              <w:jc w:val="left"/>
              <w:rPr>
                <w:sz w:val="18"/>
              </w:rPr>
            </w:pPr>
            <w:r>
              <w:rPr>
                <w:sz w:val="18"/>
              </w:rPr>
              <w:t>Организации, фун</w:t>
            </w:r>
            <w:r>
              <w:rPr>
                <w:sz w:val="18"/>
              </w:rPr>
              <w:t>к</w:t>
            </w:r>
            <w:r>
              <w:rPr>
                <w:sz w:val="18"/>
              </w:rPr>
              <w:t>ционирующие в ст</w:t>
            </w:r>
            <w:r>
              <w:rPr>
                <w:sz w:val="18"/>
              </w:rPr>
              <w:t>о</w:t>
            </w:r>
            <w:r>
              <w:rPr>
                <w:sz w:val="18"/>
              </w:rPr>
              <w:t>лице и Горном Лив</w:t>
            </w:r>
            <w:r>
              <w:rPr>
                <w:sz w:val="18"/>
              </w:rPr>
              <w:t>а</w:t>
            </w:r>
            <w:r>
              <w:rPr>
                <w:sz w:val="18"/>
              </w:rPr>
              <w:t>не</w:t>
            </w:r>
          </w:p>
        </w:tc>
        <w:tc>
          <w:tcPr>
            <w:tcW w:w="2880" w:type="dxa"/>
            <w:tcBorders>
              <w:top w:val="nil"/>
            </w:tcBorders>
          </w:tcPr>
          <w:p w:rsidR="00000000" w:rsidRDefault="00000000">
            <w:pPr>
              <w:pStyle w:val="BodyText"/>
              <w:spacing w:after="0"/>
              <w:ind w:left="0" w:right="391"/>
              <w:jc w:val="right"/>
              <w:rPr>
                <w:sz w:val="18"/>
              </w:rPr>
            </w:pPr>
            <w:r>
              <w:rPr>
                <w:sz w:val="18"/>
              </w:rPr>
              <w:t>45</w:t>
            </w:r>
          </w:p>
        </w:tc>
        <w:tc>
          <w:tcPr>
            <w:tcW w:w="2546" w:type="dxa"/>
            <w:tcBorders>
              <w:top w:val="nil"/>
            </w:tcBorders>
          </w:tcPr>
          <w:p w:rsidR="00000000" w:rsidRDefault="00000000">
            <w:pPr>
              <w:pStyle w:val="BodyText"/>
              <w:spacing w:after="0"/>
              <w:ind w:left="0" w:right="391"/>
              <w:jc w:val="right"/>
              <w:rPr>
                <w:sz w:val="18"/>
              </w:rPr>
            </w:pPr>
            <w:r>
              <w:rPr>
                <w:sz w:val="18"/>
              </w:rPr>
              <w:t>75</w:t>
            </w:r>
          </w:p>
        </w:tc>
      </w:tr>
      <w:tr w:rsidR="00000000">
        <w:tblPrEx>
          <w:tblCellMar>
            <w:top w:w="0" w:type="dxa"/>
            <w:bottom w:w="0" w:type="dxa"/>
          </w:tblCellMar>
        </w:tblPrEx>
        <w:tc>
          <w:tcPr>
            <w:tcW w:w="1800" w:type="dxa"/>
          </w:tcPr>
          <w:p w:rsidR="00000000" w:rsidRDefault="00000000">
            <w:pPr>
              <w:pStyle w:val="BodyText"/>
              <w:spacing w:after="0"/>
              <w:ind w:left="0" w:right="0"/>
              <w:jc w:val="left"/>
              <w:rPr>
                <w:sz w:val="18"/>
              </w:rPr>
            </w:pPr>
            <w:r>
              <w:rPr>
                <w:sz w:val="18"/>
              </w:rPr>
              <w:t>Организации, фун</w:t>
            </w:r>
            <w:r>
              <w:rPr>
                <w:sz w:val="18"/>
              </w:rPr>
              <w:t>к</w:t>
            </w:r>
            <w:r>
              <w:rPr>
                <w:sz w:val="18"/>
              </w:rPr>
              <w:t>ционирующие за пр</w:t>
            </w:r>
            <w:r>
              <w:rPr>
                <w:sz w:val="18"/>
              </w:rPr>
              <w:t>е</w:t>
            </w:r>
            <w:r>
              <w:rPr>
                <w:sz w:val="18"/>
              </w:rPr>
              <w:t>делами столицы и Горного Ливана</w:t>
            </w:r>
          </w:p>
        </w:tc>
        <w:tc>
          <w:tcPr>
            <w:tcW w:w="2880" w:type="dxa"/>
          </w:tcPr>
          <w:p w:rsidR="00000000" w:rsidRDefault="00000000">
            <w:pPr>
              <w:pStyle w:val="BodyText"/>
              <w:spacing w:after="0"/>
              <w:ind w:left="0" w:right="391"/>
              <w:jc w:val="right"/>
              <w:rPr>
                <w:sz w:val="18"/>
              </w:rPr>
            </w:pPr>
            <w:r>
              <w:rPr>
                <w:sz w:val="18"/>
              </w:rPr>
              <w:t>16</w:t>
            </w:r>
          </w:p>
        </w:tc>
        <w:tc>
          <w:tcPr>
            <w:tcW w:w="2546" w:type="dxa"/>
          </w:tcPr>
          <w:p w:rsidR="00000000" w:rsidRDefault="00000000">
            <w:pPr>
              <w:pStyle w:val="BodyText"/>
              <w:spacing w:after="0"/>
              <w:ind w:left="0" w:right="391"/>
              <w:jc w:val="right"/>
              <w:rPr>
                <w:sz w:val="18"/>
              </w:rPr>
            </w:pPr>
            <w:r>
              <w:rPr>
                <w:sz w:val="18"/>
              </w:rPr>
              <w:t>61</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Источник</w:t>
      </w:r>
      <w:r>
        <w:t>: Обследование неправительственных организаций в Ливане</w:t>
      </w:r>
      <w:r>
        <w:rPr>
          <w:lang w:val="en-US"/>
        </w:rPr>
        <w:t> </w:t>
      </w:r>
      <w:r>
        <w:t>- н</w:t>
      </w:r>
      <w:r>
        <w:t>е</w:t>
      </w:r>
      <w:r>
        <w:t>опубликованное Министерства по социальным вопросам и вопросам жилищн</w:t>
      </w:r>
      <w:r>
        <w:t>о</w:t>
      </w:r>
      <w:r>
        <w:t>го строительс</w:t>
      </w:r>
      <w:r>
        <w:t>т</w:t>
      </w:r>
      <w:r>
        <w:t>ва, Бейрут, сентябрь 2002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приведенные выше данные не включают организ</w:t>
      </w:r>
      <w:r>
        <w:t>а</w:t>
      </w:r>
      <w:r>
        <w:t>ции, в работе которых проблемы женщин занимают второстепенное место. О</w:t>
      </w:r>
      <w:r>
        <w:t>д</w:t>
      </w:r>
      <w:r>
        <w:t>нако ясно видно, что эти организации функционируют в основном в наиболее плотно населенных районах, а не в районах, где больше всего нуждающихся (например, сельские и п</w:t>
      </w:r>
      <w:r>
        <w:t>е</w:t>
      </w:r>
      <w:r>
        <w:t>риферийные районы).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Ниже рассматриваются четыре примера таких организаций, а также мер</w:t>
      </w:r>
      <w:r>
        <w:t>о</w:t>
      </w:r>
      <w:r>
        <w:t>приятия, с помощью которых они пытаются пропагандировать культуру раве</w:t>
      </w:r>
      <w:r>
        <w:t>н</w:t>
      </w:r>
      <w:r>
        <w:t>ства и бороться за ликвидацию всех форм дискриминации в отношении же</w:t>
      </w:r>
      <w:r>
        <w:t>н</w:t>
      </w:r>
      <w:r>
        <w:t>щин.</w:t>
      </w:r>
    </w:p>
    <w:p w:rsidR="00000000" w:rsidRDefault="00000000">
      <w:pPr>
        <w:pStyle w:val="BodyText"/>
        <w:ind w:left="1267" w:right="1267"/>
        <w:rPr>
          <w:i/>
        </w:rPr>
      </w:pPr>
      <w:r>
        <w:tab/>
      </w:r>
      <w:r>
        <w:rPr>
          <w:i/>
        </w:rPr>
        <w:t xml:space="preserve">1. </w:t>
      </w:r>
      <w:r>
        <w:rPr>
          <w:i/>
        </w:rPr>
        <w:tab/>
        <w:t>Союзы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Сеть ливанских женщин. Она была создана в 2002 году в качестве пол</w:t>
      </w:r>
      <w:r>
        <w:t>и</w:t>
      </w:r>
      <w:r>
        <w:t>тической группы в поддержку ликвидации всех форм дискриминации в отн</w:t>
      </w:r>
      <w:r>
        <w:t>о</w:t>
      </w:r>
      <w:r>
        <w:t>шении женщин. Сеть объединяет 12 неправительственных организаций, чья основная задача заключается в улучшении положения женщин в обществе и ликвидации дискриминации в отношении них. Летом 2003 года данная сеть приняла рабочий документ, ориентированный прежде всего на борьбу за обе</w:t>
      </w:r>
      <w:r>
        <w:t>с</w:t>
      </w:r>
      <w:r>
        <w:t>печение полного равенства между женщинами и мужчинами, за ликвидацию неравноправия между мужчинами и женщинами в ливанском обществе и со</w:t>
      </w:r>
      <w:r>
        <w:t>з</w:t>
      </w:r>
      <w:r>
        <w:t>дание благоприятных условий, в которых можно раскрыть и в полной мере реализовать производительные и творческие способности женщин и мужчин. Она разработала стратегии и план действий, направленные на искоренение дискриминации в отношении женщин на всех культурных, социальных, экон</w:t>
      </w:r>
      <w:r>
        <w:t>о</w:t>
      </w:r>
      <w:r>
        <w:t>мических, правовых и политич</w:t>
      </w:r>
      <w:r>
        <w:t>е</w:t>
      </w:r>
      <w:r>
        <w:t>ских уровнях.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этом контексте Сеть ливанских женщин будет стремиться к привед</w:t>
      </w:r>
      <w:r>
        <w:t>е</w:t>
      </w:r>
      <w:r>
        <w:t>нию ливанского законодательства в соответствие с международными конве</w:t>
      </w:r>
      <w:r>
        <w:t>н</w:t>
      </w:r>
      <w:r>
        <w:t>циями, которые были ратифицированы Ливаном и к которым он присоедини</w:t>
      </w:r>
      <w:r>
        <w:t>л</w:t>
      </w:r>
      <w:r>
        <w:t>ся, в частности с Конвенцией о ликвидации всех форм дискриминации в отн</w:t>
      </w:r>
      <w:r>
        <w:t>о</w:t>
      </w:r>
      <w:r>
        <w:t>шении женщин. Кроме того, она приложит максимум усилий с тем, чтобы уб</w:t>
      </w:r>
      <w:r>
        <w:t>е</w:t>
      </w:r>
      <w:r>
        <w:t>дить компетентные ливанские власти аннулировать свои оговорки в отнош</w:t>
      </w:r>
      <w:r>
        <w:t>е</w:t>
      </w:r>
      <w:r>
        <w:t>нии Конвенции. Она будет добиваться внесения поправок в законы, которые ограничивают права женщин, а также принятия законов, которые соответств</w:t>
      </w:r>
      <w:r>
        <w:t>о</w:t>
      </w:r>
      <w:r>
        <w:t>вали бы эволюции ливанского общества и изм</w:t>
      </w:r>
      <w:r>
        <w:t>е</w:t>
      </w:r>
      <w:r>
        <w:t>няющимся подходам.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Сеть разработала поэтапную программу освобождения Уголовного коде</w:t>
      </w:r>
      <w:r>
        <w:t>к</w:t>
      </w:r>
      <w:r>
        <w:t>са, который находится в настоящее время в процессе пересмотра, от полож</w:t>
      </w:r>
      <w:r>
        <w:t>е</w:t>
      </w:r>
      <w:r>
        <w:t>ний, создающих дискриминацию по признаку пола, с уделением особого вн</w:t>
      </w:r>
      <w:r>
        <w:t>и</w:t>
      </w:r>
      <w:r>
        <w:t>мания отмене статьи 653, касающейся преступлений, совершаемых по мотивам "защиты чести", а также ужесточению наказаний за совершение изнасилования и отмене всех статей, касающихся супружеской измены. Комитет экспертов-юристов проводит оценку проектов, реализованных организациями неправ</w:t>
      </w:r>
      <w:r>
        <w:t>и</w:t>
      </w:r>
      <w:r>
        <w:t>тельственного сектора, в целях подготовки предлагаемых поправок к закон</w:t>
      </w:r>
      <w:r>
        <w:t>о</w:t>
      </w:r>
      <w:r>
        <w:t>дательным актам. В настоящее время Сеть занимается подготовкой кампании, которая должна быть развернута во взаимодействии с ее основными партнер</w:t>
      </w:r>
      <w:r>
        <w:t>а</w:t>
      </w:r>
      <w:r>
        <w:t xml:space="preserve">ми, с которыми она наладила связи, например, с Бейрутским союзом юристов, организацией </w:t>
      </w:r>
      <w:bookmarkStart w:id="1" w:name="OLE_LINK1"/>
      <w:r>
        <w:t>"</w:t>
      </w:r>
      <w:bookmarkEnd w:id="1"/>
      <w:r>
        <w:t>Международная амнистия", Советом ливанских женщин, Н</w:t>
      </w:r>
      <w:r>
        <w:t>а</w:t>
      </w:r>
      <w:r>
        <w:t>циональным координационным центром для ликвидации всех форм дискрим</w:t>
      </w:r>
      <w:r>
        <w:t>и</w:t>
      </w:r>
      <w:r>
        <w:t>нации в отношении женщин и форумом "За уважение человеческого достои</w:t>
      </w:r>
      <w:r>
        <w:t>н</w:t>
      </w:r>
      <w:r>
        <w:t>ства в Уголовном кодексе". Одновременно с кампанией для выдвижения тр</w:t>
      </w:r>
      <w:r>
        <w:t>е</w:t>
      </w:r>
      <w:r>
        <w:t>бований будет проведена информационная кампания, подготовка которой уже началась.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Национальный координационный центр для ликвидации всех форм ди</w:t>
      </w:r>
      <w:r>
        <w:t>с</w:t>
      </w:r>
      <w:r>
        <w:t>криминации в отношении женщин. Данный центр был создан в марте 1999 года по предложению Комитета по защите прав женщин, который является старе</w:t>
      </w:r>
      <w:r>
        <w:t>й</w:t>
      </w:r>
      <w:r>
        <w:t>шей организацией Ливана в этой области. Задача координационного центра з</w:t>
      </w:r>
      <w:r>
        <w:t>а</w:t>
      </w:r>
      <w:r>
        <w:t>ключается в том, чтобы более активно и целеустремленно требовать от соо</w:t>
      </w:r>
      <w:r>
        <w:t>т</w:t>
      </w:r>
      <w:r>
        <w:t>ветствующих органов власти обеспечения полного равенства между женщин</w:t>
      </w:r>
      <w:r>
        <w:t>а</w:t>
      </w:r>
      <w:r>
        <w:t>ми и мужчинами в правовой сфере. Он объединяет органы, учреждения, фед</w:t>
      </w:r>
      <w:r>
        <w:t>е</w:t>
      </w:r>
      <w:r>
        <w:t>рации, союзы и лиги, занимающиеся проблемами женщин и гражданского о</w:t>
      </w:r>
      <w:r>
        <w:t>б</w:t>
      </w:r>
      <w:r>
        <w:t>щества, из всех районов Ливана. В принципе, в его состав входят те, кто д</w:t>
      </w:r>
      <w:r>
        <w:t>о</w:t>
      </w:r>
      <w:r>
        <w:t>бился успехов в экономической, социальной и политической области и спл</w:t>
      </w:r>
      <w:r>
        <w:t>о</w:t>
      </w:r>
      <w:r>
        <w:t>тился для того, чтобы ускорить процесс ликвидации ограничений в отношении прав ливанских женщин и осуществления Конвенции о ликвидации всех форм дискрим</w:t>
      </w:r>
      <w:r>
        <w:t>и</w:t>
      </w:r>
      <w:r>
        <w:t>нации в отношении женщин.</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Первоочередные цели координационного центра заключаются в том, чтобы д</w:t>
      </w:r>
      <w:r>
        <w:t>о</w:t>
      </w:r>
      <w:r>
        <w:t>биваться внесения поправок в законодательные акты Ливана, касающиеся наказ</w:t>
      </w:r>
      <w:r>
        <w:t>а</w:t>
      </w:r>
      <w:r>
        <w:t>ний, государственных служащих, наемных работников, торговли, занятости, соц</w:t>
      </w:r>
      <w:r>
        <w:t>и</w:t>
      </w:r>
      <w:r>
        <w:t>ального обеспечения и налогообложения, и, впоследствии, чтобы обеспечить заве</w:t>
      </w:r>
      <w:r>
        <w:t>р</w:t>
      </w:r>
      <w:r>
        <w:t>шение процесса, проведя работу для устранения любых расхождений между закон</w:t>
      </w:r>
      <w:r>
        <w:t>о</w:t>
      </w:r>
      <w:r>
        <w:t>дательными актами и их применением на практике. Координационный центр пр</w:t>
      </w:r>
      <w:r>
        <w:t>и</w:t>
      </w:r>
      <w:r>
        <w:t>кладывает немало усилий для пропагандирования культуры прав женщин и прав ч</w:t>
      </w:r>
      <w:r>
        <w:t>е</w:t>
      </w:r>
      <w:r>
        <w:t>ловека в целом в рамках конференций, семинаров, программ повышения осведо</w:t>
      </w:r>
      <w:r>
        <w:t>м</w:t>
      </w:r>
      <w:r>
        <w:t>ленности и подготовки кадров.</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Национальный координационный центр для ликвидации всех форм дискрим</w:t>
      </w:r>
      <w:r>
        <w:t>и</w:t>
      </w:r>
      <w:r>
        <w:t>нации в отношении женщин объединяет 62 ассоциации, которые активно работают в области прав человека и прав женщин. Он эффективно отстаивает интересы Лива</w:t>
      </w:r>
      <w:r>
        <w:t>н</w:t>
      </w:r>
      <w:r>
        <w:t>ской национальной ассамблеи, которая поддерживает постоянный контакт с ним по линии трех своих комитетов, а именно Комитета по образованию, Комитета по а</w:t>
      </w:r>
      <w:r>
        <w:t>д</w:t>
      </w:r>
      <w:r>
        <w:t>министративным вопросам и вопросам правосудия и Комитета по делам женщин и детей. Благодаря такому сотрудничеству были успешно внесены поправки в статьи и положения Закона о занятости и Закона о социальном обеспечении. В настоящее время Координационный центр работает над тем, чтобы и другие положения и ст</w:t>
      </w:r>
      <w:r>
        <w:t>а</w:t>
      </w:r>
      <w:r>
        <w:t>тьи Торгового кодекса, Уголовного кодекса, Закона о социальном обеспечении и З</w:t>
      </w:r>
      <w:r>
        <w:t>а</w:t>
      </w:r>
      <w:r>
        <w:t>кона о гражда</w:t>
      </w:r>
      <w:r>
        <w:t>н</w:t>
      </w:r>
      <w:r>
        <w:t>стве не содержали дискриминационных положений.</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Совет по делам ливанских женщин. Он объединяет свыше 140 женских асс</w:t>
      </w:r>
      <w:r>
        <w:t>о</w:t>
      </w:r>
      <w:r>
        <w:t>циаций и считает себя тем органом, в котором интересы женских групп представл</w:t>
      </w:r>
      <w:r>
        <w:t>е</w:t>
      </w:r>
      <w:r>
        <w:t>ны лучше всего. Однако его деятельность носит ограниченный характер из-за его многообразного характера и усилий сменяющих друг друга руководителей по сохр</w:t>
      </w:r>
      <w:r>
        <w:t>а</w:t>
      </w:r>
      <w:r>
        <w:t>нению его единства и предотвращению раскола, поскольку входящим в его состав ассоциациям необходимо согласовывать принимаемые им меры, его позицию и п</w:t>
      </w:r>
      <w:r>
        <w:t>о</w:t>
      </w:r>
      <w:r>
        <w:t>тенциальные альянсы, одновременно сохраняя за собой право на свободу действий в соответствующих областях. Ввиду того, что некоторые из этих ассоциаций постро</w:t>
      </w:r>
      <w:r>
        <w:t>е</w:t>
      </w:r>
      <w:r>
        <w:t>ны по конфессиональному принципу и функционируют согласно постулатам их р</w:t>
      </w:r>
      <w:r>
        <w:t>е</w:t>
      </w:r>
      <w:r>
        <w:t>лигии, область их совместной деятельности по-прежнему узка. Таким образом, хотя это и вызывает серьезную озабоченность у некоторых из ассоциаций, входящих в состав Совета, вопрос об аннулировании оговорок в отношении Конвенции о ликв</w:t>
      </w:r>
      <w:r>
        <w:t>и</w:t>
      </w:r>
      <w:r>
        <w:t>дации всех форм дискриминации в отношении женщин не входит в повестку дня Совета.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С учетом широкой представительной базы Совета и как это отражено в его п</w:t>
      </w:r>
      <w:r>
        <w:t>о</w:t>
      </w:r>
      <w:r>
        <w:t>следних программах, его руководители больше обеспокоены элитарностью движ</w:t>
      </w:r>
      <w:r>
        <w:t>е</w:t>
      </w:r>
      <w:r>
        <w:t>ния наших женщин и тем, как медленно растет число его женщин-участников. Под двумя лозунгами, связанными с повышением информированности и расширением прав и возможностей женщин, эти программы осуществляются по всей стране в рамках учебных семинаров, которые в течение последних нескольких лет были п</w:t>
      </w:r>
      <w:r>
        <w:t>о</w:t>
      </w:r>
      <w:r>
        <w:t>священы вопросам представительства в парламентских и муниципальных органах, с целью обеспечить, чтобы задача Совета по достижению определенной квоты была достигнута при условии дост</w:t>
      </w:r>
      <w:r>
        <w:t>а</w:t>
      </w:r>
      <w:r>
        <w:t>точной представленности всех групп женщин.</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У ливанских женщин все еще недостаточно опыта работы в рамках объедин</w:t>
      </w:r>
      <w:r>
        <w:t>е</w:t>
      </w:r>
      <w:r>
        <w:t xml:space="preserve">ния, и ассоциации беспокоит то, что число их активных участников постепенно снижается и что саму работу ведут всего лишь несколько организаций. </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r>
      <w:r>
        <w:rPr>
          <w:i/>
        </w:rPr>
        <w:t xml:space="preserve">2. </w:t>
      </w:r>
      <w:r>
        <w:rPr>
          <w:i/>
        </w:rPr>
        <w:tab/>
        <w:t>Неправительственные организации, которые ведут борьбу с насилием в отношении женщин (два примера)</w:t>
      </w:r>
      <w:r>
        <w:t>. Ниже приводятся примеры неправительстве</w:t>
      </w:r>
      <w:r>
        <w:t>н</w:t>
      </w:r>
      <w:r>
        <w:t>ных/гражданских организаций, которые на различных уровнях и в различных ра</w:t>
      </w:r>
      <w:r>
        <w:t>й</w:t>
      </w:r>
      <w:r>
        <w:t>онах, прямо или косвенно, ведут активную борьбу с дискриминацией в отношении женщин. Кроме того, рассматриваются некоторые из мероприятий, проведенных ими за после</w:t>
      </w:r>
      <w:r>
        <w:t>д</w:t>
      </w:r>
      <w:r>
        <w:t>ние четыре года.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Демократическая ассамблея женщин. Основная сфера компетенции этого орг</w:t>
      </w:r>
      <w:r>
        <w:t>а</w:t>
      </w:r>
      <w:r>
        <w:t>на охватывает международные договора и конвенции, а именно Всеобщую деклар</w:t>
      </w:r>
      <w:r>
        <w:t>а</w:t>
      </w:r>
      <w:r>
        <w:t>цию прав человека, Декларацию об искоренении насилия в отношении женщин и Конвенцию о ликвидации всех форм дискриминации в отношении женщин. Ассам</w:t>
      </w:r>
      <w:r>
        <w:t>б</w:t>
      </w:r>
      <w:r>
        <w:t xml:space="preserve">лея, имеющая свои центры в различных районах Ливана, с момента своего создания в середине 70-х годов </w:t>
      </w:r>
      <w:r>
        <w:rPr>
          <w:lang w:val="en-US"/>
        </w:rPr>
        <w:t>XX</w:t>
      </w:r>
      <w:r>
        <w:t xml:space="preserve"> века пропагандирует культуру гендерного равенства с п</w:t>
      </w:r>
      <w:r>
        <w:t>о</w:t>
      </w:r>
      <w:r>
        <w:t>мощью своих программ, осуществляемых на постоянной основе. Они включают, в частности, такие мероприятия, как симпозиумы и семинары для повышения осв</w:t>
      </w:r>
      <w:r>
        <w:t>е</w:t>
      </w:r>
      <w:r>
        <w:t>домленности определенных групп населения, которые выступают против того л</w:t>
      </w:r>
      <w:r>
        <w:t>и</w:t>
      </w:r>
      <w:r>
        <w:t>ванского законодательства, которое дискриминирует женщин, повышение осведо</w:t>
      </w:r>
      <w:r>
        <w:t>м</w:t>
      </w:r>
      <w:r>
        <w:t>ленности о международных конвенциях, нацеленных на борьбу с дискриминацией, пропагандирование культуры противодействия насилию в семье, беседы с женщ</w:t>
      </w:r>
      <w:r>
        <w:t>и</w:t>
      </w:r>
      <w:r>
        <w:t>нами, пострадавшими от насилия, и оказание им поддержки с помощью "горячей линии", а также сотрудничество с Национальным комитетом по ликвидации негр</w:t>
      </w:r>
      <w:r>
        <w:t>а</w:t>
      </w:r>
      <w:r>
        <w:t xml:space="preserve">мотности при Министерстве по социальным вопросам в области программ обучения взрослого населения. Немаловажно, что эти программы были расширены, а число их бенефициаров в свою очередь возросло. Другой результат заключается в том, что женщины стали привлекаться к работе в Ассоциации, которая, в результате, теперь имеет 160 женщин-помощников. </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Совместно с женскими неправительственными организациями в этом году А</w:t>
      </w:r>
      <w:r>
        <w:t>с</w:t>
      </w:r>
      <w:r>
        <w:t>самблея осуществила программу, нацеленную на повышение осведомленности л</w:t>
      </w:r>
      <w:r>
        <w:t>и</w:t>
      </w:r>
      <w:r>
        <w:t>ванской общественности о том, как важно женщинам участвовать в политической жизни. Цель программы заключается в том, чтобы поощрять женщин к участию в выборах в качестве кандидатов, избирателей и наблюдателей за избирательным пр</w:t>
      </w:r>
      <w:r>
        <w:t>о</w:t>
      </w:r>
      <w:r>
        <w:t>цессом с учетом гендерных факторов, с тем, чтобы определить отношение общества к выдвижению женщин-кандидатов. В общем, были последовательно организованы 25 симпозиумов для повышения осведомленности общественности и 5 учебных ку</w:t>
      </w:r>
      <w:r>
        <w:t>р</w:t>
      </w:r>
      <w:r>
        <w:t>сов для некоторых женщин-кандидатов, 3 курса по наблюдению за выборами с уч</w:t>
      </w:r>
      <w:r>
        <w:t>е</w:t>
      </w:r>
      <w:r>
        <w:t xml:space="preserve">том гендерных факторов и один расширенный симпозиум по итогам выборов для женщин-кандидатов для оценки накопленного опыта и извлечения соответствующих уроков. </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Ливанский совет по борьбе с насилием в отношении женщин. Этот Совет явл</w:t>
      </w:r>
      <w:r>
        <w:t>я</w:t>
      </w:r>
      <w:r>
        <w:t>ется первой ливанской ассоциацией, специализирующейся на вопросах ликвидации последствий насилия в отношении женщин. Его штат расширился так, что теперь включает 52 женщины-добровольца, занятых на постоянной основе специалистов, а именно женщин - социальных помощников (из которых трое работают на условиях полной занятости), и трех женщин - административных работников. Совет является членом Постоянного арабского суда по борьбе с насилием в отношении женщин и, благодаря своей работе по искоренению стереотипов, остается одним из основных авторитетов Ливана в этой области как с практической, так и профессиональной точки зрения.</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За последние четыре года деятельность Совета изменилась таким образом, что сейчас он действует в четырех ключевых областях, вызывающих обесп</w:t>
      </w:r>
      <w:r>
        <w:t>о</w:t>
      </w:r>
      <w:r>
        <w:t>коенность:</w:t>
      </w:r>
    </w:p>
    <w:p w:rsidR="00000000" w:rsidRDefault="00000000">
      <w:pPr>
        <w:pStyle w:val="BodyText"/>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2241" w:right="1267" w:hanging="974"/>
      </w:pPr>
      <w:r>
        <w:tab/>
        <w:t xml:space="preserve">- </w:t>
      </w:r>
      <w:r>
        <w:tab/>
        <w:t>он круглосуточно принимает женщин, пострадавших от насилия, и ок</w:t>
      </w:r>
      <w:r>
        <w:t>а</w:t>
      </w:r>
      <w:r>
        <w:t>зывает им поддержку, проводя с ними беседы и консультируя их по семейным, пс</w:t>
      </w:r>
      <w:r>
        <w:t>и</w:t>
      </w:r>
      <w:r>
        <w:t>хологическим и правовым проблемам в двух центрах (Бейрут и Триполи). Кроме т</w:t>
      </w:r>
      <w:r>
        <w:t>о</w:t>
      </w:r>
      <w:r>
        <w:t>го, он руководит работой "горячей линии". После своего создания в 1997 году Сов</w:t>
      </w:r>
      <w:r>
        <w:t>е</w:t>
      </w:r>
      <w:r>
        <w:t>ту пришлось иметь дело более чем с 400 случаями. Он сотрудничает с Министерс</w:t>
      </w:r>
      <w:r>
        <w:t>т</w:t>
      </w:r>
      <w:r>
        <w:t>вом по социальным вопросам в рамках программ подготовки женщин-социальных работников в центрах обслуживания развития, рассредоточенных по всей террит</w:t>
      </w:r>
      <w:r>
        <w:t>о</w:t>
      </w:r>
      <w:r>
        <w:t>рии Лив</w:t>
      </w:r>
      <w:r>
        <w:t>а</w:t>
      </w:r>
      <w:r>
        <w:t>на.</w:t>
      </w:r>
    </w:p>
    <w:p w:rsidR="00000000" w:rsidRDefault="00000000">
      <w:pPr>
        <w:pStyle w:val="BodyText"/>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2241" w:right="1267" w:hanging="974"/>
      </w:pPr>
      <w:r>
        <w:tab/>
        <w:t xml:space="preserve">- </w:t>
      </w:r>
      <w:r>
        <w:tab/>
        <w:t>он проводит культурно-информационные мероприятия (семинары и с</w:t>
      </w:r>
      <w:r>
        <w:t>е</w:t>
      </w:r>
      <w:r>
        <w:t>минары-практикумы) для пропагандирования культуры противодействия насилию и общего ознакомления с международными конвенциями, в особенности с Конвенц</w:t>
      </w:r>
      <w:r>
        <w:t>и</w:t>
      </w:r>
      <w:r>
        <w:t>ей о ликвидации всех форм дискриминации в отношении женщин. Кроме того, он стремится распространять и публиковать проведенные на местах обследования и и</w:t>
      </w:r>
      <w:r>
        <w:t>с</w:t>
      </w:r>
      <w:r>
        <w:t>следования, касающиеся насилия в отношении женщин, сексуальных домогательств, преступлений, совершаемых по мотивам "защиты чести", и других проявлений н</w:t>
      </w:r>
      <w:r>
        <w:t>а</w:t>
      </w:r>
      <w:r>
        <w:t>силия в о</w:t>
      </w:r>
      <w:r>
        <w:t>т</w:t>
      </w:r>
      <w:r>
        <w:t>ношении женщин;</w:t>
      </w:r>
    </w:p>
    <w:p w:rsidR="00000000" w:rsidRDefault="00000000">
      <w:pPr>
        <w:pStyle w:val="BodyText"/>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2241" w:right="1267" w:hanging="974"/>
      </w:pPr>
      <w:r>
        <w:tab/>
        <w:t xml:space="preserve">- </w:t>
      </w:r>
      <w:r>
        <w:tab/>
        <w:t>он организует обучение тех, кто работает с женщинами, пострадавшими от насилия, и тех, кто в силу своей профессиональной деятельности оказывается "на переднем крае", а именно докторов, медицинских сестер, юристов, полицейских и т. д.;</w:t>
      </w:r>
    </w:p>
    <w:p w:rsidR="00000000" w:rsidRDefault="00000000">
      <w:pPr>
        <w:pStyle w:val="BodyText"/>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2241" w:right="1267" w:hanging="974"/>
      </w:pPr>
      <w:r>
        <w:tab/>
        <w:t xml:space="preserve">- </w:t>
      </w:r>
      <w:r>
        <w:tab/>
        <w:t>наконец, Комитет связан со всеми группами, которые действуют в инт</w:t>
      </w:r>
      <w:r>
        <w:t>е</w:t>
      </w:r>
      <w:r>
        <w:t>ресах ликвидации всех форм дискриминации в Ливане, и играет определенную роль в их деятельности.</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i/>
        </w:rPr>
      </w:pPr>
      <w:r>
        <w:rPr>
          <w:i/>
        </w:rPr>
        <w:tab/>
        <w:t xml:space="preserve">3. </w:t>
      </w:r>
      <w:r>
        <w:rPr>
          <w:i/>
        </w:rPr>
        <w:tab/>
        <w:t>Женские комитеты в ливанских политических партиях, профсоюзах, других органах и неправ</w:t>
      </w:r>
      <w:r>
        <w:rPr>
          <w:i/>
        </w:rPr>
        <w:t>и</w:t>
      </w:r>
      <w:r>
        <w:rPr>
          <w:i/>
        </w:rPr>
        <w:t>тельственных организациях</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Некоторые ливанские женщины объединяются под эгидой политических па</w:t>
      </w:r>
      <w:r>
        <w:t>р</w:t>
      </w:r>
      <w:r>
        <w:t>тий, профсоюзов и неправительственных организаций, исповедующих такие идеол</w:t>
      </w:r>
      <w:r>
        <w:t>о</w:t>
      </w:r>
      <w:r>
        <w:t>гии, которые прямо или косвенно выражают идеи равенства между мужчинами и женщинами и предотвращения дискриминации между ними. Примерами являются, в том числе, Женский комитет учебного центра ливанских профсоюзов, Прогресси</w:t>
      </w:r>
      <w:r>
        <w:t>в</w:t>
      </w:r>
      <w:r>
        <w:t>ный союз женщин, который функционирует под эгидой Прогрессивной социалист</w:t>
      </w:r>
      <w:r>
        <w:t>и</w:t>
      </w:r>
      <w:r>
        <w:t>ческой партии, Женское бюро оппозиционной партии, Женский совет ассоциации благотворительных учреждений и женские комитеты в составе Социального движ</w:t>
      </w:r>
      <w:r>
        <w:t>е</w:t>
      </w:r>
      <w:r>
        <w:t>ния и Движения в защиту прав человека. В своей работе в этих комитетах женщины исходят из того, что проблема женщин, несмотря на свою специфику, не может быть отделена от проблем, волнующих все общество. Не находя никакого обоснования для разделения по признаку пола, они, напротив, настоятельно призывают женщин к участию в политических, профсоюзных или общественных мероприятиях по линии политических партий и смешанных ассоциаций, как это происходит в любом дем</w:t>
      </w:r>
      <w:r>
        <w:t>о</w:t>
      </w:r>
      <w:r>
        <w:t>кратическом обществе. Эти комитеты добиваются проведения основанной на раве</w:t>
      </w:r>
      <w:r>
        <w:t>н</w:t>
      </w:r>
      <w:r>
        <w:t>стве и свободной от дискриминации политики в рамках своих собственных орган</w:t>
      </w:r>
      <w:r>
        <w:t>и</w:t>
      </w:r>
      <w:r>
        <w:t xml:space="preserve">заций. </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Из всех вышеперечисленных органов Учебный центр ливанских профсоюзов был создан позже всех, а именно в 2000 году, для удовлетворения потребности в п</w:t>
      </w:r>
      <w:r>
        <w:t>о</w:t>
      </w:r>
      <w:r>
        <w:t>вышении эффективности деятельности профсоюзов посредством повышения и</w:t>
      </w:r>
      <w:r>
        <w:t>н</w:t>
      </w:r>
      <w:r>
        <w:t>формированности трудящихся, выдвижения новых требований, ознакомления тр</w:t>
      </w:r>
      <w:r>
        <w:t>у</w:t>
      </w:r>
      <w:r>
        <w:t>дящихся с международными конвенциями и нормами, которыми связан Ливан, и принятия мер к внесению поправок во внутреннее законодательство с целью приве</w:t>
      </w:r>
      <w:r>
        <w:t>с</w:t>
      </w:r>
      <w:r>
        <w:t>ти его в соответствие с международными документами. Иначе говоря, он делает все возможное, чтобы профсоюзы стали уделять больше внимания не оказанию услуг, что стало нормой в последние годы, а организованному и эффективному выдвиж</w:t>
      </w:r>
      <w:r>
        <w:t>е</w:t>
      </w:r>
      <w:r>
        <w:t>нию треб</w:t>
      </w:r>
      <w:r>
        <w:t>о</w:t>
      </w:r>
      <w:r>
        <w:t>ваний.</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Женщины составляют лишь 2 процента членов ливанских профсоюзов (и св</w:t>
      </w:r>
      <w:r>
        <w:t>ы</w:t>
      </w:r>
      <w:r>
        <w:t>ше 25 процентов рабочей силы) и принимают минимальное участие в работе их представительных советов и руководящих органов. Соответственно, при поддержке со стороны органа, ответственного за координацию деятельности женских комит</w:t>
      </w:r>
      <w:r>
        <w:t>е</w:t>
      </w:r>
      <w:r>
        <w:t>тов в составе Международного объединения работников общественного обслужив</w:t>
      </w:r>
      <w:r>
        <w:t>а</w:t>
      </w:r>
      <w:r>
        <w:t>ния, в настоящее время Центр добивается учреждения специального женского ком</w:t>
      </w:r>
      <w:r>
        <w:t>и</w:t>
      </w:r>
      <w:r>
        <w:t>тета в каждом профессиональном союзе, который будет заниматься расширением прав и возможностей женщин в рамках союза, повышением роли женщин и выдв</w:t>
      </w:r>
      <w:r>
        <w:t>и</w:t>
      </w:r>
      <w:r>
        <w:t>гать тр</w:t>
      </w:r>
      <w:r>
        <w:t>е</w:t>
      </w:r>
      <w:r>
        <w:t xml:space="preserve">бования от их имени. </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Благодаря работе, проделанной Женским комитетом учебного центра лива</w:t>
      </w:r>
      <w:r>
        <w:t>н</w:t>
      </w:r>
      <w:r>
        <w:t>ских профсоюзов, шесть женщин сейчас входят в состав руководящих органов трех профессиональных союзов (Национальное отделение Литани, Социальное обеспеч</w:t>
      </w:r>
      <w:r>
        <w:t>е</w:t>
      </w:r>
      <w:r>
        <w:t>ние и Национальное отделение Риджи) и выдвигают требования, касающиеся здор</w:t>
      </w:r>
      <w:r>
        <w:t>о</w:t>
      </w:r>
      <w:r>
        <w:t>вья женщин и оказания поддержки женщинам в исполнении их двойных обязанн</w:t>
      </w:r>
      <w:r>
        <w:t>о</w:t>
      </w:r>
      <w:r>
        <w:t>стей, как, например, создание детских яслей на рабочих ме</w:t>
      </w:r>
      <w:r>
        <w:t>с</w:t>
      </w:r>
      <w:r>
        <w:t>тах.</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i/>
        </w:rPr>
      </w:pPr>
      <w:r>
        <w:rPr>
          <w:i/>
        </w:rPr>
        <w:tab/>
        <w:t>4.</w:t>
      </w:r>
      <w:r>
        <w:rPr>
          <w:i/>
        </w:rPr>
        <w:tab/>
        <w:t>Неправительственные организации в сфере культуры, информации и коммуникации</w:t>
      </w:r>
    </w:p>
    <w:p w:rsidR="00000000" w:rsidRDefault="00000000">
      <w:pPr>
        <w:pStyle w:val="BodyText"/>
        <w:tabs>
          <w:tab w:val="clear" w:pos="1814"/>
          <w:tab w:val="left" w:pos="1022"/>
          <w:tab w:val="left" w:pos="1267"/>
          <w:tab w:val="left" w:pos="1746"/>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w:t>
      </w:r>
      <w:r>
        <w:tab/>
        <w:t>Научно-исследовательская группа по вопросам деятельности в области развития. Эта неправительственная организация добивается ускорения социального развития общины посредством повышения осведомленности о вопросах, касающи</w:t>
      </w:r>
      <w:r>
        <w:t>х</w:t>
      </w:r>
      <w:r>
        <w:t>ся гендерных факторов, развития и нищеты, помимо наращивания потенциала о</w:t>
      </w:r>
      <w:r>
        <w:t>б</w:t>
      </w:r>
      <w:r>
        <w:t>щинных организаций и их сотрудников. Для этого она организует обучение, распр</w:t>
      </w:r>
      <w:r>
        <w:t>о</w:t>
      </w:r>
      <w:r>
        <w:t>страняет информацию и оказывает институциональную и организационную по</w:t>
      </w:r>
      <w:r>
        <w:t>д</w:t>
      </w:r>
      <w:r>
        <w:t>держку. За последние четыре года было реализовано восемь проектов, большинство из которых было посвящено гендерной проблематике, хотя другие и были ориент</w:t>
      </w:r>
      <w:r>
        <w:t>и</w:t>
      </w:r>
      <w:r>
        <w:t>рованы непосредственно на женщин (расширение экономических прав и возможн</w:t>
      </w:r>
      <w:r>
        <w:t>о</w:t>
      </w:r>
      <w:r>
        <w:t>стей, исполнение женщинами управленческих функций). При поддержке со стороны экспертов высокого уровня из Ливана и арабского мира Группа сейчас осуществляет два проекта. Первый из них - это информационно-коммуникационный проект, п</w:t>
      </w:r>
      <w:r>
        <w:t>о</w:t>
      </w:r>
      <w:r>
        <w:t>священный гендерному фактору и развитию в восточных и западных районах ара</w:t>
      </w:r>
      <w:r>
        <w:t>б</w:t>
      </w:r>
      <w:r>
        <w:t>ского мира, а второй предназначен для налаживания контактов между правительс</w:t>
      </w:r>
      <w:r>
        <w:t>т</w:t>
      </w:r>
      <w:r>
        <w:t>венными учреждениями и неправительственными организациями по вопросам н</w:t>
      </w:r>
      <w:r>
        <w:t>и</w:t>
      </w:r>
      <w:r>
        <w:t>щеты и развития в Ливане с помощью регулярно издаваемого бюллетеня и интера</w:t>
      </w:r>
      <w:r>
        <w:t>к</w:t>
      </w:r>
      <w:r>
        <w:t>тивного веб-сайта.</w:t>
      </w:r>
    </w:p>
    <w:p w:rsidR="00000000" w:rsidRDefault="00000000">
      <w:pPr>
        <w:pStyle w:val="BodyText"/>
        <w:tabs>
          <w:tab w:val="clear" w:pos="1814"/>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 xml:space="preserve">- </w:t>
      </w:r>
      <w:r>
        <w:tab/>
        <w:t xml:space="preserve">Ливанская ассоциация женщин-ученых была основана в конце 90-х годов </w:t>
      </w:r>
      <w:r>
        <w:rPr>
          <w:lang w:val="en-US"/>
        </w:rPr>
        <w:t>XX</w:t>
      </w:r>
      <w:r>
        <w:t xml:space="preserve"> века с целью объединения женщин-ученых, облегчения их работы, защиты их прав и оказания поддержки тем из них, кто только недавно начал трудовую деятел</w:t>
      </w:r>
      <w:r>
        <w:t>ь</w:t>
      </w:r>
      <w:r>
        <w:t>ность и еще не имеет опыта. Подавляющее большинство ее членов (всего их насч</w:t>
      </w:r>
      <w:r>
        <w:t>и</w:t>
      </w:r>
      <w:r>
        <w:t>тывается примерно 40) преподают в университетах Ливана. Ассоциация издает еж</w:t>
      </w:r>
      <w:r>
        <w:t>е</w:t>
      </w:r>
      <w:r>
        <w:t>годник под названием "</w:t>
      </w:r>
      <w:r>
        <w:rPr>
          <w:lang w:val="en-US"/>
        </w:rPr>
        <w:t>Bahithat</w:t>
      </w:r>
      <w:r>
        <w:t>" ("Женщины-ученые"), большинство изданий кот</w:t>
      </w:r>
      <w:r>
        <w:t>о</w:t>
      </w:r>
      <w:r>
        <w:t>рого были посвящены главным образом женщинам и их проблемам. Данный еж</w:t>
      </w:r>
      <w:r>
        <w:t>е</w:t>
      </w:r>
      <w:r>
        <w:t>годник содержит основные справочные материалы об исследованиях, посвященных ливанским и арабским женщинам. Один из текущих проектов нацелен на то, чтобы обеспечить включение исследований по женской и гендерной проблематике в уче</w:t>
      </w:r>
      <w:r>
        <w:t>б</w:t>
      </w:r>
      <w:r>
        <w:t>ные планы Лива</w:t>
      </w:r>
      <w:r>
        <w:t>н</w:t>
      </w:r>
      <w:r>
        <w:t>ского университета в рамках официальной политики.</w:t>
      </w:r>
    </w:p>
    <w:p w:rsidR="00000000" w:rsidRDefault="00000000">
      <w:pPr>
        <w:pStyle w:val="BodyText"/>
        <w:tabs>
          <w:tab w:val="clear" w:pos="1814"/>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w:t>
      </w:r>
      <w:r>
        <w:tab/>
        <w:t>Институт исследований женской проблематики в арабском мире основан в 1973 году в составе Американского университета в Ливане с целью, в том числе, создать широкую информационную базу, касающуюся женщин, и повысить уровень жизни женщин и детей в арабском мире. Кроме того, он принимает участие в пров</w:t>
      </w:r>
      <w:r>
        <w:t>е</w:t>
      </w:r>
      <w:r>
        <w:t>дении мероприятий в культурной сфере, в процессе подготовки документации и и</w:t>
      </w:r>
      <w:r>
        <w:t>з</w:t>
      </w:r>
      <w:r>
        <w:t>дания материалов, касающихся женщин. В прошлом году институт подготовил пр</w:t>
      </w:r>
      <w:r>
        <w:t>о</w:t>
      </w:r>
      <w:r>
        <w:t>грамму под названием "Проект в области основных жизненных навыков", который представляет собой неофициальную учебную программу для малообразованных женщин и женщин, привлеченных к осуществлению проектов в интересах развития. Институт публикует периодическое издание под названием "</w:t>
      </w:r>
      <w:r>
        <w:rPr>
          <w:lang w:val="en-US"/>
        </w:rPr>
        <w:t>Al</w:t>
      </w:r>
      <w:r>
        <w:noBreakHyphen/>
      </w:r>
      <w:r>
        <w:rPr>
          <w:lang w:val="en-US"/>
        </w:rPr>
        <w:t>Ra</w:t>
      </w:r>
      <w:r>
        <w:t>'</w:t>
      </w:r>
      <w:r>
        <w:rPr>
          <w:lang w:val="en-US"/>
        </w:rPr>
        <w:t>idah</w:t>
      </w:r>
      <w:r>
        <w:t>" на англи</w:t>
      </w:r>
      <w:r>
        <w:t>й</w:t>
      </w:r>
      <w:r>
        <w:t>ском языке (в печатной и электронной форме) и на арабском языке (в электронной форме). Это - единственное периодическое издание для женщин в арабском мире, которое выходит в свет в электронной форме (сейчас уже вышло свыше 100 ном</w:t>
      </w:r>
      <w:r>
        <w:t>е</w:t>
      </w:r>
      <w:r>
        <w:t>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ab/>
        <w:t>-</w:t>
      </w:r>
      <w:r>
        <w:tab/>
        <w:t>Неформальные группы. Говоря об организациях, стремящихся к обеспечению равенства и к борьбе с дискриминацией в отношении женщин в нашем обществе, невозможно упустить из виду неформальные группы, дейс</w:t>
      </w:r>
      <w:r>
        <w:t>т</w:t>
      </w:r>
      <w:r>
        <w:t>вующие в гражданской/неправительственной сфере, в особенности ввиду того, что они чаще всего основаны юношами и девушками и находятся под их управлением в то время, когда практически все неправительственные орган</w:t>
      </w:r>
      <w:r>
        <w:t>и</w:t>
      </w:r>
      <w:r>
        <w:t>зации жалуются на то, что им никак не удается привлечь молодежь в свои р</w:t>
      </w:r>
      <w:r>
        <w:t>я</w:t>
      </w:r>
      <w:r>
        <w:t>ды. Эти группы создали свои собственные веб-сайты и общаются друг с др</w:t>
      </w:r>
      <w:r>
        <w:t>у</w:t>
      </w:r>
      <w:r>
        <w:t>гом по электронной почте. Они обеспокоены, в том числе, проблемами генде</w:t>
      </w:r>
      <w:r>
        <w:t>р</w:t>
      </w:r>
      <w:r>
        <w:t>ного равенства, насилия в отношении женщин и другими женскими проблем</w:t>
      </w:r>
      <w:r>
        <w:t>а</w:t>
      </w:r>
      <w:r>
        <w:t>ми. Речь идет, например, о таких группах, как "За всеобщий атеизм", "Движ</w:t>
      </w:r>
      <w:r>
        <w:t>е</w:t>
      </w:r>
      <w:r>
        <w:t>ние в поддер</w:t>
      </w:r>
      <w:r>
        <w:t>ж</w:t>
      </w:r>
      <w:r>
        <w:t>ку гражданского общества" и "Группа женщин-читательниц".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Глава 4</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Оговорки, сделанные Ливаном в отношении Конвенции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tab/>
        <w:t xml:space="preserve">(Статьи 9, 16 и 29 Конвенции)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Ливанское государство сделало оговорки, которые остаются в силе, в отнош</w:t>
      </w:r>
      <w:r>
        <w:t>е</w:t>
      </w:r>
      <w:r>
        <w:t>нии определенных положений Конвенции о ликвидации всех форм дискриминации, в ч</w:t>
      </w:r>
      <w:r>
        <w:t>а</w:t>
      </w:r>
      <w:r>
        <w:t>стности в отношении:</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pPr>
      <w:r>
        <w:t xml:space="preserve">1. </w:t>
      </w:r>
      <w:r>
        <w:tab/>
        <w:t>пункта 2 статьи 9, касающегося гражданства;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pPr>
      <w:r>
        <w:t xml:space="preserve">2. </w:t>
      </w:r>
      <w:r>
        <w:tab/>
        <w:t xml:space="preserve">подпунктов с), </w:t>
      </w:r>
      <w:r>
        <w:rPr>
          <w:lang w:val="en-US"/>
        </w:rPr>
        <w:t>d</w:t>
      </w:r>
      <w:r>
        <w:t xml:space="preserve">), </w:t>
      </w:r>
      <w:r>
        <w:rPr>
          <w:lang w:val="en-US"/>
        </w:rPr>
        <w:t>f</w:t>
      </w:r>
      <w:r>
        <w:t xml:space="preserve">) и </w:t>
      </w:r>
      <w:r>
        <w:rPr>
          <w:lang w:val="en-US"/>
        </w:rPr>
        <w:t>g</w:t>
      </w:r>
      <w:r>
        <w:t>) статьи 16 по вопросам личного статуса;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ind w:left="1742" w:right="1267"/>
      </w:pPr>
      <w:r>
        <w:t xml:space="preserve">3. </w:t>
      </w:r>
      <w:r>
        <w:tab/>
        <w:t>пункта 1 статьи 29, касающегося урегулирования споров.</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w:t>
      </w:r>
      <w:r>
        <w:t>.</w:t>
      </w:r>
      <w:r>
        <w:tab/>
      </w:r>
      <w:r>
        <w:tab/>
        <w:t xml:space="preserve">Гражданство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Гражданство тесно связано с географическим, демографическим, гуманита</w:t>
      </w:r>
      <w:r>
        <w:t>р</w:t>
      </w:r>
      <w:r>
        <w:t>ным, национальным и политическим положением государства. Например, некоторые государства проводят особую демографическую политику на основе своих социал</w:t>
      </w:r>
      <w:r>
        <w:t>ь</w:t>
      </w:r>
      <w:r>
        <w:t>но-экономических потребностей и готовы предоставлять гражданство на основе не происхождения, а места проживания и/или места рождения. Другие государства проводят иную демографическую политику и с неохотой предоставляют гражданс</w:t>
      </w:r>
      <w:r>
        <w:t>т</w:t>
      </w:r>
      <w:r>
        <w:t>во, как это и происходит в Ливане, где положение дел определяется хрупким ме</w:t>
      </w:r>
      <w:r>
        <w:t>ж</w:t>
      </w:r>
      <w:r>
        <w:t>конфе</w:t>
      </w:r>
      <w:r>
        <w:t>с</w:t>
      </w:r>
      <w:r>
        <w:t>сиональным балансом.</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Разумеется, государства связаны конвенциями, к которым они присоединяю</w:t>
      </w:r>
      <w:r>
        <w:t>т</w:t>
      </w:r>
      <w:r>
        <w:t>ся, и основными принципами, исходя из которых и решаются вопросы гражданства. Один из этих принципов заключается в том, что "каждый человек имеет право на гражданство", как это подтверждается в статье 15 Всеобщей декларации прав чел</w:t>
      </w:r>
      <w:r>
        <w:t>о</w:t>
      </w:r>
      <w:r>
        <w:t>века и, до этого момента, в Гаагской конвенции 1930 года, которая гласит, что: "…в общих интересах международного сообщества обеспечить, чтобы все его члены пр</w:t>
      </w:r>
      <w:r>
        <w:t>и</w:t>
      </w:r>
      <w:r>
        <w:t>знавали то, что каждый человек должен иметь гражданство…".</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Независимо от своего семейного положения женщины в Ливане пользуются равным с мужчинами правом на приобретение гражданства, его сохранение или и</w:t>
      </w:r>
      <w:r>
        <w:t>з</w:t>
      </w:r>
      <w:r>
        <w:t>менение. Статья 6 Декрета № 15 от 19 января 1925 года с поправками, внесенными Законом о гражданстве от 11 января 1960 года, гласит, что "ливанская женщина, к</w:t>
      </w:r>
      <w:r>
        <w:t>о</w:t>
      </w:r>
      <w:r>
        <w:t>торая выходит замуж за иностранца, остается гражданкой Ливана до тех пор, пока она не обратится с просьбой исключить ее из статистических ведомостей, поскольку она приобрела гражданство своего супруга". Кроме того, "женщина, которая утрач</w:t>
      </w:r>
      <w:r>
        <w:t>и</w:t>
      </w:r>
      <w:r>
        <w:t>вает свое ливанское гражданство на основании своего брака с иностранцем, может восстановить свое гражданство после расторжения брака по ее просьбе" (статья 7 Декрета №15 от 19 января 1925 года с поправками, внесенными Законом о гражда</w:t>
      </w:r>
      <w:r>
        <w:t>н</w:t>
      </w:r>
      <w:r>
        <w:t>стве от 11 января 1960 года).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Таким образом, в части, касающейся гражданства, законодательство Ливана и п</w:t>
      </w:r>
      <w:r>
        <w:t>о</w:t>
      </w:r>
      <w:r>
        <w:t>ложение пункта 1 статьи 9 Конвенции противоречат друг другу.</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Однако Ливан сделал оговорку в отношении вышеупомянутого пункта 2 статьи</w:t>
      </w:r>
      <w:r>
        <w:rPr>
          <w:lang w:val="en-US"/>
        </w:rPr>
        <w:t> </w:t>
      </w:r>
      <w:r>
        <w:t>9, где к государствам-участникам обращается призыв "предоставить женщ</w:t>
      </w:r>
      <w:r>
        <w:t>и</w:t>
      </w:r>
      <w:r>
        <w:t>нам равные с мужчинами права в отношении гражданства их детей", тогда как л</w:t>
      </w:r>
      <w:r>
        <w:t>и</w:t>
      </w:r>
      <w:r>
        <w:t>ванское законодательство предусматривает прямо противоположный при</w:t>
      </w:r>
      <w:r>
        <w:t>н</w:t>
      </w:r>
      <w:r>
        <w:t>цип.</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В качестве страны, куда прибывают и откуда выезжают мигранты, Ливан пр</w:t>
      </w:r>
      <w:r>
        <w:t>и</w:t>
      </w:r>
      <w:r>
        <w:t>меняет два следующих принципа в рамках своего законодательства по вопросам гражданства: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первый принцип: принцип "кровных уз" важнее принципа почвы.</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второй принцип: принцип "кровных уз" связан исключительно с матерью, а никак не с отцом.</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Законодатели Ливана закрепили эти два принципа, с самого начала заявив в статье 1 Декрета № 15 от 19 января 1925 года, что "любой человек, чьим отцом явл</w:t>
      </w:r>
      <w:r>
        <w:t>я</w:t>
      </w:r>
      <w:r>
        <w:t>ется гражданином Ливана, считается гражд</w:t>
      </w:r>
      <w:r>
        <w:t>а</w:t>
      </w:r>
      <w:r>
        <w:t>нином Ливана".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Однако ливанские законодатели либо полностью проигнорировали "принцип почвы", либо полностью исключили возможность того, что ребенку может быть предо</w:t>
      </w:r>
      <w:r>
        <w:t>с</w:t>
      </w:r>
      <w:r>
        <w:t>тавлено гражданство его матери.</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Что касается "принципа почвы", то на основании пунктов 2 и 3 статьи 1 Декр</w:t>
      </w:r>
      <w:r>
        <w:t>е</w:t>
      </w:r>
      <w:r>
        <w:t>та № 15 гражданином Ливана считается:</w:t>
      </w:r>
    </w:p>
    <w:p w:rsidR="00000000" w:rsidRDefault="00000000">
      <w:pPr>
        <w:pStyle w:val="BodyText"/>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814" w:right="1267"/>
      </w:pPr>
      <w:r>
        <w:tab/>
        <w:t>"любое лицо, родившееся на территории Большого Ливана, которое, как было установлено, не приобрело гражданство зарубежного государства в силу родства;</w:t>
      </w:r>
    </w:p>
    <w:p w:rsidR="00000000" w:rsidRDefault="00000000">
      <w:pPr>
        <w:pStyle w:val="BodyText"/>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814" w:right="1267"/>
      </w:pPr>
      <w:r>
        <w:tab/>
        <w:t>любое лицо, родившееся на территории Большого Ливана у неизвестных родителей или у родит</w:t>
      </w:r>
      <w:r>
        <w:t>е</w:t>
      </w:r>
      <w:r>
        <w:t>лей, чье гражданство не установлено."</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Гражданство матери ребенок получает лишь в двух случаях.</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Первый случай - это когда мать незаконнорожденного ребенка была найдена раньше, чем его отец (статья 2 Декрета № 15 от 19 января 1925 года).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Второй случай - это когда мать несовершеннолетнего ребенка принимает л</w:t>
      </w:r>
      <w:r>
        <w:t>и</w:t>
      </w:r>
      <w:r>
        <w:t>ванское гражданство и переживает отца ребенка (заключительный пункт статьи 4 Декрета № 15 от 19 января 1925 года). Следует подчеркнуть, что ливанские суды о</w:t>
      </w:r>
      <w:r>
        <w:t>т</w:t>
      </w:r>
      <w:r>
        <w:t>казываются расширять сферу применения этой статьи на том основании, что, по их мнению, "смерть мужа" является обязательным условием. Иначе говоря, расторж</w:t>
      </w:r>
      <w:r>
        <w:t>е</w:t>
      </w:r>
      <w:r>
        <w:t>ние брака при живом супруге не аннулирует "кровного родства", которым он связан со своим ребенком.</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Как и второй случай, столь же значима и ситуация, когда после смерти отца натурализовавшейся матери отдается предпочтение по сравнению с матерью лива</w:t>
      </w:r>
      <w:r>
        <w:t>н</w:t>
      </w:r>
      <w:r>
        <w:t>ского происхождения при решении вопроса о предоставлении гражданства ее нес</w:t>
      </w:r>
      <w:r>
        <w:t>о</w:t>
      </w:r>
      <w:r>
        <w:t>вершеннолетним детям. Предполагается, что ливанские законодатели должны пер</w:t>
      </w:r>
      <w:r>
        <w:t>е</w:t>
      </w:r>
      <w:r>
        <w:t>смотреть вышеизложенные положения для обеспечения равенства между отцом и матерью в том, что касается предоставления ливанск</w:t>
      </w:r>
      <w:r>
        <w:t>о</w:t>
      </w:r>
      <w:r>
        <w:t>го гражданства их детям.</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Законопроект, подготовленный министром юстиции в 1995 году, получил н</w:t>
      </w:r>
      <w:r>
        <w:t>е</w:t>
      </w:r>
      <w:r>
        <w:t>однозначную оценку. Согласно этому законопроекту несовершеннолетнему ребенку может быть предоставлено особое разрешение унаследовать от матери гражданство Ливана, при условии, что ребенок постоянно проживал вместе с матерью в Ливане не менее чем в течение пяти лет.</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ind w:left="1267" w:right="1267"/>
      </w:pPr>
      <w:r>
        <w:tab/>
        <w:t>Следует упомянуть и том, что крупная поправка была внесена в правила в</w:t>
      </w:r>
      <w:r>
        <w:t>ы</w:t>
      </w:r>
      <w:r>
        <w:t>платы пособий кооператива государственных служащих; гражданство детей не м</w:t>
      </w:r>
      <w:r>
        <w:t>о</w:t>
      </w:r>
      <w:r>
        <w:t>жет служить основанием для того, чтобы их матери, которая является государстве</w:t>
      </w:r>
      <w:r>
        <w:t>н</w:t>
      </w:r>
      <w:r>
        <w:t>ным служащим, было отказано в праве на получение пособий от кооператива на ее детей, не являющихся гражданами Ливана (более подробная информация приведена во второй части первой главы настоящего доклада). Что касается женщин - наемных работников, охваченных системой социального обеспечения, то их право на получ</w:t>
      </w:r>
      <w:r>
        <w:t>е</w:t>
      </w:r>
      <w:r>
        <w:t>ние пособий по социальному обеспечению на своих детей, не являющихся гражд</w:t>
      </w:r>
      <w:r>
        <w:t>а</w:t>
      </w:r>
      <w:r>
        <w:t>нами Ливана, никогда не оспаривалось, что подтверждается информационным ци</w:t>
      </w:r>
      <w:r>
        <w:t>р</w:t>
      </w:r>
      <w:r>
        <w:t>куляром № 189 от 12 ноября 1987 года, который гласит, что "право застрахованного лица (будь то мужчина или женщина) на получение пособий по социальному обе</w:t>
      </w:r>
      <w:r>
        <w:t>с</w:t>
      </w:r>
      <w:r>
        <w:t>печению на членов своей семьи не должно зависеть от того, являются ли члены их семей гражданами Ливана или нет".</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II</w:t>
      </w:r>
      <w:r>
        <w:t>.</w:t>
      </w:r>
      <w:r>
        <w:tab/>
      </w:r>
      <w:r>
        <w:tab/>
        <w:t>Личный статус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Статья 16 Конвенции включает два пункта: пункт 1 содержит восемь подпун</w:t>
      </w:r>
      <w:r>
        <w:t>к</w:t>
      </w:r>
      <w:r>
        <w:t>тов, а пункт 2 - одно положение, которое по существу устанавливает минимальный бра</w:t>
      </w:r>
      <w:r>
        <w:t>ч</w:t>
      </w:r>
      <w:r>
        <w:t>ный возраст.</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Положения, в отношении которых Ливан сделал оговорку, содержатся в пункте</w:t>
      </w:r>
      <w:r>
        <w:rPr>
          <w:lang w:val="en-US"/>
        </w:rPr>
        <w:t> </w:t>
      </w:r>
      <w:r>
        <w:t xml:space="preserve">1, в частности в его подпунктах с), </w:t>
      </w:r>
      <w:r>
        <w:rPr>
          <w:lang w:val="en-US"/>
        </w:rPr>
        <w:t>d</w:t>
      </w:r>
      <w:r>
        <w:t xml:space="preserve">), </w:t>
      </w:r>
      <w:r>
        <w:rPr>
          <w:lang w:val="en-US"/>
        </w:rPr>
        <w:t>f</w:t>
      </w:r>
      <w:r>
        <w:t xml:space="preserve">) и </w:t>
      </w:r>
      <w:r>
        <w:rPr>
          <w:lang w:val="en-US"/>
        </w:rPr>
        <w:t>g</w:t>
      </w:r>
      <w:r>
        <w:t>), в которых подчеркивается, что му</w:t>
      </w:r>
      <w:r>
        <w:t>ж</w:t>
      </w:r>
      <w:r>
        <w:t>чинам и женщинам следует обеспечить:</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одинаковые права и обязанности в период брака и при его расторжении (по</w:t>
      </w:r>
      <w:r>
        <w:t>д</w:t>
      </w:r>
      <w:r>
        <w:t>пункт с));</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одинаковые права и обязанности как родителей в вопросах, касающихся их д</w:t>
      </w:r>
      <w:r>
        <w:t>е</w:t>
      </w:r>
      <w:r>
        <w:t xml:space="preserve">тей (подпункт </w:t>
      </w:r>
      <w:r>
        <w:rPr>
          <w:lang w:val="en-US"/>
        </w:rPr>
        <w:t>d</w:t>
      </w:r>
      <w:r>
        <w:t>));</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одинаковые права и обязанности быть опекунами, попечителями, доверител</w:t>
      </w:r>
      <w:r>
        <w:t>я</w:t>
      </w:r>
      <w:r>
        <w:t xml:space="preserve">ми и усыновителями детей (подпункт </w:t>
      </w:r>
      <w:r>
        <w:rPr>
          <w:lang w:val="en-US"/>
        </w:rPr>
        <w:t>f</w:t>
      </w:r>
      <w:r>
        <w:t>));</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одинаковые личные права мужа и жены, в том числе право выбора фамилии (по</w:t>
      </w:r>
      <w:r>
        <w:t>д</w:t>
      </w:r>
      <w:r>
        <w:t xml:space="preserve">пункт </w:t>
      </w:r>
      <w:r>
        <w:rPr>
          <w:lang w:val="en-US"/>
        </w:rPr>
        <w:t>g</w:t>
      </w:r>
      <w:r>
        <w:t>)).</w:t>
      </w:r>
    </w:p>
    <w:p w:rsidR="00000000" w:rsidRDefault="00000000">
      <w:pPr>
        <w:pStyle w:val="BodyText"/>
        <w:tabs>
          <w:tab w:val="clear" w:pos="1814"/>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Эта оговорка была сделана в силу того, что в Ливане действует несколько з</w:t>
      </w:r>
      <w:r>
        <w:t>а</w:t>
      </w:r>
      <w:r>
        <w:t>конов о личном статусе; каждый ливанец подпадает под действие законов и нах</w:t>
      </w:r>
      <w:r>
        <w:t>о</w:t>
      </w:r>
      <w:r>
        <w:t>дится под юрисдикцией судов в зависимости от исповедуемой им религии. Таким образом, гражданин Ливана связан своей принадлежностью к признанной религио</w:t>
      </w:r>
      <w:r>
        <w:t>з</w:t>
      </w:r>
      <w:r>
        <w:t>ной общине (которых, как уже отмечалось ранее, в настоящее время насчитывается 18) в том, что касается регулирования своего личного статуса. Вне связи с такой принадлежностью для регулирования личного статуса невозможно создать систему, построенную не по конфессиональному принципу. Конфессиональный фактор сы</w:t>
      </w:r>
      <w:r>
        <w:t>г</w:t>
      </w:r>
      <w:r>
        <w:t>рал важную роль не только в конституции ливанского народа, но и при создании л</w:t>
      </w:r>
      <w:r>
        <w:t>и</w:t>
      </w:r>
      <w:r>
        <w:t>ванского государства и, вместе с другими экономическими и политическими факт</w:t>
      </w:r>
      <w:r>
        <w:t>о</w:t>
      </w:r>
      <w:r>
        <w:t>рами, до сего вр</w:t>
      </w:r>
      <w:r>
        <w:t>е</w:t>
      </w:r>
      <w:r>
        <w:t xml:space="preserve">мени продолжает играть исключительно важную роль. </w:t>
      </w:r>
    </w:p>
    <w:p w:rsidR="00000000" w:rsidRDefault="00000000">
      <w:pPr>
        <w:pStyle w:val="BodyText"/>
        <w:tabs>
          <w:tab w:val="left" w:pos="1022"/>
          <w:tab w:val="left" w:pos="1267"/>
          <w:tab w:val="left" w:pos="1890"/>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Система личного статуса в Ливане имеет конституционную основу, поскольку статья 9 Конституции гласит, что "свобода вероисповедания является абсолютной и государство, при выполнении своих обязанностей поклоняться Всемогущему Богу, уважает все религии и убеждения и гарантирует, под своей защитой, свободу о</w:t>
      </w:r>
      <w:r>
        <w:t>т</w:t>
      </w:r>
      <w:r>
        <w:t>правления религиозного культа, при условии, что это не нарушает общественный порядок. Оно гарантирует также уважение системы личного статуса и религиозных интересов членов различных религиозных о</w:t>
      </w:r>
      <w:r>
        <w:t>б</w:t>
      </w:r>
      <w:r>
        <w:t>щин".</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Наконец, в соответствии с конституционной поправкой 1990 года, руководит</w:t>
      </w:r>
      <w:r>
        <w:t>е</w:t>
      </w:r>
      <w:r>
        <w:t>ли официально признанных религиозных общин имеют право консультироваться с Конституционным советом по вопросам, касающимся исключительно личного ст</w:t>
      </w:r>
      <w:r>
        <w:t>а</w:t>
      </w:r>
      <w:r>
        <w:t>туса, свободы вероисповедания, практики религиозных церемоний и свободы рел</w:t>
      </w:r>
      <w:r>
        <w:t>и</w:t>
      </w:r>
      <w:r>
        <w:t>гиозного образования (новая статья 19 Конституции).</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В общем, вышеизложенное дает определенное представление о статусе рел</w:t>
      </w:r>
      <w:r>
        <w:t>и</w:t>
      </w:r>
      <w:r>
        <w:t>гиозных "священных текстов" в ливанской системе правового регулирования и о п</w:t>
      </w:r>
      <w:r>
        <w:t>о</w:t>
      </w:r>
      <w:r>
        <w:t>ложении религиозных общин в рамках ливанской конституционной системы. К тем же самым выводам независимым образом пришел и Ливанский конституционный совет, который заявил в своем решении от 23 ноября 1999 года, что "Конституция далее признает различные права религиозных общин, как это указывается в ее стат</w:t>
      </w:r>
      <w:r>
        <w:t>ь</w:t>
      </w:r>
      <w:r>
        <w:t>ях 10, 24 и 95, и, в частности, в статье 19, согласно которым руководители офиц</w:t>
      </w:r>
      <w:r>
        <w:t>и</w:t>
      </w:r>
      <w:r>
        <w:t>ально признанных религиозных общин имеют право консультироваться с Констит</w:t>
      </w:r>
      <w:r>
        <w:t>у</w:t>
      </w:r>
      <w:r>
        <w:t>ционным советом, подтверждая, таким образом, что Конституция признает искусс</w:t>
      </w:r>
      <w:r>
        <w:t>т</w:t>
      </w:r>
      <w:r>
        <w:t>венную правосубъектность религиозных общин, с одной стороны, и их автономию в том, что касается управления своими собственными делами, с другой стороны, и, следовательно, их право защищать свою автономию и свои собственные конкретные религиозные характеристики" (решение</w:t>
      </w:r>
      <w:r>
        <w:rPr>
          <w:lang w:val="en-US"/>
        </w:rPr>
        <w:t> </w:t>
      </w:r>
      <w:r>
        <w:t>№ 1/99 от 23 ноября 1999 года).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Тем не менее, было предпринято несколько попыток составить единый гра</w:t>
      </w:r>
      <w:r>
        <w:t>ж</w:t>
      </w:r>
      <w:r>
        <w:t>данский кодекс о личном статусе в Ливане, однако все они оказались безрезульта</w:t>
      </w:r>
      <w:r>
        <w:t>т</w:t>
      </w:r>
      <w:r>
        <w:t>ными. В частности, президент Элиас Храуи внес на рассмотрение законопроект о предоставлении возможности заключать браки в соответствии с гражданским зак</w:t>
      </w:r>
      <w:r>
        <w:t>о</w:t>
      </w:r>
      <w:r>
        <w:t>нодательством, который был одобрен Кабинетом 18 марта 1998</w:t>
      </w:r>
      <w:r>
        <w:rPr>
          <w:lang w:val="en-US"/>
        </w:rPr>
        <w:t> </w:t>
      </w:r>
      <w:r>
        <w:t>года большинством в 21 голос против 6, при одном воздержавшемся министре. Одной из положительных черт основного законопроекта было то, что он предусматривал равенство прав и об</w:t>
      </w:r>
      <w:r>
        <w:t>я</w:t>
      </w:r>
      <w:r>
        <w:t>занностей мужчин и женщин в том, что касается и</w:t>
      </w:r>
      <w:r>
        <w:t>н</w:t>
      </w:r>
      <w:r>
        <w:t>ститута брака.</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Тем не менее, брак в соответствии с гражданским законодательством доступен для ливанцев, при условии, что такой брак заключается за границей. Таким образом, браки, заключаемые ливанцами в иностранном государстве, будь то между собой или с иностранцами, в соответствии с гражданским законодательством являются з</w:t>
      </w:r>
      <w:r>
        <w:t>а</w:t>
      </w:r>
      <w:r>
        <w:t>конными, признаются ливанскими властями и регистрируются в отделах личного статуса. Обычный суд, имеющий общую юрисдикцию, или, иначе говоря, гражда</w:t>
      </w:r>
      <w:r>
        <w:t>н</w:t>
      </w:r>
      <w:r>
        <w:t>ский суд компетентен рассматривать любой спор, который может возникнуть в связи с таким браком, а применимым право является гражданское право иностранного г</w:t>
      </w:r>
      <w:r>
        <w:t>о</w:t>
      </w:r>
      <w:r>
        <w:t>сударства, в соответствии с но</w:t>
      </w:r>
      <w:r>
        <w:t>р</w:t>
      </w:r>
      <w:r>
        <w:t>мами которого и был заключен сам брак.</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Этой возможностью, однако, могут воспользоваться не все граждане. Более т</w:t>
      </w:r>
      <w:r>
        <w:t>о</w:t>
      </w:r>
      <w:r>
        <w:t xml:space="preserve">го, некоторые ливанцы относятся к ней отрицательно; они считают, что ливанское государство само обязано принимать за них решения по всем вопросам, в том числе в связи с их личным статусом, и выразили желание, чтобы государство взяло на себя такую ответственность. </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Политические партии и органы, поддержавшие законопроект о заключении брака в соответствии с гражданским законодательством, продолжают вести борьбу за его принятие, в частности, поскольку результаты опроса общественного мнения, проведенного в свое время, показали, что свыше 60 процентов молодых граждан Л</w:t>
      </w:r>
      <w:r>
        <w:t>и</w:t>
      </w:r>
      <w:r>
        <w:t>вана выступают за заключение брака в соответствии с гражданским законодательс</w:t>
      </w:r>
      <w:r>
        <w:t>т</w:t>
      </w:r>
      <w:r>
        <w:t>вом. Следует также отметить, что 18 марта 2002 года при входе в парламент Ливана были собраны подписи под обращением с требованием разработать гражданский з</w:t>
      </w:r>
      <w:r>
        <w:t>а</w:t>
      </w:r>
      <w:r>
        <w:t>кон о личном статусе. Это обращение подписали в общей сложности девять депут</w:t>
      </w:r>
      <w:r>
        <w:t>а</w:t>
      </w:r>
      <w:r>
        <w:t>тов. Однако в соответствии с действующими правилами для того, чтобы законопр</w:t>
      </w:r>
      <w:r>
        <w:t>о</w:t>
      </w:r>
      <w:r>
        <w:t>ект был вынесен на рассмотрение и поставлен на голосование, необходимо собрать 10 подписей. До тех пор, пока законодательной работой в Ливане занимаются его конституционные учреждения, среди которых парламент играет ведущую роль, серьезные попытки подготовить единый гражданский кодекс о личном статусе будут продолжаться, особенно в свете Конвенции о ликвидации всех форм дискриминации в отношении женщин. Следует отметить, что ливанские законодатели (в развитие Закона о наследовании лицами немусульманского вероисповедания 1959 года, кот</w:t>
      </w:r>
      <w:r>
        <w:t>о</w:t>
      </w:r>
      <w:r>
        <w:t>рый признает равенство мужчин и женщин в правах) уже исключили некоторые из связанных с занятостью прав из законов о наследовании религиозных общин и пр</w:t>
      </w:r>
      <w:r>
        <w:t>е</w:t>
      </w:r>
      <w:r>
        <w:t>доставили их всему населению, мужчинам и женщинам в равной степени. Эти зак</w:t>
      </w:r>
      <w:r>
        <w:t>о</w:t>
      </w:r>
      <w:r>
        <w:t>ны включают:</w:t>
      </w:r>
    </w:p>
    <w:p w:rsidR="00000000" w:rsidRDefault="00000000">
      <w:pPr>
        <w:pStyle w:val="BodyText"/>
        <w:tabs>
          <w:tab w:val="clear" w:pos="1814"/>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2259" w:right="1267" w:hanging="992"/>
      </w:pPr>
      <w:r>
        <w:tab/>
        <w:t>-</w:t>
      </w:r>
      <w:r>
        <w:tab/>
        <w:t>закон, вступивший в силу в соответствии с Декретом № 8496 от 2 августа 1974 года, касающийся определения круга лиц, имеющих право на пол</w:t>
      </w:r>
      <w:r>
        <w:t>у</w:t>
      </w:r>
      <w:r>
        <w:t>чение компенс</w:t>
      </w:r>
      <w:r>
        <w:t>а</w:t>
      </w:r>
      <w:r>
        <w:t>ции в случае увольнения;</w:t>
      </w:r>
    </w:p>
    <w:p w:rsidR="00000000" w:rsidRDefault="00000000">
      <w:pPr>
        <w:pStyle w:val="BodyText"/>
        <w:tabs>
          <w:tab w:val="clear" w:pos="1814"/>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ind w:left="2261" w:right="1267" w:hanging="994"/>
      </w:pPr>
      <w:r>
        <w:tab/>
        <w:t xml:space="preserve">- </w:t>
      </w:r>
      <w:r>
        <w:tab/>
        <w:t>законодательный декрет № 136 от 16 сентября 1983 года, касающийся принятия мер в случае возникновения непредвиденных обстоятельств, который в связи с вопросом о компенсации, подлежащей уплате в случае смерти наемного работника, отсылает к положениям вышеупомянутого закона от 1974 года.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III</w:t>
      </w:r>
      <w:r>
        <w:t>.</w:t>
      </w:r>
      <w:r>
        <w:tab/>
        <w:t>Урегулирование споров</w:t>
      </w:r>
    </w:p>
    <w:p w:rsidR="00000000" w:rsidRDefault="00000000">
      <w:pPr>
        <w:pStyle w:val="SingleTxt"/>
        <w:spacing w:after="0" w:line="180" w:lineRule="auto"/>
        <w:rPr>
          <w:sz w:val="10"/>
        </w:rPr>
      </w:pP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Ливан сделал оговорку в отношении статьи 29 Конвенции в соответствии с пунктом 2 этой статьи, в соответствии с которым любое государство-участник, кот</w:t>
      </w:r>
      <w:r>
        <w:t>о</w:t>
      </w:r>
      <w:r>
        <w:t>рое это пожелает, может заявить о том, что оно не считает себя связанным правил</w:t>
      </w:r>
      <w:r>
        <w:t>а</w:t>
      </w:r>
      <w:r>
        <w:t>ми, содержащимися в статье, касающейся урегулирования споров.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sz w:val="10"/>
        </w:rPr>
      </w:pPr>
      <w:r>
        <w:br w:type="page"/>
      </w:r>
    </w:p>
    <w:p w:rsidR="00000000" w:rsidRDefault="00000000">
      <w:pPr>
        <w:pStyle w:val="HCh"/>
        <w:tabs>
          <w:tab w:val="left" w:pos="1021"/>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0" w:right="1210"/>
      </w:pPr>
      <w:r>
        <w:t>Часть 2</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Контроль за осуществлением Конвенции о ликвидации всех форм дискриминации в отношении же</w:t>
      </w:r>
      <w:r>
        <w:t>н</w:t>
      </w:r>
      <w:r>
        <w:t>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Глава 1</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Равенство перед законом</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7"/>
      </w:pPr>
      <w:r>
        <w:tab/>
        <w:t>(Статьи 2, 11 и 15 Конвенции)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w:t>
      </w:r>
      <w:r>
        <w:tab/>
        <w:t>Правоспособность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 исключением законов, относящихся к статьям, по поводу которых Л</w:t>
      </w:r>
      <w:r>
        <w:t>и</w:t>
      </w:r>
      <w:r>
        <w:t>ваном были сделаны оговорки (законы о гражданстве и личном статусе), в л</w:t>
      </w:r>
      <w:r>
        <w:t>и</w:t>
      </w:r>
      <w:r>
        <w:t>ванском законодательстве нет положений, ограничивающих правоспособность женщин. Общие законодательные положения, в которых отсутствуют разгр</w:t>
      </w:r>
      <w:r>
        <w:t>а</w:t>
      </w:r>
      <w:r>
        <w:t>ничения между мужчинами и женщинами, были рассмотрены в первоначал</w:t>
      </w:r>
      <w:r>
        <w:t>ь</w:t>
      </w:r>
      <w:r>
        <w:t xml:space="preserve">ном докладе.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 ливанская женщина имеет право управлять своим имуществом н</w:t>
      </w:r>
      <w:r>
        <w:t>а</w:t>
      </w:r>
      <w:r>
        <w:t>равне с мужчинами и распоряжаться им по собственному усмотрению, иначе говоря, она вправе покупать, продавать, закладывать или передавать такое имущество. В то же самое время, вопреки логике и принципу равной правосп</w:t>
      </w:r>
      <w:r>
        <w:t>о</w:t>
      </w:r>
      <w:r>
        <w:t>собности, ливанская женщина не может открыть даже из собственных средств счет на имя своего несовершеннолетнего ребенка, если только она не признана его опекуном или попечителем. И это несмотря на тот факт, что, с формальной точки зрения, правовая основа для совершения подобной сделки в гражда</w:t>
      </w:r>
      <w:r>
        <w:t>н</w:t>
      </w:r>
      <w:r>
        <w:t>ском законодательстве имеется. Например, ливанский Закон о контрактах и обязательствах признает юридическое значение действий, совершаемых н</w:t>
      </w:r>
      <w:r>
        <w:t>е</w:t>
      </w:r>
      <w:r>
        <w:t>уполномоченным представителем (статьи 148 и 160), и допускает заключение сделок в интересах третьей стороны (статьи 227 и 231). Следовательно, ничто не препятствует заключению сделки в интересах еще не родившегося лица или лица, чье имя в момент совершения сделки не указывае</w:t>
      </w:r>
      <w:r>
        <w:t>т</w:t>
      </w:r>
      <w:r>
        <w:t>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Таким образом, препятствия заключаются не в общих правовых нормах, а в том, что на обыкновенные законы находятся под влиянием категорий, прео</w:t>
      </w:r>
      <w:r>
        <w:t>б</w:t>
      </w:r>
      <w:r>
        <w:t>ладающих в законах о личном статусе. Эту ситуацию необходимо исправить.</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7" w:hanging="1267"/>
        <w:rPr>
          <w:sz w:val="10"/>
        </w:rPr>
      </w:pPr>
      <w:r>
        <w:tab/>
        <w:t>II.</w:t>
      </w:r>
      <w:r>
        <w:tab/>
      </w:r>
      <w:r>
        <w:tab/>
        <w:t>Изменения в рамках отдельных законов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120" w:lineRule="exact"/>
        <w:ind w:left="1267" w:right="1267"/>
        <w:jc w:val="both"/>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120" w:lineRule="exact"/>
        <w:ind w:left="1267" w:right="1267"/>
        <w:jc w:val="both"/>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Позитивные изменения касаются положений, которые были исправлены или находятся на рассмо</w:t>
      </w:r>
      <w:r>
        <w:t>т</w:t>
      </w:r>
      <w:r>
        <w:t>рении в комитетах.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1.</w:t>
      </w:r>
      <w:r>
        <w:rPr>
          <w:i/>
        </w:rPr>
        <w:tab/>
        <w:t xml:space="preserve">Поправки, вступившие в действие: </w:t>
      </w:r>
      <w:r>
        <w:t>Внесены поправки в Закон о з</w:t>
      </w:r>
      <w:r>
        <w:t>а</w:t>
      </w:r>
      <w:r>
        <w:t>нятости, Закон о социальном обеспечении и некоторые положения о гражда</w:t>
      </w:r>
      <w:r>
        <w:t>н</w:t>
      </w:r>
      <w:r>
        <w:t>ских сл</w:t>
      </w:r>
      <w:r>
        <w:t>у</w:t>
      </w:r>
      <w:r>
        <w:t>жащих.</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А.</w:t>
      </w:r>
      <w:r>
        <w:tab/>
        <w:t>Закон о занятости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Равенство в сфере трудоустройства: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Законе о занятости не делается различий между мужчинами и женщ</w:t>
      </w:r>
      <w:r>
        <w:t>и</w:t>
      </w:r>
      <w:r>
        <w:t>нами с точки зрения права на труд, возможностей и условий трудоустройства, оплаты труда (принцип равной оплаты за равный труд действует в Ливане уже с 1965 года), продолжительности рабочего времени и т.д. Наоборот, запрет на труд женщин в ночное время суток в некоторых отраслях промышленности раньше рассматривался как позитивная дискриминация. Однако в 2000 году положение статьи 26 Закона о занятости, касающееся запрета на использование женского труда на механическом и ручном производстве в ночное время суток, было отменено (согласно закону № 207 от 26 мая 2000 года) и заменено новым положением, прямо запрещающим дискриминацию по половому признаку в сфере труда в отношении вида работы, размера заработной платы, условий найма, продвижения по службе, профессионального образования и формы одежды. Таким образом, было обеспечено соответствие между внутренним з</w:t>
      </w:r>
      <w:r>
        <w:t>а</w:t>
      </w:r>
      <w:r>
        <w:t>конодательством и международными нормами, в частности, положениями Конвенции о ликвидации всех форм дискриминации в отношении женщин и подписанных Ливаном конвенций Международной организации труда и Ара</w:t>
      </w:r>
      <w:r>
        <w:t>б</w:t>
      </w:r>
      <w:r>
        <w:t>ской организации труда, в частности, Конвенций № 90, 100 и 111 Междун</w:t>
      </w:r>
      <w:r>
        <w:t>а</w:t>
      </w:r>
      <w:r>
        <w:t>родной организации труда, а также Конвенции № 1 Арабской организации труда, подписанной Ливаном в 2000 году (закон № 183 от 24 мая 2000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Отпуск по беременности и родам: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2000 году, в соответствии с вышеупомянутым законом № 207, в статью 29 Закона о занятости была внесена поправка об увеличении продолжительн</w:t>
      </w:r>
      <w:r>
        <w:t>о</w:t>
      </w:r>
      <w:r>
        <w:t>сти отпуска по беременности и родам с сохранением полной оплаты труда с 40 дней до семи недель, включая до- и послеродовой период. Несмотря на это, продолжительность отпуска по беременности и родам по</w:t>
      </w:r>
      <w:r>
        <w:noBreakHyphen/>
        <w:t>прежнему не соо</w:t>
      </w:r>
      <w:r>
        <w:t>т</w:t>
      </w:r>
      <w:r>
        <w:t>ветствует нормам, предусмотренных в Конвенции № 103 Международной о</w:t>
      </w:r>
      <w:r>
        <w:t>р</w:t>
      </w:r>
      <w:r>
        <w:t>ганизации труда об охране материнства, не ратифицированной Ливаном, с</w:t>
      </w:r>
      <w:r>
        <w:t>о</w:t>
      </w:r>
      <w:r>
        <w:t>гласно которой продолжительность отпуска по беременности и родам должна составлять не менее 12 недель, в том числе не менее 6 недель в послеродовой период.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Продолжительность рабочего времени: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соответствии со статьей 52 Закона о занятости, работодателям ранее з</w:t>
      </w:r>
      <w:r>
        <w:t>а</w:t>
      </w:r>
      <w:r>
        <w:t>прещалось увольнять работниц, находящихся в состоянии беременности, нач</w:t>
      </w:r>
      <w:r>
        <w:t>и</w:t>
      </w:r>
      <w:r>
        <w:t>ная с пятого месяца беременности. Позднее этот запрет был распространен на весь период с начала беременности до момента выхода на работу после отпу</w:t>
      </w:r>
      <w:r>
        <w:t>с</w:t>
      </w:r>
      <w:r>
        <w:t>ка по беременности и родам (закон № 207 от 26 июня 2000 года).</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В.</w:t>
      </w:r>
      <w:r>
        <w:tab/>
        <w:t>Закон о социальном обеспечении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Условия назначения социальных пособий детям застрахованных лиц:</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Как один из случаев позитивной дискриминации в пользу дочерей, лицу, застрахованному в системе социального страхования, ранее выплачивалось с</w:t>
      </w:r>
      <w:r>
        <w:t>е</w:t>
      </w:r>
      <w:r>
        <w:t>мейное пособие на незамужнюю и неработающую дочь в возрасте до 25 лет без каких-либо дополнительных условий. На ребенка мужского пола пособие в</w:t>
      </w:r>
      <w:r>
        <w:t>ы</w:t>
      </w:r>
      <w:r>
        <w:t>плачивалось до достижения им 16-летнего возраста. Если такой ребенок не имел возможности самостоятельно зарабатывать на жизнь в связи с обучением по очной форме, срок выплаты пособия продлевался до достижения им 25</w:t>
      </w:r>
      <w:r>
        <w:noBreakHyphen/>
        <w:t>летнего возраста. В соответствии с законом № 220 от 29 июня 2000 года, это положение о позитивной дискриминации в пользу девушек было отменено и за всеми детьми застрахованного лица было признано полное равенство. Т</w:t>
      </w:r>
      <w:r>
        <w:t>а</w:t>
      </w:r>
      <w:r>
        <w:t>ким образом, в настоящее время пособие выплачивается на всех детей моложе 18 лет без разграничения по половому признаку. Если они не имеют возмо</w:t>
      </w:r>
      <w:r>
        <w:t>ж</w:t>
      </w:r>
      <w:r>
        <w:t>ности самостоятельно зарабатывать на жизнь в связи с обучением по очной форме, выплата пособия продлевается до достижения ими 25</w:t>
      </w:r>
      <w:r>
        <w:noBreakHyphen/>
        <w:t>летнего возра</w:t>
      </w:r>
      <w:r>
        <w:t>с</w:t>
      </w:r>
      <w:r>
        <w:t>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Условия назначения пособия по беременности и родам застрахованной женщине: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отношении условий назначения пособия по беременности и родам в статье 16 Закона о социальном обеспечении ранее проводилось разграничение между застрахованной женщиной и женой застрахованного мужчины. Пособие застрахованной женщине назначалось лишь в том случае, если она состояла в системе социального страхования, по меньшей мере, в течение десяти месяцев до предполагаемой даты родов, в то время как жена застрахованного мужчины получала пособие уже через три месяца после того, как был застрахован ее муж.</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Данное разграничение было отменено законом № 312 от 6 апреля 2001 года, и для застрахованных лиц обоих полов был установлен минимал</w:t>
      </w:r>
      <w:r>
        <w:t>ь</w:t>
      </w:r>
      <w:r>
        <w:t>ный период стр</w:t>
      </w:r>
      <w:r>
        <w:t>а</w:t>
      </w:r>
      <w:r>
        <w:t>хования сроком в три месяца.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Равный размер пособия на ребенка для застрахованных мужчин и застр</w:t>
      </w:r>
      <w:r>
        <w:t>а</w:t>
      </w:r>
      <w:r>
        <w:t>хованных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Согласно закону № 483 от 12 декабря 2002 года был отменен пункт "е" статьи 14 Закона о социальном обеспечении, вместо которого было добавлено общее положение о том, что используемый в законе термин "застрахованное лицо" отныне обозначает как застрахованных мужчин, так и застрахованных женщин без каких-либо различий.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Таким образом, были отменены положения, согласно которым мать, з</w:t>
      </w:r>
      <w:r>
        <w:t>а</w:t>
      </w:r>
      <w:r>
        <w:t>страхованная в системе социального страхования, не имела права получать п</w:t>
      </w:r>
      <w:r>
        <w:t>о</w:t>
      </w:r>
      <w:r>
        <w:t>собие на ребенка за исключением ряда особых случаев (смерть или недеесп</w:t>
      </w:r>
      <w:r>
        <w:t>о</w:t>
      </w:r>
      <w:r>
        <w:t>собность мужа, достижение совершеннолетия, и т.д.). Соответственно, в н</w:t>
      </w:r>
      <w:r>
        <w:t>а</w:t>
      </w:r>
      <w:r>
        <w:t>стоящее время матери может выплачиваться социальное пособие на ребенка, если только оно еще не н</w:t>
      </w:r>
      <w:r>
        <w:t>а</w:t>
      </w:r>
      <w:r>
        <w:t>значено отцу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Однако в том случае, когда условиям для получения социального пособия на ребенка отвечают оба родителя, приоритет по-прежнему отдается о</w:t>
      </w:r>
      <w:r>
        <w:t>т</w:t>
      </w:r>
      <w:r>
        <w:t>цу.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 исключением ряда случаев, мужчина не получает никакого социальн</w:t>
      </w:r>
      <w:r>
        <w:t>о</w:t>
      </w:r>
      <w:r>
        <w:t>го пособия на жену, если та застрахована в системе социального страхов</w:t>
      </w:r>
      <w:r>
        <w:t>а</w:t>
      </w:r>
      <w: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Утверждение и реализация системы добровольного медицинского страх</w:t>
      </w:r>
      <w:r>
        <w:t>о</w:t>
      </w:r>
      <w:r>
        <w:t>в</w:t>
      </w:r>
      <w:r>
        <w:t>а</w:t>
      </w:r>
      <w: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Начиная с 1 марта 2003 года введена в действие система добровольного медицинского страхования, утвержденная законом № 248 от 9 августа 2000 года. Условия участия в данной системе такие же, как и в государстве</w:t>
      </w:r>
      <w:r>
        <w:t>н</w:t>
      </w:r>
      <w:r>
        <w:t>ной системе обязательного медицинского страхования; какие-либо явные ра</w:t>
      </w:r>
      <w:r>
        <w:t>з</w:t>
      </w:r>
      <w:r>
        <w:t>граничения между мужчин</w:t>
      </w:r>
      <w:r>
        <w:t>а</w:t>
      </w:r>
      <w:r>
        <w:t>ми и женщинами отсутствуют.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w:t>
      </w:r>
      <w:r>
        <w:tab/>
        <w:t>Положения о гражданской службе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Выход на пенсию и увольнение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2001 году положения статьи 25 законодательного постановления № 47 от 29 июня 1983 года об условиях ухода на пенсию и увольнения со службы были заменены новым текстом, признающим равенство между государстве</w:t>
      </w:r>
      <w:r>
        <w:t>н</w:t>
      </w:r>
      <w:r>
        <w:t>ными служащими мужского и женского пола (закон № 343 от 6 августа 2001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Льготы, услуги и стипендии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период с 1999 по 2001 год произошел ряд позитивных изменений в в</w:t>
      </w:r>
      <w:r>
        <w:t>о</w:t>
      </w:r>
      <w:r>
        <w:t>просах назначения пособий Кооператива гражданских служащих женщинам, наход</w:t>
      </w:r>
      <w:r>
        <w:t>я</w:t>
      </w:r>
      <w:r>
        <w:t>щимся на гражданской службе.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 в 1999 году женщины, находящиеся на гражданской службе, были уравнены в правах с гражданскими служащими-мужчинами в отношении н</w:t>
      </w:r>
      <w:r>
        <w:t>а</w:t>
      </w:r>
      <w:r>
        <w:t>значения пособий Кооператива государственных служащих на себя и своих д</w:t>
      </w:r>
      <w:r>
        <w:t>е</w:t>
      </w:r>
      <w:r>
        <w:t>тей (закон № 149 от 30 октября 1999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2000 году в качестве условия для назначения одному из супругов ко</w:t>
      </w:r>
      <w:r>
        <w:t>о</w:t>
      </w:r>
      <w:r>
        <w:t>перативного пособия на неработающих супруга или детей, состоящих в гра</w:t>
      </w:r>
      <w:r>
        <w:t>ж</w:t>
      </w:r>
      <w:r>
        <w:t>данстве иностранного государства, было установлено требование о взаимности со стороны этого государства (статья 47 закона № 173 от 14 февраля 2000 года). Однако в 2001 году это условие было отменено. Таким образом, в настоящее время ливанская замужняя женщина вправе получать от Кооперат</w:t>
      </w:r>
      <w:r>
        <w:t>и</w:t>
      </w:r>
      <w:r>
        <w:t>ва гражданских служащих все пособия на своего неработающего супруга или детей, имеющих иное гражданство, при условии, что эти пособия не выплач</w:t>
      </w:r>
      <w:r>
        <w:t>и</w:t>
      </w:r>
      <w:r>
        <w:t>ваются из другого источника (закон № 387 от 14 декабря 2001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2001 году начала применяться изощренная система для обеспечения равноправия между мужчинами и женщинами, состоящими на гражданской службе, при назначении им пособий Кооператива гражданских служащих. В том случае если членами Кооператива являются оба супруга, материальная п</w:t>
      </w:r>
      <w:r>
        <w:t>о</w:t>
      </w:r>
      <w:r>
        <w:t>мощь или пособие на ребенка выплачивается только тому супругу, который имеет более высокую должн</w:t>
      </w:r>
      <w:r>
        <w:t>о</w:t>
      </w:r>
      <w:r>
        <w:t>стную категорию или разряд.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Положения о надбавках и материальной помощи: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Внесены изменения в пункт 1 статьи 6 постановления № 3950 от 27 апреля 1960 года о назначении надбавок к заработной плате и предоставл</w:t>
      </w:r>
      <w:r>
        <w:t>е</w:t>
      </w:r>
      <w:r>
        <w:t>нии материальной помощи гражданским служащим, в соответствии с котор</w:t>
      </w:r>
      <w:r>
        <w:t>ы</w:t>
      </w:r>
      <w:r>
        <w:t>ми женщина, работающая в системе гражданской службы, имеет право на п</w:t>
      </w:r>
      <w:r>
        <w:t>о</w:t>
      </w:r>
      <w:r>
        <w:t>лучение пособия на нетрудоспособного мужа при условии ежегодного пре</w:t>
      </w:r>
      <w:r>
        <w:t>д</w:t>
      </w:r>
      <w:r>
        <w:t>ставления заключения Медицинского комитета о его нетрудоспособности (п</w:t>
      </w:r>
      <w:r>
        <w:t>о</w:t>
      </w:r>
      <w:r>
        <w:t>становление № 3892 от 25 сентября 2000 года).</w:t>
      </w:r>
    </w:p>
    <w:p w:rsidR="00000000" w:rsidRDefault="00000000">
      <w:pPr>
        <w:tabs>
          <w:tab w:val="left" w:pos="1022"/>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50" w:right="1267" w:hanging="983"/>
        <w:jc w:val="both"/>
      </w:pPr>
      <w:r>
        <w:tab/>
        <w:t>2.</w:t>
      </w:r>
      <w:r>
        <w:tab/>
      </w:r>
      <w:r>
        <w:rPr>
          <w:i/>
        </w:rPr>
        <w:t>Поправки, находящиеся на рассмотрении в парламентских комит</w:t>
      </w:r>
      <w:r>
        <w:rPr>
          <w:i/>
        </w:rPr>
        <w:t>е</w:t>
      </w:r>
      <w:r>
        <w:rPr>
          <w:i/>
        </w:rPr>
        <w:t>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настоящее время проводится комплексный пересмотр положений Уг</w:t>
      </w:r>
      <w:r>
        <w:t>о</w:t>
      </w:r>
      <w:r>
        <w:t>ловного кодекса Ливана, начавшийся после того, как группой экспертов по внесению изменений в законодательство (совещательная группа при Управл</w:t>
      </w:r>
      <w:r>
        <w:t>е</w:t>
      </w:r>
      <w:r>
        <w:t>нии председателя Национальной ассамблеи) было разработано законодател</w:t>
      </w:r>
      <w:r>
        <w:t>ь</w:t>
      </w:r>
      <w:r>
        <w:t>ное предложение о п</w:t>
      </w:r>
      <w:r>
        <w:t>о</w:t>
      </w:r>
      <w:r>
        <w:t>правках к уголовному кодексу.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феврале 2003 года данное предложение было одобрено парламентским Комитетом по административным вопросам и вопросам правосудия, который поручил специально сформированному подкомитету изучить и переработать все 772 стати действующего уголовного кодекса. На момент подготовки н</w:t>
      </w:r>
      <w:r>
        <w:t>а</w:t>
      </w:r>
      <w:r>
        <w:t>стоящего доклада подкомитет успел проработать 522 статьи, некоторые их к</w:t>
      </w:r>
      <w:r>
        <w:t>о</w:t>
      </w:r>
      <w:r>
        <w:t>торых носят дискриминационный характер в отношении женщин (детально рассмотрены в первоначальном докладе). Подкомитетом были подготовлены поправки необходимые для приведения положений этих статей в соответствие с принципом равноправия между мужчинами и женщинами. В качестве прим</w:t>
      </w:r>
      <w:r>
        <w:t>е</w:t>
      </w:r>
      <w:r>
        <w:t>ра для сравнения ниже приведен текст некоторых из действующих положений и поправки, подготовленные подком</w:t>
      </w:r>
      <w:r>
        <w:t>и</w:t>
      </w:r>
      <w:r>
        <w:t>тетом.</w:t>
      </w:r>
    </w:p>
    <w:tbl>
      <w:tblPr>
        <w:tblW w:w="0" w:type="auto"/>
        <w:jc w:val="center"/>
        <w:tblBorders>
          <w:top w:val="single" w:sz="4" w:space="0" w:color="auto"/>
          <w:bottom w:val="single" w:sz="4" w:space="0" w:color="auto"/>
        </w:tblBorders>
        <w:tblLayout w:type="fixed"/>
        <w:tblLook w:val="0000" w:firstRow="0" w:lastRow="0" w:firstColumn="0" w:lastColumn="0" w:noHBand="0" w:noVBand="0"/>
      </w:tblPr>
      <w:tblGrid>
        <w:gridCol w:w="3226"/>
        <w:gridCol w:w="4100"/>
      </w:tblGrid>
      <w:tr w:rsidR="00000000">
        <w:tblPrEx>
          <w:tblCellMar>
            <w:top w:w="0" w:type="dxa"/>
            <w:bottom w:w="0" w:type="dxa"/>
          </w:tblCellMar>
        </w:tblPrEx>
        <w:trPr>
          <w:tblHeader/>
          <w:jc w:val="center"/>
        </w:trPr>
        <w:tc>
          <w:tcPr>
            <w:tcW w:w="3226"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i/>
              </w:rPr>
            </w:pPr>
            <w:r>
              <w:rPr>
                <w:i/>
              </w:rPr>
              <w:t>Текст действующего полож</w:t>
            </w:r>
            <w:r>
              <w:rPr>
                <w:i/>
              </w:rPr>
              <w:t>е</w:t>
            </w:r>
            <w:r>
              <w:rPr>
                <w:i/>
              </w:rPr>
              <w:t>ния</w:t>
            </w:r>
          </w:p>
        </w:tc>
        <w:tc>
          <w:tcPr>
            <w:tcW w:w="4100"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i/>
              </w:rPr>
            </w:pPr>
            <w:r>
              <w:rPr>
                <w:i/>
              </w:rPr>
              <w:t>Поправка парламентского  Подкомитета по административным вопросам и вопр</w:t>
            </w:r>
            <w:r>
              <w:rPr>
                <w:i/>
              </w:rPr>
              <w:t>о</w:t>
            </w:r>
            <w:r>
              <w:rPr>
                <w:i/>
              </w:rPr>
              <w:t>сам правос</w:t>
            </w:r>
            <w:r>
              <w:rPr>
                <w:i/>
              </w:rPr>
              <w:t>у</w:t>
            </w:r>
            <w:r>
              <w:rPr>
                <w:i/>
              </w:rPr>
              <w:t>дия</w:t>
            </w:r>
          </w:p>
        </w:tc>
      </w:tr>
      <w:tr w:rsidR="00000000">
        <w:tblPrEx>
          <w:tblCellMar>
            <w:top w:w="0" w:type="dxa"/>
            <w:bottom w:w="0" w:type="dxa"/>
          </w:tblCellMar>
        </w:tblPrEx>
        <w:trPr>
          <w:jc w:val="center"/>
        </w:trPr>
        <w:tc>
          <w:tcPr>
            <w:tcW w:w="3226" w:type="dxa"/>
            <w:tcBorders>
              <w:top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rPr>
                <w:b/>
              </w:rPr>
              <w:t xml:space="preserve">Ст. 487: </w:t>
            </w:r>
            <w:r>
              <w:t>Женщина, соверши</w:t>
            </w:r>
            <w:r>
              <w:t>в</w:t>
            </w:r>
            <w:r>
              <w:t>шая прелюбодеяние, подлежит наказанию в виде тюремного з</w:t>
            </w:r>
            <w:r>
              <w:t>а</w:t>
            </w:r>
            <w:r>
              <w:t>ключения сроком от трех мес</w:t>
            </w:r>
            <w:r>
              <w:t>я</w:t>
            </w:r>
            <w:r>
              <w:t>цев до двух лет. Соучастник прелюбодеяния подлежит так</w:t>
            </w:r>
            <w:r>
              <w:t>о</w:t>
            </w:r>
            <w:r>
              <w:t>му же наказанию, если он с</w:t>
            </w:r>
            <w:r>
              <w:t>о</w:t>
            </w:r>
            <w:r>
              <w:t>стоит в браке, и в противном случае - тюремному заключ</w:t>
            </w:r>
            <w:r>
              <w:t>е</w:t>
            </w:r>
            <w:r>
              <w:t>нию сроком от одного месяца до одного года.</w:t>
            </w:r>
          </w:p>
        </w:tc>
        <w:tc>
          <w:tcPr>
            <w:tcW w:w="4100" w:type="dxa"/>
            <w:tcBorders>
              <w:top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Ст. 487:</w:t>
            </w:r>
            <w:r>
              <w:t xml:space="preserve"> Прелюбодеяние, совершенное мужем или женой, наказывается тюре</w:t>
            </w:r>
            <w:r>
              <w:t>м</w:t>
            </w:r>
            <w:r>
              <w:t>ным заключением сроком от трех месяцев до одного года и наложением штрафа в размере от одного до пяти миллионов л</w:t>
            </w:r>
            <w:r>
              <w:t>и</w:t>
            </w:r>
            <w:r>
              <w:t>ванских фунтов. Соучастник прелюб</w:t>
            </w:r>
            <w:r>
              <w:t>о</w:t>
            </w:r>
            <w:r>
              <w:t>деяния подлежит такому же наказанию, если он состоит в браке, и в противном случае - тюремному заключению сроком от одного месяца до одного года и штр</w:t>
            </w:r>
            <w:r>
              <w:t>а</w:t>
            </w:r>
            <w:r>
              <w:t>фу в размере от пяти тысяч до пяти ми</w:t>
            </w:r>
            <w:r>
              <w:t>л</w:t>
            </w:r>
            <w:r>
              <w:t xml:space="preserve">лионов ливанских фунтов.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tc>
      </w:tr>
      <w:tr w:rsidR="00000000">
        <w:tblPrEx>
          <w:tblCellMar>
            <w:top w:w="0" w:type="dxa"/>
            <w:bottom w:w="0" w:type="dxa"/>
          </w:tblCellMar>
        </w:tblPrEx>
        <w:trPr>
          <w:jc w:val="center"/>
        </w:trPr>
        <w:tc>
          <w:tcPr>
            <w:tcW w:w="32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В случае непризнания вины или невозможности поимки на месте преступления единственным допустимым доказательством вины соучастника прелюбоде</w:t>
            </w:r>
            <w:r>
              <w:t>я</w:t>
            </w:r>
            <w:r>
              <w:t>ния является его личная пер</w:t>
            </w:r>
            <w:r>
              <w:t>е</w:t>
            </w:r>
            <w:r>
              <w:t>писка и документы, собственн</w:t>
            </w:r>
            <w:r>
              <w:t>о</w:t>
            </w:r>
            <w:r>
              <w:t>ручно написанные соучастн</w:t>
            </w:r>
            <w:r>
              <w:t>и</w:t>
            </w:r>
            <w:r>
              <w:t>ком.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tc>
        <w:tc>
          <w:tcPr>
            <w:tcW w:w="41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В случае непризнания вины или нево</w:t>
            </w:r>
            <w:r>
              <w:t>з</w:t>
            </w:r>
            <w:r>
              <w:t>можности поимки на месте преступления единственным допустимым доказательс</w:t>
            </w:r>
            <w:r>
              <w:t>т</w:t>
            </w:r>
            <w:r>
              <w:t>вом вины соучастника прелюбодеяния является его личная переписка и док</w:t>
            </w:r>
            <w:r>
              <w:t>у</w:t>
            </w:r>
            <w:r>
              <w:t>менты, собственноручно написанные с</w:t>
            </w:r>
            <w:r>
              <w:t>о</w:t>
            </w:r>
            <w:r>
              <w:t>участн</w:t>
            </w:r>
            <w:r>
              <w:t>и</w:t>
            </w:r>
            <w:r>
              <w:t xml:space="preserve">ком. </w:t>
            </w:r>
          </w:p>
        </w:tc>
      </w:tr>
      <w:tr w:rsidR="00000000">
        <w:tblPrEx>
          <w:tblCellMar>
            <w:top w:w="0" w:type="dxa"/>
            <w:bottom w:w="0" w:type="dxa"/>
          </w:tblCellMar>
        </w:tblPrEx>
        <w:trPr>
          <w:jc w:val="center"/>
        </w:trPr>
        <w:tc>
          <w:tcPr>
            <w:tcW w:w="32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Ст. 488:</w:t>
            </w:r>
            <w:r>
              <w:t xml:space="preserve"> Женатый мужчина подлежит наказанию в виде т</w:t>
            </w:r>
            <w:r>
              <w:t>ю</w:t>
            </w:r>
            <w:r>
              <w:t>ремного заключения сроком от одного месяца до одного года, если он совершит прелюбоде</w:t>
            </w:r>
            <w:r>
              <w:t>я</w:t>
            </w:r>
            <w:r>
              <w:t>ния в супружеском доме или появится с любовницей в общ</w:t>
            </w:r>
            <w:r>
              <w:t>е</w:t>
            </w:r>
            <w:r>
              <w:t>ственном месте. Такому же н</w:t>
            </w:r>
            <w:r>
              <w:t>а</w:t>
            </w:r>
            <w:r>
              <w:t>казанию подлежит его любо</w:t>
            </w:r>
            <w:r>
              <w:t>в</w:t>
            </w:r>
            <w:r>
              <w:t>ница.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tc>
        <w:tc>
          <w:tcPr>
            <w:tcW w:w="41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 xml:space="preserve">Ст. 488: </w:t>
            </w:r>
            <w:r>
              <w:t>В соответствии со статьей 257, мера наказания, предусмотренная в пр</w:t>
            </w:r>
            <w:r>
              <w:t>е</w:t>
            </w:r>
            <w:r>
              <w:t>дыдущей статье, увеличивается в случае совершения прелюбодеяния в супруж</w:t>
            </w:r>
            <w:r>
              <w:t>е</w:t>
            </w:r>
            <w:r>
              <w:t>ском доме.</w:t>
            </w:r>
          </w:p>
        </w:tc>
      </w:tr>
      <w:tr w:rsidR="00000000">
        <w:tblPrEx>
          <w:tblCellMar>
            <w:top w:w="0" w:type="dxa"/>
            <w:bottom w:w="0" w:type="dxa"/>
          </w:tblCellMar>
        </w:tblPrEx>
        <w:trPr>
          <w:jc w:val="center"/>
        </w:trPr>
        <w:tc>
          <w:tcPr>
            <w:tcW w:w="3226"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Ст. 489:</w:t>
            </w:r>
            <w:r>
              <w:t xml:space="preserve"> Акт прелюбодеяния преследуется в судебном поря</w:t>
            </w:r>
            <w:r>
              <w:t>д</w:t>
            </w:r>
            <w:r>
              <w:t>ке только на основании жалобы мужа, выступающего в качестве персонального ис</w:t>
            </w:r>
            <w:r>
              <w:t>т</w:t>
            </w:r>
            <w:r>
              <w:t>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Судебное преследование в о</w:t>
            </w:r>
            <w:r>
              <w:t>т</w:t>
            </w:r>
            <w:r>
              <w:t>ношении соучастника прелюб</w:t>
            </w:r>
            <w:r>
              <w:t>о</w:t>
            </w:r>
            <w:r>
              <w:t>деяния или третьего лица может быть начато только совместно с судебным преследованием в о</w:t>
            </w:r>
            <w:r>
              <w:t>т</w:t>
            </w:r>
            <w:r>
              <w:t>н</w:t>
            </w:r>
            <w:r>
              <w:t>о</w:t>
            </w:r>
            <w:r>
              <w:t>шении мужа.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Не допускается подача жалобы мужем, если прелюбодеяние было совершено с его согл</w:t>
            </w:r>
            <w:r>
              <w:t>а</w:t>
            </w:r>
            <w:r>
              <w:t>сия.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Не допускается подача жалобы по истечении трех месяцев п</w:t>
            </w:r>
            <w:r>
              <w:t>о</w:t>
            </w:r>
            <w:r>
              <w:t>сле того, как мужу стало и</w:t>
            </w:r>
            <w:r>
              <w:t>з</w:t>
            </w:r>
            <w:r>
              <w:t>вестно о прелюбоде</w:t>
            </w:r>
            <w:r>
              <w:t>я</w:t>
            </w:r>
            <w:r>
              <w:t>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В случае отказа от иска в отн</w:t>
            </w:r>
            <w:r>
              <w:t>о</w:t>
            </w:r>
            <w:r>
              <w:t>шении мужа или жены рассмо</w:t>
            </w:r>
            <w:r>
              <w:t>т</w:t>
            </w:r>
            <w:r>
              <w:t>рение публичного иска и перс</w:t>
            </w:r>
            <w:r>
              <w:t>о</w:t>
            </w:r>
            <w:r>
              <w:t>нального дела каждого правон</w:t>
            </w:r>
            <w:r>
              <w:t>а</w:t>
            </w:r>
            <w:r>
              <w:t>рушителя прекращае</w:t>
            </w:r>
            <w:r>
              <w:t>т</w:t>
            </w:r>
            <w:r>
              <w:t>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В случае согласия мужчины на возобновление супружеской жизни рассмотрение иска пр</w:t>
            </w:r>
            <w:r>
              <w:t>е</w:t>
            </w:r>
            <w:r>
              <w:t>кращается.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tc>
        <w:tc>
          <w:tcPr>
            <w:tcW w:w="410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 xml:space="preserve">Ст. 489: </w:t>
            </w:r>
            <w:r>
              <w:t>Акт прелюбодеяния преследуе</w:t>
            </w:r>
            <w:r>
              <w:t>т</w:t>
            </w:r>
            <w:r>
              <w:t>ся в судебном порядке только на основ</w:t>
            </w:r>
            <w:r>
              <w:t>а</w:t>
            </w:r>
            <w:r>
              <w:t>нии жалобы одного из супругов, который должен выступить в качестве персонал</w:t>
            </w:r>
            <w:r>
              <w:t>ь</w:t>
            </w:r>
            <w:r>
              <w:t>ного истца.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Не допускается подача жалобы лицом, если прелюбодеяние было совершено с его согласия, либо по истечении трех м</w:t>
            </w:r>
            <w:r>
              <w:t>е</w:t>
            </w:r>
            <w:r>
              <w:t>сяцев после того, как такому лицу стало известно о прелюб</w:t>
            </w:r>
            <w:r>
              <w:t>о</w:t>
            </w:r>
            <w:r>
              <w:t>деянии.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Судебное преследование в отношении лица, подстрекавшего, участвовавшего или выступавшего в качестве посредника в прелюбодеянии, может быть начато только совместно с судебным преслед</w:t>
            </w:r>
            <w:r>
              <w:t>о</w:t>
            </w:r>
            <w:r>
              <w:t>ванием в отношении супруга, виновного в пр</w:t>
            </w:r>
            <w:r>
              <w:t>е</w:t>
            </w:r>
            <w:r>
              <w:t>любодеянии.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В случае отказа от личного иска против супруга, виновного в прелюбодеянии, рассмотрение публичного иска против него и других соучастников правонар</w:t>
            </w:r>
            <w:r>
              <w:t>у</w:t>
            </w:r>
            <w:r>
              <w:t>шения прекращается.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t>Согласие на возобновление супружеской жизни считается равнозначным отказу от иска.</w:t>
            </w:r>
          </w:p>
        </w:tc>
      </w:tr>
      <w:tr w:rsidR="00000000">
        <w:tblPrEx>
          <w:tblCellMar>
            <w:top w:w="0" w:type="dxa"/>
            <w:bottom w:w="0" w:type="dxa"/>
          </w:tblCellMar>
        </w:tblPrEx>
        <w:trPr>
          <w:jc w:val="center"/>
        </w:trPr>
        <w:tc>
          <w:tcPr>
            <w:tcW w:w="3226"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Ст. 522:</w:t>
            </w:r>
            <w:r>
              <w:t xml:space="preserve"> В случае заключения законного брака между лицом, совершившим одно из правон</w:t>
            </w:r>
            <w:r>
              <w:t>а</w:t>
            </w:r>
            <w:r>
              <w:t>рушений, упомянутых в н</w:t>
            </w:r>
            <w:r>
              <w:t>а</w:t>
            </w:r>
            <w:r>
              <w:t>стоящем разделе, и лицом, п</w:t>
            </w:r>
            <w:r>
              <w:t>о</w:t>
            </w:r>
            <w:r>
              <w:t>страдавшим от его действий, судебное преследование пр</w:t>
            </w:r>
            <w:r>
              <w:t>е</w:t>
            </w:r>
            <w:r>
              <w:t>кращается; если по делу вын</w:t>
            </w:r>
            <w:r>
              <w:t>е</w:t>
            </w:r>
            <w:r>
              <w:t>сено судебное решение, испо</w:t>
            </w:r>
            <w:r>
              <w:t>л</w:t>
            </w:r>
            <w:r>
              <w:t>нение наказания, назначенного преступнику, приостанавлив</w:t>
            </w:r>
            <w:r>
              <w:t>а</w:t>
            </w:r>
            <w:r>
              <w:t>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Судебное преследование или исполнение наказания возо</w:t>
            </w:r>
            <w:r>
              <w:t>б</w:t>
            </w:r>
            <w:r>
              <w:t>новляются, если в течение трех лет после совершения мелкого преступления или пяти лет п</w:t>
            </w:r>
            <w:r>
              <w:t>о</w:t>
            </w:r>
            <w:r>
              <w:t>сле совершения тяжкого пр</w:t>
            </w:r>
            <w:r>
              <w:t>е</w:t>
            </w:r>
            <w:r>
              <w:t>ступления брак будет растор</w:t>
            </w:r>
            <w:r>
              <w:t>г</w:t>
            </w:r>
            <w:r>
              <w:t>нут по инициативе жены без з</w:t>
            </w:r>
            <w:r>
              <w:t>а</w:t>
            </w:r>
            <w:r>
              <w:t>конных оснований, либо если будет вынесено решение о ра</w:t>
            </w:r>
            <w:r>
              <w:t>с</w:t>
            </w:r>
            <w:r>
              <w:t>торжении брака в интересах п</w:t>
            </w:r>
            <w:r>
              <w:t>о</w:t>
            </w:r>
            <w:r>
              <w:t>стр</w:t>
            </w:r>
            <w:r>
              <w:t>а</w:t>
            </w:r>
            <w:r>
              <w:t xml:space="preserve">давшей женщины. </w:t>
            </w:r>
          </w:p>
        </w:tc>
        <w:tc>
          <w:tcPr>
            <w:tcW w:w="4100"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b/>
              </w:rPr>
              <w:t xml:space="preserve">Ст. 522: </w:t>
            </w:r>
            <w:r>
              <w:t>Отменена</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Из приведенного выше примера видно, что в Ливане ведется целенапра</w:t>
      </w:r>
      <w:r>
        <w:t>в</w:t>
      </w:r>
      <w:r>
        <w:t>ленная работа по изъятию из уголовного кодекса положений, носящих дискр</w:t>
      </w:r>
      <w:r>
        <w:t>и</w:t>
      </w:r>
      <w:r>
        <w:t>минационный характер в отношении женщин. Несмотря на активные усилия в данном направлении, этот процесс может затянуться во времени с учетом того, что для вступления в силу каждая поправка должна пройти одобрение Наци</w:t>
      </w:r>
      <w:r>
        <w:t>о</w:t>
      </w:r>
      <w:r>
        <w:t>нальной ассамблеи и быть подп</w:t>
      </w:r>
      <w:r>
        <w:t>и</w:t>
      </w:r>
      <w:r>
        <w:t>сана Президентом республики.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rPr>
          <w:b w:val="0"/>
        </w:rPr>
        <w:tab/>
      </w:r>
      <w:r>
        <w:t>III.</w:t>
      </w:r>
      <w:r>
        <w:tab/>
        <w:t>Сферы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1.</w:t>
      </w:r>
      <w:r>
        <w:rPr>
          <w:i/>
        </w:rPr>
        <w:tab/>
        <w:t>Неформальный сектор:</w:t>
      </w:r>
      <w:r>
        <w:t xml:space="preserve"> Положения Закона о занятости не распр</w:t>
      </w:r>
      <w:r>
        <w:t>о</w:t>
      </w:r>
      <w:r>
        <w:t>страняются на работников, занятых в сельском хозяйстве и на семейных пре</w:t>
      </w:r>
      <w:r>
        <w:t>д</w:t>
      </w:r>
      <w:r>
        <w:t>приятиях, а также домашних работников, работающих в частных домах (бол</w:t>
      </w:r>
      <w:r>
        <w:t>ь</w:t>
      </w:r>
      <w:r>
        <w:t>шинство из которых - женщины). Работники последней категории также до сих пор не получают п</w:t>
      </w:r>
      <w:r>
        <w:t>о</w:t>
      </w:r>
      <w:r>
        <w:t>собий по линии социального страхования.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Из трех вышеупомянутых категорий под действие обязательных полож</w:t>
      </w:r>
      <w:r>
        <w:t>е</w:t>
      </w:r>
      <w:r>
        <w:t>ний Закона о социальном обеспечении подпадают лишь работники сельского хозяйства, а именно, ливанские работники, постоянно занятые на сельскох</w:t>
      </w:r>
      <w:r>
        <w:t>о</w:t>
      </w:r>
      <w:r>
        <w:t>зяйственных предприятиях. По статистике Национального фонда социальной защиты, на 23 октября 2004 года в системе социального страхования состояло лишь 1639 работников данной категории (1 480 мужчин и 159 женщин). Эти цифры говорят о том, что среди женщин, занятых в сельском хозяйстве, соц</w:t>
      </w:r>
      <w:r>
        <w:t>и</w:t>
      </w:r>
      <w:r>
        <w:t>альные пособия получает лишь меньшинство. Согласно различным исследов</w:t>
      </w:r>
      <w:r>
        <w:t>а</w:t>
      </w:r>
      <w:r>
        <w:t>ниям, в 2001 году доля женщин, занятых в сельском хозяйстве, составляла 3,5 процента от общего числа женщин, занятых в сельском хозяйстве, промы</w:t>
      </w:r>
      <w:r>
        <w:t>ш</w:t>
      </w:r>
      <w:r>
        <w:t>ленности, строительстве и сфере торговли и услуг.</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членов семьи, работающих на семейных предприятиях, то они получают пособия только по линии добровольного медицинского страх</w:t>
      </w:r>
      <w:r>
        <w:t>о</w:t>
      </w:r>
      <w:r>
        <w:t>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2.</w:t>
      </w:r>
      <w:r>
        <w:rPr>
          <w:i/>
        </w:rPr>
        <w:tab/>
        <w:t>Положения о надбавках и материальной помощи для гражданских служащих:</w:t>
      </w:r>
      <w:r>
        <w:t xml:space="preserve"> В постановлении № 3950 от 27 апреля 1960 года о правилах назн</w:t>
      </w:r>
      <w:r>
        <w:t>а</w:t>
      </w:r>
      <w:r>
        <w:t>чения надбавок и материальной помощи гражданским служащим до сих пор проводится разграничение между гражданскими служащими мужского и же</w:t>
      </w:r>
      <w:r>
        <w:t>н</w:t>
      </w:r>
      <w:r>
        <w:t>ского пола в отношении их права на получение надбавки на ребенка. Женщ</w:t>
      </w:r>
      <w:r>
        <w:t>и</w:t>
      </w:r>
      <w:r>
        <w:t>не, находящейся на гражданской службе, такая надбавка выплачивается только в том случае, если она самостоятельно воспитывает ребенка после смерти м</w:t>
      </w:r>
      <w:r>
        <w:t>у</w:t>
      </w:r>
      <w:r>
        <w:t>жа, или в результате потери мужем трудоспособности, или ввиду его отсутс</w:t>
      </w:r>
      <w:r>
        <w:t>т</w:t>
      </w:r>
      <w:r>
        <w:t>вия в стране более года и утраты с ним всякой связи, а также в том случае, е</w:t>
      </w:r>
      <w:r>
        <w:t>с</w:t>
      </w:r>
      <w:r>
        <w:t>ли она разведена и установлено, что отец ребенка не в состоянии выплачивать назначенные алименты. Иными словами, положение женщин, занятых на гр</w:t>
      </w:r>
      <w:r>
        <w:t>а</w:t>
      </w:r>
      <w:r>
        <w:t>жданской службе, аналогично положению работающих женщин в системе с</w:t>
      </w:r>
      <w:r>
        <w:t>о</w:t>
      </w:r>
      <w:r>
        <w:t>циального страхования, которое существовало до внесения поправок в ст</w:t>
      </w:r>
      <w:r>
        <w:t>а</w:t>
      </w:r>
      <w:r>
        <w:t>тью 14 Закона о социальном обеспечении.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3.</w:t>
      </w:r>
      <w:r>
        <w:rPr>
          <w:i/>
        </w:rPr>
        <w:tab/>
        <w:t xml:space="preserve">Общие положения о бюджетных служащих: </w:t>
      </w:r>
      <w:r>
        <w:t>В</w:t>
      </w:r>
      <w:r>
        <w:rPr>
          <w:lang w:val="en-US"/>
        </w:rPr>
        <w:t> </w:t>
      </w:r>
      <w:r>
        <w:t>постановлении № 5883 от 3 ноября 1994 года, содержащем общие положения о бюджетных служащих, проводится разграничение между женщинами, с</w:t>
      </w:r>
      <w:r>
        <w:t>о</w:t>
      </w:r>
      <w:r>
        <w:t>стоящими на гражданской службе, которые имеют право на отпуск по бер</w:t>
      </w:r>
      <w:r>
        <w:t>е</w:t>
      </w:r>
      <w:r>
        <w:t>менности и родам с сохранением полного содержания сроком до 60 дней, и женщинами, работающими в бюджетной сфере, для которых продолжител</w:t>
      </w:r>
      <w:r>
        <w:t>ь</w:t>
      </w:r>
      <w:r>
        <w:t>ность отпуска с сохранением полного содержания в рамках того же ведомства составляет не более 40 дней.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4.</w:t>
      </w:r>
      <w:r>
        <w:rPr>
          <w:i/>
        </w:rPr>
        <w:tab/>
        <w:t>Закон о подоходном налоге:</w:t>
      </w:r>
      <w:r>
        <w:t xml:space="preserve"> В статье 31 Закона о подоходном налоге (законодательное постановление № 144 от 12 июня 1959 года) делается разл</w:t>
      </w:r>
      <w:r>
        <w:t>и</w:t>
      </w:r>
      <w:r>
        <w:t>чие между налогоплательщиками мужчинами и женщинами, которое состоит в том, что в случаях, когда замужняя женщина, имеющая на иждивении детей, занимается трудовой деятельностью или находится на должности, подлежащей налогообложению, дополнительные налоговые льготы на ребенка предоставл</w:t>
      </w:r>
      <w:r>
        <w:t>я</w:t>
      </w:r>
      <w:r>
        <w:t>ется не ей, а мужу, в то время она сама обязана уплачивать налоги наравне с несемейными налогоплательщиками.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5.</w:t>
      </w:r>
      <w:r>
        <w:rPr>
          <w:i/>
        </w:rPr>
        <w:tab/>
        <w:t xml:space="preserve">Закон о </w:t>
      </w:r>
      <w:r>
        <w:t>движимом</w:t>
      </w:r>
      <w:r>
        <w:rPr>
          <w:i/>
        </w:rPr>
        <w:t xml:space="preserve"> и недвижимом имуществе (Гербовый сбор)</w:t>
      </w:r>
      <w:r>
        <w:t>: З</w:t>
      </w:r>
      <w:r>
        <w:t>а</w:t>
      </w:r>
      <w:r>
        <w:t>ключительный пункт статьи 9 Закона о гербовом сборе (законодательное п</w:t>
      </w:r>
      <w:r>
        <w:t>о</w:t>
      </w:r>
      <w:r>
        <w:t>становление № 146 от 12 июня 1959 года) содержит положение о том, что при уплате гербового сбора наследник по мужской линии имеет право на дополн</w:t>
      </w:r>
      <w:r>
        <w:t>и</w:t>
      </w:r>
      <w:r>
        <w:t>тельную льготу, если на его иждивении находится жена и дети в возрасте до 18 лет (наследники по женской линии данным правом не обладают).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rPr>
          <w:i/>
        </w:rPr>
        <w:tab/>
        <w:t>6.</w:t>
      </w:r>
      <w:r>
        <w:rPr>
          <w:i/>
        </w:rPr>
        <w:tab/>
        <w:t>Торговый кодекс</w:t>
      </w:r>
      <w:r>
        <w:t xml:space="preserve">: Раздел "Права жены несостоятельного должника" ливанского </w:t>
      </w:r>
      <w:r>
        <w:rPr>
          <w:i/>
        </w:rPr>
        <w:t>законодательства</w:t>
      </w:r>
      <w:r>
        <w:t xml:space="preserve"> предусматривает жесткие ограничения в отн</w:t>
      </w:r>
      <w:r>
        <w:t>о</w:t>
      </w:r>
      <w:r>
        <w:t>шении прав жены на возмещение своего имущества после банкротства мужа (статьи 625 и 629 Торгового кодекса). Эти ограничения касаются только жен и не распространяются на мужей. Если банкротом объявляется предприним</w:t>
      </w:r>
      <w:r>
        <w:t>а</w:t>
      </w:r>
      <w:r>
        <w:t>тель-женщина, в отношении ее мужа применяется общий принцип возмещения имущества после банкротства и не действует никаких особых положений или ограничений. Такое ничем не обоснованное различие между процедурой ба</w:t>
      </w:r>
      <w:r>
        <w:t>н</w:t>
      </w:r>
      <w:r>
        <w:t>кротства в отношении мужей и жен должно быть устр</w:t>
      </w:r>
      <w:r>
        <w:t>а</w:t>
      </w:r>
      <w:r>
        <w:t>нено.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120" w:lineRule="exact"/>
        <w:ind w:left="1267" w:right="1267"/>
        <w:jc w:val="both"/>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Глава 2</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Гендерные стереотипы</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7"/>
      </w:pPr>
      <w:r>
        <w:tab/>
        <w:t>(Статья 5 Конвенции)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tab/>
      </w:r>
      <w:r>
        <w:tab/>
        <w:t>Согласно имеющимся данным, в положении ливанских женщин н</w:t>
      </w:r>
      <w:r>
        <w:t>а</w:t>
      </w:r>
      <w:r>
        <w:t>блюдается стабильное улучшение. Вместе с тем, это улучшение в разной ст</w:t>
      </w:r>
      <w:r>
        <w:t>е</w:t>
      </w:r>
      <w:r>
        <w:t>пени отражается на взглядах разных слоев населения от широких масс до ве</w:t>
      </w:r>
      <w:r>
        <w:t>р</w:t>
      </w:r>
      <w:r>
        <w:t>хушки общества. О стойкости таких взглядов говорит, в частности, затягив</w:t>
      </w:r>
      <w:r>
        <w:t>а</w:t>
      </w:r>
      <w:r>
        <w:t>ние процесса внесения изменений в законодательные положения, ущемляющие права женщин, а также стереотипный образ женщины в средствах массовой информации и преобладающее в обществе пренебрежительное отношение к делам женщин. Данные исследований говорят о замедленном процессе изм</w:t>
      </w:r>
      <w:r>
        <w:t>е</w:t>
      </w:r>
      <w:r>
        <w:t>нений в традиционном распределении ролей между мужчинами и женщинами, проявлением которого в семейной жизни является тип супружеских отнош</w:t>
      </w:r>
      <w:r>
        <w:t>е</w:t>
      </w:r>
      <w:r>
        <w:t>ний, при которых в ведении мужа находятся вопросы производства потомства, а на жену практически целиком ложатся обязанности по воспитанию детей и ведению домашнего хозяйства. В общественной жизни традиционное распр</w:t>
      </w:r>
      <w:r>
        <w:t>е</w:t>
      </w:r>
      <w:r>
        <w:t>деление ролей находит выражение в стереотипах, существующих в структуре труда и образования, несмотря на общее стремление их преодолеть. Приведе</w:t>
      </w:r>
      <w:r>
        <w:t>н</w:t>
      </w:r>
      <w:r>
        <w:t>ные ниже замечания отражают противоречивые аспекты и изменчивые тенде</w:t>
      </w:r>
      <w:r>
        <w:t>н</w:t>
      </w:r>
      <w:r>
        <w:t>ции развития ливанского общества в вопросах гендерного разделения ролей.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Помимо различий, связанных с социальным статусом, характерной чертой ливанского общества является принадлежность его граждан к разным религ</w:t>
      </w:r>
      <w:r>
        <w:t>и</w:t>
      </w:r>
      <w:r>
        <w:t>озным общинам, каждая из которых по-своему толкует религию и имеет собс</w:t>
      </w:r>
      <w:r>
        <w:t>т</w:t>
      </w:r>
      <w:r>
        <w:t>венные обычаи. С этой точки зрения ситуация в Ливане отличается особой сложностью, которая проявляется в одновременном сосуществовании прот</w:t>
      </w:r>
      <w:r>
        <w:t>и</w:t>
      </w:r>
      <w:r>
        <w:t>воречивых явлений. Так, ношение мусульманского платка не обязательно я</w:t>
      </w:r>
      <w:r>
        <w:t>в</w:t>
      </w:r>
      <w:r>
        <w:t>ляется выражением враждебных взглядов по отношению к освобождению и развитию женщин. Аналогичным образом, современная одежда вполне может сочетаться с традиционными убеждениями и неблагосклонным отношением к делу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Признавая существенное влияние религиозных идеологий на формиров</w:t>
      </w:r>
      <w:r>
        <w:t>а</w:t>
      </w:r>
      <w:r>
        <w:t>ние гендерных ролей в патриархальном обществе, правозащитные и женские организации продолжают усилия по расширению прав женщин и разработке подходов и программ обеспечения равенства, которые, в большинстве случаев, расходятся с этими идеологиями. При этом они стараются привлекать религ</w:t>
      </w:r>
      <w:r>
        <w:t>и</w:t>
      </w:r>
      <w:r>
        <w:t>озных деятелей и представителей различных религиозных общин к участию в проводимых ими семинарах и конференциях с целью разработки законод</w:t>
      </w:r>
      <w:r>
        <w:t>а</w:t>
      </w:r>
      <w:r>
        <w:t>тельных актов, которые бы основывались на религиозных учениях и одновр</w:t>
      </w:r>
      <w:r>
        <w:t>е</w:t>
      </w:r>
      <w:r>
        <w:t>менно устраняли некоторые из содержащихся в них дискриминационных п</w:t>
      </w:r>
      <w:r>
        <w:t>о</w:t>
      </w:r>
      <w:r>
        <w:t>ложений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Несмотря на то, что женщины принимают участие в общественной жизни (преподавательская деятельность, наемный труд и социальная работа), их уч</w:t>
      </w:r>
      <w:r>
        <w:t>а</w:t>
      </w:r>
      <w:r>
        <w:t>стие в политической жизни сведено к минимуму. Разделение политической системы Ливана на стереотипные категории по-прежнему в значительной ст</w:t>
      </w:r>
      <w:r>
        <w:t>е</w:t>
      </w:r>
      <w:r>
        <w:t>пени препятствует политическому и социальному представительству общес</w:t>
      </w:r>
      <w:r>
        <w:t>т</w:t>
      </w:r>
      <w:r>
        <w:t>венных сил, в том числе женщин, которые не являются частью сложившейся системы.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сельских женщин, то, по данным исследований, получение образования девушками, проживающими в сельской местности, встречает все большее одобрение, однако по отношению к их дальнейшему трудоустройству сохраняется консерватизм. Из исследований также следует, что для сельской местности наиболее характерно сосредоточение власти в руках мужа, и гораздо более редки случаи совместн</w:t>
      </w:r>
      <w:r>
        <w:t>о</w:t>
      </w:r>
      <w:r>
        <w:t>го принятия решений.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Результаты исследований  положения женщин говорят о том, что на пути устремлений современной ливанской женщины стоит "невидимая стена", х</w:t>
      </w:r>
      <w:r>
        <w:t>а</w:t>
      </w:r>
      <w:r>
        <w:t>рактер и границы которой трудно определимы. В описательных исследованиях указывается, что по данному вопросу существуют различные мнения. Если с</w:t>
      </w:r>
      <w:r>
        <w:t>о</w:t>
      </w:r>
      <w:r>
        <w:t>трудницы объединений и организаций, добивающихся укрепления статуса л</w:t>
      </w:r>
      <w:r>
        <w:t>и</w:t>
      </w:r>
      <w:r>
        <w:t>ванских женщин, жалуются на то, что женщины недостаточно осведомлены о своих правах и неспособны к самоорганизации для борьбы за их расширение, то многие другие женщины, например, домохозяйки, говорят, что они довол</w:t>
      </w:r>
      <w:r>
        <w:t>ь</w:t>
      </w:r>
      <w:r>
        <w:t>ны своим положением и не признают заслуг женских движений. Вместе с тем, они высказывают пожелание, чтобы их дочери вели иной образ жизни и избр</w:t>
      </w:r>
      <w:r>
        <w:t>а</w:t>
      </w:r>
      <w:r>
        <w:t xml:space="preserve">ли для себя другую карьеру.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w:t>
      </w:r>
      <w:r>
        <w:t>.</w:t>
      </w:r>
      <w:r>
        <w:tab/>
        <w:t>Гендерные стереотипы в общественной и частной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1.</w:t>
      </w:r>
      <w:r>
        <w:rPr>
          <w:i/>
        </w:rPr>
        <w:tab/>
        <w:t>Дома</w:t>
      </w:r>
      <w:r>
        <w:t>:</w:t>
      </w:r>
      <w:r>
        <w:rPr>
          <w:i/>
        </w:rPr>
        <w:t xml:space="preserve"> </w:t>
      </w:r>
      <w:r>
        <w:t>В описательных исследованиях указывается на существование типично женских ролей и ролей, которые выполняются совместно мужчинами и женщинами. В них также отмечается отсутствие каких-либо сугубо мужских ролей. Роли, традиционно приписываемые женщине, обычно связаны с орган</w:t>
      </w:r>
      <w:r>
        <w:t>и</w:t>
      </w:r>
      <w:r>
        <w:t>зацией, исполнением и уходом. Традиционно мужские роли касаются пост</w:t>
      </w:r>
      <w:r>
        <w:t>а</w:t>
      </w:r>
      <w:r>
        <w:t>новки целей и принятия реш</w:t>
      </w:r>
      <w:r>
        <w:t>е</w:t>
      </w:r>
      <w:r>
        <w:t>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2.</w:t>
      </w:r>
      <w:r>
        <w:rPr>
          <w:i/>
        </w:rPr>
        <w:tab/>
        <w:t>В профессиональной деятельности</w:t>
      </w:r>
      <w:r>
        <w:t>: Типично мужскими принято считать профессии, требующие лидерских качеств (принятия решений) или физических усилий (строительные специальности, требующие физической с</w:t>
      </w:r>
      <w:r>
        <w:t>и</w:t>
      </w:r>
      <w:r>
        <w:t>лы, военная служба, горное дело, управление автотранспортом и уборка мус</w:t>
      </w:r>
      <w:r>
        <w:t>о</w:t>
      </w:r>
      <w:r>
        <w:t>ра). Типично женскими считаются профессии, связанные с уходом, воспитан</w:t>
      </w:r>
      <w:r>
        <w:t>и</w:t>
      </w:r>
      <w:r>
        <w:t>ем и социальным общением (воспитание детей, образование, медицина, сре</w:t>
      </w:r>
      <w:r>
        <w:t>д</w:t>
      </w:r>
      <w:r>
        <w:t>ства массовой информации, туризм и администрирование).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3.</w:t>
      </w:r>
      <w:r>
        <w:rPr>
          <w:i/>
        </w:rPr>
        <w:tab/>
        <w:t>В школе</w:t>
      </w:r>
      <w:r>
        <w:t>: Проведенный анализ школьных учебников позволил уст</w:t>
      </w:r>
      <w:r>
        <w:t>а</w:t>
      </w:r>
      <w:r>
        <w:t>новить, что в них содержатся относительно развитые представления о женщ</w:t>
      </w:r>
      <w:r>
        <w:t>и</w:t>
      </w:r>
      <w:r>
        <w:t>не. Вместе с тем, было отмечено, что устойчивые представления о роли же</w:t>
      </w:r>
      <w:r>
        <w:t>н</w:t>
      </w:r>
      <w:r>
        <w:t>щины по-прежнему находятся во власти различных социальных стереотипов. Лишь изредка можно встретить изображение женщин, которые принимают о</w:t>
      </w:r>
      <w:r>
        <w:t>т</w:t>
      </w:r>
      <w:r>
        <w:t>ветственные решения, действуют независимо и проявляют инициативу. Кроме этого, учебники содержат различные стереотипные модели поведения, которые усваиваются учащимися и фиксируются в их сознании в качестве устойчивых мод</w:t>
      </w:r>
      <w:r>
        <w:t>е</w:t>
      </w:r>
      <w:r>
        <w:t>лей.</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 распространяемым таким образом моделям относятся: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10" w:right="1267" w:hanging="443"/>
        <w:jc w:val="both"/>
      </w:pPr>
      <w:r>
        <w:t>-</w:t>
      </w:r>
      <w:r>
        <w:tab/>
        <w:t>модель деятельности, согласно которой типично женской является де</w:t>
      </w:r>
      <w:r>
        <w:t>я</w:t>
      </w:r>
      <w:r>
        <w:t>тельность, связанная с кормлением, уходом, организаторской деятельн</w:t>
      </w:r>
      <w:r>
        <w:t>о</w:t>
      </w:r>
      <w:r>
        <w:t>стью, уборкой и неоплачиваемым трудом, а мужской - деятельность, св</w:t>
      </w:r>
      <w:r>
        <w:t>я</w:t>
      </w:r>
      <w:r>
        <w:t>занная с умственным трудом, наукой, обороной, нападением, лидерством, управлением и производительным тр</w:t>
      </w:r>
      <w:r>
        <w:t>у</w:t>
      </w:r>
      <w:r>
        <w:t>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10" w:right="1267" w:hanging="443"/>
        <w:jc w:val="both"/>
      </w:pPr>
      <w:r>
        <w:t>-</w:t>
      </w:r>
      <w:r>
        <w:tab/>
        <w:t>модель личностных характеристик, согласно которой смелость является мужским, а красота – же</w:t>
      </w:r>
      <w:r>
        <w:t>н</w:t>
      </w:r>
      <w:r>
        <w:t>ским качеством;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10" w:right="1267" w:hanging="443"/>
        <w:jc w:val="both"/>
      </w:pPr>
      <w:r>
        <w:t>-</w:t>
      </w:r>
      <w:r>
        <w:tab/>
        <w:t>модель профессиональной деятельности, согласно которой мужские пр</w:t>
      </w:r>
      <w:r>
        <w:t>о</w:t>
      </w:r>
      <w:r>
        <w:t>фессии имеют более высокий социальный статус по сравнению с женск</w:t>
      </w:r>
      <w:r>
        <w:t>и</w:t>
      </w:r>
      <w:r>
        <w:t>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10" w:right="1267" w:hanging="443"/>
        <w:jc w:val="both"/>
      </w:pPr>
      <w:r>
        <w:t>-</w:t>
      </w:r>
      <w:r>
        <w:tab/>
        <w:t>модель жизненного кругозора, согласно которой у женщин он уже, чем у му</w:t>
      </w:r>
      <w:r>
        <w:t>ж</w:t>
      </w:r>
      <w:r>
        <w:t>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10" w:right="1267" w:hanging="443"/>
        <w:jc w:val="both"/>
      </w:pPr>
      <w:r>
        <w:t>-</w:t>
      </w:r>
      <w:r>
        <w:tab/>
        <w:t>модель собственности, согласно которой мужчины владеют капиталом, а же</w:t>
      </w:r>
      <w:r>
        <w:t>н</w:t>
      </w:r>
      <w:r>
        <w:t>щины – предметами практической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Определенные позитивные сдвиги коснулись изображения мужчин, кот</w:t>
      </w:r>
      <w:r>
        <w:t>о</w:t>
      </w:r>
      <w:r>
        <w:t>рые пробрели более человеческие очертания. Тем не менее, в учебниках по-прежнему преобладают формы мужского рода, которые принято использовать для обозначения лиц обоих полов. Кроме того, некоторые исследователи отм</w:t>
      </w:r>
      <w:r>
        <w:t>е</w:t>
      </w:r>
      <w:r>
        <w:t>чают, что из учебников были исключены описания женских ролей, а также взаимоотношений между полами, которые заменены изображением типично патриархальных взаимоотношений между поколениями.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Несмотря на отсутствие исследований, в которых бы указывалось на с</w:t>
      </w:r>
      <w:r>
        <w:t>у</w:t>
      </w:r>
      <w:r>
        <w:t>ществование гендерного разделения ролей в школе, на девочек возлагаются дополнительные обязанности по дому, которые негативно сказываются на их успеваемости и выборе учебных дисциплин. Кроме того, предъявляемое к д</w:t>
      </w:r>
      <w:r>
        <w:t>е</w:t>
      </w:r>
      <w:r>
        <w:t>вушкам требование о «благоразумном поведении», подразумевающем такие качества, как целомудрие, сдержанность, опрятность и спокойствие, огранич</w:t>
      </w:r>
      <w:r>
        <w:t>и</w:t>
      </w:r>
      <w:r>
        <w:t>вает их возможности обучения методом проб и ошибок, которое имеет ва</w:t>
      </w:r>
      <w:r>
        <w:t>ж</w:t>
      </w:r>
      <w:r>
        <w:t>нейшее значение в процессе познания мира. В то же самое время, метод проб и ошибок дозволен для мальчиков, поскольку поведение "нарушителя спокойс</w:t>
      </w:r>
      <w:r>
        <w:t>т</w:t>
      </w:r>
      <w:r>
        <w:t>вия", индивидуальность, движение, свобода и сопутствующий им беспорядок являются частью становления социально желательной мужской ли</w:t>
      </w:r>
      <w:r>
        <w:t>ч</w:t>
      </w:r>
      <w:r>
        <w:t>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4.</w:t>
      </w:r>
      <w:r>
        <w:rPr>
          <w:i/>
        </w:rPr>
        <w:tab/>
        <w:t>В средствах массовой информации:</w:t>
      </w:r>
      <w:r>
        <w:t xml:space="preserve"> Средства массовой информации уделяют большое внимание женским темам. Присутствие женщин в данной сфере, прежде всего сфере визуальной информации, заметно растет в силу т</w:t>
      </w:r>
      <w:r>
        <w:t>о</w:t>
      </w:r>
      <w:r>
        <w:t>го, что большую часть студентов, получающих образование в этой области, с</w:t>
      </w:r>
      <w:r>
        <w:t>о</w:t>
      </w:r>
      <w:r>
        <w:t>ставляют девушки. Однако существует мнение, что такое количественное ув</w:t>
      </w:r>
      <w:r>
        <w:t>е</w:t>
      </w:r>
      <w:r>
        <w:t>личение объясняется переменами и новыми требованиями внутри сферы ма</w:t>
      </w:r>
      <w:r>
        <w:t>с</w:t>
      </w:r>
      <w:r>
        <w:t>совой информации и не связано с какими-либо существенными изменениями в положении женщин. По существу, там по-прежнему сохраняется стереотипный взгляд на женщин как на потребительский товар или как на потребителей. В исследованиях, проведенных на основе женских страниц ливанских газет, о</w:t>
      </w:r>
      <w:r>
        <w:t>т</w:t>
      </w:r>
      <w:r>
        <w:t>мечаются положительные тенденции, которые говорят о прогрессе в средствах массовой информации, и одновременно указывается на сохранение препятс</w:t>
      </w:r>
      <w:r>
        <w:t>т</w:t>
      </w:r>
      <w:r>
        <w:t>вий, мешающих должному освещению всех аспектов женского в</w:t>
      </w:r>
      <w:r>
        <w:t>о</w:t>
      </w:r>
      <w:r>
        <w:t>проса.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различных исследованиях, посвященных наиболее влиятельному сре</w:t>
      </w:r>
      <w:r>
        <w:t>д</w:t>
      </w:r>
      <w:r>
        <w:t>ству массовой информации - телевидению, отмечается, что на ключевых п</w:t>
      </w:r>
      <w:r>
        <w:t>о</w:t>
      </w:r>
      <w:r>
        <w:t>стах в данной сфере нет ни одной женщины. Также отмечается, что трудности, препятствующие карьерному росту женщин, связаны со стереотипными пре</w:t>
      </w:r>
      <w:r>
        <w:t>д</w:t>
      </w:r>
      <w:r>
        <w:t>ставлениями и дискр</w:t>
      </w:r>
      <w:r>
        <w:t>и</w:t>
      </w:r>
      <w:r>
        <w:t>минацией по половому признаку.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5.</w:t>
      </w:r>
      <w:r>
        <w:rPr>
          <w:i/>
        </w:rPr>
        <w:tab/>
        <w:t>Семейное право</w:t>
      </w:r>
      <w:r>
        <w:t>: Согласно преобладающей традиции, главой семьи по-прежнему принято считать мужчину (не учитывая более высокое процен</w:t>
      </w:r>
      <w:r>
        <w:t>т</w:t>
      </w:r>
      <w:r>
        <w:t>ное отношение женщин, содержащих семью, которое достигает в Бейруте св</w:t>
      </w:r>
      <w:r>
        <w:t>о</w:t>
      </w:r>
      <w:r>
        <w:t>его максимального показателя в 20 процентов). Положение мужчины в качес</w:t>
      </w:r>
      <w:r>
        <w:t>т</w:t>
      </w:r>
      <w:r>
        <w:t>ве главы семьи явно закреплено в законодательстве о личном статусе. Главе</w:t>
      </w:r>
      <w:r>
        <w:t>н</w:t>
      </w:r>
      <w:r>
        <w:t>ство мужчины в семье дополняется требованием о повиновении со стороны женщины. До недавнего времени, это требование поддерживали многие же</w:t>
      </w:r>
      <w:r>
        <w:t>н</w:t>
      </w:r>
      <w:r>
        <w:t>щины, принадлежащие к разным религиозным общинам. Однако в последнее время большинство христианских общин отошли от принципа повиновения в пользу партнерства между супругами. В ряде других религиозных общин н</w:t>
      </w:r>
      <w:r>
        <w:t>е</w:t>
      </w:r>
      <w:r>
        <w:t>повиновение со стороны жены дает мужу право на ее наказание, хотя в п</w:t>
      </w:r>
      <w:r>
        <w:t>о</w:t>
      </w:r>
      <w:r>
        <w:t>следнее время этот принцип получает неоднозначную оценку религиозных деятелей.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Считается, что ответственность за воспитание детей несут матери совм</w:t>
      </w:r>
      <w:r>
        <w:t>е</w:t>
      </w:r>
      <w:r>
        <w:t>стно с мужчинами. При разводе духовные и религиозные суды уполномочены принимать решения по вопросам, связанным с воспитанием и уходом за дет</w:t>
      </w:r>
      <w:r>
        <w:t>ь</w:t>
      </w:r>
      <w:r>
        <w:t>ми. Следует отметить, что данные суды явно предрасположены в пользу му</w:t>
      </w:r>
      <w:r>
        <w:t>ж</w:t>
      </w:r>
      <w:r>
        <w:t>чин.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w:t>
      </w:r>
      <w:r>
        <w:tab/>
        <w:t>Усилия по преодолению гендерных стереотипов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Общественная деятельность женщин в Ливане, как правило, носит неко</w:t>
      </w:r>
      <w:r>
        <w:t>н</w:t>
      </w:r>
      <w:r>
        <w:t>фронтационный характер, в связи с чем реальные масштабы работы, напра</w:t>
      </w:r>
      <w:r>
        <w:t>в</w:t>
      </w:r>
      <w:r>
        <w:t>ленной на изменение положения женщин, остаются скрытыми. Однако при б</w:t>
      </w:r>
      <w:r>
        <w:t>о</w:t>
      </w:r>
      <w:r>
        <w:t>лее пристальном рассмотрении становятся заметными усилия, нацеленные на преодоление пр</w:t>
      </w:r>
      <w:r>
        <w:t>е</w:t>
      </w:r>
      <w:r>
        <w:t>обладающих культурных стереотипов, в частности: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а)</w:t>
      </w:r>
      <w:r>
        <w:tab/>
        <w:t>Увеличение числа исследований, проводимых с целью выявления стереотипов, расширение масштабов деятельности по борьбе со стереотипами, создание групп из представительниц женской интеллигенции для осуществл</w:t>
      </w:r>
      <w:r>
        <w:t>е</w:t>
      </w:r>
      <w:r>
        <w:t>ния деятельн</w:t>
      </w:r>
      <w:r>
        <w:t>о</w:t>
      </w:r>
      <w:r>
        <w:t>сти с позиции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b)</w:t>
      </w:r>
      <w:r>
        <w:tab/>
        <w:t>Спутниковые телеканалы и радиопрограммы, посвященные женским в</w:t>
      </w:r>
      <w:r>
        <w:t>о</w:t>
      </w:r>
      <w:r>
        <w:t>просам;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firstLine="29"/>
        <w:jc w:val="both"/>
      </w:pPr>
      <w:r>
        <w:tab/>
        <w:t>с)</w:t>
      </w:r>
      <w:r>
        <w:tab/>
        <w:t>Увеличение числа учебных программ для женщин, организуемых г</w:t>
      </w:r>
      <w:r>
        <w:t>о</w:t>
      </w:r>
      <w:r>
        <w:t>сударственными и неправительственными организациями, ведущими работу с женщинами. Данные программы, которые обычно проводятся совместно н</w:t>
      </w:r>
      <w:r>
        <w:t>е</w:t>
      </w:r>
      <w:r>
        <w:t>сколькими организациями, проходят на всей территории Ливана и затрагивают такие темы, как охрана здоровья, в том числе репродуктивного, правовая гр</w:t>
      </w:r>
      <w:r>
        <w:t>а</w:t>
      </w:r>
      <w:r>
        <w:t>мотность, борьба с насилием в семье, участие женщин в парламентской и м</w:t>
      </w:r>
      <w:r>
        <w:t>е</w:t>
      </w:r>
      <w:r>
        <w:t>стной политической жизни, мелкие кредиты и т.д. Женские организации зан</w:t>
      </w:r>
      <w:r>
        <w:t>и</w:t>
      </w:r>
      <w:r>
        <w:t>маются осуществлением ряда государственных образовательных программ по вопросам, связанным с правами женщин, в число которых входит: привлечение женщин к управлению проектами, наращивание потенциала и развитие лиде</w:t>
      </w:r>
      <w:r>
        <w:t>р</w:t>
      </w:r>
      <w:r>
        <w:t>ских качеств, организация диалогов и дискуссий по вопросам прав женщин, создание сети взаимодействия между региональными отделениями, создание информационного центра по гендерным вопросам, образование и професси</w:t>
      </w:r>
      <w:r>
        <w:t>о</w:t>
      </w:r>
      <w:r>
        <w:t>нальная подготовка, проведение семинаров и конференций по женским вопр</w:t>
      </w:r>
      <w:r>
        <w:t>о</w:t>
      </w:r>
      <w:r>
        <w:t>сам, проведение агитации за участие в парламентских выборах, создание ст</w:t>
      </w:r>
      <w:r>
        <w:t>и</w:t>
      </w:r>
      <w:r>
        <w:t>мулов для привлечения женщин к партийной работе.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III.</w:t>
      </w:r>
      <w:r>
        <w:tab/>
        <w:t>Препятствия в борьбе со стереотипами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rPr>
          <w:i/>
        </w:rPr>
        <w:tab/>
        <w:t>1.</w:t>
      </w:r>
      <w:r>
        <w:rPr>
          <w:i/>
        </w:rPr>
        <w:tab/>
        <w:t>Контрмобилизация</w:t>
      </w:r>
      <w:r>
        <w:t>: Попыткам преодоления гендерных стереотипов противостоят усилия, направленные на то, чтобы усугубить гендерное разд</w:t>
      </w:r>
      <w:r>
        <w:t>е</w:t>
      </w:r>
      <w:r>
        <w:t>ление ролей и закрепить проявления культуры, в которых подчеркивается пр</w:t>
      </w:r>
      <w:r>
        <w:t>и</w:t>
      </w:r>
      <w:r>
        <w:t>ниженное положение женщин. Эти усилия находят выражение в различной форме, от призывов «придерживаться принципов религии» до пропаганды идей, приписывающих требование о ликвидации дискриминации в отношении женщин влиянию западной культуры, «чуждой нашим обычаям и традициям», или же призывов отложить решение вопроса о равноправии женщин под пре</w:t>
      </w:r>
      <w:r>
        <w:t>д</w:t>
      </w:r>
      <w:r>
        <w:t>логом наличия других внутриполитических и общеарабских проблем, име</w:t>
      </w:r>
      <w:r>
        <w:t>ю</w:t>
      </w:r>
      <w:r>
        <w:t>щих более первостепенное значение.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rPr>
          <w:i/>
        </w:rPr>
        <w:tab/>
        <w:t>2.</w:t>
      </w:r>
      <w:r>
        <w:rPr>
          <w:i/>
        </w:rPr>
        <w:tab/>
        <w:t>Отсутствие надзорных и контролирующих органов</w:t>
      </w:r>
      <w:r>
        <w:t>: В Ливане, в ц</w:t>
      </w:r>
      <w:r>
        <w:t>е</w:t>
      </w:r>
      <w:r>
        <w:t>лом, отсутствуют надзорные и контролирующие органы для борьбы со стере</w:t>
      </w:r>
      <w:r>
        <w:t>о</w:t>
      </w:r>
      <w:r>
        <w:t>типами в отношении женщин. Имеется один наблюдательный орган по надзору за изображением женщин в школьных учебниках, в состав которого входит Национальная комиссия по делам женщин, Образовательный центр по нау</w:t>
      </w:r>
      <w:r>
        <w:t>ч</w:t>
      </w:r>
      <w:r>
        <w:t>ным исследованиям и развитию, Ассоциация планирования семьи, Женский совет, а также эксперты и ученые, специализирующиеся по данному вопросу. Однако заседания этого органа по неизвестным причинам были приостановл</w:t>
      </w:r>
      <w:r>
        <w:t>е</w:t>
      </w:r>
      <w:r>
        <w:t>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Что касается изображения женщин в средствах массовой информации, то никакого механизма для осуществления контроля со стороны Совета по масс</w:t>
      </w:r>
      <w:r>
        <w:t>о</w:t>
      </w:r>
      <w:r>
        <w:t>вой информации или женских организаций в данной сфере нет. Средства ма</w:t>
      </w:r>
      <w:r>
        <w:t>с</w:t>
      </w:r>
      <w:r>
        <w:t>совой информации обычно упрекают в том, что они пропагандируют преобл</w:t>
      </w:r>
      <w:r>
        <w:t>а</w:t>
      </w:r>
      <w:r>
        <w:t>дающую культуру, не стремясь добиться ее прогресса. Таким образом, никаких явных усилий по борьбе стереотипами в изображении женщин в средствах массовой информации не предпринимается, и не существует никакой процед</w:t>
      </w:r>
      <w:r>
        <w:t>у</w:t>
      </w:r>
      <w:r>
        <w:t>ры для применения штрафных санкций за эксплуатацию женского тела в ре</w:t>
      </w:r>
      <w:r>
        <w:t>к</w:t>
      </w:r>
      <w:r>
        <w:t>ламе.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firstLine="29"/>
        <w:jc w:val="both"/>
      </w:pPr>
      <w:r>
        <w:tab/>
      </w:r>
      <w:r>
        <w:rPr>
          <w:i/>
        </w:rPr>
        <w:t>3.</w:t>
      </w:r>
      <w:r>
        <w:rPr>
          <w:i/>
        </w:rPr>
        <w:tab/>
        <w:t>Ответственность религиозных общин за дела семьи</w:t>
      </w:r>
      <w:r>
        <w:t>: Обращает на себя внимание отсутствие законодательства по вопросам воспитания детей в семье. Данные вопросы считаются личным делом семьи, в отношении которых действуют принципы "защиты" и "неприкосновенности" частной жизни, выв</w:t>
      </w:r>
      <w:r>
        <w:t>о</w:t>
      </w:r>
      <w:r>
        <w:t>дящие их за пределы ведения государства. Принцип защиты и неприкоснове</w:t>
      </w:r>
      <w:r>
        <w:t>н</w:t>
      </w:r>
      <w:r>
        <w:t>ности частной жизни перестает действовать в тех случаях, когда такие вопросы выносятся на рассмотрение духовных или религиозных судов, которые прав</w:t>
      </w:r>
      <w:r>
        <w:t>о</w:t>
      </w:r>
      <w:r>
        <w:t>мочны рассматривать вопросы личного статуса в рамках отдельной религио</w:t>
      </w:r>
      <w:r>
        <w:t>з</w:t>
      </w:r>
      <w:r>
        <w:t>ной общины и, в частности, вопросы семьи. В подобных случаях компетен</w:t>
      </w:r>
      <w:r>
        <w:t>т</w:t>
      </w:r>
      <w:r>
        <w:t>ный суд рассматривает наиболее сложные вопросы супружеских и семейных взаимоотношений, в которые он уполномочен вмешиваться. Согласно пров</w:t>
      </w:r>
      <w:r>
        <w:t>е</w:t>
      </w:r>
      <w:r>
        <w:t>денным исследованиям, действующее законодательство по вопросам личного статуса имеет явный уклон в пользу мужчин и способствует закреплению па</w:t>
      </w:r>
      <w:r>
        <w:t>т</w:t>
      </w:r>
      <w:r>
        <w:t>риархальных стереотипов.</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IV.</w:t>
      </w:r>
      <w:r>
        <w:tab/>
        <w:t>Насилие и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rPr>
          <w:i/>
        </w:rPr>
        <w:tab/>
        <w:t>1.</w:t>
      </w:r>
      <w:r>
        <w:rPr>
          <w:i/>
        </w:rPr>
        <w:tab/>
        <w:t>Неприкосновенность семейной жизни и насилие в семье</w:t>
      </w:r>
      <w:r>
        <w:t>: Согласно проведенным в Ливане описательным и частным исследованиям, насилие в с</w:t>
      </w:r>
      <w:r>
        <w:t>е</w:t>
      </w:r>
      <w:r>
        <w:t>мье является одним из проявлений преобладающих гендерных стереотипов, борьба с которым осложняется принципом "неприкосновенности частной жи</w:t>
      </w:r>
      <w:r>
        <w:t>з</w:t>
      </w:r>
      <w:r>
        <w:t>ни" семьи. Какого-либо конкретного закона против насилия в семье не сущес</w:t>
      </w:r>
      <w:r>
        <w:t>т</w:t>
      </w:r>
      <w:r>
        <w:t>вует, соответственно, отсутствуют механизмы для рассмотрения подобных дел и оказания помощи жертвам. Так, в случае нанесения побоев применяются ст</w:t>
      </w:r>
      <w:r>
        <w:t>а</w:t>
      </w:r>
      <w:r>
        <w:t>тьи ливанского уголовного кодекса. Не существует никакого юридически пр</w:t>
      </w:r>
      <w:r>
        <w:t>и</w:t>
      </w:r>
      <w:r>
        <w:t xml:space="preserve">знанного компетентного органа, в который могли бы обратиться женщины, подвергающиеся насилию в семье.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Принцип "неприкосновенности семейной жизни", закрепленный в зак</w:t>
      </w:r>
      <w:r>
        <w:t>о</w:t>
      </w:r>
      <w:r>
        <w:t>нодательстве и гражданском судопроизводстве, в настоящее время открыто о</w:t>
      </w:r>
      <w:r>
        <w:t>б</w:t>
      </w:r>
      <w:r>
        <w:t>суждается в средствах массовой информации в рамках теле- и радиопрограмм, представляющих всеобщему вниманию проблемы семейных взаимоотношений. Члены семьи призывают друг друга к ответу перед зрительской или слуш</w:t>
      </w:r>
      <w:r>
        <w:t>а</w:t>
      </w:r>
      <w:r>
        <w:t>тельской аудиторией или в рамках различных разговорных шоу, которые уже более пяти лет ведут активную работу по обличению проблем насилия в семье, сексуального насилия над детьми, изнасилований жен и родственников и т.д., которые до этого никогда не обсу</w:t>
      </w:r>
      <w:r>
        <w:t>ж</w:t>
      </w:r>
      <w:r>
        <w:t>дались.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Единственным случаем, когда относительный принцип "неприкоснове</w:t>
      </w:r>
      <w:r>
        <w:t>н</w:t>
      </w:r>
      <w:r>
        <w:t>ности семейной жизни" не соблюдается и допускается  вмешательство прав</w:t>
      </w:r>
      <w:r>
        <w:t>о</w:t>
      </w:r>
      <w:r>
        <w:t>охранительных органов, является поступление сигнала о насилии в отношении домашних работников. Однако в случаях, если насилию подвергается член с</w:t>
      </w:r>
      <w:r>
        <w:t>е</w:t>
      </w:r>
      <w:r>
        <w:t>мьи, вмешательство правоохранительных органов возможно только при усл</w:t>
      </w:r>
      <w:r>
        <w:t>о</w:t>
      </w:r>
      <w:r>
        <w:t>вии подачи жалобы о</w:t>
      </w:r>
      <w:r>
        <w:t>д</w:t>
      </w:r>
      <w:r>
        <w:t>ним из членов этой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r>
      <w:r>
        <w:rPr>
          <w:i/>
        </w:rPr>
        <w:t>2.</w:t>
      </w:r>
      <w:r>
        <w:rPr>
          <w:i/>
        </w:rPr>
        <w:tab/>
        <w:t>Сексуальное насилие</w:t>
      </w:r>
      <w:r>
        <w:t>: Фильмы с элементами насилия, а также фил</w:t>
      </w:r>
      <w:r>
        <w:t>ь</w:t>
      </w:r>
      <w:r>
        <w:t>мы и журналы, в которых пропагандируется сексуальное насилие, рассматр</w:t>
      </w:r>
      <w:r>
        <w:t>и</w:t>
      </w:r>
      <w:r>
        <w:t>ваются как средства, подрывающие основы правопорядка и нравственности. Поэтому ливанскими законодателями были разработаны эффективные меры в отношении правонарушителей, предусматривающие тюремное заключение и штраф.</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К жертвам посягательства сексуального характера также причисляются лица, которые подверглись непристойным действиям или были принуждены к совершению непристойных действий с помощью насилия или угроз. В</w:t>
      </w:r>
      <w:r>
        <w:rPr>
          <w:lang w:val="en-US"/>
        </w:rPr>
        <w:t> </w:t>
      </w:r>
      <w:r>
        <w:t>ливанском законодательстве также предусмотрено требование о выплате правонарушителем компенсации своей жертве. Размер компенсации определ</w:t>
      </w:r>
      <w:r>
        <w:t>я</w:t>
      </w:r>
      <w:r>
        <w:t>ется в судебном порядке отдельно по каждому случаю.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Кроме того, с 6 июня 2004 года был введен в действие закон № 422 о з</w:t>
      </w:r>
      <w:r>
        <w:t>а</w:t>
      </w:r>
      <w:r>
        <w:t>щите несовершеннолетних правонарушителей и несовершеннолетних подрос</w:t>
      </w:r>
      <w:r>
        <w:t>т</w:t>
      </w:r>
      <w:r>
        <w:t>ков из группы риска. В соответствии со статьей 24 закона, к данной категории относятся любые лица, которые "подвергаются посягательству сексуального характера или физическому насилию, которое выходит за рамки наказаний, н</w:t>
      </w:r>
      <w:r>
        <w:t>о</w:t>
      </w:r>
      <w:r>
        <w:t>сящих безвредный характер и являющихся традиционно допустимыми". В з</w:t>
      </w:r>
      <w:r>
        <w:t>а</w:t>
      </w:r>
      <w:r>
        <w:t>коне не проводится различия между лицами мужского и же</w:t>
      </w:r>
      <w:r>
        <w:t>н</w:t>
      </w:r>
      <w:r>
        <w:t>ского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r>
      <w:r>
        <w:rPr>
          <w:i/>
        </w:rPr>
        <w:t>3.</w:t>
      </w:r>
      <w:r>
        <w:rPr>
          <w:i/>
        </w:rPr>
        <w:tab/>
        <w:t>Преступность</w:t>
      </w:r>
      <w:r>
        <w:t>: По статистике, в соотношении несовершеннолетних правонарушителей мужского и женского пола отмечается явный дисбаланс в сторону представителей мужского пола, которые составляют подавляющее большинство. Так, по данным за 2003 год, на девушек приходилось лишь 3 процента дел. Такой показатель в целом согласуется с предполагаемыми фактами, хотя можно усомниться в том, что сведения о правонарушительн</w:t>
      </w:r>
      <w:r>
        <w:t>и</w:t>
      </w:r>
      <w:r>
        <w:t>цах-девушках сообщаются в полном объеме. Примечательно, что большинство правонарушительниц относится к возрастной группе от 15 до 18 лет, а больше половины правонарушений касаются собственной личности правонарушителя (непристойные действия, попрошайничество, защита и кражи), а не подчин</w:t>
      </w:r>
      <w:r>
        <w:t>е</w:t>
      </w:r>
      <w:r>
        <w:t>ния себе других.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rPr>
          <w:i/>
          <w:smallCaps/>
        </w:rPr>
        <w:tab/>
        <w:t>4.</w:t>
      </w:r>
      <w:r>
        <w:rPr>
          <w:i/>
          <w:smallCaps/>
        </w:rPr>
        <w:tab/>
      </w:r>
      <w:r>
        <w:rPr>
          <w:i/>
        </w:rPr>
        <w:t>Супружеское насилие</w:t>
      </w:r>
      <w:r>
        <w:t>: В исследованиях отмечается, что жертвам, как правило, бывает трудно открыто говорить о насилии со стороны супруга. Так, в большинстве ответов, собранных в рамках исследования проблемы п</w:t>
      </w:r>
      <w:r>
        <w:t>о</w:t>
      </w:r>
      <w:r>
        <w:t>боев при семейных конфликтах, такая практика отрицалась. Тем не менее м</w:t>
      </w:r>
      <w:r>
        <w:t>у</w:t>
      </w:r>
      <w:r>
        <w:t>жья прибегают к побоям, в среднем, в два раза чаще, чем жены (5 процентов по сравнению с 9,5 процента). В исследовании отмечается, что такой вид насилия более распространен в окраинных районах, где показатели в два раза выше, чем в среднем по стране.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По данным того же исследования, лишь самый незначительный процент мужчин и женщин признают побои в качестве средства для решения семейных конфликтов. По словам большинства супружеских пар, споры чаще всего ра</w:t>
      </w:r>
      <w:r>
        <w:t>з</w:t>
      </w:r>
      <w:r>
        <w:t>решаются путем убеждения, за которым следует посредничество членов семьи, "прикрикивание" и, в п</w:t>
      </w:r>
      <w:r>
        <w:t>о</w:t>
      </w:r>
      <w:r>
        <w:t>следнюю очередь, посредничество друзей.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r>
      <w:r>
        <w:rPr>
          <w:i/>
        </w:rPr>
        <w:t>5.</w:t>
      </w:r>
      <w:r>
        <w:rPr>
          <w:i/>
        </w:rPr>
        <w:tab/>
        <w:t xml:space="preserve">Защита от </w:t>
      </w:r>
      <w:r>
        <w:t>насилия</w:t>
      </w:r>
      <w:r>
        <w:rPr>
          <w:i/>
        </w:rPr>
        <w:t xml:space="preserve"> в отношении женщин</w:t>
      </w:r>
      <w:r>
        <w:t>: С учетом отсутствия официальных институционных и общественных механизмов для разрешения проблем насилия, Ливанский совет по противодействию насилию в отношении женщин проводит многочисленные совещания с религиозными деятелями, с тем чтобы разработать законодательство о защите семьи при тесном сотрудн</w:t>
      </w:r>
      <w:r>
        <w:t>и</w:t>
      </w:r>
      <w:r>
        <w:t>честве с гражданскими и религ</w:t>
      </w:r>
      <w:r>
        <w:t>и</w:t>
      </w:r>
      <w:r>
        <w:t>озными судьями.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Совет также провел ряд совещаний с сотрудниками служб безопасности для налаживания взаимодействия в области ресурсов по борьбе с насилием в отношении женщин. Кроме этого, им была организована подготовка в 50 центрах министерства по социальным делам на всей территории Ливана, в рамках которой социальные работники-женщины проводили просветительские семин</w:t>
      </w:r>
      <w:r>
        <w:t>а</w:t>
      </w:r>
      <w:r>
        <w:t>ры. Летом 2004 года был реализован проект информационно-разъяснительной работы с молодыми добровольцами (мужчинами и женщин</w:t>
      </w:r>
      <w:r>
        <w:t>а</w:t>
      </w:r>
      <w:r>
        <w:t>ми) в десяти ле</w:t>
      </w:r>
      <w:r>
        <w:t>т</w:t>
      </w:r>
      <w:r>
        <w:t>них лагерях.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В настоящее время Ливанский совет по противодействию насилию в о</w:t>
      </w:r>
      <w:r>
        <w:t>т</w:t>
      </w:r>
      <w:r>
        <w:t>ношении женщин осуществляет информационно-просветительскую деятел</w:t>
      </w:r>
      <w:r>
        <w:t>ь</w:t>
      </w:r>
      <w:r>
        <w:t>ность как путем прямого общения с заинтересованными группами населения (женщины, молодые люди и студенты), так и через средства массовой инфо</w:t>
      </w:r>
      <w:r>
        <w:t>р</w:t>
      </w:r>
      <w:r>
        <w:t>мации. Ввиду того, что используемые им методы информационно-разъяснительной работы еще не получили оценки, трудно предсказать, н</w:t>
      </w:r>
      <w:r>
        <w:t>а</w:t>
      </w:r>
      <w:r>
        <w:t>сколько эффективн</w:t>
      </w:r>
      <w:r>
        <w:t>ы</w:t>
      </w:r>
      <w:r>
        <w:t>ми они окажутся в долгосрочном плане.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firstLine="29"/>
        <w:jc w:val="both"/>
      </w:pPr>
      <w:r>
        <w:tab/>
        <w:t>Оценивая изменения гендерных стереотипов, произошедшие за последние годы, следует отметить, что различные формы ущемления прав и роли женщин сохраняются и по сей день. Вместе с тем, нельзя не признать наличие позити</w:t>
      </w:r>
      <w:r>
        <w:t>в</w:t>
      </w:r>
      <w:r>
        <w:t>ных сдвигов, которые, если на них смотреть оптимистично, можно сравнить с тихой и мирной "революцией", по крайней мере, с точки зрения общественной осведомленности. Все большее влияние на гендерную перспективу оказывают социальные, информационно-массовые, академические и школьные программы по женской проблематике, которые воздействуют на общественное сознание и проявления массовой культуры. Более продуманный и плановый характер пр</w:t>
      </w:r>
      <w:r>
        <w:t>и</w:t>
      </w:r>
      <w:r>
        <w:t>обретает работа женских организаций. Женщинам удалось пробить "стекля</w:t>
      </w:r>
      <w:r>
        <w:t>н</w:t>
      </w:r>
      <w:r>
        <w:t>ный потолок", препятствовавший их восхождению к политическим и руков</w:t>
      </w:r>
      <w:r>
        <w:t>о</w:t>
      </w:r>
      <w:r>
        <w:t>дящим должностям в высших эшелонах политической и государственной вл</w:t>
      </w:r>
      <w:r>
        <w:t>а</w:t>
      </w:r>
      <w:r>
        <w:t>сти. Налицо появление нового поколения молодых женщин, большинство из которых имеет методологическое или университетское образование, более а</w:t>
      </w:r>
      <w:r>
        <w:t>к</w:t>
      </w:r>
      <w:r>
        <w:t>тивно участвует в общественной жизни и имеет более прогрессивные взгляды на женский вопрос.</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3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Пресечение всех видов торговли женщинами и эксплуатации проституции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7"/>
        <w:rPr>
          <w:sz w:val="10"/>
        </w:rPr>
      </w:pPr>
      <w:r>
        <w:tab/>
        <w:t>(Статья 6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w:t>
      </w:r>
      <w:r>
        <w:t>.</w:t>
      </w:r>
      <w:r>
        <w:tab/>
      </w:r>
      <w:r>
        <w:tab/>
        <w:t>Торговля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rPr>
          <w:rFonts w:ascii="TimesNewRoman" w:hAnsi="TimesNewRoman"/>
          <w:snapToGrid w:val="0"/>
        </w:rPr>
      </w:pPr>
      <w:r>
        <w:tab/>
        <w:t>В соответствии с постановлением № 10328 от 23 июня 2003 года, на у</w:t>
      </w:r>
      <w:r>
        <w:t>т</w:t>
      </w:r>
      <w:r>
        <w:t>верждение Национальной ассамблеи был направлен законопроект о присоед</w:t>
      </w:r>
      <w:r>
        <w:t>и</w:t>
      </w:r>
      <w:r>
        <w:t xml:space="preserve">нении к </w:t>
      </w:r>
      <w:r>
        <w:rPr>
          <w:rFonts w:ascii="TimesNewRoman" w:hAnsi="TimesNewRoman"/>
          <w:snapToGrid w:val="0"/>
        </w:rPr>
        <w:t>Протоколу о предупреждении и пресечении торговли людьми, особе</w:t>
      </w:r>
      <w:r>
        <w:rPr>
          <w:rFonts w:ascii="TimesNewRoman" w:hAnsi="TimesNewRoman"/>
          <w:snapToGrid w:val="0"/>
        </w:rPr>
        <w:t>н</w:t>
      </w:r>
      <w:r>
        <w:rPr>
          <w:rFonts w:ascii="TimesNewRoman" w:hAnsi="TimesNewRoman"/>
          <w:snapToGrid w:val="0"/>
        </w:rPr>
        <w:t>но женщинами и детьми, и наказании за нее, дополняющему Конвенцию Орг</w:t>
      </w:r>
      <w:r>
        <w:rPr>
          <w:rFonts w:ascii="TimesNewRoman" w:hAnsi="TimesNewRoman"/>
          <w:snapToGrid w:val="0"/>
        </w:rPr>
        <w:t>а</w:t>
      </w:r>
      <w:r>
        <w:rPr>
          <w:rFonts w:ascii="TimesNewRoman" w:hAnsi="TimesNewRoman"/>
          <w:snapToGrid w:val="0"/>
        </w:rPr>
        <w:t>низации Объединенных Наций против транснациональной организованной преступности.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firstLine="29"/>
        <w:jc w:val="both"/>
      </w:pPr>
      <w:r>
        <w:tab/>
        <w:t>Законопроект был передан на рассмотрение</w:t>
      </w:r>
      <w:r>
        <w:rPr>
          <w:lang w:val="en-US"/>
        </w:rPr>
        <w:t>e</w:t>
      </w:r>
      <w:r>
        <w:t xml:space="preserve"> в пять парламентских ком</w:t>
      </w:r>
      <w:r>
        <w:t>и</w:t>
      </w:r>
      <w:r>
        <w:t>т</w:t>
      </w:r>
      <w:r>
        <w:t>е</w:t>
      </w:r>
      <w:r>
        <w:t>тов, три из которых уже дали свое положительное заключение.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II</w:t>
      </w:r>
      <w:r>
        <w:t>.</w:t>
      </w:r>
      <w:r>
        <w:tab/>
      </w:r>
      <w:r>
        <w:tab/>
        <w:t>Проституция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pPr>
      <w:r>
        <w:tab/>
        <w:t>Как указывалось в первоначальном докладе, положения законодательства по данному вопросу до сих пор не пересмотрены.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9"/>
        <w:jc w:val="both"/>
        <w:rPr>
          <w:rFonts w:ascii="TimesNewRoman" w:hAnsi="TimesNewRoman"/>
          <w:snapToGrid w:val="0"/>
        </w:rPr>
      </w:pPr>
      <w:r>
        <w:tab/>
        <w:t>Тем не менее своим присоединением к Конвенции № 182 Международной организации труда о запрещении и немедленных мерах по искоренению на</w:t>
      </w:r>
      <w:r>
        <w:t>и</w:t>
      </w:r>
      <w:r>
        <w:t xml:space="preserve">худших форм детского труда (закон № 335 от 21 августа 2001 года), а также </w:t>
      </w:r>
      <w:r>
        <w:rPr>
          <w:rFonts w:ascii="TimesNewRoman" w:hAnsi="TimesNewRoman"/>
          <w:snapToGrid w:val="0"/>
        </w:rPr>
        <w:t>Факультативному протоколу к Конвенции о правах ребенка, касающемуся то</w:t>
      </w:r>
      <w:r>
        <w:rPr>
          <w:rFonts w:ascii="TimesNewRoman" w:hAnsi="TimesNewRoman"/>
          <w:snapToGrid w:val="0"/>
        </w:rPr>
        <w:t>р</w:t>
      </w:r>
      <w:r>
        <w:rPr>
          <w:rFonts w:ascii="TimesNewRoman" w:hAnsi="TimesNewRoman"/>
          <w:snapToGrid w:val="0"/>
        </w:rPr>
        <w:t>говли детьми, детской проституции и детской порнографии (закон № 414 от 5 июня 2002 года) Ливан продемонстрировал свою приверженность делу укр</w:t>
      </w:r>
      <w:r>
        <w:rPr>
          <w:rFonts w:ascii="TimesNewRoman" w:hAnsi="TimesNewRoman"/>
          <w:snapToGrid w:val="0"/>
        </w:rPr>
        <w:t>е</w:t>
      </w:r>
      <w:r>
        <w:rPr>
          <w:rFonts w:ascii="TimesNewRoman" w:hAnsi="TimesNewRoman"/>
          <w:snapToGrid w:val="0"/>
        </w:rPr>
        <w:t>пления и защиты прав детей в целом, и прав подростков, нарушивших закон или склонных к правонарушениям, в частности.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1983 году в Ливане было отменено положение уголовного кодекса, к</w:t>
      </w:r>
      <w:r>
        <w:t>а</w:t>
      </w:r>
      <w:r>
        <w:t>сающееся проституции среди несовершеннолетних (статьи 535 и 536), а все положения, относящиеся к несовершеннолетним правонарушителям, сведены в единый закон (законодательное постановление № 119 от 16 сентября 1983 г</w:t>
      </w:r>
      <w:r>
        <w:t>о</w:t>
      </w:r>
      <w:r>
        <w:t>да), который был позднее заменен законом № 422 от 6 июня 2002 года о защ</w:t>
      </w:r>
      <w:r>
        <w:t>и</w:t>
      </w:r>
      <w:r>
        <w:t>те несовершеннолетних правонарушителей, нарушивших закон или склонных к правонарушениям. В соответствии с этим законом недавно вышло постановл</w:t>
      </w:r>
      <w:r>
        <w:t>е</w:t>
      </w:r>
      <w:r>
        <w:t>ние (№ 11859 от 11 февраля 2004 года) о создании специального исправител</w:t>
      </w:r>
      <w:r>
        <w:t>ь</w:t>
      </w:r>
      <w:r>
        <w:t>ного учреждения для несовершеннолетних правонарушительниц (как осужде</w:t>
      </w:r>
      <w:r>
        <w:t>н</w:t>
      </w:r>
      <w:r>
        <w:t>ных, так и временно помещенных под стражу).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приведенной ниже таблице содержатся данные об уголовных правон</w:t>
      </w:r>
      <w:r>
        <w:t>а</w:t>
      </w:r>
      <w:r>
        <w:t>рушениях, совершенных несовершеннолетними подростками за последние пять лет. В ней, в частности, указаны случаи проституции, хотя в имеющихся статистических данных, которые приводятся ниже, правонарушения, связа</w:t>
      </w:r>
      <w:r>
        <w:t>н</w:t>
      </w:r>
      <w:r>
        <w:t>ные с проституцией, иногда классифицируются как изнасилование или пок</w:t>
      </w:r>
      <w:r>
        <w:t>у</w:t>
      </w:r>
      <w:r>
        <w:t>шение на изнасилование, а иногда как непристойные действия или противое</w:t>
      </w:r>
      <w:r>
        <w:t>с</w:t>
      </w:r>
      <w:r>
        <w:t>тественные половые сношения.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Таблица 1</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Правонарушения, совершенные несовершеннолетними: дела, возбужде</w:t>
      </w:r>
      <w:r>
        <w:rPr>
          <w:b/>
        </w:rPr>
        <w:t>н</w:t>
      </w:r>
      <w:r>
        <w:rPr>
          <w:b/>
        </w:rPr>
        <w:t>ные по факту проституции и связанной с нею преступной деятельности</w:t>
      </w:r>
    </w:p>
    <w:tbl>
      <w:tblPr>
        <w:tblW w:w="0" w:type="auto"/>
        <w:tblInd w:w="1127" w:type="dxa"/>
        <w:tblBorders>
          <w:top w:val="single" w:sz="4" w:space="0" w:color="auto"/>
          <w:bottom w:val="single" w:sz="4" w:space="0" w:color="auto"/>
        </w:tblBorders>
        <w:tblLayout w:type="fixed"/>
        <w:tblCellMar>
          <w:left w:w="21" w:type="dxa"/>
          <w:right w:w="21" w:type="dxa"/>
        </w:tblCellMar>
        <w:tblLook w:val="0000" w:firstRow="0" w:lastRow="0" w:firstColumn="0" w:lastColumn="0" w:noHBand="0" w:noVBand="0"/>
      </w:tblPr>
      <w:tblGrid>
        <w:gridCol w:w="441"/>
        <w:gridCol w:w="1026"/>
        <w:gridCol w:w="828"/>
        <w:gridCol w:w="585"/>
        <w:gridCol w:w="675"/>
        <w:gridCol w:w="666"/>
        <w:gridCol w:w="900"/>
        <w:gridCol w:w="774"/>
        <w:gridCol w:w="747"/>
        <w:gridCol w:w="1062"/>
      </w:tblGrid>
      <w:tr w:rsidR="00000000">
        <w:tblPrEx>
          <w:tblCellMar>
            <w:top w:w="0" w:type="dxa"/>
            <w:bottom w:w="0" w:type="dxa"/>
          </w:tblCellMar>
        </w:tblPrEx>
        <w:trPr>
          <w:trHeight w:val="20"/>
        </w:trPr>
        <w:tc>
          <w:tcPr>
            <w:tcW w:w="441"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Год</w:t>
            </w:r>
          </w:p>
        </w:tc>
        <w:tc>
          <w:tcPr>
            <w:tcW w:w="1026"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Общее число дел, включая дела, наход</w:t>
            </w:r>
            <w:r>
              <w:rPr>
                <w:i/>
                <w:sz w:val="15"/>
              </w:rPr>
              <w:t>я</w:t>
            </w:r>
            <w:r>
              <w:rPr>
                <w:i/>
                <w:sz w:val="15"/>
              </w:rPr>
              <w:t>-щиеся на ра</w:t>
            </w:r>
            <w:r>
              <w:rPr>
                <w:i/>
                <w:sz w:val="15"/>
              </w:rPr>
              <w:t>с</w:t>
            </w:r>
            <w:r>
              <w:rPr>
                <w:i/>
                <w:sz w:val="15"/>
              </w:rPr>
              <w:t xml:space="preserve">-смотрении на начало года </w:t>
            </w:r>
          </w:p>
        </w:tc>
        <w:tc>
          <w:tcPr>
            <w:tcW w:w="828"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Общее чи-</w:t>
            </w:r>
            <w:r>
              <w:rPr>
                <w:i/>
                <w:sz w:val="15"/>
              </w:rPr>
              <w:t>с</w:t>
            </w:r>
            <w:r>
              <w:rPr>
                <w:i/>
                <w:sz w:val="15"/>
              </w:rPr>
              <w:t>ло нес</w:t>
            </w:r>
            <w:r>
              <w:rPr>
                <w:i/>
                <w:sz w:val="15"/>
              </w:rPr>
              <w:t>о</w:t>
            </w:r>
            <w:r>
              <w:rPr>
                <w:i/>
                <w:sz w:val="15"/>
              </w:rPr>
              <w:t>-вершенн</w:t>
            </w:r>
            <w:r>
              <w:rPr>
                <w:i/>
                <w:sz w:val="15"/>
              </w:rPr>
              <w:t>о</w:t>
            </w:r>
            <w:r>
              <w:rPr>
                <w:i/>
                <w:sz w:val="15"/>
              </w:rPr>
              <w:t>-летних, проход</w:t>
            </w:r>
            <w:r>
              <w:rPr>
                <w:i/>
                <w:sz w:val="15"/>
              </w:rPr>
              <w:t>я</w:t>
            </w:r>
            <w:r>
              <w:rPr>
                <w:i/>
                <w:sz w:val="15"/>
              </w:rPr>
              <w:t>-щих по д</w:t>
            </w:r>
            <w:r>
              <w:rPr>
                <w:i/>
                <w:sz w:val="15"/>
              </w:rPr>
              <w:t>е</w:t>
            </w:r>
            <w:r>
              <w:rPr>
                <w:i/>
                <w:sz w:val="15"/>
              </w:rPr>
              <w:t>лам</w:t>
            </w:r>
          </w:p>
        </w:tc>
        <w:tc>
          <w:tcPr>
            <w:tcW w:w="585"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Юноши</w:t>
            </w:r>
          </w:p>
        </w:tc>
        <w:tc>
          <w:tcPr>
            <w:tcW w:w="675"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Девушки</w:t>
            </w:r>
          </w:p>
        </w:tc>
        <w:tc>
          <w:tcPr>
            <w:tcW w:w="666"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Девушки (в %)</w:t>
            </w:r>
          </w:p>
        </w:tc>
        <w:tc>
          <w:tcPr>
            <w:tcW w:w="9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Прост</w:t>
            </w:r>
            <w:r>
              <w:rPr>
                <w:i/>
                <w:sz w:val="15"/>
              </w:rPr>
              <w:t>и</w:t>
            </w:r>
            <w:r>
              <w:rPr>
                <w:i/>
                <w:sz w:val="15"/>
              </w:rPr>
              <w:t>ту-ция, изна-сил</w:t>
            </w:r>
            <w:r>
              <w:rPr>
                <w:i/>
                <w:sz w:val="15"/>
              </w:rPr>
              <w:t>о</w:t>
            </w:r>
            <w:r>
              <w:rPr>
                <w:i/>
                <w:sz w:val="15"/>
              </w:rPr>
              <w:t>вание и покуш</w:t>
            </w:r>
            <w:r>
              <w:rPr>
                <w:i/>
                <w:sz w:val="15"/>
              </w:rPr>
              <w:t>е</w:t>
            </w:r>
            <w:r>
              <w:rPr>
                <w:i/>
                <w:sz w:val="15"/>
              </w:rPr>
              <w:t>ние на изнаси-л</w:t>
            </w:r>
            <w:r>
              <w:rPr>
                <w:i/>
                <w:sz w:val="15"/>
              </w:rPr>
              <w:t>о</w:t>
            </w:r>
            <w:r>
              <w:rPr>
                <w:i/>
                <w:sz w:val="15"/>
              </w:rPr>
              <w:t>вание</w:t>
            </w:r>
          </w:p>
        </w:tc>
        <w:tc>
          <w:tcPr>
            <w:tcW w:w="774"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Непр</w:t>
            </w:r>
            <w:r>
              <w:rPr>
                <w:i/>
                <w:sz w:val="15"/>
              </w:rPr>
              <w:t>и</w:t>
            </w:r>
            <w:r>
              <w:rPr>
                <w:i/>
                <w:sz w:val="15"/>
              </w:rPr>
              <w:t>-стойные действия и пр</w:t>
            </w:r>
            <w:r>
              <w:rPr>
                <w:i/>
                <w:sz w:val="15"/>
              </w:rPr>
              <w:t>о</w:t>
            </w:r>
            <w:r>
              <w:rPr>
                <w:i/>
                <w:sz w:val="15"/>
              </w:rPr>
              <w:t>сти-т</w:t>
            </w:r>
            <w:r>
              <w:rPr>
                <w:i/>
                <w:sz w:val="15"/>
              </w:rPr>
              <w:t>у</w:t>
            </w:r>
            <w:r>
              <w:rPr>
                <w:i/>
                <w:sz w:val="15"/>
              </w:rPr>
              <w:t>ция</w:t>
            </w:r>
          </w:p>
        </w:tc>
        <w:tc>
          <w:tcPr>
            <w:tcW w:w="747"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Непр</w:t>
            </w:r>
            <w:r>
              <w:rPr>
                <w:i/>
                <w:sz w:val="15"/>
              </w:rPr>
              <w:t>и</w:t>
            </w:r>
            <w:r>
              <w:rPr>
                <w:i/>
                <w:sz w:val="15"/>
              </w:rPr>
              <w:t>-стойные дейс</w:t>
            </w:r>
            <w:r>
              <w:rPr>
                <w:i/>
                <w:sz w:val="15"/>
              </w:rPr>
              <w:t>т</w:t>
            </w:r>
            <w:r>
              <w:rPr>
                <w:i/>
                <w:sz w:val="15"/>
              </w:rPr>
              <w:t>вия и прот</w:t>
            </w:r>
            <w:r>
              <w:rPr>
                <w:i/>
                <w:sz w:val="15"/>
              </w:rPr>
              <w:t>и</w:t>
            </w:r>
            <w:r>
              <w:rPr>
                <w:i/>
                <w:sz w:val="15"/>
              </w:rPr>
              <w:t>-воест</w:t>
            </w:r>
            <w:r>
              <w:rPr>
                <w:i/>
                <w:sz w:val="15"/>
              </w:rPr>
              <w:t>е</w:t>
            </w:r>
            <w:r>
              <w:rPr>
                <w:i/>
                <w:sz w:val="15"/>
              </w:rPr>
              <w:t>-стве</w:t>
            </w:r>
            <w:r>
              <w:rPr>
                <w:i/>
                <w:sz w:val="15"/>
              </w:rPr>
              <w:t>н</w:t>
            </w:r>
            <w:r>
              <w:rPr>
                <w:i/>
                <w:sz w:val="15"/>
              </w:rPr>
              <w:t>-ные п</w:t>
            </w:r>
            <w:r>
              <w:rPr>
                <w:i/>
                <w:sz w:val="15"/>
              </w:rPr>
              <w:t>о</w:t>
            </w:r>
            <w:r>
              <w:rPr>
                <w:i/>
                <w:sz w:val="15"/>
              </w:rPr>
              <w:t>-ловые снош</w:t>
            </w:r>
            <w:r>
              <w:rPr>
                <w:i/>
                <w:sz w:val="15"/>
              </w:rPr>
              <w:t>е</w:t>
            </w:r>
            <w:r>
              <w:rPr>
                <w:i/>
                <w:sz w:val="15"/>
              </w:rPr>
              <w:t>ния</w:t>
            </w:r>
          </w:p>
        </w:tc>
        <w:tc>
          <w:tcPr>
            <w:tcW w:w="1062"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i/>
                <w:sz w:val="15"/>
              </w:rPr>
            </w:pPr>
            <w:r>
              <w:rPr>
                <w:i/>
                <w:sz w:val="15"/>
              </w:rPr>
              <w:t>Колич</w:t>
            </w:r>
            <w:r>
              <w:rPr>
                <w:i/>
                <w:sz w:val="15"/>
              </w:rPr>
              <w:t>е</w:t>
            </w:r>
            <w:r>
              <w:rPr>
                <w:i/>
                <w:sz w:val="15"/>
              </w:rPr>
              <w:t>ство дел, возбу</w:t>
            </w:r>
            <w:r>
              <w:rPr>
                <w:i/>
                <w:sz w:val="15"/>
              </w:rPr>
              <w:t>ж</w:t>
            </w:r>
            <w:r>
              <w:rPr>
                <w:i/>
                <w:sz w:val="15"/>
              </w:rPr>
              <w:t>-денных по факту про-ст</w:t>
            </w:r>
            <w:r>
              <w:rPr>
                <w:i/>
                <w:sz w:val="15"/>
              </w:rPr>
              <w:t>и</w:t>
            </w:r>
            <w:r>
              <w:rPr>
                <w:i/>
                <w:sz w:val="15"/>
              </w:rPr>
              <w:t>туции и связанной с нею престу-</w:t>
            </w:r>
            <w:r>
              <w:rPr>
                <w:i/>
                <w:sz w:val="15"/>
              </w:rPr>
              <w:t>п</w:t>
            </w:r>
            <w:r>
              <w:rPr>
                <w:i/>
                <w:sz w:val="15"/>
              </w:rPr>
              <w:t>ной де</w:t>
            </w:r>
            <w:r>
              <w:rPr>
                <w:i/>
                <w:sz w:val="15"/>
              </w:rPr>
              <w:t>я</w:t>
            </w:r>
            <w:r>
              <w:rPr>
                <w:i/>
                <w:sz w:val="15"/>
              </w:rPr>
              <w:t>тель-н</w:t>
            </w:r>
            <w:r>
              <w:rPr>
                <w:i/>
                <w:sz w:val="15"/>
              </w:rPr>
              <w:t>о</w:t>
            </w:r>
            <w:r>
              <w:rPr>
                <w:i/>
                <w:sz w:val="15"/>
              </w:rPr>
              <w:t>сти (в %)</w:t>
            </w:r>
          </w:p>
        </w:tc>
      </w:tr>
      <w:tr w:rsidR="00000000">
        <w:tblPrEx>
          <w:tblCellMar>
            <w:top w:w="0" w:type="dxa"/>
            <w:bottom w:w="0" w:type="dxa"/>
          </w:tblCellMar>
        </w:tblPrEx>
        <w:trPr>
          <w:trHeight w:val="20"/>
        </w:trPr>
        <w:tc>
          <w:tcPr>
            <w:tcW w:w="441"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5"/>
              </w:rPr>
            </w:pPr>
            <w:r>
              <w:rPr>
                <w:b/>
                <w:sz w:val="15"/>
              </w:rPr>
              <w:t>1999</w:t>
            </w:r>
          </w:p>
        </w:tc>
        <w:tc>
          <w:tcPr>
            <w:tcW w:w="102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3 283</w:t>
            </w:r>
          </w:p>
        </w:tc>
        <w:tc>
          <w:tcPr>
            <w:tcW w:w="828"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4 270</w:t>
            </w:r>
          </w:p>
        </w:tc>
        <w:tc>
          <w:tcPr>
            <w:tcW w:w="58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4 095</w:t>
            </w:r>
          </w:p>
        </w:tc>
        <w:tc>
          <w:tcPr>
            <w:tcW w:w="67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175</w:t>
            </w:r>
          </w:p>
        </w:tc>
        <w:tc>
          <w:tcPr>
            <w:tcW w:w="66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4,09</w:t>
            </w:r>
          </w:p>
        </w:tc>
        <w:tc>
          <w:tcPr>
            <w:tcW w:w="90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55</w:t>
            </w:r>
          </w:p>
        </w:tc>
        <w:tc>
          <w:tcPr>
            <w:tcW w:w="774"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747"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1062"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1,67</w:t>
            </w:r>
          </w:p>
        </w:tc>
      </w:tr>
      <w:tr w:rsidR="00000000">
        <w:tblPrEx>
          <w:tblCellMar>
            <w:top w:w="0" w:type="dxa"/>
            <w:bottom w:w="0" w:type="dxa"/>
          </w:tblCellMar>
        </w:tblPrEx>
        <w:trPr>
          <w:trHeight w:val="20"/>
        </w:trPr>
        <w:tc>
          <w:tcPr>
            <w:tcW w:w="441"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5"/>
              </w:rPr>
            </w:pPr>
            <w:r>
              <w:rPr>
                <w:b/>
                <w:sz w:val="15"/>
              </w:rPr>
              <w:t>2000</w:t>
            </w:r>
          </w:p>
        </w:tc>
        <w:tc>
          <w:tcPr>
            <w:tcW w:w="102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3 608</w:t>
            </w:r>
          </w:p>
        </w:tc>
        <w:tc>
          <w:tcPr>
            <w:tcW w:w="828"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4 729</w:t>
            </w:r>
          </w:p>
        </w:tc>
        <w:tc>
          <w:tcPr>
            <w:tcW w:w="58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4 474</w:t>
            </w:r>
          </w:p>
        </w:tc>
        <w:tc>
          <w:tcPr>
            <w:tcW w:w="67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255</w:t>
            </w:r>
          </w:p>
        </w:tc>
        <w:tc>
          <w:tcPr>
            <w:tcW w:w="66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5,39</w:t>
            </w:r>
          </w:p>
        </w:tc>
        <w:tc>
          <w:tcPr>
            <w:tcW w:w="90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47</w:t>
            </w:r>
          </w:p>
        </w:tc>
        <w:tc>
          <w:tcPr>
            <w:tcW w:w="774"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747"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1062"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1,30</w:t>
            </w:r>
          </w:p>
        </w:tc>
      </w:tr>
      <w:tr w:rsidR="00000000">
        <w:tblPrEx>
          <w:tblCellMar>
            <w:top w:w="0" w:type="dxa"/>
            <w:bottom w:w="0" w:type="dxa"/>
          </w:tblCellMar>
        </w:tblPrEx>
        <w:trPr>
          <w:trHeight w:val="20"/>
        </w:trPr>
        <w:tc>
          <w:tcPr>
            <w:tcW w:w="441"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5"/>
              </w:rPr>
            </w:pPr>
            <w:r>
              <w:rPr>
                <w:b/>
                <w:sz w:val="15"/>
              </w:rPr>
              <w:t>2001</w:t>
            </w:r>
          </w:p>
        </w:tc>
        <w:tc>
          <w:tcPr>
            <w:tcW w:w="102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3 602</w:t>
            </w:r>
          </w:p>
        </w:tc>
        <w:tc>
          <w:tcPr>
            <w:tcW w:w="828"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4 332</w:t>
            </w:r>
          </w:p>
        </w:tc>
        <w:tc>
          <w:tcPr>
            <w:tcW w:w="58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4 137</w:t>
            </w:r>
          </w:p>
        </w:tc>
        <w:tc>
          <w:tcPr>
            <w:tcW w:w="67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195</w:t>
            </w:r>
          </w:p>
        </w:tc>
        <w:tc>
          <w:tcPr>
            <w:tcW w:w="66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4,50</w:t>
            </w:r>
          </w:p>
        </w:tc>
        <w:tc>
          <w:tcPr>
            <w:tcW w:w="90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47</w:t>
            </w:r>
          </w:p>
        </w:tc>
        <w:tc>
          <w:tcPr>
            <w:tcW w:w="774"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747"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1062"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1,30</w:t>
            </w:r>
          </w:p>
        </w:tc>
      </w:tr>
      <w:tr w:rsidR="00000000">
        <w:tblPrEx>
          <w:tblCellMar>
            <w:top w:w="0" w:type="dxa"/>
            <w:bottom w:w="0" w:type="dxa"/>
          </w:tblCellMar>
        </w:tblPrEx>
        <w:trPr>
          <w:trHeight w:val="20"/>
        </w:trPr>
        <w:tc>
          <w:tcPr>
            <w:tcW w:w="441"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5"/>
              </w:rPr>
            </w:pPr>
            <w:r>
              <w:rPr>
                <w:b/>
                <w:sz w:val="15"/>
              </w:rPr>
              <w:t>2002</w:t>
            </w:r>
          </w:p>
        </w:tc>
        <w:tc>
          <w:tcPr>
            <w:tcW w:w="102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3 504</w:t>
            </w:r>
          </w:p>
        </w:tc>
        <w:tc>
          <w:tcPr>
            <w:tcW w:w="828"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4 225</w:t>
            </w:r>
          </w:p>
        </w:tc>
        <w:tc>
          <w:tcPr>
            <w:tcW w:w="58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4 025</w:t>
            </w:r>
          </w:p>
        </w:tc>
        <w:tc>
          <w:tcPr>
            <w:tcW w:w="675"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200</w:t>
            </w:r>
          </w:p>
        </w:tc>
        <w:tc>
          <w:tcPr>
            <w:tcW w:w="666"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4,73</w:t>
            </w:r>
          </w:p>
        </w:tc>
        <w:tc>
          <w:tcPr>
            <w:tcW w:w="90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774"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62</w:t>
            </w:r>
          </w:p>
        </w:tc>
        <w:tc>
          <w:tcPr>
            <w:tcW w:w="747"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1062"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1,76</w:t>
            </w:r>
          </w:p>
        </w:tc>
      </w:tr>
      <w:tr w:rsidR="00000000">
        <w:tblPrEx>
          <w:tblCellMar>
            <w:top w:w="0" w:type="dxa"/>
            <w:bottom w:w="0" w:type="dxa"/>
          </w:tblCellMar>
        </w:tblPrEx>
        <w:trPr>
          <w:trHeight w:val="20"/>
        </w:trPr>
        <w:tc>
          <w:tcPr>
            <w:tcW w:w="441"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5"/>
              </w:rPr>
            </w:pPr>
            <w:r>
              <w:rPr>
                <w:b/>
                <w:sz w:val="15"/>
              </w:rPr>
              <w:t>2003</w:t>
            </w:r>
          </w:p>
        </w:tc>
        <w:tc>
          <w:tcPr>
            <w:tcW w:w="1026"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3 460</w:t>
            </w:r>
          </w:p>
        </w:tc>
        <w:tc>
          <w:tcPr>
            <w:tcW w:w="828"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4 198</w:t>
            </w:r>
          </w:p>
        </w:tc>
        <w:tc>
          <w:tcPr>
            <w:tcW w:w="585"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3 981</w:t>
            </w:r>
          </w:p>
        </w:tc>
        <w:tc>
          <w:tcPr>
            <w:tcW w:w="675"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217</w:t>
            </w:r>
          </w:p>
        </w:tc>
        <w:tc>
          <w:tcPr>
            <w:tcW w:w="666"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5,16</w:t>
            </w:r>
          </w:p>
        </w:tc>
        <w:tc>
          <w:tcPr>
            <w:tcW w:w="900"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774"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p>
        </w:tc>
        <w:tc>
          <w:tcPr>
            <w:tcW w:w="747"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58</w:t>
            </w:r>
          </w:p>
        </w:tc>
        <w:tc>
          <w:tcPr>
            <w:tcW w:w="1062" w:type="dxa"/>
            <w:tcBorders>
              <w:top w:val="nil"/>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59"/>
              <w:jc w:val="right"/>
              <w:rPr>
                <w:b/>
                <w:sz w:val="15"/>
              </w:rPr>
            </w:pPr>
            <w:r>
              <w:rPr>
                <w:b/>
                <w:sz w:val="15"/>
              </w:rPr>
              <w:t>1,67</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rPr>
          <w:i/>
        </w:rPr>
      </w:pPr>
      <w:r>
        <w:rPr>
          <w:i/>
        </w:rPr>
        <w:t>Источник: Федерация защиты несовершеннолетних Ливана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r>
      <w:r>
        <w:t>Из вышеприведенных данных отчетливо видно, что количество дел по факту проституции и связанной с ней преступной деятельности стабильно удержив</w:t>
      </w:r>
      <w:r>
        <w:t>а</w:t>
      </w:r>
      <w:r>
        <w:t>ется на уровне около полутора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приведенной ниже таблице дается разбивка таких дел по провинциям (мухаф</w:t>
      </w:r>
      <w:r>
        <w:t>а</w:t>
      </w:r>
      <w:r>
        <w:t xml:space="preserve">зам). </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2</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Преступления, совершенные несовершеннолетними: количество дел по факту проституции и связанной с ней преступной деятельности в разби</w:t>
      </w:r>
      <w:r>
        <w:rPr>
          <w:b/>
        </w:rPr>
        <w:t>в</w:t>
      </w:r>
      <w:r>
        <w:rPr>
          <w:b/>
        </w:rPr>
        <w:t>ке по пр</w:t>
      </w:r>
      <w:r>
        <w:rPr>
          <w:b/>
        </w:rPr>
        <w:t>о</w:t>
      </w:r>
      <w:r>
        <w:rPr>
          <w:b/>
        </w:rPr>
        <w:t>винциям (мухафазам)</w:t>
      </w:r>
    </w:p>
    <w:tbl>
      <w:tblPr>
        <w:tblW w:w="0" w:type="auto"/>
        <w:jc w:val="center"/>
        <w:tblBorders>
          <w:top w:val="single" w:sz="4" w:space="0" w:color="auto"/>
          <w:bottom w:val="single" w:sz="4" w:space="0" w:color="auto"/>
          <w:insideH w:val="single" w:sz="12" w:space="0" w:color="auto"/>
        </w:tblBorders>
        <w:tblLayout w:type="fixed"/>
        <w:tblCellMar>
          <w:left w:w="36" w:type="dxa"/>
          <w:right w:w="36" w:type="dxa"/>
        </w:tblCellMar>
        <w:tblLook w:val="0000" w:firstRow="0" w:lastRow="0" w:firstColumn="0" w:lastColumn="0" w:noHBand="0" w:noVBand="0"/>
      </w:tblPr>
      <w:tblGrid>
        <w:gridCol w:w="526"/>
        <w:gridCol w:w="2700"/>
        <w:gridCol w:w="752"/>
        <w:gridCol w:w="737"/>
        <w:gridCol w:w="792"/>
        <w:gridCol w:w="564"/>
        <w:gridCol w:w="587"/>
        <w:gridCol w:w="824"/>
      </w:tblGrid>
      <w:tr w:rsidR="00000000">
        <w:tblPrEx>
          <w:tblCellMar>
            <w:top w:w="0" w:type="dxa"/>
            <w:bottom w:w="0" w:type="dxa"/>
          </w:tblCellMar>
        </w:tblPrEx>
        <w:trPr>
          <w:cantSplit/>
          <w:jc w:val="center"/>
        </w:trPr>
        <w:tc>
          <w:tcPr>
            <w:tcW w:w="526"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Год</w:t>
            </w:r>
          </w:p>
        </w:tc>
        <w:tc>
          <w:tcPr>
            <w:tcW w:w="2700"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Вид прав</w:t>
            </w:r>
            <w:r>
              <w:rPr>
                <w:i/>
                <w:sz w:val="18"/>
              </w:rPr>
              <w:t>о</w:t>
            </w:r>
            <w:r>
              <w:rPr>
                <w:i/>
                <w:sz w:val="18"/>
              </w:rPr>
              <w:t>нарушения</w:t>
            </w:r>
          </w:p>
        </w:tc>
        <w:tc>
          <w:tcPr>
            <w:tcW w:w="752"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Бейрут</w:t>
            </w:r>
          </w:p>
        </w:tc>
        <w:tc>
          <w:tcPr>
            <w:tcW w:w="737"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Горный Ливан</w:t>
            </w:r>
          </w:p>
        </w:tc>
        <w:tc>
          <w:tcPr>
            <w:tcW w:w="792"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Триполи</w:t>
            </w:r>
          </w:p>
        </w:tc>
        <w:tc>
          <w:tcPr>
            <w:tcW w:w="564"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Захия</w:t>
            </w:r>
          </w:p>
        </w:tc>
        <w:tc>
          <w:tcPr>
            <w:tcW w:w="587"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Сайда</w:t>
            </w:r>
          </w:p>
        </w:tc>
        <w:tc>
          <w:tcPr>
            <w:tcW w:w="824" w:type="dxa"/>
            <w:tcBorders>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i/>
                <w:sz w:val="18"/>
              </w:rPr>
            </w:pPr>
            <w:r>
              <w:rPr>
                <w:i/>
                <w:sz w:val="18"/>
              </w:rPr>
              <w:t>Набатия</w:t>
            </w:r>
          </w:p>
        </w:tc>
      </w:tr>
      <w:tr w:rsidR="00000000">
        <w:tblPrEx>
          <w:tblCellMar>
            <w:top w:w="0" w:type="dxa"/>
            <w:bottom w:w="0" w:type="dxa"/>
          </w:tblCellMar>
        </w:tblPrEx>
        <w:trPr>
          <w:cantSplit/>
          <w:jc w:val="center"/>
        </w:trPr>
        <w:tc>
          <w:tcPr>
            <w:tcW w:w="526"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sz w:val="18"/>
              </w:rPr>
            </w:pPr>
            <w:r>
              <w:rPr>
                <w:sz w:val="18"/>
              </w:rPr>
              <w:t>1999</w:t>
            </w:r>
          </w:p>
        </w:tc>
        <w:tc>
          <w:tcPr>
            <w:tcW w:w="2700"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8"/>
              </w:rPr>
            </w:pPr>
            <w:r>
              <w:rPr>
                <w:sz w:val="18"/>
              </w:rPr>
              <w:t>Простит</w:t>
            </w:r>
            <w:r>
              <w:rPr>
                <w:sz w:val="18"/>
              </w:rPr>
              <w:t>у</w:t>
            </w:r>
            <w:r>
              <w:rPr>
                <w:sz w:val="18"/>
              </w:rPr>
              <w:t>ция, изн</w:t>
            </w:r>
            <w:r>
              <w:rPr>
                <w:sz w:val="18"/>
              </w:rPr>
              <w:t>а</w:t>
            </w:r>
            <w:r>
              <w:rPr>
                <w:sz w:val="18"/>
              </w:rPr>
              <w:t>силование и покуш</w:t>
            </w:r>
            <w:r>
              <w:rPr>
                <w:sz w:val="18"/>
              </w:rPr>
              <w:t>е</w:t>
            </w:r>
            <w:r>
              <w:rPr>
                <w:sz w:val="18"/>
              </w:rPr>
              <w:t>ние на и</w:t>
            </w:r>
            <w:r>
              <w:rPr>
                <w:sz w:val="18"/>
              </w:rPr>
              <w:t>з</w:t>
            </w:r>
            <w:r>
              <w:rPr>
                <w:sz w:val="18"/>
              </w:rPr>
              <w:t>насилов</w:t>
            </w:r>
            <w:r>
              <w:rPr>
                <w:sz w:val="18"/>
              </w:rPr>
              <w:t>а</w:t>
            </w:r>
            <w:r>
              <w:rPr>
                <w:sz w:val="18"/>
              </w:rPr>
              <w:t>ние</w:t>
            </w:r>
          </w:p>
        </w:tc>
        <w:tc>
          <w:tcPr>
            <w:tcW w:w="752"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7</w:t>
            </w:r>
          </w:p>
        </w:tc>
        <w:tc>
          <w:tcPr>
            <w:tcW w:w="737"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38</w:t>
            </w:r>
          </w:p>
        </w:tc>
        <w:tc>
          <w:tcPr>
            <w:tcW w:w="792"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6</w:t>
            </w:r>
          </w:p>
        </w:tc>
        <w:tc>
          <w:tcPr>
            <w:tcW w:w="564"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w:t>
            </w:r>
          </w:p>
        </w:tc>
        <w:tc>
          <w:tcPr>
            <w:tcW w:w="587"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1</w:t>
            </w:r>
          </w:p>
        </w:tc>
        <w:tc>
          <w:tcPr>
            <w:tcW w:w="824"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w:t>
            </w:r>
          </w:p>
        </w:tc>
      </w:tr>
      <w:tr w:rsidR="00000000">
        <w:tblPrEx>
          <w:tblCellMar>
            <w:top w:w="0" w:type="dxa"/>
            <w:bottom w:w="0" w:type="dxa"/>
          </w:tblCellMar>
        </w:tblPrEx>
        <w:trPr>
          <w:cantSplit/>
          <w:jc w:val="center"/>
        </w:trPr>
        <w:tc>
          <w:tcPr>
            <w:tcW w:w="526"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sz w:val="18"/>
              </w:rPr>
            </w:pPr>
            <w:r>
              <w:rPr>
                <w:sz w:val="18"/>
              </w:rPr>
              <w:t>2000</w:t>
            </w:r>
          </w:p>
        </w:tc>
        <w:tc>
          <w:tcPr>
            <w:tcW w:w="2700"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8"/>
              </w:rPr>
            </w:pPr>
            <w:r>
              <w:rPr>
                <w:sz w:val="18"/>
              </w:rPr>
              <w:t>Простит</w:t>
            </w:r>
            <w:r>
              <w:rPr>
                <w:sz w:val="18"/>
              </w:rPr>
              <w:t>у</w:t>
            </w:r>
            <w:r>
              <w:rPr>
                <w:sz w:val="18"/>
              </w:rPr>
              <w:t>ция, изн</w:t>
            </w:r>
            <w:r>
              <w:rPr>
                <w:sz w:val="18"/>
              </w:rPr>
              <w:t>а</w:t>
            </w:r>
            <w:r>
              <w:rPr>
                <w:sz w:val="18"/>
              </w:rPr>
              <w:t>силование и покуш</w:t>
            </w:r>
            <w:r>
              <w:rPr>
                <w:sz w:val="18"/>
              </w:rPr>
              <w:t>е</w:t>
            </w:r>
            <w:r>
              <w:rPr>
                <w:sz w:val="18"/>
              </w:rPr>
              <w:t>ние на и</w:t>
            </w:r>
            <w:r>
              <w:rPr>
                <w:sz w:val="18"/>
              </w:rPr>
              <w:t>з</w:t>
            </w:r>
            <w:r>
              <w:rPr>
                <w:sz w:val="18"/>
              </w:rPr>
              <w:t>насилов</w:t>
            </w:r>
            <w:r>
              <w:rPr>
                <w:sz w:val="18"/>
              </w:rPr>
              <w:t>а</w:t>
            </w:r>
            <w:r>
              <w:rPr>
                <w:sz w:val="18"/>
              </w:rPr>
              <w:t>ние</w:t>
            </w:r>
          </w:p>
        </w:tc>
        <w:tc>
          <w:tcPr>
            <w:tcW w:w="75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8</w:t>
            </w:r>
          </w:p>
        </w:tc>
        <w:tc>
          <w:tcPr>
            <w:tcW w:w="737"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26</w:t>
            </w:r>
          </w:p>
        </w:tc>
        <w:tc>
          <w:tcPr>
            <w:tcW w:w="79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10</w:t>
            </w:r>
          </w:p>
        </w:tc>
        <w:tc>
          <w:tcPr>
            <w:tcW w:w="564"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w:t>
            </w:r>
          </w:p>
        </w:tc>
        <w:tc>
          <w:tcPr>
            <w:tcW w:w="587"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w:t>
            </w:r>
          </w:p>
        </w:tc>
        <w:tc>
          <w:tcPr>
            <w:tcW w:w="824"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w:t>
            </w:r>
          </w:p>
        </w:tc>
      </w:tr>
      <w:tr w:rsidR="00000000">
        <w:tblPrEx>
          <w:tblCellMar>
            <w:top w:w="0" w:type="dxa"/>
            <w:bottom w:w="0" w:type="dxa"/>
          </w:tblCellMar>
        </w:tblPrEx>
        <w:trPr>
          <w:cantSplit/>
          <w:jc w:val="center"/>
        </w:trPr>
        <w:tc>
          <w:tcPr>
            <w:tcW w:w="526"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sz w:val="18"/>
              </w:rPr>
            </w:pPr>
            <w:r>
              <w:rPr>
                <w:sz w:val="18"/>
              </w:rPr>
              <w:t>2001</w:t>
            </w:r>
          </w:p>
        </w:tc>
        <w:tc>
          <w:tcPr>
            <w:tcW w:w="2700"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8"/>
              </w:rPr>
            </w:pPr>
            <w:r>
              <w:rPr>
                <w:sz w:val="18"/>
              </w:rPr>
              <w:t>Простит</w:t>
            </w:r>
            <w:r>
              <w:rPr>
                <w:sz w:val="18"/>
              </w:rPr>
              <w:t>у</w:t>
            </w:r>
            <w:r>
              <w:rPr>
                <w:sz w:val="18"/>
              </w:rPr>
              <w:t>ция, изн</w:t>
            </w:r>
            <w:r>
              <w:rPr>
                <w:sz w:val="18"/>
              </w:rPr>
              <w:t>а</w:t>
            </w:r>
            <w:r>
              <w:rPr>
                <w:sz w:val="18"/>
              </w:rPr>
              <w:t>силование и покуш</w:t>
            </w:r>
            <w:r>
              <w:rPr>
                <w:sz w:val="18"/>
              </w:rPr>
              <w:t>е</w:t>
            </w:r>
            <w:r>
              <w:rPr>
                <w:sz w:val="18"/>
              </w:rPr>
              <w:t>ние на и</w:t>
            </w:r>
            <w:r>
              <w:rPr>
                <w:sz w:val="18"/>
              </w:rPr>
              <w:t>з</w:t>
            </w:r>
            <w:r>
              <w:rPr>
                <w:sz w:val="18"/>
              </w:rPr>
              <w:t>насилов</w:t>
            </w:r>
            <w:r>
              <w:rPr>
                <w:sz w:val="18"/>
              </w:rPr>
              <w:t>а</w:t>
            </w:r>
            <w:r>
              <w:rPr>
                <w:sz w:val="18"/>
              </w:rPr>
              <w:t>ние</w:t>
            </w:r>
          </w:p>
        </w:tc>
        <w:tc>
          <w:tcPr>
            <w:tcW w:w="75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5</w:t>
            </w:r>
          </w:p>
        </w:tc>
        <w:tc>
          <w:tcPr>
            <w:tcW w:w="737"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27</w:t>
            </w:r>
          </w:p>
        </w:tc>
        <w:tc>
          <w:tcPr>
            <w:tcW w:w="79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8</w:t>
            </w:r>
          </w:p>
        </w:tc>
        <w:tc>
          <w:tcPr>
            <w:tcW w:w="564"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5</w:t>
            </w:r>
          </w:p>
        </w:tc>
        <w:tc>
          <w:tcPr>
            <w:tcW w:w="587"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2</w:t>
            </w:r>
          </w:p>
        </w:tc>
        <w:tc>
          <w:tcPr>
            <w:tcW w:w="824"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w:t>
            </w:r>
          </w:p>
        </w:tc>
      </w:tr>
      <w:tr w:rsidR="00000000">
        <w:tblPrEx>
          <w:tblCellMar>
            <w:top w:w="0" w:type="dxa"/>
            <w:bottom w:w="0" w:type="dxa"/>
          </w:tblCellMar>
        </w:tblPrEx>
        <w:trPr>
          <w:cantSplit/>
          <w:jc w:val="center"/>
        </w:trPr>
        <w:tc>
          <w:tcPr>
            <w:tcW w:w="526"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sz w:val="18"/>
              </w:rPr>
            </w:pPr>
            <w:r>
              <w:rPr>
                <w:sz w:val="18"/>
              </w:rPr>
              <w:t>2002</w:t>
            </w:r>
          </w:p>
        </w:tc>
        <w:tc>
          <w:tcPr>
            <w:tcW w:w="2700"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8"/>
              </w:rPr>
            </w:pPr>
            <w:r>
              <w:rPr>
                <w:sz w:val="18"/>
              </w:rPr>
              <w:t>Простит</w:t>
            </w:r>
            <w:r>
              <w:rPr>
                <w:sz w:val="18"/>
              </w:rPr>
              <w:t>у</w:t>
            </w:r>
            <w:r>
              <w:rPr>
                <w:sz w:val="18"/>
              </w:rPr>
              <w:t>ция, изн</w:t>
            </w:r>
            <w:r>
              <w:rPr>
                <w:sz w:val="18"/>
              </w:rPr>
              <w:t>а</w:t>
            </w:r>
            <w:r>
              <w:rPr>
                <w:sz w:val="18"/>
              </w:rPr>
              <w:t>силование и покуш</w:t>
            </w:r>
            <w:r>
              <w:rPr>
                <w:sz w:val="18"/>
              </w:rPr>
              <w:t>е</w:t>
            </w:r>
            <w:r>
              <w:rPr>
                <w:sz w:val="18"/>
              </w:rPr>
              <w:t>ние на и</w:t>
            </w:r>
            <w:r>
              <w:rPr>
                <w:sz w:val="18"/>
              </w:rPr>
              <w:t>з</w:t>
            </w:r>
            <w:r>
              <w:rPr>
                <w:sz w:val="18"/>
              </w:rPr>
              <w:t>насилов</w:t>
            </w:r>
            <w:r>
              <w:rPr>
                <w:sz w:val="18"/>
              </w:rPr>
              <w:t>а</w:t>
            </w:r>
            <w:r>
              <w:rPr>
                <w:sz w:val="18"/>
              </w:rPr>
              <w:t>ние</w:t>
            </w:r>
          </w:p>
        </w:tc>
        <w:tc>
          <w:tcPr>
            <w:tcW w:w="75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w:t>
            </w:r>
          </w:p>
        </w:tc>
        <w:tc>
          <w:tcPr>
            <w:tcW w:w="737"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35</w:t>
            </w:r>
          </w:p>
        </w:tc>
        <w:tc>
          <w:tcPr>
            <w:tcW w:w="79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19</w:t>
            </w:r>
          </w:p>
        </w:tc>
        <w:tc>
          <w:tcPr>
            <w:tcW w:w="564"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1</w:t>
            </w:r>
          </w:p>
        </w:tc>
        <w:tc>
          <w:tcPr>
            <w:tcW w:w="587"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w:t>
            </w:r>
          </w:p>
        </w:tc>
        <w:tc>
          <w:tcPr>
            <w:tcW w:w="824"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1</w:t>
            </w:r>
          </w:p>
        </w:tc>
      </w:tr>
      <w:tr w:rsidR="00000000">
        <w:tblPrEx>
          <w:tblCellMar>
            <w:top w:w="0" w:type="dxa"/>
            <w:bottom w:w="0" w:type="dxa"/>
          </w:tblCellMar>
        </w:tblPrEx>
        <w:trPr>
          <w:cantSplit/>
          <w:jc w:val="center"/>
        </w:trPr>
        <w:tc>
          <w:tcPr>
            <w:tcW w:w="526"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rPr>
                <w:sz w:val="18"/>
              </w:rPr>
            </w:pPr>
            <w:r>
              <w:rPr>
                <w:sz w:val="18"/>
              </w:rPr>
              <w:t>2003</w:t>
            </w:r>
          </w:p>
        </w:tc>
        <w:tc>
          <w:tcPr>
            <w:tcW w:w="2700"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8"/>
              </w:rPr>
            </w:pPr>
            <w:r>
              <w:rPr>
                <w:sz w:val="18"/>
              </w:rPr>
              <w:t>Простит</w:t>
            </w:r>
            <w:r>
              <w:rPr>
                <w:sz w:val="18"/>
              </w:rPr>
              <w:t>у</w:t>
            </w:r>
            <w:r>
              <w:rPr>
                <w:sz w:val="18"/>
              </w:rPr>
              <w:t>ция, изн</w:t>
            </w:r>
            <w:r>
              <w:rPr>
                <w:sz w:val="18"/>
              </w:rPr>
              <w:t>а</w:t>
            </w:r>
            <w:r>
              <w:rPr>
                <w:sz w:val="18"/>
              </w:rPr>
              <w:t>силование и покуш</w:t>
            </w:r>
            <w:r>
              <w:rPr>
                <w:sz w:val="18"/>
              </w:rPr>
              <w:t>е</w:t>
            </w:r>
            <w:r>
              <w:rPr>
                <w:sz w:val="18"/>
              </w:rPr>
              <w:t>ние на и</w:t>
            </w:r>
            <w:r>
              <w:rPr>
                <w:sz w:val="18"/>
              </w:rPr>
              <w:t>з</w:t>
            </w:r>
            <w:r>
              <w:rPr>
                <w:sz w:val="18"/>
              </w:rPr>
              <w:t>насилов</w:t>
            </w:r>
            <w:r>
              <w:rPr>
                <w:sz w:val="18"/>
              </w:rPr>
              <w:t>а</w:t>
            </w:r>
            <w:r>
              <w:rPr>
                <w:sz w:val="18"/>
              </w:rPr>
              <w:t>ние</w:t>
            </w:r>
          </w:p>
        </w:tc>
        <w:tc>
          <w:tcPr>
            <w:tcW w:w="752"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4</w:t>
            </w:r>
          </w:p>
        </w:tc>
        <w:tc>
          <w:tcPr>
            <w:tcW w:w="737"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32</w:t>
            </w:r>
          </w:p>
        </w:tc>
        <w:tc>
          <w:tcPr>
            <w:tcW w:w="792"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14</w:t>
            </w:r>
          </w:p>
        </w:tc>
        <w:tc>
          <w:tcPr>
            <w:tcW w:w="564"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2</w:t>
            </w:r>
          </w:p>
        </w:tc>
        <w:tc>
          <w:tcPr>
            <w:tcW w:w="587"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w:t>
            </w:r>
          </w:p>
        </w:tc>
        <w:tc>
          <w:tcPr>
            <w:tcW w:w="824"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right="86"/>
              <w:jc w:val="right"/>
              <w:rPr>
                <w:sz w:val="18"/>
              </w:rPr>
            </w:pPr>
            <w:r>
              <w:rPr>
                <w:sz w:val="18"/>
              </w:rPr>
              <w:t>3</w:t>
            </w:r>
          </w:p>
        </w:tc>
      </w:tr>
    </w:tbl>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before="120"/>
        <w:ind w:left="1267" w:right="1267"/>
        <w:jc w:val="both"/>
        <w:rPr>
          <w:i/>
        </w:rPr>
      </w:pPr>
      <w:r>
        <w:rPr>
          <w:i/>
        </w:rPr>
        <w:t>Источник: Федерация защиты несовершеннолетних Ливана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4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Женщины и участие в политической жизни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7"/>
        <w:rPr>
          <w:sz w:val="10"/>
        </w:rPr>
      </w:pPr>
      <w:r>
        <w:tab/>
      </w:r>
      <w:r>
        <w:tab/>
        <w:t xml:space="preserve">(Статьи 7 и 8 Конвенции)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w:t>
      </w:r>
      <w:r>
        <w:t>.</w:t>
      </w:r>
      <w:r>
        <w:tab/>
      </w:r>
      <w:r>
        <w:tab/>
        <w:t xml:space="preserve">Права женщин согласно законодательству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преамбуле и статьях 7 и 12 Конституции Ливана предусмотрено полное равенство всех граждан Ливана в правах и обязанностях, включая полные п</w:t>
      </w:r>
      <w:r>
        <w:t>о</w:t>
      </w:r>
      <w:r>
        <w:t>литические права и право на занятие гражданской службой. Основа политич</w:t>
      </w:r>
      <w:r>
        <w:t>е</w:t>
      </w:r>
      <w:r>
        <w:t>ских прав женщин была заложена в 1953 году благодаря принятию законод</w:t>
      </w:r>
      <w:r>
        <w:t>а</w:t>
      </w:r>
      <w:r>
        <w:t>тельного постановления № 37, вступившего в действие 18 февраля 1953 года, а также присоединению Ливана в 1955 году к Конвенции 1952 года о политич</w:t>
      </w:r>
      <w:r>
        <w:t>е</w:t>
      </w:r>
      <w:r>
        <w:t>ских правах женщин.</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Согласно положениям конституции и гражданско-процессуального кодекса (статья 2), в случае возникновения коллизий международные конвенции имеют преимущественную силу перед внутренним законодательством. В принципе, по закону ливанские женщины пользуются политическими и гражданскими правами в том же полном объеме, что и мужчины (за исключением прав, упомянутых Ливаном в оговорках к Конвенции о ликвидации всех форм дискриминации в отношении женщин). Приоритет международного права и конвенций используется законодателями в качестве оправдание для невнесения в конституцию подробного положения, определяющего и запрещающего дискриминацию по таким признакам, как половая принадлежность.</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r>
      <w:r>
        <w:rPr>
          <w:lang w:val="en-US"/>
        </w:rPr>
        <w:t>II</w:t>
      </w:r>
      <w:r>
        <w:t>.</w:t>
      </w:r>
      <w:r>
        <w:tab/>
        <w:t xml:space="preserve">Участие ливанских женщин в различных сферах политической деятельности на современном этапе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Ливанские женщины получили возможность осуществлять свои политические права в 1953 году. Количественные показатели и типы такого участия различались как по характеру, так и по уровню. Тогда, как и в настоящее время, на них влиял целый комплекс общественных, религиозных, культурных, политических и экономических факторов, приводивших к возникновению разрыва между положениями законодательства и реальной практикой. Несмотря на позитивные изменения, особенно в отдельных областях, которые произошли за первые годы текущего века, из приводимых ниже данных видно, что ситуация до сих пор не соответствует ожиданиям.</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r>
      <w:r>
        <w:rPr>
          <w:i/>
        </w:rPr>
        <w:t>1.</w:t>
      </w:r>
      <w:r>
        <w:rPr>
          <w:i/>
        </w:rPr>
        <w:tab/>
        <w:t>Осуществление права голоса (на выборах в парламент и органы местного самоуправления)</w:t>
      </w:r>
      <w:r>
        <w:t>: Согласно статистическим данным по стране, в количестве мужчин и женщин, осуществляющих свое право голоса, нет заметных различий. Уровень участия в выборах представителей обоих полов практически одинаков с перевесом в пользу мужчин, в среднем, в два - четыре процента, который наблюдался во всех избирательных циклах.</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При сравнении данных некоторых исследований, посвященных довоенному периоду (официальная статистика за этот период отсутствует) с официальными статистическими данными об избирательных циклах, состоявшихся после войны (1992, 1996, 1998, 2000 и 2004 годы), становится видно, что эта схема сохраняется. Обращает на себя внимание отсутствие каких-либо существенных различий в показателях участия в выборах городских и сельских женщин. Таким образом, несмотря на более высокий процент неграмотности среди сельских жителей по сравнению с городским населением (которую иногда приводят в качестве причины более низкого участия в выборах), уровень участия в выборах сельских женщин равен, а местами даже превышает показатели участия городских женщин.</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Таблица 1</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rPr>
          <w:b/>
        </w:rPr>
      </w:pPr>
      <w:r>
        <w:rPr>
          <w:b/>
        </w:rPr>
        <w:t>Участие женщин в парламентских выборах в разбивке по избирательным округам (в 2002 году)</w:t>
      </w:r>
    </w:p>
    <w:tbl>
      <w:tblPr>
        <w:tblW w:w="0" w:type="auto"/>
        <w:tblInd w:w="1172" w:type="dxa"/>
        <w:tblLayout w:type="fixed"/>
        <w:tblCellMar>
          <w:left w:w="21" w:type="dxa"/>
          <w:right w:w="21" w:type="dxa"/>
        </w:tblCellMar>
        <w:tblLook w:val="0000" w:firstRow="0" w:lastRow="0" w:firstColumn="0" w:lastColumn="0" w:noHBand="0" w:noVBand="0"/>
      </w:tblPr>
      <w:tblGrid>
        <w:gridCol w:w="1440"/>
        <w:gridCol w:w="990"/>
        <w:gridCol w:w="927"/>
        <w:gridCol w:w="828"/>
        <w:gridCol w:w="945"/>
        <w:gridCol w:w="972"/>
        <w:gridCol w:w="828"/>
        <w:gridCol w:w="630"/>
      </w:tblGrid>
      <w:tr w:rsidR="00000000">
        <w:tblPrEx>
          <w:tblCellMar>
            <w:top w:w="0" w:type="dxa"/>
            <w:bottom w:w="0" w:type="dxa"/>
          </w:tblCellMar>
        </w:tblPrEx>
        <w:trPr>
          <w:cantSplit/>
          <w:tblHeader/>
        </w:trPr>
        <w:tc>
          <w:tcPr>
            <w:tcW w:w="1440"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5"/>
              </w:rPr>
            </w:pPr>
          </w:p>
        </w:tc>
        <w:tc>
          <w:tcPr>
            <w:tcW w:w="990"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Избиратели-женщины</w:t>
            </w:r>
          </w:p>
        </w:tc>
        <w:tc>
          <w:tcPr>
            <w:tcW w:w="927"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Женщины, принявшие участие в голосовании</w:t>
            </w:r>
          </w:p>
        </w:tc>
        <w:tc>
          <w:tcPr>
            <w:tcW w:w="828"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Процент-ное соот-ношение</w:t>
            </w:r>
          </w:p>
        </w:tc>
        <w:tc>
          <w:tcPr>
            <w:tcW w:w="945"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Избиратели-мужчины</w:t>
            </w:r>
          </w:p>
        </w:tc>
        <w:tc>
          <w:tcPr>
            <w:tcW w:w="972"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Мужчины, принявшие участие в голосовании</w:t>
            </w:r>
          </w:p>
        </w:tc>
        <w:tc>
          <w:tcPr>
            <w:tcW w:w="828"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Процент-ное соот-ношение</w:t>
            </w:r>
          </w:p>
        </w:tc>
        <w:tc>
          <w:tcPr>
            <w:tcW w:w="630"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5"/>
              </w:rPr>
            </w:pPr>
            <w:r>
              <w:rPr>
                <w:i/>
                <w:sz w:val="15"/>
              </w:rPr>
              <w:t>Разница</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 xml:space="preserve">Весь Ливан </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1 444 020</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604 751</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41,8</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1 358 071</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602 312</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44, 3</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2,5</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lang w:val="en-US"/>
              </w:rPr>
            </w:pPr>
            <w:r>
              <w:rPr>
                <w:sz w:val="15"/>
              </w:rPr>
              <w:t>Бекаа</w:t>
            </w:r>
            <w:r>
              <w:rPr>
                <w:sz w:val="15"/>
                <w:lang w:val="en-US"/>
              </w:rPr>
              <w:t xml:space="preserve"> 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113 283</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49 117</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43,3</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102 931</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47 453</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46,1</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lang w:val="en-US"/>
              </w:rPr>
            </w:pPr>
            <w:r>
              <w:rPr>
                <w:i/>
                <w:sz w:val="15"/>
                <w:lang w:val="en-US"/>
              </w:rPr>
              <w:t>2,8</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lang w:val="en-US"/>
              </w:rPr>
            </w:pPr>
            <w:r>
              <w:rPr>
                <w:sz w:val="15"/>
              </w:rPr>
              <w:t>Бекаа</w:t>
            </w:r>
            <w:r>
              <w:rPr>
                <w:sz w:val="15"/>
                <w:lang w:val="en-US"/>
              </w:rPr>
              <w:t xml:space="preserve"> 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68 059</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27 594</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40,5</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64 250</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28 402</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44,2</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3,7</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Бекаа III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51 746</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20 781</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40,7</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51 641</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19 443</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37,6</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-2,5</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Южный Ливан и Набатия</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316 309</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146 621</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45,0</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294 823</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133 704</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45,3</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0,3</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Северный Ливан 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134 050</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52 537</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39,1</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129 200</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53 344</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41,2</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2,1</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Северный Ливан 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185 714</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71 527</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38,5</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180 481</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75 942</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42,0</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3,5</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Бейрут 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68 441</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25 392</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37,1</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61 816</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25 829</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41,7</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4,6</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5"/>
              </w:rPr>
            </w:pPr>
            <w:r>
              <w:rPr>
                <w:sz w:val="15"/>
              </w:rPr>
              <w:t>Бейрут 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70 086</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22 742</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32,4</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61 838</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22 854</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36,.9</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4,5</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5"/>
              </w:rPr>
            </w:pPr>
            <w:r>
              <w:rPr>
                <w:sz w:val="15"/>
              </w:rPr>
              <w:t>Бейрут III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75 926</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23 648</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31,1</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67 45</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21 264</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31,4</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0,3</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5"/>
              </w:rPr>
            </w:pPr>
            <w:r>
              <w:rPr>
                <w:sz w:val="15"/>
              </w:rPr>
              <w:t>Горный Ливан 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76 603</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42 370</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55,3</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72 694</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43 224</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59,4</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4,1</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5"/>
              </w:rPr>
            </w:pPr>
            <w:r>
              <w:rPr>
                <w:sz w:val="15"/>
              </w:rPr>
              <w:t>Горный Ливан 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79 091</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35 340</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44,6</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75 616</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36 971</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48,8</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4,2</w:t>
            </w:r>
          </w:p>
        </w:tc>
      </w:tr>
      <w:tr w:rsidR="00000000">
        <w:tblPrEx>
          <w:tblCellMar>
            <w:top w:w="0" w:type="dxa"/>
            <w:bottom w:w="0" w:type="dxa"/>
          </w:tblCellMar>
        </w:tblPrEx>
        <w:trPr>
          <w:cantSplit/>
        </w:trPr>
        <w:tc>
          <w:tcPr>
            <w:tcW w:w="144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5"/>
              </w:rPr>
            </w:pPr>
            <w:r>
              <w:rPr>
                <w:sz w:val="15"/>
              </w:rPr>
              <w:t>Горный Ливан III</w:t>
            </w:r>
          </w:p>
        </w:tc>
        <w:tc>
          <w:tcPr>
            <w:tcW w:w="99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123 103</w:t>
            </w:r>
          </w:p>
        </w:tc>
        <w:tc>
          <w:tcPr>
            <w:tcW w:w="927"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50 499</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41,0</w:t>
            </w:r>
          </w:p>
        </w:tc>
        <w:tc>
          <w:tcPr>
            <w:tcW w:w="945"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118 663</w:t>
            </w:r>
          </w:p>
        </w:tc>
        <w:tc>
          <w:tcPr>
            <w:tcW w:w="97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55 157</w:t>
            </w:r>
          </w:p>
        </w:tc>
        <w:tc>
          <w:tcPr>
            <w:tcW w:w="828"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46,4</w:t>
            </w:r>
          </w:p>
        </w:tc>
        <w:tc>
          <w:tcPr>
            <w:tcW w:w="63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5,4</w:t>
            </w:r>
          </w:p>
        </w:tc>
      </w:tr>
      <w:tr w:rsidR="00000000">
        <w:tblPrEx>
          <w:tblCellMar>
            <w:top w:w="0" w:type="dxa"/>
            <w:bottom w:w="0" w:type="dxa"/>
          </w:tblCellMar>
        </w:tblPrEx>
        <w:trPr>
          <w:cantSplit/>
        </w:trPr>
        <w:tc>
          <w:tcPr>
            <w:tcW w:w="1440"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5"/>
              </w:rPr>
            </w:pPr>
            <w:r>
              <w:rPr>
                <w:sz w:val="15"/>
              </w:rPr>
              <w:t>Горный Ливан IV</w:t>
            </w:r>
          </w:p>
        </w:tc>
        <w:tc>
          <w:tcPr>
            <w:tcW w:w="990"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81 609</w:t>
            </w:r>
          </w:p>
        </w:tc>
        <w:tc>
          <w:tcPr>
            <w:tcW w:w="927"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40 582</w:t>
            </w:r>
          </w:p>
        </w:tc>
        <w:tc>
          <w:tcPr>
            <w:tcW w:w="828"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49,7</w:t>
            </w:r>
          </w:p>
        </w:tc>
        <w:tc>
          <w:tcPr>
            <w:tcW w:w="945"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76 573</w:t>
            </w:r>
          </w:p>
        </w:tc>
        <w:tc>
          <w:tcPr>
            <w:tcW w:w="972"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39 725</w:t>
            </w:r>
          </w:p>
        </w:tc>
        <w:tc>
          <w:tcPr>
            <w:tcW w:w="828"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51,8</w:t>
            </w:r>
          </w:p>
        </w:tc>
        <w:tc>
          <w:tcPr>
            <w:tcW w:w="630" w:type="dxa"/>
            <w:tcBorders>
              <w:bottom w:val="single" w:sz="12" w:space="0" w:color="auto"/>
            </w:tcBorders>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i/>
                <w:sz w:val="15"/>
              </w:rPr>
            </w:pPr>
            <w:r>
              <w:rPr>
                <w:i/>
                <w:sz w:val="15"/>
              </w:rPr>
              <w:t>2,1</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 xml:space="preserve">Источник: </w:t>
      </w:r>
      <w:r>
        <w:t>Камал Фагали, Выборы 2002 года в Ливане: показатели и результаты (источник: списки министерства внутренних дел).</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Подобное положение дел можно объяснить влиянием таких факторов, как кумовство, лояльность семье, предоставление ответных услуг, деятельность предвыборных агитаторов, а также значением, которые имеют голоса женской половины избирателей для победы в предвыборной борьбе. Все эти соображения заставляют мужчин поощрять осуществление женщинами своего права голоса. Если принимать во внимание только осуществление данного права, не учитывая особенностей избирательного поведения и степени свободы женщин в его осуществлении, данные факторы можно расценивать как положительный признак.</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При сравнении данных об участии избирателей в парламентских  выборах и выборах в местные органы власти прослеживается одна и та же схема.</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rPr>
          <w:i/>
        </w:rPr>
      </w:pPr>
      <w:r>
        <w:tab/>
      </w:r>
      <w:r>
        <w:rPr>
          <w:i/>
        </w:rPr>
        <w:t>2.</w:t>
      </w:r>
      <w:r>
        <w:rPr>
          <w:i/>
        </w:rPr>
        <w:tab/>
        <w:t>Участие в общенациональных и местных выборах в качестве кандидата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ab/>
      </w:r>
      <w:r>
        <w:t>А.</w:t>
      </w:r>
      <w:r>
        <w:tab/>
        <w:t>Парламентские выборы: До 1992 года ни одна женщина не была избрана в ливанский парламент в путем прямых выборов (в 1963 году одна женщина была по рекомендации назначена на депутатское место своего умершего отца, которое она занимала в течение шести месяцев; в 1991 году депутатом была назначена еще одна женщина, которая заняла место мужа, погибшего в 1990 году в результате политического убийства). Начиная с 1992 года депутатами Национального собрания были избраны 128 женщин, или всего 2,3 процента от общего числа депутатов.</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Несмотря на то, что приведенные в таблице 2 цифры все еще ниже желаемых показателей, они свидетельствуют о стабильном увеличении числа кандидатов женщин в каждом последующем избирательном цикле. Следует особо отметить сокращение процента женщин, терпящих поражение на выборах, от общего количества кандидатов женщин, а также заметное увеличение числа женщин, одержавших победу в трех последних избирательных циклах. Однако эти цифры не дают представления об энергии, компетентности и целеустремленности ливанских женщин (по причинам, о которых будет говориться ниже). Целый ряд признаков, в том числе сокращение числа женщин, терпящих поражение на выборах, говорит о том, что женщины-кандидаты становятся более серьезными, решительными и опытными в достижении своей цели (хотя примерно половина от всех кандидатов-женщин участвовала более чем в одном избирательном цикле и переизбиралась).</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Классификация кандидатов-женщин по ряду основных характеристик позволяет сделать следующие выводы:</w:t>
      </w:r>
    </w:p>
    <w:p w:rsidR="00000000" w:rsidRDefault="00000000">
      <w:pPr>
        <w:tabs>
          <w:tab w:val="left" w:pos="680"/>
          <w:tab w:val="left" w:pos="1134"/>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221" w:right="1267" w:hanging="479"/>
        <w:jc w:val="both"/>
      </w:pPr>
      <w:r>
        <w:t>-</w:t>
      </w:r>
      <w:r>
        <w:tab/>
        <w:t>Среди них есть представители ото всех регионов и религиозных групп (за исключением отдельных меньшинств);</w:t>
      </w:r>
    </w:p>
    <w:p w:rsidR="00000000" w:rsidRDefault="00000000">
      <w:pPr>
        <w:tabs>
          <w:tab w:val="left" w:pos="680"/>
          <w:tab w:val="left" w:pos="1134"/>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221" w:right="1267" w:hanging="479"/>
        <w:jc w:val="both"/>
      </w:pPr>
      <w:r>
        <w:t>-</w:t>
      </w:r>
      <w:r>
        <w:tab/>
        <w:t>Значительная часть из них не происходит из потомственных семей политиков и не принадлежит к какому-либо конкретному социальному классу;</w:t>
      </w:r>
    </w:p>
    <w:p w:rsidR="00000000" w:rsidRDefault="00000000">
      <w:pPr>
        <w:tabs>
          <w:tab w:val="left" w:pos="680"/>
          <w:tab w:val="left" w:pos="1134"/>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221" w:right="1267" w:hanging="479"/>
        <w:jc w:val="both"/>
      </w:pPr>
      <w:r>
        <w:t>-</w:t>
      </w:r>
      <w:r>
        <w:tab/>
        <w:t>Подавляющее большинство имеет высшее университетское образование или обширный опыт работы в неправительственном секторе и участия в общественной жизни.</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Личность кандидатов-женщин, победивших на выборах, говорит о том, что положительный или отрицательный исход предвыборной борьбы предопределяют традиционные факторы (финансирование, ответные услуги, знакомства, политическое наследие и поддержка со стороны властей).</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rPr>
          <w:b/>
        </w:rPr>
      </w:pPr>
      <w:r>
        <w:rPr>
          <w:b/>
        </w:rPr>
        <w:t>Таблица 2</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b/>
        </w:rPr>
        <w:t>Количество кандидатов-женщин с разбивкой по избирательным циклам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1" w:type="dxa"/>
          <w:right w:w="21" w:type="dxa"/>
        </w:tblCellMar>
        <w:tblLook w:val="0000" w:firstRow="0" w:lastRow="0" w:firstColumn="0" w:lastColumn="0" w:noHBand="0" w:noVBand="0"/>
      </w:tblPr>
      <w:tblGrid>
        <w:gridCol w:w="2365"/>
        <w:gridCol w:w="1053"/>
        <w:gridCol w:w="2052"/>
        <w:gridCol w:w="1910"/>
      </w:tblGrid>
      <w:tr w:rsidR="00000000">
        <w:tblPrEx>
          <w:tblCellMar>
            <w:top w:w="0" w:type="dxa"/>
            <w:bottom w:w="0" w:type="dxa"/>
          </w:tblCellMar>
        </w:tblPrEx>
        <w:trPr>
          <w:jc w:val="center"/>
        </w:trPr>
        <w:tc>
          <w:tcPr>
            <w:tcW w:w="2365"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before="240" w:after="120" w:line="180" w:lineRule="exact"/>
              <w:jc w:val="both"/>
              <w:rPr>
                <w:i/>
                <w:sz w:val="16"/>
              </w:rPr>
            </w:pPr>
            <w:r>
              <w:rPr>
                <w:i/>
                <w:sz w:val="16"/>
              </w:rPr>
              <w:t>Избирательный цикл</w:t>
            </w:r>
          </w:p>
        </w:tc>
        <w:tc>
          <w:tcPr>
            <w:tcW w:w="1053"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before="240" w:after="120" w:line="180" w:lineRule="exact"/>
              <w:jc w:val="center"/>
              <w:rPr>
                <w:i/>
                <w:sz w:val="16"/>
              </w:rPr>
            </w:pPr>
            <w:r>
              <w:rPr>
                <w:i/>
                <w:sz w:val="16"/>
              </w:rPr>
              <w:t>Количество кандидатов</w:t>
            </w:r>
          </w:p>
        </w:tc>
        <w:tc>
          <w:tcPr>
            <w:tcW w:w="2052"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before="240" w:after="120" w:line="180" w:lineRule="exact"/>
              <w:jc w:val="center"/>
              <w:rPr>
                <w:i/>
                <w:sz w:val="16"/>
              </w:rPr>
            </w:pPr>
            <w:r>
              <w:rPr>
                <w:i/>
                <w:sz w:val="16"/>
              </w:rPr>
              <w:t>Количество кандидатов. потерпевших поражение</w:t>
            </w:r>
          </w:p>
        </w:tc>
        <w:tc>
          <w:tcPr>
            <w:tcW w:w="191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before="240" w:after="120" w:line="180" w:lineRule="exact"/>
              <w:jc w:val="center"/>
              <w:rPr>
                <w:i/>
                <w:sz w:val="16"/>
              </w:rPr>
            </w:pPr>
            <w:r>
              <w:rPr>
                <w:i/>
                <w:sz w:val="16"/>
              </w:rPr>
              <w:t>Количество кандидатов, одержавших победу</w:t>
            </w:r>
          </w:p>
        </w:tc>
      </w:tr>
      <w:tr w:rsidR="00000000">
        <w:tblPrEx>
          <w:tblCellMar>
            <w:top w:w="0" w:type="dxa"/>
            <w:bottom w:w="0" w:type="dxa"/>
          </w:tblCellMar>
        </w:tblPrEx>
        <w:trPr>
          <w:cantSplit/>
          <w:trHeight w:val="30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1953</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1957</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1960</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2</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1963 (промежуточные выборы)</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 (рекомендация)</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1964</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2</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1965 (промежуточные выборы)</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1968</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2</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1972</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4</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2</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1991 (назначение)</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 (назначение)</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1992</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6</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0</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3</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1996</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11</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3</w:t>
            </w:r>
          </w:p>
        </w:tc>
      </w:tr>
      <w:tr w:rsidR="00000000">
        <w:tblPrEx>
          <w:tblCellMar>
            <w:top w:w="0" w:type="dxa"/>
            <w:bottom w:w="0" w:type="dxa"/>
          </w:tblCellMar>
        </w:tblPrEx>
        <w:trPr>
          <w:cantSplit/>
          <w:trHeight w:val="79"/>
          <w:jc w:val="center"/>
        </w:trPr>
        <w:tc>
          <w:tcPr>
            <w:tcW w:w="2365" w:type="dxa"/>
          </w:tcPr>
          <w:p w:rsidR="00000000" w:rsidRDefault="00000000">
            <w:pPr>
              <w:tabs>
                <w:tab w:val="left" w:pos="680"/>
                <w:tab w:val="left" w:pos="1022"/>
                <w:tab w:val="left" w:pos="1267"/>
                <w:tab w:val="left" w:pos="1701"/>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2000</w:t>
            </w:r>
          </w:p>
        </w:tc>
        <w:tc>
          <w:tcPr>
            <w:tcW w:w="1053"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18</w:t>
            </w:r>
          </w:p>
        </w:tc>
        <w:tc>
          <w:tcPr>
            <w:tcW w:w="2052"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1</w:t>
            </w:r>
          </w:p>
        </w:tc>
        <w:tc>
          <w:tcPr>
            <w:tcW w:w="1910" w:type="dxa"/>
          </w:tcPr>
          <w:p w:rsidR="00000000" w:rsidRDefault="00000000">
            <w:pPr>
              <w:tabs>
                <w:tab w:val="left" w:pos="680"/>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191"/>
              <w:jc w:val="right"/>
              <w:rPr>
                <w:sz w:val="16"/>
              </w:rPr>
            </w:pPr>
            <w:r>
              <w:rPr>
                <w:sz w:val="16"/>
              </w:rPr>
              <w:t>3</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В.</w:t>
      </w:r>
      <w:r>
        <w:tab/>
        <w:t>Выборы в местные органы власти: В довоенный период доля женщин, участвовавших в избирательной борьбе за место в муниципальном совете, не превышала одного процента от общего числа кандидатов. Аналогичным образом, ни в одном избирательном цикле должности в муниципальной администрации ни разу не получали более десяти женщин (в</w:t>
      </w:r>
      <w:r>
        <w:rPr>
          <w:lang w:val="en-US"/>
        </w:rPr>
        <w:t> </w:t>
      </w:r>
      <w:r>
        <w:t>результате прямых выборов или назначения в муниципальные органы Бейрута). Что касается выборов 1998 и 2004 годов, то количество женщин, участвовавших и победивших на этих выборах, значительно возросло: в 1998 году число женщин, выдвинувших свою кандидатуру (включая тех, кто потерпел поражение) составляло более 500 человек и в 2004 году - более 700 человек.</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В то время как на муниципальных выборах 1998 года победу одержали 139 женщин, три из которых были избраны главами муниципалитета, в 2004 году этот показатель вырос примерно до 220 человек.</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При сравнении данных о выборах за 1998 и 2004 годы заметны существенные изменения:</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1.</w:t>
      </w:r>
      <w:r>
        <w:tab/>
        <w:t>В 2004 году количество женщин, участвовавших и победивших на выборах, возросло на всей территории Ливана, в то время как в 1998 году среди регионов имелись значительные несоответствия;</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2.</w:t>
      </w:r>
      <w:r>
        <w:tab/>
        <w:t xml:space="preserve">В 2004 году среди женщин, участвовавших и победивших на выборах, увеличилось число представительниц мусульманских общин. В то время как в 1998 году количество победивших женщин из христианских общин в четыре раза превышало число победительниц из мусульманских общин, в 2004 году этот разрыв сократился более чем в два раза (до 1,8 процента). </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3.</w:t>
      </w:r>
      <w:r>
        <w:tab/>
        <w:t>Уровень образования среди большинства женщин-кандидатов вырос по сравнению с кандидатами-мужчинами (как в сельской местности, так и в некоторых городских районах, хотя по закону единственным требованием является грамотность кандидата);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4.</w:t>
      </w:r>
      <w:r>
        <w:tab/>
        <w:t>Процентное отношение женщин, победивших на выборах, от общего числа женщин-кандидатов на общенациональном и региональном уровнях, практически не изменилось.</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5.</w:t>
      </w:r>
      <w:r>
        <w:tab/>
        <w:t>Количество кандидатов-женщин, одержавших победу на выборах, сократилось в крупных городах (например, с четырех до одного человека в Захии) и возросло в сельской местности. Это можно объяснить тем фактом, что муниципальные выборы в крупных городах являются миниатюрной версией парламентских выборов и в меньшей степени зависят от протекции и покровительства.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6.</w:t>
      </w:r>
      <w:r>
        <w:tab/>
        <w:t>Средний возраст кандидатов-женщин ниже, чем возраст кандидатов-мужчин.</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Следует отметить, что несмотря на увеличение количества женщин, участвовавших в выборах 1998 и 2004 годов, данные цифры не являются надежным показателем участия и представительства женщин в местных органах власти. Это связано с тем, что:</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а)</w:t>
      </w:r>
      <w:r>
        <w:tab/>
        <w:t>в период с 1998 по 2004 годы количество муниципалитетов возросло в результате создания новых муниципалитетов, а также учета уже существующих муниципалитетов и селений на территориях, освобожденных в 2000 году;</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b)</w:t>
      </w:r>
      <w:r>
        <w:tab/>
        <w:t>Процентное отношение женщин, победивших на выборах, к общему числу победивших кандидатов, не превысило показателя в 2,5 процента, достигнутого в 1998 году;</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с)</w:t>
      </w:r>
      <w:r>
        <w:tab/>
        <w:t>Доля кандидатов-женщин от общего количества кандидатов осталась на уровне 1 процента;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d)</w:t>
      </w:r>
      <w:r>
        <w:tab/>
        <w:t>Число женщин, занимающих должность главы муниципалитета, сократилось с трех человек в 1991 году до одного человека в 2004 году;</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е)</w:t>
      </w:r>
      <w:r>
        <w:tab/>
        <w:t xml:space="preserve">Количество муниципалитетов, на выборах в которые выдвигались кандидаты женщины, составляет менее одной трети от общего количества муниципалитетов Ливана (всего 181). Новым явлением политической жизни послевоенного периода стало участие женщин в выборах на должность мэра. В 2004 году в различных частях Ливана мэрами были избраны 16 женщин (зарегистрированных на обязательной основе в системе социального обеспечения). С учетом традиционного отношения к должности мэра (ее большое значение в избирательном процессе, сборе сведений и т.д.), этот показатель, хотя он и невелик, говорит об изменении  представлений о данной должности или о способностях женщин. </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С.</w:t>
      </w:r>
      <w:r>
        <w:tab/>
        <w:t xml:space="preserve">Выборы на руководящие должности: В 1994 году впервые в истории Ливана свою кандидатуру на президентских выборах выдвинула женщина. Однако эти выборы не состоялись из-за продления срока полномочий действующего президента. </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rPr>
          <w:i/>
        </w:rPr>
      </w:pPr>
      <w:r>
        <w:tab/>
      </w:r>
      <w:r>
        <w:rPr>
          <w:i/>
        </w:rPr>
        <w:t>3.</w:t>
      </w:r>
      <w:r>
        <w:rPr>
          <w:i/>
        </w:rPr>
        <w:tab/>
        <w:t>Участие в результате назначения:</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ab/>
      </w:r>
      <w:r>
        <w:t>А.</w:t>
      </w:r>
      <w:r>
        <w:tab/>
        <w:t>Исполнительная власть:</w:t>
      </w:r>
    </w:p>
    <w:p w:rsidR="00000000" w:rsidRDefault="00000000">
      <w:pPr>
        <w:tabs>
          <w:tab w:val="left" w:pos="680"/>
          <w:tab w:val="left" w:pos="1022"/>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169" w:right="1267" w:hanging="468"/>
        <w:jc w:val="both"/>
      </w:pPr>
      <w:r>
        <w:t>-</w:t>
      </w:r>
      <w:r>
        <w:tab/>
        <w:t xml:space="preserve">Впервые с момента получения независимости Ливана в состав правительства из 30 министров, сформированного 26 октября 2004 года, вошли две женщины. </w:t>
      </w:r>
    </w:p>
    <w:p w:rsidR="00000000" w:rsidRDefault="00000000">
      <w:pPr>
        <w:tabs>
          <w:tab w:val="left" w:pos="680"/>
          <w:tab w:val="left" w:pos="1022"/>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169" w:right="1267" w:hanging="468"/>
        <w:jc w:val="both"/>
      </w:pPr>
      <w:r>
        <w:t>-</w:t>
      </w:r>
      <w:r>
        <w:tab/>
        <w:t>В период с середины 1970</w:t>
      </w:r>
      <w:r>
        <w:noBreakHyphen/>
        <w:t>х годов до 2004 года происходило увеличение доли женщин, замещающих должности в правительственных департаментах и государственных учреждениях (подведомственных Комиссии по гражданской службе) среди общего числа государственных служащих всех категорий. Так, если в 1995 году женщины составляли 3,3 процента от общего числа служащих первой категории, то на сегодняшний день этот показатель находится на уровне 6,67 процентов, во второй категории он вырос с 6,6 до 17,37 процентов, в третьей категории  - с 6,67 до 27,22</w:t>
      </w:r>
      <w:r>
        <w:rPr>
          <w:lang w:val="en-US"/>
        </w:rPr>
        <w:t> </w:t>
      </w:r>
      <w:r>
        <w:t>процента и в четвертой категории – с 11,7 до 28,7 процента. Однако при внимательном изучении этих цифр, а также данных, приведенных в таблицах 3 и 4, можно заметить, что несмотря на это увеличение, доля женщин среди высших чинов гражданских служащих продолжает сокращаться. Кроме этого, до сих пор ни одна женщина не была назначена на пост губернатора, и только две женщины занимают должность главы района.</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Таблица 3</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left"/>
        <w:rPr>
          <w:b/>
        </w:rPr>
      </w:pPr>
      <w:r>
        <w:rPr>
          <w:b/>
        </w:rPr>
        <w:t>Количество служащих правительственных департаментов по состоянию на 1 октября 2004 года с разбивкой по признаку пола</w:t>
      </w:r>
    </w:p>
    <w:tbl>
      <w:tblPr>
        <w:tblW w:w="0" w:type="auto"/>
        <w:tblInd w:w="1235" w:type="dxa"/>
        <w:tblLayout w:type="fixed"/>
        <w:tblLook w:val="0000" w:firstRow="0" w:lastRow="0" w:firstColumn="0" w:lastColumn="0" w:noHBand="0" w:noVBand="0"/>
      </w:tblPr>
      <w:tblGrid>
        <w:gridCol w:w="2889"/>
        <w:gridCol w:w="1143"/>
        <w:gridCol w:w="1107"/>
        <w:gridCol w:w="891"/>
        <w:gridCol w:w="1377"/>
      </w:tblGrid>
      <w:tr w:rsidR="00000000">
        <w:tblPrEx>
          <w:tblCellMar>
            <w:top w:w="0" w:type="dxa"/>
            <w:bottom w:w="0" w:type="dxa"/>
          </w:tblCellMar>
        </w:tblPrEx>
        <w:tc>
          <w:tcPr>
            <w:tcW w:w="2889"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Штатные сотрудники</w:t>
            </w:r>
          </w:p>
        </w:tc>
        <w:tc>
          <w:tcPr>
            <w:tcW w:w="1143"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Мужчины</w:t>
            </w:r>
          </w:p>
        </w:tc>
        <w:tc>
          <w:tcPr>
            <w:tcW w:w="1107"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Женщины</w:t>
            </w:r>
          </w:p>
        </w:tc>
        <w:tc>
          <w:tcPr>
            <w:tcW w:w="891"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Всего</w:t>
            </w:r>
          </w:p>
        </w:tc>
        <w:tc>
          <w:tcPr>
            <w:tcW w:w="1377" w:type="dxa"/>
            <w:tcBorders>
              <w:top w:val="single" w:sz="2"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Процентное соотношение</w:t>
            </w:r>
          </w:p>
        </w:tc>
      </w:tr>
      <w:tr w:rsidR="00000000">
        <w:tblPrEx>
          <w:tblCellMar>
            <w:top w:w="0" w:type="dxa"/>
            <w:bottom w:w="0" w:type="dxa"/>
          </w:tblCellMar>
        </w:tblPrEx>
        <w:trPr>
          <w:cantSplit/>
          <w:trHeight w:val="220"/>
        </w:trPr>
        <w:tc>
          <w:tcPr>
            <w:tcW w:w="2889"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Первая категория</w:t>
            </w:r>
          </w:p>
        </w:tc>
        <w:tc>
          <w:tcPr>
            <w:tcW w:w="1143"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114</w:t>
            </w:r>
          </w:p>
        </w:tc>
        <w:tc>
          <w:tcPr>
            <w:tcW w:w="1107"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8</w:t>
            </w:r>
          </w:p>
        </w:tc>
        <w:tc>
          <w:tcPr>
            <w:tcW w:w="891"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122</w:t>
            </w:r>
          </w:p>
        </w:tc>
        <w:tc>
          <w:tcPr>
            <w:tcW w:w="1377"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6,5</w:t>
            </w:r>
          </w:p>
        </w:tc>
      </w:tr>
      <w:tr w:rsidR="00000000">
        <w:tblPrEx>
          <w:tblCellMar>
            <w:top w:w="0" w:type="dxa"/>
            <w:bottom w:w="0" w:type="dxa"/>
          </w:tblCellMar>
        </w:tblPrEx>
        <w:trPr>
          <w:cantSplit/>
          <w:trHeight w:val="217"/>
        </w:trPr>
        <w:tc>
          <w:tcPr>
            <w:tcW w:w="2889"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Вторая категория</w:t>
            </w:r>
          </w:p>
        </w:tc>
        <w:tc>
          <w:tcPr>
            <w:tcW w:w="1143"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312</w:t>
            </w:r>
          </w:p>
        </w:tc>
        <w:tc>
          <w:tcPr>
            <w:tcW w:w="1107"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72</w:t>
            </w:r>
          </w:p>
        </w:tc>
        <w:tc>
          <w:tcPr>
            <w:tcW w:w="891"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384</w:t>
            </w:r>
          </w:p>
        </w:tc>
        <w:tc>
          <w:tcPr>
            <w:tcW w:w="1377"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18,75</w:t>
            </w:r>
          </w:p>
        </w:tc>
      </w:tr>
      <w:tr w:rsidR="00000000">
        <w:tblPrEx>
          <w:tblCellMar>
            <w:top w:w="0" w:type="dxa"/>
            <w:bottom w:w="0" w:type="dxa"/>
          </w:tblCellMar>
        </w:tblPrEx>
        <w:trPr>
          <w:cantSplit/>
          <w:trHeight w:val="217"/>
        </w:trPr>
        <w:tc>
          <w:tcPr>
            <w:tcW w:w="2889"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Третья категория</w:t>
            </w:r>
          </w:p>
        </w:tc>
        <w:tc>
          <w:tcPr>
            <w:tcW w:w="1143"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1 455</w:t>
            </w:r>
          </w:p>
        </w:tc>
        <w:tc>
          <w:tcPr>
            <w:tcW w:w="1107"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570</w:t>
            </w:r>
          </w:p>
        </w:tc>
        <w:tc>
          <w:tcPr>
            <w:tcW w:w="891"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2 025</w:t>
            </w:r>
          </w:p>
        </w:tc>
        <w:tc>
          <w:tcPr>
            <w:tcW w:w="1377"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28,1</w:t>
            </w:r>
          </w:p>
        </w:tc>
      </w:tr>
      <w:tr w:rsidR="00000000">
        <w:tblPrEx>
          <w:tblCellMar>
            <w:top w:w="0" w:type="dxa"/>
            <w:bottom w:w="0" w:type="dxa"/>
          </w:tblCellMar>
        </w:tblPrEx>
        <w:trPr>
          <w:cantSplit/>
          <w:trHeight w:val="217"/>
        </w:trPr>
        <w:tc>
          <w:tcPr>
            <w:tcW w:w="2889"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Четвертая категория</w:t>
            </w:r>
          </w:p>
        </w:tc>
        <w:tc>
          <w:tcPr>
            <w:tcW w:w="1143"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4 422</w:t>
            </w:r>
          </w:p>
        </w:tc>
        <w:tc>
          <w:tcPr>
            <w:tcW w:w="1107"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2 069</w:t>
            </w:r>
          </w:p>
        </w:tc>
        <w:tc>
          <w:tcPr>
            <w:tcW w:w="891"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6 491</w:t>
            </w:r>
          </w:p>
        </w:tc>
        <w:tc>
          <w:tcPr>
            <w:tcW w:w="1377"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31,8</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Источник:</w:t>
      </w:r>
      <w:r>
        <w:t xml:space="preserve"> Комиссия по гражданской службе</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br w:type="page"/>
        <w:t>Таблица 4</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left"/>
        <w:rPr>
          <w:b/>
        </w:rPr>
      </w:pPr>
      <w:r>
        <w:rPr>
          <w:b/>
        </w:rPr>
        <w:t>Количество служащих государственных учреждений, подведомственных Комиссии по гражданской службе по состоянию на 1 октября 2004 года с разбивкой по призн</w:t>
      </w:r>
      <w:r>
        <w:rPr>
          <w:b/>
        </w:rPr>
        <w:t>а</w:t>
      </w:r>
      <w:r>
        <w:rPr>
          <w:b/>
        </w:rPr>
        <w:t>ку пола</w:t>
      </w:r>
    </w:p>
    <w:tbl>
      <w:tblPr>
        <w:tblW w:w="0" w:type="auto"/>
        <w:tblInd w:w="1262" w:type="dxa"/>
        <w:tblLayout w:type="fixed"/>
        <w:tblCellMar>
          <w:left w:w="36" w:type="dxa"/>
          <w:right w:w="36" w:type="dxa"/>
        </w:tblCellMar>
        <w:tblLook w:val="0000" w:firstRow="0" w:lastRow="0" w:firstColumn="0" w:lastColumn="0" w:noHBand="0" w:noVBand="0"/>
      </w:tblPr>
      <w:tblGrid>
        <w:gridCol w:w="2880"/>
        <w:gridCol w:w="1170"/>
        <w:gridCol w:w="1170"/>
        <w:gridCol w:w="810"/>
        <w:gridCol w:w="1350"/>
      </w:tblGrid>
      <w:tr w:rsidR="00000000">
        <w:tblPrEx>
          <w:tblCellMar>
            <w:top w:w="0" w:type="dxa"/>
            <w:bottom w:w="0" w:type="dxa"/>
          </w:tblCellMar>
        </w:tblPrEx>
        <w:tc>
          <w:tcPr>
            <w:tcW w:w="2880" w:type="dxa"/>
            <w:tcBorders>
              <w:top w:val="single" w:sz="12" w:space="0" w:color="auto"/>
              <w:bottom w:val="single" w:sz="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rPr>
                <w:i/>
              </w:rPr>
            </w:pPr>
            <w:r>
              <w:rPr>
                <w:i/>
              </w:rPr>
              <w:t>Штатные сотрудники</w:t>
            </w:r>
          </w:p>
        </w:tc>
        <w:tc>
          <w:tcPr>
            <w:tcW w:w="1170" w:type="dxa"/>
            <w:tcBorders>
              <w:top w:val="single" w:sz="12" w:space="0" w:color="auto"/>
              <w:bottom w:val="single" w:sz="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Мужчины</w:t>
            </w:r>
          </w:p>
        </w:tc>
        <w:tc>
          <w:tcPr>
            <w:tcW w:w="1170" w:type="dxa"/>
            <w:tcBorders>
              <w:top w:val="single" w:sz="12" w:space="0" w:color="auto"/>
              <w:bottom w:val="single" w:sz="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Женщины</w:t>
            </w:r>
          </w:p>
        </w:tc>
        <w:tc>
          <w:tcPr>
            <w:tcW w:w="810" w:type="dxa"/>
            <w:tcBorders>
              <w:top w:val="single" w:sz="12" w:space="0" w:color="auto"/>
              <w:bottom w:val="single" w:sz="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Всего</w:t>
            </w:r>
          </w:p>
        </w:tc>
        <w:tc>
          <w:tcPr>
            <w:tcW w:w="1350" w:type="dxa"/>
            <w:tcBorders>
              <w:top w:val="single" w:sz="12" w:space="0" w:color="auto"/>
              <w:bottom w:val="single" w:sz="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Процентное соотношение</w:t>
            </w:r>
          </w:p>
        </w:tc>
      </w:tr>
      <w:tr w:rsidR="00000000">
        <w:tblPrEx>
          <w:tblCellMar>
            <w:top w:w="0" w:type="dxa"/>
            <w:bottom w:w="0" w:type="dxa"/>
          </w:tblCellMar>
        </w:tblPrEx>
        <w:trPr>
          <w:cantSplit/>
          <w:trHeight w:val="220"/>
        </w:trPr>
        <w:tc>
          <w:tcPr>
            <w:tcW w:w="288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Первая категория</w:t>
            </w:r>
          </w:p>
        </w:tc>
        <w:tc>
          <w:tcPr>
            <w:tcW w:w="117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10</w:t>
            </w:r>
          </w:p>
        </w:tc>
        <w:tc>
          <w:tcPr>
            <w:tcW w:w="117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1</w:t>
            </w:r>
          </w:p>
        </w:tc>
        <w:tc>
          <w:tcPr>
            <w:tcW w:w="81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11</w:t>
            </w:r>
          </w:p>
        </w:tc>
        <w:tc>
          <w:tcPr>
            <w:tcW w:w="135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9</w:t>
            </w:r>
          </w:p>
        </w:tc>
      </w:tr>
      <w:tr w:rsidR="00000000">
        <w:tblPrEx>
          <w:tblCellMar>
            <w:top w:w="0" w:type="dxa"/>
            <w:bottom w:w="0" w:type="dxa"/>
          </w:tblCellMar>
        </w:tblPrEx>
        <w:trPr>
          <w:cantSplit/>
          <w:trHeight w:val="217"/>
        </w:trPr>
        <w:tc>
          <w:tcPr>
            <w:tcW w:w="288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Вторая категория</w:t>
            </w:r>
          </w:p>
        </w:tc>
        <w:tc>
          <w:tcPr>
            <w:tcW w:w="117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40</w:t>
            </w:r>
          </w:p>
        </w:tc>
        <w:tc>
          <w:tcPr>
            <w:tcW w:w="117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2</w:t>
            </w:r>
          </w:p>
        </w:tc>
        <w:tc>
          <w:tcPr>
            <w:tcW w:w="81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2</w:t>
            </w:r>
          </w:p>
        </w:tc>
        <w:tc>
          <w:tcPr>
            <w:tcW w:w="135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4,7</w:t>
            </w:r>
          </w:p>
        </w:tc>
      </w:tr>
      <w:tr w:rsidR="00000000">
        <w:tblPrEx>
          <w:tblCellMar>
            <w:top w:w="0" w:type="dxa"/>
            <w:bottom w:w="0" w:type="dxa"/>
          </w:tblCellMar>
        </w:tblPrEx>
        <w:trPr>
          <w:cantSplit/>
          <w:trHeight w:val="217"/>
        </w:trPr>
        <w:tc>
          <w:tcPr>
            <w:tcW w:w="288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Третья категория</w:t>
            </w:r>
          </w:p>
        </w:tc>
        <w:tc>
          <w:tcPr>
            <w:tcW w:w="117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93</w:t>
            </w:r>
          </w:p>
        </w:tc>
        <w:tc>
          <w:tcPr>
            <w:tcW w:w="117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9</w:t>
            </w:r>
          </w:p>
        </w:tc>
        <w:tc>
          <w:tcPr>
            <w:tcW w:w="81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102</w:t>
            </w:r>
          </w:p>
        </w:tc>
        <w:tc>
          <w:tcPr>
            <w:tcW w:w="135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8,8</w:t>
            </w:r>
          </w:p>
        </w:tc>
      </w:tr>
      <w:tr w:rsidR="00000000">
        <w:tblPrEx>
          <w:tblCellMar>
            <w:top w:w="0" w:type="dxa"/>
            <w:bottom w:w="0" w:type="dxa"/>
          </w:tblCellMar>
        </w:tblPrEx>
        <w:trPr>
          <w:cantSplit/>
          <w:trHeight w:val="217"/>
        </w:trPr>
        <w:tc>
          <w:tcPr>
            <w:tcW w:w="2880"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Четвертая категория</w:t>
            </w:r>
          </w:p>
        </w:tc>
        <w:tc>
          <w:tcPr>
            <w:tcW w:w="1170" w:type="dxa"/>
            <w:tcBorders>
              <w:bottom w:val="single" w:sz="12" w:space="0" w:color="auto"/>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850</w:t>
            </w:r>
          </w:p>
        </w:tc>
        <w:tc>
          <w:tcPr>
            <w:tcW w:w="1170" w:type="dxa"/>
            <w:tcBorders>
              <w:bottom w:val="single" w:sz="12" w:space="0" w:color="auto"/>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54</w:t>
            </w:r>
          </w:p>
        </w:tc>
        <w:tc>
          <w:tcPr>
            <w:tcW w:w="810" w:type="dxa"/>
            <w:tcBorders>
              <w:bottom w:val="single" w:sz="12" w:space="0" w:color="auto"/>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904</w:t>
            </w:r>
          </w:p>
        </w:tc>
        <w:tc>
          <w:tcPr>
            <w:tcW w:w="1350" w:type="dxa"/>
            <w:tcBorders>
              <w:bottom w:val="single" w:sz="12" w:space="0" w:color="auto"/>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234"/>
              <w:jc w:val="right"/>
            </w:pPr>
            <w:r>
              <w:t>5,9</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Источник</w:t>
      </w:r>
      <w:r>
        <w:t>: Комиссия по гражданской службе</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В таблице 5 также отражено увеличение числа женщин, занятых на внешнеполитической службе, начавшееся с середины 1990</w:t>
      </w:r>
      <w:r>
        <w:noBreakHyphen/>
        <w:t>х годов, в особенности после принятия закона № 376 от 4 ноября 1994 года, который отменил положение, предусматривавшее:</w:t>
      </w:r>
    </w:p>
    <w:p w:rsidR="00000000" w:rsidRDefault="00000000">
      <w:pPr>
        <w:tabs>
          <w:tab w:val="left" w:pos="680"/>
          <w:tab w:val="left" w:pos="1022"/>
          <w:tab w:val="left" w:pos="1134"/>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180" w:right="1267" w:hanging="479"/>
        <w:jc w:val="both"/>
      </w:pPr>
      <w:r>
        <w:t>-</w:t>
      </w:r>
      <w:r>
        <w:tab/>
        <w:t>перевод женщин, занятых на внешнеполитической службе, на другую работу в случае брака с иностранным гражданином;</w:t>
      </w:r>
    </w:p>
    <w:p w:rsidR="00000000" w:rsidRDefault="00000000">
      <w:pPr>
        <w:tabs>
          <w:tab w:val="left" w:pos="680"/>
          <w:tab w:val="left" w:pos="1022"/>
          <w:tab w:val="left" w:pos="1134"/>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2180" w:right="1267" w:hanging="479"/>
        <w:jc w:val="both"/>
      </w:pPr>
      <w:r>
        <w:t>-</w:t>
      </w:r>
      <w:r>
        <w:tab/>
        <w:t>незамедлительное отстранение от внешнеполитической службы женщин в случае утраты ими ливанского гражданства.</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Таблица 5</w:t>
      </w:r>
    </w:p>
    <w:p w:rsidR="00000000" w:rsidRDefault="00000000">
      <w:pPr>
        <w:pStyle w:val="BodyTe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left"/>
        <w:rPr>
          <w:b/>
        </w:rPr>
      </w:pPr>
      <w:r>
        <w:rPr>
          <w:b/>
        </w:rPr>
        <w:t>Количество женщин на внешнеполитической службе с разбивкой по должностным категориям (1995/2004)</w:t>
      </w:r>
    </w:p>
    <w:tbl>
      <w:tblPr>
        <w:tblW w:w="0" w:type="auto"/>
        <w:tblInd w:w="1349" w:type="dxa"/>
        <w:tblBorders>
          <w:top w:val="single" w:sz="12" w:space="0" w:color="auto"/>
          <w:bottom w:val="single" w:sz="12" w:space="0" w:color="auto"/>
        </w:tblBorders>
        <w:tblLayout w:type="fixed"/>
        <w:tblCellMar>
          <w:left w:w="21" w:type="dxa"/>
          <w:right w:w="21" w:type="dxa"/>
        </w:tblCellMar>
        <w:tblLook w:val="0000" w:firstRow="0" w:lastRow="0" w:firstColumn="0" w:lastColumn="0" w:noHBand="0" w:noVBand="0"/>
      </w:tblPr>
      <w:tblGrid>
        <w:gridCol w:w="1053"/>
        <w:gridCol w:w="1755"/>
        <w:gridCol w:w="1155"/>
        <w:gridCol w:w="1080"/>
        <w:gridCol w:w="990"/>
        <w:gridCol w:w="1347"/>
      </w:tblGrid>
      <w:tr w:rsidR="00000000">
        <w:tblPrEx>
          <w:tblCellMar>
            <w:top w:w="0" w:type="dxa"/>
            <w:bottom w:w="0" w:type="dxa"/>
          </w:tblCellMar>
        </w:tblPrEx>
        <w:trPr>
          <w:cantSplit/>
          <w:trHeight w:val="436"/>
        </w:trPr>
        <w:tc>
          <w:tcPr>
            <w:tcW w:w="1053" w:type="dxa"/>
            <w:vMerge w:val="restart"/>
            <w:tcBorders>
              <w:top w:val="single" w:sz="4" w:space="0" w:color="auto"/>
              <w:bottom w:val="nil"/>
            </w:tcBorders>
            <w:vAlign w:val="bottom"/>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6"/>
              </w:rPr>
            </w:pPr>
            <w:r>
              <w:rPr>
                <w:i/>
                <w:sz w:val="16"/>
              </w:rPr>
              <w:t>Категория</w:t>
            </w:r>
          </w:p>
        </w:tc>
        <w:tc>
          <w:tcPr>
            <w:tcW w:w="1755" w:type="dxa"/>
            <w:vMerge w:val="restart"/>
            <w:tcBorders>
              <w:top w:val="single" w:sz="4" w:space="0" w:color="auto"/>
              <w:bottom w:val="nil"/>
            </w:tcBorders>
            <w:vAlign w:val="bottom"/>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Должность</w:t>
            </w:r>
          </w:p>
        </w:tc>
        <w:tc>
          <w:tcPr>
            <w:tcW w:w="2235" w:type="dxa"/>
            <w:gridSpan w:val="2"/>
            <w:tcBorders>
              <w:top w:val="single" w:sz="4" w:space="0" w:color="auto"/>
              <w:bottom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1995</w:t>
            </w:r>
          </w:p>
        </w:tc>
        <w:tc>
          <w:tcPr>
            <w:tcW w:w="2337" w:type="dxa"/>
            <w:gridSpan w:val="2"/>
            <w:tcBorders>
              <w:top w:val="single" w:sz="4" w:space="0" w:color="auto"/>
              <w:bottom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2004</w:t>
            </w:r>
          </w:p>
        </w:tc>
      </w:tr>
      <w:tr w:rsidR="00000000">
        <w:tblPrEx>
          <w:tblCellMar>
            <w:top w:w="0" w:type="dxa"/>
            <w:bottom w:w="0" w:type="dxa"/>
          </w:tblCellMar>
        </w:tblPrEx>
        <w:trPr>
          <w:cantSplit/>
          <w:trHeight w:val="435"/>
        </w:trPr>
        <w:tc>
          <w:tcPr>
            <w:tcW w:w="1053" w:type="dxa"/>
            <w:vMerge/>
            <w:tcBorders>
              <w:top w:val="nil"/>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6"/>
              </w:rPr>
            </w:pPr>
          </w:p>
        </w:tc>
        <w:tc>
          <w:tcPr>
            <w:tcW w:w="1755" w:type="dxa"/>
            <w:vMerge/>
            <w:tcBorders>
              <w:top w:val="nil"/>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p>
        </w:tc>
        <w:tc>
          <w:tcPr>
            <w:tcW w:w="1155" w:type="dxa"/>
            <w:tcBorders>
              <w:top w:val="nil"/>
              <w:bottom w:val="single" w:sz="12" w:space="0" w:color="auto"/>
            </w:tcBorders>
            <w:vAlign w:val="bottom"/>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Количество</w:t>
            </w:r>
          </w:p>
        </w:tc>
        <w:tc>
          <w:tcPr>
            <w:tcW w:w="1080" w:type="dxa"/>
            <w:tcBorders>
              <w:top w:val="nil"/>
              <w:bottom w:val="single" w:sz="12" w:space="0" w:color="auto"/>
            </w:tcBorders>
            <w:vAlign w:val="bottom"/>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В процентах</w:t>
            </w:r>
          </w:p>
        </w:tc>
        <w:tc>
          <w:tcPr>
            <w:tcW w:w="990" w:type="dxa"/>
            <w:tcBorders>
              <w:top w:val="nil"/>
              <w:bottom w:val="single" w:sz="12" w:space="0" w:color="auto"/>
            </w:tcBorders>
            <w:vAlign w:val="bottom"/>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Количество</w:t>
            </w:r>
          </w:p>
        </w:tc>
        <w:tc>
          <w:tcPr>
            <w:tcW w:w="1347" w:type="dxa"/>
            <w:tcBorders>
              <w:top w:val="nil"/>
              <w:bottom w:val="single" w:sz="12" w:space="0" w:color="auto"/>
            </w:tcBorders>
            <w:vAlign w:val="bottom"/>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6"/>
              </w:rPr>
            </w:pPr>
            <w:r>
              <w:rPr>
                <w:i/>
                <w:sz w:val="16"/>
              </w:rPr>
              <w:t>В процентах</w:t>
            </w:r>
          </w:p>
        </w:tc>
      </w:tr>
      <w:tr w:rsidR="00000000">
        <w:tblPrEx>
          <w:tblCellMar>
            <w:top w:w="0" w:type="dxa"/>
            <w:bottom w:w="0" w:type="dxa"/>
          </w:tblCellMar>
        </w:tblPrEx>
        <w:trPr>
          <w:cantSplit/>
          <w:trHeight w:val="435"/>
        </w:trPr>
        <w:tc>
          <w:tcPr>
            <w:tcW w:w="1053" w:type="dxa"/>
            <w:tcBorders>
              <w:top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6"/>
              </w:rPr>
            </w:pPr>
            <w:r>
              <w:rPr>
                <w:sz w:val="16"/>
              </w:rPr>
              <w:t>1</w:t>
            </w:r>
          </w:p>
        </w:tc>
        <w:tc>
          <w:tcPr>
            <w:tcW w:w="1755" w:type="dxa"/>
            <w:tcBorders>
              <w:top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Посол</w:t>
            </w:r>
          </w:p>
        </w:tc>
        <w:tc>
          <w:tcPr>
            <w:tcW w:w="1155" w:type="dxa"/>
            <w:tcBorders>
              <w:top w:val="nil"/>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1</w:t>
            </w:r>
          </w:p>
        </w:tc>
        <w:tc>
          <w:tcPr>
            <w:tcW w:w="1080" w:type="dxa"/>
            <w:tcBorders>
              <w:top w:val="nil"/>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1,44</w:t>
            </w:r>
          </w:p>
        </w:tc>
        <w:tc>
          <w:tcPr>
            <w:tcW w:w="990" w:type="dxa"/>
            <w:tcBorders>
              <w:top w:val="nil"/>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4</w:t>
            </w:r>
          </w:p>
        </w:tc>
        <w:tc>
          <w:tcPr>
            <w:tcW w:w="1347" w:type="dxa"/>
            <w:tcBorders>
              <w:top w:val="nil"/>
            </w:tcBorders>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6,77</w:t>
            </w:r>
          </w:p>
        </w:tc>
      </w:tr>
      <w:tr w:rsidR="00000000">
        <w:tblPrEx>
          <w:tblCellMar>
            <w:top w:w="0" w:type="dxa"/>
            <w:bottom w:w="0" w:type="dxa"/>
          </w:tblCellMar>
        </w:tblPrEx>
        <w:trPr>
          <w:cantSplit/>
          <w:trHeight w:val="435"/>
        </w:trPr>
        <w:tc>
          <w:tcPr>
            <w:tcW w:w="1053"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6"/>
              </w:rPr>
            </w:pPr>
            <w:r>
              <w:rPr>
                <w:sz w:val="16"/>
              </w:rPr>
              <w:t>2</w:t>
            </w:r>
          </w:p>
        </w:tc>
        <w:tc>
          <w:tcPr>
            <w:tcW w:w="1755"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Старший советник или генеральный консул</w:t>
            </w:r>
          </w:p>
        </w:tc>
        <w:tc>
          <w:tcPr>
            <w:tcW w:w="1155"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5</w:t>
            </w:r>
          </w:p>
        </w:tc>
        <w:tc>
          <w:tcPr>
            <w:tcW w:w="108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7,44</w:t>
            </w:r>
          </w:p>
        </w:tc>
        <w:tc>
          <w:tcPr>
            <w:tcW w:w="99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9</w:t>
            </w:r>
          </w:p>
        </w:tc>
        <w:tc>
          <w:tcPr>
            <w:tcW w:w="1347"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14,75</w:t>
            </w:r>
          </w:p>
        </w:tc>
      </w:tr>
      <w:tr w:rsidR="00000000">
        <w:tblPrEx>
          <w:tblCellMar>
            <w:top w:w="0" w:type="dxa"/>
            <w:bottom w:w="0" w:type="dxa"/>
          </w:tblCellMar>
        </w:tblPrEx>
        <w:trPr>
          <w:cantSplit/>
          <w:trHeight w:val="435"/>
        </w:trPr>
        <w:tc>
          <w:tcPr>
            <w:tcW w:w="1053"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6"/>
              </w:rPr>
            </w:pPr>
            <w:r>
              <w:rPr>
                <w:sz w:val="16"/>
              </w:rPr>
              <w:t>3</w:t>
            </w:r>
          </w:p>
        </w:tc>
        <w:tc>
          <w:tcPr>
            <w:tcW w:w="1755"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rPr>
                <w:sz w:val="16"/>
              </w:rPr>
            </w:pPr>
            <w:r>
              <w:rPr>
                <w:sz w:val="16"/>
              </w:rPr>
              <w:t>Секретарь, советник, атташе</w:t>
            </w:r>
          </w:p>
        </w:tc>
        <w:tc>
          <w:tcPr>
            <w:tcW w:w="1155"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12</w:t>
            </w:r>
          </w:p>
        </w:tc>
        <w:tc>
          <w:tcPr>
            <w:tcW w:w="108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10,9</w:t>
            </w:r>
          </w:p>
        </w:tc>
        <w:tc>
          <w:tcPr>
            <w:tcW w:w="990"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24</w:t>
            </w:r>
          </w:p>
        </w:tc>
        <w:tc>
          <w:tcPr>
            <w:tcW w:w="1347" w:type="dxa"/>
          </w:tcPr>
          <w:p w:rsidR="00000000" w:rsidRDefault="00000000">
            <w:pPr>
              <w:tabs>
                <w:tab w:val="left" w:pos="680"/>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249"/>
              <w:jc w:val="right"/>
              <w:rPr>
                <w:sz w:val="16"/>
              </w:rPr>
            </w:pPr>
            <w:r>
              <w:rPr>
                <w:sz w:val="16"/>
              </w:rPr>
              <w:t>24,48</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Источник:</w:t>
      </w:r>
      <w:r>
        <w:t xml:space="preserve"> Комиссия по гражданской службе.</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Участие женщин, в частности, экспертов, в составе делегаций, направляемых за рубеж по линии министерства иностранных дел и по делам эмигрантов, является ничтожным и не превышает одного процента.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Оценить участие экспертов-женщин в составе переговорных делегаций, формируемых по линии других министерств, не представляется возможным. Согласно разным источникам, доля женщин в них также не превышает одного процента от общего размера делегаций. Исключение составляют лишь делегации, занимающиеся делами женщин и детей и другими сугубо социальными вопросами (в особенности, делегации, сопровождающие супругу главы государства), где женщины составляют большинство.</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 xml:space="preserve">Участие ливанских женщин в системе Организации Объединенных Наций и специализированных учреждений регулируется системой квот и условиями службы в международных организациях в соответствии с критериями, установленными Генеральным секретарем с целью предотвращения дискриминации по признаку пола. </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В.</w:t>
      </w:r>
      <w:r>
        <w:tab/>
        <w:t>Судебная власть: По сравнению с другими секторами судебная власть претерпела значительные изменения с точки зрения доли и уровня участия женщин. Как видно из приведенных ниже таблиц 6 и 7, из 37 судей Кассационного суда 5 являются женщинами. Женщины преобладают среди учеников судей в судах общей юрисдикции (41 женщина и 28 мужчин на первом году обучения и 19 женщин и 9 мужчин на втором году обучения) и административных судах (семь женщин и один мужчина на первом году обучения и четыре женщины и три мужчины на втором году обучения). Таким образом, среди 112 учеников судей насчитывается 71 женщина.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 xml:space="preserve">Среди судей, занимающихся рассмотрением уголовных дел, работает 32 женщины. В структуре судов общей юрисдикции десять женщин совмещают обязанности судьи и председателя судейской коллегии. Из общего количества женщин-судей 127 работают в судах общей юрисдикции и 11 – в административных судах. </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По прогнозам министерства юстиции, составленным на основе этих данных, при сохранении такой тенденции полное равенство между мужчинами и женщинами в данном секторе будет достигнуто через десять лет, когда количественные показатели сравняются.</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Следует отметить, что при всем увеличении количества женщин среди судей членство в Конституционном совете, Верховном совете судей и Юридическом совете остается прерогативой мужчин, несмотря на многолетний опыт и компетентность целого ряда судей-женщин. Тем не менее, 11 ноября 2004 года на должность прокурора Кассационного суда впервые в истории Ливана была назначена женщина. Таким образом,  женщина вошла и в состав Верховного совета судей, в котором прокурору Кассационного суда отведена должность заместителя председателя (статья 2 Закона о судах общей юрисдикции, законодательное постановление №150 от 16 сентября 1983 года с поправками).</w:t>
      </w:r>
    </w:p>
    <w:p w:rsidR="00000000" w:rsidRDefault="00000000">
      <w:pPr>
        <w:keepNext/>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Таблица 6</w:t>
      </w:r>
    </w:p>
    <w:p w:rsidR="00000000" w:rsidRDefault="00000000">
      <w:pPr>
        <w:pStyle w:val="BodyTe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left"/>
        <w:rPr>
          <w:b/>
        </w:rPr>
      </w:pPr>
      <w:r>
        <w:rPr>
          <w:b/>
        </w:rPr>
        <w:t>Количество судей в составе Государственного консультативного совета с разбивкой по половой принадле</w:t>
      </w:r>
      <w:r>
        <w:rPr>
          <w:b/>
        </w:rPr>
        <w:t>ж</w:t>
      </w:r>
      <w:r>
        <w:rPr>
          <w:b/>
        </w:rPr>
        <w:t>ности (1980-2004)</w:t>
      </w:r>
    </w:p>
    <w:tbl>
      <w:tblPr>
        <w:tblW w:w="0" w:type="auto"/>
        <w:tblInd w:w="1262" w:type="dxa"/>
        <w:tblBorders>
          <w:top w:val="single" w:sz="4" w:space="0" w:color="auto"/>
        </w:tblBorders>
        <w:tblLayout w:type="fixed"/>
        <w:tblLook w:val="0000" w:firstRow="0" w:lastRow="0" w:firstColumn="0" w:lastColumn="0" w:noHBand="0" w:noVBand="0"/>
      </w:tblPr>
      <w:tblGrid>
        <w:gridCol w:w="2160"/>
        <w:gridCol w:w="1710"/>
        <w:gridCol w:w="1692"/>
        <w:gridCol w:w="1818"/>
      </w:tblGrid>
      <w:tr w:rsidR="00000000">
        <w:tblPrEx>
          <w:tblCellMar>
            <w:top w:w="0" w:type="dxa"/>
            <w:bottom w:w="0" w:type="dxa"/>
          </w:tblCellMar>
        </w:tblPrEx>
        <w:trPr>
          <w:tblHeader/>
        </w:trPr>
        <w:tc>
          <w:tcPr>
            <w:tcW w:w="216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rPr>
                <w:i/>
              </w:rPr>
            </w:pPr>
            <w:r>
              <w:rPr>
                <w:i/>
              </w:rPr>
              <w:t>Год</w:t>
            </w:r>
          </w:p>
        </w:tc>
        <w:tc>
          <w:tcPr>
            <w:tcW w:w="171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Мужчины</w:t>
            </w:r>
          </w:p>
        </w:tc>
        <w:tc>
          <w:tcPr>
            <w:tcW w:w="1692"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Женщины</w:t>
            </w:r>
          </w:p>
        </w:tc>
        <w:tc>
          <w:tcPr>
            <w:tcW w:w="1818"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Всего</w:t>
            </w:r>
          </w:p>
        </w:tc>
      </w:tr>
      <w:tr w:rsidR="00000000">
        <w:tblPrEx>
          <w:tblCellMar>
            <w:top w:w="0" w:type="dxa"/>
            <w:bottom w:w="0" w:type="dxa"/>
          </w:tblCellMar>
        </w:tblPrEx>
        <w:tc>
          <w:tcPr>
            <w:tcW w:w="2160" w:type="dxa"/>
            <w:tcBorders>
              <w:top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1980</w:t>
            </w:r>
          </w:p>
        </w:tc>
        <w:tc>
          <w:tcPr>
            <w:tcW w:w="1710" w:type="dxa"/>
            <w:tcBorders>
              <w:top w:val="nil"/>
            </w:tcBorders>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25</w:t>
            </w:r>
          </w:p>
        </w:tc>
        <w:tc>
          <w:tcPr>
            <w:tcW w:w="1692" w:type="dxa"/>
            <w:tcBorders>
              <w:top w:val="nil"/>
            </w:tcBorders>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1</w:t>
            </w:r>
          </w:p>
        </w:tc>
        <w:tc>
          <w:tcPr>
            <w:tcW w:w="1818" w:type="dxa"/>
            <w:tcBorders>
              <w:top w:val="nil"/>
            </w:tcBorders>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26</w:t>
            </w:r>
          </w:p>
        </w:tc>
      </w:tr>
      <w:tr w:rsidR="00000000">
        <w:tblPrEx>
          <w:tblCellMar>
            <w:top w:w="0" w:type="dxa"/>
            <w:bottom w:w="0" w:type="dxa"/>
          </w:tblCellMar>
        </w:tblPrEx>
        <w:tc>
          <w:tcPr>
            <w:tcW w:w="216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1985</w:t>
            </w:r>
          </w:p>
        </w:tc>
        <w:tc>
          <w:tcPr>
            <w:tcW w:w="1710"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20</w:t>
            </w:r>
          </w:p>
        </w:tc>
        <w:tc>
          <w:tcPr>
            <w:tcW w:w="1692"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1</w:t>
            </w:r>
          </w:p>
        </w:tc>
        <w:tc>
          <w:tcPr>
            <w:tcW w:w="1818"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21</w:t>
            </w:r>
          </w:p>
        </w:tc>
      </w:tr>
      <w:tr w:rsidR="00000000">
        <w:tblPrEx>
          <w:tblCellMar>
            <w:top w:w="0" w:type="dxa"/>
            <w:bottom w:w="0" w:type="dxa"/>
          </w:tblCellMar>
        </w:tblPrEx>
        <w:tc>
          <w:tcPr>
            <w:tcW w:w="216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1990</w:t>
            </w:r>
          </w:p>
        </w:tc>
        <w:tc>
          <w:tcPr>
            <w:tcW w:w="1710"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16</w:t>
            </w:r>
          </w:p>
        </w:tc>
        <w:tc>
          <w:tcPr>
            <w:tcW w:w="1692"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w:t>
            </w:r>
          </w:p>
        </w:tc>
        <w:tc>
          <w:tcPr>
            <w:tcW w:w="1818"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18</w:t>
            </w:r>
          </w:p>
        </w:tc>
      </w:tr>
      <w:tr w:rsidR="00000000">
        <w:tblPrEx>
          <w:tblCellMar>
            <w:top w:w="0" w:type="dxa"/>
            <w:bottom w:w="0" w:type="dxa"/>
          </w:tblCellMar>
        </w:tblPrEx>
        <w:tc>
          <w:tcPr>
            <w:tcW w:w="216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1995</w:t>
            </w:r>
          </w:p>
        </w:tc>
        <w:tc>
          <w:tcPr>
            <w:tcW w:w="1710"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26</w:t>
            </w:r>
          </w:p>
        </w:tc>
        <w:tc>
          <w:tcPr>
            <w:tcW w:w="1692"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7</w:t>
            </w:r>
          </w:p>
        </w:tc>
        <w:tc>
          <w:tcPr>
            <w:tcW w:w="1818"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33</w:t>
            </w:r>
          </w:p>
        </w:tc>
      </w:tr>
      <w:tr w:rsidR="00000000">
        <w:tblPrEx>
          <w:tblCellMar>
            <w:top w:w="0" w:type="dxa"/>
            <w:bottom w:w="0" w:type="dxa"/>
          </w:tblCellMar>
        </w:tblPrEx>
        <w:tc>
          <w:tcPr>
            <w:tcW w:w="216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2000</w:t>
            </w:r>
          </w:p>
        </w:tc>
        <w:tc>
          <w:tcPr>
            <w:tcW w:w="1710"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26</w:t>
            </w:r>
          </w:p>
        </w:tc>
        <w:tc>
          <w:tcPr>
            <w:tcW w:w="1692"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7</w:t>
            </w:r>
          </w:p>
        </w:tc>
        <w:tc>
          <w:tcPr>
            <w:tcW w:w="1818" w:type="dxa"/>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33</w:t>
            </w:r>
          </w:p>
        </w:tc>
      </w:tr>
      <w:tr w:rsidR="00000000">
        <w:tblPrEx>
          <w:tblCellMar>
            <w:top w:w="0" w:type="dxa"/>
            <w:bottom w:w="0" w:type="dxa"/>
          </w:tblCellMar>
        </w:tblPrEx>
        <w:tc>
          <w:tcPr>
            <w:tcW w:w="2160" w:type="dxa"/>
            <w:tcBorders>
              <w:bottom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2003</w:t>
            </w:r>
          </w:p>
        </w:tc>
        <w:tc>
          <w:tcPr>
            <w:tcW w:w="1710" w:type="dxa"/>
            <w:tcBorders>
              <w:bottom w:val="nil"/>
            </w:tcBorders>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28</w:t>
            </w:r>
          </w:p>
        </w:tc>
        <w:tc>
          <w:tcPr>
            <w:tcW w:w="1692" w:type="dxa"/>
            <w:tcBorders>
              <w:bottom w:val="nil"/>
            </w:tcBorders>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7</w:t>
            </w:r>
          </w:p>
        </w:tc>
        <w:tc>
          <w:tcPr>
            <w:tcW w:w="1818" w:type="dxa"/>
            <w:tcBorders>
              <w:bottom w:val="nil"/>
            </w:tcBorders>
          </w:tcPr>
          <w:p w:rsidR="00000000" w:rsidRDefault="00000000">
            <w:pPr>
              <w:tabs>
                <w:tab w:val="left" w:pos="680"/>
                <w:tab w:val="left" w:pos="1022"/>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35</w:t>
            </w:r>
          </w:p>
        </w:tc>
      </w:tr>
      <w:tr w:rsidR="00000000">
        <w:tblPrEx>
          <w:tblCellMar>
            <w:top w:w="0" w:type="dxa"/>
            <w:bottom w:w="0" w:type="dxa"/>
          </w:tblCellMar>
        </w:tblPrEx>
        <w:tc>
          <w:tcPr>
            <w:tcW w:w="2160" w:type="dxa"/>
            <w:tcBorders>
              <w:top w:val="nil"/>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2004</w:t>
            </w:r>
          </w:p>
        </w:tc>
        <w:tc>
          <w:tcPr>
            <w:tcW w:w="1710" w:type="dxa"/>
            <w:tcBorders>
              <w:top w:val="nil"/>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32</w:t>
            </w:r>
          </w:p>
        </w:tc>
        <w:tc>
          <w:tcPr>
            <w:tcW w:w="1692" w:type="dxa"/>
            <w:tcBorders>
              <w:top w:val="nil"/>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11</w:t>
            </w:r>
          </w:p>
        </w:tc>
        <w:tc>
          <w:tcPr>
            <w:tcW w:w="1818" w:type="dxa"/>
            <w:tcBorders>
              <w:top w:val="nil"/>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42"/>
              <w:jc w:val="right"/>
            </w:pPr>
            <w:r>
              <w:t>43</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Источник</w:t>
      </w:r>
      <w:r>
        <w:t>: Министерство юстиции, Управление по делам судей и судебных служащих (11 ноября 2004 года)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Таблица 7</w:t>
      </w:r>
    </w:p>
    <w:p w:rsidR="00000000" w:rsidRDefault="00000000">
      <w:pPr>
        <w:pStyle w:val="BodyT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left"/>
        <w:rPr>
          <w:b/>
        </w:rPr>
      </w:pPr>
      <w:r>
        <w:rPr>
          <w:b/>
        </w:rPr>
        <w:t>Количество судей с разбивкой по половой принадлежности (1980-2004)</w:t>
      </w:r>
    </w:p>
    <w:tbl>
      <w:tblPr>
        <w:tblW w:w="0" w:type="auto"/>
        <w:tblInd w:w="1262" w:type="dxa"/>
        <w:tblBorders>
          <w:bottom w:val="single" w:sz="12" w:space="0" w:color="auto"/>
        </w:tblBorders>
        <w:tblLayout w:type="fixed"/>
        <w:tblCellMar>
          <w:left w:w="21" w:type="dxa"/>
          <w:right w:w="21" w:type="dxa"/>
        </w:tblCellMar>
        <w:tblLook w:val="0000" w:firstRow="0" w:lastRow="0" w:firstColumn="0" w:lastColumn="0" w:noHBand="0" w:noVBand="0"/>
      </w:tblPr>
      <w:tblGrid>
        <w:gridCol w:w="2790"/>
        <w:gridCol w:w="1710"/>
        <w:gridCol w:w="1440"/>
        <w:gridCol w:w="1440"/>
      </w:tblGrid>
      <w:tr w:rsidR="00000000">
        <w:tblPrEx>
          <w:tblCellMar>
            <w:top w:w="0" w:type="dxa"/>
            <w:bottom w:w="0" w:type="dxa"/>
          </w:tblCellMar>
        </w:tblPrEx>
        <w:tc>
          <w:tcPr>
            <w:tcW w:w="279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rPr>
                <w:i/>
              </w:rPr>
            </w:pPr>
            <w:r>
              <w:rPr>
                <w:i/>
              </w:rPr>
              <w:t>Год</w:t>
            </w:r>
          </w:p>
        </w:tc>
        <w:tc>
          <w:tcPr>
            <w:tcW w:w="171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Мужчины</w:t>
            </w:r>
          </w:p>
        </w:tc>
        <w:tc>
          <w:tcPr>
            <w:tcW w:w="144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Женщины</w:t>
            </w:r>
          </w:p>
        </w:tc>
        <w:tc>
          <w:tcPr>
            <w:tcW w:w="144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center"/>
              <w:rPr>
                <w:i/>
              </w:rPr>
            </w:pPr>
            <w:r>
              <w:rPr>
                <w:i/>
              </w:rPr>
              <w:t>Всего</w:t>
            </w:r>
          </w:p>
        </w:tc>
      </w:tr>
      <w:tr w:rsidR="00000000">
        <w:tblPrEx>
          <w:tblCellMar>
            <w:top w:w="0" w:type="dxa"/>
            <w:bottom w:w="0" w:type="dxa"/>
          </w:tblCellMar>
        </w:tblPrEx>
        <w:tc>
          <w:tcPr>
            <w:tcW w:w="2790" w:type="dxa"/>
            <w:tcBorders>
              <w:top w:val="nil"/>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1980</w:t>
            </w:r>
          </w:p>
        </w:tc>
        <w:tc>
          <w:tcPr>
            <w:tcW w:w="1710" w:type="dxa"/>
            <w:tcBorders>
              <w:top w:val="nil"/>
            </w:tcBorders>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271</w:t>
            </w:r>
          </w:p>
        </w:tc>
        <w:tc>
          <w:tcPr>
            <w:tcW w:w="1440" w:type="dxa"/>
            <w:tcBorders>
              <w:top w:val="nil"/>
            </w:tcBorders>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7</w:t>
            </w:r>
          </w:p>
        </w:tc>
        <w:tc>
          <w:tcPr>
            <w:tcW w:w="1440" w:type="dxa"/>
            <w:tcBorders>
              <w:top w:val="nil"/>
            </w:tcBorders>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278</w:t>
            </w:r>
          </w:p>
        </w:tc>
      </w:tr>
      <w:tr w:rsidR="00000000">
        <w:tblPrEx>
          <w:tblCellMar>
            <w:top w:w="0" w:type="dxa"/>
            <w:bottom w:w="0" w:type="dxa"/>
          </w:tblCellMar>
        </w:tblPrEx>
        <w:tc>
          <w:tcPr>
            <w:tcW w:w="27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1985</w:t>
            </w:r>
          </w:p>
        </w:tc>
        <w:tc>
          <w:tcPr>
            <w:tcW w:w="171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273</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12</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285</w:t>
            </w:r>
          </w:p>
        </w:tc>
      </w:tr>
      <w:tr w:rsidR="00000000">
        <w:tblPrEx>
          <w:tblCellMar>
            <w:top w:w="0" w:type="dxa"/>
            <w:bottom w:w="0" w:type="dxa"/>
          </w:tblCellMar>
        </w:tblPrEx>
        <w:tc>
          <w:tcPr>
            <w:tcW w:w="27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1990</w:t>
            </w:r>
          </w:p>
        </w:tc>
        <w:tc>
          <w:tcPr>
            <w:tcW w:w="171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256</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29</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285</w:t>
            </w:r>
          </w:p>
        </w:tc>
      </w:tr>
      <w:tr w:rsidR="00000000">
        <w:tblPrEx>
          <w:tblCellMar>
            <w:top w:w="0" w:type="dxa"/>
            <w:bottom w:w="0" w:type="dxa"/>
          </w:tblCellMar>
        </w:tblPrEx>
        <w:tc>
          <w:tcPr>
            <w:tcW w:w="27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1995</w:t>
            </w:r>
          </w:p>
        </w:tc>
        <w:tc>
          <w:tcPr>
            <w:tcW w:w="171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291</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55</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346</w:t>
            </w:r>
          </w:p>
        </w:tc>
      </w:tr>
      <w:tr w:rsidR="00000000">
        <w:tblPrEx>
          <w:tblCellMar>
            <w:top w:w="0" w:type="dxa"/>
            <w:bottom w:w="0" w:type="dxa"/>
          </w:tblCellMar>
        </w:tblPrEx>
        <w:tc>
          <w:tcPr>
            <w:tcW w:w="27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2000</w:t>
            </w:r>
          </w:p>
        </w:tc>
        <w:tc>
          <w:tcPr>
            <w:tcW w:w="171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276</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80</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356</w:t>
            </w:r>
          </w:p>
        </w:tc>
      </w:tr>
      <w:tr w:rsidR="00000000">
        <w:tblPrEx>
          <w:tblCellMar>
            <w:top w:w="0" w:type="dxa"/>
            <w:bottom w:w="0" w:type="dxa"/>
          </w:tblCellMar>
        </w:tblPrEx>
        <w:tc>
          <w:tcPr>
            <w:tcW w:w="27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2003</w:t>
            </w:r>
          </w:p>
        </w:tc>
        <w:tc>
          <w:tcPr>
            <w:tcW w:w="171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279</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102</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381</w:t>
            </w:r>
          </w:p>
        </w:tc>
      </w:tr>
      <w:tr w:rsidR="00000000">
        <w:tblPrEx>
          <w:tblCellMar>
            <w:top w:w="0" w:type="dxa"/>
            <w:bottom w:w="0" w:type="dxa"/>
          </w:tblCellMar>
        </w:tblPrEx>
        <w:tc>
          <w:tcPr>
            <w:tcW w:w="27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jc w:val="both"/>
            </w:pPr>
            <w:r>
              <w:t>2004</w:t>
            </w:r>
          </w:p>
        </w:tc>
        <w:tc>
          <w:tcPr>
            <w:tcW w:w="171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307</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127</w:t>
            </w:r>
          </w:p>
        </w:tc>
        <w:tc>
          <w:tcPr>
            <w:tcW w:w="1440" w:type="dxa"/>
          </w:tcPr>
          <w:p w:rsidR="00000000" w:rsidRDefault="00000000">
            <w:pPr>
              <w:tabs>
                <w:tab w:val="left" w:pos="680"/>
                <w:tab w:val="left" w:pos="1022"/>
                <w:tab w:val="left" w:pos="1134"/>
                <w:tab w:val="left" w:pos="1267"/>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right="339"/>
              <w:jc w:val="right"/>
            </w:pPr>
            <w:r>
              <w:t>434</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Источник</w:t>
      </w:r>
      <w:r>
        <w:t>: Министерство юстиции, Управление по делам судей и судебных служащих (11 ноября 2004 года)</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Положение дел в судах по финансовым преступлениям (Ревизорское управление) мало чем отличается от ситуации в судах общей юрисдикции и административных судах. В начале 1990-х годов в Ревизорском управлении работала только одна женщина-судья, и еще три женщины занимали должность финансовых ревизоров. В то время в законодательстве отсутствовали положения, предусматривающие должность аудиторов. В конце 1990</w:t>
      </w:r>
      <w:r>
        <w:noBreakHyphen/>
        <w:t>х – начале 2000</w:t>
      </w:r>
      <w:r>
        <w:noBreakHyphen/>
        <w:t>х годов количество женщин среди судей по финансовым преступлениям значительно возросло, подтверждая прогнозы министерства юстиции о достижении полного равенства в течение ближайшего десятилетия (см. таблицу 8).</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Таблица 8</w:t>
      </w:r>
    </w:p>
    <w:p w:rsidR="00000000" w:rsidRDefault="00000000">
      <w:pPr>
        <w:pStyle w:val="BodyTe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left"/>
        <w:rPr>
          <w:b/>
        </w:rPr>
      </w:pPr>
      <w:r>
        <w:rPr>
          <w:b/>
        </w:rPr>
        <w:t>Количество должностей в составе судов по финансовым преступлениям с разбивкой по половой принадле</w:t>
      </w:r>
      <w:r>
        <w:rPr>
          <w:b/>
        </w:rPr>
        <w:t>ж</w:t>
      </w:r>
      <w:r>
        <w:rPr>
          <w:b/>
        </w:rPr>
        <w:t>ности сотрудников (2000-2004)</w:t>
      </w:r>
    </w:p>
    <w:tbl>
      <w:tblPr>
        <w:tblW w:w="0" w:type="auto"/>
        <w:tblInd w:w="1262" w:type="dxa"/>
        <w:tblLayout w:type="fixed"/>
        <w:tblCellMar>
          <w:left w:w="21" w:type="dxa"/>
          <w:right w:w="21" w:type="dxa"/>
        </w:tblCellMar>
        <w:tblLook w:val="0000" w:firstRow="0" w:lastRow="0" w:firstColumn="0" w:lastColumn="0" w:noHBand="0" w:noVBand="0"/>
      </w:tblPr>
      <w:tblGrid>
        <w:gridCol w:w="1890"/>
        <w:gridCol w:w="900"/>
        <w:gridCol w:w="900"/>
        <w:gridCol w:w="900"/>
        <w:gridCol w:w="990"/>
        <w:gridCol w:w="990"/>
        <w:gridCol w:w="810"/>
      </w:tblGrid>
      <w:tr w:rsidR="00000000">
        <w:tblPrEx>
          <w:tblCellMar>
            <w:top w:w="0" w:type="dxa"/>
            <w:bottom w:w="0" w:type="dxa"/>
          </w:tblCellMar>
        </w:tblPrEx>
        <w:trPr>
          <w:cantSplit/>
        </w:trPr>
        <w:tc>
          <w:tcPr>
            <w:tcW w:w="1890" w:type="dxa"/>
            <w:tcBorders>
              <w:top w:val="single" w:sz="4" w:space="0" w:color="auto"/>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p>
        </w:tc>
        <w:tc>
          <w:tcPr>
            <w:tcW w:w="2700" w:type="dxa"/>
            <w:gridSpan w:val="3"/>
            <w:tcBorders>
              <w:top w:val="single" w:sz="4" w:space="0" w:color="auto"/>
              <w:bottom w:val="single" w:sz="12" w:space="0" w:color="auto"/>
            </w:tcBorders>
          </w:tcPr>
          <w:p w:rsidR="00000000" w:rsidRDefault="00000000">
            <w:pPr>
              <w:tabs>
                <w:tab w:val="left" w:pos="680"/>
                <w:tab w:val="left" w:pos="1022"/>
                <w:tab w:val="left" w:pos="1267"/>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8"/>
              </w:rPr>
            </w:pPr>
            <w:r>
              <w:rPr>
                <w:i/>
                <w:sz w:val="18"/>
              </w:rPr>
              <w:t>2000</w:t>
            </w:r>
          </w:p>
        </w:tc>
        <w:tc>
          <w:tcPr>
            <w:tcW w:w="2790" w:type="dxa"/>
            <w:gridSpan w:val="3"/>
            <w:tcBorders>
              <w:top w:val="single" w:sz="4" w:space="0" w:color="auto"/>
              <w:bottom w:val="single" w:sz="12" w:space="0" w:color="auto"/>
            </w:tcBorders>
          </w:tcPr>
          <w:p w:rsidR="00000000" w:rsidRDefault="00000000">
            <w:pPr>
              <w:tabs>
                <w:tab w:val="left" w:pos="680"/>
                <w:tab w:val="left" w:pos="1022"/>
                <w:tab w:val="left" w:pos="1267"/>
                <w:tab w:val="left" w:pos="1701"/>
                <w:tab w:val="left" w:pos="1742"/>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center"/>
              <w:rPr>
                <w:i/>
                <w:sz w:val="18"/>
              </w:rPr>
            </w:pPr>
            <w:r>
              <w:rPr>
                <w:i/>
                <w:sz w:val="18"/>
              </w:rPr>
              <w:t>2004</w:t>
            </w:r>
          </w:p>
        </w:tc>
      </w:tr>
      <w:tr w:rsidR="00000000">
        <w:tblPrEx>
          <w:tblCellMar>
            <w:top w:w="0" w:type="dxa"/>
            <w:bottom w:w="0" w:type="dxa"/>
          </w:tblCellMar>
        </w:tblPrEx>
        <w:trPr>
          <w:cantSplit/>
          <w:trHeight w:val="264"/>
        </w:trPr>
        <w:tc>
          <w:tcPr>
            <w:tcW w:w="1890" w:type="dxa"/>
          </w:tcPr>
          <w:p w:rsidR="00000000" w:rsidRDefault="00000000">
            <w:pPr>
              <w:pStyle w:val="Heading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before="0" w:after="0"/>
              <w:rPr>
                <w:rFonts w:ascii="Times New Roman" w:hAnsi="Times New Roman"/>
                <w:b w:val="0"/>
                <w:sz w:val="18"/>
              </w:rPr>
            </w:pPr>
            <w:r>
              <w:rPr>
                <w:rFonts w:ascii="Times New Roman" w:hAnsi="Times New Roman"/>
                <w:b w:val="0"/>
                <w:sz w:val="18"/>
              </w:rPr>
              <w:t>Должность</w:t>
            </w:r>
          </w:p>
        </w:tc>
        <w:tc>
          <w:tcPr>
            <w:tcW w:w="90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Женщины</w:t>
            </w:r>
          </w:p>
        </w:tc>
        <w:tc>
          <w:tcPr>
            <w:tcW w:w="90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Мужчины</w:t>
            </w:r>
          </w:p>
        </w:tc>
        <w:tc>
          <w:tcPr>
            <w:tcW w:w="90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Процент</w:t>
            </w:r>
          </w:p>
        </w:tc>
        <w:tc>
          <w:tcPr>
            <w:tcW w:w="9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Женщины</w:t>
            </w:r>
          </w:p>
        </w:tc>
        <w:tc>
          <w:tcPr>
            <w:tcW w:w="9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Мужчины</w:t>
            </w:r>
          </w:p>
        </w:tc>
        <w:tc>
          <w:tcPr>
            <w:tcW w:w="81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i/>
                <w:sz w:val="18"/>
              </w:rPr>
            </w:pPr>
            <w:r>
              <w:rPr>
                <w:i/>
                <w:sz w:val="18"/>
              </w:rPr>
              <w:t>Процент</w:t>
            </w:r>
          </w:p>
        </w:tc>
      </w:tr>
      <w:tr w:rsidR="00000000">
        <w:tblPrEx>
          <w:tblCellMar>
            <w:top w:w="0" w:type="dxa"/>
            <w:bottom w:w="0" w:type="dxa"/>
          </w:tblCellMar>
        </w:tblPrEx>
        <w:trPr>
          <w:cantSplit/>
        </w:trPr>
        <w:tc>
          <w:tcPr>
            <w:tcW w:w="18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Судья</w:t>
            </w:r>
          </w:p>
        </w:tc>
        <w:tc>
          <w:tcPr>
            <w:tcW w:w="90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9</w:t>
            </w:r>
          </w:p>
        </w:tc>
        <w:tc>
          <w:tcPr>
            <w:tcW w:w="90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18</w:t>
            </w:r>
          </w:p>
        </w:tc>
        <w:tc>
          <w:tcPr>
            <w:tcW w:w="90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33</w:t>
            </w:r>
          </w:p>
        </w:tc>
        <w:tc>
          <w:tcPr>
            <w:tcW w:w="99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15</w:t>
            </w:r>
          </w:p>
        </w:tc>
        <w:tc>
          <w:tcPr>
            <w:tcW w:w="99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19</w:t>
            </w:r>
          </w:p>
        </w:tc>
        <w:tc>
          <w:tcPr>
            <w:tcW w:w="81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44</w:t>
            </w:r>
          </w:p>
        </w:tc>
      </w:tr>
      <w:tr w:rsidR="00000000">
        <w:tblPrEx>
          <w:tblCellMar>
            <w:top w:w="0" w:type="dxa"/>
            <w:bottom w:w="0" w:type="dxa"/>
          </w:tblCellMar>
        </w:tblPrEx>
        <w:trPr>
          <w:cantSplit/>
        </w:trPr>
        <w:tc>
          <w:tcPr>
            <w:tcW w:w="1890" w:type="dxa"/>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Ревизор</w:t>
            </w:r>
          </w:p>
        </w:tc>
        <w:tc>
          <w:tcPr>
            <w:tcW w:w="90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22</w:t>
            </w:r>
          </w:p>
        </w:tc>
        <w:tc>
          <w:tcPr>
            <w:tcW w:w="90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5</w:t>
            </w:r>
          </w:p>
        </w:tc>
        <w:tc>
          <w:tcPr>
            <w:tcW w:w="90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81</w:t>
            </w:r>
          </w:p>
        </w:tc>
        <w:tc>
          <w:tcPr>
            <w:tcW w:w="99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24</w:t>
            </w:r>
          </w:p>
        </w:tc>
        <w:tc>
          <w:tcPr>
            <w:tcW w:w="99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8</w:t>
            </w:r>
          </w:p>
        </w:tc>
        <w:tc>
          <w:tcPr>
            <w:tcW w:w="810" w:type="dxa"/>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75</w:t>
            </w:r>
          </w:p>
        </w:tc>
      </w:tr>
      <w:tr w:rsidR="00000000">
        <w:tblPrEx>
          <w:tblCellMar>
            <w:top w:w="0" w:type="dxa"/>
            <w:bottom w:w="0" w:type="dxa"/>
          </w:tblCellMar>
        </w:tblPrEx>
        <w:trPr>
          <w:cantSplit/>
        </w:trPr>
        <w:tc>
          <w:tcPr>
            <w:tcW w:w="1890" w:type="dxa"/>
            <w:tcBorders>
              <w:bottom w:val="single" w:sz="12" w:space="0" w:color="auto"/>
            </w:tcBorders>
          </w:tcPr>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jc w:val="both"/>
              <w:rPr>
                <w:sz w:val="18"/>
              </w:rPr>
            </w:pPr>
            <w:r>
              <w:rPr>
                <w:sz w:val="18"/>
              </w:rPr>
              <w:t>Аудитор</w:t>
            </w:r>
          </w:p>
        </w:tc>
        <w:tc>
          <w:tcPr>
            <w:tcW w:w="900" w:type="dxa"/>
            <w:tcBorders>
              <w:bottom w:val="single" w:sz="12" w:space="0" w:color="auto"/>
            </w:tcBorders>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10</w:t>
            </w:r>
          </w:p>
        </w:tc>
        <w:tc>
          <w:tcPr>
            <w:tcW w:w="900" w:type="dxa"/>
            <w:tcBorders>
              <w:bottom w:val="single" w:sz="12" w:space="0" w:color="auto"/>
            </w:tcBorders>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17</w:t>
            </w:r>
          </w:p>
        </w:tc>
        <w:tc>
          <w:tcPr>
            <w:tcW w:w="900" w:type="dxa"/>
            <w:tcBorders>
              <w:bottom w:val="single" w:sz="12" w:space="0" w:color="auto"/>
            </w:tcBorders>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37</w:t>
            </w:r>
          </w:p>
        </w:tc>
        <w:tc>
          <w:tcPr>
            <w:tcW w:w="990" w:type="dxa"/>
            <w:tcBorders>
              <w:bottom w:val="single" w:sz="12" w:space="0" w:color="auto"/>
            </w:tcBorders>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12</w:t>
            </w:r>
          </w:p>
        </w:tc>
        <w:tc>
          <w:tcPr>
            <w:tcW w:w="990" w:type="dxa"/>
            <w:tcBorders>
              <w:bottom w:val="single" w:sz="12" w:space="0" w:color="auto"/>
            </w:tcBorders>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16</w:t>
            </w:r>
          </w:p>
        </w:tc>
        <w:tc>
          <w:tcPr>
            <w:tcW w:w="810" w:type="dxa"/>
            <w:tcBorders>
              <w:bottom w:val="single" w:sz="12" w:space="0" w:color="auto"/>
            </w:tcBorders>
          </w:tcPr>
          <w:p w:rsidR="00000000" w:rsidRDefault="00000000">
            <w:pPr>
              <w:tabs>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69"/>
              <w:jc w:val="right"/>
              <w:rPr>
                <w:sz w:val="18"/>
              </w:rPr>
            </w:pPr>
            <w:r>
              <w:rPr>
                <w:sz w:val="18"/>
              </w:rPr>
              <w:t>42</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rPr>
          <w:i/>
        </w:rPr>
        <w:t>Источник</w:t>
      </w:r>
      <w:r>
        <w:t>: Ревизорское управление</w:t>
      </w:r>
    </w:p>
    <w:p w:rsidR="00000000" w:rsidRDefault="00000000">
      <w:pPr>
        <w:tabs>
          <w:tab w:val="left" w:pos="680"/>
          <w:tab w:val="left" w:pos="1022"/>
          <w:tab w:val="left" w:pos="1134"/>
          <w:tab w:val="left" w:pos="1267"/>
          <w:tab w:val="left" w:pos="1701"/>
          <w:tab w:val="left" w:pos="1742"/>
          <w:tab w:val="left" w:pos="2218"/>
          <w:tab w:val="left" w:pos="226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spacing w:after="120"/>
        <w:ind w:left="1267" w:right="1267"/>
        <w:jc w:val="both"/>
      </w:pPr>
      <w:r>
        <w:tab/>
        <w:t xml:space="preserve">Еще одним </w:t>
      </w:r>
      <w:r>
        <w:rPr>
          <w:i/>
        </w:rPr>
        <w:t>свидетельством</w:t>
      </w:r>
      <w:r>
        <w:t xml:space="preserve"> положительной динамики изменения статуса же</w:t>
      </w:r>
      <w:r>
        <w:t>н</w:t>
      </w:r>
      <w:r>
        <w:t>щин, занятых в судебной системе, является рост количества женщин-нотариусов за последние годы. Обычно эти должности занимали мужчины. Однако в настоящее время на работу принимаются и женщины, в частности в губернаторстве Северный Ливан, как показано в Таблице 9 ниже. По результ</w:t>
      </w:r>
      <w:r>
        <w:t>а</w:t>
      </w:r>
      <w:r>
        <w:t>там недавно проведенного конкурсного экзамена, среди лиц, получивших пр</w:t>
      </w:r>
      <w:r>
        <w:t>а</w:t>
      </w:r>
      <w:r>
        <w:t>во нотариальной деятельности (но еще не назначенных на должность на м</w:t>
      </w:r>
      <w:r>
        <w:t>о</w:t>
      </w:r>
      <w:r>
        <w:t>мент составления настоящего отчета), половину составляют мужчины и пол</w:t>
      </w:r>
      <w:r>
        <w:t>о</w:t>
      </w:r>
      <w:r>
        <w:t>вину - женщины (7 из 14).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9</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Количество нотариусов с разбивкой по провинциям и половой прина</w:t>
      </w:r>
      <w:r>
        <w:rPr>
          <w:b/>
        </w:rPr>
        <w:t>д</w:t>
      </w:r>
      <w:r>
        <w:rPr>
          <w:b/>
        </w:rPr>
        <w:t>лежности</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2340"/>
        <w:gridCol w:w="1260"/>
        <w:gridCol w:w="1478"/>
        <w:gridCol w:w="862"/>
        <w:gridCol w:w="1103"/>
      </w:tblGrid>
      <w:tr w:rsidR="00000000">
        <w:tblPrEx>
          <w:tblCellMar>
            <w:top w:w="0" w:type="dxa"/>
            <w:bottom w:w="0" w:type="dxa"/>
          </w:tblCellMar>
        </w:tblPrEx>
        <w:tc>
          <w:tcPr>
            <w:tcW w:w="2340" w:type="dxa"/>
            <w:tcBorders>
              <w:top w:val="single" w:sz="12" w:space="0" w:color="auto"/>
              <w:left w:val="nil"/>
              <w:bottom w:val="single" w:sz="6" w:space="0" w:color="000000"/>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Провинция (мухафаза)</w:t>
            </w:r>
          </w:p>
        </w:tc>
        <w:tc>
          <w:tcPr>
            <w:tcW w:w="1260" w:type="dxa"/>
            <w:tcBorders>
              <w:top w:val="single" w:sz="12" w:space="0" w:color="auto"/>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Мужчины</w:t>
            </w:r>
          </w:p>
        </w:tc>
        <w:tc>
          <w:tcPr>
            <w:tcW w:w="1478" w:type="dxa"/>
            <w:tcBorders>
              <w:top w:val="single" w:sz="12" w:space="0" w:color="auto"/>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Женщины</w:t>
            </w:r>
          </w:p>
        </w:tc>
        <w:tc>
          <w:tcPr>
            <w:tcW w:w="862" w:type="dxa"/>
            <w:tcBorders>
              <w:top w:val="single" w:sz="12" w:space="0" w:color="auto"/>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 xml:space="preserve">Всего </w:t>
            </w:r>
          </w:p>
        </w:tc>
        <w:tc>
          <w:tcPr>
            <w:tcW w:w="1103" w:type="dxa"/>
            <w:tcBorders>
              <w:top w:val="single" w:sz="12" w:space="0" w:color="auto"/>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Доля (%)</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Бейрут</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34</w:t>
            </w:r>
          </w:p>
        </w:tc>
        <w:tc>
          <w:tcPr>
            <w:tcW w:w="1478"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2</w:t>
            </w:r>
          </w:p>
        </w:tc>
        <w:tc>
          <w:tcPr>
            <w:tcW w:w="86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36</w:t>
            </w:r>
          </w:p>
        </w:tc>
        <w:tc>
          <w:tcPr>
            <w:tcW w:w="1103"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5,5</w:t>
            </w:r>
          </w:p>
        </w:tc>
      </w:tr>
      <w:tr w:rsidR="00000000">
        <w:tblPrEx>
          <w:tblCellMar>
            <w:top w:w="0" w:type="dxa"/>
            <w:bottom w:w="0" w:type="dxa"/>
          </w:tblCellMar>
        </w:tblPrEx>
        <w:tc>
          <w:tcPr>
            <w:tcW w:w="23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Горный Ливан</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59</w:t>
            </w:r>
          </w:p>
        </w:tc>
        <w:tc>
          <w:tcPr>
            <w:tcW w:w="1478"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9</w:t>
            </w:r>
          </w:p>
        </w:tc>
        <w:tc>
          <w:tcPr>
            <w:tcW w:w="86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68</w:t>
            </w:r>
          </w:p>
        </w:tc>
        <w:tc>
          <w:tcPr>
            <w:tcW w:w="1103"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13,2</w:t>
            </w:r>
          </w:p>
        </w:tc>
      </w:tr>
      <w:tr w:rsidR="00000000">
        <w:tblPrEx>
          <w:tblCellMar>
            <w:top w:w="0" w:type="dxa"/>
            <w:bottom w:w="0" w:type="dxa"/>
          </w:tblCellMar>
        </w:tblPrEx>
        <w:tc>
          <w:tcPr>
            <w:tcW w:w="23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Северный Ливан</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10</w:t>
            </w:r>
          </w:p>
        </w:tc>
        <w:tc>
          <w:tcPr>
            <w:tcW w:w="1478"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8</w:t>
            </w:r>
          </w:p>
        </w:tc>
        <w:tc>
          <w:tcPr>
            <w:tcW w:w="86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18</w:t>
            </w:r>
          </w:p>
        </w:tc>
        <w:tc>
          <w:tcPr>
            <w:tcW w:w="1103"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44,4</w:t>
            </w:r>
          </w:p>
        </w:tc>
      </w:tr>
      <w:tr w:rsidR="00000000">
        <w:tblPrEx>
          <w:tblCellMar>
            <w:top w:w="0" w:type="dxa"/>
            <w:bottom w:w="0" w:type="dxa"/>
          </w:tblCellMar>
        </w:tblPrEx>
        <w:tc>
          <w:tcPr>
            <w:tcW w:w="23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Южный Ливан</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10</w:t>
            </w:r>
          </w:p>
        </w:tc>
        <w:tc>
          <w:tcPr>
            <w:tcW w:w="1478"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2</w:t>
            </w:r>
          </w:p>
        </w:tc>
        <w:tc>
          <w:tcPr>
            <w:tcW w:w="86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12</w:t>
            </w:r>
          </w:p>
        </w:tc>
        <w:tc>
          <w:tcPr>
            <w:tcW w:w="1103"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16,6</w:t>
            </w:r>
          </w:p>
        </w:tc>
      </w:tr>
      <w:tr w:rsidR="00000000">
        <w:tblPrEx>
          <w:tblCellMar>
            <w:top w:w="0" w:type="dxa"/>
            <w:bottom w:w="0" w:type="dxa"/>
          </w:tblCellMar>
        </w:tblPrEx>
        <w:tc>
          <w:tcPr>
            <w:tcW w:w="23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Бекаа</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9</w:t>
            </w:r>
          </w:p>
        </w:tc>
        <w:tc>
          <w:tcPr>
            <w:tcW w:w="1478"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нет</w:t>
            </w:r>
          </w:p>
        </w:tc>
        <w:tc>
          <w:tcPr>
            <w:tcW w:w="86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9</w:t>
            </w:r>
          </w:p>
        </w:tc>
        <w:tc>
          <w:tcPr>
            <w:tcW w:w="1103"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0</w:t>
            </w:r>
          </w:p>
        </w:tc>
      </w:tr>
      <w:tr w:rsidR="00000000">
        <w:tblPrEx>
          <w:tblCellMar>
            <w:top w:w="0" w:type="dxa"/>
            <w:bottom w:w="0" w:type="dxa"/>
          </w:tblCellMar>
        </w:tblPrEx>
        <w:tc>
          <w:tcPr>
            <w:tcW w:w="23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Набатия</w:t>
            </w:r>
          </w:p>
        </w:tc>
        <w:tc>
          <w:tcPr>
            <w:tcW w:w="126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5</w:t>
            </w:r>
          </w:p>
        </w:tc>
        <w:tc>
          <w:tcPr>
            <w:tcW w:w="1478"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нет</w:t>
            </w:r>
          </w:p>
        </w:tc>
        <w:tc>
          <w:tcPr>
            <w:tcW w:w="862"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5</w:t>
            </w:r>
          </w:p>
        </w:tc>
        <w:tc>
          <w:tcPr>
            <w:tcW w:w="1103"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0</w:t>
            </w:r>
          </w:p>
        </w:tc>
      </w:tr>
      <w:tr w:rsidR="00000000">
        <w:tblPrEx>
          <w:tblCellMar>
            <w:top w:w="0" w:type="dxa"/>
            <w:bottom w:w="0" w:type="dxa"/>
          </w:tblCellMar>
        </w:tblPrEx>
        <w:tc>
          <w:tcPr>
            <w:tcW w:w="234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Всего</w:t>
            </w:r>
          </w:p>
        </w:tc>
        <w:tc>
          <w:tcPr>
            <w:tcW w:w="126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127</w:t>
            </w:r>
          </w:p>
        </w:tc>
        <w:tc>
          <w:tcPr>
            <w:tcW w:w="1478"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21</w:t>
            </w:r>
          </w:p>
        </w:tc>
        <w:tc>
          <w:tcPr>
            <w:tcW w:w="862"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148</w:t>
            </w:r>
          </w:p>
        </w:tc>
        <w:tc>
          <w:tcPr>
            <w:tcW w:w="1103"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24"/>
              <w:jc w:val="right"/>
            </w:pPr>
            <w:r>
              <w:t>14,18</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Министерство юстиции, Управление по делам судей и сотрудников (11 ноября 2004 г.)</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lang w:val="en-US"/>
        </w:rPr>
        <w:t>C</w:t>
      </w:r>
      <w:r>
        <w:t>.</w:t>
      </w:r>
      <w:r>
        <w:tab/>
        <w:t>Военные и силовые структуры: Женщины продолжают составлять лишь малую часть сотрудников, при этом их обязанности сводятся к админ</w:t>
      </w:r>
      <w:r>
        <w:t>и</w:t>
      </w:r>
      <w:r>
        <w:t>стративно-хозяйственным, а не к оперативным вопросам.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4.</w:t>
      </w:r>
      <w:r>
        <w:rPr>
          <w:i/>
        </w:rPr>
        <w:tab/>
        <w:t>Участие в избирательных кампаниях (парламентские и муниципал</w:t>
      </w:r>
      <w:r>
        <w:rPr>
          <w:i/>
        </w:rPr>
        <w:t>ь</w:t>
      </w:r>
      <w:r>
        <w:rPr>
          <w:i/>
        </w:rPr>
        <w:t>ные выборы)</w:t>
      </w:r>
      <w:r>
        <w:t>: В этом отношении женщины проявляли активность и до прио</w:t>
      </w:r>
      <w:r>
        <w:t>б</w:t>
      </w:r>
      <w:r>
        <w:t>ретения ими избирательных прав. Их участие в избирательных кампаниях в</w:t>
      </w:r>
      <w:r>
        <w:t>ы</w:t>
      </w:r>
      <w:r>
        <w:t>ражалось в различных формах (в частности, организация фестивалей, конф</w:t>
      </w:r>
      <w:r>
        <w:t>е</w:t>
      </w:r>
      <w:r>
        <w:t>ренций и семинаров). В послевоенный период произошли значительные изм</w:t>
      </w:r>
      <w:r>
        <w:t>е</w:t>
      </w:r>
      <w:r>
        <w:t>нения количественного и качественного характера. Проведенные в период 1992</w:t>
      </w:r>
      <w:r>
        <w:noBreakHyphen/>
        <w:t>2004 гг. опросы кандидатов (как мужского, так и женского пола) от г</w:t>
      </w:r>
      <w:r>
        <w:t>о</w:t>
      </w:r>
      <w:r>
        <w:t>родских и сельских районов, а также опросы руководителей их предвыборных кампаний (на парламентских и муниципальных выборах) свидетельствуют о следующем:</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23" w:right="1267" w:hanging="963"/>
        <w:jc w:val="both"/>
      </w:pPr>
      <w:r>
        <w:tab/>
        <w:t>-</w:t>
      </w:r>
      <w:r>
        <w:tab/>
        <w:t>Доля женщин, участвующих в избирательных кампаниях большинства лид</w:t>
      </w:r>
      <w:r>
        <w:t>и</w:t>
      </w:r>
      <w:r>
        <w:t>рующих и хорошо обеспеченных кандидатов, а также кандидатов женского п</w:t>
      </w:r>
      <w:r>
        <w:t>о</w:t>
      </w:r>
      <w:r>
        <w:t>ла варьируется в пределах 40</w:t>
      </w:r>
      <w:r>
        <w:noBreakHyphen/>
        <w:t>60 процентов;</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23" w:right="1267" w:hanging="963"/>
        <w:jc w:val="both"/>
      </w:pPr>
      <w:r>
        <w:tab/>
        <w:t>-</w:t>
      </w:r>
      <w:r>
        <w:tab/>
        <w:t>Молодые женщины (в особенности в возрасте 18</w:t>
      </w:r>
      <w:r>
        <w:noBreakHyphen/>
        <w:t>21</w:t>
      </w:r>
      <w:r>
        <w:rPr>
          <w:lang w:val="en-US"/>
        </w:rPr>
        <w:t> </w:t>
      </w:r>
      <w:r>
        <w:t>года) составляют пода</w:t>
      </w:r>
      <w:r>
        <w:t>в</w:t>
      </w:r>
      <w:r>
        <w:t>ляющее большинство участвующих в избирательных кампаниях женщин, на их долю в среднем приходится от 60 до 90 процентов, а в случае отдельных ка</w:t>
      </w:r>
      <w:r>
        <w:t>н</w:t>
      </w:r>
      <w:r>
        <w:t>дидатов</w:t>
      </w:r>
      <w:r>
        <w:noBreakHyphen/>
        <w:t>женщин еще больше;</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23" w:right="1267" w:hanging="963"/>
        <w:jc w:val="both"/>
      </w:pPr>
      <w:r>
        <w:tab/>
        <w:t>-</w:t>
      </w:r>
      <w:r>
        <w:tab/>
        <w:t>Приведенные цифры характерны не только для городских, но и для сельских ра</w:t>
      </w:r>
      <w:r>
        <w:t>й</w:t>
      </w:r>
      <w:r>
        <w:t>онов;</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23" w:right="1267" w:hanging="963"/>
        <w:jc w:val="both"/>
      </w:pPr>
      <w:r>
        <w:tab/>
        <w:t>-</w:t>
      </w:r>
      <w:r>
        <w:tab/>
        <w:t>Хотя некоторые женщины принимают участие в избирательных компаниях на условиях материального вознаграждения, большинство из них работает на добровольной основе, особенно в рамках нефинансируемых избирательных кампаний отдельных кандидатов –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Сложившаяся ситуация, которая также характеризуется явной политич</w:t>
      </w:r>
      <w:r>
        <w:t>е</w:t>
      </w:r>
      <w:r>
        <w:t>ской активностью молодых женщин, объясняется по-разному. Некоторые сп</w:t>
      </w:r>
      <w:r>
        <w:t>е</w:t>
      </w:r>
      <w:r>
        <w:t>циалисты считают, что это вызвано возросшей политической зрелостью в п</w:t>
      </w:r>
      <w:r>
        <w:t>о</w:t>
      </w:r>
      <w:r>
        <w:t>слевоенный период, повышением уровня образования женщин, приходом их на рынок труда и желанием молодых людей и девушек (в особенности достигших возраста, дающего избирательные права) выразить свои политические взгляды. Кроме того, некоторые склонны объяснять это явление стремлением молодежи к материальному заработку. Тем не менее такое предположение не объясняет тот факт, что значительная часть мужчин и женщин участвовали в избирател</w:t>
      </w:r>
      <w:r>
        <w:t>ь</w:t>
      </w:r>
      <w:r>
        <w:t>ных компаниях в качестве добровольцев. Независимо от фактических причин данного явления, его значение не следует преуменьшать при обучении юношей и девушек и ознакомлении их с политической ситуацией.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5. </w:t>
      </w:r>
      <w:r>
        <w:tab/>
      </w:r>
      <w:r>
        <w:rPr>
          <w:i/>
        </w:rPr>
        <w:t xml:space="preserve">Участие в акциях протеста: </w:t>
      </w:r>
      <w:r>
        <w:t>Участие женщин в мероприятиях такого рода связано с их общей активной протестной позицией. Участие не огранич</w:t>
      </w:r>
      <w:r>
        <w:t>и</w:t>
      </w:r>
      <w:r>
        <w:t>вается рамками какой-либо определенной возрастной группы; вопросы наци</w:t>
      </w:r>
      <w:r>
        <w:t>о</w:t>
      </w:r>
      <w:r>
        <w:t>нальной и региональной значимости, особенно в связи с покушениями на те</w:t>
      </w:r>
      <w:r>
        <w:t>р</w:t>
      </w:r>
      <w:r>
        <w:t>риториальную целостность и суверенность Ливана, привлекают внимание женщин всех возрастных групп, участвующих в демонстрациях, организуемых некоторыми политическими партиями. В общих чертах,  политические лидеры призывают к участию в акциях протеста представителей всех социальных групп и приветствуют участие женщин, так как это, с одной стороны, подче</w:t>
      </w:r>
      <w:r>
        <w:t>р</w:t>
      </w:r>
      <w:r>
        <w:t>кивает наличие у них широкой поддержки со стороны населения, а с другой – создает своеобразный "живой щит" в случае конфронтации с сотрудниками с</w:t>
      </w:r>
      <w:r>
        <w:t>и</w:t>
      </w:r>
      <w:r>
        <w:t>ловых подразделений.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то время как значительная часть молодежи принимает участие в д</w:t>
      </w:r>
      <w:r>
        <w:t>е</w:t>
      </w:r>
      <w:r>
        <w:t xml:space="preserve">монстрациях </w:t>
      </w:r>
      <w:r>
        <w:rPr>
          <w:i/>
        </w:rPr>
        <w:t>против</w:t>
      </w:r>
      <w:r>
        <w:t xml:space="preserve"> политики правительства в отношении прав человека, прав женщин и гражданских прав, свободы выражения мнений, независимости СМИ, суверенитета Ливана, характерно, что женщины пожилого возраста уч</w:t>
      </w:r>
      <w:r>
        <w:t>а</w:t>
      </w:r>
      <w:r>
        <w:t>ствуют в акциях протеста, связанных с повседневными вопросами (например, повышение цен).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Даже по сравнению с послевоенным периодом количество женщин, ст</w:t>
      </w:r>
      <w:r>
        <w:t>а</w:t>
      </w:r>
      <w:r>
        <w:t>вящих свои подписи под петициями, декларирующими какие-либо требования или протест (например, право женщин на более широкое участие в политич</w:t>
      </w:r>
      <w:r>
        <w:t>е</w:t>
      </w:r>
      <w:r>
        <w:t>ском процессе, уважение права на свободу и выражение мнения, проведение муниципальных выборов и т.д.), значительно выросло.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6.</w:t>
      </w:r>
      <w:r>
        <w:tab/>
      </w:r>
      <w:r>
        <w:rPr>
          <w:i/>
        </w:rPr>
        <w:t xml:space="preserve">Участие в политических партиях: </w:t>
      </w:r>
      <w:r>
        <w:t>В нашем распоряжении нет точных статистических данных ни о количестве женщин, вступивших в политические партии, ни о доле женщин в общем количестве членов той или иной партии, ни о занятии женщинами каких-либо партийных постов. Тем не менее, хорошо известно, что на руководящих ступенях партийной иерархии женщин очень мало. Поэтому в руководстве многих партий, за небольшим исключением, в редких случаях состоит больше одной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сравнению с ситуацией 1960-х, в послевоенный период количество желающих вступить в ливанские партии сократилось (что подтверждается да</w:t>
      </w:r>
      <w:r>
        <w:t>н</w:t>
      </w:r>
      <w:r>
        <w:t>ными нескольких опросов фокус</w:t>
      </w:r>
      <w:r>
        <w:noBreakHyphen/>
        <w:t>групп в Ливане), поскольку снизилось дов</w:t>
      </w:r>
      <w:r>
        <w:t>е</w:t>
      </w:r>
      <w:r>
        <w:t>рие граждан Ливана к большинству политических партий, а также вера в роль и эффективность этих партий в качестве демократических механизмов. Пров</w:t>
      </w:r>
      <w:r>
        <w:t>е</w:t>
      </w:r>
      <w:r>
        <w:t>денные опросы охватывают и мужчин, и женщин, но отрицательная позиция женщин по отношению к политическим партиям (не религиозного толка) по сравнению с позицией мужчин, усугубл</w:t>
      </w:r>
      <w:r>
        <w:t>я</w:t>
      </w:r>
      <w:r>
        <w:t>ется следующими фактами: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lang w:val="en-US"/>
        </w:rPr>
        <w:t>a</w:t>
      </w:r>
      <w:r>
        <w:t xml:space="preserve">) </w:t>
      </w:r>
      <w:r>
        <w:tab/>
        <w:t>Проводившимся в 1960-е и 1970-е годы экспериментом по привлеч</w:t>
      </w:r>
      <w:r>
        <w:t>е</w:t>
      </w:r>
      <w:r>
        <w:t>нию женщин в политические партии, который привел к возникновению чувс</w:t>
      </w:r>
      <w:r>
        <w:t>т</w:t>
      </w:r>
      <w:r>
        <w:t>ва дискриминации и доминирования патриархальной роли мужчины, даже в наиболее революционно настроенных и светских партиях, делавших акцент на равенстве полов.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lang w:val="en-US"/>
        </w:rPr>
        <w:t>b</w:t>
      </w:r>
      <w:r>
        <w:t>)</w:t>
      </w:r>
      <w:r>
        <w:tab/>
        <w:t>Практиковавшимся в послевоенный период отношением к женщ</w:t>
      </w:r>
      <w:r>
        <w:t>и</w:t>
      </w:r>
      <w:r>
        <w:t>нам</w:t>
      </w:r>
      <w:r>
        <w:noBreakHyphen/>
        <w:t>членам, сыгравшим активную роль в военное время (на политическом, идеологическом и боевом уровне), которым впоследствии поручили работу по линии социальных вопросов, образования, здравоохранения и религии, что спровоцировало массовый уход женщин из ряда политических партий;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w:t>
      </w:r>
      <w:r>
        <w:tab/>
        <w:t>Слабой ролью партий в политической жизни Ливана и разногласиями, к</w:t>
      </w:r>
      <w:r>
        <w:t>о</w:t>
      </w:r>
      <w:r>
        <w:t>торые в последнее время привели к смещению лидеров во многих из них;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lang w:val="en-US"/>
        </w:rPr>
        <w:t>d</w:t>
      </w:r>
      <w:r>
        <w:t>)</w:t>
      </w:r>
      <w:r>
        <w:tab/>
        <w:t>Неспособностью партий принять серьезные меры для улучшения св</w:t>
      </w:r>
      <w:r>
        <w:t>о</w:t>
      </w:r>
      <w:r>
        <w:t>его политического имиджа и повышения эффективности.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7.</w:t>
      </w:r>
      <w:r>
        <w:tab/>
      </w:r>
      <w:r>
        <w:rPr>
          <w:i/>
        </w:rPr>
        <w:t>Участие в группах, отстаивающих общие интересы</w:t>
      </w:r>
      <w:r>
        <w:t>: В данном ко</w:t>
      </w:r>
      <w:r>
        <w:t>н</w:t>
      </w:r>
      <w:r>
        <w:t>тексте под группами, отстаивающими общие интересы, понимаются законно зарегистрированные объединения, т.е. различные профсоюзы, федерации и л</w:t>
      </w:r>
      <w:r>
        <w:t>и</w:t>
      </w:r>
      <w:r>
        <w:t>ги.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Статистические данные свидетельствуют о росте числа женщин</w:t>
      </w:r>
      <w:r>
        <w:noBreakHyphen/>
        <w:t>членов тех профсоюзов, членство в которых является обязательным для лиц, жела</w:t>
      </w:r>
      <w:r>
        <w:t>ю</w:t>
      </w:r>
      <w:r>
        <w:t>щих заниматься определенной профессией (например, для врачей и адвокатов). Доля женщин</w:t>
      </w:r>
      <w:r>
        <w:noBreakHyphen/>
        <w:t>членов данных профсоюзов отражает достигнутый ливанским обществом прогресс в области появления женщин в таких сферах професси</w:t>
      </w:r>
      <w:r>
        <w:t>о</w:t>
      </w:r>
      <w:r>
        <w:t>нальной деятельности, которые раньше были прерогативой мужчин, а также рост количества женщин, ставших дипломированными специалистами. Тем не менее доля женщин на руководящих постах остается незначительной, и за все историю существования профсоюзов не одна женщина не становилась предс</w:t>
      </w:r>
      <w:r>
        <w:t>е</w:t>
      </w:r>
      <w:r>
        <w:t>дателем, за единственным исключением Союза фармацевтов.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организаций, членство в которых не является обязательным для специалистов в какой-либо области и не дает особых преимуществ, доля женщин</w:t>
      </w:r>
      <w:r>
        <w:noBreakHyphen/>
        <w:t>членов остается незначительной по сравнению с долей мужчин. При этом доля женщин на руководящих постах настолько мала, что иногда может не приниматься во внимание.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Одной из основных причин, ограничивающих участие женщин, является то, что деятельность таких профсоюзов часто политизирована; выборы в про</w:t>
      </w:r>
      <w:r>
        <w:t>ф</w:t>
      </w:r>
      <w:r>
        <w:t>союзы становятся уменьшенной копией парламентских выборов, при этом во</w:t>
      </w:r>
      <w:r>
        <w:t>з</w:t>
      </w:r>
      <w:r>
        <w:t>можность оказать ответную услугу востребована чаще, чем возможность в</w:t>
      </w:r>
      <w:r>
        <w:t>ы</w:t>
      </w:r>
      <w:r>
        <w:t>двигать определенные требования. В случае политических трений, шансы женщин на получение полномочий по принятию решений уменьшаются под давлением преобладающего патриархального менталитета, даже среди наиб</w:t>
      </w:r>
      <w:r>
        <w:t>о</w:t>
      </w:r>
      <w:r>
        <w:t>лее образованных слоев общества.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III</w:t>
      </w:r>
      <w:r>
        <w:t>.</w:t>
      </w:r>
      <w:r>
        <w:tab/>
        <w:t>Факторы, определяющие участие женщин в политической жизни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BlockText"/>
      </w:pPr>
      <w:r>
        <w:tab/>
      </w:r>
      <w:r>
        <w:tab/>
        <w:t>Необходимо отметить, что участие женщин в политической жизни Лив</w:t>
      </w:r>
      <w:r>
        <w:t>а</w:t>
      </w:r>
      <w:r>
        <w:t>на определяется как различными стимулами, так и препятствиями. В числе первых следует упомянуть расширение возможностей университетского обр</w:t>
      </w:r>
      <w:r>
        <w:t>а</w:t>
      </w:r>
      <w:r>
        <w:t>зования для женщин и повышенное внимание женских организаций к этому вопросу в течение ряда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tab/>
      </w:r>
      <w:r>
        <w:tab/>
        <w:t>Факторы, отрицательно сказывающиеся на участии женщин в политич</w:t>
      </w:r>
      <w:r>
        <w:t>е</w:t>
      </w:r>
      <w:r>
        <w:t>ской жизни Ливана, связаны с социальными, культурными и экономическими особенностями, а также особенностями политической системы и политическ</w:t>
      </w:r>
      <w:r>
        <w:t>о</w:t>
      </w:r>
      <w:r>
        <w:t>го процесса.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tab/>
      </w:r>
      <w:r>
        <w:tab/>
        <w:t>К числу факторов социального, культурного и экономического характера о</w:t>
      </w:r>
      <w:r>
        <w:t>т</w:t>
      </w:r>
      <w:r>
        <w:t>носятся следующие:</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общее преобладание патриархальной роли мужчины в ливанском обществе, что з</w:t>
      </w:r>
      <w:r>
        <w:t>а</w:t>
      </w:r>
      <w:r>
        <w:t>трудняет восприятие женщины в качестве политического лидера;</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широко распространенное отрицательное отношение к политической деятел</w:t>
      </w:r>
      <w:r>
        <w:t>ь</w:t>
      </w:r>
      <w:r>
        <w:t>ности и работе партий, в частности, после войны в Ливане (1975</w:t>
      </w:r>
      <w:r>
        <w:noBreakHyphen/>
        <w:t>1990);</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ограниченность финансовых ресурсов, имеющихся в распоряжении женщин всех социальных групп, по сравнению с ресурсами мужчин;</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падение уровня доходов семей, в частности, среди средних слоев общества.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tab/>
      </w:r>
      <w:r>
        <w:tab/>
        <w:t>Особенности политической системы и политического процесса, отриц</w:t>
      </w:r>
      <w:r>
        <w:t>а</w:t>
      </w:r>
      <w:r>
        <w:t>тельно сказывающиеся на участии женщин, выражаются в следующем:</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ориентация ливанской политической системы на элементы современного и традиционного политического сектантства и феодализма, обусловленные ко</w:t>
      </w:r>
      <w:r>
        <w:t>н</w:t>
      </w:r>
      <w:r>
        <w:t>сервативной структурой общества, обычно не одобряющего нахождение же</w:t>
      </w:r>
      <w:r>
        <w:t>н</w:t>
      </w:r>
      <w:r>
        <w:t>щин на ключевых политических постах;</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слабая позиция женщин в руководстве партий;</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неспособность Закона о выборах, подвергавшегося неоднократному измен</w:t>
      </w:r>
      <w:r>
        <w:t>е</w:t>
      </w:r>
      <w:r>
        <w:t>нию приходившими к власти партиями, обеспечить какие-либо гарантии ра</w:t>
      </w:r>
      <w:r>
        <w:t>в</w:t>
      </w:r>
      <w:r>
        <w:t>ных возможностей кандидатов на выборах, и, в частности, невозможность включения положений об ограничении финансирования избирательных камп</w:t>
      </w:r>
      <w:r>
        <w:t>а</w:t>
      </w:r>
      <w:r>
        <w:t>ний, принимая во внимание, что женщины редко располагают большими сре</w:t>
      </w:r>
      <w:r>
        <w:t>д</w:t>
      </w:r>
      <w:r>
        <w:t>ствами для организации ф</w:t>
      </w:r>
      <w:r>
        <w:t>и</w:t>
      </w:r>
      <w:r>
        <w:t>нансирования избирательной кампании;</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ставка на крупные регионы во время парламентских выборов приводит к н</w:t>
      </w:r>
      <w:r>
        <w:t>е</w:t>
      </w:r>
      <w:r>
        <w:t>достаточной осведомленности избирателей о кандидате, что еще больше сн</w:t>
      </w:r>
      <w:r>
        <w:t>и</w:t>
      </w:r>
      <w:r>
        <w:t>жает политические шансы женщин, поскольку они стали принимать участие в политической борьбе сравнительно недавно. Женщины</w:t>
      </w:r>
      <w:r>
        <w:noBreakHyphen/>
        <w:t>кандидаты в парламент от районов, занимающих большие территории, не могут рассчитывать на по</w:t>
      </w:r>
      <w:r>
        <w:t>д</w:t>
      </w:r>
      <w:r>
        <w:t>держку широких масс, если они не принадлежат к уважаемым традиционным или быстро растущим новым политическим кланам или же не являются член</w:t>
      </w:r>
      <w:r>
        <w:t>а</w:t>
      </w:r>
      <w:r>
        <w:t>ми партий, контролирующих да</w:t>
      </w:r>
      <w:r>
        <w:t>н</w:t>
      </w:r>
      <w:r>
        <w:t>ный район;</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ряд правовых и административных норм, регулирующих порядок регистрации гражданского состояния и предусматривающих, что женщины выставляют свою кандидатуру на выборах в парламент и местные органы власти с указан</w:t>
      </w:r>
      <w:r>
        <w:t>и</w:t>
      </w:r>
      <w:r>
        <w:t>ем своей девичьей фамилии, что отрицательно влияет на шансы замужних женщин, если они не являются выходцами из того района, в котором прожив</w:t>
      </w:r>
      <w:r>
        <w:t>а</w:t>
      </w:r>
      <w:r>
        <w:t>ет супруг;</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81"/>
        <w:jc w:val="both"/>
      </w:pPr>
      <w:r>
        <w:tab/>
        <w:t>-</w:t>
      </w:r>
      <w:r>
        <w:tab/>
        <w:t>норма, в соответствии с которой после вступления в брак женщина подлежит регистрации по месту проживания супруга, что отрицательно сказывается на ее участии в муниципальных выборах, так как женщина потеряет право занимать должность в местном муниципалитете, если  после победы на местных выб</w:t>
      </w:r>
      <w:r>
        <w:t>о</w:t>
      </w:r>
      <w:r>
        <w:t>рах выйдет замуж за проживающего на территории другого муниципалитета мужчину.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rPr>
          <w:sz w:val="28"/>
        </w:rPr>
      </w:pPr>
      <w:r>
        <w:rPr>
          <w:sz w:val="28"/>
        </w:rPr>
        <w:t>Глава 5</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rPr>
          <w:sz w:val="28"/>
        </w:rPr>
      </w:pPr>
      <w:r>
        <w:rPr>
          <w:sz w:val="28"/>
        </w:rPr>
        <w:t>Формальное образование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firstLine="2"/>
      </w:pPr>
      <w:r>
        <w:t>(Статья 10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w:t>
      </w:r>
      <w:r>
        <w:t>.</w:t>
      </w:r>
      <w:r>
        <w:tab/>
        <w:t>Общее образование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firstLine="2"/>
        <w:jc w:val="both"/>
      </w:pPr>
      <w:r>
        <w:tab/>
        <w:t>Статистические данные по системе образования за 2003</w:t>
      </w:r>
      <w:r>
        <w:noBreakHyphen/>
        <w:t>2004 годы св</w:t>
      </w:r>
      <w:r>
        <w:t>и</w:t>
      </w:r>
      <w:r>
        <w:t>детельствуют о том, что представители обоих полов имеют равные возможн</w:t>
      </w:r>
      <w:r>
        <w:t>о</w:t>
      </w:r>
      <w:r>
        <w:t>сти получения образования в Ливане. В различных сферах образования ра</w:t>
      </w:r>
      <w:r>
        <w:t>с</w:t>
      </w:r>
      <w:r>
        <w:t>пределение учащихся по половой принадлежности выглядит следующим обр</w:t>
      </w:r>
      <w:r>
        <w:t>а</w:t>
      </w:r>
      <w:r>
        <w:t>зом: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br w:type="page"/>
        <w:t>Таблица 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общего числа учащихся в Ливане по половой принадле</w:t>
      </w:r>
      <w:r>
        <w:rPr>
          <w:b/>
        </w:rPr>
        <w:t>ж</w:t>
      </w:r>
      <w:r>
        <w:rPr>
          <w:b/>
        </w:rPr>
        <w:t>ности применительно к различным сферам образования</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2430"/>
        <w:gridCol w:w="2430"/>
        <w:gridCol w:w="2430"/>
      </w:tblGrid>
      <w:tr w:rsidR="00000000">
        <w:tblPrEx>
          <w:tblCellMar>
            <w:top w:w="0" w:type="dxa"/>
            <w:bottom w:w="0" w:type="dxa"/>
          </w:tblCellMar>
        </w:tblPrEx>
        <w:tc>
          <w:tcPr>
            <w:tcW w:w="2430" w:type="dxa"/>
            <w:tcBorders>
              <w:top w:val="single" w:sz="4" w:space="0" w:color="auto"/>
              <w:left w:val="nil"/>
              <w:bottom w:val="single" w:sz="12" w:space="0" w:color="auto"/>
              <w:right w:val="nil"/>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Сфера о</w:t>
            </w:r>
            <w:r>
              <w:t>б</w:t>
            </w:r>
            <w:r>
              <w:t>р</w:t>
            </w:r>
            <w:r>
              <w:t>а</w:t>
            </w:r>
            <w:r>
              <w:t>з</w:t>
            </w:r>
            <w:r>
              <w:t>о</w:t>
            </w:r>
            <w:r>
              <w:t>в</w:t>
            </w:r>
            <w:r>
              <w:t>а</w:t>
            </w:r>
            <w:r>
              <w:t>ния</w:t>
            </w:r>
          </w:p>
        </w:tc>
        <w:tc>
          <w:tcPr>
            <w:tcW w:w="2430"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Женщины</w:t>
            </w:r>
            <w:r>
              <w:br/>
              <w:t>(пр</w:t>
            </w:r>
            <w:r>
              <w:t>о</w:t>
            </w:r>
            <w:r>
              <w:t>цен</w:t>
            </w:r>
            <w:r>
              <w:t>т</w:t>
            </w:r>
            <w:r>
              <w:t>ная доля)</w:t>
            </w:r>
          </w:p>
        </w:tc>
        <w:tc>
          <w:tcPr>
            <w:tcW w:w="2430"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Му</w:t>
            </w:r>
            <w:r>
              <w:t>ж</w:t>
            </w:r>
            <w:r>
              <w:t>чины</w:t>
            </w:r>
            <w:r>
              <w:br/>
              <w:t>(пр</w:t>
            </w:r>
            <w:r>
              <w:t>о</w:t>
            </w:r>
            <w:r>
              <w:t>цен</w:t>
            </w:r>
            <w:r>
              <w:t>т</w:t>
            </w:r>
            <w:r>
              <w:t>ная доля)</w:t>
            </w:r>
          </w:p>
        </w:tc>
      </w:tr>
      <w:tr w:rsidR="00000000">
        <w:tblPrEx>
          <w:tblCellMar>
            <w:top w:w="0" w:type="dxa"/>
            <w:bottom w:w="0" w:type="dxa"/>
          </w:tblCellMar>
        </w:tblPrEx>
        <w:tc>
          <w:tcPr>
            <w:tcW w:w="243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Г</w:t>
            </w:r>
            <w:r>
              <w:t>о</w:t>
            </w:r>
            <w:r>
              <w:t>с</w:t>
            </w:r>
            <w:r>
              <w:t>у</w:t>
            </w:r>
            <w:r>
              <w:t>да</w:t>
            </w:r>
            <w:r>
              <w:t>р</w:t>
            </w:r>
            <w:r>
              <w:t>ственное</w:t>
            </w:r>
          </w:p>
        </w:tc>
        <w:tc>
          <w:tcPr>
            <w:tcW w:w="2430" w:type="dxa"/>
            <w:tcBorders>
              <w:top w:val="single" w:sz="12" w:space="0" w:color="auto"/>
            </w:tcBorders>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53</w:t>
            </w:r>
          </w:p>
        </w:tc>
        <w:tc>
          <w:tcPr>
            <w:tcW w:w="2430" w:type="dxa"/>
            <w:tcBorders>
              <w:top w:val="single" w:sz="12" w:space="0" w:color="auto"/>
            </w:tcBorders>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47</w:t>
            </w:r>
          </w:p>
        </w:tc>
      </w:tr>
      <w:tr w:rsidR="00000000">
        <w:tblPrEx>
          <w:tblCellMar>
            <w:top w:w="0" w:type="dxa"/>
            <w:bottom w:w="0" w:type="dxa"/>
          </w:tblCellMar>
        </w:tblPrEx>
        <w:tc>
          <w:tcPr>
            <w:tcW w:w="24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Бе</w:t>
            </w:r>
            <w:r>
              <w:t>с</w:t>
            </w:r>
            <w:r>
              <w:t>платное ч</w:t>
            </w:r>
            <w:r>
              <w:t>а</w:t>
            </w:r>
            <w:r>
              <w:t>стное</w:t>
            </w:r>
          </w:p>
        </w:tc>
        <w:tc>
          <w:tcPr>
            <w:tcW w:w="2430" w:type="dxa"/>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47,8</w:t>
            </w:r>
          </w:p>
        </w:tc>
        <w:tc>
          <w:tcPr>
            <w:tcW w:w="2430" w:type="dxa"/>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52,2</w:t>
            </w:r>
          </w:p>
        </w:tc>
      </w:tr>
      <w:tr w:rsidR="00000000">
        <w:tblPrEx>
          <w:tblCellMar>
            <w:top w:w="0" w:type="dxa"/>
            <w:bottom w:w="0" w:type="dxa"/>
          </w:tblCellMar>
        </w:tblPrEx>
        <w:tc>
          <w:tcPr>
            <w:tcW w:w="24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Платное ч</w:t>
            </w:r>
            <w:r>
              <w:t>а</w:t>
            </w:r>
            <w:r>
              <w:t>стное</w:t>
            </w:r>
          </w:p>
        </w:tc>
        <w:tc>
          <w:tcPr>
            <w:tcW w:w="2430" w:type="dxa"/>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48,1</w:t>
            </w:r>
          </w:p>
        </w:tc>
        <w:tc>
          <w:tcPr>
            <w:tcW w:w="2430" w:type="dxa"/>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51,9</w:t>
            </w:r>
          </w:p>
        </w:tc>
      </w:tr>
      <w:tr w:rsidR="00000000">
        <w:tblPrEx>
          <w:tblCellMar>
            <w:top w:w="0" w:type="dxa"/>
            <w:bottom w:w="0" w:type="dxa"/>
          </w:tblCellMar>
        </w:tblPrEx>
        <w:tc>
          <w:tcPr>
            <w:tcW w:w="243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Вс</w:t>
            </w:r>
            <w:r>
              <w:t>е</w:t>
            </w:r>
            <w:r>
              <w:t>го</w:t>
            </w:r>
          </w:p>
        </w:tc>
        <w:tc>
          <w:tcPr>
            <w:tcW w:w="2430" w:type="dxa"/>
            <w:tcBorders>
              <w:top w:val="nil"/>
              <w:left w:val="nil"/>
              <w:bottom w:val="single" w:sz="12" w:space="0" w:color="auto"/>
              <w:right w:val="nil"/>
            </w:tcBorders>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49,6</w:t>
            </w:r>
          </w:p>
        </w:tc>
        <w:tc>
          <w:tcPr>
            <w:tcW w:w="2430" w:type="dxa"/>
            <w:tcBorders>
              <w:top w:val="nil"/>
              <w:left w:val="nil"/>
              <w:bottom w:val="single" w:sz="12" w:space="0" w:color="auto"/>
              <w:right w:val="nil"/>
            </w:tcBorders>
          </w:tcPr>
          <w:p w:rsidR="00000000" w:rsidRDefault="00000000">
            <w:pPr>
              <w:tabs>
                <w:tab w:val="left" w:pos="1022"/>
                <w:tab w:val="left" w:pos="1267"/>
                <w:tab w:val="left" w:pos="1742"/>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50,3</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Наибольшая доля учащихся женского пола отмечается в сфере госуда</w:t>
      </w:r>
      <w:r>
        <w:t>р</w:t>
      </w:r>
      <w:r>
        <w:t>ственного образования, что свидетельствует о том, что на более высоких ст</w:t>
      </w:r>
      <w:r>
        <w:t>у</w:t>
      </w:r>
      <w:r>
        <w:t>пенях образования квоты для девочек в несколько раз ниже, что частично н</w:t>
      </w:r>
      <w:r>
        <w:t>а</w:t>
      </w:r>
      <w:r>
        <w:t>рушает принцип равных возможностей полов. Что же касается малой доли мальчиков на промежуточной ступени образования (в системе государственн</w:t>
      </w:r>
      <w:r>
        <w:t>о</w:t>
      </w:r>
      <w:r>
        <w:t>го образования), это теоретически может объясняться их переходом в учре</w:t>
      </w:r>
      <w:r>
        <w:t>ж</w:t>
      </w:r>
      <w:r>
        <w:t>дения профессионального образования, речь о чем пойдет ниже, либо тем фа</w:t>
      </w:r>
      <w:r>
        <w:t>к</w:t>
      </w:r>
      <w:r>
        <w:t>том, что мальчики чаще девочек бросают уч</w:t>
      </w:r>
      <w:r>
        <w:t>е</w:t>
      </w:r>
      <w:r>
        <w:t>бу.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Статистические данные, собранные в рамках плана "Образование для всех», дают следующую картину численности учащихся (за период 1998-2001 г.):</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Соотношение общего и чистого коэффициента учащихся по ступеням о</w:t>
      </w:r>
      <w:r>
        <w:rPr>
          <w:b/>
        </w:rPr>
        <w:t>б</w:t>
      </w:r>
      <w:r>
        <w:rPr>
          <w:b/>
        </w:rPr>
        <w:t>разов</w:t>
      </w:r>
      <w:r>
        <w:rPr>
          <w:b/>
        </w:rPr>
        <w:t>а</w:t>
      </w:r>
      <w:r>
        <w:rPr>
          <w:b/>
        </w:rPr>
        <w:t>ния</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2070"/>
        <w:gridCol w:w="2610"/>
        <w:gridCol w:w="2700"/>
      </w:tblGrid>
      <w:tr w:rsidR="00000000">
        <w:tblPrEx>
          <w:tblCellMar>
            <w:top w:w="0" w:type="dxa"/>
            <w:bottom w:w="0" w:type="dxa"/>
          </w:tblCellMar>
        </w:tblPrEx>
        <w:tc>
          <w:tcPr>
            <w:tcW w:w="207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both"/>
            </w:pPr>
            <w:r>
              <w:t>Ступень образования</w:t>
            </w:r>
          </w:p>
        </w:tc>
        <w:tc>
          <w:tcPr>
            <w:tcW w:w="26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both"/>
            </w:pPr>
            <w:r>
              <w:t>Общий коэ</w:t>
            </w:r>
            <w:r>
              <w:t>ф</w:t>
            </w:r>
            <w:r>
              <w:t>фиц</w:t>
            </w:r>
            <w:r>
              <w:t>и</w:t>
            </w:r>
            <w:r>
              <w:t>ент уч</w:t>
            </w:r>
            <w:r>
              <w:t>а</w:t>
            </w:r>
            <w:r>
              <w:t>щихся (%)</w:t>
            </w:r>
          </w:p>
        </w:tc>
        <w:tc>
          <w:tcPr>
            <w:tcW w:w="27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both"/>
            </w:pPr>
            <w:r>
              <w:t>Чистый к</w:t>
            </w:r>
            <w:r>
              <w:t>о</w:t>
            </w:r>
            <w:r>
              <w:t>эффициент учащихся (%)</w:t>
            </w:r>
          </w:p>
        </w:tc>
      </w:tr>
      <w:tr w:rsidR="00000000">
        <w:tblPrEx>
          <w:tblCellMar>
            <w:top w:w="0" w:type="dxa"/>
            <w:bottom w:w="0" w:type="dxa"/>
          </w:tblCellMar>
        </w:tblPrEx>
        <w:tc>
          <w:tcPr>
            <w:tcW w:w="207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pPr>
            <w:r>
              <w:t>Детский сад</w:t>
            </w:r>
          </w:p>
        </w:tc>
        <w:tc>
          <w:tcPr>
            <w:tcW w:w="2610" w:type="dxa"/>
            <w:tcBorders>
              <w:top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line="200" w:lineRule="exact"/>
              <w:jc w:val="right"/>
            </w:pPr>
            <w:r>
              <w:t>110,7</w:t>
            </w:r>
          </w:p>
        </w:tc>
        <w:tc>
          <w:tcPr>
            <w:tcW w:w="27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79,1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(небольшое различие между п</w:t>
            </w:r>
            <w:r>
              <w:t>о</w:t>
            </w:r>
            <w:r>
              <w:t>лами)</w:t>
            </w:r>
          </w:p>
        </w:tc>
      </w:tr>
      <w:tr w:rsidR="00000000">
        <w:tblPrEx>
          <w:tblCellMar>
            <w:top w:w="0" w:type="dxa"/>
            <w:bottom w:w="0" w:type="dxa"/>
          </w:tblCellMar>
        </w:tblPrEx>
        <w:tc>
          <w:tcPr>
            <w:tcW w:w="207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pPr>
            <w:r>
              <w:t>Первая и вторая ступень</w:t>
            </w:r>
          </w:p>
        </w:tc>
        <w:tc>
          <w:tcPr>
            <w:tcW w:w="26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110,8</w:t>
            </w:r>
          </w:p>
        </w:tc>
        <w:tc>
          <w:tcPr>
            <w:tcW w:w="27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68,3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(небольшое различие между п</w:t>
            </w:r>
            <w:r>
              <w:t>о</w:t>
            </w:r>
            <w:r>
              <w:t>лами)</w:t>
            </w:r>
          </w:p>
        </w:tc>
      </w:tr>
      <w:tr w:rsidR="00000000">
        <w:tblPrEx>
          <w:tblCellMar>
            <w:top w:w="0" w:type="dxa"/>
            <w:bottom w:w="0" w:type="dxa"/>
          </w:tblCellMar>
        </w:tblPrEx>
        <w:tc>
          <w:tcPr>
            <w:tcW w:w="207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pPr>
            <w:r>
              <w:t>Третья ступень</w:t>
            </w:r>
          </w:p>
        </w:tc>
        <w:tc>
          <w:tcPr>
            <w:tcW w:w="26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84,2</w:t>
            </w:r>
          </w:p>
        </w:tc>
        <w:tc>
          <w:tcPr>
            <w:tcW w:w="27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36,6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pPr>
            <w:r>
              <w:t>(различие с преоблад</w:t>
            </w:r>
            <w:r>
              <w:t>а</w:t>
            </w:r>
            <w:r>
              <w:t>нием дев</w:t>
            </w:r>
            <w:r>
              <w:t>о</w:t>
            </w:r>
            <w:r>
              <w:t>чек)</w:t>
            </w:r>
          </w:p>
        </w:tc>
      </w:tr>
      <w:tr w:rsidR="00000000">
        <w:tblPrEx>
          <w:tblCellMar>
            <w:top w:w="0" w:type="dxa"/>
            <w:bottom w:w="0" w:type="dxa"/>
          </w:tblCellMar>
        </w:tblPrEx>
        <w:tc>
          <w:tcPr>
            <w:tcW w:w="207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rPr>
                <w:b/>
              </w:rPr>
            </w:pPr>
            <w:r>
              <w:rPr>
                <w:b/>
              </w:rPr>
              <w:t>Всего в системе общего образования</w:t>
            </w:r>
          </w:p>
        </w:tc>
        <w:tc>
          <w:tcPr>
            <w:tcW w:w="26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rPr>
                <w:b/>
              </w:rPr>
            </w:pPr>
            <w:r>
              <w:rPr>
                <w:b/>
              </w:rPr>
              <w:t>101,7</w:t>
            </w:r>
          </w:p>
        </w:tc>
        <w:tc>
          <w:tcPr>
            <w:tcW w:w="270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rPr>
                <w:b/>
              </w:rPr>
            </w:pPr>
            <w:r>
              <w:rPr>
                <w:b/>
              </w:rPr>
              <w:t>54,7</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00" w:lineRule="exact"/>
              <w:jc w:val="right"/>
              <w:rPr>
                <w:b/>
              </w:rPr>
            </w:pPr>
            <w:r>
              <w:rPr>
                <w:b/>
              </w:rPr>
              <w:t>(различие с преобл</w:t>
            </w:r>
            <w:r>
              <w:rPr>
                <w:b/>
              </w:rPr>
              <w:t>а</w:t>
            </w:r>
            <w:r>
              <w:rPr>
                <w:b/>
              </w:rPr>
              <w:t>данием д</w:t>
            </w:r>
            <w:r>
              <w:rPr>
                <w:b/>
              </w:rPr>
              <w:t>е</w:t>
            </w:r>
            <w:r>
              <w:rPr>
                <w:b/>
              </w:rPr>
              <w:t>в</w:t>
            </w:r>
            <w:r>
              <w:rPr>
                <w:b/>
              </w:rPr>
              <w:t>о</w:t>
            </w:r>
            <w:r>
              <w:rPr>
                <w:b/>
              </w:rPr>
              <w:t>чек)</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Министерство общего и высшего образования, Национальный план действий «Образование для всех» в Ливане на период 2003-2015 г., февраль 2003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w:t>
      </w:r>
      <w:r>
        <w:tab/>
        <w:t>Общий коэффициент учащихся рассчитывается путем деления числа зарег</w:t>
      </w:r>
      <w:r>
        <w:t>и</w:t>
      </w:r>
      <w:r>
        <w:t>стрированных учащихся (независимо от возраста) на число граждан школьного возраста применительно к соответствующей ступени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w:t>
      </w:r>
      <w:r>
        <w:tab/>
        <w:t>Чистый коэффициент учащихся рассчитывается путем деления числа зар</w:t>
      </w:r>
      <w:r>
        <w:t>е</w:t>
      </w:r>
      <w:r>
        <w:t>гистрированных учащихся на число граждан школьного возраста примен</w:t>
      </w:r>
      <w:r>
        <w:t>и</w:t>
      </w:r>
      <w:r>
        <w:t>тельно к соо</w:t>
      </w:r>
      <w:r>
        <w:t>т</w:t>
      </w:r>
      <w:r>
        <w:t>ветствующей ступени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Вкратце, общий коэффициент учащихся в системе общего образования равен 101,7 процентам, при этом чистый коэффициент учащихся составляет 57,4 процента, наблюдается некоторое различие между полами в сторону пр</w:t>
      </w:r>
      <w:r>
        <w:t>е</w:t>
      </w:r>
      <w:r>
        <w:t>обладания девочек (приведенные коэффициенты отражают общее число зар</w:t>
      </w:r>
      <w:r>
        <w:t>е</w:t>
      </w:r>
      <w:r>
        <w:t>гистрированных граждан школьного возраста).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Дальнейшее изучение распределения учащихся по половой принадле</w:t>
      </w:r>
      <w:r>
        <w:t>ж</w:t>
      </w:r>
      <w:r>
        <w:t>ности на различных ступенях образования и типах специализации в рамках среднего обр</w:t>
      </w:r>
      <w:r>
        <w:t>а</w:t>
      </w:r>
      <w:r>
        <w:t>зования показывает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учащихся по половой принадлежности на различных ст</w:t>
      </w:r>
      <w:r>
        <w:rPr>
          <w:b/>
        </w:rPr>
        <w:t>у</w:t>
      </w:r>
      <w:r>
        <w:rPr>
          <w:b/>
        </w:rPr>
        <w:t>пенях образования и типах специализации в рамках среднего образования</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4230"/>
        <w:gridCol w:w="1530"/>
        <w:gridCol w:w="1620"/>
      </w:tblGrid>
      <w:tr w:rsidR="00000000">
        <w:tblPrEx>
          <w:tblCellMar>
            <w:top w:w="0" w:type="dxa"/>
            <w:bottom w:w="0" w:type="dxa"/>
          </w:tblCellMar>
        </w:tblPrEx>
        <w:tc>
          <w:tcPr>
            <w:tcW w:w="423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Ступень образования/пол</w:t>
            </w:r>
          </w:p>
        </w:tc>
        <w:tc>
          <w:tcPr>
            <w:tcW w:w="153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Женщины (%)</w:t>
            </w:r>
          </w:p>
        </w:tc>
        <w:tc>
          <w:tcPr>
            <w:tcW w:w="162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Мужчины (%)</w:t>
            </w:r>
          </w:p>
        </w:tc>
      </w:tr>
      <w:tr w:rsidR="00000000">
        <w:tblPrEx>
          <w:tblCellMar>
            <w:top w:w="0" w:type="dxa"/>
            <w:bottom w:w="0" w:type="dxa"/>
          </w:tblCellMar>
        </w:tblPrEx>
        <w:tc>
          <w:tcPr>
            <w:tcW w:w="423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Детский сад</w:t>
            </w:r>
          </w:p>
        </w:tc>
        <w:tc>
          <w:tcPr>
            <w:tcW w:w="1530" w:type="dxa"/>
            <w:tcBorders>
              <w:top w:val="single" w:sz="12" w:space="0" w:color="auto"/>
            </w:tcBorders>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48,2</w:t>
            </w:r>
          </w:p>
        </w:tc>
        <w:tc>
          <w:tcPr>
            <w:tcW w:w="1620" w:type="dxa"/>
            <w:tcBorders>
              <w:top w:val="single" w:sz="12" w:space="0" w:color="auto"/>
            </w:tcBorders>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51,8</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Начальное</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48,2</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51,8</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Промежуточное</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52,4</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47,6</w:t>
            </w:r>
          </w:p>
        </w:tc>
      </w:tr>
      <w:tr w:rsidR="00000000">
        <w:tblPrEx>
          <w:tblCellMar>
            <w:top w:w="0" w:type="dxa"/>
            <w:bottom w:w="0" w:type="dxa"/>
          </w:tblCellMar>
        </w:tblPrEx>
        <w:tc>
          <w:tcPr>
            <w:tcW w:w="4230" w:type="dxa"/>
            <w:tcBorders>
              <w:left w:val="nil"/>
              <w:bottom w:val="nil"/>
              <w:right w:val="nil"/>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Среднее:</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Первый класс, общие предметы</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55,1</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44,9</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Второй класс, естественные науки</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46,7</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53,3</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Второй класс, гуманитарные на</w:t>
            </w:r>
            <w:r>
              <w:t>у</w:t>
            </w:r>
            <w:r>
              <w:t>ки</w:t>
            </w:r>
          </w:p>
        </w:tc>
        <w:tc>
          <w:tcPr>
            <w:tcW w:w="1530"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70</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30</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Третий класс, литература и г</w:t>
            </w:r>
            <w:r>
              <w:t>у</w:t>
            </w:r>
            <w:r>
              <w:t>м</w:t>
            </w:r>
            <w:r>
              <w:t>а</w:t>
            </w:r>
            <w:r>
              <w:t>нитарные науки</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82,8</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17,2</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Третий класс, социальные и экономические науки</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57,1</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43,9</w:t>
            </w:r>
          </w:p>
        </w:tc>
      </w:tr>
      <w:tr w:rsidR="00000000">
        <w:tblPrEx>
          <w:tblCellMar>
            <w:top w:w="0" w:type="dxa"/>
            <w:bottom w:w="0" w:type="dxa"/>
          </w:tblCellMar>
        </w:tblPrEx>
        <w:tc>
          <w:tcPr>
            <w:tcW w:w="42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Третий класс, общие науки</w:t>
            </w:r>
          </w:p>
        </w:tc>
        <w:tc>
          <w:tcPr>
            <w:tcW w:w="153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26,3</w:t>
            </w:r>
          </w:p>
        </w:tc>
        <w:tc>
          <w:tcPr>
            <w:tcW w:w="162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73,7</w:t>
            </w:r>
          </w:p>
        </w:tc>
      </w:tr>
      <w:tr w:rsidR="00000000">
        <w:tblPrEx>
          <w:tblCellMar>
            <w:top w:w="0" w:type="dxa"/>
            <w:bottom w:w="0" w:type="dxa"/>
          </w:tblCellMar>
        </w:tblPrEx>
        <w:tc>
          <w:tcPr>
            <w:tcW w:w="423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rPr>
            </w:pPr>
            <w:r>
              <w:rPr>
                <w:b/>
              </w:rPr>
              <w:t>Третий класс, медико-биологические науки</w:t>
            </w:r>
          </w:p>
        </w:tc>
        <w:tc>
          <w:tcPr>
            <w:tcW w:w="1530" w:type="dxa"/>
            <w:tcBorders>
              <w:top w:val="nil"/>
              <w:left w:val="nil"/>
              <w:bottom w:val="single" w:sz="12" w:space="0" w:color="auto"/>
              <w:right w:val="nil"/>
            </w:tcBorders>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rPr>
                <w:b/>
              </w:rPr>
            </w:pPr>
            <w:r>
              <w:rPr>
                <w:b/>
              </w:rPr>
              <w:t>52,1</w:t>
            </w:r>
          </w:p>
        </w:tc>
        <w:tc>
          <w:tcPr>
            <w:tcW w:w="1620" w:type="dxa"/>
            <w:tcBorders>
              <w:top w:val="nil"/>
              <w:left w:val="nil"/>
              <w:bottom w:val="single" w:sz="12" w:space="0" w:color="auto"/>
              <w:right w:val="nil"/>
            </w:tcBorders>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rPr>
                <w:b/>
              </w:rPr>
            </w:pPr>
            <w:r>
              <w:rPr>
                <w:b/>
              </w:rPr>
              <w:t>47,9</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Применительно к предметам по выбору отмечается, что девочки чаще выбирают предметы по литературе и гуманитарным наукам, в то время как мальчики склонны к теоретическим научным предметам. Этот выбор не опр</w:t>
      </w:r>
      <w:r>
        <w:t>е</w:t>
      </w:r>
      <w:r>
        <w:t>деляется какими-либо особенностями учебных программ, и в большей степени обусловлен преобладающими социальными ожиданиями и результатами соц</w:t>
      </w:r>
      <w:r>
        <w:t>и</w:t>
      </w:r>
      <w:r>
        <w:t>ального воспитания, для которого все еще характерна дискриминация по пр</w:t>
      </w:r>
      <w:r>
        <w:t>и</w:t>
      </w:r>
      <w:r>
        <w:t>знаку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Министерство образования имеет в своем составе департамент, зан</w:t>
      </w:r>
      <w:r>
        <w:t>и</w:t>
      </w:r>
      <w:r>
        <w:t>мающийся консультативной и рекомендательной деятельностью. В подгото</w:t>
      </w:r>
      <w:r>
        <w:t>в</w:t>
      </w:r>
      <w:r>
        <w:t>ленных департаментом отчетах не содержится указания на дискриминацию по половому признаку. Тем не менее, департамент не занимается профессионал</w:t>
      </w:r>
      <w:r>
        <w:t>ь</w:t>
      </w:r>
      <w:r>
        <w:t>ной ориентацией учащихся, хотя признает важность этого направления и пл</w:t>
      </w:r>
      <w:r>
        <w:t>а</w:t>
      </w:r>
      <w:r>
        <w:t>нирует включить его в свой стратегический план. Профессиональная ориент</w:t>
      </w:r>
      <w:r>
        <w:t>а</w:t>
      </w:r>
      <w:r>
        <w:t>ция ограничивается теми случаями, когда два или три раза в год сторонними организациями проводятся презентации о положении на рынке труда и пе</w:t>
      </w:r>
      <w:r>
        <w:t>р</w:t>
      </w:r>
      <w:r>
        <w:t>спективах работы.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Распределение ливанских школ по сфере образования и половой прина</w:t>
      </w:r>
      <w:r>
        <w:t>д</w:t>
      </w:r>
      <w:r>
        <w:t>ле</w:t>
      </w:r>
      <w:r>
        <w:t>ж</w:t>
      </w:r>
      <w:r>
        <w:t>ности учащихся за 2003-2004 г. выглядит следующим образом: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ливанских школ по половой принадлежности учащихся в ра</w:t>
      </w:r>
      <w:r>
        <w:rPr>
          <w:b/>
        </w:rPr>
        <w:t>м</w:t>
      </w:r>
      <w:r>
        <w:rPr>
          <w:b/>
        </w:rPr>
        <w:t>ках системы общего образования</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060"/>
        <w:gridCol w:w="1530"/>
        <w:gridCol w:w="1470"/>
        <w:gridCol w:w="1320"/>
      </w:tblGrid>
      <w:tr w:rsidR="00000000">
        <w:tblPrEx>
          <w:tblCellMar>
            <w:top w:w="0" w:type="dxa"/>
            <w:bottom w:w="0" w:type="dxa"/>
          </w:tblCellMar>
        </w:tblPrEx>
        <w:tc>
          <w:tcPr>
            <w:tcW w:w="306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Сфера образования</w:t>
            </w:r>
          </w:p>
        </w:tc>
        <w:tc>
          <w:tcPr>
            <w:tcW w:w="153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Мужские (%)</w:t>
            </w:r>
          </w:p>
        </w:tc>
        <w:tc>
          <w:tcPr>
            <w:tcW w:w="14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Женские (%)</w:t>
            </w:r>
          </w:p>
        </w:tc>
        <w:tc>
          <w:tcPr>
            <w:tcW w:w="132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Смешанные</w:t>
            </w:r>
          </w:p>
        </w:tc>
      </w:tr>
      <w:tr w:rsidR="00000000">
        <w:tblPrEx>
          <w:tblCellMar>
            <w:top w:w="0" w:type="dxa"/>
            <w:bottom w:w="0" w:type="dxa"/>
          </w:tblCellMar>
        </w:tblPrEx>
        <w:tc>
          <w:tcPr>
            <w:tcW w:w="306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Государственное</w:t>
            </w:r>
          </w:p>
        </w:tc>
        <w:tc>
          <w:tcPr>
            <w:tcW w:w="153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7,4</w:t>
            </w:r>
          </w:p>
        </w:tc>
        <w:tc>
          <w:tcPr>
            <w:tcW w:w="147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4,4</w:t>
            </w:r>
          </w:p>
        </w:tc>
        <w:tc>
          <w:tcPr>
            <w:tcW w:w="132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88,2</w:t>
            </w:r>
          </w:p>
        </w:tc>
      </w:tr>
      <w:tr w:rsidR="00000000">
        <w:tblPrEx>
          <w:tblCellMar>
            <w:top w:w="0" w:type="dxa"/>
            <w:bottom w:w="0" w:type="dxa"/>
          </w:tblCellMar>
        </w:tblPrEx>
        <w:tc>
          <w:tcPr>
            <w:tcW w:w="3060" w:type="dxa"/>
            <w:tcBorders>
              <w:left w:val="nil"/>
              <w:bottom w:val="nil"/>
              <w:right w:val="nil"/>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Бесплатное частное</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0,3</w:t>
            </w:r>
          </w:p>
        </w:tc>
        <w:tc>
          <w:tcPr>
            <w:tcW w:w="14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1,1</w:t>
            </w:r>
          </w:p>
        </w:tc>
        <w:tc>
          <w:tcPr>
            <w:tcW w:w="13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98,6</w:t>
            </w:r>
          </w:p>
        </w:tc>
      </w:tr>
      <w:tr w:rsidR="00000000">
        <w:tblPrEx>
          <w:tblCellMar>
            <w:top w:w="0" w:type="dxa"/>
            <w:bottom w:w="0" w:type="dxa"/>
          </w:tblCellMar>
        </w:tblPrEx>
        <w:tc>
          <w:tcPr>
            <w:tcW w:w="306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Платное частное</w:t>
            </w:r>
          </w:p>
        </w:tc>
        <w:tc>
          <w:tcPr>
            <w:tcW w:w="15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0,5</w:t>
            </w:r>
          </w:p>
        </w:tc>
        <w:tc>
          <w:tcPr>
            <w:tcW w:w="14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0,8</w:t>
            </w:r>
          </w:p>
        </w:tc>
        <w:tc>
          <w:tcPr>
            <w:tcW w:w="13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98,7</w:t>
            </w:r>
          </w:p>
        </w:tc>
      </w:tr>
      <w:tr w:rsidR="00000000">
        <w:tblPrEx>
          <w:tblCellMar>
            <w:top w:w="0" w:type="dxa"/>
            <w:bottom w:w="0" w:type="dxa"/>
          </w:tblCellMar>
        </w:tblPrEx>
        <w:tc>
          <w:tcPr>
            <w:tcW w:w="306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Всего</w:t>
            </w:r>
          </w:p>
        </w:tc>
        <w:tc>
          <w:tcPr>
            <w:tcW w:w="153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2,7</w:t>
            </w:r>
          </w:p>
        </w:tc>
        <w:tc>
          <w:tcPr>
            <w:tcW w:w="147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2,1</w:t>
            </w:r>
          </w:p>
        </w:tc>
        <w:tc>
          <w:tcPr>
            <w:tcW w:w="132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95,1</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системе общего образования наибольшее распространение имеет с</w:t>
      </w:r>
      <w:r>
        <w:t>о</w:t>
      </w:r>
      <w:r>
        <w:t>вместная форма обучения, доля которой увеличивается (в 1998 году составляла 92,4 процента), что свидетельствует о ее колоссальной социальной востреб</w:t>
      </w:r>
      <w:r>
        <w:t>о</w:t>
      </w:r>
      <w:r>
        <w:t>ванности. На первый взгляд, можно заключить, что образование, получаемое учащимися обоих полов, равноценно с точки зрения учебного расписания, э</w:t>
      </w:r>
      <w:r>
        <w:t>к</w:t>
      </w:r>
      <w:r>
        <w:t>заменов, преподавательского состава, учебных помещений и оборудования. Тем не менее, исследования показывают, что преподаваемые в школах предм</w:t>
      </w:r>
      <w:r>
        <w:t>е</w:t>
      </w:r>
      <w:r>
        <w:t>ты, несмотря на определенный прогресс, все еще не свободны от ценностей и стереотипов патриархального хара</w:t>
      </w:r>
      <w:r>
        <w:t>к</w:t>
      </w:r>
      <w:r>
        <w:t>тера.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Дополнительное исследование совместной формы обучения показывает, что она отрицательно воздействует на девочек в плане их собственной оценки своих знаний. Совместное обучение также отрицательно сказывается на отн</w:t>
      </w:r>
      <w:r>
        <w:t>о</w:t>
      </w:r>
      <w:r>
        <w:t>шении девочек к вопросам пола, поскольку девочки в большей степени по</w:t>
      </w:r>
      <w:r>
        <w:t>д</w:t>
      </w:r>
      <w:r>
        <w:t>вержены влиянию стереотипов и в меньшей степени стремятся к равенству п</w:t>
      </w:r>
      <w:r>
        <w:t>о</w:t>
      </w:r>
      <w:r>
        <w:t>лов. Более того, значительно снижается их успеваемость: средние оценки д</w:t>
      </w:r>
      <w:r>
        <w:t>е</w:t>
      </w:r>
      <w:r>
        <w:t>вочек ниже нормы, при этом они хуже отзываются о своих учителях. С другой стороны, исследование показало, что совместное обучение дает положител</w:t>
      </w:r>
      <w:r>
        <w:t>ь</w:t>
      </w:r>
      <w:r>
        <w:t>ный эффект применительно к предметам, зависящим от личных способностей. Помимо этого, среди девочек обнаруживается растущая тенденция к посещ</w:t>
      </w:r>
      <w:r>
        <w:t>е</w:t>
      </w:r>
      <w:r>
        <w:t>нию спортивных секций и факультативных занятий, причем девочки в большей степени заинтересованы в выборе административно-управленческих и свобо</w:t>
      </w:r>
      <w:r>
        <w:t>д</w:t>
      </w:r>
      <w:r>
        <w:t>ных профессий, чем раньше. Кроме того, учащиеся обоих полов предпочитают совместную форму обучения; это дает им возможность привыкнуть друг к др</w:t>
      </w:r>
      <w:r>
        <w:t>у</w:t>
      </w:r>
      <w:r>
        <w:t>гу, демонстрировать открытость и подготовиться к совместной жизни в общ</w:t>
      </w:r>
      <w:r>
        <w:t>е</w:t>
      </w:r>
      <w:r>
        <w:t>стве.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Распределение учительского состава по половой принадлежности в ра</w:t>
      </w:r>
      <w:r>
        <w:t>з</w:t>
      </w:r>
      <w:r>
        <w:t>личных сферах общего образования выглядит следующим образом:</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5</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учителей по половой принадлежности в различных сферах о</w:t>
      </w:r>
      <w:r>
        <w:rPr>
          <w:b/>
        </w:rPr>
        <w:t>б</w:t>
      </w:r>
      <w:r>
        <w:rPr>
          <w:b/>
        </w:rPr>
        <w:t>щего образования</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690"/>
        <w:gridCol w:w="1980"/>
        <w:gridCol w:w="1710"/>
      </w:tblGrid>
      <w:tr w:rsidR="00000000">
        <w:tblPrEx>
          <w:tblCellMar>
            <w:top w:w="0" w:type="dxa"/>
            <w:bottom w:w="0" w:type="dxa"/>
          </w:tblCellMar>
        </w:tblPrEx>
        <w:tc>
          <w:tcPr>
            <w:tcW w:w="3690" w:type="dxa"/>
            <w:tcBorders>
              <w:top w:val="single" w:sz="12" w:space="0" w:color="000000"/>
              <w:left w:val="nil"/>
              <w:bottom w:val="single" w:sz="6" w:space="0" w:color="000000"/>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Сф</w:t>
            </w:r>
            <w:r>
              <w:t>е</w:t>
            </w:r>
            <w:r>
              <w:t>ра обр</w:t>
            </w:r>
            <w:r>
              <w:t>а</w:t>
            </w:r>
            <w:r>
              <w:t>зов</w:t>
            </w:r>
            <w:r>
              <w:t>а</w:t>
            </w:r>
            <w:r>
              <w:t>ния</w:t>
            </w:r>
          </w:p>
        </w:tc>
        <w:tc>
          <w:tcPr>
            <w:tcW w:w="1980" w:type="dxa"/>
            <w:tcBorders>
              <w:top w:val="single" w:sz="12" w:space="0" w:color="000000"/>
              <w:bottom w:val="single" w:sz="6" w:space="0" w:color="000000"/>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jc w:val="center"/>
            </w:pPr>
            <w:r>
              <w:t>Му</w:t>
            </w:r>
            <w:r>
              <w:t>ж</w:t>
            </w:r>
            <w:r>
              <w:t>чины (%)</w:t>
            </w:r>
          </w:p>
        </w:tc>
        <w:tc>
          <w:tcPr>
            <w:tcW w:w="171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Женщины (%)</w:t>
            </w:r>
          </w:p>
        </w:tc>
      </w:tr>
      <w:tr w:rsidR="00000000">
        <w:tblPrEx>
          <w:tblCellMar>
            <w:top w:w="0" w:type="dxa"/>
            <w:bottom w:w="0" w:type="dxa"/>
          </w:tblCellMar>
        </w:tblPrEx>
        <w:tc>
          <w:tcPr>
            <w:tcW w:w="3690" w:type="dxa"/>
            <w:tcBorders>
              <w:top w:val="nil"/>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Гос</w:t>
            </w:r>
            <w:r>
              <w:t>у</w:t>
            </w:r>
            <w:r>
              <w:t>да</w:t>
            </w:r>
            <w:r>
              <w:t>р</w:t>
            </w:r>
            <w:r>
              <w:t>ственное</w:t>
            </w:r>
          </w:p>
        </w:tc>
        <w:tc>
          <w:tcPr>
            <w:tcW w:w="198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32,6</w:t>
            </w:r>
          </w:p>
        </w:tc>
        <w:tc>
          <w:tcPr>
            <w:tcW w:w="171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67,4</w:t>
            </w:r>
          </w:p>
        </w:tc>
      </w:tr>
      <w:tr w:rsidR="00000000">
        <w:tblPrEx>
          <w:tblCellMar>
            <w:top w:w="0" w:type="dxa"/>
            <w:bottom w:w="0" w:type="dxa"/>
          </w:tblCellMar>
        </w:tblPrEx>
        <w:tc>
          <w:tcPr>
            <w:tcW w:w="369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Бе</w:t>
            </w:r>
            <w:r>
              <w:t>с</w:t>
            </w:r>
            <w:r>
              <w:t>пла</w:t>
            </w:r>
            <w:r>
              <w:t>т</w:t>
            </w:r>
            <w:r>
              <w:t>ное час</w:t>
            </w:r>
            <w:r>
              <w:t>т</w:t>
            </w:r>
            <w:r>
              <w:t>ное</w:t>
            </w:r>
          </w:p>
        </w:tc>
        <w:tc>
          <w:tcPr>
            <w:tcW w:w="198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14,3</w:t>
            </w:r>
          </w:p>
        </w:tc>
        <w:tc>
          <w:tcPr>
            <w:tcW w:w="171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85,7</w:t>
            </w:r>
          </w:p>
        </w:tc>
      </w:tr>
      <w:tr w:rsidR="00000000">
        <w:tblPrEx>
          <w:tblCellMar>
            <w:top w:w="0" w:type="dxa"/>
            <w:bottom w:w="0" w:type="dxa"/>
          </w:tblCellMar>
        </w:tblPrEx>
        <w:tc>
          <w:tcPr>
            <w:tcW w:w="369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Платное час</w:t>
            </w:r>
            <w:r>
              <w:t>т</w:t>
            </w:r>
            <w:r>
              <w:t>ное</w:t>
            </w:r>
          </w:p>
        </w:tc>
        <w:tc>
          <w:tcPr>
            <w:tcW w:w="198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26,5</w:t>
            </w:r>
          </w:p>
        </w:tc>
        <w:tc>
          <w:tcPr>
            <w:tcW w:w="171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73,5</w:t>
            </w:r>
          </w:p>
        </w:tc>
      </w:tr>
      <w:tr w:rsidR="00000000">
        <w:tblPrEx>
          <w:tblCellMar>
            <w:top w:w="0" w:type="dxa"/>
            <w:bottom w:w="0" w:type="dxa"/>
          </w:tblCellMar>
        </w:tblPrEx>
        <w:tc>
          <w:tcPr>
            <w:tcW w:w="369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Всего</w:t>
            </w:r>
          </w:p>
        </w:tc>
        <w:tc>
          <w:tcPr>
            <w:tcW w:w="1980" w:type="dxa"/>
            <w:tcBorders>
              <w:top w:val="nil"/>
              <w:left w:val="nil"/>
              <w:bottom w:val="single" w:sz="12" w:space="0" w:color="auto"/>
              <w:right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24,4</w:t>
            </w:r>
          </w:p>
        </w:tc>
        <w:tc>
          <w:tcPr>
            <w:tcW w:w="1710" w:type="dxa"/>
            <w:tcBorders>
              <w:top w:val="nil"/>
              <w:left w:val="nil"/>
              <w:bottom w:val="single" w:sz="12" w:space="0" w:color="auto"/>
              <w:right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32"/>
              <w:jc w:val="right"/>
            </w:pPr>
            <w:r>
              <w:t>75,6</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целом, доля женского персонала в системе образования высока, но снижается по мере продвижения по этапам образования (75</w:t>
      </w:r>
      <w:r>
        <w:rPr>
          <w:lang w:val="en-US"/>
        </w:rPr>
        <w:t> </w:t>
      </w:r>
      <w:r>
        <w:t>процентов на этапе среднего образования и 31 процент на этапе высшего образования). Данное с</w:t>
      </w:r>
      <w:r>
        <w:t>о</w:t>
      </w:r>
      <w:r>
        <w:t>отношение свидетельствует о растущей феминизации функций по предоста</w:t>
      </w:r>
      <w:r>
        <w:t>в</w:t>
      </w:r>
      <w:r>
        <w:t>лению образования. Как и в других странах, исследования по данному вопросу указывают на тесную связь между феминизацией системы образования и н</w:t>
      </w:r>
      <w:r>
        <w:t>е</w:t>
      </w:r>
      <w:r>
        <w:t>способностью воспользоваться пр</w:t>
      </w:r>
      <w:r>
        <w:t>е</w:t>
      </w:r>
      <w:r>
        <w:t>имуществами этого факта.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Что касается административного персонала в системе образования, ст</w:t>
      </w:r>
      <w:r>
        <w:t>а</w:t>
      </w:r>
      <w:r>
        <w:t>тистические данные свидетельствуют о том, что из 1161 заведующих учебной частью в системе начального образования 311 человек, или 26,7 процентов, я</w:t>
      </w:r>
      <w:r>
        <w:t>в</w:t>
      </w:r>
      <w:r>
        <w:t>ляются женщинами; а из 224 заведующих в системе среднего образования 31 человек, или 12,7 процентов, являются женщинами, при этом фактическая численность учителей-женщин не соотносится с их долей в административном и руководящем звене уче</w:t>
      </w:r>
      <w:r>
        <w:t>б</w:t>
      </w:r>
      <w:r>
        <w:t>ных заведений.</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w:t>
      </w:r>
      <w:r>
        <w:t>.</w:t>
      </w:r>
      <w:r>
        <w:tab/>
        <w:t>Техническое и профессиональное образование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Статистические данные, собранные Центром исследований и разработок в области образования, показывают, что в период 2003-2004 г. женщины с</w:t>
      </w:r>
      <w:r>
        <w:t>о</w:t>
      </w:r>
      <w:r>
        <w:t>ставляли 41,3 процента от общего числа лиц, обучающихся в системе технич</w:t>
      </w:r>
      <w:r>
        <w:t>е</w:t>
      </w:r>
      <w:r>
        <w:t>ского и профессионального образования. Такое расхождение между полами вызвано тем, что большой процент юношей, неспособных закончить обычную школу (на начальном и промежуточном этапе общего образования мальчики бросают учебу чаще, чем девочки), переходят в систему профессионального образования, в то время как значительная часть бросивших школу девочек т</w:t>
      </w:r>
      <w:r>
        <w:t>я</w:t>
      </w:r>
      <w:r>
        <w:t>готеет к вступлению в брак и рождению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Количество женщин в системе дальнейшего образования (среднее и п</w:t>
      </w:r>
      <w:r>
        <w:t>о</w:t>
      </w:r>
      <w:r>
        <w:t>следующее образование) растет и распределяется в равных долях между гос</w:t>
      </w:r>
      <w:r>
        <w:t>у</w:t>
      </w:r>
      <w:r>
        <w:t>дарстве</w:t>
      </w:r>
      <w:r>
        <w:t>н</w:t>
      </w:r>
      <w:r>
        <w:t>ным и частным сектором, как указано в приведенной ниже таблице: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br w:type="page"/>
        <w:t>Таблица 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Распределение процентной доли женщин в системе технического и пр</w:t>
      </w:r>
      <w:r>
        <w:rPr>
          <w:b/>
        </w:rPr>
        <w:t>о</w:t>
      </w:r>
      <w:r>
        <w:rPr>
          <w:b/>
        </w:rPr>
        <w:t>фесси</w:t>
      </w:r>
      <w:r>
        <w:rPr>
          <w:b/>
        </w:rPr>
        <w:t>о</w:t>
      </w:r>
      <w:r>
        <w:rPr>
          <w:b/>
        </w:rPr>
        <w:t>нального образования по типам получаемой квалификации</w:t>
      </w:r>
    </w:p>
    <w:tbl>
      <w:tblPr>
        <w:tblW w:w="0" w:type="auto"/>
        <w:tblInd w:w="1414" w:type="dxa"/>
        <w:tblBorders>
          <w:top w:val="single" w:sz="12" w:space="0" w:color="000000"/>
          <w:bottom w:val="single" w:sz="18" w:space="0" w:color="auto"/>
        </w:tblBorders>
        <w:tblLayout w:type="fixed"/>
        <w:tblCellMar>
          <w:left w:w="21" w:type="dxa"/>
          <w:right w:w="21" w:type="dxa"/>
        </w:tblCellMar>
        <w:tblLook w:val="01E0" w:firstRow="1" w:lastRow="1" w:firstColumn="1" w:lastColumn="1" w:noHBand="0" w:noVBand="0"/>
      </w:tblPr>
      <w:tblGrid>
        <w:gridCol w:w="1573"/>
        <w:gridCol w:w="774"/>
        <w:gridCol w:w="765"/>
        <w:gridCol w:w="738"/>
        <w:gridCol w:w="738"/>
        <w:gridCol w:w="810"/>
        <w:gridCol w:w="639"/>
        <w:gridCol w:w="713"/>
        <w:gridCol w:w="540"/>
      </w:tblGrid>
      <w:tr w:rsidR="00000000">
        <w:tblPrEx>
          <w:tblCellMar>
            <w:top w:w="0" w:type="dxa"/>
            <w:bottom w:w="0" w:type="dxa"/>
          </w:tblCellMar>
        </w:tblPrEx>
        <w:tc>
          <w:tcPr>
            <w:tcW w:w="1573"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Сектор</w:t>
            </w:r>
          </w:p>
        </w:tc>
        <w:tc>
          <w:tcPr>
            <w:tcW w:w="774"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Проф.</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пригодн.</w:t>
            </w:r>
          </w:p>
        </w:tc>
        <w:tc>
          <w:tcPr>
            <w:tcW w:w="765"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Промеж.</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уровень</w:t>
            </w:r>
          </w:p>
        </w:tc>
        <w:tc>
          <w:tcPr>
            <w:tcW w:w="738"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Средний уровень</w:t>
            </w:r>
          </w:p>
        </w:tc>
        <w:tc>
          <w:tcPr>
            <w:tcW w:w="738"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Бакалавр</w:t>
            </w:r>
          </w:p>
        </w:tc>
        <w:tc>
          <w:tcPr>
            <w:tcW w:w="8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Диплом с отличием</w:t>
            </w:r>
          </w:p>
        </w:tc>
        <w:tc>
          <w:tcPr>
            <w:tcW w:w="639"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Ученая степень</w:t>
            </w:r>
          </w:p>
        </w:tc>
        <w:tc>
          <w:tcPr>
            <w:tcW w:w="713"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Степень с правом препода-вания</w:t>
            </w:r>
          </w:p>
        </w:tc>
        <w:tc>
          <w:tcPr>
            <w:tcW w:w="54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5"/>
              </w:rPr>
            </w:pPr>
            <w:r>
              <w:rPr>
                <w:sz w:val="15"/>
              </w:rPr>
              <w:t>Всего</w:t>
            </w:r>
          </w:p>
        </w:tc>
      </w:tr>
      <w:tr w:rsidR="00000000">
        <w:tblPrEx>
          <w:tblCellMar>
            <w:top w:w="0" w:type="dxa"/>
            <w:bottom w:w="0" w:type="dxa"/>
          </w:tblCellMar>
        </w:tblPrEx>
        <w:tc>
          <w:tcPr>
            <w:tcW w:w="1573"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5"/>
              </w:rPr>
            </w:pPr>
            <w:r>
              <w:rPr>
                <w:sz w:val="15"/>
              </w:rPr>
              <w:t>Государственный:</w:t>
            </w:r>
          </w:p>
        </w:tc>
        <w:tc>
          <w:tcPr>
            <w:tcW w:w="774"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65"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38"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38"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81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639"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13"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54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r>
      <w:tr w:rsidR="00000000">
        <w:tblPrEx>
          <w:tblCellMar>
            <w:top w:w="0" w:type="dxa"/>
            <w:bottom w:w="0" w:type="dxa"/>
          </w:tblCellMar>
        </w:tblPrEx>
        <w:tc>
          <w:tcPr>
            <w:tcW w:w="1573"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5"/>
              </w:rPr>
            </w:pPr>
            <w:r>
              <w:rPr>
                <w:sz w:val="15"/>
              </w:rPr>
              <w:t>Количество</w:t>
            </w:r>
          </w:p>
        </w:tc>
        <w:tc>
          <w:tcPr>
            <w:tcW w:w="77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35</w:t>
            </w:r>
          </w:p>
        </w:tc>
        <w:tc>
          <w:tcPr>
            <w:tcW w:w="76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451</w:t>
            </w: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24</w:t>
            </w: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7,905</w:t>
            </w:r>
          </w:p>
        </w:tc>
        <w:tc>
          <w:tcPr>
            <w:tcW w:w="8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4,439</w:t>
            </w:r>
          </w:p>
        </w:tc>
        <w:tc>
          <w:tcPr>
            <w:tcW w:w="63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630</w:t>
            </w:r>
          </w:p>
        </w:tc>
        <w:tc>
          <w:tcPr>
            <w:tcW w:w="71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21</w:t>
            </w:r>
          </w:p>
        </w:tc>
        <w:tc>
          <w:tcPr>
            <w:tcW w:w="5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13,505</w:t>
            </w:r>
          </w:p>
        </w:tc>
      </w:tr>
      <w:tr w:rsidR="00000000">
        <w:tblPrEx>
          <w:tblCellMar>
            <w:top w:w="0" w:type="dxa"/>
            <w:bottom w:w="0" w:type="dxa"/>
          </w:tblCellMar>
        </w:tblPrEx>
        <w:tc>
          <w:tcPr>
            <w:tcW w:w="1573"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5"/>
              </w:rPr>
            </w:pPr>
            <w:r>
              <w:rPr>
                <w:sz w:val="15"/>
              </w:rPr>
              <w:t>Процентная доля*</w:t>
            </w:r>
          </w:p>
        </w:tc>
        <w:tc>
          <w:tcPr>
            <w:tcW w:w="77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11,5</w:t>
            </w:r>
          </w:p>
        </w:tc>
        <w:tc>
          <w:tcPr>
            <w:tcW w:w="76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24,1</w:t>
            </w: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2,5</w:t>
            </w: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44</w:t>
            </w:r>
          </w:p>
        </w:tc>
        <w:tc>
          <w:tcPr>
            <w:tcW w:w="8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46,9</w:t>
            </w:r>
          </w:p>
        </w:tc>
        <w:tc>
          <w:tcPr>
            <w:tcW w:w="63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30</w:t>
            </w:r>
          </w:p>
        </w:tc>
        <w:tc>
          <w:tcPr>
            <w:tcW w:w="71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26</w:t>
            </w:r>
          </w:p>
        </w:tc>
        <w:tc>
          <w:tcPr>
            <w:tcW w:w="5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41,3</w:t>
            </w:r>
          </w:p>
        </w:tc>
      </w:tr>
      <w:tr w:rsidR="00000000">
        <w:tblPrEx>
          <w:tblCellMar>
            <w:top w:w="0" w:type="dxa"/>
            <w:bottom w:w="0" w:type="dxa"/>
          </w:tblCellMar>
        </w:tblPrEx>
        <w:tc>
          <w:tcPr>
            <w:tcW w:w="1573"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5"/>
              </w:rPr>
            </w:pPr>
            <w:r>
              <w:rPr>
                <w:sz w:val="15"/>
              </w:rPr>
              <w:t>Частный:</w:t>
            </w:r>
          </w:p>
        </w:tc>
        <w:tc>
          <w:tcPr>
            <w:tcW w:w="77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6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8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63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1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5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r>
      <w:tr w:rsidR="00000000">
        <w:tblPrEx>
          <w:tblCellMar>
            <w:top w:w="0" w:type="dxa"/>
            <w:bottom w:w="0" w:type="dxa"/>
          </w:tblCellMar>
        </w:tblPrEx>
        <w:tc>
          <w:tcPr>
            <w:tcW w:w="1573"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5"/>
              </w:rPr>
            </w:pPr>
            <w:r>
              <w:rPr>
                <w:sz w:val="15"/>
              </w:rPr>
              <w:t>Количество</w:t>
            </w:r>
          </w:p>
        </w:tc>
        <w:tc>
          <w:tcPr>
            <w:tcW w:w="77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31</w:t>
            </w:r>
          </w:p>
        </w:tc>
        <w:tc>
          <w:tcPr>
            <w:tcW w:w="76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1,146</w:t>
            </w: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73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9,719</w:t>
            </w:r>
          </w:p>
        </w:tc>
        <w:tc>
          <w:tcPr>
            <w:tcW w:w="8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4,627</w:t>
            </w:r>
          </w:p>
        </w:tc>
        <w:tc>
          <w:tcPr>
            <w:tcW w:w="63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69</w:t>
            </w:r>
          </w:p>
        </w:tc>
        <w:tc>
          <w:tcPr>
            <w:tcW w:w="71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p>
        </w:tc>
        <w:tc>
          <w:tcPr>
            <w:tcW w:w="5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5"/>
              </w:rPr>
            </w:pPr>
            <w:r>
              <w:rPr>
                <w:sz w:val="15"/>
              </w:rPr>
              <w:t>15,592</w:t>
            </w:r>
          </w:p>
        </w:tc>
      </w:tr>
      <w:tr w:rsidR="00000000">
        <w:tblPrEx>
          <w:tblCellMar>
            <w:top w:w="0" w:type="dxa"/>
            <w:bottom w:w="0" w:type="dxa"/>
          </w:tblCellMar>
        </w:tblPrEx>
        <w:tc>
          <w:tcPr>
            <w:tcW w:w="1573"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5"/>
              </w:rPr>
            </w:pPr>
            <w:r>
              <w:rPr>
                <w:b/>
                <w:sz w:val="15"/>
              </w:rPr>
              <w:t>Процентная доля*</w:t>
            </w:r>
          </w:p>
        </w:tc>
        <w:tc>
          <w:tcPr>
            <w:tcW w:w="774"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r>
              <w:rPr>
                <w:b/>
                <w:sz w:val="15"/>
              </w:rPr>
              <w:t>3,2</w:t>
            </w:r>
          </w:p>
        </w:tc>
        <w:tc>
          <w:tcPr>
            <w:tcW w:w="765"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r>
              <w:rPr>
                <w:b/>
                <w:sz w:val="15"/>
              </w:rPr>
              <w:t>33,2</w:t>
            </w:r>
          </w:p>
        </w:tc>
        <w:tc>
          <w:tcPr>
            <w:tcW w:w="738"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p>
        </w:tc>
        <w:tc>
          <w:tcPr>
            <w:tcW w:w="738"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r>
              <w:rPr>
                <w:b/>
                <w:sz w:val="15"/>
              </w:rPr>
              <w:t>42,7</w:t>
            </w:r>
          </w:p>
        </w:tc>
        <w:tc>
          <w:tcPr>
            <w:tcW w:w="8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r>
              <w:rPr>
                <w:b/>
                <w:sz w:val="15"/>
              </w:rPr>
              <w:t>45,3</w:t>
            </w:r>
          </w:p>
        </w:tc>
        <w:tc>
          <w:tcPr>
            <w:tcW w:w="639"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r>
              <w:rPr>
                <w:b/>
                <w:sz w:val="15"/>
              </w:rPr>
              <w:t>37,2</w:t>
            </w:r>
          </w:p>
        </w:tc>
        <w:tc>
          <w:tcPr>
            <w:tcW w:w="713"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p>
        </w:tc>
        <w:tc>
          <w:tcPr>
            <w:tcW w:w="54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5"/>
              </w:rPr>
            </w:pPr>
            <w:r>
              <w:rPr>
                <w:b/>
                <w:sz w:val="15"/>
              </w:rPr>
              <w:t>41,4</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 xml:space="preserve">* </w:t>
      </w:r>
      <w:r>
        <w:tab/>
        <w:t>Процентная доля от общего количества лиц, проходивших обучение с целью пол</w:t>
      </w:r>
      <w:r>
        <w:t>у</w:t>
      </w:r>
      <w:r>
        <w:t>чения указанной квалификации.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Области специализации в системе технического и профессионального образ</w:t>
      </w:r>
      <w:r>
        <w:t>о</w:t>
      </w:r>
      <w:r>
        <w:t>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Возможности специализации в системе технического и профессионал</w:t>
      </w:r>
      <w:r>
        <w:t>ь</w:t>
      </w:r>
      <w:r>
        <w:t>ного образования представляются более широкими для юношей, нежели чем для девушек. Совсем нет девушек на таких специальностях, как механика (транспортные средства, нагревательные и холодильные системы), электрон</w:t>
      </w:r>
      <w:r>
        <w:t>и</w:t>
      </w:r>
      <w:r>
        <w:t>ка, гидравлика, пневматика, обслуживание авиатехники, гостиничный м</w:t>
      </w:r>
      <w:r>
        <w:t>е</w:t>
      </w:r>
      <w:r>
        <w:t>неджмент, электрика, механизация производства, дизайн одежды, наладка и ремонт оборудования, электромеханические работы, горнодобывающее и пр</w:t>
      </w:r>
      <w:r>
        <w:t>о</w:t>
      </w:r>
      <w:r>
        <w:t>мышленное оборудование, промышленные энергосистемы, энергосистемы в сфере здравоохранения, электрические и плотницкие работы в строительстве, кровельное дело, ремонт теле- и радиоаппаратуры, офсетная печать, токарное дело, сварочные работы, ремонт и строительство, аудио- и видеооборудование, обслуживание зданий, ремонт зданий, пекарское дело. В общей сложности, д</w:t>
      </w:r>
      <w:r>
        <w:t>е</w:t>
      </w:r>
      <w:r>
        <w:t>вушки выбирают такие технические и профессиональные специальности, как диетология, преподавание по специальности, портновское дело, кройка и ш</w:t>
      </w:r>
      <w:r>
        <w:t>и</w:t>
      </w:r>
      <w:r>
        <w:t>тье, уход за детьми и оказание первой помощи.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Как правило, в сфере технического и профессионального образования гендерные стереотипы выражены сильнее, чем в сфере общего образования, что, возможно, связано с тем фактом, что данная сфера образования привлек</w:t>
      </w:r>
      <w:r>
        <w:t>а</w:t>
      </w:r>
      <w:r>
        <w:t>ет представителей менее обеспеченных слоев населения, которые больше тяг</w:t>
      </w:r>
      <w:r>
        <w:t>о</w:t>
      </w:r>
      <w:r>
        <w:t>теют к традиционным це</w:t>
      </w:r>
      <w:r>
        <w:t>н</w:t>
      </w:r>
      <w:r>
        <w:t>ностям.</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Доля преподавателей женского пола в системе технического и профе</w:t>
      </w:r>
      <w:r>
        <w:t>с</w:t>
      </w:r>
      <w:r>
        <w:t>сионального образования за 2003/2004 учебный год, по данным Центра иссл</w:t>
      </w:r>
      <w:r>
        <w:t>е</w:t>
      </w:r>
      <w:r>
        <w:t>дований и разработок в области образования, составляла 45,4 процента в гос</w:t>
      </w:r>
      <w:r>
        <w:t>у</w:t>
      </w:r>
      <w:r>
        <w:t>дарственном се</w:t>
      </w:r>
      <w:r>
        <w:t>к</w:t>
      </w:r>
      <w:r>
        <w:t>торе и 45 процентов в частном секторе.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III</w:t>
      </w:r>
      <w:r>
        <w:t>.</w:t>
      </w:r>
      <w:r>
        <w:tab/>
        <w:t xml:space="preserve">Неграмотность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1998 году был принят закон, предусматривающий обязательное обр</w:t>
      </w:r>
      <w:r>
        <w:t>а</w:t>
      </w:r>
      <w:r>
        <w:t>зование для граждан в возрасте до 12 лет в качестве первого этапа и для гра</w:t>
      </w:r>
      <w:r>
        <w:t>ж</w:t>
      </w:r>
      <w:r>
        <w:t>дан в возрасте до 15 лет в качестве второго этапа. Тем не менее, данный закон не был связан с системой бесплатного образования и никаких мер по обесп</w:t>
      </w:r>
      <w:r>
        <w:t>е</w:t>
      </w:r>
      <w:r>
        <w:t>чению его исполнения не принималось. План "Образование для всех" пред</w:t>
      </w:r>
      <w:r>
        <w:t>у</w:t>
      </w:r>
      <w:r>
        <w:t>сматривает комплекс мер, которые должны быть реализованы к 2015 году и связаны с дошкольным и средним образованием, обучением детей и подрос</w:t>
      </w:r>
      <w:r>
        <w:t>т</w:t>
      </w:r>
      <w:r>
        <w:t>ков, не посещающих школу, и обучением взрослых. В плане не предусматр</w:t>
      </w:r>
      <w:r>
        <w:t>и</w:t>
      </w:r>
      <w:r>
        <w:t>вается каких-либо специальных или отдельных мер применительно к женщ</w:t>
      </w:r>
      <w:r>
        <w:t>и</w:t>
      </w:r>
      <w:r>
        <w:t>нам.</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Процент неграмотности среди женщин составляет 17,4 процента (по сравнению с 9,2 процентами среди мужчин). Согласно статистическим данным 1997 года, распределение доли неграмотного населения между полами по во</w:t>
      </w:r>
      <w:r>
        <w:t>з</w:t>
      </w:r>
      <w:r>
        <w:t>растным группам выглядит следующим образом:</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Таблица 7</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доли неграмотного населения по половозрастным группам</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060"/>
        <w:gridCol w:w="2175"/>
        <w:gridCol w:w="2055"/>
      </w:tblGrid>
      <w:tr w:rsidR="00000000">
        <w:tblPrEx>
          <w:tblCellMar>
            <w:top w:w="0" w:type="dxa"/>
            <w:bottom w:w="0" w:type="dxa"/>
          </w:tblCellMar>
        </w:tblPrEx>
        <w:tc>
          <w:tcPr>
            <w:tcW w:w="3060" w:type="dxa"/>
            <w:tcBorders>
              <w:top w:val="single" w:sz="12" w:space="0" w:color="auto"/>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Во</w:t>
            </w:r>
            <w:r>
              <w:t>з</w:t>
            </w:r>
            <w:r>
              <w:t>ра</w:t>
            </w:r>
            <w:r>
              <w:t>с</w:t>
            </w:r>
            <w:r>
              <w:t>тная гру</w:t>
            </w:r>
            <w:r>
              <w:t>п</w:t>
            </w:r>
            <w:r>
              <w:t>па</w:t>
            </w:r>
          </w:p>
        </w:tc>
        <w:tc>
          <w:tcPr>
            <w:tcW w:w="2175" w:type="dxa"/>
            <w:tcBorders>
              <w:top w:val="single" w:sz="12" w:space="0" w:color="auto"/>
              <w:bottom w:val="single" w:sz="4"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Женщины (%)</w:t>
            </w:r>
          </w:p>
        </w:tc>
        <w:tc>
          <w:tcPr>
            <w:tcW w:w="2055" w:type="dxa"/>
            <w:tcBorders>
              <w:top w:val="single" w:sz="12" w:space="0" w:color="auto"/>
              <w:bottom w:val="single" w:sz="4"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Му</w:t>
            </w:r>
            <w:r>
              <w:t>ж</w:t>
            </w:r>
            <w:r>
              <w:t>чины (%)</w:t>
            </w:r>
          </w:p>
        </w:tc>
      </w:tr>
      <w:tr w:rsidR="00000000">
        <w:tblPrEx>
          <w:tblCellMar>
            <w:top w:w="0" w:type="dxa"/>
            <w:bottom w:w="0" w:type="dxa"/>
          </w:tblCellMar>
        </w:tblPrEx>
        <w:tc>
          <w:tcPr>
            <w:tcW w:w="3060" w:type="dxa"/>
            <w:tcBorders>
              <w:top w:val="single" w:sz="4"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15-19</w:t>
            </w:r>
          </w:p>
        </w:tc>
        <w:tc>
          <w:tcPr>
            <w:tcW w:w="2175" w:type="dxa"/>
            <w:tcBorders>
              <w:top w:val="single" w:sz="4"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ind w:right="537"/>
              <w:jc w:val="right"/>
            </w:pPr>
            <w:r>
              <w:t>2,3</w:t>
            </w:r>
          </w:p>
        </w:tc>
        <w:tc>
          <w:tcPr>
            <w:tcW w:w="2055" w:type="dxa"/>
            <w:tcBorders>
              <w:top w:val="single" w:sz="4"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37"/>
              <w:jc w:val="right"/>
            </w:pPr>
            <w:r>
              <w:t>2,4</w:t>
            </w:r>
          </w:p>
        </w:tc>
      </w:tr>
      <w:tr w:rsidR="00000000">
        <w:tblPrEx>
          <w:tblCellMar>
            <w:top w:w="0" w:type="dxa"/>
            <w:bottom w:w="0" w:type="dxa"/>
          </w:tblCellMar>
        </w:tblPrEx>
        <w:tc>
          <w:tcPr>
            <w:tcW w:w="306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20-24</w:t>
            </w:r>
          </w:p>
        </w:tc>
        <w:tc>
          <w:tcPr>
            <w:tcW w:w="217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37"/>
              <w:jc w:val="right"/>
            </w:pPr>
            <w:r>
              <w:t>3,9</w:t>
            </w:r>
          </w:p>
        </w:tc>
        <w:tc>
          <w:tcPr>
            <w:tcW w:w="205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37"/>
              <w:jc w:val="right"/>
            </w:pPr>
            <w:r>
              <w:t>2,7</w:t>
            </w:r>
          </w:p>
        </w:tc>
      </w:tr>
      <w:tr w:rsidR="00000000">
        <w:tblPrEx>
          <w:tblCellMar>
            <w:top w:w="0" w:type="dxa"/>
            <w:bottom w:w="0" w:type="dxa"/>
          </w:tblCellMar>
        </w:tblPrEx>
        <w:tc>
          <w:tcPr>
            <w:tcW w:w="306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50-59</w:t>
            </w:r>
          </w:p>
        </w:tc>
        <w:tc>
          <w:tcPr>
            <w:tcW w:w="2175"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37"/>
              <w:jc w:val="right"/>
            </w:pPr>
            <w:r>
              <w:t>36,4</w:t>
            </w:r>
          </w:p>
        </w:tc>
        <w:tc>
          <w:tcPr>
            <w:tcW w:w="2055"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37"/>
              <w:jc w:val="right"/>
            </w:pPr>
            <w:r>
              <w:t>12,2</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План «Образование для всех». Статистические данные собраны в ходе изучения бытовых условий жизни семей, проведенного в 1997 году.</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Ливане действует национальный комитет по вопросам грамотности н</w:t>
      </w:r>
      <w:r>
        <w:t>а</w:t>
      </w:r>
      <w:r>
        <w:t>селения, одной из задач которого является борьба с неграмотностью и сокр</w:t>
      </w:r>
      <w:r>
        <w:t>а</w:t>
      </w:r>
      <w:r>
        <w:t>щение процента неграмотного населения вдвое к 2015 году. Среди достижений комитета – подготовка инструкторов по преодолению неграмотности (210 инструкторов в центрах общественного развития, 389 инструкторов в н</w:t>
      </w:r>
      <w:r>
        <w:t>е</w:t>
      </w:r>
      <w:r>
        <w:t>правительственных организациях, 143 инструктора в вооруженных силах и 15 инструкторов в Управлении тюрем). Реализуется программа «Студенты ун</w:t>
      </w:r>
      <w:r>
        <w:t>и</w:t>
      </w:r>
      <w:r>
        <w:t>верситетов в поддержку грамотности» (ЮНИЛИТ), которая предусматривает привлечение студентов к проведению занятий по ликвидации неграмотности среди населения, при этом за каждые 40 часов работы в рамках программы студентам предоставляется вознаграждение. Ликвидация неграмотности также включена в учебные планы университетов.</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33 центрах общественного развития и в 22 филиалах этих центров пр</w:t>
      </w:r>
      <w:r>
        <w:t>о</w:t>
      </w:r>
      <w:r>
        <w:t>ведены занятия по ликвидации неграмотности, которые посетили 3 200 человек, треть из них – женщины. Кроме того, 25 неправительственными организаци</w:t>
      </w:r>
      <w:r>
        <w:t>я</w:t>
      </w:r>
      <w:r>
        <w:t>ми проведены аналогичные занятия для 2524 человек, половину из которых с</w:t>
      </w:r>
      <w:r>
        <w:t>о</w:t>
      </w:r>
      <w:r>
        <w:t>ставили женщины. Разработана специальная учебная программа и соответс</w:t>
      </w:r>
      <w:r>
        <w:t>т</w:t>
      </w:r>
      <w:r>
        <w:t>вующие учебные материалы; при составлении учебных материалов отдельное внимание уделялось понятию равенства полов, с целью изменения шаблонов отношения и поведения.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При реализации программ ликвидации неграмотности возникают опр</w:t>
      </w:r>
      <w:r>
        <w:t>е</w:t>
      </w:r>
      <w:r>
        <w:t>деленные трудности, а именно: отсутствие исследований, оценивающих р</w:t>
      </w:r>
      <w:r>
        <w:t>е</w:t>
      </w:r>
      <w:r>
        <w:t>зультативность таких программ (хотя считается, что желаемого результата достигают 56 процентов посещавших занятия женщин); высокая стоимость с</w:t>
      </w:r>
      <w:r>
        <w:t>а</w:t>
      </w:r>
      <w:r>
        <w:t>мих программ; невозможность разработки учебных программ, ориентирова</w:t>
      </w:r>
      <w:r>
        <w:t>н</w:t>
      </w:r>
      <w:r>
        <w:t>ных на трудовые потребности обучаемых мужчин и женщин; а также нево</w:t>
      </w:r>
      <w:r>
        <w:t>з</w:t>
      </w:r>
      <w:r>
        <w:t>можность предоставления материальных стимулов, в частности, оплаты прое</w:t>
      </w:r>
      <w:r>
        <w:t>з</w:t>
      </w:r>
      <w:r>
        <w:t>да для неграмотных женщин, в особенности проживающих в неблагополучных районах.</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Организаторы перечисленных программ отмечают, что женщины демо</w:t>
      </w:r>
      <w:r>
        <w:t>н</w:t>
      </w:r>
      <w:r>
        <w:t>стрируют большую решимость и желание преодолеть свою неграмотность, чем мужчины. Это объясняется тем, что для некоторых мужчин неграмотность не является препятствием для получения работы, особенно связанной с тяжелым физическим трудом, в то время как для неграмотных женщин (обычно плохо обеспеченных материально) возможности найма весьма скудны. Внутри семьи необходимость следить за выполнением детьми школьных заданий служит д</w:t>
      </w:r>
      <w:r>
        <w:t>о</w:t>
      </w:r>
      <w:r>
        <w:t>полнительным стимулом для приобретения женщиной навыков чтения.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IV</w:t>
      </w:r>
      <w:r>
        <w:t>.</w:t>
      </w:r>
      <w:r>
        <w:tab/>
        <w:t>Выбывшие и исключенные из учебных заведений</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Что касается программ помощи детям и подросткам, не посещающим школу, в плане "Образование для всех" приводятся следующие статистические данные: в возрастной группе 7</w:t>
      </w:r>
      <w:r>
        <w:noBreakHyphen/>
        <w:t>11 лет насчитывается 22 510 детей, не пос</w:t>
      </w:r>
      <w:r>
        <w:t>е</w:t>
      </w:r>
      <w:r>
        <w:t>щающих школу, а в возрастной группе 12</w:t>
      </w:r>
      <w:r>
        <w:noBreakHyphen/>
        <w:t>14 лет – 18 037 детей (обоих полов). Государство планирует на ежегодной основе организовывать учебные группы, позволяющие таким детям не пропускать ступень общего образования (план “Образование для всех”).</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По данным плана “Образование для всех”, процент отсева среди девочек ниже, чем среди мальчиков (14 процентов и 20,2 процентов соответственно). Схожая картина наблюдается и в категории выбывших из учебных заведений (1,9 процента и 2,8 процента соответственно), согласно данным за 1996/97 год. Впоследствии исследований в данной области не проводилось, но все показ</w:t>
      </w:r>
      <w:r>
        <w:t>а</w:t>
      </w:r>
      <w:r>
        <w:t>тели свидетельствуют о с</w:t>
      </w:r>
      <w:r>
        <w:t>о</w:t>
      </w:r>
      <w:r>
        <w:t xml:space="preserve">храняющемся различии в пользу девочек.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V</w:t>
      </w:r>
      <w:r>
        <w:t>.</w:t>
      </w:r>
      <w:r>
        <w:tab/>
        <w:t>Спортивные мероприятия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Государственная политика в области образования свободна от дискр</w:t>
      </w:r>
      <w:r>
        <w:t>и</w:t>
      </w:r>
      <w:r>
        <w:t>минации по половому признаку применительно к спортивным мероприятиям. Девушки принимали участие в прошедших в текущем году Олимпийских и</w:t>
      </w:r>
      <w:r>
        <w:t>г</w:t>
      </w:r>
      <w:r>
        <w:t>рах, одна из спортсменок завоевала золотую медаль. Официально никаких тр</w:t>
      </w:r>
      <w:r>
        <w:t>е</w:t>
      </w:r>
      <w:r>
        <w:t xml:space="preserve">бований к форме одежды не предъявляется. Принимая во внимание большое разнообразие социальных групп учащихся, в некоторых школах установлено, что одежда должна быть скромной, и запрещено ношение купальников. Хотя имеющиеся спортивные сооружения предназначены не только для мужчин, они пользуются большей популярностью именно среди них. </w:t>
      </w:r>
    </w:p>
    <w:p w:rsidR="00000000" w:rsidRDefault="00000000">
      <w:pPr>
        <w:pStyle w:val="SingleTxt"/>
        <w:spacing w:after="0" w:line="180" w:lineRule="auto"/>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VI</w:t>
      </w:r>
      <w:r>
        <w:t>.</w:t>
      </w:r>
      <w:r>
        <w:tab/>
        <w:t>Высшее образование</w:t>
      </w:r>
    </w:p>
    <w:p w:rsidR="00000000" w:rsidRDefault="00000000">
      <w:pPr>
        <w:pStyle w:val="SingleTxt"/>
        <w:keepNext/>
        <w:spacing w:after="0" w:line="180" w:lineRule="auto"/>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системе высшего образования в 2003/2004 году числилось больше ст</w:t>
      </w:r>
      <w:r>
        <w:t>у</w:t>
      </w:r>
      <w:r>
        <w:t>дентов женского пола, чем мужского (53,6 процента женщин по сравнению с 46,4 процентами мужчин). Похожее соотношение сохранялось и среди выпус</w:t>
      </w:r>
      <w:r>
        <w:t>к</w:t>
      </w:r>
      <w:r>
        <w:t>ников; по данным за 2002/2003 год распределение выпускников по половой принадлежности выглядит следующим образом: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выпускников высших учебных заведений по половой пр</w:t>
      </w:r>
      <w:r>
        <w:rPr>
          <w:b/>
        </w:rPr>
        <w:t>и</w:t>
      </w:r>
      <w:r>
        <w:rPr>
          <w:b/>
        </w:rPr>
        <w:t>на</w:t>
      </w:r>
      <w:r>
        <w:rPr>
          <w:b/>
        </w:rPr>
        <w:t>д</w:t>
      </w:r>
      <w:r>
        <w:rPr>
          <w:b/>
        </w:rPr>
        <w:t>лежности</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510"/>
        <w:gridCol w:w="1980"/>
        <w:gridCol w:w="1890"/>
      </w:tblGrid>
      <w:tr w:rsidR="00000000">
        <w:tblPrEx>
          <w:tblCellMar>
            <w:top w:w="0" w:type="dxa"/>
            <w:bottom w:w="0" w:type="dxa"/>
          </w:tblCellMar>
        </w:tblPrEx>
        <w:tc>
          <w:tcPr>
            <w:tcW w:w="3510" w:type="dxa"/>
            <w:tcBorders>
              <w:top w:val="single" w:sz="4"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Тип уче</w:t>
            </w:r>
            <w:r>
              <w:t>б</w:t>
            </w:r>
            <w:r>
              <w:t>ного зав</w:t>
            </w:r>
            <w:r>
              <w:t>е</w:t>
            </w:r>
            <w:r>
              <w:t>дения</w:t>
            </w:r>
          </w:p>
        </w:tc>
        <w:tc>
          <w:tcPr>
            <w:tcW w:w="1980"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Му</w:t>
            </w:r>
            <w:r>
              <w:t>ж</w:t>
            </w:r>
            <w:r>
              <w:t>чины (%)</w:t>
            </w:r>
          </w:p>
        </w:tc>
        <w:tc>
          <w:tcPr>
            <w:tcW w:w="1890" w:type="dxa"/>
            <w:tcBorders>
              <w:top w:val="single" w:sz="4"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Женщины (%)</w:t>
            </w:r>
          </w:p>
        </w:tc>
      </w:tr>
      <w:tr w:rsidR="00000000">
        <w:tblPrEx>
          <w:tblCellMar>
            <w:top w:w="0" w:type="dxa"/>
            <w:bottom w:w="0" w:type="dxa"/>
          </w:tblCellMar>
        </w:tblPrEx>
        <w:tc>
          <w:tcPr>
            <w:tcW w:w="351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Ун</w:t>
            </w:r>
            <w:r>
              <w:t>и</w:t>
            </w:r>
            <w:r>
              <w:t>ве</w:t>
            </w:r>
            <w:r>
              <w:t>р</w:t>
            </w:r>
            <w:r>
              <w:t>сит</w:t>
            </w:r>
            <w:r>
              <w:t>е</w:t>
            </w:r>
            <w:r>
              <w:t>ты</w:t>
            </w:r>
          </w:p>
        </w:tc>
        <w:tc>
          <w:tcPr>
            <w:tcW w:w="1980" w:type="dxa"/>
            <w:tcBorders>
              <w:top w:val="single" w:sz="12" w:space="0" w:color="auto"/>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44,4</w:t>
            </w:r>
          </w:p>
        </w:tc>
        <w:tc>
          <w:tcPr>
            <w:tcW w:w="1890" w:type="dxa"/>
            <w:tcBorders>
              <w:top w:val="single" w:sz="12" w:space="0" w:color="auto"/>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55,6</w:t>
            </w:r>
          </w:p>
        </w:tc>
      </w:tr>
      <w:tr w:rsidR="00000000">
        <w:tblPrEx>
          <w:tblCellMar>
            <w:top w:w="0" w:type="dxa"/>
            <w:bottom w:w="0" w:type="dxa"/>
          </w:tblCellMar>
        </w:tblPrEx>
        <w:tc>
          <w:tcPr>
            <w:tcW w:w="3510" w:type="dxa"/>
            <w:tcBorders>
              <w:left w:val="nil"/>
              <w:bottom w:val="nil"/>
              <w:right w:val="nil"/>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И</w:t>
            </w:r>
            <w:r>
              <w:t>н</w:t>
            </w:r>
            <w:r>
              <w:t>ст</w:t>
            </w:r>
            <w:r>
              <w:t>и</w:t>
            </w:r>
            <w:r>
              <w:t>туты</w:t>
            </w:r>
          </w:p>
        </w:tc>
        <w:tc>
          <w:tcPr>
            <w:tcW w:w="198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67,3</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32,7</w:t>
            </w:r>
          </w:p>
        </w:tc>
      </w:tr>
      <w:tr w:rsidR="00000000">
        <w:tblPrEx>
          <w:tblCellMar>
            <w:top w:w="0" w:type="dxa"/>
            <w:bottom w:w="0" w:type="dxa"/>
          </w:tblCellMar>
        </w:tblPrEx>
        <w:tc>
          <w:tcPr>
            <w:tcW w:w="351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Ко</w:t>
            </w:r>
            <w:r>
              <w:t>л</w:t>
            </w:r>
            <w:r>
              <w:t>ле</w:t>
            </w:r>
            <w:r>
              <w:t>д</w:t>
            </w:r>
            <w:r>
              <w:t>жи</w:t>
            </w:r>
          </w:p>
        </w:tc>
        <w:tc>
          <w:tcPr>
            <w:tcW w:w="198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58,3</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41,7</w:t>
            </w:r>
          </w:p>
        </w:tc>
      </w:tr>
      <w:tr w:rsidR="00000000">
        <w:tblPrEx>
          <w:tblCellMar>
            <w:top w:w="0" w:type="dxa"/>
            <w:bottom w:w="0" w:type="dxa"/>
          </w:tblCellMar>
        </w:tblPrEx>
        <w:tc>
          <w:tcPr>
            <w:tcW w:w="351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Учебные це</w:t>
            </w:r>
            <w:r>
              <w:t>н</w:t>
            </w:r>
            <w:r>
              <w:t>тры</w:t>
            </w:r>
          </w:p>
        </w:tc>
        <w:tc>
          <w:tcPr>
            <w:tcW w:w="1980" w:type="dxa"/>
            <w:tcBorders>
              <w:bottom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69,9</w:t>
            </w:r>
          </w:p>
        </w:tc>
        <w:tc>
          <w:tcPr>
            <w:tcW w:w="1890" w:type="dxa"/>
            <w:tcBorders>
              <w:bottom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30,1</w:t>
            </w:r>
          </w:p>
        </w:tc>
      </w:tr>
      <w:tr w:rsidR="00000000">
        <w:tblPrEx>
          <w:tblCellMar>
            <w:top w:w="0" w:type="dxa"/>
            <w:bottom w:w="0" w:type="dxa"/>
          </w:tblCellMar>
        </w:tblPrEx>
        <w:tc>
          <w:tcPr>
            <w:tcW w:w="35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Всего</w:t>
            </w:r>
          </w:p>
        </w:tc>
        <w:tc>
          <w:tcPr>
            <w:tcW w:w="1980" w:type="dxa"/>
            <w:tcBorders>
              <w:top w:val="nil"/>
              <w:left w:val="nil"/>
              <w:bottom w:val="single" w:sz="12" w:space="0" w:color="auto"/>
              <w:right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46,1</w:t>
            </w:r>
          </w:p>
        </w:tc>
        <w:tc>
          <w:tcPr>
            <w:tcW w:w="1890" w:type="dxa"/>
            <w:tcBorders>
              <w:top w:val="nil"/>
              <w:left w:val="nil"/>
              <w:bottom w:val="single" w:sz="12" w:space="0" w:color="auto"/>
              <w:right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53,9</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Преобладание студентов женского пола в системе высшего образования Ливана не находит отражения в учебных планах и административной полит</w:t>
      </w:r>
      <w:r>
        <w:t>и</w:t>
      </w:r>
      <w:r>
        <w:t>ке. Только в трех университетах предлагаются учебные программы с различ</w:t>
      </w:r>
      <w:r>
        <w:t>и</w:t>
      </w:r>
      <w:r>
        <w:t>ем по полу или предназначенные специально для женщин. В первую очередь следует упомянуть Американо-ливанский университет, в рамках которого функционирует институт по вопросам образования для женщин, занимающи</w:t>
      </w:r>
      <w:r>
        <w:t>й</w:t>
      </w:r>
      <w:r>
        <w:t>ся разработкой учебных планов для женщин. Во вторую очередь можно отм</w:t>
      </w:r>
      <w:r>
        <w:t>е</w:t>
      </w:r>
      <w:r>
        <w:t>тить Университет Баламанд, принимающий меры к учету гендерной проблем</w:t>
      </w:r>
      <w:r>
        <w:t>а</w:t>
      </w:r>
      <w:r>
        <w:t>тики во всех предметах, преподаваемых на медицинском факультете. Третьим является Американский университет в Бейруте, который включил изучение женских вопросов в свой учебный план. Однако на практике это оказывается неэффективным.</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Ливанский университет: Ливанский университет насчитывает наибол</w:t>
      </w:r>
      <w:r>
        <w:t>ь</w:t>
      </w:r>
      <w:r>
        <w:t>шее количество студентов в Ливане. В 2002/2003 году из общего числа вып</w:t>
      </w:r>
      <w:r>
        <w:t>у</w:t>
      </w:r>
      <w:r>
        <w:t>скников вузов, а именно 9 378 юношей и 10 940 девушек, на Ливанский ун</w:t>
      </w:r>
      <w:r>
        <w:t>и</w:t>
      </w:r>
      <w:r>
        <w:t>верситет приходилось 34,6 процента всех выпускников мужского пола и 51,9 процент всех выпускников женского пола (по статистическим данным Центра исследований и разработок в о</w:t>
      </w:r>
      <w:r>
        <w:t>б</w:t>
      </w:r>
      <w:r>
        <w:t>ласти образования за 2003/2004 год).</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Несмотря на преобладание женщин среди студентов и административн</w:t>
      </w:r>
      <w:r>
        <w:t>о</w:t>
      </w:r>
      <w:r>
        <w:t>го персонала Ливанского университета, в целом они еще не оказывают влияния на принятие решений по различным общественным вопросам в компетенции Университета и его политику. В своих собственных оценках сложившейся с</w:t>
      </w:r>
      <w:r>
        <w:t>и</w:t>
      </w:r>
      <w:r>
        <w:t>туации Ливанский университет избегает упоминания вопросов, связанных с положением женщин.</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Отдельные исследования описательного характера подтверждают, что женский преподавательский состав Ливанского университета особенно заинт</w:t>
      </w:r>
      <w:r>
        <w:t>е</w:t>
      </w:r>
      <w:r>
        <w:t>ресован в развитии Университета и принятии мер для того, чтобы идти в ногу со временем и учитывать культурные перемены и новые представления, поя</w:t>
      </w:r>
      <w:r>
        <w:t>в</w:t>
      </w:r>
      <w:r>
        <w:t>ляющиеся в области культуры, включая связанные с положением женщин. Члены Ассоциации ливанских женщин</w:t>
      </w:r>
      <w:r>
        <w:noBreakHyphen/>
        <w:t>научных работников, многие из кот</w:t>
      </w:r>
      <w:r>
        <w:t>о</w:t>
      </w:r>
      <w:r>
        <w:t>рых являются женщинами</w:t>
      </w:r>
      <w:r>
        <w:noBreakHyphen/>
        <w:t>преподавателями Ливанского университета, в н</w:t>
      </w:r>
      <w:r>
        <w:t>а</w:t>
      </w:r>
      <w:r>
        <w:t>стоящее время работают над проектом по "включению занятий для женщин и гендерной проблематики в учебную политику Ливанского университета".</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Выбираемые в университетах специальности: Практически исключ</w:t>
      </w:r>
      <w:r>
        <w:t>и</w:t>
      </w:r>
      <w:r>
        <w:t>тельно мужскими являются специальности, связанные с машиностроением и электротехникой, в то время как перечень чисто женских специальностей н</w:t>
      </w:r>
      <w:r>
        <w:t>е</w:t>
      </w:r>
      <w:r>
        <w:t>сколько шире и включает педагогику и диетологию, психологию, акушерство, микробиологию, ба</w:t>
      </w:r>
      <w:r>
        <w:t>к</w:t>
      </w:r>
      <w:r>
        <w:t>териологию и экологию.</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По сравнению с более ранними статистическими данными за 1970-е г</w:t>
      </w:r>
      <w:r>
        <w:t>о</w:t>
      </w:r>
      <w:r>
        <w:t>ды, количество специальностей, привлекающих значительное большинство женщин, увеличилось с 10 в 1994/95 году до 14. Очевидно, что доля же</w:t>
      </w:r>
      <w:r>
        <w:t>н</w:t>
      </w:r>
      <w:r>
        <w:t>щин, выбирающих ту или иную специальность, более распространенную среди мужчин, растет. В качестве примера можно привести физику, геологию, мед</w:t>
      </w:r>
      <w:r>
        <w:t>и</w:t>
      </w:r>
      <w:r>
        <w:t>цину, электротехническое машиностроение, исследования в области ислама и общее право. Отдельные специальности, в том числе медицина, политология, экономика, химия, бухгалтерский учет, маркетинг, реклама и менеджмент пр</w:t>
      </w:r>
      <w:r>
        <w:t>о</w:t>
      </w:r>
      <w:r>
        <w:t>должают пользоваться одинаковым успехом у представителей обоих полов. Более того, некоторые специальности, ранее в большей степени представле</w:t>
      </w:r>
      <w:r>
        <w:t>н</w:t>
      </w:r>
      <w:r>
        <w:t>ные мужчинами, например, география, стали в большей степени женскими. Можно отметить, что наблюдается устойчивая тенденция к росту количества женщин среди обучающихся по целому ряду специальностей в системе высш</w:t>
      </w:r>
      <w:r>
        <w:t>е</w:t>
      </w:r>
      <w:r>
        <w:t>го образования.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Количество преподавателей женского пола в системе высшего образов</w:t>
      </w:r>
      <w:r>
        <w:t>а</w:t>
      </w:r>
      <w:r>
        <w:t>ния составляет 3 699 человек (или 30,8 процента преподавательского состава в целом), а количество женщин в административно-управленческом аппарате с</w:t>
      </w:r>
      <w:r>
        <w:t>о</w:t>
      </w:r>
      <w:r>
        <w:t>ставляет 2 076 человек (или 53 процента административного персонала в ц</w:t>
      </w:r>
      <w:r>
        <w:t>е</w:t>
      </w:r>
      <w:r>
        <w:t>лом). В Лива</w:t>
      </w:r>
      <w:r>
        <w:t>н</w:t>
      </w:r>
      <w:r>
        <w:t>ском университете насчитывается 1 134 женщины-преподавателя, а на административных должностях работают 996 женщин (42,3 процента административного пе</w:t>
      </w:r>
      <w:r>
        <w:t>р</w:t>
      </w:r>
      <w:r>
        <w:t>сонала в целом).</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Количество преподавателей женского пола в системе высшего образов</w:t>
      </w:r>
      <w:r>
        <w:t>а</w:t>
      </w:r>
      <w:r>
        <w:t>ния не соответствует их роли в процессе принятия решений. В частности, в крупнейших ливанских университетах, в каждом из которых насчитывается не менее 100 женщин-преподавателей, женщины-деканы встречаются крайне ре</w:t>
      </w:r>
      <w:r>
        <w:t>д</w:t>
      </w:r>
      <w:r>
        <w:t>ко.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br w:type="page"/>
        <w:t>Таблица 9</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женщин-деканов по ряду высших учебных заведений</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780"/>
        <w:gridCol w:w="1890"/>
        <w:gridCol w:w="1620"/>
      </w:tblGrid>
      <w:tr w:rsidR="00000000">
        <w:tblPrEx>
          <w:tblCellMar>
            <w:top w:w="0" w:type="dxa"/>
            <w:bottom w:w="0" w:type="dxa"/>
          </w:tblCellMar>
        </w:tblPrEx>
        <w:tc>
          <w:tcPr>
            <w:tcW w:w="3780" w:type="dxa"/>
            <w:tcBorders>
              <w:top w:val="single" w:sz="12" w:space="0" w:color="000000"/>
              <w:left w:val="nil"/>
              <w:bottom w:val="single" w:sz="6" w:space="0" w:color="000000"/>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Университет</w:t>
            </w:r>
          </w:p>
        </w:tc>
        <w:tc>
          <w:tcPr>
            <w:tcW w:w="189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К</w:t>
            </w:r>
            <w:r>
              <w:t>о</w:t>
            </w:r>
            <w:r>
              <w:t>л</w:t>
            </w:r>
            <w:r>
              <w:t>и</w:t>
            </w:r>
            <w:r>
              <w:t>ч</w:t>
            </w:r>
            <w:r>
              <w:t>е</w:t>
            </w:r>
            <w:r>
              <w:t>ство женщин-д</w:t>
            </w:r>
            <w:r>
              <w:t>е</w:t>
            </w:r>
            <w:r>
              <w:t>к</w:t>
            </w:r>
            <w:r>
              <w:t>а</w:t>
            </w:r>
            <w:r>
              <w:t>нов</w:t>
            </w:r>
          </w:p>
        </w:tc>
        <w:tc>
          <w:tcPr>
            <w:tcW w:w="162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Всего деканов</w:t>
            </w:r>
          </w:p>
        </w:tc>
      </w:tr>
      <w:tr w:rsidR="00000000">
        <w:tblPrEx>
          <w:tblCellMar>
            <w:top w:w="0" w:type="dxa"/>
            <w:bottom w:w="0" w:type="dxa"/>
          </w:tblCellMar>
        </w:tblPrEx>
        <w:tc>
          <w:tcPr>
            <w:tcW w:w="3780" w:type="dxa"/>
            <w:tcBorders>
              <w:top w:val="nil"/>
              <w:left w:val="nil"/>
              <w:bottom w:val="nil"/>
              <w:right w:val="nil"/>
            </w:tcBorders>
          </w:tcPr>
          <w:p w:rsidR="00000000" w:rsidRDefault="00000000">
            <w:pPr>
              <w:pStyle w:val="H56"/>
              <w:keepNext w:val="0"/>
              <w:keepLines w:val="0"/>
              <w:tabs>
                <w:tab w:val="clear" w:pos="360"/>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val="0"/>
              <w:outlineLvl w:val="9"/>
            </w:pPr>
            <w:r>
              <w:t>Ливанский универс</w:t>
            </w:r>
            <w:r>
              <w:t>и</w:t>
            </w:r>
            <w:r>
              <w:t>тет</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1</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16</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Американский ун</w:t>
            </w:r>
            <w:r>
              <w:t>и</w:t>
            </w:r>
            <w:r>
              <w:t>верситет</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1</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7</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Американо-ливанский универс</w:t>
            </w:r>
            <w:r>
              <w:t>и</w:t>
            </w:r>
            <w:r>
              <w:t>тет</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1</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8</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Иезуитский униве</w:t>
            </w:r>
            <w:r>
              <w:t>р</w:t>
            </w:r>
            <w:r>
              <w:t>ситет</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2</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31</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Арабский универс</w:t>
            </w:r>
            <w:r>
              <w:t>и</w:t>
            </w:r>
            <w:r>
              <w:t>тет</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2</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9</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Ливанский междун</w:t>
            </w:r>
            <w:r>
              <w:t>а</w:t>
            </w:r>
            <w:r>
              <w:t>родный университет</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1</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5</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Университет Бал</w:t>
            </w:r>
            <w:r>
              <w:t>а</w:t>
            </w:r>
            <w:r>
              <w:t>манд</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нет</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9</w:t>
            </w:r>
          </w:p>
        </w:tc>
      </w:tr>
      <w:tr w:rsidR="00000000">
        <w:tblPrEx>
          <w:tblCellMar>
            <w:top w:w="0" w:type="dxa"/>
            <w:bottom w:w="0" w:type="dxa"/>
          </w:tblCellMar>
        </w:tblPrEx>
        <w:tc>
          <w:tcPr>
            <w:tcW w:w="378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Университет Нотр-Дам</w:t>
            </w:r>
          </w:p>
        </w:tc>
        <w:tc>
          <w:tcPr>
            <w:tcW w:w="189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нет</w:t>
            </w:r>
          </w:p>
        </w:tc>
        <w:tc>
          <w:tcPr>
            <w:tcW w:w="1620" w:type="dxa"/>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pPr>
            <w:r>
              <w:t>6</w:t>
            </w:r>
          </w:p>
        </w:tc>
      </w:tr>
      <w:tr w:rsidR="00000000">
        <w:tblPrEx>
          <w:tblCellMar>
            <w:top w:w="0" w:type="dxa"/>
            <w:bottom w:w="0" w:type="dxa"/>
          </w:tblCellMar>
        </w:tblPrEx>
        <w:tc>
          <w:tcPr>
            <w:tcW w:w="378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rPr>
                <w:b/>
              </w:rPr>
              <w:t>Университет Сан-Эсприт-де-Каслик</w:t>
            </w:r>
          </w:p>
        </w:tc>
        <w:tc>
          <w:tcPr>
            <w:tcW w:w="1890" w:type="dxa"/>
            <w:tcBorders>
              <w:top w:val="nil"/>
              <w:left w:val="nil"/>
              <w:bottom w:val="single" w:sz="4" w:space="0" w:color="auto"/>
              <w:right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b/>
              </w:rPr>
            </w:pPr>
            <w:r>
              <w:rPr>
                <w:b/>
              </w:rPr>
              <w:t xml:space="preserve">нет </w:t>
            </w:r>
          </w:p>
        </w:tc>
        <w:tc>
          <w:tcPr>
            <w:tcW w:w="1620" w:type="dxa"/>
            <w:tcBorders>
              <w:top w:val="nil"/>
              <w:left w:val="nil"/>
              <w:bottom w:val="single" w:sz="4" w:space="0" w:color="auto"/>
              <w:right w:val="nil"/>
            </w:tcBorders>
          </w:tcPr>
          <w:p w:rsidR="00000000" w:rsidRDefault="00000000">
            <w:pPr>
              <w:tabs>
                <w:tab w:val="left" w:pos="1022"/>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b/>
              </w:rPr>
            </w:pPr>
            <w:r>
              <w:rPr>
                <w:b/>
              </w:rPr>
              <w:t>13</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 исследований и разработок в области образования, Стат</w:t>
      </w:r>
      <w:r>
        <w:rPr>
          <w:i/>
        </w:rPr>
        <w:t>и</w:t>
      </w:r>
      <w:r>
        <w:rPr>
          <w:i/>
        </w:rPr>
        <w:t>стич</w:t>
      </w:r>
      <w:r>
        <w:rPr>
          <w:i/>
        </w:rPr>
        <w:t>е</w:t>
      </w:r>
      <w:r>
        <w:rPr>
          <w:i/>
        </w:rPr>
        <w:t>ский отчет за 2003/2004 учебный год, Министерство образования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нашем распоряжении нет данных по получателям зарубежных грантов и стипендий. Тем не менее, рост количества преподавателей и студентов же</w:t>
      </w:r>
      <w:r>
        <w:t>н</w:t>
      </w:r>
      <w:r>
        <w:t>ского пола в высших учебных заведениях свидетельствует о том, что такие возможности женщинам доступны.</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При оценке результатов достижений в сфере высшего образования часто имеет место преувеличение равенства возможностей для женщин. При этом назревает острая необходимость анализа характера и сущности таких возмо</w:t>
      </w:r>
      <w:r>
        <w:t>ж</w:t>
      </w:r>
      <w:r>
        <w:t>ностей. Возможности женщин в системе государственного образования выше, чем в системе платного частного образования, качество которого выше. С</w:t>
      </w:r>
      <w:r>
        <w:t>о</w:t>
      </w:r>
      <w:r>
        <w:t>держание знаний, получаемых женщинами, не соответствует их стремлению к свободе и реализации своей индивидуальности. Последствия неграмотности продолжают в значительной степени сказываться на женщинах, и для их ус</w:t>
      </w:r>
      <w:r>
        <w:t>т</w:t>
      </w:r>
      <w:r>
        <w:t>ранения необходимо прилагать совместные усилия. Кроме того, повышение роли женщин в системе высшего образования не сопровождается предоставл</w:t>
      </w:r>
      <w:r>
        <w:t>е</w:t>
      </w:r>
      <w:r>
        <w:t>нием им функций по организации такого образования или возможности дол</w:t>
      </w:r>
      <w:r>
        <w:t>ж</w:t>
      </w:r>
      <w:r>
        <w:t>ного участия в процессе планирования и оценки.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rPr>
          <w:sz w:val="28"/>
        </w:rPr>
      </w:pPr>
      <w:r>
        <w:rPr>
          <w:sz w:val="28"/>
        </w:rPr>
        <w:t>Глава 6</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rPr>
          <w:sz w:val="28"/>
        </w:rPr>
        <w:t>Занятость и экономика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260" w:lineRule="exact"/>
        <w:rPr>
          <w:sz w:val="24"/>
        </w:rPr>
      </w:pPr>
      <w:r>
        <w:rPr>
          <w:b/>
          <w:sz w:val="24"/>
        </w:rPr>
        <w:t>(Статьи 11 и 13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w:t>
      </w:r>
      <w:r>
        <w:t>.</w:t>
      </w:r>
      <w:r>
        <w:tab/>
        <w:t>Социально-экономическая деятельность</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1.</w:t>
      </w:r>
      <w:r>
        <w:tab/>
      </w:r>
      <w:r>
        <w:rPr>
          <w:i/>
        </w:rPr>
        <w:t>Рост доходов семей:</w:t>
      </w:r>
      <w:r>
        <w:t xml:space="preserve"> Статистические данные показывают, что за пер</w:t>
      </w:r>
      <w:r>
        <w:t>и</w:t>
      </w:r>
      <w:r>
        <w:t>од с 1997 по 2001 год средний доход семьи от работы по найму составлял 15 541 000 ливанских фунтов в 1997 году (порядка 10 160 долларов США) и 15 542 000 ливанских фунтов в 2001 году (порядка 10 360 долларов США). С</w:t>
      </w:r>
      <w:r>
        <w:t>о</w:t>
      </w:r>
      <w:r>
        <w:t>бранные данные свидетельствуют о том, что доля семей с ежемесячным дох</w:t>
      </w:r>
      <w:r>
        <w:t>о</w:t>
      </w:r>
      <w:r>
        <w:t>дом ниже 1 200 000 ливанских фунтов составляет 61 процент. Около 31,5 процента семей считают, что их доход является недостаточным, а 30 пр</w:t>
      </w:r>
      <w:r>
        <w:t>о</w:t>
      </w:r>
      <w:r>
        <w:t>центов считают, что их доход является едва достаточным. Кроме того, в ра</w:t>
      </w:r>
      <w:r>
        <w:t>м</w:t>
      </w:r>
      <w:r>
        <w:t>ках одних и тех же профессиональных групп женщины получают меньшую ежемесячную заработную плату, чем мужчины; проведенное в 1997 году и</w:t>
      </w:r>
      <w:r>
        <w:t>с</w:t>
      </w:r>
      <w:r>
        <w:t>следование условий жизни семей в Ливане показало, что средний ежемесячный доход женщины от работы по найму составляет 568 000 ливанских фунтов (369 долларов США), по сравнению с 732 000 ливанских фунтов (488 долларов США) у мужчин, что в процентном соотношении выглядит как 0,77 к 1. Да</w:t>
      </w:r>
      <w:r>
        <w:t>н</w:t>
      </w:r>
      <w:r>
        <w:t>ное соотношение еще более очевидно в категории руководящих работников и менеджеров, где зарплата женщины составляет 64 процента от зарплаты му</w:t>
      </w:r>
      <w:r>
        <w:t>ж</w:t>
      </w:r>
      <w:r>
        <w:t>чины.</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Таблица 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Рост уровня доходов с 1997 по 2000 год в ливанских фунтах и в доллар</w:t>
      </w:r>
      <w:r>
        <w:rPr>
          <w:b/>
        </w:rPr>
        <w:t>о</w:t>
      </w:r>
      <w:r>
        <w:rPr>
          <w:b/>
        </w:rPr>
        <w:t>вом в</w:t>
      </w:r>
      <w:r>
        <w:rPr>
          <w:b/>
        </w:rPr>
        <w:t>ы</w:t>
      </w:r>
      <w:r>
        <w:rPr>
          <w:b/>
        </w:rPr>
        <w:t>ражении</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2592"/>
        <w:gridCol w:w="1296"/>
        <w:gridCol w:w="1152"/>
        <w:gridCol w:w="1170"/>
        <w:gridCol w:w="1170"/>
      </w:tblGrid>
      <w:tr w:rsidR="00000000">
        <w:tblPrEx>
          <w:tblCellMar>
            <w:top w:w="0" w:type="dxa"/>
            <w:bottom w:w="0" w:type="dxa"/>
          </w:tblCellMar>
        </w:tblPrEx>
        <w:tc>
          <w:tcPr>
            <w:tcW w:w="2592" w:type="dxa"/>
            <w:tcBorders>
              <w:top w:val="single" w:sz="2" w:space="0" w:color="auto"/>
              <w:left w:val="nil"/>
              <w:bottom w:val="single" w:sz="12" w:space="0" w:color="auto"/>
              <w:right w:val="nil"/>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Год</w:t>
            </w:r>
            <w:r>
              <w:t>о</w:t>
            </w:r>
            <w:r>
              <w:t>вой/средний доход</w:t>
            </w:r>
          </w:p>
        </w:tc>
        <w:tc>
          <w:tcPr>
            <w:tcW w:w="1296"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1997 (фунты)</w:t>
            </w:r>
          </w:p>
        </w:tc>
        <w:tc>
          <w:tcPr>
            <w:tcW w:w="1152"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1997 (доллары)</w:t>
            </w:r>
          </w:p>
        </w:tc>
        <w:tc>
          <w:tcPr>
            <w:tcW w:w="11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2001 (фунты)</w:t>
            </w:r>
          </w:p>
        </w:tc>
        <w:tc>
          <w:tcPr>
            <w:tcW w:w="11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2001 (доллары)</w:t>
            </w:r>
          </w:p>
        </w:tc>
      </w:tr>
      <w:tr w:rsidR="00000000">
        <w:tblPrEx>
          <w:tblCellMar>
            <w:top w:w="0" w:type="dxa"/>
            <w:bottom w:w="0" w:type="dxa"/>
          </w:tblCellMar>
        </w:tblPrEx>
        <w:tc>
          <w:tcPr>
            <w:tcW w:w="2592"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Средний годовой д</w:t>
            </w:r>
            <w:r>
              <w:t>о</w:t>
            </w:r>
            <w:r>
              <w:t>ход семьи в Л</w:t>
            </w:r>
            <w:r>
              <w:t>и</w:t>
            </w:r>
            <w:r>
              <w:t>ване</w:t>
            </w:r>
          </w:p>
        </w:tc>
        <w:tc>
          <w:tcPr>
            <w:tcW w:w="1296"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15 241 000</w:t>
            </w:r>
          </w:p>
        </w:tc>
        <w:tc>
          <w:tcPr>
            <w:tcW w:w="1152"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10 160</w:t>
            </w:r>
          </w:p>
        </w:tc>
        <w:tc>
          <w:tcPr>
            <w:tcW w:w="1170"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15 542 000</w:t>
            </w:r>
          </w:p>
        </w:tc>
        <w:tc>
          <w:tcPr>
            <w:tcW w:w="1170"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10 361</w:t>
            </w:r>
          </w:p>
        </w:tc>
      </w:tr>
      <w:tr w:rsidR="00000000">
        <w:tblPrEx>
          <w:tblCellMar>
            <w:top w:w="0" w:type="dxa"/>
            <w:bottom w:w="0" w:type="dxa"/>
          </w:tblCellMar>
        </w:tblPrEx>
        <w:tc>
          <w:tcPr>
            <w:tcW w:w="2592" w:type="dxa"/>
            <w:tcBorders>
              <w:top w:val="nil"/>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Средняя ежемеся</w:t>
            </w:r>
            <w:r>
              <w:t>ч</w:t>
            </w:r>
            <w:r>
              <w:t>ная зарпл</w:t>
            </w:r>
            <w:r>
              <w:t>а</w:t>
            </w:r>
            <w:r>
              <w:t>та мужчины</w:t>
            </w:r>
          </w:p>
        </w:tc>
        <w:tc>
          <w:tcPr>
            <w:tcW w:w="1296"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732 000</w:t>
            </w:r>
          </w:p>
        </w:tc>
        <w:tc>
          <w:tcPr>
            <w:tcW w:w="1152"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488</w:t>
            </w:r>
          </w:p>
        </w:tc>
        <w:tc>
          <w:tcPr>
            <w:tcW w:w="1170"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нет данных</w:t>
            </w:r>
          </w:p>
        </w:tc>
        <w:tc>
          <w:tcPr>
            <w:tcW w:w="1170" w:type="dxa"/>
            <w:tcBorders>
              <w:top w:val="nil"/>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pPr>
            <w:r>
              <w:t>–</w:t>
            </w:r>
          </w:p>
        </w:tc>
      </w:tr>
      <w:tr w:rsidR="00000000">
        <w:tblPrEx>
          <w:tblCellMar>
            <w:top w:w="0" w:type="dxa"/>
            <w:bottom w:w="0" w:type="dxa"/>
          </w:tblCellMar>
        </w:tblPrEx>
        <w:tc>
          <w:tcPr>
            <w:tcW w:w="2592"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rPr>
                <w:b/>
              </w:rPr>
              <w:t>Средняя ежемеся</w:t>
            </w:r>
            <w:r>
              <w:rPr>
                <w:b/>
              </w:rPr>
              <w:t>ч</w:t>
            </w:r>
            <w:r>
              <w:rPr>
                <w:b/>
              </w:rPr>
              <w:t>ная за</w:t>
            </w:r>
            <w:r>
              <w:rPr>
                <w:b/>
              </w:rPr>
              <w:t>р</w:t>
            </w:r>
            <w:r>
              <w:rPr>
                <w:b/>
              </w:rPr>
              <w:t>плата женщ</w:t>
            </w:r>
            <w:r>
              <w:rPr>
                <w:b/>
              </w:rPr>
              <w:t>и</w:t>
            </w:r>
            <w:r>
              <w:rPr>
                <w:b/>
              </w:rPr>
              <w:t>ны</w:t>
            </w:r>
          </w:p>
        </w:tc>
        <w:tc>
          <w:tcPr>
            <w:tcW w:w="1296"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rPr>
                <w:b/>
              </w:rPr>
            </w:pPr>
            <w:r>
              <w:rPr>
                <w:b/>
              </w:rPr>
              <w:t>568 000</w:t>
            </w:r>
          </w:p>
        </w:tc>
        <w:tc>
          <w:tcPr>
            <w:tcW w:w="1152"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rPr>
                <w:b/>
              </w:rPr>
            </w:pPr>
            <w:r>
              <w:rPr>
                <w:b/>
              </w:rPr>
              <w:t>378</w:t>
            </w:r>
          </w:p>
        </w:tc>
        <w:tc>
          <w:tcPr>
            <w:tcW w:w="117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rPr>
                <w:b/>
              </w:rPr>
            </w:pPr>
            <w:r>
              <w:rPr>
                <w:b/>
              </w:rPr>
              <w:t>нет данных</w:t>
            </w:r>
          </w:p>
        </w:tc>
        <w:tc>
          <w:tcPr>
            <w:tcW w:w="117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2"/>
              <w:jc w:val="right"/>
              <w:rPr>
                <w:b/>
              </w:rPr>
            </w:pPr>
            <w:r>
              <w:rPr>
                <w:b/>
              </w:rPr>
              <w:t>–</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Центральное управление статистики, отчет об условиях жизни в Лив</w:t>
      </w:r>
      <w:r>
        <w:rPr>
          <w:i/>
        </w:rPr>
        <w:t>а</w:t>
      </w:r>
      <w:r>
        <w:rPr>
          <w:i/>
        </w:rPr>
        <w:t>не, 1997</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Исследование, проведенное Национальной службой занятости в 2002 году в освобожденных деревнях в приграничной полосе, показывает, что средний ежемесячный доход в таких деревнях составляет приблизительно 606 000 ливанских фунтов (404 долларов США) для мужчин и 515 000 ливанских фунтов (363 доллара США) для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ливанских семей по уровню дохода в период с 1959 по 2001 гг.</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2430"/>
        <w:gridCol w:w="1170"/>
        <w:gridCol w:w="1170"/>
        <w:gridCol w:w="1440"/>
        <w:gridCol w:w="1170"/>
      </w:tblGrid>
      <w:tr w:rsidR="00000000">
        <w:tblPrEx>
          <w:tblCellMar>
            <w:top w:w="0" w:type="dxa"/>
            <w:bottom w:w="0" w:type="dxa"/>
          </w:tblCellMar>
        </w:tblPrEx>
        <w:tc>
          <w:tcPr>
            <w:tcW w:w="243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Год</w:t>
            </w:r>
          </w:p>
        </w:tc>
        <w:tc>
          <w:tcPr>
            <w:tcW w:w="11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1959-1960 (%)</w:t>
            </w:r>
          </w:p>
        </w:tc>
        <w:tc>
          <w:tcPr>
            <w:tcW w:w="11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1973-1974 (%)</w:t>
            </w:r>
          </w:p>
        </w:tc>
        <w:tc>
          <w:tcPr>
            <w:tcW w:w="144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1994-1995 (%)</w:t>
            </w:r>
          </w:p>
        </w:tc>
        <w:tc>
          <w:tcPr>
            <w:tcW w:w="11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2001</w:t>
            </w:r>
            <w:r>
              <w:br/>
              <w:t>(%)</w:t>
            </w:r>
          </w:p>
        </w:tc>
      </w:tr>
      <w:tr w:rsidR="00000000">
        <w:tblPrEx>
          <w:tblCellMar>
            <w:top w:w="0" w:type="dxa"/>
            <w:bottom w:w="0" w:type="dxa"/>
          </w:tblCellMar>
        </w:tblPrEx>
        <w:tc>
          <w:tcPr>
            <w:tcW w:w="2430" w:type="dxa"/>
            <w:tcBorders>
              <w:top w:val="single" w:sz="12" w:space="0" w:color="auto"/>
              <w:left w:val="nil"/>
              <w:bottom w:val="nil"/>
              <w:right w:val="nil"/>
            </w:tcBorders>
          </w:tcPr>
          <w:p w:rsidR="00000000" w:rsidRDefault="00000000">
            <w:pPr>
              <w:pStyle w:val="H56"/>
              <w:keepNext w:val="0"/>
              <w:keepLines w:val="0"/>
              <w:tabs>
                <w:tab w:val="clear" w:pos="360"/>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val="0"/>
              <w:outlineLvl w:val="9"/>
            </w:pPr>
            <w:r>
              <w:t>Ни</w:t>
            </w:r>
            <w:r>
              <w:t>з</w:t>
            </w:r>
            <w:r>
              <w:t>кий ур</w:t>
            </w:r>
            <w:r>
              <w:t>о</w:t>
            </w:r>
            <w:r>
              <w:t>вень дох</w:t>
            </w:r>
            <w:r>
              <w:t>о</w:t>
            </w:r>
            <w:r>
              <w:t>да</w:t>
            </w:r>
          </w:p>
        </w:tc>
        <w:tc>
          <w:tcPr>
            <w:tcW w:w="117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50</w:t>
            </w:r>
          </w:p>
        </w:tc>
        <w:tc>
          <w:tcPr>
            <w:tcW w:w="117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22</w:t>
            </w:r>
          </w:p>
        </w:tc>
        <w:tc>
          <w:tcPr>
            <w:tcW w:w="144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52</w:t>
            </w:r>
          </w:p>
        </w:tc>
        <w:tc>
          <w:tcPr>
            <w:tcW w:w="117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61</w:t>
            </w:r>
          </w:p>
        </w:tc>
      </w:tr>
      <w:tr w:rsidR="00000000">
        <w:tblPrEx>
          <w:tblCellMar>
            <w:top w:w="0" w:type="dxa"/>
            <w:bottom w:w="0" w:type="dxa"/>
          </w:tblCellMar>
        </w:tblPrEx>
        <w:tc>
          <w:tcPr>
            <w:tcW w:w="243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Сре</w:t>
            </w:r>
            <w:r>
              <w:t>д</w:t>
            </w:r>
            <w:r>
              <w:t>ний ур</w:t>
            </w:r>
            <w:r>
              <w:t>о</w:t>
            </w:r>
            <w:r>
              <w:t>вень дох</w:t>
            </w:r>
            <w:r>
              <w:t>о</w:t>
            </w:r>
            <w:r>
              <w:t>да</w:t>
            </w:r>
          </w:p>
        </w:tc>
        <w:tc>
          <w:tcPr>
            <w:tcW w:w="117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32</w:t>
            </w:r>
          </w:p>
        </w:tc>
        <w:tc>
          <w:tcPr>
            <w:tcW w:w="117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57</w:t>
            </w:r>
          </w:p>
        </w:tc>
        <w:tc>
          <w:tcPr>
            <w:tcW w:w="14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38</w:t>
            </w:r>
          </w:p>
        </w:tc>
        <w:tc>
          <w:tcPr>
            <w:tcW w:w="117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pPr>
            <w:r>
              <w:t>30</w:t>
            </w:r>
          </w:p>
        </w:tc>
      </w:tr>
      <w:tr w:rsidR="00000000">
        <w:tblPrEx>
          <w:tblCellMar>
            <w:top w:w="0" w:type="dxa"/>
            <w:bottom w:w="0" w:type="dxa"/>
          </w:tblCellMar>
        </w:tblPrEx>
        <w:tc>
          <w:tcPr>
            <w:tcW w:w="243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rPr>
                <w:b/>
              </w:rPr>
              <w:t>В</w:t>
            </w:r>
            <w:r>
              <w:rPr>
                <w:b/>
              </w:rPr>
              <w:t>ы</w:t>
            </w:r>
            <w:r>
              <w:rPr>
                <w:b/>
              </w:rPr>
              <w:t>сокий ур</w:t>
            </w:r>
            <w:r>
              <w:rPr>
                <w:b/>
              </w:rPr>
              <w:t>о</w:t>
            </w:r>
            <w:r>
              <w:rPr>
                <w:b/>
              </w:rPr>
              <w:t>вень дох</w:t>
            </w:r>
            <w:r>
              <w:rPr>
                <w:b/>
              </w:rPr>
              <w:t>о</w:t>
            </w:r>
            <w:r>
              <w:rPr>
                <w:b/>
              </w:rPr>
              <w:t>да</w:t>
            </w:r>
          </w:p>
        </w:tc>
        <w:tc>
          <w:tcPr>
            <w:tcW w:w="117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rPr>
            </w:pPr>
            <w:r>
              <w:rPr>
                <w:b/>
              </w:rPr>
              <w:t>18</w:t>
            </w:r>
          </w:p>
        </w:tc>
        <w:tc>
          <w:tcPr>
            <w:tcW w:w="117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rPr>
            </w:pPr>
            <w:r>
              <w:rPr>
                <w:b/>
              </w:rPr>
              <w:t>21</w:t>
            </w:r>
          </w:p>
        </w:tc>
        <w:tc>
          <w:tcPr>
            <w:tcW w:w="144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rPr>
            </w:pPr>
            <w:r>
              <w:rPr>
                <w:b/>
              </w:rPr>
              <w:t>10</w:t>
            </w:r>
          </w:p>
        </w:tc>
        <w:tc>
          <w:tcPr>
            <w:tcW w:w="117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rPr>
            </w:pPr>
            <w:r>
              <w:rPr>
                <w:b/>
              </w:rPr>
              <w:t>9</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800" w:right="1267" w:hanging="533"/>
        <w:jc w:val="both"/>
        <w:rPr>
          <w:i/>
        </w:rPr>
      </w:pPr>
      <w:r>
        <w:rPr>
          <w:i/>
        </w:rPr>
        <w:t>Источник: 1960-1961, миссия Международного института по исследованиям в о</w:t>
      </w:r>
      <w:r>
        <w:rPr>
          <w:i/>
        </w:rPr>
        <w:t>б</w:t>
      </w:r>
      <w:r>
        <w:rPr>
          <w:i/>
        </w:rPr>
        <w:t>ласти образования и развития (ИФРЕД).</w:t>
      </w:r>
    </w:p>
    <w:p w:rsidR="00000000" w:rsidRDefault="00000000">
      <w:pPr>
        <w:tabs>
          <w:tab w:val="left" w:pos="102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800" w:right="1267" w:hanging="533"/>
        <w:jc w:val="both"/>
        <w:rPr>
          <w:i/>
        </w:rPr>
      </w:pPr>
      <w:r>
        <w:rPr>
          <w:i/>
        </w:rPr>
        <w:tab/>
        <w:t>1973-1974: Шемайл Ив</w:t>
      </w:r>
    </w:p>
    <w:p w:rsidR="00000000" w:rsidRDefault="00000000">
      <w:pPr>
        <w:tabs>
          <w:tab w:val="left" w:pos="102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800" w:right="1267" w:hanging="533"/>
        <w:jc w:val="both"/>
        <w:rPr>
          <w:i/>
        </w:rPr>
      </w:pPr>
      <w:r>
        <w:rPr>
          <w:i/>
        </w:rPr>
        <w:tab/>
        <w:t xml:space="preserve">1994-1995: Центр стратегической и экономической информации, </w:t>
      </w:r>
      <w:r>
        <w:rPr>
          <w:i/>
          <w:lang w:val="en-US"/>
        </w:rPr>
        <w:t>Commerce</w:t>
      </w:r>
      <w:r>
        <w:rPr>
          <w:i/>
        </w:rPr>
        <w:t xml:space="preserve"> </w:t>
      </w:r>
      <w:r>
        <w:rPr>
          <w:i/>
          <w:lang w:val="en-US"/>
        </w:rPr>
        <w:t>du</w:t>
      </w:r>
      <w:r>
        <w:rPr>
          <w:i/>
        </w:rPr>
        <w:t xml:space="preserve"> </w:t>
      </w:r>
      <w:r>
        <w:rPr>
          <w:i/>
          <w:lang w:val="en-US"/>
        </w:rPr>
        <w:t>L</w:t>
      </w:r>
      <w:r>
        <w:rPr>
          <w:i/>
          <w:lang w:val="en-US"/>
        </w:rPr>
        <w:t>e</w:t>
      </w:r>
      <w:r>
        <w:rPr>
          <w:i/>
          <w:lang w:val="en-US"/>
        </w:rPr>
        <w:t>vant</w:t>
      </w:r>
      <w:r>
        <w:rPr>
          <w:i/>
        </w:rPr>
        <w:t>, июль 1995</w:t>
      </w:r>
    </w:p>
    <w:p w:rsidR="00000000" w:rsidRDefault="00000000">
      <w:pPr>
        <w:tabs>
          <w:tab w:val="left" w:pos="102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800" w:right="1267" w:hanging="533"/>
        <w:jc w:val="both"/>
        <w:rPr>
          <w:i/>
          <w:lang w:val="fr-FR"/>
        </w:rPr>
      </w:pPr>
      <w:r>
        <w:rPr>
          <w:i/>
        </w:rPr>
        <w:tab/>
      </w:r>
      <w:r>
        <w:rPr>
          <w:i/>
          <w:lang w:val="fr-FR"/>
        </w:rPr>
        <w:t>2001: Chohig Kasparyan, L'entrée des jeunes libanais dans la vie active et l'ém</w:t>
      </w:r>
      <w:r>
        <w:rPr>
          <w:i/>
          <w:lang w:val="fr-FR"/>
        </w:rPr>
        <w:t>i</w:t>
      </w:r>
      <w:r>
        <w:rPr>
          <w:i/>
          <w:lang w:val="fr-FR"/>
        </w:rPr>
        <w:t>gration, Presses de l'Université Saint Joseph.</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2.</w:t>
      </w:r>
      <w:r>
        <w:rPr>
          <w:i/>
        </w:rPr>
        <w:tab/>
        <w:t>Рост рынка труда:</w:t>
      </w:r>
      <w:r>
        <w:t xml:space="preserve"> Во многих отношениях ливанская экономика н</w:t>
      </w:r>
      <w:r>
        <w:t>о</w:t>
      </w:r>
      <w:r>
        <w:t>сит противоречивый характер. С одной стороны, структура экономики имеет четкое распределение по различным отраслям, но, с другой стороны,  явно преобладает сектор услуг, который продолжает расти за счет традиционных производительных отраслей, прежде всего, сельского хозяйства. Активность на рынке мужского труда характеризуется большой долей сектора торговли, где занято 12,6 процентов от всего количества работающих мужчин. В то же время ливанские женщины в основном заняты в сфере образования (62 процента всех работающих женщин), канцелярской работе (15,3 процента), и торговле (13,3 процента).</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приведенной ниже таблице показано распределение мужской и же</w:t>
      </w:r>
      <w:r>
        <w:t>н</w:t>
      </w:r>
      <w:r>
        <w:t>ской р</w:t>
      </w:r>
      <w:r>
        <w:t>а</w:t>
      </w:r>
      <w:r>
        <w:t>бочей силы в Ливане по различным отраслям экономики.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Распределение мужской и женской рабочей силы в Ливане по виду де</w:t>
      </w:r>
      <w:r>
        <w:rPr>
          <w:b/>
        </w:rPr>
        <w:t>я</w:t>
      </w:r>
      <w:r>
        <w:rPr>
          <w:b/>
        </w:rPr>
        <w:t>тельн</w:t>
      </w:r>
      <w:r>
        <w:rPr>
          <w:b/>
        </w:rPr>
        <w:t>о</w:t>
      </w:r>
      <w:r>
        <w:rPr>
          <w:b/>
        </w:rPr>
        <w:t>сти в 2000 г. (в процентном выражении)</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600"/>
        <w:gridCol w:w="1170"/>
        <w:gridCol w:w="1260"/>
        <w:gridCol w:w="1350"/>
      </w:tblGrid>
      <w:tr w:rsidR="00000000">
        <w:tblPrEx>
          <w:tblCellMar>
            <w:top w:w="0" w:type="dxa"/>
            <w:bottom w:w="0" w:type="dxa"/>
          </w:tblCellMar>
        </w:tblPrEx>
        <w:trPr>
          <w:tblHeader/>
        </w:trPr>
        <w:tc>
          <w:tcPr>
            <w:tcW w:w="360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Вид деятельности</w:t>
            </w:r>
          </w:p>
        </w:tc>
        <w:tc>
          <w:tcPr>
            <w:tcW w:w="11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Мужчины (от общего числа)</w:t>
            </w:r>
          </w:p>
        </w:tc>
        <w:tc>
          <w:tcPr>
            <w:tcW w:w="126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Женщины (от общего числа)</w:t>
            </w:r>
          </w:p>
        </w:tc>
        <w:tc>
          <w:tcPr>
            <w:tcW w:w="135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Женщины по отношению к мужчинам</w:t>
            </w:r>
          </w:p>
        </w:tc>
      </w:tr>
      <w:tr w:rsidR="00000000">
        <w:tblPrEx>
          <w:tblCellMar>
            <w:top w:w="0" w:type="dxa"/>
            <w:bottom w:w="0" w:type="dxa"/>
          </w:tblCellMar>
        </w:tblPrEx>
        <w:tc>
          <w:tcPr>
            <w:tcW w:w="360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Вооруженные силы</w:t>
            </w:r>
          </w:p>
        </w:tc>
        <w:tc>
          <w:tcPr>
            <w:tcW w:w="117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5,1</w:t>
            </w:r>
          </w:p>
        </w:tc>
        <w:tc>
          <w:tcPr>
            <w:tcW w:w="126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0,2</w:t>
            </w:r>
          </w:p>
        </w:tc>
        <w:tc>
          <w:tcPr>
            <w:tcW w:w="1350" w:type="dxa"/>
            <w:tcBorders>
              <w:top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1,1</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Руководители высшего звена</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0,2</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2,1</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Руководители комп</w:t>
            </w:r>
            <w:r>
              <w:rPr>
                <w:sz w:val="18"/>
              </w:rPr>
              <w:t>а</w:t>
            </w:r>
            <w:r>
              <w:rPr>
                <w:sz w:val="18"/>
              </w:rPr>
              <w:t>ний</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1,4</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1,1</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18,7</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Менеджеры компаний</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3,6</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0,6</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4,3</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Научные специалисты</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2,5</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1,2</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12,2</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Специалисты в области здравоохранения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1,2</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3,1</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43,1</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Специалисты в области образования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2,5</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17,4</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66,5</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Специалисты в других сферах</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1,4</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3,1</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38</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Работники средней кв</w:t>
            </w:r>
            <w:r>
              <w:rPr>
                <w:sz w:val="18"/>
              </w:rPr>
              <w:t>а</w:t>
            </w:r>
            <w:r>
              <w:rPr>
                <w:sz w:val="18"/>
              </w:rPr>
              <w:t>лификации технических специальностей</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1,5</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0,5</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9,3</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Работники средней кв</w:t>
            </w:r>
            <w:r>
              <w:rPr>
                <w:sz w:val="18"/>
              </w:rPr>
              <w:t>а</w:t>
            </w:r>
            <w:r>
              <w:rPr>
                <w:sz w:val="18"/>
              </w:rPr>
              <w:t>лификации в сфере здравоохранения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0,3</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2,6</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70,9</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Работники средней кв</w:t>
            </w:r>
            <w:r>
              <w:rPr>
                <w:sz w:val="18"/>
              </w:rPr>
              <w:t>а</w:t>
            </w:r>
            <w:r>
              <w:rPr>
                <w:sz w:val="18"/>
              </w:rPr>
              <w:t>лификации в сфере о</w:t>
            </w:r>
            <w:r>
              <w:rPr>
                <w:sz w:val="18"/>
              </w:rPr>
              <w:t>б</w:t>
            </w:r>
            <w:r>
              <w:rPr>
                <w:sz w:val="18"/>
              </w:rPr>
              <w:t>разования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0,5</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7,4</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79,8</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Работники средней кв</w:t>
            </w:r>
            <w:r>
              <w:rPr>
                <w:sz w:val="18"/>
              </w:rPr>
              <w:t>а</w:t>
            </w:r>
            <w:r>
              <w:rPr>
                <w:sz w:val="18"/>
              </w:rPr>
              <w:t>лификации в других сферах</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4,4</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6,8</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30,6</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Конторские служащие</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4,1</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15,3</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51,5</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Прочие служащие с а</w:t>
            </w:r>
            <w:r>
              <w:rPr>
                <w:sz w:val="18"/>
              </w:rPr>
              <w:t>д</w:t>
            </w:r>
            <w:r>
              <w:rPr>
                <w:sz w:val="18"/>
              </w:rPr>
              <w:t>министративными функциями</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1,0</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3,2</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47,2</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Бытовые услуги</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7,7</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7,3</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21,4</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Торговля и маркетинг</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12,6</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13,3</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23,3</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Фермеры и квалифиц</w:t>
            </w:r>
            <w:r>
              <w:rPr>
                <w:sz w:val="18"/>
              </w:rPr>
              <w:t>и</w:t>
            </w:r>
            <w:r>
              <w:rPr>
                <w:sz w:val="18"/>
              </w:rPr>
              <w:t>рованные рабочие</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5,3</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2,1</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10,1</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Профессиональные р</w:t>
            </w:r>
            <w:r>
              <w:rPr>
                <w:sz w:val="18"/>
              </w:rPr>
              <w:t>а</w:t>
            </w:r>
            <w:r>
              <w:rPr>
                <w:sz w:val="18"/>
              </w:rPr>
              <w:t>ботники в сфере стро</w:t>
            </w:r>
            <w:r>
              <w:rPr>
                <w:sz w:val="18"/>
              </w:rPr>
              <w:t>и</w:t>
            </w:r>
            <w:r>
              <w:rPr>
                <w:sz w:val="18"/>
              </w:rPr>
              <w:t>тельства и горных р</w:t>
            </w:r>
            <w:r>
              <w:rPr>
                <w:sz w:val="18"/>
              </w:rPr>
              <w:t>а</w:t>
            </w:r>
            <w:r>
              <w:rPr>
                <w:sz w:val="18"/>
              </w:rPr>
              <w:t>бот</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8,4</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Горнорабочие и мета</w:t>
            </w:r>
            <w:r>
              <w:rPr>
                <w:sz w:val="18"/>
              </w:rPr>
              <w:t>л</w:t>
            </w:r>
            <w:r>
              <w:rPr>
                <w:sz w:val="18"/>
              </w:rPr>
              <w:t>лурги</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9,4</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Печать и типографские работы</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0,8</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0,4</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11,4</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Прочие работники сф</w:t>
            </w:r>
            <w:r>
              <w:rPr>
                <w:sz w:val="18"/>
              </w:rPr>
              <w:t>е</w:t>
            </w:r>
            <w:r>
              <w:rPr>
                <w:sz w:val="18"/>
              </w:rPr>
              <w:t>ры торговли</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5,6</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4,3</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18,0</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Операторы стациона</w:t>
            </w:r>
            <w:r>
              <w:rPr>
                <w:sz w:val="18"/>
              </w:rPr>
              <w:t>р</w:t>
            </w:r>
            <w:r>
              <w:rPr>
                <w:sz w:val="18"/>
              </w:rPr>
              <w:t>ного оборудования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1,0</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0,1</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3,2</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Операторы переносного оборудования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2,7</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4,5</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31,8</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Водители транспор</w:t>
            </w:r>
            <w:r>
              <w:rPr>
                <w:sz w:val="18"/>
              </w:rPr>
              <w:t>т</w:t>
            </w:r>
            <w:r>
              <w:rPr>
                <w:sz w:val="18"/>
              </w:rPr>
              <w:t>ных средств</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8,7</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Неквалифицированные работники сферы о</w:t>
            </w:r>
            <w:r>
              <w:rPr>
                <w:sz w:val="18"/>
              </w:rPr>
              <w:t>б</w:t>
            </w:r>
            <w:r>
              <w:rPr>
                <w:sz w:val="18"/>
              </w:rPr>
              <w:t>служивания</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4,5</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3,9</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19,9</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Сельскохозяйственные работники</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2,0</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1,3</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rPr>
            </w:pPr>
            <w:r>
              <w:rPr>
                <w:sz w:val="18"/>
              </w:rPr>
              <w:t>15,9</w:t>
            </w:r>
          </w:p>
        </w:tc>
      </w:tr>
      <w:tr w:rsidR="00000000">
        <w:tblPrEx>
          <w:tblCellMar>
            <w:top w:w="0" w:type="dxa"/>
            <w:bottom w:w="0" w:type="dxa"/>
          </w:tblCellMar>
        </w:tblPrEx>
        <w:tc>
          <w:tcPr>
            <w:tcW w:w="360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Рабочие в сфере стро</w:t>
            </w:r>
            <w:r>
              <w:rPr>
                <w:sz w:val="18"/>
              </w:rPr>
              <w:t>и</w:t>
            </w:r>
            <w:r>
              <w:rPr>
                <w:sz w:val="18"/>
              </w:rPr>
              <w:t>тельства и коммунал</w:t>
            </w:r>
            <w:r>
              <w:rPr>
                <w:sz w:val="18"/>
              </w:rPr>
              <w:t>ь</w:t>
            </w:r>
            <w:r>
              <w:rPr>
                <w:sz w:val="18"/>
              </w:rPr>
              <w:t>ного хозяйства</w:t>
            </w:r>
          </w:p>
        </w:tc>
        <w:tc>
          <w:tcPr>
            <w:tcW w:w="117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lang w:val="en-US"/>
              </w:rPr>
            </w:pPr>
            <w:r>
              <w:rPr>
                <w:sz w:val="18"/>
                <w:lang w:val="en-US"/>
              </w:rPr>
              <w:t>1,6</w:t>
            </w:r>
          </w:p>
        </w:tc>
        <w:tc>
          <w:tcPr>
            <w:tcW w:w="126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lang w:val="en-US"/>
              </w:rPr>
            </w:pPr>
            <w:r>
              <w:rPr>
                <w:sz w:val="18"/>
                <w:lang w:val="en-US"/>
              </w:rPr>
              <w:t>0,1</w:t>
            </w:r>
          </w:p>
        </w:tc>
        <w:tc>
          <w:tcPr>
            <w:tcW w:w="135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sz w:val="18"/>
                <w:lang w:val="en-US"/>
              </w:rPr>
            </w:pPr>
            <w:r>
              <w:rPr>
                <w:sz w:val="18"/>
                <w:lang w:val="en-US"/>
              </w:rPr>
              <w:t>2,3</w:t>
            </w:r>
          </w:p>
        </w:tc>
      </w:tr>
      <w:tr w:rsidR="00000000">
        <w:tblPrEx>
          <w:tblCellMar>
            <w:top w:w="0" w:type="dxa"/>
            <w:bottom w:w="0" w:type="dxa"/>
          </w:tblCellMar>
        </w:tblPrEx>
        <w:tc>
          <w:tcPr>
            <w:tcW w:w="360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lang w:val="en-US"/>
              </w:rPr>
            </w:pPr>
            <w:r>
              <w:rPr>
                <w:sz w:val="18"/>
              </w:rPr>
              <w:t>Всего</w:t>
            </w:r>
          </w:p>
        </w:tc>
        <w:tc>
          <w:tcPr>
            <w:tcW w:w="117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sz w:val="18"/>
                <w:lang w:val="en-US"/>
              </w:rPr>
            </w:pPr>
            <w:r>
              <w:rPr>
                <w:b/>
                <w:sz w:val="18"/>
                <w:lang w:val="en-US"/>
              </w:rPr>
              <w:t>100</w:t>
            </w:r>
          </w:p>
        </w:tc>
        <w:tc>
          <w:tcPr>
            <w:tcW w:w="126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sz w:val="18"/>
                <w:lang w:val="en-US"/>
              </w:rPr>
            </w:pPr>
            <w:r>
              <w:rPr>
                <w:b/>
                <w:sz w:val="18"/>
                <w:lang w:val="en-US"/>
              </w:rPr>
              <w:t>100</w:t>
            </w:r>
          </w:p>
        </w:tc>
        <w:tc>
          <w:tcPr>
            <w:tcW w:w="1350" w:type="dxa"/>
            <w:tcBorders>
              <w:top w:val="nil"/>
              <w:left w:val="nil"/>
              <w:bottom w:val="single" w:sz="12"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62"/>
              <w:jc w:val="right"/>
              <w:rPr>
                <w:b/>
                <w:sz w:val="18"/>
                <w:lang w:val="en-US"/>
              </w:rPr>
            </w:pPr>
            <w:r>
              <w:rPr>
                <w:b/>
                <w:sz w:val="18"/>
                <w:lang w:val="en-US"/>
              </w:rPr>
              <w:t>22,2</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lang w:val="fr-FR"/>
        </w:rPr>
      </w:pPr>
      <w:r>
        <w:rPr>
          <w:i/>
        </w:rPr>
        <w:t>Источник</w:t>
      </w:r>
      <w:r>
        <w:rPr>
          <w:i/>
          <w:lang w:val="fr-FR"/>
        </w:rPr>
        <w:t>: Chohig Kasparyan, L'entrée des jeunes libanais dans la vie active et l'émigr</w:t>
      </w:r>
      <w:r>
        <w:rPr>
          <w:i/>
          <w:lang w:val="fr-FR"/>
        </w:rPr>
        <w:t>a</w:t>
      </w:r>
      <w:r>
        <w:rPr>
          <w:i/>
          <w:lang w:val="fr-FR"/>
        </w:rPr>
        <w:t>tion.</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Производительность труда тесно связана с рядом факторов, прежде вс</w:t>
      </w:r>
      <w:r>
        <w:t>е</w:t>
      </w:r>
      <w:r>
        <w:t>го, опытом работы и образованием. Проведенные исследования показывают, что 11,5 процентов работников не получили даже начального образования, что отрицательно сказывается на их производительности и, соответственно, уровне дохода с</w:t>
      </w:r>
      <w:r>
        <w:t>е</w:t>
      </w:r>
      <w:r>
        <w:t>мьи.</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Вследствие этого семьи ищут способы получения дополнительного д</w:t>
      </w:r>
      <w:r>
        <w:t>о</w:t>
      </w:r>
      <w:r>
        <w:t>хода; уже работающие члены семьи одновременно нанимаются на другую р</w:t>
      </w:r>
      <w:r>
        <w:t>а</w:t>
      </w:r>
      <w:r>
        <w:t>боту, а не работающие продолжают поиск занятости. Соответственно, увел</w:t>
      </w:r>
      <w:r>
        <w:t>и</w:t>
      </w:r>
      <w:r>
        <w:t>чивается доля работающих молодых женщин, кроме того, принимаются меры для создания малых предприятий для привлечения новых работников. В о</w:t>
      </w:r>
      <w:r>
        <w:t>т</w:t>
      </w:r>
      <w:r>
        <w:t>дельных регионах Ливана было создано большое количество малых предпр</w:t>
      </w:r>
      <w:r>
        <w:t>и</w:t>
      </w:r>
      <w:r>
        <w:t>ятий; в 1996 году насчитывалось около 200 000 таких предприятий, причем росту активности в данном секторе способствовала деятельность неправител</w:t>
      </w:r>
      <w:r>
        <w:t>ь</w:t>
      </w:r>
      <w:r>
        <w:t>ственных финансовых учреждений. С другой стороны, ввиду ухудшения эк</w:t>
      </w:r>
      <w:r>
        <w:t>о</w:t>
      </w:r>
      <w:r>
        <w:t>номического положения количество малых и средних предприятий впоследс</w:t>
      </w:r>
      <w:r>
        <w:t>т</w:t>
      </w:r>
      <w:r>
        <w:t>вии сократилось. Начался процесс создания мелких предприятий, которые с</w:t>
      </w:r>
      <w:r>
        <w:t>о</w:t>
      </w:r>
      <w:r>
        <w:t>ставляют более 85 процентов всех действующих сегодня предприятий, что способствовало росту активности в маргинальном неформальном секторе эк</w:t>
      </w:r>
      <w:r>
        <w:t>о</w:t>
      </w:r>
      <w:r>
        <w:t>номики. Тем не менее, кризис производства в данном секторе усугубился, и снижение доходности малых предприятий оказало негативное воздействие на ситуацию на рынке труда, прежде всего, на женщин, которые не имеют права на пособия и льготы в рамках системы социального обеспечения или за счет других страховых учреждений, в большей степени это касается надомных и сельскохозяйственных р</w:t>
      </w:r>
      <w:r>
        <w:t>а</w:t>
      </w:r>
      <w:r>
        <w:t>ботников.</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свете периодического возникновения подобных кризисных явлений и нестабильности, главы семей вынуждены искать альтернативные источники дохода, в связи с чем практикуется детский труд, а женщины ищут возмо</w:t>
      </w:r>
      <w:r>
        <w:t>ж</w:t>
      </w:r>
      <w:r>
        <w:t>ность работы, кот</w:t>
      </w:r>
      <w:r>
        <w:t>о</w:t>
      </w:r>
      <w:r>
        <w:t>рая бы обеспечивала минимальный средний уровень жизни.</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Исследования показывают, что по мере роста экономической и социал</w:t>
      </w:r>
      <w:r>
        <w:t>ь</w:t>
      </w:r>
      <w:r>
        <w:t>ной ответственности ливанских женщин, доля женщин – глав семьи к 2001 году возросла до 12,5 процента. Принимая во внимание снижение уровня неграмотности, прежде всего среди женщин, а также рост прожиточного м</w:t>
      </w:r>
      <w:r>
        <w:t>и</w:t>
      </w:r>
      <w:r>
        <w:t>нимума в связи с тяжелым экономическим положением в стране, растет кол</w:t>
      </w:r>
      <w:r>
        <w:t>и</w:t>
      </w:r>
      <w:r>
        <w:t>чество женщин, желающих заняться трудовой деятельностью. По данным о</w:t>
      </w:r>
      <w:r>
        <w:t>д</w:t>
      </w:r>
      <w:r>
        <w:t>ного из проведенных исследований, в 2001 году экономически активное нас</w:t>
      </w:r>
      <w:r>
        <w:t>е</w:t>
      </w:r>
      <w:r>
        <w:t>ление насчитывало около 1,4 миллиона человек, что составляет около 35 процентов от общей численности населения Ливана и 50 процентов от чи</w:t>
      </w:r>
      <w:r>
        <w:t>с</w:t>
      </w:r>
      <w:r>
        <w:t>ленности трудоспособного населения. В 2001 году доля работающих женщин составляла 25 процентов от общей численности женщин трудоспособного во</w:t>
      </w:r>
      <w:r>
        <w:t>з</w:t>
      </w:r>
      <w:r>
        <w:t>раста, или на 3,3 процента больше, чем в 1997 году.</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3.</w:t>
      </w:r>
      <w:r>
        <w:rPr>
          <w:i/>
        </w:rPr>
        <w:tab/>
        <w:t>Распределение работников по секторам экономики и регионам стр</w:t>
      </w:r>
      <w:r>
        <w:rPr>
          <w:i/>
        </w:rPr>
        <w:t>а</w:t>
      </w:r>
      <w:r>
        <w:rPr>
          <w:i/>
        </w:rPr>
        <w:t xml:space="preserve">ны: </w:t>
      </w:r>
      <w:r>
        <w:t>По данным исследования условий жизни семей, общая численность раб</w:t>
      </w:r>
      <w:r>
        <w:t>о</w:t>
      </w:r>
      <w:r>
        <w:t>чей силы в Ливане (включая безработных и мигрантов) составила 1 362 232 человека, большинство из которых заняты в сфере обслуживания. В Таблице 4 показано, что доля работников, занятых в секторе сельского хозя</w:t>
      </w:r>
      <w:r>
        <w:t>й</w:t>
      </w:r>
      <w:r>
        <w:t>ства, снизилась до 9,3 процентов от общей численности работающих, в то вр</w:t>
      </w:r>
      <w:r>
        <w:t>е</w:t>
      </w:r>
      <w:r>
        <w:t>мя как в промышленности заняты 15,1 процентов, в строительстве – 11,6 пр</w:t>
      </w:r>
      <w:r>
        <w:t>о</w:t>
      </w:r>
      <w:r>
        <w:t>центов, и в торговле – 23,2 процента. Сектор сельского хозяйства претерпел значительное сокращение рабочей силы; в 1970 году на него приходилось 18,9 процентов всех работающих. Доля промышленности также сократилась с 17,8 процентов в 1970 году до 15,1 процентов в 1997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рабочей силы по секторам экономики и регионам страны в 1997 г. (в процентном выражении)</w:t>
      </w:r>
    </w:p>
    <w:tbl>
      <w:tblPr>
        <w:tblW w:w="0" w:type="auto"/>
        <w:tblInd w:w="1327" w:type="dxa"/>
        <w:tblBorders>
          <w:top w:val="single" w:sz="12" w:space="0" w:color="000000"/>
          <w:bottom w:val="single" w:sz="18" w:space="0" w:color="auto"/>
        </w:tblBorders>
        <w:tblLayout w:type="fixed"/>
        <w:tblLook w:val="01E0" w:firstRow="1" w:lastRow="1" w:firstColumn="1" w:lastColumn="1" w:noHBand="0" w:noVBand="0"/>
      </w:tblPr>
      <w:tblGrid>
        <w:gridCol w:w="1551"/>
        <w:gridCol w:w="904"/>
        <w:gridCol w:w="1080"/>
        <w:gridCol w:w="1356"/>
        <w:gridCol w:w="973"/>
        <w:gridCol w:w="823"/>
        <w:gridCol w:w="694"/>
      </w:tblGrid>
      <w:tr w:rsidR="00000000">
        <w:tblPrEx>
          <w:tblCellMar>
            <w:top w:w="0" w:type="dxa"/>
            <w:bottom w:w="0" w:type="dxa"/>
          </w:tblCellMar>
        </w:tblPrEx>
        <w:tc>
          <w:tcPr>
            <w:tcW w:w="1551"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Провинция</w:t>
            </w:r>
          </w:p>
        </w:tc>
        <w:tc>
          <w:tcPr>
            <w:tcW w:w="904"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Сельское хозяйство</w:t>
            </w:r>
          </w:p>
        </w:tc>
        <w:tc>
          <w:tcPr>
            <w:tcW w:w="108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Промыш-ленность</w:t>
            </w:r>
          </w:p>
        </w:tc>
        <w:tc>
          <w:tcPr>
            <w:tcW w:w="1356"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Строительство</w:t>
            </w:r>
          </w:p>
        </w:tc>
        <w:tc>
          <w:tcPr>
            <w:tcW w:w="973"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Торговля</w:t>
            </w:r>
          </w:p>
        </w:tc>
        <w:tc>
          <w:tcPr>
            <w:tcW w:w="823"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Сфера услуг</w:t>
            </w:r>
          </w:p>
        </w:tc>
        <w:tc>
          <w:tcPr>
            <w:tcW w:w="694"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Всего</w:t>
            </w:r>
          </w:p>
        </w:tc>
      </w:tr>
      <w:tr w:rsidR="00000000">
        <w:tblPrEx>
          <w:tblCellMar>
            <w:top w:w="0" w:type="dxa"/>
            <w:bottom w:w="0" w:type="dxa"/>
          </w:tblCellMar>
        </w:tblPrEx>
        <w:tc>
          <w:tcPr>
            <w:tcW w:w="1551"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Бейрут</w:t>
            </w:r>
          </w:p>
        </w:tc>
        <w:tc>
          <w:tcPr>
            <w:tcW w:w="904"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0,2</w:t>
            </w:r>
          </w:p>
        </w:tc>
        <w:tc>
          <w:tcPr>
            <w:tcW w:w="108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12,4</w:t>
            </w:r>
          </w:p>
        </w:tc>
        <w:tc>
          <w:tcPr>
            <w:tcW w:w="1356"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7,0</w:t>
            </w:r>
          </w:p>
        </w:tc>
        <w:tc>
          <w:tcPr>
            <w:tcW w:w="973"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26,6</w:t>
            </w:r>
          </w:p>
        </w:tc>
        <w:tc>
          <w:tcPr>
            <w:tcW w:w="823"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53,8</w:t>
            </w:r>
          </w:p>
        </w:tc>
        <w:tc>
          <w:tcPr>
            <w:tcW w:w="694"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Горный Ливан</w:t>
            </w:r>
          </w:p>
        </w:tc>
        <w:tc>
          <w:tcPr>
            <w:tcW w:w="9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0,6</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20,8</w:t>
            </w:r>
          </w:p>
        </w:tc>
        <w:tc>
          <w:tcPr>
            <w:tcW w:w="135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9,9</w:t>
            </w:r>
          </w:p>
        </w:tc>
        <w:tc>
          <w:tcPr>
            <w:tcW w:w="97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25,4</w:t>
            </w:r>
          </w:p>
        </w:tc>
        <w:tc>
          <w:tcPr>
            <w:tcW w:w="8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43,3</w:t>
            </w:r>
          </w:p>
        </w:tc>
        <w:tc>
          <w:tcPr>
            <w:tcW w:w="69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Горный Ливан без предместий</w:t>
            </w:r>
          </w:p>
        </w:tc>
        <w:tc>
          <w:tcPr>
            <w:tcW w:w="9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5,3</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14,1</w:t>
            </w:r>
          </w:p>
        </w:tc>
        <w:tc>
          <w:tcPr>
            <w:tcW w:w="135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15,2</w:t>
            </w:r>
          </w:p>
        </w:tc>
        <w:tc>
          <w:tcPr>
            <w:tcW w:w="97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21,4</w:t>
            </w:r>
          </w:p>
        </w:tc>
        <w:tc>
          <w:tcPr>
            <w:tcW w:w="8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44,0</w:t>
            </w:r>
          </w:p>
        </w:tc>
        <w:tc>
          <w:tcPr>
            <w:tcW w:w="69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Северный Ливан</w:t>
            </w:r>
          </w:p>
        </w:tc>
        <w:tc>
          <w:tcPr>
            <w:tcW w:w="9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14,9</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14,9</w:t>
            </w:r>
          </w:p>
        </w:tc>
        <w:tc>
          <w:tcPr>
            <w:tcW w:w="135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10,6</w:t>
            </w:r>
          </w:p>
        </w:tc>
        <w:tc>
          <w:tcPr>
            <w:tcW w:w="97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21,3</w:t>
            </w:r>
          </w:p>
        </w:tc>
        <w:tc>
          <w:tcPr>
            <w:tcW w:w="8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38,3</w:t>
            </w:r>
          </w:p>
        </w:tc>
        <w:tc>
          <w:tcPr>
            <w:tcW w:w="69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Южный Ливан</w:t>
            </w:r>
          </w:p>
        </w:tc>
        <w:tc>
          <w:tcPr>
            <w:tcW w:w="9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16,8</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12,2</w:t>
            </w:r>
          </w:p>
        </w:tc>
        <w:tc>
          <w:tcPr>
            <w:tcW w:w="135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14,9</w:t>
            </w:r>
          </w:p>
        </w:tc>
        <w:tc>
          <w:tcPr>
            <w:tcW w:w="97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24,1</w:t>
            </w:r>
          </w:p>
        </w:tc>
        <w:tc>
          <w:tcPr>
            <w:tcW w:w="8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32,0</w:t>
            </w:r>
          </w:p>
        </w:tc>
        <w:tc>
          <w:tcPr>
            <w:tcW w:w="69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Набатия</w:t>
            </w:r>
          </w:p>
        </w:tc>
        <w:tc>
          <w:tcPr>
            <w:tcW w:w="9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17,6</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12,3</w:t>
            </w:r>
          </w:p>
        </w:tc>
        <w:tc>
          <w:tcPr>
            <w:tcW w:w="135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17,3</w:t>
            </w:r>
          </w:p>
        </w:tc>
        <w:tc>
          <w:tcPr>
            <w:tcW w:w="97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22,3</w:t>
            </w:r>
          </w:p>
        </w:tc>
        <w:tc>
          <w:tcPr>
            <w:tcW w:w="82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30,5</w:t>
            </w:r>
          </w:p>
        </w:tc>
        <w:tc>
          <w:tcPr>
            <w:tcW w:w="69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Бекаа</w:t>
            </w:r>
          </w:p>
        </w:tc>
        <w:tc>
          <w:tcPr>
            <w:tcW w:w="904"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20,7</w:t>
            </w:r>
          </w:p>
        </w:tc>
        <w:tc>
          <w:tcPr>
            <w:tcW w:w="108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12,5</w:t>
            </w:r>
          </w:p>
        </w:tc>
        <w:tc>
          <w:tcPr>
            <w:tcW w:w="1356"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9,7</w:t>
            </w:r>
          </w:p>
        </w:tc>
        <w:tc>
          <w:tcPr>
            <w:tcW w:w="973"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20,3</w:t>
            </w:r>
          </w:p>
        </w:tc>
        <w:tc>
          <w:tcPr>
            <w:tcW w:w="823"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36,5</w:t>
            </w:r>
          </w:p>
        </w:tc>
        <w:tc>
          <w:tcPr>
            <w:tcW w:w="694"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r w:rsidR="00000000">
        <w:tblPrEx>
          <w:tblCellMar>
            <w:top w:w="0" w:type="dxa"/>
            <w:bottom w:w="0" w:type="dxa"/>
          </w:tblCellMar>
        </w:tblPrEx>
        <w:tc>
          <w:tcPr>
            <w:tcW w:w="1551"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sz w:val="18"/>
              </w:rPr>
            </w:pPr>
            <w:r>
              <w:rPr>
                <w:b/>
                <w:sz w:val="18"/>
              </w:rPr>
              <w:t>Ливан в целом</w:t>
            </w:r>
          </w:p>
        </w:tc>
        <w:tc>
          <w:tcPr>
            <w:tcW w:w="904"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9,3</w:t>
            </w:r>
          </w:p>
        </w:tc>
        <w:tc>
          <w:tcPr>
            <w:tcW w:w="108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15,1</w:t>
            </w:r>
          </w:p>
        </w:tc>
        <w:tc>
          <w:tcPr>
            <w:tcW w:w="1356"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11,6</w:t>
            </w:r>
          </w:p>
        </w:tc>
        <w:tc>
          <w:tcPr>
            <w:tcW w:w="973"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23,2</w:t>
            </w:r>
          </w:p>
        </w:tc>
        <w:tc>
          <w:tcPr>
            <w:tcW w:w="823"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40,8</w:t>
            </w:r>
          </w:p>
        </w:tc>
        <w:tc>
          <w:tcPr>
            <w:tcW w:w="694"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Исследование условий жизни семей, Центральное управление ст</w:t>
      </w:r>
      <w:r>
        <w:rPr>
          <w:i/>
        </w:rPr>
        <w:t>а</w:t>
      </w:r>
      <w:r>
        <w:rPr>
          <w:i/>
        </w:rPr>
        <w:t>тист</w:t>
      </w:r>
      <w:r>
        <w:rPr>
          <w:i/>
        </w:rPr>
        <w:t>и</w:t>
      </w:r>
      <w:r>
        <w:rPr>
          <w:i/>
        </w:rPr>
        <w:t>ки, Бейрут, 1998.</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4.</w:t>
      </w:r>
      <w:r>
        <w:rPr>
          <w:i/>
        </w:rPr>
        <w:tab/>
        <w:t>Распределение работников по возрастным группам и половой прина</w:t>
      </w:r>
      <w:r>
        <w:rPr>
          <w:i/>
        </w:rPr>
        <w:t>д</w:t>
      </w:r>
      <w:r>
        <w:rPr>
          <w:i/>
        </w:rPr>
        <w:t xml:space="preserve">лежности: </w:t>
      </w:r>
      <w:r>
        <w:t>Доля занимающихся трудовой деятельностью женщин заметно увеличилась, как в различных секторах народного хозяйства, так и в частных предприятиях. Доля работающих женщин оценивается в 21 процент от общей численности работающих, при этом уровень занятости  возрос до 25 процентов среди женщин трудоспособного возраста в целом и до 36 процентов среди женщин возрастной группы 18-35 лет. Приведенные данные свидетельствуют о непрерывном росте уровня занятости среди молодых женщин. В Таблице 5 п</w:t>
      </w:r>
      <w:r>
        <w:t>о</w:t>
      </w:r>
      <w:r>
        <w:t>казано, что женщины преимущественно заняты в сфере услуг. В сфере гос</w:t>
      </w:r>
      <w:r>
        <w:t>у</w:t>
      </w:r>
      <w:r>
        <w:t>дарственного управления заняты 9,4 процента мужчин и 3,5 процента женщин, в то время как в сфере образования - 27,8 процента женщин и 4,2 процента р</w:t>
      </w:r>
      <w:r>
        <w:t>а</w:t>
      </w:r>
      <w:r>
        <w:t>ботающих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5</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Распределение рабочей силы по секторам экономики и половой прина</w:t>
      </w:r>
      <w:r>
        <w:rPr>
          <w:b/>
        </w:rPr>
        <w:t>д</w:t>
      </w:r>
      <w:r>
        <w:rPr>
          <w:b/>
        </w:rPr>
        <w:t>лежн</w:t>
      </w:r>
      <w:r>
        <w:rPr>
          <w:b/>
        </w:rPr>
        <w:t>о</w:t>
      </w:r>
      <w:r>
        <w:rPr>
          <w:b/>
        </w:rPr>
        <w:t>сти в 1997 году (в процентном выражении)</w:t>
      </w:r>
    </w:p>
    <w:tbl>
      <w:tblPr>
        <w:tblW w:w="0" w:type="auto"/>
        <w:tblInd w:w="1399" w:type="dxa"/>
        <w:tblBorders>
          <w:top w:val="single" w:sz="12" w:space="0" w:color="000000"/>
          <w:bottom w:val="single" w:sz="18" w:space="0" w:color="auto"/>
        </w:tblBorders>
        <w:tblLayout w:type="fixed"/>
        <w:tblCellMar>
          <w:left w:w="36" w:type="dxa"/>
          <w:right w:w="36" w:type="dxa"/>
        </w:tblCellMar>
        <w:tblLook w:val="01E0" w:firstRow="1" w:lastRow="1" w:firstColumn="1" w:lastColumn="1" w:noHBand="0" w:noVBand="0"/>
      </w:tblPr>
      <w:tblGrid>
        <w:gridCol w:w="1213"/>
        <w:gridCol w:w="855"/>
        <w:gridCol w:w="1440"/>
        <w:gridCol w:w="1260"/>
        <w:gridCol w:w="882"/>
        <w:gridCol w:w="828"/>
        <w:gridCol w:w="792"/>
      </w:tblGrid>
      <w:tr w:rsidR="00000000">
        <w:tblPrEx>
          <w:tblCellMar>
            <w:top w:w="0" w:type="dxa"/>
            <w:bottom w:w="0" w:type="dxa"/>
          </w:tblCellMar>
        </w:tblPrEx>
        <w:tc>
          <w:tcPr>
            <w:tcW w:w="1213" w:type="dxa"/>
            <w:tcBorders>
              <w:top w:val="single" w:sz="12" w:space="0" w:color="000000"/>
              <w:left w:val="nil"/>
              <w:bottom w:val="single" w:sz="6" w:space="0" w:color="000000"/>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Отрасль/пол</w:t>
            </w:r>
          </w:p>
        </w:tc>
        <w:tc>
          <w:tcPr>
            <w:tcW w:w="855"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Сельское хозяйство</w:t>
            </w:r>
          </w:p>
        </w:tc>
        <w:tc>
          <w:tcPr>
            <w:tcW w:w="144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Промышленность</w:t>
            </w:r>
          </w:p>
        </w:tc>
        <w:tc>
          <w:tcPr>
            <w:tcW w:w="126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Строительство</w:t>
            </w:r>
          </w:p>
        </w:tc>
        <w:tc>
          <w:tcPr>
            <w:tcW w:w="882"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Торговля</w:t>
            </w:r>
          </w:p>
        </w:tc>
        <w:tc>
          <w:tcPr>
            <w:tcW w:w="828"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Сфера услуг</w:t>
            </w:r>
          </w:p>
        </w:tc>
        <w:tc>
          <w:tcPr>
            <w:tcW w:w="792"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Всего</w:t>
            </w:r>
          </w:p>
        </w:tc>
      </w:tr>
      <w:tr w:rsidR="00000000">
        <w:tblPrEx>
          <w:tblCellMar>
            <w:top w:w="0" w:type="dxa"/>
            <w:bottom w:w="0" w:type="dxa"/>
          </w:tblCellMar>
        </w:tblPrEx>
        <w:tc>
          <w:tcPr>
            <w:tcW w:w="1213" w:type="dxa"/>
            <w:tcBorders>
              <w:top w:val="nil"/>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Мужчины</w:t>
            </w:r>
          </w:p>
        </w:tc>
        <w:tc>
          <w:tcPr>
            <w:tcW w:w="85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10,2</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15,5</w:t>
            </w:r>
          </w:p>
        </w:tc>
        <w:tc>
          <w:tcPr>
            <w:tcW w:w="12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14,2</w:t>
            </w:r>
          </w:p>
        </w:tc>
        <w:tc>
          <w:tcPr>
            <w:tcW w:w="88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24,4</w:t>
            </w:r>
          </w:p>
        </w:tc>
        <w:tc>
          <w:tcPr>
            <w:tcW w:w="82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35,7</w:t>
            </w:r>
          </w:p>
        </w:tc>
        <w:tc>
          <w:tcPr>
            <w:tcW w:w="79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213"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Женщины</w:t>
            </w:r>
          </w:p>
        </w:tc>
        <w:tc>
          <w:tcPr>
            <w:tcW w:w="85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5,7</w:t>
            </w:r>
          </w:p>
        </w:tc>
        <w:tc>
          <w:tcPr>
            <w:tcW w:w="14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13,3</w:t>
            </w:r>
          </w:p>
        </w:tc>
        <w:tc>
          <w:tcPr>
            <w:tcW w:w="12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0,9</w:t>
            </w:r>
          </w:p>
        </w:tc>
        <w:tc>
          <w:tcPr>
            <w:tcW w:w="88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18,3</w:t>
            </w:r>
          </w:p>
        </w:tc>
        <w:tc>
          <w:tcPr>
            <w:tcW w:w="82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61,8</w:t>
            </w:r>
          </w:p>
        </w:tc>
        <w:tc>
          <w:tcPr>
            <w:tcW w:w="79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213"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Всего</w:t>
            </w:r>
          </w:p>
        </w:tc>
        <w:tc>
          <w:tcPr>
            <w:tcW w:w="855"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9,3</w:t>
            </w:r>
          </w:p>
        </w:tc>
        <w:tc>
          <w:tcPr>
            <w:tcW w:w="144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15,1</w:t>
            </w:r>
          </w:p>
        </w:tc>
        <w:tc>
          <w:tcPr>
            <w:tcW w:w="126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11,9</w:t>
            </w:r>
          </w:p>
        </w:tc>
        <w:tc>
          <w:tcPr>
            <w:tcW w:w="882"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23,3</w:t>
            </w:r>
          </w:p>
        </w:tc>
        <w:tc>
          <w:tcPr>
            <w:tcW w:w="828"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40,8</w:t>
            </w:r>
          </w:p>
        </w:tc>
        <w:tc>
          <w:tcPr>
            <w:tcW w:w="792"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Исследование условий жизни семей, Центральное управление ст</w:t>
      </w:r>
      <w:r>
        <w:rPr>
          <w:i/>
        </w:rPr>
        <w:t>а</w:t>
      </w:r>
      <w:r>
        <w:rPr>
          <w:i/>
        </w:rPr>
        <w:t>тист</w:t>
      </w:r>
      <w:r>
        <w:rPr>
          <w:i/>
        </w:rPr>
        <w:t>и</w:t>
      </w:r>
      <w:r>
        <w:rPr>
          <w:i/>
        </w:rPr>
        <w:t>ки, стр. 43</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приведенной ниже таблице показано распределение рабочей силы по ра</w:t>
      </w:r>
      <w:r>
        <w:t>з</w:t>
      </w:r>
      <w:r>
        <w:t>личным отраслям экономики в 2001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Распределение рабочей силы по отраслям и половой принадлежности в 2001 году (в процентном выражении)</w:t>
      </w:r>
    </w:p>
    <w:tbl>
      <w:tblPr>
        <w:tblW w:w="0" w:type="auto"/>
        <w:tblInd w:w="1327" w:type="dxa"/>
        <w:tblBorders>
          <w:top w:val="single" w:sz="12" w:space="0" w:color="000000"/>
          <w:bottom w:val="single" w:sz="18" w:space="0" w:color="auto"/>
        </w:tblBorders>
        <w:tblLayout w:type="fixed"/>
        <w:tblLook w:val="01E0" w:firstRow="1" w:lastRow="1" w:firstColumn="1" w:lastColumn="1" w:noHBand="0" w:noVBand="0"/>
      </w:tblPr>
      <w:tblGrid>
        <w:gridCol w:w="1195"/>
        <w:gridCol w:w="900"/>
        <w:gridCol w:w="1440"/>
        <w:gridCol w:w="1260"/>
        <w:gridCol w:w="900"/>
        <w:gridCol w:w="810"/>
        <w:gridCol w:w="810"/>
      </w:tblGrid>
      <w:tr w:rsidR="00000000">
        <w:tblPrEx>
          <w:tblCellMar>
            <w:top w:w="0" w:type="dxa"/>
            <w:bottom w:w="0" w:type="dxa"/>
          </w:tblCellMar>
        </w:tblPrEx>
        <w:tc>
          <w:tcPr>
            <w:tcW w:w="1195"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Отрасль/пол</w:t>
            </w:r>
          </w:p>
        </w:tc>
        <w:tc>
          <w:tcPr>
            <w:tcW w:w="900" w:type="dxa"/>
            <w:tcBorders>
              <w:top w:val="single" w:sz="2" w:space="0" w:color="auto"/>
              <w:bottom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jc w:val="center"/>
              <w:rPr>
                <w:sz w:val="16"/>
              </w:rPr>
            </w:pPr>
            <w:r>
              <w:rPr>
                <w:sz w:val="16"/>
              </w:rPr>
              <w:t>Сельское хозяйство</w:t>
            </w:r>
          </w:p>
        </w:tc>
        <w:tc>
          <w:tcPr>
            <w:tcW w:w="144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Промышленность</w:t>
            </w:r>
          </w:p>
        </w:tc>
        <w:tc>
          <w:tcPr>
            <w:tcW w:w="126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Строительство</w:t>
            </w:r>
          </w:p>
        </w:tc>
        <w:tc>
          <w:tcPr>
            <w:tcW w:w="9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Торговля</w:t>
            </w:r>
          </w:p>
        </w:tc>
        <w:tc>
          <w:tcPr>
            <w:tcW w:w="8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Сфера услуг</w:t>
            </w:r>
          </w:p>
        </w:tc>
        <w:tc>
          <w:tcPr>
            <w:tcW w:w="8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Всего</w:t>
            </w:r>
          </w:p>
        </w:tc>
      </w:tr>
      <w:tr w:rsidR="00000000">
        <w:tblPrEx>
          <w:tblCellMar>
            <w:top w:w="0" w:type="dxa"/>
            <w:bottom w:w="0" w:type="dxa"/>
          </w:tblCellMar>
        </w:tblPrEx>
        <w:tc>
          <w:tcPr>
            <w:tcW w:w="1195"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Мужчины</w:t>
            </w:r>
          </w:p>
        </w:tc>
        <w:tc>
          <w:tcPr>
            <w:tcW w:w="9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7,7</w:t>
            </w:r>
          </w:p>
        </w:tc>
        <w:tc>
          <w:tcPr>
            <w:tcW w:w="144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14,8</w:t>
            </w:r>
          </w:p>
        </w:tc>
        <w:tc>
          <w:tcPr>
            <w:tcW w:w="126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11,9</w:t>
            </w:r>
          </w:p>
        </w:tc>
        <w:tc>
          <w:tcPr>
            <w:tcW w:w="9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25,3</w:t>
            </w:r>
          </w:p>
        </w:tc>
        <w:tc>
          <w:tcPr>
            <w:tcW w:w="81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40,3</w:t>
            </w:r>
          </w:p>
        </w:tc>
        <w:tc>
          <w:tcPr>
            <w:tcW w:w="81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100</w:t>
            </w:r>
          </w:p>
        </w:tc>
      </w:tr>
      <w:tr w:rsidR="00000000">
        <w:tblPrEx>
          <w:tblCellMar>
            <w:top w:w="0" w:type="dxa"/>
            <w:bottom w:w="0" w:type="dxa"/>
          </w:tblCellMar>
        </w:tblPrEx>
        <w:tc>
          <w:tcPr>
            <w:tcW w:w="1195"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Женщины</w:t>
            </w:r>
          </w:p>
        </w:tc>
        <w:tc>
          <w:tcPr>
            <w:tcW w:w="90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3,5</w:t>
            </w:r>
          </w:p>
        </w:tc>
        <w:tc>
          <w:tcPr>
            <w:tcW w:w="144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11,5</w:t>
            </w:r>
          </w:p>
        </w:tc>
        <w:tc>
          <w:tcPr>
            <w:tcW w:w="126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0,5</w:t>
            </w:r>
          </w:p>
        </w:tc>
        <w:tc>
          <w:tcPr>
            <w:tcW w:w="90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18,9</w:t>
            </w:r>
          </w:p>
        </w:tc>
        <w:tc>
          <w:tcPr>
            <w:tcW w:w="81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55,6</w:t>
            </w:r>
          </w:p>
        </w:tc>
        <w:tc>
          <w:tcPr>
            <w:tcW w:w="81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100</w:t>
            </w:r>
          </w:p>
        </w:tc>
      </w:tr>
      <w:tr w:rsidR="00000000">
        <w:tblPrEx>
          <w:tblCellMar>
            <w:top w:w="0" w:type="dxa"/>
            <w:bottom w:w="0" w:type="dxa"/>
          </w:tblCellMar>
        </w:tblPrEx>
        <w:tc>
          <w:tcPr>
            <w:tcW w:w="1195"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Всего</w:t>
            </w:r>
          </w:p>
        </w:tc>
        <w:tc>
          <w:tcPr>
            <w:tcW w:w="90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6,7</w:t>
            </w:r>
          </w:p>
        </w:tc>
        <w:tc>
          <w:tcPr>
            <w:tcW w:w="144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14,1</w:t>
            </w:r>
          </w:p>
        </w:tc>
        <w:tc>
          <w:tcPr>
            <w:tcW w:w="126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9,4</w:t>
            </w:r>
          </w:p>
        </w:tc>
        <w:tc>
          <w:tcPr>
            <w:tcW w:w="90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23,9</w:t>
            </w:r>
          </w:p>
        </w:tc>
        <w:tc>
          <w:tcPr>
            <w:tcW w:w="8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45,8</w:t>
            </w:r>
          </w:p>
        </w:tc>
        <w:tc>
          <w:tcPr>
            <w:tcW w:w="8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7"/>
              <w:jc w:val="right"/>
              <w:rPr>
                <w:sz w:val="16"/>
              </w:rPr>
            </w:pPr>
            <w:r>
              <w:rPr>
                <w:sz w:val="16"/>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rPr>
      </w:pPr>
      <w:r>
        <w:rPr>
          <w:i/>
        </w:rPr>
        <w:t>Источник: Исследование условий жизни семей, Центральное управление ст</w:t>
      </w:r>
      <w:r>
        <w:rPr>
          <w:i/>
        </w:rPr>
        <w:t>а</w:t>
      </w:r>
      <w:r>
        <w:rPr>
          <w:i/>
        </w:rPr>
        <w:t>тист</w:t>
      </w:r>
      <w:r>
        <w:rPr>
          <w:i/>
        </w:rPr>
        <w:t>и</w:t>
      </w:r>
      <w:r>
        <w:rPr>
          <w:i/>
        </w:rPr>
        <w:t>ки, стр. 43</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w:t>
      </w:r>
      <w:r>
        <w:t>.</w:t>
      </w:r>
      <w:r>
        <w:tab/>
        <w:t>Занятость среди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последние годы был преодолен важный рубеж в структуре занятости, и женщины стали получать различные должности на предприятиях; на крупных предприятиях женщины занимают 17,1 процента административных должн</w:t>
      </w:r>
      <w:r>
        <w:t>о</w:t>
      </w:r>
      <w:r>
        <w:t>стей, на малых предприятиях – 8,3 процента. Доля женщин, занятых в сфере образования, с</w:t>
      </w:r>
      <w:r>
        <w:t>о</w:t>
      </w:r>
      <w:r>
        <w:t>ставляет примерно 62 процента.</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1.</w:t>
      </w:r>
      <w:r>
        <w:rPr>
          <w:i/>
        </w:rPr>
        <w:tab/>
        <w:t>Маргинальный сектор:</w:t>
      </w:r>
      <w:r>
        <w:t xml:space="preserve"> В тех секторах экономики, где не действует трудовое законодательство и нормы, экономически активное население занято на официально не зарегистрированных предприятиях. В нашем распоряжении нет данных, дающих четкую и достоверную картину распределения работн</w:t>
      </w:r>
      <w:r>
        <w:t>и</w:t>
      </w:r>
      <w:r>
        <w:t>ков в маргинальном секторе экономики по виду деятельности, региону, полу и возрасту, прежде всего, по той причине, что любые оценки применительно к данному сектору затруднены и допускают существенные расхождения. В ма</w:t>
      </w:r>
      <w:r>
        <w:t>р</w:t>
      </w:r>
      <w:r>
        <w:t>гинальном секторе экономики занята определенная часть женщин, в том числе те, кто работает на дому или в незарегистрированных мелких предприятиях; соответственно, они не имеют доступа к пособиям и льготам, предусматрива</w:t>
      </w:r>
      <w:r>
        <w:t>е</w:t>
      </w:r>
      <w:r>
        <w:t>мых трудовым законодательством и схемами социального страхования.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По различным оценкам, мужчины и женщины составляют до известной степени равные части от общего количества работающих в маргинальном се</w:t>
      </w:r>
      <w:r>
        <w:t>к</w:t>
      </w:r>
      <w:r>
        <w:t>торе. Деятельность женщин в маргинальном секторе экономики сводится пр</w:t>
      </w:r>
      <w:r>
        <w:t>е</w:t>
      </w:r>
      <w:r>
        <w:t>имущественно к надомному производству, сельскому хозяйству и различным видам услуг. Сравнительно небольшое количество женщин занято в промы</w:t>
      </w:r>
      <w:r>
        <w:t>ш</w:t>
      </w:r>
      <w:r>
        <w:t>ленности, еще меньше – в строительстве. Заметная доля маргинальной экон</w:t>
      </w:r>
      <w:r>
        <w:t>о</w:t>
      </w:r>
      <w:r>
        <w:t>мической деятельности приходи</w:t>
      </w:r>
      <w:r>
        <w:t>т</w:t>
      </w:r>
      <w:r>
        <w:t>ся на различные области сферы услуг.</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2.</w:t>
      </w:r>
      <w:r>
        <w:rPr>
          <w:i/>
        </w:rPr>
        <w:tab/>
        <w:t xml:space="preserve">Промышленный сектор: </w:t>
      </w:r>
      <w:r>
        <w:t>Применительно к промышленному сектору прослеживается, что женщины стали принимать заметное участие в произв</w:t>
      </w:r>
      <w:r>
        <w:t>о</w:t>
      </w:r>
      <w:r>
        <w:t>дительной экономической деятельности сравнительно недавно; по статистич</w:t>
      </w:r>
      <w:r>
        <w:t>е</w:t>
      </w:r>
      <w:r>
        <w:t>ским данным 1998 года (министерство промышленности), доля женского ру</w:t>
      </w:r>
      <w:r>
        <w:t>ч</w:t>
      </w:r>
      <w:r>
        <w:t>ного труда в промышленности составляла 12,4 процента. В целом, женщины преимущественно заняты в пищевой, швейной, текстильной, табачной и хим</w:t>
      </w:r>
      <w:r>
        <w:t>и</w:t>
      </w:r>
      <w:r>
        <w:t>ческой промышленности. Доля женщин в этих отраслях составляет приблиз</w:t>
      </w:r>
      <w:r>
        <w:t>и</w:t>
      </w:r>
      <w:r>
        <w:t>тельно 70 процентов от общей численности работников. По статистике мин</w:t>
      </w:r>
      <w:r>
        <w:t>и</w:t>
      </w:r>
      <w:r>
        <w:t>стерства промышленности, количество женщин</w:t>
      </w:r>
      <w:r>
        <w:noBreakHyphen/>
        <w:t>работодателей составляет 1 100 человек или 3,1 процента от общего количества работодателей и членов их семей. Данное соотношение представляется низким по сравнению с общей долей женщин, занятых в промышленном секторе. Женщины в основном раб</w:t>
      </w:r>
      <w:r>
        <w:t>о</w:t>
      </w:r>
      <w:r>
        <w:t>тают на более крупных промышленных предприятиях со штатом свыше 20 человек; доля женской рабочей силы составляет 22,5 процента на предпр</w:t>
      </w:r>
      <w:r>
        <w:t>и</w:t>
      </w:r>
      <w:r>
        <w:t>ятиях со штатом от 100 до 249</w:t>
      </w:r>
      <w:r>
        <w:rPr>
          <w:lang w:val="en-US"/>
        </w:rPr>
        <w:t> </w:t>
      </w:r>
      <w:r>
        <w:t>человек, в то время как на предприятиях, где трудится от одного до четырех человек, доля женщин падает ниже 7 процентов. Приведенные факты подчеркивают важность создания рабочих мест для женщин путем учреждения собственных мелких предприятий, прежде всего среди работников более низкой квалификации.</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2000 году численность женщин, работающих в промышленном сект</w:t>
      </w:r>
      <w:r>
        <w:t>о</w:t>
      </w:r>
      <w:r>
        <w:t>ре, составляла приблизительно 24 500 человек, что по сравнению с численн</w:t>
      </w:r>
      <w:r>
        <w:t>о</w:t>
      </w:r>
      <w:r>
        <w:t>стью в 14 200 человек в 1998 году свидетельствует о 72-процентном росте. Т</w:t>
      </w:r>
      <w:r>
        <w:t>а</w:t>
      </w:r>
      <w:r>
        <w:t>кое различие обусловлено целым рядом причин, в том числе:</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r>
      <w:r>
        <w:rPr>
          <w:lang w:val="en-US"/>
        </w:rPr>
        <w:t>a</w:t>
      </w:r>
      <w:r>
        <w:t>)</w:t>
      </w:r>
      <w:r>
        <w:tab/>
        <w:t>Неофициальный прием на работу работников, в частности, не зарег</w:t>
      </w:r>
      <w:r>
        <w:t>и</w:t>
      </w:r>
      <w:r>
        <w:t>стрированных в системе социального страхования, что чаще всего встречается среди женщин, получающих социальные пособия через своих супругов;</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r>
      <w:r>
        <w:rPr>
          <w:lang w:val="en-US"/>
        </w:rPr>
        <w:t>b</w:t>
      </w:r>
      <w:r>
        <w:t>)</w:t>
      </w:r>
      <w:r>
        <w:tab/>
        <w:t>Существенное ухудшение экономической конъюнктуры за рассма</w:t>
      </w:r>
      <w:r>
        <w:t>т</w:t>
      </w:r>
      <w:r>
        <w:t>риваемые два года в результате увеличения стоимости жизни, в том числе с учетом возможностей образования, а также активность женщин на рынке тр</w:t>
      </w:r>
      <w:r>
        <w:t>у</w:t>
      </w:r>
      <w:r>
        <w:t>да;</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с)</w:t>
      </w:r>
      <w:r>
        <w:tab/>
        <w:t>Деятельность финансовых учреждений по предоставлению кредитов бол</w:t>
      </w:r>
      <w:r>
        <w:t>ь</w:t>
      </w:r>
      <w:r>
        <w:t>шому количеству женщин.</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3.</w:t>
      </w:r>
      <w:r>
        <w:rPr>
          <w:i/>
        </w:rPr>
        <w:tab/>
        <w:t>Сельскохозяйственный сектор:</w:t>
      </w:r>
      <w:r>
        <w:t xml:space="preserve"> Статистические данные за 1999 год говорят о том, что сельскохозяйственный сектор уже превратился в сравн</w:t>
      </w:r>
      <w:r>
        <w:t>и</w:t>
      </w:r>
      <w:r>
        <w:t>тельно малодоходный сектор экономики, в котором заняты лица пожилого во</w:t>
      </w:r>
      <w:r>
        <w:t>з</w:t>
      </w:r>
      <w:r>
        <w:t>раста и лица, не имеющие образования. Соответственно, сельское хозяйство становится неконкурентоспособным на местном, региональном и междунаро</w:t>
      </w:r>
      <w:r>
        <w:t>д</w:t>
      </w:r>
      <w:r>
        <w:t>ном уровне ввиду его запущенного состояния и малого объема кредитов, пр</w:t>
      </w:r>
      <w:r>
        <w:t>е</w:t>
      </w:r>
      <w:r>
        <w:t>доставляемых только одному проценту мелких землевладельцев. За последние годы также наблюдается снижение продуктивности сельскохозяйственного сектора, в особенности после открытия внешних рынков, что привело к сниж</w:t>
      </w:r>
      <w:r>
        <w:t>е</w:t>
      </w:r>
      <w:r>
        <w:t>нию продажной стоимости продукции, несмотря на увеличение количества мелких землевладельцев, которых в 1999 году насчитывалось 194 829 человек, из них 7 процентов –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7</w:t>
      </w:r>
    </w:p>
    <w:p w:rsidR="00000000" w:rsidRDefault="00000000">
      <w:pPr>
        <w:pStyle w:val="Heading4"/>
      </w:pPr>
      <w:r>
        <w:t>Распределение работников сельскохозяйственного сектора по группам</w:t>
      </w:r>
    </w:p>
    <w:tbl>
      <w:tblPr>
        <w:tblW w:w="0" w:type="auto"/>
        <w:tblInd w:w="1334" w:type="dxa"/>
        <w:tblBorders>
          <w:top w:val="single" w:sz="12" w:space="0" w:color="000000"/>
          <w:bottom w:val="single" w:sz="18" w:space="0" w:color="auto"/>
        </w:tblBorders>
        <w:tblLayout w:type="fixed"/>
        <w:tblCellMar>
          <w:left w:w="36" w:type="dxa"/>
          <w:right w:w="36" w:type="dxa"/>
        </w:tblCellMar>
        <w:tblLook w:val="01E0" w:firstRow="1" w:lastRow="1" w:firstColumn="1" w:lastColumn="1" w:noHBand="0" w:noVBand="0"/>
      </w:tblPr>
      <w:tblGrid>
        <w:gridCol w:w="2160"/>
        <w:gridCol w:w="1505"/>
        <w:gridCol w:w="1195"/>
        <w:gridCol w:w="1800"/>
        <w:gridCol w:w="720"/>
      </w:tblGrid>
      <w:tr w:rsidR="00000000">
        <w:tblPrEx>
          <w:tblCellMar>
            <w:top w:w="0" w:type="dxa"/>
            <w:bottom w:w="0" w:type="dxa"/>
          </w:tblCellMar>
        </w:tblPrEx>
        <w:tc>
          <w:tcPr>
            <w:tcW w:w="216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Вид деятельности</w:t>
            </w:r>
          </w:p>
        </w:tc>
        <w:tc>
          <w:tcPr>
            <w:tcW w:w="1505"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Мелкие землевладельцы</w:t>
            </w:r>
          </w:p>
        </w:tc>
        <w:tc>
          <w:tcPr>
            <w:tcW w:w="1195"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Работники и члены их семей</w:t>
            </w:r>
          </w:p>
        </w:tc>
        <w:tc>
          <w:tcPr>
            <w:tcW w:w="18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Временные работники, перешедшие на постоянную основу</w:t>
            </w:r>
          </w:p>
        </w:tc>
        <w:tc>
          <w:tcPr>
            <w:tcW w:w="72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Всего</w:t>
            </w:r>
          </w:p>
        </w:tc>
      </w:tr>
      <w:tr w:rsidR="00000000">
        <w:tblPrEx>
          <w:tblCellMar>
            <w:top w:w="0" w:type="dxa"/>
            <w:bottom w:w="0" w:type="dxa"/>
          </w:tblCellMar>
        </w:tblPrEx>
        <w:tc>
          <w:tcPr>
            <w:tcW w:w="216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Общее количество</w:t>
            </w:r>
          </w:p>
        </w:tc>
        <w:tc>
          <w:tcPr>
            <w:tcW w:w="1505"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187 444</w:t>
            </w:r>
          </w:p>
        </w:tc>
        <w:tc>
          <w:tcPr>
            <w:tcW w:w="1195"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22 753</w:t>
            </w:r>
          </w:p>
        </w:tc>
        <w:tc>
          <w:tcPr>
            <w:tcW w:w="18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83,593</w:t>
            </w:r>
          </w:p>
        </w:tc>
        <w:tc>
          <w:tcPr>
            <w:tcW w:w="72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293,790</w:t>
            </w:r>
          </w:p>
        </w:tc>
      </w:tr>
      <w:tr w:rsidR="00000000">
        <w:tblPrEx>
          <w:tblCellMar>
            <w:top w:w="0" w:type="dxa"/>
            <w:bottom w:w="0" w:type="dxa"/>
          </w:tblCellMar>
        </w:tblPrEx>
        <w:tc>
          <w:tcPr>
            <w:tcW w:w="216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Процент от общего количества</w:t>
            </w:r>
          </w:p>
        </w:tc>
        <w:tc>
          <w:tcPr>
            <w:tcW w:w="1505"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63,81</w:t>
            </w:r>
          </w:p>
        </w:tc>
        <w:tc>
          <w:tcPr>
            <w:tcW w:w="1195"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7,74</w:t>
            </w:r>
          </w:p>
        </w:tc>
        <w:tc>
          <w:tcPr>
            <w:tcW w:w="180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28,45</w:t>
            </w:r>
          </w:p>
        </w:tc>
        <w:tc>
          <w:tcPr>
            <w:tcW w:w="72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sz w:val="16"/>
              </w:rPr>
            </w:pPr>
            <w:r>
              <w:rPr>
                <w:sz w:val="16"/>
              </w:rPr>
              <w:t>100</w:t>
            </w:r>
          </w:p>
        </w:tc>
      </w:tr>
      <w:tr w:rsidR="00000000">
        <w:tblPrEx>
          <w:tblCellMar>
            <w:top w:w="0" w:type="dxa"/>
            <w:bottom w:w="0" w:type="dxa"/>
          </w:tblCellMar>
        </w:tblPrEx>
        <w:tc>
          <w:tcPr>
            <w:tcW w:w="216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sz w:val="16"/>
              </w:rPr>
            </w:pPr>
            <w:r>
              <w:rPr>
                <w:b/>
                <w:sz w:val="16"/>
              </w:rPr>
              <w:t>Процент женского труда</w:t>
            </w:r>
          </w:p>
        </w:tc>
        <w:tc>
          <w:tcPr>
            <w:tcW w:w="1505"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b/>
                <w:sz w:val="16"/>
              </w:rPr>
            </w:pPr>
            <w:r>
              <w:rPr>
                <w:b/>
                <w:sz w:val="16"/>
              </w:rPr>
              <w:t>30</w:t>
            </w:r>
          </w:p>
        </w:tc>
        <w:tc>
          <w:tcPr>
            <w:tcW w:w="1195"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b/>
                <w:sz w:val="16"/>
              </w:rPr>
            </w:pPr>
            <w:r>
              <w:rPr>
                <w:b/>
                <w:sz w:val="16"/>
              </w:rPr>
              <w:t>18</w:t>
            </w:r>
          </w:p>
        </w:tc>
        <w:tc>
          <w:tcPr>
            <w:tcW w:w="180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b/>
                <w:sz w:val="16"/>
              </w:rPr>
            </w:pPr>
            <w:r>
              <w:rPr>
                <w:b/>
                <w:sz w:val="16"/>
              </w:rPr>
              <w:t>52</w:t>
            </w:r>
          </w:p>
        </w:tc>
        <w:tc>
          <w:tcPr>
            <w:tcW w:w="72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202"/>
              <w:jc w:val="right"/>
              <w:rPr>
                <w:b/>
                <w:sz w:val="16"/>
              </w:rPr>
            </w:pPr>
            <w:r>
              <w:rPr>
                <w:b/>
                <w:sz w:val="16"/>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Статистические данные по сельскому хозяйству в Ливане за 1998 г., Министерство промышленности совместно с Продовольственной и сельскохозя</w:t>
      </w:r>
      <w:r>
        <w:rPr>
          <w:i/>
        </w:rPr>
        <w:t>й</w:t>
      </w:r>
      <w:r>
        <w:rPr>
          <w:i/>
        </w:rPr>
        <w:t>ственной организацией Объединенных Наций (ФАО), 2000.</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Приведенная выше таблица свидетельствует о том, что в сельскохозяйс</w:t>
      </w:r>
      <w:r>
        <w:t>т</w:t>
      </w:r>
      <w:r>
        <w:t>венном секторе, в котором  социальные пособия не выплачиваются, отмечается знач</w:t>
      </w:r>
      <w:r>
        <w:t>и</w:t>
      </w:r>
      <w:r>
        <w:t>тельная доля работников женского пола.</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4.</w:t>
      </w:r>
      <w:r>
        <w:rPr>
          <w:i/>
        </w:rPr>
        <w:tab/>
        <w:t>Банковский сектор:</w:t>
      </w:r>
      <w:r>
        <w:t xml:space="preserve"> В 2003 году численность банковских работников в Ливане составляла 15 563 человека, при этом в 2002 году численность банко</w:t>
      </w:r>
      <w:r>
        <w:t>в</w:t>
      </w:r>
      <w:r>
        <w:t>ских работников составляла 15 442 человека, таким образом, в 2003 году их численность выросла на 0,8 процента, в 2002 году – на 1 процент, в 2001 году – на 0,6 процента, и в 2000 году – на 0,3 процента. Характерно, что в банковском секторе растет количество работников с университетским образованием, а также количество работников женского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Рост численности работников банковского сектора в Ливане и их распр</w:t>
      </w:r>
      <w:r>
        <w:rPr>
          <w:b/>
        </w:rPr>
        <w:t>е</w:t>
      </w:r>
      <w:r>
        <w:rPr>
          <w:b/>
        </w:rPr>
        <w:t>дел</w:t>
      </w:r>
      <w:r>
        <w:rPr>
          <w:b/>
        </w:rPr>
        <w:t>е</w:t>
      </w:r>
      <w:r>
        <w:rPr>
          <w:b/>
        </w:rPr>
        <w:t>ние по половой принадлежности (2000-2003 гг.)</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960"/>
        <w:gridCol w:w="810"/>
        <w:gridCol w:w="810"/>
        <w:gridCol w:w="900"/>
        <w:gridCol w:w="990"/>
      </w:tblGrid>
      <w:tr w:rsidR="00000000">
        <w:tblPrEx>
          <w:tblCellMar>
            <w:top w:w="0" w:type="dxa"/>
            <w:bottom w:w="0" w:type="dxa"/>
          </w:tblCellMar>
        </w:tblPrEx>
        <w:tc>
          <w:tcPr>
            <w:tcW w:w="3960" w:type="dxa"/>
            <w:tcBorders>
              <w:top w:val="single" w:sz="2" w:space="0" w:color="auto"/>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Год</w:t>
            </w:r>
          </w:p>
        </w:tc>
        <w:tc>
          <w:tcPr>
            <w:tcW w:w="8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2000</w:t>
            </w:r>
          </w:p>
        </w:tc>
        <w:tc>
          <w:tcPr>
            <w:tcW w:w="8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2001</w:t>
            </w:r>
          </w:p>
        </w:tc>
        <w:tc>
          <w:tcPr>
            <w:tcW w:w="9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2002</w:t>
            </w:r>
          </w:p>
        </w:tc>
        <w:tc>
          <w:tcPr>
            <w:tcW w:w="99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2003</w:t>
            </w:r>
          </w:p>
        </w:tc>
      </w:tr>
      <w:tr w:rsidR="00000000">
        <w:tblPrEx>
          <w:tblCellMar>
            <w:top w:w="0" w:type="dxa"/>
            <w:bottom w:w="0" w:type="dxa"/>
          </w:tblCellMar>
        </w:tblPrEx>
        <w:tc>
          <w:tcPr>
            <w:tcW w:w="3960" w:type="dxa"/>
            <w:tcBorders>
              <w:top w:val="single" w:sz="12" w:space="0" w:color="auto"/>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Общая численность рабо</w:t>
            </w:r>
            <w:r>
              <w:rPr>
                <w:sz w:val="18"/>
              </w:rPr>
              <w:t>т</w:t>
            </w:r>
            <w:r>
              <w:rPr>
                <w:sz w:val="18"/>
              </w:rPr>
              <w:t>ников</w:t>
            </w:r>
          </w:p>
        </w:tc>
        <w:tc>
          <w:tcPr>
            <w:tcW w:w="81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15 195</w:t>
            </w:r>
          </w:p>
        </w:tc>
        <w:tc>
          <w:tcPr>
            <w:tcW w:w="81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15 287</w:t>
            </w:r>
          </w:p>
        </w:tc>
        <w:tc>
          <w:tcPr>
            <w:tcW w:w="9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15 442</w:t>
            </w:r>
          </w:p>
        </w:tc>
        <w:tc>
          <w:tcPr>
            <w:tcW w:w="99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15 563</w:t>
            </w:r>
          </w:p>
        </w:tc>
      </w:tr>
      <w:tr w:rsidR="00000000">
        <w:tblPrEx>
          <w:tblCellMar>
            <w:top w:w="0" w:type="dxa"/>
            <w:bottom w:w="0" w:type="dxa"/>
          </w:tblCellMar>
        </w:tblPrEx>
        <w:tc>
          <w:tcPr>
            <w:tcW w:w="396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Ежегодный рост в процен</w:t>
            </w:r>
            <w:r>
              <w:rPr>
                <w:sz w:val="18"/>
              </w:rPr>
              <w:t>т</w:t>
            </w:r>
            <w:r>
              <w:rPr>
                <w:sz w:val="18"/>
              </w:rPr>
              <w:t>ном выражении</w:t>
            </w:r>
          </w:p>
        </w:tc>
        <w:tc>
          <w:tcPr>
            <w:tcW w:w="8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0,3</w:t>
            </w:r>
          </w:p>
        </w:tc>
        <w:tc>
          <w:tcPr>
            <w:tcW w:w="81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0,6</w:t>
            </w:r>
          </w:p>
        </w:tc>
        <w:tc>
          <w:tcPr>
            <w:tcW w:w="9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1,0</w:t>
            </w:r>
          </w:p>
        </w:tc>
        <w:tc>
          <w:tcPr>
            <w:tcW w:w="9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0,8</w:t>
            </w:r>
          </w:p>
        </w:tc>
      </w:tr>
      <w:tr w:rsidR="00000000">
        <w:tblPrEx>
          <w:tblCellMar>
            <w:top w:w="0" w:type="dxa"/>
            <w:bottom w:w="0" w:type="dxa"/>
          </w:tblCellMar>
        </w:tblPrEx>
        <w:tc>
          <w:tcPr>
            <w:tcW w:w="396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8"/>
              </w:rPr>
            </w:pPr>
            <w:r>
              <w:rPr>
                <w:sz w:val="18"/>
              </w:rPr>
              <w:t>Женщины (процент от о</w:t>
            </w:r>
            <w:r>
              <w:rPr>
                <w:sz w:val="18"/>
              </w:rPr>
              <w:t>б</w:t>
            </w:r>
            <w:r>
              <w:rPr>
                <w:sz w:val="18"/>
              </w:rPr>
              <w:t>щей численности)</w:t>
            </w:r>
          </w:p>
        </w:tc>
        <w:tc>
          <w:tcPr>
            <w:tcW w:w="81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41,4</w:t>
            </w:r>
          </w:p>
        </w:tc>
        <w:tc>
          <w:tcPr>
            <w:tcW w:w="81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42,1</w:t>
            </w:r>
          </w:p>
        </w:tc>
        <w:tc>
          <w:tcPr>
            <w:tcW w:w="90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42,7</w:t>
            </w:r>
          </w:p>
        </w:tc>
        <w:tc>
          <w:tcPr>
            <w:tcW w:w="99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8"/>
              </w:rPr>
            </w:pPr>
            <w:r>
              <w:rPr>
                <w:sz w:val="18"/>
              </w:rPr>
              <w:t>42,8</w:t>
            </w:r>
          </w:p>
        </w:tc>
      </w:tr>
      <w:tr w:rsidR="00000000">
        <w:tblPrEx>
          <w:tblCellMar>
            <w:top w:w="0" w:type="dxa"/>
            <w:bottom w:w="0" w:type="dxa"/>
          </w:tblCellMar>
        </w:tblPrEx>
        <w:tc>
          <w:tcPr>
            <w:tcW w:w="396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sz w:val="18"/>
              </w:rPr>
            </w:pPr>
            <w:r>
              <w:rPr>
                <w:b/>
                <w:sz w:val="18"/>
              </w:rPr>
              <w:t>Мужчины (процент от общей численности)</w:t>
            </w:r>
          </w:p>
        </w:tc>
        <w:tc>
          <w:tcPr>
            <w:tcW w:w="8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8"/>
              </w:rPr>
            </w:pPr>
            <w:r>
              <w:rPr>
                <w:b/>
                <w:sz w:val="18"/>
              </w:rPr>
              <w:t>58,6</w:t>
            </w:r>
          </w:p>
        </w:tc>
        <w:tc>
          <w:tcPr>
            <w:tcW w:w="81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8"/>
              </w:rPr>
            </w:pPr>
            <w:r>
              <w:rPr>
                <w:b/>
                <w:sz w:val="18"/>
              </w:rPr>
              <w:t>57,9</w:t>
            </w:r>
          </w:p>
        </w:tc>
        <w:tc>
          <w:tcPr>
            <w:tcW w:w="90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8"/>
              </w:rPr>
            </w:pPr>
            <w:r>
              <w:rPr>
                <w:b/>
                <w:sz w:val="18"/>
              </w:rPr>
              <w:t>57,3</w:t>
            </w:r>
          </w:p>
        </w:tc>
        <w:tc>
          <w:tcPr>
            <w:tcW w:w="990" w:type="dxa"/>
            <w:tcBorders>
              <w:top w:val="nil"/>
              <w:left w:val="nil"/>
              <w:bottom w:val="single" w:sz="12"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8"/>
              </w:rPr>
            </w:pPr>
            <w:r>
              <w:rPr>
                <w:b/>
                <w:sz w:val="18"/>
              </w:rPr>
              <w:t>57,2</w:t>
            </w:r>
          </w:p>
        </w:tc>
      </w:tr>
    </w:tbl>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i/>
        </w:rPr>
      </w:pPr>
      <w:r>
        <w:rPr>
          <w:i/>
        </w:rPr>
        <w:t>Источник: Ассоциация банков Ливана, Ежегодный отчет</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Приведенные в этой таблице данные однозначно свидетельствуют о том, что доля работников женского пола возросла с 41,4 процента в 2000 году до 42,8 процента в 2003 году. Это соотношение значительно превышает долю женщин в составе рабочей силы в Ливане, которая по данным проведенного в 2001 году исследования составляла 22,3 процента.</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5.</w:t>
      </w:r>
      <w:r>
        <w:rPr>
          <w:i/>
        </w:rPr>
        <w:tab/>
        <w:t>Сфера образования:</w:t>
      </w:r>
      <w:r>
        <w:t xml:space="preserve"> Общее количество преподавателей мужского пола в сфере образования за период с 1997/1998 по 2003/2004 учебный год выросло с 74 923 до 87 908 человек, или на 17,33 процента за шесть лет, то есть ежего</w:t>
      </w:r>
      <w:r>
        <w:t>д</w:t>
      </w:r>
      <w:r>
        <w:t>ный рост составлял 2,7 процента, в то время как количество преподавателей женского пола с 51 669 человек в 1997</w:t>
      </w:r>
      <w:r>
        <w:noBreakHyphen/>
        <w:t>1998 учебном году выросло до 62 747 человек в 2003/2004 учебном году, или в целом на 21,44 процента с ежегодным ростом в 3,3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9</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Распределение преподавательского состава по половой принадлежности в п</w:t>
      </w:r>
      <w:r>
        <w:rPr>
          <w:b/>
        </w:rPr>
        <w:t>е</w:t>
      </w:r>
      <w:r>
        <w:rPr>
          <w:b/>
        </w:rPr>
        <w:t>риод с 1997 по 2003 год (в процентном выражении)</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1890"/>
        <w:gridCol w:w="1080"/>
        <w:gridCol w:w="1080"/>
        <w:gridCol w:w="1080"/>
        <w:gridCol w:w="1080"/>
        <w:gridCol w:w="1170"/>
      </w:tblGrid>
      <w:tr w:rsidR="00000000">
        <w:tblPrEx>
          <w:tblCellMar>
            <w:top w:w="0" w:type="dxa"/>
            <w:bottom w:w="0" w:type="dxa"/>
          </w:tblCellMar>
        </w:tblPrEx>
        <w:tc>
          <w:tcPr>
            <w:tcW w:w="1890" w:type="dxa"/>
            <w:tcBorders>
              <w:top w:val="single" w:sz="12" w:space="0" w:color="000000"/>
              <w:left w:val="nil"/>
              <w:bottom w:val="single" w:sz="6" w:space="0" w:color="000000"/>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Год/пол</w:t>
            </w:r>
          </w:p>
        </w:tc>
        <w:tc>
          <w:tcPr>
            <w:tcW w:w="108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1997/1998</w:t>
            </w:r>
          </w:p>
        </w:tc>
        <w:tc>
          <w:tcPr>
            <w:tcW w:w="108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1998/1999</w:t>
            </w:r>
          </w:p>
        </w:tc>
        <w:tc>
          <w:tcPr>
            <w:tcW w:w="108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1999/2000</w:t>
            </w:r>
          </w:p>
        </w:tc>
        <w:tc>
          <w:tcPr>
            <w:tcW w:w="108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2000/2001</w:t>
            </w:r>
          </w:p>
        </w:tc>
        <w:tc>
          <w:tcPr>
            <w:tcW w:w="117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8"/>
              </w:rPr>
            </w:pPr>
            <w:r>
              <w:rPr>
                <w:sz w:val="18"/>
              </w:rPr>
              <w:t>2003/2004</w:t>
            </w:r>
          </w:p>
        </w:tc>
      </w:tr>
      <w:tr w:rsidR="00000000">
        <w:tblPrEx>
          <w:tblCellMar>
            <w:top w:w="0" w:type="dxa"/>
            <w:bottom w:w="0" w:type="dxa"/>
          </w:tblCellMar>
        </w:tblPrEx>
        <w:tc>
          <w:tcPr>
            <w:tcW w:w="1890" w:type="dxa"/>
            <w:tcBorders>
              <w:top w:val="nil"/>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8"/>
              </w:rPr>
            </w:pPr>
            <w:r>
              <w:rPr>
                <w:sz w:val="18"/>
              </w:rPr>
              <w:t>Мужчины</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sz w:val="18"/>
              </w:rPr>
            </w:pPr>
            <w:r>
              <w:rPr>
                <w:sz w:val="18"/>
              </w:rPr>
              <w:t>31</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sz w:val="18"/>
              </w:rPr>
            </w:pPr>
            <w:r>
              <w:rPr>
                <w:sz w:val="18"/>
              </w:rPr>
              <w:t>30,3</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sz w:val="18"/>
              </w:rPr>
            </w:pPr>
            <w:r>
              <w:rPr>
                <w:sz w:val="18"/>
              </w:rPr>
              <w:t>30,3</w:t>
            </w:r>
          </w:p>
        </w:tc>
        <w:tc>
          <w:tcPr>
            <w:tcW w:w="108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sz w:val="18"/>
              </w:rPr>
            </w:pPr>
            <w:r>
              <w:rPr>
                <w:sz w:val="18"/>
              </w:rPr>
              <w:t>29,8</w:t>
            </w:r>
          </w:p>
        </w:tc>
        <w:tc>
          <w:tcPr>
            <w:tcW w:w="11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sz w:val="18"/>
              </w:rPr>
            </w:pPr>
            <w:r>
              <w:rPr>
                <w:sz w:val="18"/>
              </w:rPr>
              <w:t>28,6</w:t>
            </w:r>
          </w:p>
        </w:tc>
      </w:tr>
      <w:tr w:rsidR="00000000">
        <w:tblPrEx>
          <w:tblCellMar>
            <w:top w:w="0" w:type="dxa"/>
            <w:bottom w:w="0" w:type="dxa"/>
          </w:tblCellMar>
        </w:tblPrEx>
        <w:tc>
          <w:tcPr>
            <w:tcW w:w="189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8"/>
              </w:rPr>
            </w:pPr>
            <w:r>
              <w:rPr>
                <w:b/>
                <w:sz w:val="18"/>
              </w:rPr>
              <w:t>Женщины</w:t>
            </w:r>
          </w:p>
        </w:tc>
        <w:tc>
          <w:tcPr>
            <w:tcW w:w="108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b/>
                <w:sz w:val="18"/>
              </w:rPr>
            </w:pPr>
            <w:r>
              <w:rPr>
                <w:b/>
                <w:sz w:val="18"/>
              </w:rPr>
              <w:t>69</w:t>
            </w:r>
          </w:p>
        </w:tc>
        <w:tc>
          <w:tcPr>
            <w:tcW w:w="108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b/>
                <w:sz w:val="18"/>
              </w:rPr>
            </w:pPr>
            <w:r>
              <w:rPr>
                <w:b/>
                <w:sz w:val="18"/>
              </w:rPr>
              <w:t>69,7</w:t>
            </w:r>
          </w:p>
        </w:tc>
        <w:tc>
          <w:tcPr>
            <w:tcW w:w="108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b/>
                <w:sz w:val="18"/>
              </w:rPr>
            </w:pPr>
            <w:r>
              <w:rPr>
                <w:b/>
                <w:sz w:val="18"/>
              </w:rPr>
              <w:t>69,7</w:t>
            </w:r>
          </w:p>
        </w:tc>
        <w:tc>
          <w:tcPr>
            <w:tcW w:w="108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b/>
                <w:sz w:val="18"/>
              </w:rPr>
            </w:pPr>
            <w:r>
              <w:rPr>
                <w:b/>
                <w:sz w:val="18"/>
              </w:rPr>
              <w:t>70,2</w:t>
            </w:r>
          </w:p>
        </w:tc>
        <w:tc>
          <w:tcPr>
            <w:tcW w:w="117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44"/>
              <w:jc w:val="right"/>
              <w:rPr>
                <w:b/>
                <w:sz w:val="18"/>
              </w:rPr>
            </w:pPr>
            <w:r>
              <w:rPr>
                <w:b/>
                <w:sz w:val="18"/>
              </w:rPr>
              <w:t>71,4</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610" w:right="1267" w:hanging="1343"/>
        <w:jc w:val="both"/>
        <w:rPr>
          <w:i/>
        </w:rPr>
      </w:pPr>
      <w:r>
        <w:rPr>
          <w:i/>
        </w:rPr>
        <w:t>Источники:</w:t>
      </w:r>
      <w:r>
        <w:rPr>
          <w:i/>
        </w:rPr>
        <w:tab/>
        <w:t>1.</w:t>
      </w:r>
      <w:r>
        <w:rPr>
          <w:i/>
        </w:rPr>
        <w:tab/>
        <w:t>Показатели системы образования в Ливане, Центр исследов</w:t>
      </w:r>
      <w:r>
        <w:rPr>
          <w:i/>
        </w:rPr>
        <w:t>а</w:t>
      </w:r>
      <w:r>
        <w:rPr>
          <w:i/>
        </w:rPr>
        <w:t>ний и разработок в области образования, Ливан, 2002</w:t>
      </w:r>
    </w:p>
    <w:p w:rsidR="00000000" w:rsidRDefault="00000000">
      <w:pPr>
        <w:pStyle w:val="SingleTxt"/>
        <w:tabs>
          <w:tab w:val="clear" w:pos="1267"/>
          <w:tab w:val="clear" w:pos="6048"/>
          <w:tab w:val="clear" w:pos="7488"/>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2610" w:hanging="1343"/>
        <w:rPr>
          <w:i/>
        </w:rPr>
      </w:pPr>
      <w:r>
        <w:rPr>
          <w:i/>
        </w:rPr>
        <w:tab/>
      </w:r>
      <w:r>
        <w:rPr>
          <w:i/>
        </w:rPr>
        <w:tab/>
      </w:r>
      <w:r>
        <w:rPr>
          <w:i/>
        </w:rPr>
        <w:tab/>
        <w:t>2.</w:t>
      </w:r>
      <w:r>
        <w:rPr>
          <w:i/>
        </w:rPr>
        <w:tab/>
      </w:r>
      <w:r>
        <w:t>Ежегодный</w:t>
      </w:r>
      <w:r>
        <w:rPr>
          <w:i/>
        </w:rPr>
        <w:t xml:space="preserve"> статистический отчет Центра исследований и разраб</w:t>
      </w:r>
      <w:r>
        <w:rPr>
          <w:i/>
        </w:rPr>
        <w:t>о</w:t>
      </w:r>
      <w:r>
        <w:rPr>
          <w:i/>
        </w:rPr>
        <w:t>ток в области образования, Ливан, 2003</w:t>
      </w:r>
      <w:r>
        <w:rPr>
          <w:i/>
        </w:rPr>
        <w:noBreakHyphen/>
        <w:t>2004</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6.</w:t>
      </w:r>
      <w:r>
        <w:rPr>
          <w:i/>
        </w:rPr>
        <w:tab/>
        <w:t>Свободные профессии:</w:t>
      </w:r>
      <w:r>
        <w:t xml:space="preserve"> Следует отметить, что в целом доля ливанских женщин, выбирающих свободные профессии, постоянно увеличивается с м</w:t>
      </w:r>
      <w:r>
        <w:t>о</w:t>
      </w:r>
      <w:r>
        <w:t>мента создания соответствующих профсоюзов. Как показано в приведенной ниже таблице, значительное количество женщин в настоящее время тяготеет к выбору специальностей, которые ранее были прерогативой мужчин, в частн</w:t>
      </w:r>
      <w:r>
        <w:t>о</w:t>
      </w:r>
      <w:r>
        <w:t>сти, инженерному делу, медицине, бухгалтерскому учету, подрядным работам и другим, несмотря на очевидную дискриминацию, которой все еще подверг</w:t>
      </w:r>
      <w:r>
        <w:t>а</w:t>
      </w:r>
      <w:r>
        <w:t>ются женщины в Ливане, и иные препятствия, накладывающиеся на те практ</w:t>
      </w:r>
      <w:r>
        <w:t>и</w:t>
      </w:r>
      <w:r>
        <w:t>ческие трудности, которые испытывают женщины, в частности, поиск компр</w:t>
      </w:r>
      <w:r>
        <w:t>о</w:t>
      </w:r>
      <w:r>
        <w:t>мисса между работой и репродуктивной и с</w:t>
      </w:r>
      <w:r>
        <w:t>е</w:t>
      </w:r>
      <w:r>
        <w:t>мейной ролью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10</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Распределение членов профсоюзов свободных профессий по половой пр</w:t>
      </w:r>
      <w:r>
        <w:rPr>
          <w:b/>
        </w:rPr>
        <w:t>и</w:t>
      </w:r>
      <w:r>
        <w:rPr>
          <w:b/>
        </w:rPr>
        <w:t>на</w:t>
      </w:r>
      <w:r>
        <w:rPr>
          <w:b/>
        </w:rPr>
        <w:t>д</w:t>
      </w:r>
      <w:r>
        <w:rPr>
          <w:b/>
        </w:rPr>
        <w:t>лежности в 2002 году (в процентном выражении)</w:t>
      </w:r>
    </w:p>
    <w:tbl>
      <w:tblPr>
        <w:tblW w:w="0" w:type="auto"/>
        <w:tblInd w:w="1262" w:type="dxa"/>
        <w:tblBorders>
          <w:top w:val="single" w:sz="12" w:space="0" w:color="000000"/>
          <w:bottom w:val="single" w:sz="18" w:space="0" w:color="auto"/>
        </w:tblBorders>
        <w:tblLayout w:type="fixed"/>
        <w:tblLook w:val="01E0" w:firstRow="1" w:lastRow="1" w:firstColumn="1" w:lastColumn="1" w:noHBand="0" w:noVBand="0"/>
      </w:tblPr>
      <w:tblGrid>
        <w:gridCol w:w="3240"/>
        <w:gridCol w:w="1260"/>
        <w:gridCol w:w="1440"/>
        <w:gridCol w:w="1440"/>
      </w:tblGrid>
      <w:tr w:rsidR="00000000">
        <w:tblPrEx>
          <w:tblCellMar>
            <w:top w:w="0" w:type="dxa"/>
            <w:bottom w:w="0" w:type="dxa"/>
          </w:tblCellMar>
        </w:tblPrEx>
        <w:trPr>
          <w:tblHeader/>
        </w:trPr>
        <w:tc>
          <w:tcPr>
            <w:tcW w:w="3240" w:type="dxa"/>
            <w:tcBorders>
              <w:top w:val="single" w:sz="12" w:space="0" w:color="000000"/>
              <w:left w:val="nil"/>
              <w:bottom w:val="single" w:sz="6" w:space="0" w:color="000000"/>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Профсоюз</w:t>
            </w:r>
          </w:p>
        </w:tc>
        <w:tc>
          <w:tcPr>
            <w:tcW w:w="126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Дата основания</w:t>
            </w:r>
          </w:p>
        </w:tc>
        <w:tc>
          <w:tcPr>
            <w:tcW w:w="144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Процентная доля мужчин</w:t>
            </w:r>
          </w:p>
        </w:tc>
        <w:tc>
          <w:tcPr>
            <w:tcW w:w="1440" w:type="dxa"/>
            <w:tcBorders>
              <w:top w:val="single" w:sz="12" w:space="0" w:color="000000"/>
              <w:bottom w:val="single" w:sz="6" w:space="0" w:color="000000"/>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Процентная доля женщин</w:t>
            </w:r>
          </w:p>
        </w:tc>
      </w:tr>
      <w:tr w:rsidR="00000000">
        <w:tblPrEx>
          <w:tblCellMar>
            <w:top w:w="0" w:type="dxa"/>
            <w:bottom w:w="0" w:type="dxa"/>
          </w:tblCellMar>
        </w:tblPrEx>
        <w:tc>
          <w:tcPr>
            <w:tcW w:w="3240" w:type="dxa"/>
            <w:tcBorders>
              <w:top w:val="nil"/>
              <w:left w:val="nil"/>
              <w:bottom w:val="nil"/>
              <w:right w:val="nil"/>
            </w:tcBorders>
          </w:tcPr>
          <w:p w:rsidR="00000000" w:rsidRDefault="00000000">
            <w:pPr>
              <w:pStyle w:val="H56"/>
              <w:keepNext w:val="0"/>
              <w:keepLines w:val="0"/>
              <w:tabs>
                <w:tab w:val="clear" w:pos="360"/>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val="0"/>
              <w:outlineLvl w:val="9"/>
            </w:pPr>
            <w:r>
              <w:t>Союз юристов</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1919</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75</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25</w:t>
            </w:r>
          </w:p>
        </w:tc>
      </w:tr>
      <w:tr w:rsidR="00000000">
        <w:tblPrEx>
          <w:tblCellMar>
            <w:top w:w="0" w:type="dxa"/>
            <w:bottom w:w="0" w:type="dxa"/>
          </w:tblCellMar>
        </w:tblPrEx>
        <w:tc>
          <w:tcPr>
            <w:tcW w:w="32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Союз врачей</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1947</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81,14</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18,86</w:t>
            </w:r>
          </w:p>
        </w:tc>
      </w:tr>
      <w:tr w:rsidR="00000000">
        <w:tblPrEx>
          <w:tblCellMar>
            <w:top w:w="0" w:type="dxa"/>
            <w:bottom w:w="0" w:type="dxa"/>
          </w:tblCellMar>
        </w:tblPrEx>
        <w:tc>
          <w:tcPr>
            <w:tcW w:w="32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Союз журнал</w:t>
            </w:r>
            <w:r>
              <w:t>и</w:t>
            </w:r>
            <w:r>
              <w:t>стов</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1948</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70</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30</w:t>
            </w:r>
          </w:p>
        </w:tc>
      </w:tr>
      <w:tr w:rsidR="00000000">
        <w:tblPrEx>
          <w:tblCellMar>
            <w:top w:w="0" w:type="dxa"/>
            <w:bottom w:w="0" w:type="dxa"/>
          </w:tblCellMar>
        </w:tblPrEx>
        <w:tc>
          <w:tcPr>
            <w:tcW w:w="32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Союз дантистов</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1949</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75,5</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24,5</w:t>
            </w:r>
          </w:p>
        </w:tc>
      </w:tr>
      <w:tr w:rsidR="00000000">
        <w:tblPrEx>
          <w:tblCellMar>
            <w:top w:w="0" w:type="dxa"/>
            <w:bottom w:w="0" w:type="dxa"/>
          </w:tblCellMar>
        </w:tblPrEx>
        <w:tc>
          <w:tcPr>
            <w:tcW w:w="32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Союз фарм</w:t>
            </w:r>
            <w:r>
              <w:t>а</w:t>
            </w:r>
            <w:r>
              <w:t>цевтов</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1950</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43</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57</w:t>
            </w:r>
          </w:p>
        </w:tc>
      </w:tr>
      <w:tr w:rsidR="00000000">
        <w:tblPrEx>
          <w:tblCellMar>
            <w:top w:w="0" w:type="dxa"/>
            <w:bottom w:w="0" w:type="dxa"/>
          </w:tblCellMar>
        </w:tblPrEx>
        <w:tc>
          <w:tcPr>
            <w:tcW w:w="32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Союз инжен</w:t>
            </w:r>
            <w:r>
              <w:t>е</w:t>
            </w:r>
            <w:r>
              <w:t>ров</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1951</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90</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10</w:t>
            </w:r>
          </w:p>
        </w:tc>
      </w:tr>
      <w:tr w:rsidR="00000000">
        <w:tblPrEx>
          <w:tblCellMar>
            <w:top w:w="0" w:type="dxa"/>
            <w:bottom w:w="0" w:type="dxa"/>
          </w:tblCellMar>
        </w:tblPrEx>
        <w:tc>
          <w:tcPr>
            <w:tcW w:w="3240" w:type="dxa"/>
            <w:tcBorders>
              <w:left w:val="nil"/>
              <w:bottom w:val="nil"/>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Союз индив</w:t>
            </w:r>
            <w:r>
              <w:t>и</w:t>
            </w:r>
            <w:r>
              <w:t>дуальных по</w:t>
            </w:r>
            <w:r>
              <w:t>д</w:t>
            </w:r>
            <w:r>
              <w:t>ря</w:t>
            </w:r>
            <w:r>
              <w:t>д</w:t>
            </w:r>
            <w:r>
              <w:t>чиков</w:t>
            </w:r>
          </w:p>
        </w:tc>
        <w:tc>
          <w:tcPr>
            <w:tcW w:w="126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1965</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99</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t>1</w:t>
            </w:r>
          </w:p>
        </w:tc>
      </w:tr>
      <w:tr w:rsidR="00000000">
        <w:tblPrEx>
          <w:tblCellMar>
            <w:top w:w="0" w:type="dxa"/>
            <w:bottom w:w="0" w:type="dxa"/>
          </w:tblCellMar>
        </w:tblPrEx>
        <w:tc>
          <w:tcPr>
            <w:tcW w:w="3240" w:type="dxa"/>
            <w:tcBorders>
              <w:top w:val="nil"/>
              <w:left w:val="nil"/>
              <w:bottom w:val="single" w:sz="4" w:space="0" w:color="auto"/>
              <w:right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rPr>
                <w:b/>
              </w:rPr>
              <w:t>Союз дипл</w:t>
            </w:r>
            <w:r>
              <w:rPr>
                <w:b/>
              </w:rPr>
              <w:t>о</w:t>
            </w:r>
            <w:r>
              <w:rPr>
                <w:b/>
              </w:rPr>
              <w:t>мированных бу</w:t>
            </w:r>
            <w:r>
              <w:rPr>
                <w:b/>
              </w:rPr>
              <w:t>х</w:t>
            </w:r>
            <w:r>
              <w:rPr>
                <w:b/>
              </w:rPr>
              <w:t>галтеров</w:t>
            </w:r>
          </w:p>
        </w:tc>
        <w:tc>
          <w:tcPr>
            <w:tcW w:w="126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rPr>
                <w:b/>
              </w:rPr>
            </w:pPr>
            <w:r>
              <w:rPr>
                <w:b/>
              </w:rPr>
              <w:t>1995</w:t>
            </w:r>
          </w:p>
        </w:tc>
        <w:tc>
          <w:tcPr>
            <w:tcW w:w="144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rPr>
                <w:b/>
              </w:rPr>
            </w:pPr>
            <w:r>
              <w:rPr>
                <w:b/>
              </w:rPr>
              <w:t>92</w:t>
            </w:r>
          </w:p>
        </w:tc>
        <w:tc>
          <w:tcPr>
            <w:tcW w:w="144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rPr>
                <w:b/>
              </w:rPr>
            </w:pPr>
            <w:r>
              <w:rPr>
                <w:b/>
              </w:rPr>
              <w:t>8</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rPr>
      </w:pPr>
      <w:r>
        <w:rPr>
          <w:i/>
        </w:rPr>
        <w:t>Источник: предоставленные профсоюзами данные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III</w:t>
      </w:r>
      <w:r>
        <w:t>.</w:t>
      </w:r>
      <w:r>
        <w:tab/>
        <w:t>Финансовые учреждения и их роль в борьбе с нищетой и безработицей, в том числе среди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Учетные ставки по кредитам, предлагаемые как частными, так и госуда</w:t>
      </w:r>
      <w:r>
        <w:t>р</w:t>
      </w:r>
      <w:r>
        <w:t>ственными банками в Ливане, выше, чем на мировых финансовых рынках. В Ливане учетная ставка составляет в среднем 15 процентов по долларовым кр</w:t>
      </w:r>
      <w:r>
        <w:t>е</w:t>
      </w:r>
      <w:r>
        <w:t>дитам и в среднем 18 процентов и более по кредитам в ливанских фунтах. Это крайне неблагоприятно сказывается на активности малых и мелких предпр</w:t>
      </w:r>
      <w:r>
        <w:t>и</w:t>
      </w:r>
      <w:r>
        <w:t>ятий, которые могут принадлежать женщинам, принимая во внимание, что 20 процентов не имеющих иного места работы женщин трудятся на предпр</w:t>
      </w:r>
      <w:r>
        <w:t>и</w:t>
      </w:r>
      <w:r>
        <w:t>ятиях, принадлежащих супругу, члену семьи или им самим. В указанный пр</w:t>
      </w:r>
      <w:r>
        <w:t>о</w:t>
      </w:r>
      <w:r>
        <w:t>цент также преимущественно входят женщины, получающие в неправительс</w:t>
      </w:r>
      <w:r>
        <w:t>т</w:t>
      </w:r>
      <w:r>
        <w:t>венных финансовых учреждениях кредиты на создание или развитие собстве</w:t>
      </w:r>
      <w:r>
        <w:t>н</w:t>
      </w:r>
      <w:r>
        <w:t>ных  предприятий.</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Неправительственные организации стали играть позитивную социально-экономическую роль, в том числе в плане обеспечения занятости женщин, бл</w:t>
      </w:r>
      <w:r>
        <w:t>а</w:t>
      </w:r>
      <w:r>
        <w:t>годаря предоставлению возможностей трудоустройства для безработных же</w:t>
      </w:r>
      <w:r>
        <w:t>н</w:t>
      </w:r>
      <w:r>
        <w:t>щин. В настоящее время они осуществляют кредитование мелких инвесторов: такими кредитами воспользовалось около 64 500 человек. Эта цифра может считаться достаточно высокой на фоне количества людей, потерявших работу в последние годы (прибл</w:t>
      </w:r>
      <w:r>
        <w:t>и</w:t>
      </w:r>
      <w:r>
        <w:t>зительно 87 000 человек).</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В то же время многие из недавно образованных финансовых учреждений все еще испытывают трудности организационного характера, которые в ряде случаев приводят к закрытию таких учреждений. Кроме того, на их работе о</w:t>
      </w:r>
      <w:r>
        <w:t>т</w:t>
      </w:r>
      <w:r>
        <w:t>рицательно сказывается отсутствие координации. В некоторых учреждениях такого рода руководство выступает за увеличение процентной ставки по кр</w:t>
      </w:r>
      <w:r>
        <w:t>е</w:t>
      </w:r>
      <w:r>
        <w:t>дитам, которая может достигать 40 процентов, в целях сокращения рисков и компенсирования ситуаций с нарушением условий предоставления кредитов, в силу которых взявшие кредит лица не обязаны выплачивать причитающиеся взносы. Количество учреждений, ведущих деятельность в данной сфере, до</w:t>
      </w:r>
      <w:r>
        <w:t>с</w:t>
      </w:r>
      <w:r>
        <w:t>тигло 23 в 1998 году и сократилось до 13 в насто</w:t>
      </w:r>
      <w:r>
        <w:t>я</w:t>
      </w:r>
      <w:r>
        <w:t>щее время.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Часть женщин имеет собственные предприятия, принадлежащие к ма</w:t>
      </w:r>
      <w:r>
        <w:t>р</w:t>
      </w:r>
      <w:r>
        <w:t>гинальному сектору экономики. В отношении женщин, занятых в данном се</w:t>
      </w:r>
      <w:r>
        <w:t>к</w:t>
      </w:r>
      <w:r>
        <w:t>торе, различными местными и международными институтами, в том числе г</w:t>
      </w:r>
      <w:r>
        <w:t>у</w:t>
      </w:r>
      <w:r>
        <w:t>манитарной организацией "Помощь детям", Фондом Организации Объедине</w:t>
      </w:r>
      <w:r>
        <w:t>н</w:t>
      </w:r>
      <w:r>
        <w:t>ных Наций для развития в интересах женщин (ЮНИФЕМ), организацией "С</w:t>
      </w:r>
      <w:r>
        <w:t>о</w:t>
      </w:r>
      <w:r>
        <w:t>циальное движение" предложены инициативы по оказанию помощи и содейс</w:t>
      </w:r>
      <w:r>
        <w:t>т</w:t>
      </w:r>
      <w:r>
        <w:t>вия. Обзор некоторых из предлагаемых ими программ показывает, что осно</w:t>
      </w:r>
      <w:r>
        <w:t>в</w:t>
      </w:r>
      <w:r>
        <w:t>ная деятельность перечисленных организаций по содействию женщинам с</w:t>
      </w:r>
      <w:r>
        <w:t>о</w:t>
      </w:r>
      <w:r>
        <w:t>средотачивается в следующих сферах: ткацкое дело, ремесла, общественное питание, гончарное и стекольное производство, первичные медицинские усл</w:t>
      </w:r>
      <w:r>
        <w:t>у</w:t>
      </w:r>
      <w:r>
        <w:t>ги, канцелярская работа, простое химическое и косм</w:t>
      </w:r>
      <w:r>
        <w:t>е</w:t>
      </w:r>
      <w:r>
        <w:t>тическое производство.</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ab/>
        <w:t>С 1997 по 2002 год на выгодных условиях было предоставлено около 54 000 кредитов, а доля женщин, воспользовавшихся такими кредитами, до</w:t>
      </w:r>
      <w:r>
        <w:t>с</w:t>
      </w:r>
      <w:r>
        <w:t>тигла 88,85 процентов от общего количества.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rPr>
          <w:sz w:val="28"/>
        </w:rPr>
      </w:pPr>
      <w:r>
        <w:rPr>
          <w:sz w:val="28"/>
        </w:rPr>
        <w:t>Глава 7</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rPr>
          <w:sz w:val="28"/>
        </w:rPr>
      </w:pPr>
      <w:r>
        <w:rPr>
          <w:sz w:val="28"/>
        </w:rPr>
        <w:t>Равенство в вопросах охраны</w:t>
      </w:r>
      <w:r>
        <w:t xml:space="preserve"> </w:t>
      </w:r>
      <w:r>
        <w:rPr>
          <w:sz w:val="28"/>
        </w:rPr>
        <w:t>здоровья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(Статья 12 Конвенции)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w:t>
      </w:r>
      <w:r>
        <w:t>.</w:t>
      </w:r>
      <w:r>
        <w:tab/>
        <w:t>Действующие правовые нормы</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1.</w:t>
      </w:r>
      <w:r>
        <w:rPr>
          <w:i/>
        </w:rPr>
        <w:tab/>
        <w:t xml:space="preserve">Право на </w:t>
      </w:r>
      <w:r>
        <w:t>охрану</w:t>
      </w:r>
      <w:r>
        <w:rPr>
          <w:i/>
        </w:rPr>
        <w:t xml:space="preserve"> здоровья: </w:t>
      </w:r>
      <w:r>
        <w:t>В законодательстве Ливана в области здрав</w:t>
      </w:r>
      <w:r>
        <w:t>о</w:t>
      </w:r>
      <w:r>
        <w:t>охр</w:t>
      </w:r>
      <w:r>
        <w:t>а</w:t>
      </w:r>
      <w:r>
        <w:t>нения не проводится различие между мужчинами и женщинами.</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2.</w:t>
      </w:r>
      <w:r>
        <w:rPr>
          <w:i/>
        </w:rPr>
        <w:tab/>
        <w:t xml:space="preserve">Планирование размера семьи: </w:t>
      </w:r>
      <w:r>
        <w:t>В соответствии с ливанским законодател</w:t>
      </w:r>
      <w:r>
        <w:t>ь</w:t>
      </w:r>
      <w:r>
        <w:t>ством женщины имеют право использовать методы планирования размера с</w:t>
      </w:r>
      <w:r>
        <w:t>е</w:t>
      </w:r>
      <w:r>
        <w:t>мьи и регулирования рождаемости без разрешения мужа. В статье 32 декр</w:t>
      </w:r>
      <w:r>
        <w:t>е</w:t>
      </w:r>
      <w:r>
        <w:t>та</w:t>
      </w:r>
      <w:r>
        <w:noBreakHyphen/>
        <w:t>закона № 112 от 10 ноября 1983 года отменяется наказание в виде тюремн</w:t>
      </w:r>
      <w:r>
        <w:t>о</w:t>
      </w:r>
      <w:r>
        <w:t>го заключения для лиц, участвующих в выдаче рецептов, рекламе, продаже или содействия в использовании любых препаратов контрацептивного действия.</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rPr>
          <w:i/>
        </w:rPr>
        <w:tab/>
        <w:t>3.</w:t>
      </w:r>
      <w:r>
        <w:rPr>
          <w:i/>
        </w:rPr>
        <w:tab/>
        <w:t>Репродуктивное здоровье:</w:t>
      </w:r>
      <w:r>
        <w:t xml:space="preserve"> В соответствии с ливанским законодательс</w:t>
      </w:r>
      <w:r>
        <w:t>т</w:t>
      </w:r>
      <w:r>
        <w:t>вом (декрет</w:t>
      </w:r>
      <w:r>
        <w:noBreakHyphen/>
        <w:t xml:space="preserve">закон № 78 </w:t>
      </w:r>
      <w:r>
        <w:rPr>
          <w:i/>
        </w:rPr>
        <w:t>от</w:t>
      </w:r>
      <w:r>
        <w:t xml:space="preserve"> 9 сентября 1983 с изменениями и дополнениями) любой намеревающийся вступить в брак должен пройти медицинское, лабор</w:t>
      </w:r>
      <w:r>
        <w:t>а</w:t>
      </w:r>
      <w:r>
        <w:t>торное и профилактическое тестирование в интересах репродуктивного здор</w:t>
      </w:r>
      <w:r>
        <w:t>о</w:t>
      </w:r>
      <w:r>
        <w:t>вья будущей пары. Кроме того, в соответствии со статьей 484 Уголовного к</w:t>
      </w:r>
      <w:r>
        <w:t>о</w:t>
      </w:r>
      <w:r>
        <w:t>декса, священник, совершивший обряд бракосочетания до того, как были сд</w:t>
      </w:r>
      <w:r>
        <w:t>е</w:t>
      </w:r>
      <w:r>
        <w:t>ланы все требуемые законом объявления и соблюдены прочие формальности, несет наказание в виде штрафа.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4.</w:t>
      </w:r>
      <w:r>
        <w:rPr>
          <w:i/>
        </w:rPr>
        <w:tab/>
        <w:t xml:space="preserve">Аборты: </w:t>
      </w:r>
      <w:r>
        <w:t>В отношении абортов ситуация не изменилась. Законодательс</w:t>
      </w:r>
      <w:r>
        <w:t>т</w:t>
      </w:r>
      <w:r>
        <w:t>во Ливана запрещает аборты в соответствие со статьями 209 и 539 Уголовного кодекса. Также запрещена продажа средств для искусственного прерывания беременности и содействие в использовании таких средств (статья 540 Уг</w:t>
      </w:r>
      <w:r>
        <w:t>о</w:t>
      </w:r>
      <w:r>
        <w:t>ловного кодекса). Женщины, прерывающие свою беременность, самостоятел</w:t>
      </w:r>
      <w:r>
        <w:t>ь</w:t>
      </w:r>
      <w:r>
        <w:t>но используя соответствующие средства или при помощи третьей стороны с их согласия, наказываются тюремным заключением сроком от шести месяцев до трех лет (статья 541 Уголовного кодекса). Смягчающими обстоятельствами считаются такие причины беременности, как незаконные отношения, в частн</w:t>
      </w:r>
      <w:r>
        <w:t>о</w:t>
      </w:r>
      <w:r>
        <w:t>сти измена и инцест (статья 545 Уголовного кодекса). Напротив, партнер же</w:t>
      </w:r>
      <w:r>
        <w:t>н</w:t>
      </w:r>
      <w:r>
        <w:t>щины не имеет права на смягчающие обстоятельства (статья 216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Намеренное искусственное прерывание беременности без согласия же</w:t>
      </w:r>
      <w:r>
        <w:t>н</w:t>
      </w:r>
      <w:r>
        <w:t>щины является преступлением, как и аборт, приведший к смерти женщины, н</w:t>
      </w:r>
      <w:r>
        <w:t>е</w:t>
      </w:r>
      <w:r>
        <w:t>зависимо от того, дала ли она согласие.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Ливанское законодательство разрешает прерывание беременности по о</w:t>
      </w:r>
      <w:r>
        <w:t>п</w:t>
      </w:r>
      <w:r>
        <w:t>ределенным медицинским показаниям согласно Закону о медицинской этике № 288 от 22 февраля 1994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w:t>
      </w:r>
      <w:r>
        <w:t>.</w:t>
      </w:r>
      <w:r>
        <w:tab/>
        <w:t>Последние юридические изменения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ab/>
      </w:r>
      <w:r>
        <w:t>Юридические изменения имели место в следующих областях: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lang w:val="en-US"/>
        </w:rPr>
        <w:tab/>
      </w:r>
      <w:r>
        <w:rPr>
          <w:i/>
        </w:rPr>
        <w:t>1.</w:t>
      </w:r>
      <w:r>
        <w:rPr>
          <w:i/>
        </w:rPr>
        <w:tab/>
        <w:t xml:space="preserve">Социальное обеспечение: </w:t>
      </w:r>
      <w:r>
        <w:t>Первого февраля 2002 года был издан указ, вв</w:t>
      </w:r>
      <w:r>
        <w:t>о</w:t>
      </w:r>
      <w:r>
        <w:t>дящий в действие закон № 248 от 9 августа 2000 года, который, в частности, предусматривает возможность добровольного страхования здоровья и мат</w:t>
      </w:r>
      <w:r>
        <w:t>е</w:t>
      </w:r>
      <w:r>
        <w:t>ринства (с 1 марта 2003 года). В соответствии с этим указом у целого ряда групп незастрахованных лиц появилась возможность пользоваться услугами Национального фонда социального обеспечения в обмен на регулярные взн</w:t>
      </w:r>
      <w:r>
        <w:t>о</w:t>
      </w:r>
      <w:r>
        <w:t>сы. Среди таких групп:</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74"/>
        <w:jc w:val="both"/>
      </w:pPr>
      <w:r>
        <w:tab/>
        <w:t>-</w:t>
      </w:r>
      <w:r>
        <w:tab/>
        <w:t>Лица, действующие от имени либо по поручению супругов, родственн</w:t>
      </w:r>
      <w:r>
        <w:t>и</w:t>
      </w:r>
      <w:r>
        <w:t>ков по восходящей линии или по прямой нисходящей линии;</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74"/>
        <w:jc w:val="both"/>
      </w:pPr>
      <w:r>
        <w:tab/>
        <w:t>-</w:t>
      </w:r>
      <w:r>
        <w:tab/>
        <w:t>Лица, в прошлом застраховавшие здоровье и материнство, но более не удо</w:t>
      </w:r>
      <w:r>
        <w:t>в</w:t>
      </w:r>
      <w:r>
        <w:t>летворяющие обязательным требованиям для получения такой страховки;</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74"/>
        <w:jc w:val="both"/>
      </w:pPr>
      <w:r>
        <w:tab/>
        <w:t>-</w:t>
      </w:r>
      <w:r>
        <w:tab/>
        <w:t>Независимые работники, не занятые в сельском хозяйстве, и самосто</w:t>
      </w:r>
      <w:r>
        <w:t>я</w:t>
      </w:r>
      <w:r>
        <w:t>тельно занятые, не получающие заработную плату лица;</w:t>
      </w:r>
    </w:p>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2241" w:right="1267" w:hanging="974"/>
        <w:jc w:val="both"/>
      </w:pPr>
      <w:r>
        <w:tab/>
        <w:t>-</w:t>
      </w:r>
      <w:r>
        <w:tab/>
        <w:t>Работодатели, чьи наемные работники зарегистрированы в Фонде.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Необходимо отметить, что застрахованное лицо и его родственн</w:t>
      </w:r>
      <w:r>
        <w:t>и</w:t>
      </w:r>
      <w:r>
        <w:t>ки</w:t>
      </w:r>
      <w:r>
        <w:noBreakHyphen/>
        <w:t>иждивенцы получают пособия по добровольному страхованию здоровья.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2.</w:t>
      </w:r>
      <w:r>
        <w:rPr>
          <w:i/>
        </w:rPr>
        <w:tab/>
        <w:t xml:space="preserve">Репродуктивное здоровье: </w:t>
      </w:r>
      <w:r>
        <w:t>Двадцать второго марта 2003 года был принят указ № 9814, утвердивший проект, который предусматривает включ</w:t>
      </w:r>
      <w:r>
        <w:t>е</w:t>
      </w:r>
      <w:r>
        <w:t>ние репродуктивного здравоохранения в спектр услуг, предоставляемых в ра</w:t>
      </w:r>
      <w:r>
        <w:t>м</w:t>
      </w:r>
      <w:r>
        <w:t>ках системы первичной медико-санитарной помощи, причем особое внимание планируется уделить расширению доступа к услугам планирования размера семьи, увеличению количества родов в условиях медицинского наблюдения, сокращению осложнений, связанных с родами и абортами, а также расшир</w:t>
      </w:r>
      <w:r>
        <w:t>е</w:t>
      </w:r>
      <w:r>
        <w:t>нию охвата консультационных услуг. Этот проект является частью национал</w:t>
      </w:r>
      <w:r>
        <w:t>ь</w:t>
      </w:r>
      <w:r>
        <w:t>ной программы репродуктивного здоровья, осуществление которой было нач</w:t>
      </w:r>
      <w:r>
        <w:t>а</w:t>
      </w:r>
      <w:r>
        <w:t>то в Ливане по рекомендации состоявшейся в Каире в 1994 году Междунаро</w:t>
      </w:r>
      <w:r>
        <w:t>д</w:t>
      </w:r>
      <w:r>
        <w:t>ной конференции по народонаселению и развитию.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lang w:val="en-US"/>
        </w:rPr>
        <w:t>3.</w:t>
      </w:r>
      <w:r>
        <w:rPr>
          <w:lang w:val="en-US"/>
        </w:rPr>
        <w:tab/>
      </w:r>
      <w:r>
        <w:rPr>
          <w:i/>
        </w:rPr>
        <w:t xml:space="preserve">Охрана здоровья работающих женщин: </w:t>
      </w:r>
      <w:r>
        <w:t>Тридцатого января 2004 года был издан указ № 11802 во изменение указа № 6341, вводящий требование для всех сотрудников организаций, подпадающих под требования Закона о занятости, в частности беременных женщин и матерей детей до двух лет периодически проходить медицинское освидетельствование. Новый указ также запрещает принимать на работу беременных женщин и кормящих матерей, в случае если работа предполагает контакт с бензином или содержащими бензин веществ</w:t>
      </w:r>
      <w:r>
        <w:t>а</w:t>
      </w:r>
      <w:r>
        <w:t>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отношении декретного отпуска в докладе уже упоминалось, что в 2000</w:t>
      </w:r>
      <w:r>
        <w:rPr>
          <w:lang w:val="en-US"/>
        </w:rPr>
        <w:t> </w:t>
      </w:r>
      <w:r>
        <w:t>году была принята поправка, увеличивающая срок отпуска по беременности для наемных работников, подпадающих под действие Закона о занятости, с 40 дней до семи н</w:t>
      </w:r>
      <w:r>
        <w:t>е</w:t>
      </w:r>
      <w:r>
        <w:t>дель.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r>
      <w:r>
        <w:rPr>
          <w:i/>
        </w:rPr>
        <w:t>4.</w:t>
      </w:r>
      <w:r>
        <w:rPr>
          <w:i/>
        </w:rPr>
        <w:tab/>
        <w:t xml:space="preserve">Инвалидность: </w:t>
      </w:r>
      <w:r>
        <w:t>Двадцать третьего мая 2003 года был принят Закон о правах инвалидов. Помимо введения удостоверения инвалида и повторного учреждения Национального комитета по делам инвалидов, в законе утвержд</w:t>
      </w:r>
      <w:r>
        <w:t>а</w:t>
      </w:r>
      <w:r>
        <w:t>ется право инвалидов на услуги здравоохранения, реабилитации и поддержки, а также право на надлежащие условия для получения образования и занятий спортом, на получение работы и обеспечение занятости, на общественные бл</w:t>
      </w:r>
      <w:r>
        <w:t>а</w:t>
      </w:r>
      <w:r>
        <w:t>га и мобильность, особые места для парковки, получение лицензий на торго</w:t>
      </w:r>
      <w:r>
        <w:t>в</w:t>
      </w:r>
      <w:r>
        <w:t>лю и разрешений на строительство. Кроме того, в законе предусмотрен ряд н</w:t>
      </w:r>
      <w:r>
        <w:t>а</w:t>
      </w:r>
      <w:r>
        <w:t>логовых льгот.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en-US"/>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III</w:t>
      </w:r>
      <w:r>
        <w:t>.</w:t>
      </w:r>
      <w:r>
        <w:tab/>
        <w:t>Основные аспекты дискриминации в отношении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t>1.</w:t>
      </w:r>
      <w:r>
        <w:rPr>
          <w:i/>
        </w:rPr>
        <w:tab/>
        <w:t xml:space="preserve">Право на охрану здоровья: </w:t>
      </w:r>
      <w:r>
        <w:t>В 2000 году затраты на здравоохранение в Ливане составили 12,2 процента валового внутреннего продукта (ВВП), что может считаться достаточно высоким показателем в сравнении с другими странами. С другой стороны, различные пособия по болезни получают лишь 46</w:t>
      </w:r>
      <w:r>
        <w:rPr>
          <w:lang w:val="en-US"/>
        </w:rPr>
        <w:t> </w:t>
      </w:r>
      <w:r>
        <w:t>процентов ливанцев, таким образом, нарушается всеобщее право на здоровье. В 1999 году медицинской страховкой было охвачено 47 процентов женщин и 45 процентов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Наличие страховки по здоровью сильно зависит от дохода: среди насел</w:t>
      </w:r>
      <w:r>
        <w:t>е</w:t>
      </w:r>
      <w:r>
        <w:t>ния с ограниченным доходом страховку имеют лишь 24 процента, в то время как более обеспеченные ливанцы страхуют свое здоровье в 75 процентах сл</w:t>
      </w:r>
      <w:r>
        <w:t>у</w:t>
      </w:r>
      <w:r>
        <w:t>чаев. Более трети всех семей не имеют страховки, в основном по экономич</w:t>
      </w:r>
      <w:r>
        <w:t>е</w:t>
      </w:r>
      <w:r>
        <w:t>ским причинам. Бремя медицинских услуг тем легче, чем выше общий уровень благосостояния: по данным ряда исследований, в 1997 году затраты на здрав</w:t>
      </w:r>
      <w:r>
        <w:t>о</w:t>
      </w:r>
      <w:r>
        <w:t>охранение в среднем составили 8,6 процентов всех расходов семьи за год, о</w:t>
      </w:r>
      <w:r>
        <w:t>д</w:t>
      </w:r>
      <w:r>
        <w:t>нако этот показатель неодинаков для семей с разным уровнем доходов (14,1 процентов для менее обеспеченных групп населения по сравнению с 6,6 пр</w:t>
      </w:r>
      <w:r>
        <w:t>о</w:t>
      </w:r>
      <w:r>
        <w:t>центами для групп с высоким доходом).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Хуже всего страхованием здоровья охвачены женщины старше 60 лет: в 1997 году не имели страховки 37,4 процентов, и это несмотря на то, что же</w:t>
      </w:r>
      <w:r>
        <w:t>н</w:t>
      </w:r>
      <w:r>
        <w:t>щины чаще, чем мужчины, страдают от хронических болезней (38,2 процента и 32,2 процента с</w:t>
      </w:r>
      <w:r>
        <w:t>о</w:t>
      </w:r>
      <w:r>
        <w:t>ответственно).</w:t>
      </w:r>
    </w:p>
    <w:tbl>
      <w:tblPr>
        <w:tblW w:w="0" w:type="auto"/>
        <w:tblInd w:w="-41" w:type="dxa"/>
        <w:tblLayout w:type="fixed"/>
        <w:tblCellMar>
          <w:left w:w="43" w:type="dxa"/>
          <w:right w:w="43" w:type="dxa"/>
        </w:tblCellMar>
        <w:tblLook w:val="01E0" w:firstRow="1" w:lastRow="1" w:firstColumn="1" w:lastColumn="1" w:noHBand="0" w:noVBand="0"/>
      </w:tblPr>
      <w:tblGrid>
        <w:gridCol w:w="1411"/>
        <w:gridCol w:w="882"/>
        <w:gridCol w:w="810"/>
        <w:gridCol w:w="810"/>
        <w:gridCol w:w="540"/>
        <w:gridCol w:w="810"/>
        <w:gridCol w:w="900"/>
        <w:gridCol w:w="720"/>
        <w:gridCol w:w="540"/>
      </w:tblGrid>
      <w:tr w:rsidR="00000000">
        <w:tblPrEx>
          <w:tblCellMar>
            <w:top w:w="0" w:type="dxa"/>
            <w:bottom w:w="0" w:type="dxa"/>
          </w:tblCellMar>
        </w:tblPrEx>
        <w:tc>
          <w:tcPr>
            <w:tcW w:w="1411"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c>
          <w:tcPr>
            <w:tcW w:w="882"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c>
          <w:tcPr>
            <w:tcW w:w="81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Женщины</w:t>
            </w:r>
          </w:p>
        </w:tc>
        <w:tc>
          <w:tcPr>
            <w:tcW w:w="81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c>
          <w:tcPr>
            <w:tcW w:w="54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c>
          <w:tcPr>
            <w:tcW w:w="81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c>
          <w:tcPr>
            <w:tcW w:w="90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Мужчины</w:t>
            </w:r>
          </w:p>
        </w:tc>
        <w:tc>
          <w:tcPr>
            <w:tcW w:w="72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c>
          <w:tcPr>
            <w:tcW w:w="540" w:type="dxa"/>
            <w:tcBorders>
              <w:top w:val="single" w:sz="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p>
        </w:tc>
      </w:tr>
      <w:tr w:rsidR="00000000">
        <w:tblPrEx>
          <w:tblCellMar>
            <w:top w:w="0" w:type="dxa"/>
            <w:bottom w:w="0" w:type="dxa"/>
          </w:tblCellMar>
        </w:tblPrEx>
        <w:tc>
          <w:tcPr>
            <w:tcW w:w="1411"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i/>
                <w:sz w:val="16"/>
              </w:rPr>
            </w:pPr>
            <w:r>
              <w:rPr>
                <w:i/>
                <w:sz w:val="16"/>
              </w:rPr>
              <w:t>Место жительства</w:t>
            </w:r>
          </w:p>
        </w:tc>
        <w:tc>
          <w:tcPr>
            <w:tcW w:w="882"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Застрахо-вано</w:t>
            </w:r>
          </w:p>
        </w:tc>
        <w:tc>
          <w:tcPr>
            <w:tcW w:w="81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Не застрахо-вано</w:t>
            </w:r>
          </w:p>
        </w:tc>
        <w:tc>
          <w:tcPr>
            <w:tcW w:w="81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Нет данных</w:t>
            </w:r>
          </w:p>
        </w:tc>
        <w:tc>
          <w:tcPr>
            <w:tcW w:w="54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Всего</w:t>
            </w:r>
          </w:p>
        </w:tc>
        <w:tc>
          <w:tcPr>
            <w:tcW w:w="81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Застрахо-вано</w:t>
            </w:r>
          </w:p>
        </w:tc>
        <w:tc>
          <w:tcPr>
            <w:tcW w:w="90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Не застрахо-вано</w:t>
            </w:r>
          </w:p>
        </w:tc>
        <w:tc>
          <w:tcPr>
            <w:tcW w:w="72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Нет данных</w:t>
            </w:r>
          </w:p>
        </w:tc>
        <w:tc>
          <w:tcPr>
            <w:tcW w:w="540"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sz w:val="16"/>
              </w:rPr>
            </w:pPr>
            <w:r>
              <w:rPr>
                <w:i/>
                <w:sz w:val="16"/>
              </w:rPr>
              <w:t>Всего</w:t>
            </w:r>
          </w:p>
        </w:tc>
      </w:tr>
      <w:tr w:rsidR="00000000">
        <w:tblPrEx>
          <w:tblCellMar>
            <w:top w:w="0" w:type="dxa"/>
            <w:bottom w:w="0" w:type="dxa"/>
          </w:tblCellMar>
        </w:tblPrEx>
        <w:tc>
          <w:tcPr>
            <w:tcW w:w="1411" w:type="dxa"/>
            <w:tcBorders>
              <w:top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Бейрут</w:t>
            </w:r>
          </w:p>
        </w:tc>
        <w:tc>
          <w:tcPr>
            <w:tcW w:w="882"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55,0</w:t>
            </w:r>
          </w:p>
        </w:tc>
        <w:tc>
          <w:tcPr>
            <w:tcW w:w="81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43,8</w:t>
            </w:r>
          </w:p>
        </w:tc>
        <w:tc>
          <w:tcPr>
            <w:tcW w:w="81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1,2</w:t>
            </w:r>
          </w:p>
        </w:tc>
        <w:tc>
          <w:tcPr>
            <w:tcW w:w="54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51,0</w:t>
            </w:r>
          </w:p>
        </w:tc>
        <w:tc>
          <w:tcPr>
            <w:tcW w:w="90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47,0</w:t>
            </w:r>
          </w:p>
        </w:tc>
        <w:tc>
          <w:tcPr>
            <w:tcW w:w="72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2,0</w:t>
            </w:r>
          </w:p>
        </w:tc>
        <w:tc>
          <w:tcPr>
            <w:tcW w:w="540" w:type="dxa"/>
            <w:tcBorders>
              <w:top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Пригороды Бейрута</w:t>
            </w:r>
          </w:p>
        </w:tc>
        <w:tc>
          <w:tcPr>
            <w:tcW w:w="882"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48,8</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1,3</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48,0</w:t>
            </w:r>
          </w:p>
        </w:tc>
        <w:tc>
          <w:tcPr>
            <w:tcW w:w="90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48,8</w:t>
            </w:r>
          </w:p>
        </w:tc>
        <w:tc>
          <w:tcPr>
            <w:tcW w:w="72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3,2</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Горный Ливан, исключая пригороды</w:t>
            </w:r>
          </w:p>
        </w:tc>
        <w:tc>
          <w:tcPr>
            <w:tcW w:w="882"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52,2</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46,9</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0,9</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51,0</w:t>
            </w:r>
          </w:p>
        </w:tc>
        <w:tc>
          <w:tcPr>
            <w:tcW w:w="90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46,0</w:t>
            </w:r>
          </w:p>
        </w:tc>
        <w:tc>
          <w:tcPr>
            <w:tcW w:w="72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3,0</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Северный Ливан</w:t>
            </w:r>
          </w:p>
        </w:tc>
        <w:tc>
          <w:tcPr>
            <w:tcW w:w="882"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41,7</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57,5</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0,7</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39,9</w:t>
            </w:r>
          </w:p>
        </w:tc>
        <w:tc>
          <w:tcPr>
            <w:tcW w:w="90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57,0</w:t>
            </w:r>
          </w:p>
        </w:tc>
        <w:tc>
          <w:tcPr>
            <w:tcW w:w="72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3,1</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Южный Ливан</w:t>
            </w:r>
          </w:p>
        </w:tc>
        <w:tc>
          <w:tcPr>
            <w:tcW w:w="882"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52,7</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46,5</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0,8</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50,0</w:t>
            </w:r>
          </w:p>
        </w:tc>
        <w:tc>
          <w:tcPr>
            <w:tcW w:w="90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45,6</w:t>
            </w:r>
          </w:p>
        </w:tc>
        <w:tc>
          <w:tcPr>
            <w:tcW w:w="72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4,4</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Набатия</w:t>
            </w:r>
          </w:p>
        </w:tc>
        <w:tc>
          <w:tcPr>
            <w:tcW w:w="882"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37,3</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62,3</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0,3</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37,1</w:t>
            </w:r>
          </w:p>
        </w:tc>
        <w:tc>
          <w:tcPr>
            <w:tcW w:w="90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60,2</w:t>
            </w:r>
          </w:p>
        </w:tc>
        <w:tc>
          <w:tcPr>
            <w:tcW w:w="72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2,7</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sz w:val="16"/>
              </w:rPr>
            </w:pPr>
            <w:r>
              <w:rPr>
                <w:sz w:val="16"/>
              </w:rPr>
              <w:t>Бекаа</w:t>
            </w:r>
          </w:p>
        </w:tc>
        <w:tc>
          <w:tcPr>
            <w:tcW w:w="882"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36,5</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63,4</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0,1</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c>
          <w:tcPr>
            <w:tcW w:w="81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36,3</w:t>
            </w:r>
          </w:p>
        </w:tc>
        <w:tc>
          <w:tcPr>
            <w:tcW w:w="90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62,6</w:t>
            </w:r>
          </w:p>
        </w:tc>
        <w:tc>
          <w:tcPr>
            <w:tcW w:w="72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1,1</w:t>
            </w:r>
          </w:p>
        </w:tc>
        <w:tc>
          <w:tcPr>
            <w:tcW w:w="540" w:type="dxa"/>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100</w:t>
            </w:r>
          </w:p>
        </w:tc>
      </w:tr>
      <w:tr w:rsidR="00000000">
        <w:tblPrEx>
          <w:tblCellMar>
            <w:top w:w="0" w:type="dxa"/>
            <w:bottom w:w="0" w:type="dxa"/>
          </w:tblCellMar>
        </w:tblPrEx>
        <w:tc>
          <w:tcPr>
            <w:tcW w:w="1411" w:type="dxa"/>
            <w:tcBorders>
              <w:bottom w:val="single" w:sz="12" w:space="0" w:color="auto"/>
            </w:tcBorders>
          </w:tcPr>
          <w:p w:rsidR="00000000" w:rsidRDefault="00000000">
            <w:pPr>
              <w:framePr w:hSpace="180" w:wrap="around"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sz w:val="16"/>
              </w:rPr>
            </w:pPr>
            <w:r>
              <w:rPr>
                <w:b/>
                <w:sz w:val="16"/>
              </w:rPr>
              <w:t>Всего</w:t>
            </w:r>
          </w:p>
        </w:tc>
        <w:tc>
          <w:tcPr>
            <w:tcW w:w="882"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46,9</w:t>
            </w:r>
          </w:p>
        </w:tc>
        <w:tc>
          <w:tcPr>
            <w:tcW w:w="81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52,3</w:t>
            </w:r>
          </w:p>
        </w:tc>
        <w:tc>
          <w:tcPr>
            <w:tcW w:w="81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0,8</w:t>
            </w:r>
          </w:p>
        </w:tc>
        <w:tc>
          <w:tcPr>
            <w:tcW w:w="54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81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44,9</w:t>
            </w:r>
          </w:p>
        </w:tc>
        <w:tc>
          <w:tcPr>
            <w:tcW w:w="90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52,2</w:t>
            </w:r>
          </w:p>
        </w:tc>
        <w:tc>
          <w:tcPr>
            <w:tcW w:w="72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2,8</w:t>
            </w:r>
          </w:p>
        </w:tc>
        <w:tc>
          <w:tcPr>
            <w:tcW w:w="540" w:type="dxa"/>
            <w:tcBorders>
              <w:bottom w:val="single" w:sz="12" w:space="0" w:color="auto"/>
            </w:tcBorders>
          </w:tcPr>
          <w:p w:rsidR="00000000" w:rsidRDefault="00000000">
            <w:pPr>
              <w:framePr w:wrap="auto" w:vAnchor="text" w:hAnchor="page" w:x="2467" w:y="1379"/>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r>
    </w:tbl>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Охват женщин услугами медицинского страхования неодинаков в разных регионах страны. В 1999 году в Бейруте 53,1 процента женщин имели доступ к таким услугам (самый высокий показатель), в то время как в Бекаа он составил лишь 36,4 процентов (самый низкий). В таблице ниже приведены данные по страхованию зд</w:t>
      </w:r>
      <w:r>
        <w:t>о</w:t>
      </w:r>
      <w:r>
        <w:t>ровья с учетом пола и места жительства (в процентах)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Национальное исследование министерства здравоохранения: затр</w:t>
      </w:r>
      <w:r>
        <w:t>а</w:t>
      </w:r>
      <w:r>
        <w:t>ты семей на нужды здравоохранения и потребление медицинских услуг в 1999 году. Том 2, октябрь 2001 года, Бейрут.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Страхование стоматологического и психического здоровья относительно неразвито и имеет ряд ограничений. Такое страхование в основном сводится к компенсации услуг врачей, работающих по соответствующим направлениям (в первом случае это сотрудники стоматологических кабинетов, а во втором – психологи, логоп</w:t>
      </w:r>
      <w:r>
        <w:t>е</w:t>
      </w:r>
      <w:r>
        <w:t>ды и физиотерапевты).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Можно таким образом констатировать, что несмотря на все усилия гос</w:t>
      </w:r>
      <w:r>
        <w:t>у</w:t>
      </w:r>
      <w:r>
        <w:t>дарства, сфера здравоохранения страдает от высокой стоимости медицинских услуг и разницы в их качестве и количестве; кроме того, до сих пор предпо</w:t>
      </w:r>
      <w:r>
        <w:t>ч</w:t>
      </w:r>
      <w:r>
        <w:t>тение отдается лечению, а не профилактике. На женщин подобное положение вещей оказывает такое же влияние, как и на мужчин, особенно если они неб</w:t>
      </w:r>
      <w:r>
        <w:t>о</w:t>
      </w:r>
      <w:r>
        <w:t>гаты, живут в отдаленных от столицы районах и старше 60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2.</w:t>
      </w:r>
      <w:r>
        <w:rPr>
          <w:i/>
        </w:rPr>
        <w:tab/>
        <w:t xml:space="preserve">Аборты: </w:t>
      </w:r>
      <w:r>
        <w:t>Законодательство в отношении абортов не изменилось. П</w:t>
      </w:r>
      <w:r>
        <w:t>о</w:t>
      </w:r>
      <w:r>
        <w:t>этому аборты продолжают делать втайне, подвергая риску физическое и пс</w:t>
      </w:r>
      <w:r>
        <w:t>и</w:t>
      </w:r>
      <w:r>
        <w:t>хическое зд</w:t>
      </w:r>
      <w:r>
        <w:t>о</w:t>
      </w:r>
      <w:r>
        <w:t>ровье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r>
      <w:r>
        <w:t>Кроме того, в случае прерывания нежелательной беременности, наст</w:t>
      </w:r>
      <w:r>
        <w:t>у</w:t>
      </w:r>
      <w:r>
        <w:t>пившей в результате изнасилования, ливанское законодательство предлагает женщине сослаться на смягчающие обстоятельство, что дает ей возможность рассчитывать на снисхождение; вместо этого с женщины необходимо снять всю вину.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3.</w:t>
      </w:r>
      <w:r>
        <w:rPr>
          <w:i/>
        </w:rPr>
        <w:tab/>
        <w:t xml:space="preserve">Инвалидность: </w:t>
      </w:r>
      <w:r>
        <w:t>В Законе о правах инвалидов не проводится разл</w:t>
      </w:r>
      <w:r>
        <w:t>и</w:t>
      </w:r>
      <w:r>
        <w:t>чие между мужчинами и женщинами. Таким образом, не учитываются особые потребности женщин</w:t>
      </w:r>
      <w:r>
        <w:noBreakHyphen/>
        <w:t>инвалидов с точки зрения репродуктивного здоровья и доступа к услугам, а также их положение в обществе и отношение к ним окр</w:t>
      </w:r>
      <w:r>
        <w:t>у</w:t>
      </w:r>
      <w:r>
        <w:t>жающих. Женщины-инвалиды подвергаются вторичной дискриминации по о</w:t>
      </w:r>
      <w:r>
        <w:t>т</w:t>
      </w:r>
      <w:r>
        <w:t>ношению к мужчинам-инвалидам.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4.</w:t>
      </w:r>
      <w:r>
        <w:rPr>
          <w:i/>
        </w:rPr>
        <w:tab/>
        <w:t xml:space="preserve">Окружающая среда: </w:t>
      </w:r>
      <w:r>
        <w:t>Необходимо сказать несколько слов и по пов</w:t>
      </w:r>
      <w:r>
        <w:t>о</w:t>
      </w:r>
      <w:r>
        <w:t>ду состояния окружающей среды, которое непосредственно влияет на здор</w:t>
      </w:r>
      <w:r>
        <w:t>о</w:t>
      </w:r>
      <w:r>
        <w:t>вье. Хотя это влияние испытывает на себе все население, беременные женщ</w:t>
      </w:r>
      <w:r>
        <w:t>и</w:t>
      </w:r>
      <w:r>
        <w:t>ны заслуживают отдельного внимания. Ливан сталкивается с многочисленн</w:t>
      </w:r>
      <w:r>
        <w:t>ы</w:t>
      </w:r>
      <w:r>
        <w:t>ми проблемами в экологической сфере: загрязнение воздуха и питьевой воды, состояние водопровода и канализации, накопление твердых и промышленных отходов, утилизация отходов лечебных учреждений и истощение природных ресурсов.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rPr>
          <w:i/>
        </w:rPr>
        <w:tab/>
        <w:t>5.</w:t>
      </w:r>
      <w:r>
        <w:rPr>
          <w:i/>
        </w:rPr>
        <w:tab/>
        <w:t xml:space="preserve">Репродуктивное здоровье: </w:t>
      </w:r>
      <w:r>
        <w:t>По причинам биологического, социальн</w:t>
      </w:r>
      <w:r>
        <w:t>о</w:t>
      </w:r>
      <w:r>
        <w:t>го и культурного характера женщины более подвержены заболеваниям, пер</w:t>
      </w:r>
      <w:r>
        <w:t>е</w:t>
      </w:r>
      <w:r>
        <w:t>дающимся половым путем (ЗППП), и в особенности СПИДу, чем мужчины.</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IV</w:t>
      </w:r>
      <w:r>
        <w:t>.</w:t>
      </w:r>
      <w:r>
        <w:tab/>
        <w:t>Развитие ситуации в области охраны здоровья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ab/>
      </w:r>
      <w:r>
        <w:rPr>
          <w:i/>
        </w:rPr>
        <w:t>1.</w:t>
      </w:r>
      <w:r>
        <w:rPr>
          <w:i/>
        </w:rPr>
        <w:tab/>
        <w:t xml:space="preserve">Право на охрану здоровья: </w:t>
      </w:r>
      <w:r>
        <w:t>В настоящее время женщины получают все страховые пособия по здоровью при условии членства в Национальном фонде социального обеспечения или имеют частную страховку. По данным Национального фонда социального обеспечения, в 2003 году количество з</w:t>
      </w:r>
      <w:r>
        <w:t>а</w:t>
      </w:r>
      <w:r>
        <w:t>страхованных составляло 386 000 человек, из которых 253 000 – мужчины и 133 000 – женщины. В это число не входят студенты и добровольные члены. К</w:t>
      </w:r>
      <w:r>
        <w:rPr>
          <w:lang w:val="en-US"/>
        </w:rPr>
        <w:t> </w:t>
      </w:r>
      <w:r>
        <w:t>октябрю 2004 года количество застрахованных лиц выросло до 409 395, что в сочетании с 24 741 добровольно застрахованным довело общий показатель до</w:t>
      </w:r>
      <w:r>
        <w:rPr>
          <w:lang w:val="en-US"/>
        </w:rPr>
        <w:t> </w:t>
      </w:r>
      <w:r>
        <w:t>437 438.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Количество членов Национального фонда социального обеспечения с ра</w:t>
      </w:r>
      <w:r>
        <w:rPr>
          <w:b/>
        </w:rPr>
        <w:t>з</w:t>
      </w:r>
      <w:r>
        <w:rPr>
          <w:b/>
        </w:rPr>
        <w:t>би</w:t>
      </w:r>
      <w:r>
        <w:rPr>
          <w:b/>
        </w:rPr>
        <w:t>в</w:t>
      </w:r>
      <w:r>
        <w:rPr>
          <w:b/>
        </w:rPr>
        <w:t>кой по полу и плану страхования</w:t>
      </w:r>
    </w:p>
    <w:tbl>
      <w:tblPr>
        <w:tblW w:w="0" w:type="auto"/>
        <w:tblInd w:w="31" w:type="dxa"/>
        <w:tblLayout w:type="fixed"/>
        <w:tblCellMar>
          <w:left w:w="36" w:type="dxa"/>
          <w:right w:w="36" w:type="dxa"/>
        </w:tblCellMar>
        <w:tblLook w:val="01E0" w:firstRow="1" w:lastRow="1" w:firstColumn="1" w:lastColumn="1" w:noHBand="0" w:noVBand="0"/>
      </w:tblPr>
      <w:tblGrid>
        <w:gridCol w:w="1251"/>
        <w:gridCol w:w="889"/>
        <w:gridCol w:w="1053"/>
        <w:gridCol w:w="783"/>
        <w:gridCol w:w="864"/>
        <w:gridCol w:w="936"/>
        <w:gridCol w:w="945"/>
        <w:gridCol w:w="675"/>
      </w:tblGrid>
      <w:tr w:rsidR="00000000">
        <w:tblPrEx>
          <w:tblCellMar>
            <w:top w:w="0" w:type="dxa"/>
            <w:bottom w:w="0" w:type="dxa"/>
          </w:tblCellMar>
        </w:tblPrEx>
        <w:tc>
          <w:tcPr>
            <w:tcW w:w="1251"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План</w:t>
            </w:r>
          </w:p>
        </w:tc>
        <w:tc>
          <w:tcPr>
            <w:tcW w:w="889"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Государ-ственный*</w:t>
            </w:r>
          </w:p>
        </w:tc>
        <w:tc>
          <w:tcPr>
            <w:tcW w:w="1053"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Учительский</w:t>
            </w:r>
          </w:p>
        </w:tc>
        <w:tc>
          <w:tcPr>
            <w:tcW w:w="783"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Мэрский</w:t>
            </w:r>
          </w:p>
        </w:tc>
        <w:tc>
          <w:tcPr>
            <w:tcW w:w="864"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Медицин-ский</w:t>
            </w:r>
          </w:p>
        </w:tc>
        <w:tc>
          <w:tcPr>
            <w:tcW w:w="936"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Студенче-ский</w:t>
            </w:r>
          </w:p>
        </w:tc>
        <w:tc>
          <w:tcPr>
            <w:tcW w:w="945"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Доброволь</w:t>
            </w:r>
            <w:r>
              <w:rPr>
                <w:sz w:val="16"/>
                <w:lang w:val="en-US"/>
              </w:rPr>
              <w:t>-</w:t>
            </w:r>
            <w:r>
              <w:rPr>
                <w:sz w:val="16"/>
              </w:rPr>
              <w:t>ный</w:t>
            </w:r>
          </w:p>
        </w:tc>
        <w:tc>
          <w:tcPr>
            <w:tcW w:w="675" w:type="dxa"/>
            <w:tcBorders>
              <w:top w:val="single" w:sz="2" w:space="0" w:color="auto"/>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sz w:val="16"/>
              </w:rPr>
            </w:pPr>
            <w:r>
              <w:rPr>
                <w:sz w:val="16"/>
              </w:rPr>
              <w:t>Всего</w:t>
            </w:r>
          </w:p>
        </w:tc>
      </w:tr>
      <w:tr w:rsidR="00000000">
        <w:tblPrEx>
          <w:tblCellMar>
            <w:top w:w="0" w:type="dxa"/>
            <w:bottom w:w="0" w:type="dxa"/>
          </w:tblCellMar>
        </w:tblPrEx>
        <w:tc>
          <w:tcPr>
            <w:tcW w:w="1251" w:type="dxa"/>
            <w:tcBorders>
              <w:top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Мужчины</w:t>
            </w:r>
          </w:p>
        </w:tc>
        <w:tc>
          <w:tcPr>
            <w:tcW w:w="889"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226 444</w:t>
            </w:r>
          </w:p>
        </w:tc>
        <w:tc>
          <w:tcPr>
            <w:tcW w:w="1053"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9 229</w:t>
            </w:r>
          </w:p>
        </w:tc>
        <w:tc>
          <w:tcPr>
            <w:tcW w:w="783"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1 663</w:t>
            </w:r>
          </w:p>
        </w:tc>
        <w:tc>
          <w:tcPr>
            <w:tcW w:w="864"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1 663</w:t>
            </w:r>
          </w:p>
        </w:tc>
        <w:tc>
          <w:tcPr>
            <w:tcW w:w="936"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15 984</w:t>
            </w:r>
          </w:p>
        </w:tc>
        <w:tc>
          <w:tcPr>
            <w:tcW w:w="945"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24 741</w:t>
            </w:r>
          </w:p>
        </w:tc>
        <w:tc>
          <w:tcPr>
            <w:tcW w:w="675" w:type="dxa"/>
            <w:tcBorders>
              <w:top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279 724</w:t>
            </w:r>
          </w:p>
        </w:tc>
      </w:tr>
      <w:tr w:rsidR="00000000">
        <w:tblPrEx>
          <w:tblCellMar>
            <w:top w:w="0" w:type="dxa"/>
            <w:bottom w:w="0" w:type="dxa"/>
          </w:tblCellMar>
        </w:tblPrEx>
        <w:tc>
          <w:tcPr>
            <w:tcW w:w="1251" w:type="dxa"/>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Женщины</w:t>
            </w:r>
          </w:p>
        </w:tc>
        <w:tc>
          <w:tcPr>
            <w:tcW w:w="889"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99 758</w:t>
            </w:r>
          </w:p>
        </w:tc>
        <w:tc>
          <w:tcPr>
            <w:tcW w:w="105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31 177</w:t>
            </w:r>
          </w:p>
        </w:tc>
        <w:tc>
          <w:tcPr>
            <w:tcW w:w="78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16</w:t>
            </w:r>
          </w:p>
        </w:tc>
        <w:tc>
          <w:tcPr>
            <w:tcW w:w="864"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792</w:t>
            </w:r>
          </w:p>
        </w:tc>
        <w:tc>
          <w:tcPr>
            <w:tcW w:w="936"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22 669</w:t>
            </w:r>
          </w:p>
        </w:tc>
        <w:tc>
          <w:tcPr>
            <w:tcW w:w="94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3 302</w:t>
            </w:r>
          </w:p>
        </w:tc>
        <w:tc>
          <w:tcPr>
            <w:tcW w:w="67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157 714</w:t>
            </w:r>
          </w:p>
        </w:tc>
      </w:tr>
      <w:tr w:rsidR="00000000">
        <w:tblPrEx>
          <w:tblCellMar>
            <w:top w:w="0" w:type="dxa"/>
            <w:bottom w:w="0" w:type="dxa"/>
          </w:tblCellMar>
        </w:tblPrEx>
        <w:tc>
          <w:tcPr>
            <w:tcW w:w="1251" w:type="dxa"/>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Всего</w:t>
            </w:r>
          </w:p>
        </w:tc>
        <w:tc>
          <w:tcPr>
            <w:tcW w:w="889"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326 202</w:t>
            </w:r>
          </w:p>
        </w:tc>
        <w:tc>
          <w:tcPr>
            <w:tcW w:w="105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40 406</w:t>
            </w:r>
          </w:p>
        </w:tc>
        <w:tc>
          <w:tcPr>
            <w:tcW w:w="78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1 679</w:t>
            </w:r>
          </w:p>
        </w:tc>
        <w:tc>
          <w:tcPr>
            <w:tcW w:w="864"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2 455</w:t>
            </w:r>
          </w:p>
        </w:tc>
        <w:tc>
          <w:tcPr>
            <w:tcW w:w="936"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38 653</w:t>
            </w:r>
          </w:p>
        </w:tc>
        <w:tc>
          <w:tcPr>
            <w:tcW w:w="94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28 143</w:t>
            </w:r>
          </w:p>
        </w:tc>
        <w:tc>
          <w:tcPr>
            <w:tcW w:w="67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437 538</w:t>
            </w:r>
          </w:p>
        </w:tc>
      </w:tr>
      <w:tr w:rsidR="00000000">
        <w:tblPrEx>
          <w:tblCellMar>
            <w:top w:w="0" w:type="dxa"/>
            <w:bottom w:w="0" w:type="dxa"/>
          </w:tblCellMar>
        </w:tblPrEx>
        <w:tc>
          <w:tcPr>
            <w:tcW w:w="1251" w:type="dxa"/>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Доля мужчин</w:t>
            </w:r>
          </w:p>
        </w:tc>
        <w:tc>
          <w:tcPr>
            <w:tcW w:w="889"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69 4</w:t>
            </w:r>
          </w:p>
        </w:tc>
        <w:tc>
          <w:tcPr>
            <w:tcW w:w="105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22 8</w:t>
            </w:r>
          </w:p>
        </w:tc>
        <w:tc>
          <w:tcPr>
            <w:tcW w:w="78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99 0</w:t>
            </w:r>
          </w:p>
        </w:tc>
        <w:tc>
          <w:tcPr>
            <w:tcW w:w="864"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67 7</w:t>
            </w:r>
          </w:p>
        </w:tc>
        <w:tc>
          <w:tcPr>
            <w:tcW w:w="936"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41 3</w:t>
            </w:r>
          </w:p>
        </w:tc>
        <w:tc>
          <w:tcPr>
            <w:tcW w:w="94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87 9</w:t>
            </w:r>
          </w:p>
        </w:tc>
        <w:tc>
          <w:tcPr>
            <w:tcW w:w="67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63 9</w:t>
            </w:r>
          </w:p>
        </w:tc>
      </w:tr>
      <w:tr w:rsidR="00000000">
        <w:tblPrEx>
          <w:tblCellMar>
            <w:top w:w="0" w:type="dxa"/>
            <w:bottom w:w="0" w:type="dxa"/>
          </w:tblCellMar>
        </w:tblPrEx>
        <w:tc>
          <w:tcPr>
            <w:tcW w:w="1251" w:type="dxa"/>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sz w:val="16"/>
              </w:rPr>
            </w:pPr>
            <w:r>
              <w:rPr>
                <w:sz w:val="16"/>
              </w:rPr>
              <w:t>Доля женщин</w:t>
            </w:r>
          </w:p>
        </w:tc>
        <w:tc>
          <w:tcPr>
            <w:tcW w:w="889"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30 7</w:t>
            </w:r>
          </w:p>
        </w:tc>
        <w:tc>
          <w:tcPr>
            <w:tcW w:w="105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77 1</w:t>
            </w:r>
          </w:p>
        </w:tc>
        <w:tc>
          <w:tcPr>
            <w:tcW w:w="783"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0 9</w:t>
            </w:r>
          </w:p>
        </w:tc>
        <w:tc>
          <w:tcPr>
            <w:tcW w:w="864"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32 2</w:t>
            </w:r>
          </w:p>
        </w:tc>
        <w:tc>
          <w:tcPr>
            <w:tcW w:w="936"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59 6</w:t>
            </w:r>
          </w:p>
        </w:tc>
        <w:tc>
          <w:tcPr>
            <w:tcW w:w="94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12 1</w:t>
            </w:r>
          </w:p>
        </w:tc>
        <w:tc>
          <w:tcPr>
            <w:tcW w:w="675" w:type="dxa"/>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sz w:val="16"/>
              </w:rPr>
            </w:pPr>
            <w:r>
              <w:rPr>
                <w:sz w:val="16"/>
              </w:rPr>
              <w:t>36 1</w:t>
            </w:r>
          </w:p>
        </w:tc>
      </w:tr>
      <w:tr w:rsidR="00000000">
        <w:tblPrEx>
          <w:tblCellMar>
            <w:top w:w="0" w:type="dxa"/>
            <w:bottom w:w="0" w:type="dxa"/>
          </w:tblCellMar>
        </w:tblPrEx>
        <w:tc>
          <w:tcPr>
            <w:tcW w:w="1251" w:type="dxa"/>
            <w:tcBorders>
              <w:bottom w:val="single" w:sz="12" w:space="0" w:color="auto"/>
            </w:tcBorders>
          </w:tcPr>
          <w:p w:rsidR="00000000" w:rsidRDefault="00000000">
            <w:pPr>
              <w:framePr w:hSpace="180" w:wrap="around" w:vAnchor="text" w:hAnchor="page" w:x="2546" w:y="9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sz w:val="16"/>
              </w:rPr>
            </w:pPr>
            <w:r>
              <w:rPr>
                <w:b/>
                <w:sz w:val="16"/>
              </w:rPr>
              <w:t>Всего (процентов)</w:t>
            </w:r>
          </w:p>
        </w:tc>
        <w:tc>
          <w:tcPr>
            <w:tcW w:w="889"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1053"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783"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864"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936"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945"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c>
          <w:tcPr>
            <w:tcW w:w="675" w:type="dxa"/>
            <w:tcBorders>
              <w:bottom w:val="single" w:sz="12" w:space="0" w:color="auto"/>
            </w:tcBorders>
          </w:tcPr>
          <w:p w:rsidR="00000000" w:rsidRDefault="00000000">
            <w:pPr>
              <w:framePr w:wrap="auto" w:hAnchor="text" w:x="2546"/>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right"/>
              <w:rPr>
                <w:b/>
                <w:sz w:val="16"/>
              </w:rPr>
            </w:pPr>
            <w:r>
              <w:rPr>
                <w:b/>
                <w:sz w:val="16"/>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Статистические данные Национального фонда социального обесп</w:t>
      </w:r>
      <w:r>
        <w:t>е</w:t>
      </w:r>
      <w:r>
        <w:t>чения на 23 октября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 xml:space="preserve">* </w:t>
      </w:r>
      <w:r>
        <w:tab/>
        <w:t>Этим планом пользуются следующие группы населения: ливанские работн</w:t>
      </w:r>
      <w:r>
        <w:t>и</w:t>
      </w:r>
      <w:r>
        <w:t>ки, получающие заработную плату, иностранные работники, получающие з</w:t>
      </w:r>
      <w:r>
        <w:t>а</w:t>
      </w:r>
      <w:r>
        <w:t>работную плату у конкретного работодателя, водители общественного тран</w:t>
      </w:r>
      <w:r>
        <w:t>с</w:t>
      </w:r>
      <w:r>
        <w:t>порта, продавцы газет и журналов, журналисты, работники, постоянно занятые в сельском хозяйстве и государственные служащие.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двух представленных ниже таблицах приведена статистическая инфо</w:t>
      </w:r>
      <w:r>
        <w:t>р</w:t>
      </w:r>
      <w:r>
        <w:t>мация относительно женщин, добровольно застраховавших свое здоровье с разбивкой по возрасту и категории членства в Национальном фонде социал</w:t>
      </w:r>
      <w:r>
        <w:t>ь</w:t>
      </w:r>
      <w:r>
        <w:t>ного обеспечения.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Женщины, пользующиеся добровольным страхованием, с разбивкой по возра</w:t>
      </w:r>
      <w:r>
        <w:rPr>
          <w:b/>
        </w:rPr>
        <w:t>с</w:t>
      </w:r>
      <w:r>
        <w:rPr>
          <w:b/>
        </w:rPr>
        <w:t>ту</w:t>
      </w:r>
    </w:p>
    <w:tbl>
      <w:tblPr>
        <w:tblW w:w="0" w:type="auto"/>
        <w:tblInd w:w="1262" w:type="dxa"/>
        <w:tblLayout w:type="fixed"/>
        <w:tblLook w:val="01E0" w:firstRow="1" w:lastRow="1" w:firstColumn="1" w:lastColumn="1" w:noHBand="0" w:noVBand="0"/>
      </w:tblPr>
      <w:tblGrid>
        <w:gridCol w:w="3420"/>
        <w:gridCol w:w="2070"/>
        <w:gridCol w:w="1890"/>
      </w:tblGrid>
      <w:tr w:rsidR="00000000">
        <w:tblPrEx>
          <w:tblCellMar>
            <w:top w:w="0" w:type="dxa"/>
            <w:bottom w:w="0" w:type="dxa"/>
          </w:tblCellMar>
        </w:tblPrEx>
        <w:tc>
          <w:tcPr>
            <w:tcW w:w="342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Во</w:t>
            </w:r>
            <w:r>
              <w:rPr>
                <w:i/>
              </w:rPr>
              <w:t>з</w:t>
            </w:r>
            <w:r>
              <w:rPr>
                <w:i/>
              </w:rPr>
              <w:t>раст</w:t>
            </w:r>
          </w:p>
        </w:tc>
        <w:tc>
          <w:tcPr>
            <w:tcW w:w="207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rPr>
            </w:pPr>
            <w:r>
              <w:rPr>
                <w:i/>
              </w:rPr>
              <w:t>К</w:t>
            </w:r>
            <w:r>
              <w:rPr>
                <w:i/>
              </w:rPr>
              <w:t>о</w:t>
            </w:r>
            <w:r>
              <w:rPr>
                <w:i/>
              </w:rPr>
              <w:t>л</w:t>
            </w:r>
            <w:r>
              <w:rPr>
                <w:i/>
              </w:rPr>
              <w:t>и</w:t>
            </w:r>
            <w:r>
              <w:rPr>
                <w:i/>
              </w:rPr>
              <w:t>ч</w:t>
            </w:r>
            <w:r>
              <w:rPr>
                <w:i/>
              </w:rPr>
              <w:t>е</w:t>
            </w:r>
            <w:r>
              <w:rPr>
                <w:i/>
              </w:rPr>
              <w:t>ство</w:t>
            </w:r>
          </w:p>
        </w:tc>
        <w:tc>
          <w:tcPr>
            <w:tcW w:w="189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rPr>
                <w:i/>
              </w:rPr>
            </w:pPr>
            <w:r>
              <w:rPr>
                <w:i/>
              </w:rPr>
              <w:t>Доля</w:t>
            </w:r>
          </w:p>
        </w:tc>
      </w:tr>
      <w:tr w:rsidR="00000000">
        <w:tblPrEx>
          <w:tblCellMar>
            <w:top w:w="0" w:type="dxa"/>
            <w:bottom w:w="0" w:type="dxa"/>
          </w:tblCellMar>
        </w:tblPrEx>
        <w:tc>
          <w:tcPr>
            <w:tcW w:w="342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w:t>
            </w:r>
            <w:r>
              <w:t>о</w:t>
            </w:r>
            <w:r>
              <w:t>л</w:t>
            </w:r>
            <w:r>
              <w:t>о</w:t>
            </w:r>
            <w:r>
              <w:t>же 30</w:t>
            </w:r>
          </w:p>
        </w:tc>
        <w:tc>
          <w:tcPr>
            <w:tcW w:w="207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71</w:t>
            </w:r>
          </w:p>
        </w:tc>
        <w:tc>
          <w:tcPr>
            <w:tcW w:w="189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2,1</w:t>
            </w:r>
          </w:p>
        </w:tc>
      </w:tr>
      <w:tr w:rsidR="00000000">
        <w:tblPrEx>
          <w:tblCellMar>
            <w:top w:w="0" w:type="dxa"/>
            <w:bottom w:w="0" w:type="dxa"/>
          </w:tblCellMar>
        </w:tblPrEx>
        <w:tc>
          <w:tcPr>
            <w:tcW w:w="34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От 30 до 39</w:t>
            </w:r>
          </w:p>
        </w:tc>
        <w:tc>
          <w:tcPr>
            <w:tcW w:w="20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312</w:t>
            </w:r>
          </w:p>
        </w:tc>
        <w:tc>
          <w:tcPr>
            <w:tcW w:w="18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9,4</w:t>
            </w:r>
          </w:p>
        </w:tc>
      </w:tr>
      <w:tr w:rsidR="00000000">
        <w:tblPrEx>
          <w:tblCellMar>
            <w:top w:w="0" w:type="dxa"/>
            <w:bottom w:w="0" w:type="dxa"/>
          </w:tblCellMar>
        </w:tblPrEx>
        <w:tc>
          <w:tcPr>
            <w:tcW w:w="34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От 40 до 49</w:t>
            </w:r>
          </w:p>
        </w:tc>
        <w:tc>
          <w:tcPr>
            <w:tcW w:w="20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575</w:t>
            </w:r>
          </w:p>
        </w:tc>
        <w:tc>
          <w:tcPr>
            <w:tcW w:w="18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17,4</w:t>
            </w:r>
          </w:p>
        </w:tc>
      </w:tr>
      <w:tr w:rsidR="00000000">
        <w:tblPrEx>
          <w:tblCellMar>
            <w:top w:w="0" w:type="dxa"/>
            <w:bottom w:w="0" w:type="dxa"/>
          </w:tblCellMar>
        </w:tblPrEx>
        <w:tc>
          <w:tcPr>
            <w:tcW w:w="34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От 50 до 53</w:t>
            </w:r>
          </w:p>
        </w:tc>
        <w:tc>
          <w:tcPr>
            <w:tcW w:w="20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1 013</w:t>
            </w:r>
          </w:p>
        </w:tc>
        <w:tc>
          <w:tcPr>
            <w:tcW w:w="18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40,3</w:t>
            </w:r>
          </w:p>
        </w:tc>
      </w:tr>
      <w:tr w:rsidR="00000000">
        <w:tblPrEx>
          <w:tblCellMar>
            <w:top w:w="0" w:type="dxa"/>
            <w:bottom w:w="0" w:type="dxa"/>
          </w:tblCellMar>
        </w:tblPrEx>
        <w:tc>
          <w:tcPr>
            <w:tcW w:w="34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Старше 64</w:t>
            </w:r>
          </w:p>
        </w:tc>
        <w:tc>
          <w:tcPr>
            <w:tcW w:w="207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1 331</w:t>
            </w:r>
          </w:p>
        </w:tc>
        <w:tc>
          <w:tcPr>
            <w:tcW w:w="189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sz w:val="17"/>
              </w:rPr>
            </w:pPr>
            <w:r>
              <w:rPr>
                <w:sz w:val="17"/>
              </w:rPr>
              <w:t>40,3</w:t>
            </w:r>
          </w:p>
        </w:tc>
      </w:tr>
      <w:tr w:rsidR="00000000">
        <w:tblPrEx>
          <w:tblCellMar>
            <w:top w:w="0" w:type="dxa"/>
            <w:bottom w:w="0" w:type="dxa"/>
          </w:tblCellMar>
        </w:tblPrEx>
        <w:tc>
          <w:tcPr>
            <w:tcW w:w="342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rPr>
            </w:pPr>
            <w:r>
              <w:rPr>
                <w:b/>
              </w:rPr>
              <w:t>Вс</w:t>
            </w:r>
            <w:r>
              <w:rPr>
                <w:b/>
              </w:rPr>
              <w:t>е</w:t>
            </w:r>
            <w:r>
              <w:rPr>
                <w:b/>
              </w:rPr>
              <w:t>го</w:t>
            </w:r>
          </w:p>
        </w:tc>
        <w:tc>
          <w:tcPr>
            <w:tcW w:w="207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b/>
                <w:sz w:val="17"/>
              </w:rPr>
            </w:pPr>
            <w:r>
              <w:rPr>
                <w:b/>
                <w:sz w:val="17"/>
              </w:rPr>
              <w:t>3 302</w:t>
            </w:r>
          </w:p>
        </w:tc>
        <w:tc>
          <w:tcPr>
            <w:tcW w:w="189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522"/>
              <w:jc w:val="right"/>
              <w:rPr>
                <w:b/>
                <w:sz w:val="17"/>
              </w:rPr>
            </w:pPr>
            <w:r>
              <w:rPr>
                <w:b/>
                <w:sz w:val="17"/>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Статистические данные Национального фонда социального обесп</w:t>
      </w:r>
      <w:r>
        <w:t>е</w:t>
      </w:r>
      <w:r>
        <w:t>чения на 20 октября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Женщины, пользующиеся добровольным страхованием, с разбивкой по катег</w:t>
      </w:r>
      <w:r>
        <w:rPr>
          <w:b/>
        </w:rPr>
        <w:t>о</w:t>
      </w:r>
      <w:r>
        <w:rPr>
          <w:b/>
        </w:rPr>
        <w:t>рии членства</w:t>
      </w:r>
    </w:p>
    <w:tbl>
      <w:tblPr>
        <w:tblW w:w="0" w:type="auto"/>
        <w:tblInd w:w="1262" w:type="dxa"/>
        <w:tblLayout w:type="fixed"/>
        <w:tblLook w:val="01E0" w:firstRow="1" w:lastRow="1" w:firstColumn="1" w:lastColumn="1" w:noHBand="0" w:noVBand="0"/>
      </w:tblPr>
      <w:tblGrid>
        <w:gridCol w:w="5220"/>
        <w:gridCol w:w="1350"/>
        <w:gridCol w:w="810"/>
      </w:tblGrid>
      <w:tr w:rsidR="00000000">
        <w:tblPrEx>
          <w:tblCellMar>
            <w:top w:w="0" w:type="dxa"/>
            <w:bottom w:w="0" w:type="dxa"/>
          </w:tblCellMar>
        </w:tblPrEx>
        <w:tc>
          <w:tcPr>
            <w:tcW w:w="5220" w:type="dxa"/>
            <w:tcBorders>
              <w:top w:val="single" w:sz="2" w:space="0" w:color="auto"/>
              <w:bottom w:val="single" w:sz="12" w:space="0" w:color="auto"/>
            </w:tcBorders>
          </w:tcPr>
          <w:p w:rsidR="00000000" w:rsidRDefault="00000000">
            <w:pPr>
              <w:pStyle w:val="Heading5"/>
            </w:pPr>
            <w:r>
              <w:t>Категории, имеющие право на членство</w:t>
            </w:r>
          </w:p>
        </w:tc>
        <w:tc>
          <w:tcPr>
            <w:tcW w:w="135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Количество</w:t>
            </w:r>
          </w:p>
        </w:tc>
        <w:tc>
          <w:tcPr>
            <w:tcW w:w="81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Доля</w:t>
            </w:r>
          </w:p>
        </w:tc>
      </w:tr>
      <w:tr w:rsidR="00000000">
        <w:tblPrEx>
          <w:tblCellMar>
            <w:top w:w="0" w:type="dxa"/>
            <w:bottom w:w="0" w:type="dxa"/>
          </w:tblCellMar>
        </w:tblPrEx>
        <w:tc>
          <w:tcPr>
            <w:tcW w:w="5220" w:type="dxa"/>
            <w:tcBorders>
              <w:top w:val="single" w:sz="12" w:space="0" w:color="auto"/>
            </w:tcBorders>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jc w:val="left"/>
            </w:pPr>
            <w:r>
              <w:t>Добровольные члены-женщины, действующие от имени либо по поручению своих супругов, родственников по восходящей линии или по прямой нисходящей линии</w:t>
            </w:r>
          </w:p>
        </w:tc>
        <w:tc>
          <w:tcPr>
            <w:tcW w:w="1350" w:type="dxa"/>
            <w:tcBorders>
              <w:top w:val="single" w:sz="12" w:space="0" w:color="auto"/>
            </w:tcBorders>
            <w:vAlign w:val="center"/>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34"/>
              <w:jc w:val="right"/>
              <w:rPr>
                <w:sz w:val="17"/>
              </w:rPr>
            </w:pPr>
            <w:r>
              <w:rPr>
                <w:sz w:val="17"/>
              </w:rPr>
              <w:t>25</w:t>
            </w:r>
          </w:p>
        </w:tc>
        <w:tc>
          <w:tcPr>
            <w:tcW w:w="810" w:type="dxa"/>
            <w:tcBorders>
              <w:top w:val="single" w:sz="12" w:space="0" w:color="auto"/>
            </w:tcBorders>
            <w:vAlign w:val="center"/>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34"/>
              <w:jc w:val="right"/>
              <w:rPr>
                <w:sz w:val="17"/>
              </w:rPr>
            </w:pPr>
            <w:r>
              <w:rPr>
                <w:sz w:val="17"/>
              </w:rPr>
              <w:t>0,7</w:t>
            </w:r>
          </w:p>
        </w:tc>
      </w:tr>
      <w:tr w:rsidR="00000000">
        <w:tblPrEx>
          <w:tblCellMar>
            <w:top w:w="0" w:type="dxa"/>
            <w:bottom w:w="0" w:type="dxa"/>
          </w:tblCellMar>
        </w:tblPrEx>
        <w:tc>
          <w:tcPr>
            <w:tcW w:w="52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Добровольные члены-женщины, ранее зарег</w:t>
            </w:r>
            <w:r>
              <w:t>и</w:t>
            </w:r>
            <w:r>
              <w:t>стрированные в Национальном фонде социал</w:t>
            </w:r>
            <w:r>
              <w:t>ь</w:t>
            </w:r>
            <w:r>
              <w:t>ного обеспечения</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r>
              <w:rPr>
                <w:sz w:val="17"/>
              </w:rPr>
              <w:t>955</w:t>
            </w:r>
          </w:p>
        </w:tc>
        <w:tc>
          <w:tcPr>
            <w:tcW w:w="81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r>
              <w:rPr>
                <w:sz w:val="17"/>
              </w:rPr>
              <w:t>28,9</w:t>
            </w:r>
          </w:p>
        </w:tc>
      </w:tr>
      <w:tr w:rsidR="00000000">
        <w:tblPrEx>
          <w:tblCellMar>
            <w:top w:w="0" w:type="dxa"/>
            <w:bottom w:w="0" w:type="dxa"/>
          </w:tblCellMar>
        </w:tblPrEx>
        <w:tc>
          <w:tcPr>
            <w:tcW w:w="5220" w:type="dxa"/>
          </w:tcPr>
          <w:p w:rsidR="00000000" w:rsidRDefault="00000000">
            <w:pPr>
              <w:pStyle w:val="H56"/>
              <w:keepNext w:val="0"/>
              <w:keepLines w:val="0"/>
              <w:tabs>
                <w:tab w:val="clear" w:pos="360"/>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val="0"/>
              <w:outlineLvl w:val="9"/>
            </w:pPr>
            <w:r>
              <w:t>Добровольные члены-женщины, самостоятел</w:t>
            </w:r>
            <w:r>
              <w:t>ь</w:t>
            </w:r>
            <w:r>
              <w:t>но занятые в сферах кроме сельского хозяйства и р</w:t>
            </w:r>
            <w:r>
              <w:t>а</w:t>
            </w:r>
            <w:r>
              <w:t>ботники, не получающие заработную плату</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r>
              <w:rPr>
                <w:sz w:val="17"/>
              </w:rPr>
              <w:t>2 280</w:t>
            </w:r>
          </w:p>
        </w:tc>
        <w:tc>
          <w:tcPr>
            <w:tcW w:w="81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r>
              <w:rPr>
                <w:sz w:val="17"/>
              </w:rPr>
              <w:t>69,1</w:t>
            </w:r>
          </w:p>
        </w:tc>
      </w:tr>
      <w:tr w:rsidR="00000000">
        <w:tblPrEx>
          <w:tblCellMar>
            <w:top w:w="0" w:type="dxa"/>
            <w:bottom w:w="0" w:type="dxa"/>
          </w:tblCellMar>
        </w:tblPrEx>
        <w:tc>
          <w:tcPr>
            <w:tcW w:w="522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pPr>
            <w:r>
              <w:t>Добровольные члены-женщины из категории работодателей, привлекающих работников ра</w:t>
            </w:r>
            <w:r>
              <w:t>з</w:t>
            </w:r>
            <w:r>
              <w:t>личных категорий и видов деятельности и в</w:t>
            </w:r>
            <w:r>
              <w:t>ы</w:t>
            </w:r>
            <w:r>
              <w:t>плач</w:t>
            </w:r>
            <w:r>
              <w:t>и</w:t>
            </w:r>
            <w:r>
              <w:t>вающих им заработную плату</w:t>
            </w:r>
          </w:p>
        </w:tc>
        <w:tc>
          <w:tcPr>
            <w:tcW w:w="135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r>
              <w:rPr>
                <w:sz w:val="17"/>
              </w:rPr>
              <w:t>42</w:t>
            </w:r>
          </w:p>
        </w:tc>
        <w:tc>
          <w:tcPr>
            <w:tcW w:w="81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sz w:val="17"/>
              </w:rPr>
            </w:pPr>
            <w:r>
              <w:rPr>
                <w:sz w:val="17"/>
              </w:rPr>
              <w:t>1,3</w:t>
            </w:r>
          </w:p>
        </w:tc>
      </w:tr>
      <w:tr w:rsidR="00000000">
        <w:tblPrEx>
          <w:tblCellMar>
            <w:top w:w="0" w:type="dxa"/>
            <w:bottom w:w="0" w:type="dxa"/>
          </w:tblCellMar>
        </w:tblPrEx>
        <w:tc>
          <w:tcPr>
            <w:tcW w:w="5220" w:type="dxa"/>
            <w:tcBorders>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b/>
              </w:rPr>
            </w:pPr>
            <w:r>
              <w:rPr>
                <w:b/>
              </w:rPr>
              <w:t>Всего</w:t>
            </w:r>
          </w:p>
        </w:tc>
        <w:tc>
          <w:tcPr>
            <w:tcW w:w="1350" w:type="dxa"/>
            <w:tcBorders>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b/>
                <w:sz w:val="17"/>
              </w:rPr>
            </w:pPr>
            <w:r>
              <w:rPr>
                <w:b/>
                <w:sz w:val="17"/>
              </w:rPr>
              <w:t>3 302</w:t>
            </w:r>
          </w:p>
        </w:tc>
        <w:tc>
          <w:tcPr>
            <w:tcW w:w="810" w:type="dxa"/>
            <w:tcBorders>
              <w:bottom w:val="single" w:sz="12"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117"/>
              <w:jc w:val="right"/>
              <w:rPr>
                <w:b/>
                <w:sz w:val="17"/>
              </w:rPr>
            </w:pPr>
            <w:r>
              <w:rPr>
                <w:b/>
                <w:sz w:val="17"/>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Статистические данные Национального фонда социального обе</w:t>
      </w:r>
      <w:r>
        <w:t>с</w:t>
      </w:r>
      <w:r>
        <w:t>печ</w:t>
      </w:r>
      <w:r>
        <w:t>е</w:t>
      </w:r>
      <w:r>
        <w:t>ния на 20 октября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министерство здравоохранения и министерство социальных дел при содействии неправительственных организаций в сфере здравоохран</w:t>
      </w:r>
      <w:r>
        <w:t>е</w:t>
      </w:r>
      <w:r>
        <w:t>ния предоставляют медицинские услуги незастрахованным гражданам, в час</w:t>
      </w:r>
      <w:r>
        <w:t>т</w:t>
      </w:r>
      <w:r>
        <w:t>ности социальным группам с ограниченным доходом.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Среди таких услуг – медицинские осмотры, курсы лечения, медикаменты и лабораторные исследования. Стоит отметить, что при министерстве здрав</w:t>
      </w:r>
      <w:r>
        <w:t>о</w:t>
      </w:r>
      <w:r>
        <w:t>охранения работает специальный центр, который предоставляет медикаменты для терапии неизлечимых болезней: при содействии Всемирной организации здравоохранения (ВОЗ) он распространяет среди ливанцев медикаменты для терапии таких болезней как рак, СПИД, рассеянный склероз, психические з</w:t>
      </w:r>
      <w:r>
        <w:t>а</w:t>
      </w:r>
      <w:r>
        <w:t>болевания и эпилепсия, а также для содействия трансплантации органов и л</w:t>
      </w:r>
      <w:r>
        <w:t>е</w:t>
      </w:r>
      <w:r>
        <w:t>чения гемофилии. Очевидно, что при обращении в этот центр ни о какой ди</w:t>
      </w:r>
      <w:r>
        <w:t>с</w:t>
      </w:r>
      <w:r>
        <w:t>криминации женщин речь идти не может.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Негосударственный сектор является мощной опорой государства в пр</w:t>
      </w:r>
      <w:r>
        <w:t>е</w:t>
      </w:r>
      <w:r>
        <w:t>доставлении первичной медико-санитарной помощи: по данным недавно пр</w:t>
      </w:r>
      <w:r>
        <w:t>о</w:t>
      </w:r>
      <w:r>
        <w:t>веденных исследований, в 2001 году 80 процентов из 787 клиник и медици</w:t>
      </w:r>
      <w:r>
        <w:t>н</w:t>
      </w:r>
      <w:r>
        <w:t>ских центров в Ливане принадлежали негосударственным организациям. Стоит отметить, что эти центры теперь уделяют больше внимания охране здоровья женщины в виде программ распространения информации, обучения и проф</w:t>
      </w:r>
      <w:r>
        <w:t>и</w:t>
      </w:r>
      <w:r>
        <w:t>лактики, а также специализированных медицинских услуг, ориентированных на укрепление здоровья матери и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2.</w:t>
      </w:r>
      <w:r>
        <w:tab/>
      </w:r>
      <w:r>
        <w:rPr>
          <w:i/>
        </w:rPr>
        <w:t xml:space="preserve">Инвалидность: </w:t>
      </w:r>
      <w:r>
        <w:t>По некоторым оценкам, 2 процента всего населения Ливана –инвалиды. По данным, представленным в докладе министерства соц</w:t>
      </w:r>
      <w:r>
        <w:t>и</w:t>
      </w:r>
      <w:r>
        <w:t>альных дел, к 31 декабря 2003 года было выдано 46 610 удостоверений инв</w:t>
      </w:r>
      <w:r>
        <w:t>а</w:t>
      </w:r>
      <w:r>
        <w:t>лида во всех регионах страны и для всех видов инвалидности; подробные да</w:t>
      </w:r>
      <w:r>
        <w:t>н</w:t>
      </w:r>
      <w:r>
        <w:t>ные приведены в та</w:t>
      </w:r>
      <w:r>
        <w:t>б</w:t>
      </w:r>
      <w:r>
        <w:t>лице ниже.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5</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Удостоверения инвалида, выданные компетентным министерством с ра</w:t>
      </w:r>
      <w:r>
        <w:rPr>
          <w:b/>
        </w:rPr>
        <w:t>з</w:t>
      </w:r>
      <w:r>
        <w:rPr>
          <w:b/>
        </w:rPr>
        <w:t>би</w:t>
      </w:r>
      <w:r>
        <w:rPr>
          <w:b/>
        </w:rPr>
        <w:t>в</w:t>
      </w:r>
      <w:r>
        <w:rPr>
          <w:b/>
        </w:rPr>
        <w:t>кой по региону и полу (проценты)</w:t>
      </w:r>
    </w:p>
    <w:tbl>
      <w:tblPr>
        <w:tblW w:w="0" w:type="auto"/>
        <w:tblInd w:w="1262" w:type="dxa"/>
        <w:tblBorders>
          <w:top w:val="single" w:sz="2" w:space="0" w:color="auto"/>
        </w:tblBorders>
        <w:tblLayout w:type="fixed"/>
        <w:tblLook w:val="01E0" w:firstRow="1" w:lastRow="1" w:firstColumn="1" w:lastColumn="1" w:noHBand="0" w:noVBand="0"/>
      </w:tblPr>
      <w:tblGrid>
        <w:gridCol w:w="4500"/>
        <w:gridCol w:w="2880"/>
      </w:tblGrid>
      <w:tr w:rsidR="00000000">
        <w:tblPrEx>
          <w:tblCellMar>
            <w:top w:w="0" w:type="dxa"/>
            <w:bottom w:w="0" w:type="dxa"/>
          </w:tblCellMar>
        </w:tblPrEx>
        <w:tc>
          <w:tcPr>
            <w:tcW w:w="45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rPr>
                <w:i/>
              </w:rPr>
            </w:pPr>
            <w:r>
              <w:rPr>
                <w:i/>
              </w:rPr>
              <w:t>Регион (по адресу места жительства)</w:t>
            </w:r>
          </w:p>
        </w:tc>
        <w:tc>
          <w:tcPr>
            <w:tcW w:w="288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p>
        </w:tc>
      </w:tr>
      <w:tr w:rsidR="00000000">
        <w:tblPrEx>
          <w:tblCellMar>
            <w:top w:w="0" w:type="dxa"/>
            <w:bottom w:w="0" w:type="dxa"/>
          </w:tblCellMar>
        </w:tblPrEx>
        <w:tc>
          <w:tcPr>
            <w:tcW w:w="45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Бекаа</w:t>
            </w:r>
          </w:p>
        </w:tc>
        <w:tc>
          <w:tcPr>
            <w:tcW w:w="2880" w:type="dxa"/>
            <w:tcBorders>
              <w:top w:val="single" w:sz="12" w:space="0" w:color="auto"/>
            </w:tcBorders>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13,85</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Юг</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13,95</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Север</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18,29</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Набатия</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9,39</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Бейрут</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8,22</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Горный Ливан</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36,29</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i/>
              </w:rPr>
            </w:pPr>
            <w:r>
              <w:rPr>
                <w:b/>
                <w:i/>
              </w:rPr>
              <w:t>Всего в Ливане</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b/>
                <w:sz w:val="17"/>
              </w:rPr>
            </w:pPr>
            <w:r>
              <w:rPr>
                <w:b/>
                <w:sz w:val="17"/>
              </w:rPr>
              <w:t>100</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Пол</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i/>
              </w:rPr>
            </w:pP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Мужчины</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36,87</w:t>
            </w:r>
          </w:p>
        </w:tc>
      </w:tr>
      <w:tr w:rsidR="00000000">
        <w:tblPrEx>
          <w:tblCellMar>
            <w:top w:w="0" w:type="dxa"/>
            <w:bottom w:w="0" w:type="dxa"/>
          </w:tblCellMar>
        </w:tblPrEx>
        <w:tc>
          <w:tcPr>
            <w:tcW w:w="450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Женщины</w:t>
            </w:r>
          </w:p>
        </w:tc>
        <w:tc>
          <w:tcPr>
            <w:tcW w:w="2880" w:type="dxa"/>
            <w:tcBorders>
              <w:bottom w:val="nil"/>
            </w:tcBorders>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sz w:val="17"/>
              </w:rPr>
            </w:pPr>
            <w:r>
              <w:rPr>
                <w:sz w:val="17"/>
              </w:rPr>
              <w:t>63,13</w:t>
            </w:r>
          </w:p>
        </w:tc>
      </w:tr>
      <w:tr w:rsidR="00000000">
        <w:tblPrEx>
          <w:tblCellMar>
            <w:top w:w="0" w:type="dxa"/>
            <w:bottom w:w="0" w:type="dxa"/>
          </w:tblCellMar>
        </w:tblPrEx>
        <w:tc>
          <w:tcPr>
            <w:tcW w:w="4500"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i/>
              </w:rPr>
            </w:pPr>
            <w:r>
              <w:rPr>
                <w:b/>
                <w:i/>
              </w:rPr>
              <w:t>Всего в Ливане</w:t>
            </w:r>
          </w:p>
        </w:tc>
        <w:tc>
          <w:tcPr>
            <w:tcW w:w="2880" w:type="dxa"/>
            <w:tcBorders>
              <w:top w:val="nil"/>
              <w:bottom w:val="single" w:sz="12" w:space="0" w:color="auto"/>
            </w:tcBorders>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02"/>
              <w:jc w:val="right"/>
              <w:rPr>
                <w:b/>
                <w:sz w:val="17"/>
              </w:rPr>
            </w:pPr>
            <w:r>
              <w:rPr>
                <w:b/>
                <w:sz w:val="17"/>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Министерство социальных дел, Результаты проведения программы по обеспечению прав инвалидов, 1994</w:t>
      </w:r>
      <w:r>
        <w:noBreakHyphen/>
        <w:t>2003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этом же докладе говорится, что 9 869 инвалидов получили 1 960 963</w:t>
      </w:r>
      <w:r>
        <w:rPr>
          <w:lang w:val="en-US"/>
        </w:rPr>
        <w:t> </w:t>
      </w:r>
      <w:r>
        <w:t>вспомогательных изделий (инвалидных кресел, медицинской обуви, специал</w:t>
      </w:r>
      <w:r>
        <w:t>ь</w:t>
      </w:r>
      <w:r>
        <w:t>ных стульев, кроватей, столов и т.д.), о чем свидетельствует таблица ниже:</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Количество инвалидов, которым были предоставлены вспомогательные усл</w:t>
      </w:r>
      <w:r>
        <w:rPr>
          <w:b/>
        </w:rPr>
        <w:t>у</w:t>
      </w:r>
      <w:r>
        <w:rPr>
          <w:b/>
        </w:rPr>
        <w:t>ги, с разбивкой по региону (проценты)</w:t>
      </w:r>
    </w:p>
    <w:tbl>
      <w:tblPr>
        <w:tblW w:w="0" w:type="auto"/>
        <w:tblInd w:w="1262" w:type="dxa"/>
        <w:tblBorders>
          <w:bottom w:val="single" w:sz="12" w:space="0" w:color="auto"/>
        </w:tblBorders>
        <w:tblLayout w:type="fixed"/>
        <w:tblLook w:val="01E0" w:firstRow="1" w:lastRow="1" w:firstColumn="1" w:lastColumn="1" w:noHBand="0" w:noVBand="0"/>
      </w:tblPr>
      <w:tblGrid>
        <w:gridCol w:w="4500"/>
        <w:gridCol w:w="2880"/>
      </w:tblGrid>
      <w:tr w:rsidR="00000000">
        <w:tblPrEx>
          <w:tblCellMar>
            <w:top w:w="0" w:type="dxa"/>
            <w:bottom w:w="0" w:type="dxa"/>
          </w:tblCellMar>
        </w:tblPrEx>
        <w:tc>
          <w:tcPr>
            <w:tcW w:w="450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Регион (по адресу места жительства)</w:t>
            </w:r>
          </w:p>
        </w:tc>
        <w:tc>
          <w:tcPr>
            <w:tcW w:w="288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p>
        </w:tc>
      </w:tr>
      <w:tr w:rsidR="00000000">
        <w:tblPrEx>
          <w:tblCellMar>
            <w:top w:w="0" w:type="dxa"/>
            <w:bottom w:w="0" w:type="dxa"/>
          </w:tblCellMar>
        </w:tblPrEx>
        <w:tc>
          <w:tcPr>
            <w:tcW w:w="450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Бекаа</w:t>
            </w:r>
          </w:p>
        </w:tc>
        <w:tc>
          <w:tcPr>
            <w:tcW w:w="2880" w:type="dxa"/>
            <w:tcBorders>
              <w:top w:val="single" w:sz="12" w:space="0" w:color="auto"/>
            </w:tcBorders>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12,96</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Юг</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16,43</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Север</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16,03</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Набатия</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8,96</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Бейрут</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8,54</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Горный Ливан</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37,07</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i/>
              </w:rPr>
            </w:pPr>
            <w:r>
              <w:rPr>
                <w:b/>
                <w:i/>
              </w:rPr>
              <w:t>Всего в Ливане</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b/>
                <w:sz w:val="17"/>
              </w:rPr>
            </w:pPr>
            <w:r>
              <w:rPr>
                <w:b/>
                <w:sz w:val="17"/>
              </w:rPr>
              <w:t>100</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Пол</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i/>
              </w:rPr>
            </w:pP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Мужчины</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41,73</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Женщины</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sz w:val="17"/>
              </w:rPr>
            </w:pPr>
            <w:r>
              <w:rPr>
                <w:sz w:val="17"/>
              </w:rPr>
              <w:t>58,27</w:t>
            </w:r>
          </w:p>
        </w:tc>
      </w:tr>
      <w:tr w:rsidR="00000000">
        <w:tblPrEx>
          <w:tblCellMar>
            <w:top w:w="0" w:type="dxa"/>
            <w:bottom w:w="0" w:type="dxa"/>
          </w:tblCellMar>
        </w:tblPrEx>
        <w:tc>
          <w:tcPr>
            <w:tcW w:w="4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i/>
              </w:rPr>
            </w:pPr>
            <w:r>
              <w:rPr>
                <w:b/>
                <w:i/>
              </w:rPr>
              <w:t>Всего в Ливане</w:t>
            </w:r>
          </w:p>
        </w:tc>
        <w:tc>
          <w:tcPr>
            <w:tcW w:w="2880" w:type="dxa"/>
          </w:tcPr>
          <w:p w:rsidR="00000000" w:rsidRDefault="00000000">
            <w:pPr>
              <w:tabs>
                <w:tab w:val="left" w:pos="1022"/>
                <w:tab w:val="left" w:pos="1267"/>
                <w:tab w:val="left" w:pos="1742"/>
                <w:tab w:val="left" w:pos="2218"/>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792"/>
              <w:jc w:val="right"/>
              <w:rPr>
                <w:b/>
                <w:sz w:val="17"/>
              </w:rPr>
            </w:pPr>
            <w:r>
              <w:rPr>
                <w:b/>
                <w:sz w:val="17"/>
              </w:rPr>
              <w:t>100</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Министерство социальных дел, Результаты проведения программы по обеспечению прав инвалидов, 1994</w:t>
      </w:r>
      <w:r>
        <w:noBreakHyphen/>
        <w:t>2003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Несмотря на предпринимаемые усилия, положение инвалидов далеко от по</w:t>
      </w:r>
      <w:r>
        <w:t>л</w:t>
      </w:r>
      <w:r>
        <w:t>ного обеспечения их гражданских прав.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3.</w:t>
      </w:r>
      <w:r>
        <w:rPr>
          <w:i/>
        </w:rPr>
        <w:tab/>
        <w:t xml:space="preserve">Репродуктивное здоровье: </w:t>
      </w:r>
      <w:r>
        <w:t>В 2001 году в Ливане было официально начато осуществление национальной программы в области народонаселения, в которой были учтены аспекты репродуктивного здоровья и планирования ра</w:t>
      </w:r>
      <w:r>
        <w:t>з</w:t>
      </w:r>
      <w:r>
        <w:t>мера семьи. Динамика изменения показателей материнского и детского здор</w:t>
      </w:r>
      <w:r>
        <w:t>о</w:t>
      </w:r>
      <w:r>
        <w:t>вья за последние несколько лет свидетельствует об улучшении ситуации в о</w:t>
      </w:r>
      <w:r>
        <w:t>б</w:t>
      </w:r>
      <w:r>
        <w:t>ласти репродуктивного здоровья в результате мер, принимаемых государством при содействии негосударственного сектора и поддержке международных о</w:t>
      </w:r>
      <w:r>
        <w:t>р</w:t>
      </w:r>
      <w:r>
        <w:t>ганизаций; был отмечен рост информированности в вопросах репродуктивного здоровья, позитивные изменения в подходе к охране здоровья в целом и среди женщин в частности, а также повышение качества предоставляемых медици</w:t>
      </w:r>
      <w:r>
        <w:t>н</w:t>
      </w:r>
      <w:r>
        <w:t>ских услуг.</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Как известно, репродуктивное здоровье связано с такими аспектами, как планирование размера семьи, нормальное половое созревание и профилактика ЗППП.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Результаты недавних исследований говорят о том, что в сравнении с 1994</w:t>
      </w:r>
      <w:r>
        <w:rPr>
          <w:lang w:val="en-US"/>
        </w:rPr>
        <w:t> </w:t>
      </w:r>
      <w:r>
        <w:t>годом детская смертность в 2000 году сократилась до 27 случаев на 1 000</w:t>
      </w:r>
      <w:r>
        <w:rPr>
          <w:lang w:val="en-US"/>
        </w:rPr>
        <w:t> </w:t>
      </w:r>
      <w:r>
        <w:t>(24 на 1 000 для девочек и 30 на 1 000 для мальчиков). В 2000 году доля детей в во</w:t>
      </w:r>
      <w:r>
        <w:t>з</w:t>
      </w:r>
      <w:r>
        <w:t>расте 13</w:t>
      </w:r>
      <w:r>
        <w:noBreakHyphen/>
        <w:t>23 месяцев, привитых от полиомиелита, кори, свинки и краснухи та</w:t>
      </w:r>
      <w:r>
        <w:t>к</w:t>
      </w:r>
      <w:r>
        <w:t>же выросло до 77,8 процентов (74,3 процента для мальчиков и 81,3 процента для девочек). Региональные различия также имеют место: самый высокий п</w:t>
      </w:r>
      <w:r>
        <w:t>о</w:t>
      </w:r>
      <w:r>
        <w:t>казатель вакцинации наблюдается в Горном Ливане (91,5 процент), в то время как в Баальбеке, Хармале, Аккаре и Динии этот показатель составил лишь 56 процентов. Было отмечено, что младенческая и детская смертность имеет те</w:t>
      </w:r>
      <w:r>
        <w:t>н</w:t>
      </w:r>
      <w:r>
        <w:t>денцию к сокращению по мере роста уровня о</w:t>
      </w:r>
      <w:r>
        <w:t>б</w:t>
      </w:r>
      <w:r>
        <w:t>разования матерей.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данным исследований, в 1999 году материнская смертность в резул</w:t>
      </w:r>
      <w:r>
        <w:t>ь</w:t>
      </w:r>
      <w:r>
        <w:t>тате беременности и родов составила 104 случая на 100 000</w:t>
      </w:r>
      <w:r>
        <w:rPr>
          <w:lang w:val="en-US"/>
        </w:rPr>
        <w:t> </w:t>
      </w:r>
      <w:r>
        <w:t>живорождений. Известно, что этот показатель зависит от качества дородового и послеродового наблюдения матери.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отношении дородового наблюдения, по данным исследований в том же 1999 году 87 процентов матерей прошли по крайней мере одно медицинское обследование в дородовой период. В 50 процентах случаев такое обследование проводилось в рамках регулярного посещения врача. Следует отметить, что к 2000 году этот пок</w:t>
      </w:r>
      <w:r>
        <w:t>а</w:t>
      </w:r>
      <w:r>
        <w:t>затель вырос до 94,9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Важно упомянуть и о том, что к 1999 году частота обращений за общим профилактическим уходом составляла 5,5 процентов, причем наблюдался я</w:t>
      </w:r>
      <w:r>
        <w:t>в</w:t>
      </w:r>
      <w:r>
        <w:t>ный рост числа женщин, наблюдающихся у гинеколога, что свидетельствует о росте осведомленности и формировании правильного отношения к некоторым аспектам репроду</w:t>
      </w:r>
      <w:r>
        <w:t>к</w:t>
      </w:r>
      <w:r>
        <w:t>тивного здоровья.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2000 году женщины обращались к врачам или зарегистрированным п</w:t>
      </w:r>
      <w:r>
        <w:t>о</w:t>
      </w:r>
      <w:r>
        <w:t>витухам в 96 процентах случаев. В отдаленных районах женщины до сих пор прибегают к традиционным повитухам. Например, в Аккаре таких было 9 пр</w:t>
      </w:r>
      <w:r>
        <w:t>о</w:t>
      </w:r>
      <w:r>
        <w:t>центов, хотя популярность традиционных методов падает с каждым годом. Как известно, дородовой уход надлежащего качества снижает риск мертворожд</w:t>
      </w:r>
      <w:r>
        <w:t>е</w:t>
      </w:r>
      <w: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Уровень послеродового ухода до сих пор оставляет желать лучшего: в 1996 году лишь 39 процентов матерей получали такой уход, что связано с уровнем образования (этот показатель составил 58 процентов для женщин с высшим образованием и 23 процента для неграмотных женщин). Существует и региональная зависимость (самый высокий показатель, 66 процентов, набл</w:t>
      </w:r>
      <w:r>
        <w:t>ю</w:t>
      </w:r>
      <w:r>
        <w:t>дался в Бейруте, а самый низкий, 30 процентов,  в Южном Ливане).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области планирования размера семьи по данным исследований 99 пр</w:t>
      </w:r>
      <w:r>
        <w:t>о</w:t>
      </w:r>
      <w:r>
        <w:t>центов женщин в 2000 году знали по крайней мере об одном средстве планир</w:t>
      </w:r>
      <w:r>
        <w:t>о</w:t>
      </w:r>
      <w:r>
        <w:t>вания размера семьи, в то время как 40,5 процентов использовали новые мет</w:t>
      </w:r>
      <w:r>
        <w:t>о</w:t>
      </w:r>
      <w:r>
        <w:t>ды контрацепции, а 22 процента придерживались традиционных методов пр</w:t>
      </w:r>
      <w:r>
        <w:t>е</w:t>
      </w:r>
      <w:r>
        <w:t>дохранения от нежелательной беременности. Наиболее широко используемый метод (17,7 процента) –спираль, за ним следуют противозачаточные таблетки (15 процентов) и презервативы (4,4 процента). В соответствующие услуги в центрах, расположенных во всех регионах стр</w:t>
      </w:r>
      <w:r>
        <w:t>а</w:t>
      </w:r>
      <w:r>
        <w:t>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сложившейся ситуации высокой оценки заслуживает важная и активная роль негосударственных объединений и организаций в сфере репродуктивного здоровья, особенно в том что касается распространения информации, санита</w:t>
      </w:r>
      <w:r>
        <w:t>р</w:t>
      </w:r>
      <w:r>
        <w:t>ного просвещения, ухода, доступа к услугам и пересмотру законодательства. Особого упоминания требует вклад Ассоциации планирования размера семьи, которая была основана в 1969 году и по сей день ведет активную работу.</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V</w:t>
      </w:r>
      <w:r>
        <w:t>.</w:t>
      </w:r>
      <w:r>
        <w:tab/>
        <w:t>Национальные программы в области здравоохранения, осущест</w:t>
      </w:r>
      <w:r>
        <w:t>в</w:t>
      </w:r>
      <w:r>
        <w:t>ля</w:t>
      </w:r>
      <w:r>
        <w:t>е</w:t>
      </w:r>
      <w:r>
        <w:t>мые при поддержке Организации Объединенных Наций</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Как уже говорилось, вопросы охраны здоровья решаются в рамках ряда наци</w:t>
      </w:r>
      <w:r>
        <w:t>о</w:t>
      </w:r>
      <w:r>
        <w:t>нальных программ, среди которых: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1.</w:t>
      </w:r>
      <w:r>
        <w:rPr>
          <w:i/>
        </w:rPr>
        <w:tab/>
        <w:t xml:space="preserve">Национальная программа репродуктивного здоровья: </w:t>
      </w:r>
      <w:r>
        <w:t>Осуществл</w:t>
      </w:r>
      <w:r>
        <w:t>е</w:t>
      </w:r>
      <w:r>
        <w:t>ние</w:t>
      </w:r>
      <w:r>
        <w:rPr>
          <w:i/>
        </w:rPr>
        <w:t xml:space="preserve"> </w:t>
      </w:r>
      <w:r>
        <w:t>национальной программы репродуктивного здоровья было начато в 1997 году министерством здравоохранения и министерством социальных дел при содействии международных организаций. Целью программы было создание национальной стратегии в области репродуктивного здоровья при участии ряда неправительственных структур, с тем чтобы содействовать расширению и</w:t>
      </w:r>
      <w:r>
        <w:t>с</w:t>
      </w:r>
      <w:r>
        <w:t>пользования методов планирования размера семьи, сократить осложнения, св</w:t>
      </w:r>
      <w:r>
        <w:t>я</w:t>
      </w:r>
      <w:r>
        <w:t>занные с родами и опасными абортами, а также увеличить количество мужчин и женщин, пользующихся консультационными услугами в связи с ЗППП и ВИЧ/СПИДом.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ab/>
      </w:r>
      <w:r>
        <w:t>В рамках этой программы ведется деятельность по ряду направлений, в частности 430 медицинских учреждений получают оборудование, необходимое для предоставления услуг защиты репродуктивного здоровья в рамках перви</w:t>
      </w:r>
      <w:r>
        <w:t>ч</w:t>
      </w:r>
      <w:r>
        <w:t>ной медицинской помощи. министерство социальных дел также получило з</w:t>
      </w:r>
      <w:r>
        <w:t>а</w:t>
      </w:r>
      <w:r>
        <w:t>дание реализовать, совместно с Фондом Организации Объединенных Наций в области народонаселения (ЮНФПА) проект в области репродуктивного здор</w:t>
      </w:r>
      <w:r>
        <w:t>о</w:t>
      </w:r>
      <w:r>
        <w:t>вья, в рамках которого были разработаны различные публикации, брошюры и аудиовизуальные учебные пособия. Также проводились исследования, подг</w:t>
      </w:r>
      <w:r>
        <w:t>о</w:t>
      </w:r>
      <w:r>
        <w:t>товка медицинских сотрудников и информационно-пропагандистские камп</w:t>
      </w:r>
      <w:r>
        <w:t>а</w:t>
      </w:r>
      <w:r>
        <w:t>нии в самых разных районах Ливана. В подготовке учебных материалов, кот</w:t>
      </w:r>
      <w:r>
        <w:t>о</w:t>
      </w:r>
      <w:r>
        <w:t>рые имели большой успех, принимали участие некот</w:t>
      </w:r>
      <w:r>
        <w:t>о</w:t>
      </w:r>
      <w:r>
        <w:t>рые университеты.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Несмотря на предпринимаемые усилия, качество услуг все еще нуждается в улучшении. В частности, в сфере репродуктивного здоровья особое внимание необходимо уделить послеродовому уходу; кроме того, многие юноши и д</w:t>
      </w:r>
      <w:r>
        <w:t>е</w:t>
      </w:r>
      <w:r>
        <w:t>вушки практикуют незащищенные половые отношения, сталкиваются с пр</w:t>
      </w:r>
      <w:r>
        <w:t>о</w:t>
      </w:r>
      <w:r>
        <w:t>блемами нежелательной беременности и абортов. Охрана здоровья женщин старшего возраста также требует внимания.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2.</w:t>
      </w:r>
      <w:r>
        <w:rPr>
          <w:i/>
        </w:rPr>
        <w:tab/>
        <w:t xml:space="preserve">Национальная программа борьбы со СПИДом/ЗППП: </w:t>
      </w:r>
      <w:r>
        <w:t>Выполнение Национальной программы борьбы со СПИДом/ЗППП началось в 1984 году м</w:t>
      </w:r>
      <w:r>
        <w:t>и</w:t>
      </w:r>
      <w:r>
        <w:t>нистерством здравоохранения и ВОЗ; ее цель – сдержать распространение эп</w:t>
      </w:r>
      <w:r>
        <w:t>и</w:t>
      </w:r>
      <w:r>
        <w:t>демии СПИДа посредством распространения информации, просвещения, по</w:t>
      </w:r>
      <w:r>
        <w:t>д</w:t>
      </w:r>
      <w:r>
        <w:t>держки и ухода за больными СПИДом, работы с их семьями, а также контроля над развитием болезни. Эта программа также нацелена на борьбу с ЗППП. По данным программы на 1 октября 2004 года было выявлено 808 случаев этой болезни. В таблице ниже представлены статистические данные с разбивкой по возрасту, полу и способу инфициров</w:t>
      </w:r>
      <w:r>
        <w:t>а</w:t>
      </w:r>
      <w: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Таблица 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rPr>
      </w:pPr>
      <w:r>
        <w:rPr>
          <w:b/>
        </w:rPr>
        <w:t>Количество носителей СПИДа с разбивкой по способу инфицирования, возра</w:t>
      </w:r>
      <w:r>
        <w:rPr>
          <w:b/>
        </w:rPr>
        <w:t>с</w:t>
      </w:r>
      <w:r>
        <w:rPr>
          <w:b/>
        </w:rPr>
        <w:t>тной группе и связи с переездами</w:t>
      </w:r>
    </w:p>
    <w:tbl>
      <w:tblPr>
        <w:tblW w:w="0" w:type="auto"/>
        <w:tblInd w:w="1262" w:type="dxa"/>
        <w:tblBorders>
          <w:top w:val="single" w:sz="2" w:space="0" w:color="auto"/>
        </w:tblBorders>
        <w:tblLayout w:type="fixed"/>
        <w:tblLook w:val="01E0" w:firstRow="1" w:lastRow="1" w:firstColumn="1" w:lastColumn="1" w:noHBand="0" w:noVBand="0"/>
      </w:tblPr>
      <w:tblGrid>
        <w:gridCol w:w="5940"/>
        <w:gridCol w:w="1440"/>
      </w:tblGrid>
      <w:tr w:rsidR="00000000">
        <w:tblPrEx>
          <w:tblCellMar>
            <w:top w:w="0" w:type="dxa"/>
            <w:bottom w:w="0" w:type="dxa"/>
          </w:tblCellMar>
        </w:tblPrEx>
        <w:trPr>
          <w:tblHeader/>
        </w:trPr>
        <w:tc>
          <w:tcPr>
            <w:tcW w:w="594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Носителей СПИДа, всего</w:t>
            </w:r>
          </w:p>
        </w:tc>
        <w:tc>
          <w:tcPr>
            <w:tcW w:w="1440" w:type="dxa"/>
            <w:tcBorders>
              <w:top w:val="single" w:sz="2" w:space="0" w:color="auto"/>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r>
              <w:rPr>
                <w:i/>
              </w:rPr>
              <w:t>772 ответа</w:t>
            </w:r>
          </w:p>
        </w:tc>
      </w:tr>
      <w:tr w:rsidR="00000000">
        <w:tblPrEx>
          <w:tblCellMar>
            <w:top w:w="0" w:type="dxa"/>
            <w:bottom w:w="0" w:type="dxa"/>
          </w:tblCellMar>
        </w:tblPrEx>
        <w:tc>
          <w:tcPr>
            <w:tcW w:w="594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rPr>
            </w:pPr>
            <w:r>
              <w:rPr>
                <w:b/>
              </w:rPr>
              <w:t>Разбивка по способу инфицирования</w:t>
            </w:r>
          </w:p>
        </w:tc>
        <w:tc>
          <w:tcPr>
            <w:tcW w:w="1440" w:type="dxa"/>
            <w:tcBorders>
              <w:top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i/>
              </w:rPr>
            </w:pPr>
          </w:p>
        </w:tc>
      </w:tr>
      <w:tr w:rsidR="00000000">
        <w:tblPrEx>
          <w:tblCellMar>
            <w:top w:w="0" w:type="dxa"/>
            <w:bottom w:w="0" w:type="dxa"/>
          </w:tblCellMar>
        </w:tblPrEx>
        <w:tc>
          <w:tcPr>
            <w:tcW w:w="5940" w:type="dxa"/>
          </w:tcPr>
          <w:p w:rsidR="00000000" w:rsidRDefault="00000000">
            <w:pPr>
              <w:pStyle w:val="DualTxt"/>
              <w:tabs>
                <w:tab w:val="clear" w:pos="480"/>
                <w:tab w:val="clear" w:pos="960"/>
                <w:tab w:val="clear" w:pos="1440"/>
                <w:tab w:val="clear" w:pos="1915"/>
                <w:tab w:val="clear" w:pos="2405"/>
                <w:tab w:val="clear" w:pos="2880"/>
                <w:tab w:val="clear" w:pos="3355"/>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Сексуальная ориентация</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78,6</w:t>
            </w:r>
          </w:p>
        </w:tc>
      </w:tr>
      <w:tr w:rsidR="00000000">
        <w:tblPrEx>
          <w:tblCellMar>
            <w:top w:w="0" w:type="dxa"/>
            <w:bottom w:w="0" w:type="dxa"/>
          </w:tblCellMar>
        </w:tblPrEx>
        <w:tc>
          <w:tcPr>
            <w:tcW w:w="5940" w:type="dxa"/>
          </w:tcPr>
          <w:p w:rsidR="00000000" w:rsidRDefault="00000000">
            <w:pPr>
              <w:pStyle w:val="DualTxt"/>
              <w:tabs>
                <w:tab w:val="clear" w:pos="480"/>
                <w:tab w:val="clear" w:pos="960"/>
                <w:tab w:val="clear" w:pos="1440"/>
                <w:tab w:val="clear" w:pos="1915"/>
                <w:tab w:val="clear" w:pos="2405"/>
                <w:tab w:val="clear" w:pos="2880"/>
                <w:tab w:val="clear" w:pos="3355"/>
                <w:tab w:val="left" w:pos="342"/>
                <w:tab w:val="left" w:pos="70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w:t>
            </w:r>
            <w:r>
              <w:tab/>
              <w:t>Гетеросексуальная (мужчина и женщина)</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53,0</w:t>
            </w:r>
          </w:p>
        </w:tc>
      </w:tr>
      <w:tr w:rsidR="00000000">
        <w:tblPrEx>
          <w:tblCellMar>
            <w:top w:w="0" w:type="dxa"/>
            <w:bottom w:w="0" w:type="dxa"/>
          </w:tblCellMar>
        </w:tblPrEx>
        <w:tc>
          <w:tcPr>
            <w:tcW w:w="5940" w:type="dxa"/>
          </w:tcPr>
          <w:p w:rsidR="00000000" w:rsidRDefault="00000000">
            <w:pPr>
              <w:pStyle w:val="DualTxt"/>
              <w:tabs>
                <w:tab w:val="clear" w:pos="480"/>
                <w:tab w:val="clear" w:pos="960"/>
                <w:tab w:val="clear" w:pos="1440"/>
                <w:tab w:val="clear" w:pos="1915"/>
                <w:tab w:val="clear" w:pos="2405"/>
                <w:tab w:val="clear" w:pos="2880"/>
                <w:tab w:val="clear" w:pos="3355"/>
                <w:tab w:val="left" w:pos="342"/>
                <w:tab w:val="left" w:pos="70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 xml:space="preserve">- </w:t>
            </w:r>
            <w:r>
              <w:tab/>
              <w:t>Гомосексуальная (мужчина и мужчина)</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9,0</w:t>
            </w:r>
          </w:p>
        </w:tc>
      </w:tr>
      <w:tr w:rsidR="00000000">
        <w:tblPrEx>
          <w:tblCellMar>
            <w:top w:w="0" w:type="dxa"/>
            <w:bottom w:w="0" w:type="dxa"/>
          </w:tblCellMar>
        </w:tblPrEx>
        <w:tc>
          <w:tcPr>
            <w:tcW w:w="5940" w:type="dxa"/>
          </w:tcPr>
          <w:p w:rsidR="00000000" w:rsidRDefault="00000000">
            <w:pPr>
              <w:pStyle w:val="DualTxt"/>
              <w:tabs>
                <w:tab w:val="clear" w:pos="480"/>
                <w:tab w:val="clear" w:pos="960"/>
                <w:tab w:val="clear" w:pos="1440"/>
                <w:tab w:val="clear" w:pos="1915"/>
                <w:tab w:val="clear" w:pos="2405"/>
                <w:tab w:val="clear" w:pos="2880"/>
                <w:tab w:val="clear" w:pos="3355"/>
                <w:tab w:val="left" w:pos="342"/>
                <w:tab w:val="left" w:pos="70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 xml:space="preserve">- </w:t>
            </w:r>
            <w:r>
              <w:tab/>
              <w:t>Бисексуальная (гетеросексуальная и гомосекс</w:t>
            </w:r>
            <w:r>
              <w:t>у</w:t>
            </w:r>
            <w:r>
              <w:t>ал</w:t>
            </w:r>
            <w:r>
              <w:t>ь</w:t>
            </w:r>
            <w:r>
              <w:t>ная)</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5,6</w:t>
            </w:r>
          </w:p>
        </w:tc>
      </w:tr>
      <w:tr w:rsidR="00000000">
        <w:tblPrEx>
          <w:tblCellMar>
            <w:top w:w="0" w:type="dxa"/>
            <w:bottom w:w="0" w:type="dxa"/>
          </w:tblCellMar>
        </w:tblPrEx>
        <w:tc>
          <w:tcPr>
            <w:tcW w:w="5940" w:type="dxa"/>
          </w:tcPr>
          <w:p w:rsidR="00000000" w:rsidRDefault="00000000">
            <w:pPr>
              <w:pStyle w:val="DualTxt"/>
              <w:tabs>
                <w:tab w:val="clear" w:pos="480"/>
                <w:tab w:val="clear" w:pos="960"/>
                <w:tab w:val="clear" w:pos="1440"/>
                <w:tab w:val="clear" w:pos="1915"/>
                <w:tab w:val="clear" w:pos="2405"/>
                <w:tab w:val="clear" w:pos="2880"/>
                <w:tab w:val="clear" w:pos="3355"/>
                <w:tab w:val="left" w:pos="342"/>
                <w:tab w:val="left" w:pos="70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0"/>
            </w:pPr>
            <w:r>
              <w:tab/>
              <w:t xml:space="preserve">- </w:t>
            </w:r>
            <w:r>
              <w:rPr>
                <w:lang w:val="en-US"/>
              </w:rPr>
              <w:tab/>
            </w:r>
            <w:r>
              <w:t>Нет данных</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31,3</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Зараженная кровь</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6,4</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Внутривенный прием наркотиков</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5,6</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От матери ребенку</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2,6</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Нет данных</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6,8</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rPr>
            </w:pPr>
            <w:r>
              <w:rPr>
                <w:b/>
              </w:rPr>
              <w:t>Возрастная группа</w:t>
            </w:r>
          </w:p>
        </w:tc>
        <w:tc>
          <w:tcPr>
            <w:tcW w:w="144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31-50 лет</w:t>
            </w:r>
          </w:p>
        </w:tc>
        <w:tc>
          <w:tcPr>
            <w:tcW w:w="144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r>
              <w:rPr>
                <w:sz w:val="17"/>
              </w:rPr>
              <w:t>58,8</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rPr>
            </w:pPr>
            <w:r>
              <w:rPr>
                <w:b/>
              </w:rPr>
              <w:t>Разбивка по полу</w:t>
            </w:r>
          </w:p>
        </w:tc>
        <w:tc>
          <w:tcPr>
            <w:tcW w:w="144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Мужчины</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81,3</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Женщины</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18,2</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Нет данных</w:t>
            </w:r>
          </w:p>
        </w:tc>
        <w:tc>
          <w:tcPr>
            <w:tcW w:w="1440" w:type="dxa"/>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0,5</w:t>
            </w:r>
          </w:p>
        </w:tc>
      </w:tr>
      <w:tr w:rsidR="00000000">
        <w:tblPrEx>
          <w:tblCellMar>
            <w:top w:w="0" w:type="dxa"/>
            <w:bottom w:w="0" w:type="dxa"/>
          </w:tblCellMar>
        </w:tblPrEx>
        <w:tc>
          <w:tcPr>
            <w:tcW w:w="594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rPr>
                <w:b/>
              </w:rPr>
            </w:pPr>
            <w:r>
              <w:rPr>
                <w:b/>
              </w:rPr>
              <w:t>Разбивка по связи с переездами</w:t>
            </w:r>
          </w:p>
        </w:tc>
        <w:tc>
          <w:tcPr>
            <w:tcW w:w="1440" w:type="dxa"/>
          </w:tcPr>
          <w:p w:rsidR="00000000" w:rsidRDefault="00000000">
            <w:pPr>
              <w:tabs>
                <w:tab w:val="left" w:pos="102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right="342"/>
              <w:jc w:val="right"/>
            </w:pPr>
          </w:p>
        </w:tc>
      </w:tr>
      <w:tr w:rsidR="00000000">
        <w:tblPrEx>
          <w:tblCellMar>
            <w:top w:w="0" w:type="dxa"/>
            <w:bottom w:w="0" w:type="dxa"/>
          </w:tblCellMar>
        </w:tblPrEx>
        <w:tc>
          <w:tcPr>
            <w:tcW w:w="5940" w:type="dxa"/>
            <w:tcBorders>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Связаны с переездами</w:t>
            </w:r>
          </w:p>
        </w:tc>
        <w:tc>
          <w:tcPr>
            <w:tcW w:w="1440" w:type="dxa"/>
            <w:tcBorders>
              <w:bottom w:val="nil"/>
            </w:tcBorders>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56,8</w:t>
            </w:r>
          </w:p>
        </w:tc>
      </w:tr>
      <w:tr w:rsidR="00000000">
        <w:tblPrEx>
          <w:tblCellMar>
            <w:top w:w="0" w:type="dxa"/>
            <w:bottom w:w="0" w:type="dxa"/>
          </w:tblCellMar>
        </w:tblPrEx>
        <w:tc>
          <w:tcPr>
            <w:tcW w:w="5940" w:type="dxa"/>
            <w:tcBorders>
              <w:top w:val="nil"/>
              <w:bottom w:val="single" w:sz="12" w:space="0" w:color="auto"/>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pPr>
            <w:r>
              <w:t>Не связаны с переездами</w:t>
            </w:r>
          </w:p>
        </w:tc>
        <w:tc>
          <w:tcPr>
            <w:tcW w:w="1440" w:type="dxa"/>
            <w:tcBorders>
              <w:top w:val="nil"/>
              <w:bottom w:val="single" w:sz="12" w:space="0" w:color="auto"/>
            </w:tcBorders>
            <w:vAlign w:val="bottom"/>
          </w:tcPr>
          <w:p w:rsidR="00000000" w:rsidRDefault="00000000">
            <w:pPr>
              <w:tabs>
                <w:tab w:val="left" w:pos="288"/>
                <w:tab w:val="left" w:pos="576"/>
                <w:tab w:val="left" w:pos="864"/>
                <w:tab w:val="left" w:pos="1022"/>
                <w:tab w:val="left" w:pos="1152"/>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uppressAutoHyphens/>
              <w:ind w:right="342"/>
              <w:jc w:val="right"/>
              <w:rPr>
                <w:sz w:val="17"/>
              </w:rPr>
            </w:pPr>
            <w:r>
              <w:rPr>
                <w:sz w:val="17"/>
              </w:rPr>
              <w:t>43,2</w:t>
            </w:r>
          </w:p>
        </w:tc>
      </w:tr>
    </w:tbl>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i/>
        </w:rPr>
        <w:t xml:space="preserve">Источник: </w:t>
      </w:r>
      <w:r>
        <w:t>Национальная программа борьбы со СПИДом в Ливане, 1 октября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Официальные лица полагают, что реальное количество больных СПИДом выше заявленного. В этой связи представляется жизненно необходимой акт</w:t>
      </w:r>
      <w:r>
        <w:t>и</w:t>
      </w:r>
      <w:r>
        <w:t>визация профилактических мер и, с одной стороны, исправление некоторых ложных представлений о СПИДе, бытующих среди молодежи и, с другой, обеспечение долг</w:t>
      </w:r>
      <w:r>
        <w:t>о</w:t>
      </w:r>
      <w:r>
        <w:t>срочного лечения больных СПИДом.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Одиннадцатого июля 1990 года был принят указ № 150/1, в котором ВИЧ/СПИД объявляется болезнью, подлежащие уведомлению. После этого, по мнению официальных источников, показатели уведомления несколько улучш</w:t>
      </w:r>
      <w:r>
        <w:t>и</w:t>
      </w:r>
      <w:r>
        <w:t>лись.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рамках национальной программы борьбы со СПИДом был разработан промежуточный план действий на период с 1995 по 2000 год, в течение кот</w:t>
      </w:r>
      <w:r>
        <w:t>о</w:t>
      </w:r>
      <w:r>
        <w:t>рого в ряде районов страны проводились информационно-пропагандистские кампании, с помощью университетов и неправительственных организаций ра</w:t>
      </w:r>
      <w:r>
        <w:t>з</w:t>
      </w:r>
      <w:r>
        <w:t>рабатывались вспомогательные учебные пособия и планы. Был также создан план действий на период с 2004 по 2009 год, в котором основное внимание уделяется обеспечению прав больных СПИДом и профилактике, уходу и п</w:t>
      </w:r>
      <w:r>
        <w:t>о</w:t>
      </w:r>
      <w:r>
        <w:t>следующему наблюдению. На 2005 год в программе предусмотрено провед</w:t>
      </w:r>
      <w:r>
        <w:t>е</w:t>
      </w:r>
      <w:r>
        <w:t>ние кампании по защите прав женщин под лозунгом «Я мать, сестра, дочь, труженик и жена… Я имею право на самозащиту и ты должен мне помочь».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Было бы целесообразно отметить выдающуюся роль, которую играют н</w:t>
      </w:r>
      <w:r>
        <w:t>е</w:t>
      </w:r>
      <w:r>
        <w:t>правительственные объединения в выполнении программ и воплощении в жизнь планов. В последнем бюллетене национальной программы борьбы со СПИДом говорится об особо ценном вкладе таких организаций, как Общество охраны здоровья, Ассоциация планирования размера семьи, Молодежь против наркотиков, Сидонское объединение неправительственных организаций и А</w:t>
      </w:r>
      <w:r>
        <w:t>р</w:t>
      </w:r>
      <w:r>
        <w:t>мянский крест помощи.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3.</w:t>
      </w:r>
      <w:r>
        <w:rPr>
          <w:i/>
        </w:rPr>
        <w:tab/>
        <w:t>Национальная программа борьбы с неинфекционными заболевани</w:t>
      </w:r>
      <w:r>
        <w:rPr>
          <w:i/>
        </w:rPr>
        <w:t>я</w:t>
      </w:r>
      <w:r>
        <w:rPr>
          <w:i/>
        </w:rPr>
        <w:t xml:space="preserve">ми: </w:t>
      </w:r>
      <w:r>
        <w:t>Эта программа, осуществление которой было начато в 1997 году мин</w:t>
      </w:r>
      <w:r>
        <w:t>и</w:t>
      </w:r>
      <w:r>
        <w:t>стерством общественного здравоохранения при содействии ВОЗ, нацелена на распространение знаний и информации о хронических заболеваниях, повыш</w:t>
      </w:r>
      <w:r>
        <w:t>е</w:t>
      </w:r>
      <w:r>
        <w:t>ние эффективности профилактических мер и изменение поведения и образа жизни. В рамках этой программы в течение последних лет были организованы национальные информационно-пропагандистские кампании профилактики т</w:t>
      </w:r>
      <w:r>
        <w:t>а</w:t>
      </w:r>
      <w:r>
        <w:t>ких болезней как ожирение, эмболия коронарных артерий, нарушение сверт</w:t>
      </w:r>
      <w:r>
        <w:t>ы</w:t>
      </w:r>
      <w:r>
        <w:t>ваемости крови в мозгу, сердце и артериях, остеопороз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последнее время предпринимаются серьезные усилия в области охраны здоровья женщин: второй год подряд ВОЗ в рамках совместной с министерс</w:t>
      </w:r>
      <w:r>
        <w:t>т</w:t>
      </w:r>
      <w:r>
        <w:t>вом здравоохранения программы организует национальную кампанию по пр</w:t>
      </w:r>
      <w:r>
        <w:t>о</w:t>
      </w:r>
      <w:r>
        <w:t>филактике рака груди и рака шейки матки, которая будет осуществляться в т</w:t>
      </w:r>
      <w:r>
        <w:t>е</w:t>
      </w:r>
      <w:r>
        <w:t>чение всего октября 2003 года. В рамках кампании ведется информационно-пропагандистская и образовательная деятельность, а также предоставляются недорогие услуги по анализу и тестированию и рентгенография груди в клин</w:t>
      </w:r>
      <w:r>
        <w:t>и</w:t>
      </w:r>
      <w:r>
        <w:t>ках по всему Ливану.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Известно, что доля больных раком женщин в стране высока: по данным, приведенным в докладе национального органа по контролю над заболеваем</w:t>
      </w:r>
      <w:r>
        <w:t>о</w:t>
      </w:r>
      <w:r>
        <w:t>стью раком, на 2002 год доля больных раком ливанок составляла 57,4 проце</w:t>
      </w:r>
      <w:r>
        <w:t>н</w:t>
      </w:r>
      <w:r>
        <w:t>та, из них у 49,7 процентов был диагностирован рак груди.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этой области также налажено сотрудничество с различными неправ</w:t>
      </w:r>
      <w:r>
        <w:t>и</w:t>
      </w:r>
      <w:r>
        <w:t>тельс</w:t>
      </w:r>
      <w:r>
        <w:t>т</w:t>
      </w:r>
      <w:r>
        <w:t>венными и научными организациями.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r>
      <w:r>
        <w:rPr>
          <w:i/>
        </w:rPr>
        <w:t>4.</w:t>
      </w:r>
      <w:r>
        <w:rPr>
          <w:i/>
        </w:rPr>
        <w:tab/>
        <w:t xml:space="preserve">Программа предоставления лекарств хроническим больным: </w:t>
      </w:r>
      <w:r>
        <w:t>Эта программа выполняется с 1988 года, находится в компетенции министерства здравоохранения и преследует, совместно с Ассоциацией христианской мол</w:t>
      </w:r>
      <w:r>
        <w:t>о</w:t>
      </w:r>
      <w:r>
        <w:t>дежи, цели обеспечения хронических больных необходимыми лекарствами ч</w:t>
      </w:r>
      <w:r>
        <w:t>е</w:t>
      </w:r>
      <w:r>
        <w:t>рез медицинские учреждения министерств здравоохранения и социальных дел, неправительственных объединений и различные социальные институты. В 2000 году таких центров было 408; в них получали медикаменты 120 539 хр</w:t>
      </w:r>
      <w:r>
        <w:t>о</w:t>
      </w:r>
      <w:r>
        <w:t>нических больных. По данным доклада Ассоциации за первую половину 2004 года, количество центров, обслуживающих 1 026 городов и деревень, выросло до 413, а количество хронических пациентов, на долгосрочной основе пол</w:t>
      </w:r>
      <w:r>
        <w:t>ь</w:t>
      </w:r>
      <w:r>
        <w:t>зующихся их услугами, составило 88 912, из которых 58 процентов – женщ</w:t>
      </w:r>
      <w:r>
        <w:t>и</w:t>
      </w:r>
      <w:r>
        <w:t>ны. Ассоциация христианской молодежи играет важную роль в этой програ</w:t>
      </w:r>
      <w:r>
        <w:t>м</w:t>
      </w:r>
      <w:r>
        <w:t>ме.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VI</w:t>
      </w:r>
      <w:r>
        <w:t>.</w:t>
      </w:r>
      <w:r>
        <w:tab/>
        <w:t>Работники системы здравоохранения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данным статистики, в Ливане наблюдается избыток врачей и нехватка медицинских сестер как мужского, так и женского пола. В 2002 году на ка</w:t>
      </w:r>
      <w:r>
        <w:t>ж</w:t>
      </w:r>
      <w:r>
        <w:t>дые 100 000 жителей страны приходилось 230 зарегистрированных в профсо</w:t>
      </w:r>
      <w:r>
        <w:t>ю</w:t>
      </w:r>
      <w:r>
        <w:t>зе врачей. Из них 70 процентов – специалисты. Распределение медицинского персонала неравномерно: в Бейруте на 100 000 жителей приходится 619</w:t>
      </w:r>
      <w:r>
        <w:rPr>
          <w:lang w:val="en-US"/>
        </w:rPr>
        <w:t> </w:t>
      </w:r>
      <w:r>
        <w:t>докт</w:t>
      </w:r>
      <w:r>
        <w:t>о</w:t>
      </w:r>
      <w:r>
        <w:t>ров, а в Набатии – лишь 98.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Напротив, количество медицинских сестер, зарегистрированных в про</w:t>
      </w:r>
      <w:r>
        <w:t>ф</w:t>
      </w:r>
      <w:r>
        <w:t>союзе, на май 2004 года составляло 4 022. Таким образом, на 1 600 жителей приходится лишь одна медсестра. По этому показателю Ливан находится на одном из последних мест в мире.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Количество дантистов, входящих в один из двух существующих в Ливане профсоюзов стоматологов, составляло в 2001 году 3 730. Тем не менее кол</w:t>
      </w:r>
      <w:r>
        <w:t>и</w:t>
      </w:r>
      <w:r>
        <w:t>чество стоматологов в разных регионах отлично. В 2002 году фармацевтов, входящих в профсоюз, было 3 512, из которых 58 процентов работали в Бейр</w:t>
      </w:r>
      <w:r>
        <w:t>у</w:t>
      </w:r>
      <w:r>
        <w:t>те и Горном Лив</w:t>
      </w:r>
      <w:r>
        <w:t>а</w:t>
      </w:r>
      <w:r>
        <w:t>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Женщины составляют большинство работников системы здравоохран</w:t>
      </w:r>
      <w:r>
        <w:t>е</w:t>
      </w:r>
      <w:r>
        <w:t>ния: в 2001 году женщин-медиков средней квалификации было 70,9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4"/>
          <w:tab w:val="left" w:pos="1742"/>
          <w:tab w:val="left" w:pos="2218"/>
          <w:tab w:val="left" w:pos="2693"/>
          <w:tab w:val="left" w:pos="3182"/>
          <w:tab w:val="left" w:pos="3658"/>
          <w:tab w:val="left" w:pos="4133"/>
          <w:tab w:val="left" w:pos="4622"/>
          <w:tab w:val="left" w:pos="5098"/>
          <w:tab w:val="left" w:pos="5573"/>
          <w:tab w:val="left" w:pos="6048"/>
          <w:tab w:val="left" w:pos="6538"/>
          <w:tab w:val="left" w:pos="7014"/>
          <w:tab w:val="left" w:pos="7490"/>
          <w:tab w:val="left" w:pos="7978"/>
          <w:tab w:val="left" w:pos="8454"/>
        </w:tabs>
        <w:ind w:left="1267" w:right="1260" w:hanging="1267"/>
      </w:pPr>
      <w:r>
        <w:tab/>
      </w:r>
      <w:r>
        <w:rPr>
          <w:lang w:val="en-US"/>
        </w:rPr>
        <w:t>VII</w:t>
      </w:r>
      <w:r>
        <w:t>.</w:t>
      </w:r>
      <w:r>
        <w:tab/>
        <w:t>Трудности и ограничения в обеспечении права женщин на охр</w:t>
      </w:r>
      <w:r>
        <w:t>а</w:t>
      </w:r>
      <w:r>
        <w:t>ну здоровья Географическое положение</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ab/>
      </w:r>
      <w:r>
        <w:t>Несмотря на значительные усилия в области здравоохранения, предпр</w:t>
      </w:r>
      <w:r>
        <w:t>и</w:t>
      </w:r>
      <w:r>
        <w:t>нимаемые правительством при содействии частного сектора и при поддержке международных организаций, укоренившиеся обычаи и традиции, утвержда</w:t>
      </w:r>
      <w:r>
        <w:t>ю</w:t>
      </w:r>
      <w:r>
        <w:t>щие дискриминационное отношение к женщине, мешают обеспечению равн</w:t>
      </w:r>
      <w:r>
        <w:t>о</w:t>
      </w:r>
      <w:r>
        <w:t>правия в области охраны здоровья. В сельской местности нередки смешанные браки, хотя хорошо известно, что они ведут к разнообразным генетическим расстройствам. Аборты запрещены законом, но производятся втайне. Кроме того, как свидетельствуют последние исследования, все больше девушек в</w:t>
      </w:r>
      <w:r>
        <w:t>ы</w:t>
      </w:r>
      <w:r>
        <w:t>нуждены откладывать вступление в брак по причинам социально-экономического характера. Доля одиноких женщин в последние годы также выросла. Все эти факторы негативно влияют на физическое и психологическое здоровье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Наконец, что крайне важно, необходимо расширять охват системы здр</w:t>
      </w:r>
      <w:r>
        <w:t>а</w:t>
      </w:r>
      <w:r>
        <w:t>воохранения с тем чтобы медицинскими услугами могли воспользоваться все ливанцы, кроме того, требуются практические меры, направленные на то, чт</w:t>
      </w:r>
      <w:r>
        <w:t>о</w:t>
      </w:r>
      <w:r>
        <w:t>бы программы и проекты в области охраны здоровья охватывали все слои о</w:t>
      </w:r>
      <w:r>
        <w:t>б</w:t>
      </w:r>
      <w:r>
        <w:t>щества и все регионы. Необходимо также учитывать важность пересмотра и доработки устоявшихся критериев оценки результативности таких проектов и программ.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sz w:val="10"/>
        </w:rPr>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СПРАВОЧНЫЕ МАТЕРИАЛЫ</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 xml:space="preserve">Часть </w:t>
      </w:r>
      <w:r>
        <w:rPr>
          <w:lang w:val="fr-CA"/>
        </w:rPr>
        <w:t>I</w:t>
      </w:r>
    </w:p>
    <w:p w:rsidR="00000000" w:rsidRDefault="00000000">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
        <w:t>Доклады и исследования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en-US"/>
        </w:rPr>
        <w:t>Central Administration for Statistics and the United Nations Children's Fund. The situation of children in Lebanon. Beirut, 2000.</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en-US"/>
        </w:rPr>
        <w:t>Economic and social commission for Western Asia. Households headed by women: an exploratory survey. New York, 2001.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en-US"/>
        </w:rPr>
        <w:t>Educational Centre for Research and Development. Statistical bulletin. Educational Centre Press. Beirut, 2003.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lang w:val="en-US"/>
        </w:rPr>
        <w:t xml:space="preserve">National Employment Office. The liberated border region. </w:t>
      </w:r>
      <w:r>
        <w:t>Beirut, 2003.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Ассоциация планирования семьи. Ежегодный доклад. Бейрут, 2002</w:t>
      </w:r>
      <w:r>
        <w:noBreakHyphen/>
        <w:t>2003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Фонд Организации Объединенных Наций для развития. Доклад о развитии ч</w:t>
      </w:r>
      <w:r>
        <w:t>е</w:t>
      </w:r>
      <w:r>
        <w:t>ловека за 2003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Международная организация труда. Ежегодный доклад. 2003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Всемирная организация здравоохранения. Ежегодный доклад. 2003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внутренних дел. Фамилии победивших кандидатов на выборах в муниципальные советы и на должности мэров в избирательных округах Бейр</w:t>
      </w:r>
      <w:r>
        <w:t>у</w:t>
      </w:r>
      <w:r>
        <w:t>та. 9 мая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Публикации и исследования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Абу Мурад, Амира. Аз-завадж аль-мадани ва машру'ият-у-ху фи силь аль</w:t>
      </w:r>
      <w:r>
        <w:noBreakHyphen/>
        <w:t>вак'и валь</w:t>
      </w:r>
      <w:r>
        <w:noBreakHyphen/>
        <w:t>канун. "Демокраси уотч" (Ливан). 1997</w:t>
      </w:r>
      <w:r>
        <w:noBreakHyphen/>
        <w:t>1999.</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Абу Мурад, Амира. Акд аз-завадж бейна аль</w:t>
      </w:r>
      <w:r>
        <w:noBreakHyphen/>
        <w:t>вак'и валь</w:t>
      </w:r>
      <w:r>
        <w:noBreakHyphen/>
        <w:t>муртаджа. Исследов</w:t>
      </w:r>
      <w:r>
        <w:t>а</w:t>
      </w:r>
      <w:r>
        <w:t>тельский доклад, представленный на третьей конференции по пополярной арабской культуре под заголовком "Аль</w:t>
      </w:r>
      <w:r>
        <w:noBreakHyphen/>
        <w:t>хавийя валь</w:t>
      </w:r>
      <w:r>
        <w:noBreakHyphen/>
        <w:t>мустакбаль". Университет Мансура, Арабская Республика Египет. Апрель 2002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Аль-Асмар, Дунья. Ас-Сихах аль-инджабийя фи любнан. Четвертая наци</w:t>
      </w:r>
      <w:r>
        <w:t>о</w:t>
      </w:r>
      <w:r>
        <w:t>нальная конференция по народ</w:t>
      </w:r>
      <w:r>
        <w:t>о</w:t>
      </w:r>
      <w:r>
        <w:t>населению. Бейрут, 26 и 27 мая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Аль-Мукаддам, Маха Сухэйл. Мукаввимат ат-танмийя аль-иджтима'ия ва тах</w:t>
      </w:r>
      <w:r>
        <w:t>а</w:t>
      </w:r>
      <w:r>
        <w:t>дийят-у-ха: татбикат 'ала ар-риф аль-любнани. Арабский институт по пробл</w:t>
      </w:r>
      <w:r>
        <w:t>е</w:t>
      </w:r>
      <w:r>
        <w:t>мам развития. Бейрут, 1978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Аль-Мукаддам, Маха Сухэйл. Аль-муджтама' аль-карави бейна ат</w:t>
      </w:r>
      <w:r>
        <w:noBreakHyphen/>
        <w:t>таклидия валь-тахдит. Университетский институт исследований и публикаций. Бейрут, 1995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Хатит, Фадия, и Аль-Кадри, Нахванд. Хитаб аль-джама'ият ан-ниса'ийя - тав</w:t>
      </w:r>
      <w:r>
        <w:t>и</w:t>
      </w:r>
      <w:r>
        <w:t>ла му</w:t>
      </w:r>
      <w:r>
        <w:t>с</w:t>
      </w:r>
      <w:r>
        <w:t>тадира. Бахитат. Книга IX. Ассоциация ливанских женщин-исследователей.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Хейр, Антуан. Аль-маджлис ад-дустури ва давр-у-ху филь-ракаба аля дустур</w:t>
      </w:r>
      <w:r>
        <w:t>и</w:t>
      </w:r>
      <w:r>
        <w:t>ят аль-каванин ва даманат ад-димукратия валь-хурият. Ливанские исследов</w:t>
      </w:r>
      <w:r>
        <w:t>а</w:t>
      </w:r>
      <w:r>
        <w:t>ния, посв</w:t>
      </w:r>
      <w:r>
        <w:t>я</w:t>
      </w:r>
      <w:r>
        <w:t>щенные Джозефу Мугейзалу. Бейрут,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Рабат, Адмун. Аль-васит филь-канун ад-дустури аль-любнани. 1970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Шарара Бейдун, Изза. Ниса' ва джама'йят: любнаният бейна инсаф аз</w:t>
      </w:r>
      <w:r>
        <w:noBreakHyphen/>
        <w:t>зат ва хидмат аль-гэйр. Дар ан-Нахар. Бейрут,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Шарара Бейдун, Изза. Аль-кияда ан-ниса'ия валь-ибда': халат аль</w:t>
      </w:r>
      <w:r>
        <w:noBreakHyphen/>
        <w:t>муназамат гэйр аль</w:t>
      </w:r>
      <w:r>
        <w:noBreakHyphen/>
        <w:t>хукумия фи любнан. Аль</w:t>
      </w:r>
      <w:r>
        <w:noBreakHyphen/>
        <w:t>мустакбаль аль</w:t>
      </w:r>
      <w:r>
        <w:noBreakHyphen/>
        <w:t>араби. Центр исследований арабского единства. № 292. Бейрут, июнь 2003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Шарара Бейдун, Изза. Ан-ниса' ва нидаль</w:t>
      </w:r>
      <w:r>
        <w:noBreakHyphen/>
        <w:t>у</w:t>
      </w:r>
      <w:r>
        <w:noBreakHyphen/>
        <w:t>хунна: бейна ар</w:t>
      </w:r>
      <w:r>
        <w:noBreakHyphen/>
        <w:t>риба туджа аль</w:t>
      </w:r>
      <w:r>
        <w:noBreakHyphen/>
        <w:t>гарб ва табани намазидж</w:t>
      </w:r>
      <w:r>
        <w:noBreakHyphen/>
        <w:t>и</w:t>
      </w:r>
      <w:r>
        <w:noBreakHyphen/>
        <w:t>хи. Навафиз. Бейрут, 27 декабря 2003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Шарара Бейдун, Изза. Аль</w:t>
      </w:r>
      <w:r>
        <w:noBreakHyphen/>
        <w:t>мар'а фи маракиз ас</w:t>
      </w:r>
      <w:r>
        <w:noBreakHyphen/>
        <w:t>султа ва маваки' итихат аль</w:t>
      </w:r>
      <w:r>
        <w:noBreakHyphen/>
        <w:t>кирар: шурут ва мавани'. Хивар аль</w:t>
      </w:r>
      <w:r>
        <w:noBreakHyphen/>
        <w:t>'араб (в стадии публикации), Бейрут, 2003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Тарабулси, Ибрахим. Низам ихтияри лиль</w:t>
      </w:r>
      <w:r>
        <w:noBreakHyphen/>
        <w:t>ахваль аш</w:t>
      </w:r>
      <w:r>
        <w:noBreakHyphen/>
        <w:t>шахсия. "Демокраси уотч" (Ливан). Бейрут, 1997</w:t>
      </w:r>
      <w:r>
        <w:noBreakHyphen/>
        <w:t>1999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Азури Джумхури, Лейла. Аль-итификият аль-мубрама ва мукаранат</w:t>
      </w:r>
      <w:r>
        <w:noBreakHyphen/>
        <w:t>у</w:t>
      </w:r>
      <w:r>
        <w:noBreakHyphen/>
        <w:t>ха ма'а аль</w:t>
      </w:r>
      <w:r>
        <w:noBreakHyphen/>
        <w:t>канун аль</w:t>
      </w:r>
      <w:r>
        <w:noBreakHyphen/>
        <w:t>любнани. Семинар по международным трудовым стандартам. Бейрут, 6</w:t>
      </w:r>
      <w:r>
        <w:noBreakHyphen/>
        <w:t>8 декабря 1999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Абдулла, Сами. Аль-джинсия аль-любнания: мугтарибун ва гураба'. Аль</w:t>
      </w:r>
      <w:r>
        <w:noBreakHyphen/>
        <w:t>хайя аль</w:t>
      </w:r>
      <w:r>
        <w:noBreakHyphen/>
        <w:t>ниябия. Том 50. Бейрут, март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Каббани, Халид. Аль-када' ад-дустури, ат</w:t>
      </w:r>
      <w:r>
        <w:noBreakHyphen/>
        <w:t>таджриба аль</w:t>
      </w:r>
      <w:r>
        <w:noBreakHyphen/>
        <w:t>джаза'ирия ват</w:t>
      </w:r>
      <w:r>
        <w:noBreakHyphen/>
        <w:t>таджриба аль</w:t>
      </w:r>
      <w:r>
        <w:noBreakHyphen/>
        <w:t>любнания филь</w:t>
      </w:r>
      <w:r>
        <w:noBreakHyphen/>
        <w:t>ракаба 'ала дустурият аль</w:t>
      </w:r>
      <w:r>
        <w:noBreakHyphen/>
        <w:t>каванин: дираса мукарана. Аль</w:t>
      </w:r>
      <w:r>
        <w:noBreakHyphen/>
        <w:t>хейя ан</w:t>
      </w:r>
      <w:r>
        <w:noBreakHyphen/>
        <w:t>ниябия. Том 48, Бейрут, сентябрь 2003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Мугейзал, Лаура. Хукук ан-ниса'. Исследования, посвященные Джозефу М</w:t>
      </w:r>
      <w:r>
        <w:t>у</w:t>
      </w:r>
      <w:r>
        <w:t>гейзалу, Бейрут,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Марсад аль-джама'ият аль-ахлия фи любнан. Маджму'ат аль</w:t>
      </w:r>
      <w:r>
        <w:noBreakHyphen/>
        <w:t>абхаз ва тадриб лиль</w:t>
      </w:r>
      <w:r>
        <w:noBreakHyphen/>
        <w:t>'амаль ват</w:t>
      </w:r>
      <w:r>
        <w:noBreakHyphen/>
        <w:t>танмия. № 22. 1 октября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Науфаль, Хала. Ат-такрир аль-ватани хауля инджазат любнан хиталь ас</w:t>
      </w:r>
      <w:r>
        <w:noBreakHyphen/>
        <w:t>санават аль</w:t>
      </w:r>
      <w:r>
        <w:noBreakHyphen/>
        <w:t>'ашр аль</w:t>
      </w:r>
      <w:r>
        <w:noBreakHyphen/>
        <w:t>мадия. Министерство социальных дел.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Различные материалы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Аль-када' аль-идари фи любнан. 1997</w:t>
      </w:r>
      <w:r>
        <w:noBreakHyphen/>
        <w:t>2003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 xml:space="preserve">Конституционный совет Ливана. </w:t>
      </w:r>
      <w:r>
        <w:rPr>
          <w:lang w:val="fr-CA"/>
        </w:rPr>
        <w:t>www</w:t>
      </w:r>
      <w:r>
        <w:t>.</w:t>
      </w:r>
      <w:r>
        <w:rPr>
          <w:lang w:val="fr-CA"/>
        </w:rPr>
        <w:t>conseil</w:t>
      </w:r>
      <w:r>
        <w:t>-</w:t>
      </w:r>
      <w:r>
        <w:rPr>
          <w:lang w:val="fr-CA"/>
        </w:rPr>
        <w:t>constitutionnel</w:t>
      </w:r>
      <w:r>
        <w:t>.gov.lb</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Часть II</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Глава 1: Равенство перед законом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en-US"/>
        </w:rPr>
        <w:t>The Official Gazette.</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Сборник ливанских законов.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Секретариат Ливанского комитета по вопросам управления и правосудия.</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Глава 2: Гендерные стереотипы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социальных дел и Высокий совет по вопросам детства. Третий национальный доклад о пол</w:t>
      </w:r>
      <w:r>
        <w:t>о</w:t>
      </w:r>
      <w:r>
        <w:t>жении детей. 1998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социальных дел. Социальный бюллетень. № 12. Октябрь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Аль-Амин, Аднан. Ат-танши'а аль-иджтима'ия ва таквин ат</w:t>
      </w:r>
      <w:r>
        <w:noBreakHyphen/>
        <w:t>тиба'. Арабский кул</w:t>
      </w:r>
      <w:r>
        <w:t>ь</w:t>
      </w:r>
      <w:r>
        <w:t>турный центр.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u w:val="single"/>
        </w:rPr>
      </w:pPr>
      <w:r>
        <w:t>Аз-За'им, Хала. Аль-ваджх аль-ахир лиль-мар'а. Исследование на странице, п</w:t>
      </w:r>
      <w:r>
        <w:t>о</w:t>
      </w:r>
      <w:r>
        <w:t>священной женщинам, в ливанской газете "Аль</w:t>
      </w:r>
      <w:r>
        <w:noBreakHyphen/>
        <w:t>мустакбиль". Бахитат. Книга </w:t>
      </w:r>
      <w:r>
        <w:rPr>
          <w:lang w:val="fr-CA"/>
        </w:rPr>
        <w:t>IX</w:t>
      </w:r>
      <w:r>
        <w:t>. Ассоциация ливанских женщин-исследователей. Бе</w:t>
      </w:r>
      <w:r>
        <w:t>й</w:t>
      </w:r>
      <w:r>
        <w:t>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Аль-Кадри, Нахванд, и Харб, Су'ад. Аль</w:t>
      </w:r>
      <w:r>
        <w:noBreakHyphen/>
        <w:t>и'ламия валь</w:t>
      </w:r>
      <w:r>
        <w:noBreakHyphen/>
        <w:t>и'ламиюн: бахз филь</w:t>
      </w:r>
      <w:r>
        <w:noBreakHyphen/>
        <w:t>адвар валь</w:t>
      </w:r>
      <w:r>
        <w:noBreakHyphen/>
        <w:t>маваки'. Арабский культурный центр и Ассоциация ливанских женщин-исследователей.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Халиль, Гассан, и Абду, Валид. Хукук аль</w:t>
      </w:r>
      <w:r>
        <w:noBreakHyphen/>
        <w:t>мар'а филь</w:t>
      </w:r>
      <w:r>
        <w:noBreakHyphen/>
        <w:t>итифакият ад</w:t>
      </w:r>
      <w:r>
        <w:noBreakHyphen/>
        <w:t>давлия ваз</w:t>
      </w:r>
      <w:r>
        <w:noBreakHyphen/>
        <w:t>закафат аш</w:t>
      </w:r>
      <w:r>
        <w:noBreakHyphen/>
        <w:t>ша'абия. Бейрут,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Шарара Бейдун, Иззат. Ниса' ва дама'ият: бейна инсаф аз</w:t>
      </w:r>
      <w:r>
        <w:noBreakHyphen/>
        <w:t>зат ва хидмат аль</w:t>
      </w:r>
      <w:r>
        <w:noBreakHyphen/>
        <w:t>гэйр. Дар ан</w:t>
      </w:r>
      <w:r>
        <w:noBreakHyphen/>
        <w:t>Нахар. Бейрут,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Шарара Бейдун, Иззат. Аль</w:t>
      </w:r>
      <w:r>
        <w:noBreakHyphen/>
        <w:t>мусава вахд</w:t>
      </w:r>
      <w:r>
        <w:noBreakHyphen/>
        <w:t>у</w:t>
      </w:r>
      <w:r>
        <w:noBreakHyphen/>
        <w:t>ха ла такфи. Абваб. № 23. Бейрут, зима 2000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t>Ни'мах, Раджа'. Кутуб аль-кира' аль-'арабия валь-джиндар. Симпозиум, посв</w:t>
      </w:r>
      <w:r>
        <w:t>я</w:t>
      </w:r>
      <w:r>
        <w:t>щенный анализу изображения женщин в учебниках для первого этапа базового образования. Консультативный комитет по вопросам изображения женщин в учебных пл</w:t>
      </w:r>
      <w:r>
        <w:t>а</w:t>
      </w:r>
      <w:r>
        <w:t>нах и школьных учебниках. Бейрут</w:t>
      </w:r>
      <w:r>
        <w:rPr>
          <w:lang w:val="en-US"/>
        </w:rPr>
        <w:t>, 2001 </w:t>
      </w:r>
      <w:r>
        <w:t>год</w:t>
      </w:r>
      <w:r>
        <w:rPr>
          <w:lang w:val="en-US"/>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lang w:val="en-US"/>
        </w:rPr>
        <w:t xml:space="preserve">El-Khoury, Doris Wanis. </w:t>
      </w:r>
      <w:r>
        <w:rPr>
          <w:lang w:val="fr-CA"/>
        </w:rPr>
        <w:t>La mixité des écoles secondaires et son effet sur la vie scolaire et les préférences disciplinaires et universitaires des élèves au Liban. M</w:t>
      </w:r>
      <w:r>
        <w:rPr>
          <w:lang w:val="fr-CA"/>
        </w:rPr>
        <w:t>é</w:t>
      </w:r>
      <w:r>
        <w:rPr>
          <w:lang w:val="fr-CA"/>
        </w:rPr>
        <w:t xml:space="preserve">moire de DES en Pédagogie. </w:t>
      </w:r>
      <w:r>
        <w:rPr>
          <w:lang w:val="en-US"/>
        </w:rPr>
        <w:t xml:space="preserve">Faculty of Education, Lebanese University. </w:t>
      </w:r>
      <w:r>
        <w:t>Beirut, 2004.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Глава 3: Пресечение всех видов торговли женщинами и эксплуатации проституции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Статистические данные Федерации по защите несовершеннолетних в Ливане.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Секретариат Ливанского комитета по вопросам управления и правосудия.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Секретариат Ливанского комитета по вопросам женщин и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Рабах, Гассан. Хукук аль-хадат аль</w:t>
      </w:r>
      <w:r>
        <w:noBreakHyphen/>
        <w:t>махалиф лиль</w:t>
      </w:r>
      <w:r>
        <w:noBreakHyphen/>
        <w:t>канун ав аль</w:t>
      </w:r>
      <w:r>
        <w:noBreakHyphen/>
        <w:t>му'аррад ли</w:t>
      </w:r>
      <w:r>
        <w:noBreakHyphen/>
        <w:t>хатар аль</w:t>
      </w:r>
      <w:r>
        <w:noBreakHyphen/>
        <w:t>инхираф. Сравнительное исследование в свете Конвенции Орг</w:t>
      </w:r>
      <w:r>
        <w:t>а</w:t>
      </w:r>
      <w:r>
        <w:t>низации Объед</w:t>
      </w:r>
      <w:r>
        <w:t>и</w:t>
      </w:r>
      <w:r>
        <w:t>ненных Наций о правах ребенка.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b/>
        </w:rPr>
        <w:t>Глава 4: Женщины и участие в политической жизни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Ливанский совет женщин и Европейский союз. Аль</w:t>
      </w:r>
      <w:r>
        <w:noBreakHyphen/>
        <w:t>мар'а аль</w:t>
      </w:r>
      <w:r>
        <w:noBreakHyphen/>
        <w:t>любнания валь</w:t>
      </w:r>
      <w:r>
        <w:noBreakHyphen/>
        <w:t>ильтизам ас</w:t>
      </w:r>
      <w:r>
        <w:noBreakHyphen/>
        <w:t>сияси: ваки' ва таталу'ат. Бейрут,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Хильв, Маргарет. Аль-мар'а вас-сияса фи любнан филь</w:t>
      </w:r>
      <w:r>
        <w:noBreakHyphen/>
        <w:t>интихабат ан</w:t>
      </w:r>
      <w:r>
        <w:noBreakHyphen/>
        <w:t>ниябия 1996 ва азмат ад</w:t>
      </w:r>
      <w:r>
        <w:noBreakHyphen/>
        <w:t>димукратия фи любнан. Центр ливанских исследований. Бе</w:t>
      </w:r>
      <w:r>
        <w:t>й</w:t>
      </w:r>
      <w:r>
        <w:t>рут, 1998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Хильв, Маргарет. Ан-нухба ан</w:t>
      </w:r>
      <w:r>
        <w:noBreakHyphen/>
        <w:t>ниса'ия филь</w:t>
      </w:r>
      <w:r>
        <w:noBreakHyphen/>
        <w:t>барламан аль</w:t>
      </w:r>
      <w:r>
        <w:noBreakHyphen/>
        <w:t>любнани: аль</w:t>
      </w:r>
      <w:r>
        <w:noBreakHyphen/>
        <w:t>мурашшахат валь</w:t>
      </w:r>
      <w:r>
        <w:noBreakHyphen/>
        <w:t>фа'изат. Бахитат. Книга </w:t>
      </w:r>
      <w:r>
        <w:rPr>
          <w:lang w:val="fr-CA"/>
        </w:rPr>
        <w:t>IV</w:t>
      </w:r>
      <w:r>
        <w:t>. Бейрут,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Хильв, Маргарет. Аль</w:t>
      </w:r>
      <w:r>
        <w:noBreakHyphen/>
        <w:t>мар'а филь-интихабат аль</w:t>
      </w:r>
      <w:r>
        <w:noBreakHyphen/>
        <w:t>махалия, филь</w:t>
      </w:r>
      <w:r>
        <w:noBreakHyphen/>
        <w:t>интихабат аль</w:t>
      </w:r>
      <w:r>
        <w:noBreakHyphen/>
        <w:t>баладия фи любнан 1998: махад ад</w:t>
      </w:r>
      <w:r>
        <w:noBreakHyphen/>
        <w:t>димукратия фи бани аль</w:t>
      </w:r>
      <w:r>
        <w:noBreakHyphen/>
        <w:t>муджтама'ат аль</w:t>
      </w:r>
      <w:r>
        <w:noBreakHyphen/>
        <w:t>махалия. Центр ливанских исследований. Бейрут,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Хильв, Маргарет. Аль</w:t>
      </w:r>
      <w:r>
        <w:noBreakHyphen/>
        <w:t>мар'а ва интихабат 2000: такрис ли</w:t>
      </w:r>
      <w:r>
        <w:noBreakHyphen/>
        <w:t>таклид ам му'ашшир тагир, филь</w:t>
      </w:r>
      <w:r>
        <w:noBreakHyphen/>
        <w:t>интихабат ан</w:t>
      </w:r>
      <w:r>
        <w:noBreakHyphen/>
        <w:t>ниябия 2000 бейна ат</w:t>
      </w:r>
      <w:r>
        <w:noBreakHyphen/>
        <w:t>тагир ват</w:t>
      </w:r>
      <w:r>
        <w:noBreakHyphen/>
        <w:t>таклид. Центр л</w:t>
      </w:r>
      <w:r>
        <w:t>и</w:t>
      </w:r>
      <w:r>
        <w:t>ванских и</w:t>
      </w:r>
      <w:r>
        <w:t>с</w:t>
      </w:r>
      <w:r>
        <w:t>следований. Бейрут, 2001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Глава 5: Формальное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образования и Учебный центр исследований и развития. Стат</w:t>
      </w:r>
      <w:r>
        <w:t>и</w:t>
      </w:r>
      <w:r>
        <w:t>стич</w:t>
      </w:r>
      <w:r>
        <w:t>е</w:t>
      </w:r>
      <w:r>
        <w:t>ский бюллетень за 2002/03 учебный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lang w:val="en-US"/>
        </w:rPr>
        <w:t>Ministry of Education and Higher Education. National Action Plan for Education for All in Lebanon (2003</w:t>
      </w:r>
      <w:r>
        <w:rPr>
          <w:lang w:val="en-US"/>
        </w:rPr>
        <w:noBreakHyphen/>
        <w:t xml:space="preserve">2015). </w:t>
      </w:r>
      <w:r>
        <w:t>Beirut, 2003.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Аль-Амин, Аднан, и Аль</w:t>
      </w:r>
      <w:r>
        <w:noBreakHyphen/>
        <w:t>Хашим Тарбих, Табриз. Ат</w:t>
      </w:r>
      <w:r>
        <w:noBreakHyphen/>
        <w:t>тулаб валь</w:t>
      </w:r>
      <w:r>
        <w:noBreakHyphen/>
        <w:t>мутахарриджун фит</w:t>
      </w:r>
      <w:r>
        <w:noBreakHyphen/>
        <w:t>та'лим аль</w:t>
      </w:r>
      <w:r>
        <w:noBreakHyphen/>
        <w:t>'али фи любнан. Ливанская организация педагогических исследов</w:t>
      </w:r>
      <w:r>
        <w:t>а</w:t>
      </w:r>
      <w:r>
        <w:t>ний. Бейрут,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Айюб, Фаузи. Аль-халька аль</w:t>
      </w:r>
      <w:r>
        <w:noBreakHyphen/>
        <w:t>уля аль</w:t>
      </w:r>
      <w:r>
        <w:noBreakHyphen/>
        <w:t>асасийя фит</w:t>
      </w:r>
      <w:r>
        <w:noBreakHyphen/>
        <w:t>талим аль</w:t>
      </w:r>
      <w:r>
        <w:noBreakHyphen/>
        <w:t>'ам фи любнан. Бах</w:t>
      </w:r>
      <w:r>
        <w:t>и</w:t>
      </w:r>
      <w:r>
        <w:t>тат. Книга </w:t>
      </w:r>
      <w:r>
        <w:rPr>
          <w:lang w:val="fr-CA"/>
        </w:rPr>
        <w:t>IX</w:t>
      </w:r>
      <w:r>
        <w:t>.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Баюми, Наха. Аль</w:t>
      </w:r>
      <w:r>
        <w:noBreakHyphen/>
        <w:t>устатат аль</w:t>
      </w:r>
      <w:r>
        <w:noBreakHyphen/>
        <w:t>джами'ият фи кулият аль</w:t>
      </w:r>
      <w:r>
        <w:noBreakHyphen/>
        <w:t>адаб ва даур</w:t>
      </w:r>
      <w:r>
        <w:noBreakHyphen/>
        <w:t>у</w:t>
      </w:r>
      <w:r>
        <w:noBreakHyphen/>
        <w:t>хунна ат</w:t>
      </w:r>
      <w:r>
        <w:noBreakHyphen/>
        <w:t>такафи. Бахитат. Ливанская ассоциация женщин-исследователей. Бейрут, 2000</w:t>
      </w:r>
      <w:r>
        <w:noBreakHyphen/>
        <w:t>2001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Хатит, Фадия. Ад</w:t>
      </w:r>
      <w:r>
        <w:noBreakHyphen/>
        <w:t>дирасат ан</w:t>
      </w:r>
      <w:r>
        <w:noBreakHyphen/>
        <w:t>ниса'ия ван</w:t>
      </w:r>
      <w:r>
        <w:noBreakHyphen/>
        <w:t>нав' аль</w:t>
      </w:r>
      <w:r>
        <w:noBreakHyphen/>
        <w:t>иджтима'и фис</w:t>
      </w:r>
      <w:r>
        <w:noBreakHyphen/>
        <w:t>сияса аль</w:t>
      </w:r>
      <w:r>
        <w:noBreakHyphen/>
        <w:t>акадимия лиль</w:t>
      </w:r>
      <w:r>
        <w:noBreakHyphen/>
        <w:t>джами'а аль</w:t>
      </w:r>
      <w:r>
        <w:noBreakHyphen/>
        <w:t>любнания. Семинар по вопросам включения исследований, посвященных положению женщин, и гендерной концепции в учебную п</w:t>
      </w:r>
      <w:r>
        <w:t>о</w:t>
      </w:r>
      <w:r>
        <w:t>литику Ливанского университета.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Хатит, Фадия. Сурат аль</w:t>
      </w:r>
      <w:r>
        <w:noBreakHyphen/>
        <w:t>мар'а филь</w:t>
      </w:r>
      <w:r>
        <w:noBreakHyphen/>
        <w:t>кутуб аль</w:t>
      </w:r>
      <w:r>
        <w:noBreakHyphen/>
        <w:t>мадрасия аль</w:t>
      </w:r>
      <w:r>
        <w:noBreakHyphen/>
        <w:t>джадида. Семинар по новым школьным планам и учебникам. Центр исследований и разработок. Бейрут, 1999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Глава 6: Занятость и экономика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планирования. Исследования, посвященные рабочей силе. 1970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Центральное статистическое управление. Аль</w:t>
      </w:r>
      <w:r>
        <w:noBreakHyphen/>
        <w:t>ахваль аль</w:t>
      </w:r>
      <w:r>
        <w:noBreakHyphen/>
        <w:t>ма'ишия фи любнан лиль</w:t>
      </w:r>
      <w:r>
        <w:noBreakHyphen/>
        <w:t xml:space="preserve">'ам 1997.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промышленности. Промышленная статистика. Бейрут, 1998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промышленности и Продовольственная и сельскохозяйственная организация Объединенных Наций. Сельскохозяйственная статистика в Ливане в 1998 году. Бейрут, 2000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Программа развития Организации Объединенных Наций. Доклад о развитии челов</w:t>
      </w:r>
      <w:r>
        <w:t>е</w:t>
      </w:r>
      <w:r>
        <w:t xml:space="preserve">ка за 2001 год.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социальных дел и Фонд Организации Объединенных Наций для развития в интересах женщин. Гендреные показатели для программ, пред</w:t>
      </w:r>
      <w:r>
        <w:t>у</w:t>
      </w:r>
      <w:r>
        <w:t>сматрива</w:t>
      </w:r>
      <w:r>
        <w:t>ю</w:t>
      </w:r>
      <w:r>
        <w:t>щих осуществление мелких проектов в Ливане. Бейрут,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Экономический и Социальный Совет. Дирасат ваки' аль</w:t>
      </w:r>
      <w:r>
        <w:noBreakHyphen/>
        <w:t>му'ассасат ас</w:t>
      </w:r>
      <w:r>
        <w:noBreakHyphen/>
        <w:t>сагира валь</w:t>
      </w:r>
      <w:r>
        <w:noBreakHyphen/>
        <w:t>мутавассита. Бейрут,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Ассоциация банков Ливана. Ежегодный доклад. 2002</w:t>
      </w:r>
      <w:r>
        <w:noBreakHyphen/>
        <w:t>2003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Статистический бюллетень.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t>Каспарян, Чоиг. Ад</w:t>
      </w:r>
      <w:r>
        <w:noBreakHyphen/>
        <w:t>дираса аль</w:t>
      </w:r>
      <w:r>
        <w:noBreakHyphen/>
        <w:t>ватания хауля инфак аль</w:t>
      </w:r>
      <w:r>
        <w:noBreakHyphen/>
        <w:t>усар ва истихлак аль</w:t>
      </w:r>
      <w:r>
        <w:noBreakHyphen/>
        <w:t>хидамат ас</w:t>
      </w:r>
      <w:r>
        <w:noBreakHyphen/>
        <w:t>сихия. Центральное статистическое управление. Всемирная о</w:t>
      </w:r>
      <w:r>
        <w:t>р</w:t>
      </w:r>
      <w:r>
        <w:t>ган</w:t>
      </w:r>
      <w:r>
        <w:t>и</w:t>
      </w:r>
      <w:r>
        <w:t>зация здравоохранения и Всемирный Банк. Бейрут</w:t>
      </w:r>
      <w:r>
        <w:rPr>
          <w:lang w:val="en-US"/>
        </w:rPr>
        <w:t>, 1999 </w:t>
      </w:r>
      <w:r>
        <w:t>год</w:t>
      </w:r>
      <w:r>
        <w:rPr>
          <w:lang w:val="en-US"/>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lang w:val="en-US"/>
        </w:rPr>
        <w:t xml:space="preserve">Kasparian, Chohig. </w:t>
      </w:r>
      <w:r>
        <w:rPr>
          <w:lang w:val="fr-CA"/>
        </w:rPr>
        <w:t>L'entrée des jeunes libanais dans la vie active et l'émigration. Public</w:t>
      </w:r>
      <w:r>
        <w:rPr>
          <w:lang w:val="fr-CA"/>
        </w:rPr>
        <w:t>a</w:t>
      </w:r>
      <w:r>
        <w:rPr>
          <w:lang w:val="fr-CA"/>
        </w:rPr>
        <w:t>tions de l'Université de Saint Joseph. Beirut</w:t>
      </w:r>
      <w:r>
        <w:t>, 2001.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rPr>
          <w:b/>
        </w:rPr>
        <w:t>Глава 7: Равенство в вопросах охраны здоровья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совместно с Програ</w:t>
      </w:r>
      <w:r>
        <w:t>м</w:t>
      </w:r>
      <w:r>
        <w:t>мой развития Организации Объединенных Наций. Аль</w:t>
      </w:r>
      <w:r>
        <w:noBreakHyphen/>
        <w:t>вад' аль</w:t>
      </w:r>
      <w:r>
        <w:noBreakHyphen/>
        <w:t>иджтима'и валь</w:t>
      </w:r>
      <w:r>
        <w:noBreakHyphen/>
        <w:t>иктисади фи любнан, ваки' ва афак.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Аль</w:t>
      </w:r>
      <w:r>
        <w:noBreakHyphen/>
        <w:t>кадая ас</w:t>
      </w:r>
      <w:r>
        <w:noBreakHyphen/>
        <w:t>сукания фи любнан ба'д мурур 'ашар санават 'ала 'ин'икад аль</w:t>
      </w:r>
      <w:r>
        <w:noBreakHyphen/>
        <w:t>му'тамар ад</w:t>
      </w:r>
      <w:r>
        <w:noBreakHyphen/>
        <w:t>даули лис</w:t>
      </w:r>
      <w:r>
        <w:noBreakHyphen/>
        <w:t>суккан ват</w:t>
      </w:r>
      <w:r>
        <w:noBreakHyphen/>
        <w:t>танмия - аль</w:t>
      </w:r>
      <w:r>
        <w:noBreakHyphen/>
        <w:t>инджазат ват</w:t>
      </w:r>
      <w:r>
        <w:noBreakHyphen/>
        <w:t>тахаддият. Хала Науфаль. Бейрут,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Пастор Лурис Адиб. Ас-сияса аль</w:t>
      </w:r>
      <w:r>
        <w:noBreakHyphen/>
        <w:t>иджтима'ия фи любнан - атруха ли</w:t>
      </w:r>
      <w:r>
        <w:noBreakHyphen/>
        <w:t>нейл ш</w:t>
      </w:r>
      <w:r>
        <w:t>и</w:t>
      </w:r>
      <w:r>
        <w:t>хадат дуктура 'улюм иджт</w:t>
      </w:r>
      <w:r>
        <w:t>и</w:t>
      </w:r>
      <w:r>
        <w:t>ма'ия. Ливанский университет. Бейрут,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Ад-дираса аль</w:t>
      </w:r>
      <w:r>
        <w:noBreakHyphen/>
        <w:t>ватания хауля инфак аль</w:t>
      </w:r>
      <w:r>
        <w:noBreakHyphen/>
        <w:t>усар ва иштихлак аль</w:t>
      </w:r>
      <w:r>
        <w:noBreakHyphen/>
        <w:t>хидамат ас</w:t>
      </w:r>
      <w:r>
        <w:noBreakHyphen/>
        <w:t>сихия. Центральное статистическое управление, Всемирная организация здравоохранения и Всемирный Банк. Там же, Каспарян, Чоиг. Том 2. Октябрь 2001 года. Бейрут, Ливан.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Фонд Организации Объединенных Наций в области народонаселения. Спр</w:t>
      </w:r>
      <w:r>
        <w:t>а</w:t>
      </w:r>
      <w:r>
        <w:t>вочное руководство для рабо</w:t>
      </w:r>
      <w:r>
        <w:t>т</w:t>
      </w:r>
      <w:r>
        <w:t>ников здравоохранения. 2001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Арбид, Бахидж. Ас</w:t>
      </w:r>
      <w:r>
        <w:noBreakHyphen/>
        <w:t>сиха ваки' ва хулул нахв таршид аль</w:t>
      </w:r>
      <w:r>
        <w:noBreakHyphen/>
        <w:t>инфак ас</w:t>
      </w:r>
      <w:r>
        <w:noBreakHyphen/>
        <w:t>сихи. Дар аль</w:t>
      </w:r>
      <w:r>
        <w:noBreakHyphen/>
        <w:t>Фикр аль</w:t>
      </w:r>
      <w:r>
        <w:noBreakHyphen/>
        <w:t>'Араби. Бейрут, 2000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совместно с Детским фондом Организации Объединенных Наций. Национальное перинатальное и</w:t>
      </w:r>
      <w:r>
        <w:t>с</w:t>
      </w:r>
      <w:r>
        <w:t>следование, 1990</w:t>
      </w:r>
      <w:r>
        <w:noBreakHyphen/>
        <w:t xml:space="preserve">2000 годы.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Мугейзал, Лаура. Хукук аль</w:t>
      </w:r>
      <w:r>
        <w:noBreakHyphen/>
        <w:t>мар'а фи любнан фи дау' итифакият аль</w:t>
      </w:r>
      <w:r>
        <w:noBreakHyphen/>
        <w:t>када' 'ала джами' ашкаль ат</w:t>
      </w:r>
      <w:r>
        <w:noBreakHyphen/>
        <w:t>тамыиз дида аль</w:t>
      </w:r>
      <w:r>
        <w:noBreakHyphen/>
        <w:t>мар'а. Национальный комитет по делам женщин. И</w:t>
      </w:r>
      <w:r>
        <w:t>н</w:t>
      </w:r>
      <w:r>
        <w:t>ститут Джозефа Мугейзала. Второе издание. 2000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совместно с Фондом Организации Объединенных Наций для развития. Харитат ахваль аль</w:t>
      </w:r>
      <w:r>
        <w:noBreakHyphen/>
        <w:t>ма'ишах фи любнан. 1998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здравоохранения. Аль</w:t>
      </w:r>
      <w:r>
        <w:noBreakHyphen/>
        <w:t>барнамидж аль</w:t>
      </w:r>
      <w:r>
        <w:noBreakHyphen/>
        <w:t>ватани ли</w:t>
      </w:r>
      <w:r>
        <w:noBreakHyphen/>
        <w:t>мукафахат ас</w:t>
      </w:r>
      <w:r>
        <w:noBreakHyphen/>
        <w:t>сида фи любнан, маш такыими шамиль 'ан аль</w:t>
      </w:r>
      <w:r>
        <w:noBreakHyphen/>
        <w:t>ма'рифа, аль</w:t>
      </w:r>
      <w:r>
        <w:noBreakHyphen/>
        <w:t>мавакиф, аль</w:t>
      </w:r>
      <w:r>
        <w:noBreakHyphen/>
        <w:t>му'такидат валь</w:t>
      </w:r>
      <w:r>
        <w:noBreakHyphen/>
        <w:t>мумарасат аль</w:t>
      </w:r>
      <w:r>
        <w:noBreakHyphen/>
        <w:t>мута'алика бис</w:t>
      </w:r>
      <w:r>
        <w:noBreakHyphen/>
        <w:t>сида.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Мугейзал, Лаура. Нахну муватинум - и'раф хукук</w:t>
      </w:r>
      <w:r>
        <w:noBreakHyphen/>
        <w:t>ак. Ливанская ассоциация по пр</w:t>
      </w:r>
      <w:r>
        <w:t>а</w:t>
      </w:r>
      <w:r>
        <w:t>вам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Абу Хабиб, Лина. Аль</w:t>
      </w:r>
      <w:r>
        <w:noBreakHyphen/>
        <w:t>джиндар валь</w:t>
      </w:r>
      <w:r>
        <w:noBreakHyphen/>
        <w:t>и'ака - туджариб ан</w:t>
      </w:r>
      <w:r>
        <w:noBreakHyphen/>
        <w:t>ниса' фиш</w:t>
      </w:r>
      <w:r>
        <w:noBreakHyphen/>
        <w:t>шарк аль</w:t>
      </w:r>
      <w:r>
        <w:noBreakHyphen/>
        <w:t>аусат. Национальная ассоциация по правам инвалидов - ОКСФАМ, Соед</w:t>
      </w:r>
      <w:r>
        <w:t>и</w:t>
      </w:r>
      <w:r>
        <w:t>ненное Короле</w:t>
      </w:r>
      <w:r>
        <w:t>в</w:t>
      </w:r>
      <w:r>
        <w:t>ство и Ирландия. 1997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здравоохранения и Лига арабских государств. Аль</w:t>
      </w:r>
      <w:r>
        <w:noBreakHyphen/>
        <w:t>маш аль</w:t>
      </w:r>
      <w:r>
        <w:noBreakHyphen/>
        <w:t>любнани ли</w:t>
      </w:r>
      <w:r>
        <w:noBreakHyphen/>
        <w:t>сихат аль</w:t>
      </w:r>
      <w:r>
        <w:noBreakHyphen/>
        <w:t>умм ват</w:t>
      </w:r>
      <w:r>
        <w:noBreakHyphen/>
        <w:t>тифль. Бейрут,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и Фонд Организации Объ</w:t>
      </w:r>
      <w:r>
        <w:t>е</w:t>
      </w:r>
      <w:r>
        <w:t>диненных Наций в области народонаселения.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Машру' аль</w:t>
      </w:r>
      <w:r>
        <w:noBreakHyphen/>
        <w:t>и'лам ват</w:t>
      </w:r>
      <w:r>
        <w:noBreakHyphen/>
        <w:t>таткиф валь</w:t>
      </w:r>
      <w:r>
        <w:noBreakHyphen/>
        <w:t>иттисаль фи маджаль ас</w:t>
      </w:r>
      <w:r>
        <w:noBreakHyphen/>
        <w:t>сиха аль</w:t>
      </w:r>
      <w:r>
        <w:noBreakHyphen/>
        <w:t>инджабия - такрир хауля аль</w:t>
      </w:r>
      <w:r>
        <w:noBreakHyphen/>
        <w:t>инджазат. Май 2004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социальных дел, Департамент по делам семьи, Национальная конференция, посвященная ливанской семье и ее разли</w:t>
      </w:r>
      <w:r>
        <w:t>ч</w:t>
      </w:r>
      <w:r>
        <w:t>ным пробл</w:t>
      </w:r>
      <w:r>
        <w:t>е</w:t>
      </w:r>
      <w:r>
        <w:t>ма. 2004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Министерство здравоохранения. Аль</w:t>
      </w:r>
      <w:r>
        <w:noBreakHyphen/>
        <w:t>барнамадж аль</w:t>
      </w:r>
      <w:r>
        <w:noBreakHyphen/>
        <w:t>ватани ли</w:t>
      </w:r>
      <w:r>
        <w:noBreakHyphen/>
        <w:t>мукафахат ас</w:t>
      </w:r>
      <w:r>
        <w:noBreakHyphen/>
        <w:t>сида - аль</w:t>
      </w:r>
      <w:r>
        <w:noBreakHyphen/>
        <w:t>хута аль</w:t>
      </w:r>
      <w:r>
        <w:noBreakHyphen/>
        <w:t>ватания аль</w:t>
      </w:r>
      <w:r>
        <w:noBreakHyphen/>
        <w:t>истратиджия ли</w:t>
      </w:r>
      <w:r>
        <w:noBreakHyphen/>
        <w:t>мукафахат аль</w:t>
      </w:r>
      <w:r>
        <w:noBreakHyphen/>
        <w:t>идз. Ливан, 2000</w:t>
      </w:r>
      <w:r>
        <w:noBreakHyphen/>
        <w:t>2004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здравоохранения и Ассоциация христианской молодежи. Барн</w:t>
      </w:r>
      <w:r>
        <w:t>а</w:t>
      </w:r>
      <w:r>
        <w:t>мидж ад</w:t>
      </w:r>
      <w:r>
        <w:noBreakHyphen/>
        <w:t>дауа' лиль</w:t>
      </w:r>
      <w:r>
        <w:noBreakHyphen/>
        <w:t>марда аль</w:t>
      </w:r>
      <w:r>
        <w:noBreakHyphen/>
        <w:t>музминим 'ан аль</w:t>
      </w:r>
      <w:r>
        <w:noBreakHyphen/>
        <w:t>джуз' аль</w:t>
      </w:r>
      <w:r>
        <w:noBreakHyphen/>
        <w:t>авваль мин аль</w:t>
      </w:r>
      <w:r>
        <w:noBreakHyphen/>
        <w:t>'ам 2004. Пре</w:t>
      </w:r>
      <w:r>
        <w:t>д</w:t>
      </w:r>
      <w:r>
        <w:t>ставлено Его Превосходительству министру здравоохранения.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Министерство социальных дел. Барнамидж та'мин хукук аль</w:t>
      </w:r>
      <w:r>
        <w:noBreakHyphen/>
        <w:t>му'аввакин - хута ватания шамила ва тавилат аль</w:t>
      </w:r>
      <w:r>
        <w:noBreakHyphen/>
        <w:t>амад тахдуф ила тамдж аш</w:t>
      </w:r>
      <w:r>
        <w:noBreakHyphen/>
        <w:t>шахс аль</w:t>
      </w:r>
      <w:r>
        <w:noBreakHyphen/>
        <w:t>му'аввак фи мухит</w:t>
      </w:r>
      <w:r>
        <w:noBreakHyphen/>
        <w:t>и</w:t>
      </w:r>
      <w:r>
        <w:noBreakHyphen/>
        <w:t>хи ан</w:t>
      </w:r>
      <w:r>
        <w:noBreakHyphen/>
        <w:t>ната'идж аль</w:t>
      </w:r>
      <w:r>
        <w:noBreakHyphen/>
        <w:t>мубашара ли</w:t>
      </w:r>
      <w:r>
        <w:noBreakHyphen/>
        <w:t>барнамидж та'мин хукук аль</w:t>
      </w:r>
      <w:r>
        <w:noBreakHyphen/>
        <w:t>му'аваккин 1994</w:t>
      </w:r>
      <w:r>
        <w:noBreakHyphen/>
        <w:t>2003.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Национальный фонд социального обеспечения. Еж</w:t>
      </w:r>
      <w:r>
        <w:t>е</w:t>
      </w:r>
      <w:r>
        <w:t>годный доклад. Доктор Муха</w:t>
      </w:r>
      <w:r>
        <w:t>м</w:t>
      </w:r>
      <w:r>
        <w:t>мад Карки. 28 августа 2002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Республика. Национальный онкологический реестр. Доклад за 2002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Ливанская ассоциация планирования семьи. Заключительный доклад по итогам полевого исследования роли традиционных акушерок в Ливане. Бейрут, 1996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Центральное статистическое управление и Детский фонд Организации Объ</w:t>
      </w:r>
      <w:r>
        <w:t>е</w:t>
      </w:r>
      <w:r>
        <w:t>дине</w:t>
      </w:r>
      <w:r>
        <w:t>н</w:t>
      </w:r>
      <w:r>
        <w:t>ных Наций. Положение детей в Ливане. Бейрут, 2000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t>Международная организация труда. Статистические данные по гендерным в</w:t>
      </w:r>
      <w:r>
        <w:t>о</w:t>
      </w:r>
      <w:r>
        <w:t xml:space="preserve">просам, нищете и занятости в арабских государствах. </w:t>
      </w:r>
      <w:r>
        <w:rPr>
          <w:lang w:val="en-US"/>
        </w:rPr>
        <w:t>2004 </w:t>
      </w:r>
      <w:r>
        <w:t>год</w:t>
      </w:r>
      <w:r>
        <w:rPr>
          <w:lang w:val="en-US"/>
        </w:rPr>
        <w:t>.</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fr-CA"/>
        </w:rPr>
        <w:t xml:space="preserve">Ministry of Health and Institut de Gestion de la Santé et de la Protection Sociale. Recueil national des statistiques sanitaires au Liban. </w:t>
      </w:r>
      <w:r>
        <w:rPr>
          <w:lang w:val="en-US"/>
        </w:rPr>
        <w:t>Beirut, 2004.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fr-CA"/>
        </w:rPr>
        <w:t>Kasparian, Chohig. L'entrée des jeunes libanais dans la vie active et l'émigration. Public</w:t>
      </w:r>
      <w:r>
        <w:rPr>
          <w:lang w:val="fr-CA"/>
        </w:rPr>
        <w:t>a</w:t>
      </w:r>
      <w:r>
        <w:rPr>
          <w:lang w:val="fr-CA"/>
        </w:rPr>
        <w:t xml:space="preserve">tions de l'Université de Saint Joseph. </w:t>
      </w:r>
      <w:r>
        <w:rPr>
          <w:lang w:val="en-US"/>
        </w:rPr>
        <w:t>Beirut, 2001.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en-US"/>
        </w:rPr>
        <w:t xml:space="preserve">Kasparian, Chohig and Ammar, Walid. </w:t>
      </w:r>
      <w:r>
        <w:rPr>
          <w:lang w:val="fr-CA"/>
        </w:rPr>
        <w:t>L'enquête nationale sur les dépenses et l'ut</w:t>
      </w:r>
      <w:r>
        <w:rPr>
          <w:lang w:val="fr-CA"/>
        </w:rPr>
        <w:t>i</w:t>
      </w:r>
      <w:r>
        <w:rPr>
          <w:lang w:val="fr-CA"/>
        </w:rPr>
        <w:t xml:space="preserve">lisation des services de santé par les ménages en 1999. </w:t>
      </w:r>
      <w:r>
        <w:rPr>
          <w:lang w:val="en-US"/>
        </w:rPr>
        <w:t>Ministry of Public Health. Beirut, 2001.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US"/>
        </w:rPr>
      </w:pPr>
      <w:r>
        <w:rPr>
          <w:lang w:val="en-US"/>
        </w:rPr>
        <w:t>Ammar, Walid. Health system and reform in Lebanon. WHO Eastern Mediterranean Regional Office. Beirut, 2003.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fr-CA"/>
        </w:rPr>
      </w:pPr>
      <w:r>
        <w:rPr>
          <w:lang w:val="fr-CA"/>
        </w:rPr>
        <w:t>Zakhia, Tobie. Ed. Etude sur les caractéristiques de la population libanaise ne bén</w:t>
      </w:r>
      <w:r>
        <w:rPr>
          <w:lang w:val="fr-CA"/>
        </w:rPr>
        <w:t>é</w:t>
      </w:r>
      <w:r>
        <w:rPr>
          <w:lang w:val="fr-CA"/>
        </w:rPr>
        <w:t>ficiant d'aucune couverture médicale. University of Saint Joseph and the Institut de Gestion de la Santé et de la Protection Sociale. Beirut, 2003.</w:t>
      </w:r>
    </w:p>
    <w:p w:rsidR="00000000" w:rsidRDefault="00000000">
      <w:pPr>
        <w:pStyle w:val="SingleTxt"/>
        <w:tabs>
          <w:tab w:val="clear" w:pos="6048"/>
          <w:tab w:val="clear" w:pos="7488"/>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center"/>
      </w:pPr>
      <w:r>
        <w:t>_________</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fr-CA"/>
        </w:rPr>
      </w:pP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NO&gt;&gt;N0524334R&lt;&lt;ODS JOB NO&gt;&gt;</w:t>
      </w:r>
    </w:p>
    <w:p w:rsidR="00000000" w:rsidRDefault="00000000">
      <w:pPr>
        <w:pStyle w:val="CommentText"/>
        <w:rPr>
          <w:lang w:val="en-US"/>
        </w:rPr>
      </w:pPr>
      <w:r>
        <w:rPr>
          <w:lang w:val="en-US"/>
        </w:rPr>
        <w:t>&lt;&lt;ODS DOC SYMBOL1&gt;&gt;CEDAW/C/LBN/2&lt;&lt;ODS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w:t>
    </w:r>
    <w:r>
      <w:rPr>
        <w:b w:val="0"/>
        <w:noProof w:val="0"/>
        <w:sz w:val="20"/>
        <w:lang w:val="en-US"/>
      </w:rPr>
      <w:t>24334</w:t>
    </w:r>
    <w:r>
      <w:rPr>
        <w:b w:val="0"/>
        <w:sz w:val="20"/>
      </w:rPr>
      <w:t xml:space="preserve"> (R)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*0524334*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доклад издается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/C/LBN/2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11 February 2005</w:t>
          </w:r>
        </w:p>
        <w:p w:rsidR="00000000" w:rsidRDefault="00000000">
          <w:pPr>
            <w:rPr>
              <w:lang w:val="en-US"/>
            </w:rPr>
          </w:pPr>
          <w:r>
            <w:rPr>
              <w:lang w:val="en-US"/>
            </w:rPr>
            <w:t>Russian</w:t>
          </w:r>
        </w:p>
        <w:p w:rsidR="00000000" w:rsidRDefault="00000000">
          <w:pPr>
            <w:rPr>
              <w:lang w:val="en-US"/>
            </w:rPr>
          </w:pPr>
          <w:r>
            <w:rPr>
              <w:lang w:val="en-US"/>
            </w:rPr>
            <w:t>Original: Arabic</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CEDAW/C/LBN/2</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CEDAW/C/LBN/2</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1">
    <w:nsid w:val="06FF0D37"/>
    <w:multiLevelType w:val="multilevel"/>
    <w:tmpl w:val="2D580E4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2">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8BA78F5"/>
    <w:multiLevelType w:val="singleLevel"/>
    <w:tmpl w:val="F938A33E"/>
    <w:lvl w:ilvl="0">
      <w:numFmt w:val="bullet"/>
      <w:lvlText w:val="-"/>
      <w:lvlJc w:val="left"/>
      <w:pPr>
        <w:tabs>
          <w:tab w:val="num" w:pos="360"/>
        </w:tabs>
        <w:ind w:left="360" w:hanging="360"/>
      </w:pPr>
      <w:rPr>
        <w:rFonts w:hint="default"/>
      </w:rPr>
    </w:lvl>
  </w:abstractNum>
  <w:abstractNum w:abstractNumId="27">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2">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4">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7">
    <w:nsid w:val="0C55490E"/>
    <w:multiLevelType w:val="singleLevel"/>
    <w:tmpl w:val="F938A33E"/>
    <w:lvl w:ilvl="0">
      <w:numFmt w:val="bullet"/>
      <w:lvlText w:val="-"/>
      <w:lvlJc w:val="left"/>
      <w:pPr>
        <w:tabs>
          <w:tab w:val="num" w:pos="360"/>
        </w:tabs>
        <w:ind w:left="360" w:hanging="360"/>
      </w:pPr>
      <w:rPr>
        <w:rFonts w:hint="default"/>
      </w:rPr>
    </w:lvl>
  </w:abstractNum>
  <w:abstractNum w:abstractNumId="38">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
    <w:nsid w:val="0D6C2102"/>
    <w:multiLevelType w:val="multilevel"/>
    <w:tmpl w:val="E2243146"/>
    <w:lvl w:ilvl="0">
      <w:numFmt w:val="bullet"/>
      <w:lvlText w:val="-"/>
      <w:lvlJc w:val="left"/>
      <w:pPr>
        <w:tabs>
          <w:tab w:val="num" w:pos="1260"/>
        </w:tabs>
        <w:ind w:left="1260" w:hanging="360"/>
      </w:pPr>
      <w:rPr>
        <w:rFonts w:ascii="Arial" w:eastAsia="Batang" w:hAnsi="Arial" w:cs="Arial" w:hint="default"/>
      </w:rPr>
    </w:lvl>
    <w:lvl w:ilvl="1" w:tentative="1">
      <w:start w:val="1"/>
      <w:numFmt w:val="bullet"/>
      <w:lvlText w:val="o"/>
      <w:lvlJc w:val="left"/>
      <w:pPr>
        <w:tabs>
          <w:tab w:val="num" w:pos="1980"/>
        </w:tabs>
        <w:ind w:left="1980" w:hanging="360"/>
      </w:pPr>
      <w:rPr>
        <w:rFonts w:ascii="Courier New" w:hAnsi="Courier New" w:cs="Barcode 3 of 9 by request"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Barcode 3 of 9 by request"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Barcode 3 of 9 by request"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40">
    <w:nsid w:val="0F321979"/>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41">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42">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5">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0C8709E"/>
    <w:multiLevelType w:val="singleLevel"/>
    <w:tmpl w:val="E556B404"/>
    <w:lvl w:ilvl="0">
      <w:start w:val="1"/>
      <w:numFmt w:val="decimal"/>
      <w:lvlText w:val="%1."/>
      <w:lvlJc w:val="left"/>
      <w:pPr>
        <w:tabs>
          <w:tab w:val="num" w:pos="648"/>
        </w:tabs>
        <w:ind w:left="288" w:firstLine="0"/>
      </w:pPr>
    </w:lvl>
  </w:abstractNum>
  <w:abstractNum w:abstractNumId="47">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50">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51">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2">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126E317D"/>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56">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
    <w:nsid w:val="135420E0"/>
    <w:multiLevelType w:val="singleLevel"/>
    <w:tmpl w:val="05143C68"/>
    <w:lvl w:ilvl="0">
      <w:start w:val="43"/>
      <w:numFmt w:val="decimal"/>
      <w:lvlText w:val="%1."/>
      <w:lvlJc w:val="left"/>
      <w:pPr>
        <w:tabs>
          <w:tab w:val="num" w:pos="648"/>
        </w:tabs>
        <w:ind w:left="360" w:hanging="72"/>
      </w:pPr>
    </w:lvl>
  </w:abstractNum>
  <w:abstractNum w:abstractNumId="59">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60">
    <w:nsid w:val="14C740E3"/>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61">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2">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5D36F16"/>
    <w:multiLevelType w:val="singleLevel"/>
    <w:tmpl w:val="0409000F"/>
    <w:lvl w:ilvl="0">
      <w:start w:val="1"/>
      <w:numFmt w:val="decimal"/>
      <w:lvlText w:val="%1."/>
      <w:lvlJc w:val="left"/>
      <w:pPr>
        <w:tabs>
          <w:tab w:val="num" w:pos="360"/>
        </w:tabs>
        <w:ind w:left="360" w:hanging="360"/>
      </w:pPr>
    </w:lvl>
  </w:abstractNum>
  <w:abstractNum w:abstractNumId="65">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7">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8">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
    <w:nsid w:val="18094EC5"/>
    <w:multiLevelType w:val="singleLevel"/>
    <w:tmpl w:val="0409000F"/>
    <w:lvl w:ilvl="0">
      <w:start w:val="1"/>
      <w:numFmt w:val="decimal"/>
      <w:lvlText w:val="%1."/>
      <w:lvlJc w:val="left"/>
      <w:pPr>
        <w:tabs>
          <w:tab w:val="num" w:pos="360"/>
        </w:tabs>
        <w:ind w:left="360" w:hanging="360"/>
      </w:pPr>
    </w:lvl>
  </w:abstractNum>
  <w:abstractNum w:abstractNumId="70">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1">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2">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8AB147B"/>
    <w:multiLevelType w:val="multilevel"/>
    <w:tmpl w:val="94003F8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6">
    <w:nsid w:val="18BF2026"/>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77">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9">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80">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1">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3">
    <w:nsid w:val="1F1772A6"/>
    <w:multiLevelType w:val="singleLevel"/>
    <w:tmpl w:val="AA5AC07E"/>
    <w:lvl w:ilvl="0">
      <w:start w:val="132"/>
      <w:numFmt w:val="decimal"/>
      <w:lvlText w:val="%1."/>
      <w:lvlJc w:val="left"/>
      <w:pPr>
        <w:tabs>
          <w:tab w:val="num" w:pos="648"/>
        </w:tabs>
        <w:ind w:left="288" w:firstLine="0"/>
      </w:pPr>
    </w:lvl>
  </w:abstractNum>
  <w:abstractNum w:abstractNumId="84">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5">
    <w:nsid w:val="201C0F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86">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221234C1"/>
    <w:multiLevelType w:val="singleLevel"/>
    <w:tmpl w:val="CE0084AC"/>
    <w:lvl w:ilvl="0">
      <w:start w:val="1"/>
      <w:numFmt w:val="decimal"/>
      <w:lvlText w:val="%1."/>
      <w:lvlJc w:val="left"/>
      <w:pPr>
        <w:tabs>
          <w:tab w:val="num" w:pos="360"/>
        </w:tabs>
        <w:ind w:left="360" w:hanging="360"/>
      </w:pPr>
    </w:lvl>
  </w:abstractNum>
  <w:abstractNum w:abstractNumId="89">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0">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3">
    <w:nsid w:val="2518546C"/>
    <w:multiLevelType w:val="singleLevel"/>
    <w:tmpl w:val="0409000F"/>
    <w:lvl w:ilvl="0">
      <w:start w:val="1"/>
      <w:numFmt w:val="decimal"/>
      <w:lvlText w:val="%1."/>
      <w:lvlJc w:val="left"/>
      <w:pPr>
        <w:tabs>
          <w:tab w:val="num" w:pos="360"/>
        </w:tabs>
        <w:ind w:left="360" w:hanging="360"/>
      </w:pPr>
    </w:lvl>
  </w:abstractNum>
  <w:abstractNum w:abstractNumId="94">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5">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6">
    <w:nsid w:val="262C2491"/>
    <w:multiLevelType w:val="hybridMultilevel"/>
    <w:tmpl w:val="0FEC3E6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97">
    <w:nsid w:val="267333E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98">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9">
    <w:nsid w:val="281F7A4C"/>
    <w:multiLevelType w:val="multilevel"/>
    <w:tmpl w:val="7034EA74"/>
    <w:lvl w:ilvl="0">
      <w:start w:val="1"/>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101">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2">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03">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4">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5">
    <w:nsid w:val="2A856AD7"/>
    <w:multiLevelType w:val="singleLevel"/>
    <w:tmpl w:val="E556B404"/>
    <w:lvl w:ilvl="0">
      <w:start w:val="1"/>
      <w:numFmt w:val="decimal"/>
      <w:lvlText w:val="%1."/>
      <w:lvlJc w:val="left"/>
      <w:pPr>
        <w:tabs>
          <w:tab w:val="num" w:pos="648"/>
        </w:tabs>
        <w:ind w:left="288" w:firstLine="0"/>
      </w:pPr>
    </w:lvl>
  </w:abstractNum>
  <w:abstractNum w:abstractNumId="106">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7">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8">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9">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10">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11">
    <w:nsid w:val="2F127D9A"/>
    <w:multiLevelType w:val="singleLevel"/>
    <w:tmpl w:val="BBBA8180"/>
    <w:lvl w:ilvl="0">
      <w:numFmt w:val="bullet"/>
      <w:lvlText w:val="-"/>
      <w:lvlJc w:val="left"/>
      <w:pPr>
        <w:tabs>
          <w:tab w:val="num" w:pos="720"/>
        </w:tabs>
        <w:ind w:left="720" w:hanging="720"/>
      </w:pPr>
      <w:rPr>
        <w:rFonts w:hint="default"/>
      </w:rPr>
    </w:lvl>
  </w:abstractNum>
  <w:abstractNum w:abstractNumId="112">
    <w:nsid w:val="2F4A5879"/>
    <w:multiLevelType w:val="singleLevel"/>
    <w:tmpl w:val="F938A33E"/>
    <w:lvl w:ilvl="0">
      <w:numFmt w:val="bullet"/>
      <w:lvlText w:val="-"/>
      <w:lvlJc w:val="left"/>
      <w:pPr>
        <w:tabs>
          <w:tab w:val="num" w:pos="360"/>
        </w:tabs>
        <w:ind w:left="360" w:hanging="360"/>
      </w:pPr>
      <w:rPr>
        <w:rFonts w:hint="default"/>
      </w:rPr>
    </w:lvl>
  </w:abstractNum>
  <w:abstractNum w:abstractNumId="113">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2FFC19A7"/>
    <w:multiLevelType w:val="singleLevel"/>
    <w:tmpl w:val="40BE0C7C"/>
    <w:lvl w:ilvl="0">
      <w:start w:val="131"/>
      <w:numFmt w:val="decimal"/>
      <w:lvlText w:val="%1."/>
      <w:lvlJc w:val="left"/>
      <w:pPr>
        <w:tabs>
          <w:tab w:val="num" w:pos="648"/>
        </w:tabs>
        <w:ind w:left="288" w:firstLine="0"/>
      </w:pPr>
    </w:lvl>
  </w:abstractNum>
  <w:abstractNum w:abstractNumId="116">
    <w:nsid w:val="30782CD8"/>
    <w:multiLevelType w:val="hybridMultilevel"/>
    <w:tmpl w:val="385453DE"/>
    <w:lvl w:ilvl="0">
      <w:start w:val="1"/>
      <w:numFmt w:val="bullet"/>
      <w:lvlText w:val=""/>
      <w:lvlJc w:val="left"/>
      <w:pPr>
        <w:tabs>
          <w:tab w:val="num" w:pos="2070"/>
        </w:tabs>
        <w:ind w:left="2070" w:hanging="360"/>
      </w:pPr>
      <w:rPr>
        <w:rFonts w:ascii="Wingdings" w:hAnsi="Wingdings" w:hint="default"/>
      </w:rPr>
    </w:lvl>
    <w:lvl w:ilvl="1" w:tentative="1">
      <w:start w:val="1"/>
      <w:numFmt w:val="bullet"/>
      <w:lvlText w:val="o"/>
      <w:lvlJc w:val="left"/>
      <w:pPr>
        <w:tabs>
          <w:tab w:val="num" w:pos="2790"/>
        </w:tabs>
        <w:ind w:left="2790" w:hanging="360"/>
      </w:pPr>
      <w:rPr>
        <w:rFonts w:ascii="Courier New" w:hAnsi="Courier New" w:hint="default"/>
      </w:rPr>
    </w:lvl>
    <w:lvl w:ilvl="2" w:tentative="1">
      <w:start w:val="1"/>
      <w:numFmt w:val="bullet"/>
      <w:lvlText w:val=""/>
      <w:lvlJc w:val="left"/>
      <w:pPr>
        <w:tabs>
          <w:tab w:val="num" w:pos="3510"/>
        </w:tabs>
        <w:ind w:left="3510" w:hanging="360"/>
      </w:pPr>
      <w:rPr>
        <w:rFonts w:ascii="Wingdings" w:hAnsi="Wingdings" w:hint="default"/>
      </w:rPr>
    </w:lvl>
    <w:lvl w:ilvl="3" w:tentative="1">
      <w:start w:val="1"/>
      <w:numFmt w:val="bullet"/>
      <w:lvlText w:val=""/>
      <w:lvlJc w:val="left"/>
      <w:pPr>
        <w:tabs>
          <w:tab w:val="num" w:pos="4230"/>
        </w:tabs>
        <w:ind w:left="4230" w:hanging="360"/>
      </w:pPr>
      <w:rPr>
        <w:rFonts w:ascii="Symbol" w:hAnsi="Symbol" w:hint="default"/>
      </w:rPr>
    </w:lvl>
    <w:lvl w:ilvl="4" w:tentative="1">
      <w:start w:val="1"/>
      <w:numFmt w:val="bullet"/>
      <w:lvlText w:val="o"/>
      <w:lvlJc w:val="left"/>
      <w:pPr>
        <w:tabs>
          <w:tab w:val="num" w:pos="4950"/>
        </w:tabs>
        <w:ind w:left="4950" w:hanging="360"/>
      </w:pPr>
      <w:rPr>
        <w:rFonts w:ascii="Courier New" w:hAnsi="Courier New" w:hint="default"/>
      </w:rPr>
    </w:lvl>
    <w:lvl w:ilvl="5" w:tentative="1">
      <w:start w:val="1"/>
      <w:numFmt w:val="bullet"/>
      <w:lvlText w:val=""/>
      <w:lvlJc w:val="left"/>
      <w:pPr>
        <w:tabs>
          <w:tab w:val="num" w:pos="5670"/>
        </w:tabs>
        <w:ind w:left="5670" w:hanging="360"/>
      </w:pPr>
      <w:rPr>
        <w:rFonts w:ascii="Wingdings" w:hAnsi="Wingdings" w:hint="default"/>
      </w:rPr>
    </w:lvl>
    <w:lvl w:ilvl="6" w:tentative="1">
      <w:start w:val="1"/>
      <w:numFmt w:val="bullet"/>
      <w:lvlText w:val=""/>
      <w:lvlJc w:val="left"/>
      <w:pPr>
        <w:tabs>
          <w:tab w:val="num" w:pos="6390"/>
        </w:tabs>
        <w:ind w:left="6390" w:hanging="360"/>
      </w:pPr>
      <w:rPr>
        <w:rFonts w:ascii="Symbol" w:hAnsi="Symbol" w:hint="default"/>
      </w:rPr>
    </w:lvl>
    <w:lvl w:ilvl="7" w:tentative="1">
      <w:start w:val="1"/>
      <w:numFmt w:val="bullet"/>
      <w:lvlText w:val="o"/>
      <w:lvlJc w:val="left"/>
      <w:pPr>
        <w:tabs>
          <w:tab w:val="num" w:pos="7110"/>
        </w:tabs>
        <w:ind w:left="7110" w:hanging="360"/>
      </w:pPr>
      <w:rPr>
        <w:rFonts w:ascii="Courier New" w:hAnsi="Courier New" w:hint="default"/>
      </w:rPr>
    </w:lvl>
    <w:lvl w:ilvl="8" w:tentative="1">
      <w:start w:val="1"/>
      <w:numFmt w:val="bullet"/>
      <w:lvlText w:val=""/>
      <w:lvlJc w:val="left"/>
      <w:pPr>
        <w:tabs>
          <w:tab w:val="num" w:pos="7830"/>
        </w:tabs>
        <w:ind w:left="7830" w:hanging="360"/>
      </w:pPr>
      <w:rPr>
        <w:rFonts w:ascii="Wingdings" w:hAnsi="Wingdings" w:hint="default"/>
      </w:rPr>
    </w:lvl>
  </w:abstractNum>
  <w:abstractNum w:abstractNumId="117">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9">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0">
    <w:nsid w:val="31FB367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21">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3">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4">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27">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8">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9">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30">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31">
    <w:nsid w:val="35332156"/>
    <w:multiLevelType w:val="multilevel"/>
    <w:tmpl w:val="AC18BFF0"/>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3">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4">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5">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6">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8">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9">
    <w:nsid w:val="38B24D7E"/>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40">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41">
    <w:nsid w:val="391F1A82"/>
    <w:multiLevelType w:val="singleLevel"/>
    <w:tmpl w:val="E0743FFA"/>
    <w:lvl w:ilvl="0">
      <w:start w:val="1"/>
      <w:numFmt w:val="decimal"/>
      <w:lvlText w:val="%1."/>
      <w:lvlJc w:val="left"/>
      <w:pPr>
        <w:tabs>
          <w:tab w:val="num" w:pos="648"/>
        </w:tabs>
        <w:ind w:left="360" w:hanging="72"/>
      </w:pPr>
    </w:lvl>
  </w:abstractNum>
  <w:abstractNum w:abstractNumId="142">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3">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5">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6">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7">
    <w:nsid w:val="3AAB773F"/>
    <w:multiLevelType w:val="singleLevel"/>
    <w:tmpl w:val="F938A33E"/>
    <w:lvl w:ilvl="0">
      <w:numFmt w:val="bullet"/>
      <w:lvlText w:val="-"/>
      <w:lvlJc w:val="left"/>
      <w:pPr>
        <w:tabs>
          <w:tab w:val="num" w:pos="360"/>
        </w:tabs>
        <w:ind w:left="360" w:hanging="360"/>
      </w:pPr>
      <w:rPr>
        <w:rFonts w:hint="default"/>
      </w:rPr>
    </w:lvl>
  </w:abstractNum>
  <w:abstractNum w:abstractNumId="148">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50">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1">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2">
    <w:nsid w:val="3DE81D6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53">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54">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7">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3FAF4C3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59">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3">
    <w:nsid w:val="411E6E92"/>
    <w:multiLevelType w:val="singleLevel"/>
    <w:tmpl w:val="E0743FFA"/>
    <w:lvl w:ilvl="0">
      <w:start w:val="1"/>
      <w:numFmt w:val="decimal"/>
      <w:lvlText w:val="%1."/>
      <w:lvlJc w:val="left"/>
      <w:pPr>
        <w:tabs>
          <w:tab w:val="num" w:pos="648"/>
        </w:tabs>
        <w:ind w:left="360" w:hanging="72"/>
      </w:pPr>
    </w:lvl>
  </w:abstractNum>
  <w:abstractNum w:abstractNumId="164">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6">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7">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9">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1">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2">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5">
    <w:nsid w:val="494A6BC7"/>
    <w:multiLevelType w:val="singleLevel"/>
    <w:tmpl w:val="F938A33E"/>
    <w:lvl w:ilvl="0">
      <w:numFmt w:val="bullet"/>
      <w:lvlText w:val="-"/>
      <w:lvlJc w:val="left"/>
      <w:pPr>
        <w:tabs>
          <w:tab w:val="num" w:pos="360"/>
        </w:tabs>
        <w:ind w:left="360" w:hanging="360"/>
      </w:pPr>
      <w:rPr>
        <w:rFonts w:hint="default"/>
      </w:rPr>
    </w:lvl>
  </w:abstractNum>
  <w:abstractNum w:abstractNumId="176">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7">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8">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80">
    <w:nsid w:val="4C5B7580"/>
    <w:multiLevelType w:val="hybridMultilevel"/>
    <w:tmpl w:val="F5905C4E"/>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181">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2">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3">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5">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6">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7">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9">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507A1C8B"/>
    <w:multiLevelType w:val="singleLevel"/>
    <w:tmpl w:val="F938A33E"/>
    <w:lvl w:ilvl="0">
      <w:numFmt w:val="bullet"/>
      <w:lvlText w:val="-"/>
      <w:lvlJc w:val="left"/>
      <w:pPr>
        <w:tabs>
          <w:tab w:val="num" w:pos="360"/>
        </w:tabs>
        <w:ind w:left="360" w:hanging="360"/>
      </w:pPr>
      <w:rPr>
        <w:rFonts w:hint="default"/>
      </w:rPr>
    </w:lvl>
  </w:abstractNum>
  <w:abstractNum w:abstractNumId="191">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92">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3">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95">
    <w:nsid w:val="52C34885"/>
    <w:multiLevelType w:val="singleLevel"/>
    <w:tmpl w:val="E556B404"/>
    <w:lvl w:ilvl="0">
      <w:start w:val="1"/>
      <w:numFmt w:val="decimal"/>
      <w:lvlText w:val="%1."/>
      <w:lvlJc w:val="left"/>
      <w:pPr>
        <w:tabs>
          <w:tab w:val="num" w:pos="648"/>
        </w:tabs>
        <w:ind w:left="288" w:firstLine="0"/>
      </w:pPr>
    </w:lvl>
  </w:abstractNum>
  <w:abstractNum w:abstractNumId="196">
    <w:nsid w:val="52F00051"/>
    <w:multiLevelType w:val="singleLevel"/>
    <w:tmpl w:val="E556B404"/>
    <w:lvl w:ilvl="0">
      <w:start w:val="1"/>
      <w:numFmt w:val="decimal"/>
      <w:lvlText w:val="%1."/>
      <w:lvlJc w:val="left"/>
      <w:pPr>
        <w:tabs>
          <w:tab w:val="num" w:pos="648"/>
        </w:tabs>
        <w:ind w:left="288" w:firstLine="0"/>
      </w:pPr>
    </w:lvl>
  </w:abstractNum>
  <w:abstractNum w:abstractNumId="197">
    <w:nsid w:val="53081281"/>
    <w:multiLevelType w:val="singleLevel"/>
    <w:tmpl w:val="E556B404"/>
    <w:lvl w:ilvl="0">
      <w:start w:val="1"/>
      <w:numFmt w:val="decimal"/>
      <w:lvlText w:val="%1."/>
      <w:lvlJc w:val="left"/>
      <w:pPr>
        <w:tabs>
          <w:tab w:val="num" w:pos="648"/>
        </w:tabs>
        <w:ind w:left="288" w:firstLine="0"/>
      </w:pPr>
    </w:lvl>
  </w:abstractNum>
  <w:abstractNum w:abstractNumId="198">
    <w:nsid w:val="54C24DB7"/>
    <w:multiLevelType w:val="singleLevel"/>
    <w:tmpl w:val="79D089C4"/>
    <w:lvl w:ilvl="0">
      <w:start w:val="1"/>
      <w:numFmt w:val="decimal"/>
      <w:lvlText w:val="%1."/>
      <w:lvlJc w:val="left"/>
      <w:pPr>
        <w:tabs>
          <w:tab w:val="num" w:pos="360"/>
        </w:tabs>
        <w:ind w:left="0" w:firstLine="0"/>
      </w:pPr>
    </w:lvl>
  </w:abstractNum>
  <w:abstractNum w:abstractNumId="199">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560E1ED1"/>
    <w:multiLevelType w:val="singleLevel"/>
    <w:tmpl w:val="0409000F"/>
    <w:lvl w:ilvl="0">
      <w:start w:val="1"/>
      <w:numFmt w:val="decimal"/>
      <w:lvlText w:val="%1."/>
      <w:lvlJc w:val="left"/>
      <w:pPr>
        <w:tabs>
          <w:tab w:val="num" w:pos="360"/>
        </w:tabs>
        <w:ind w:left="360" w:hanging="360"/>
      </w:pPr>
    </w:lvl>
  </w:abstractNum>
  <w:abstractNum w:abstractNumId="201">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2">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04">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05">
    <w:nsid w:val="58904877"/>
    <w:multiLevelType w:val="hybridMultilevel"/>
    <w:tmpl w:val="96D4E0E8"/>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06">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7">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8">
    <w:nsid w:val="5A9F4AB8"/>
    <w:multiLevelType w:val="hybridMultilevel"/>
    <w:tmpl w:val="8E8AE524"/>
    <w:lvl w:ilvl="0">
      <w:start w:val="1"/>
      <w:numFmt w:val="bullet"/>
      <w:lvlText w:val=""/>
      <w:lvlJc w:val="left"/>
      <w:pPr>
        <w:tabs>
          <w:tab w:val="num" w:pos="2101"/>
        </w:tabs>
        <w:ind w:left="2101" w:hanging="360"/>
      </w:pPr>
      <w:rPr>
        <w:rFonts w:ascii="Symbol" w:hAnsi="Symbol" w:hint="default"/>
      </w:rPr>
    </w:lvl>
    <w:lvl w:ilvl="1" w:tentative="1">
      <w:start w:val="1"/>
      <w:numFmt w:val="bullet"/>
      <w:lvlText w:val="o"/>
      <w:lvlJc w:val="left"/>
      <w:pPr>
        <w:tabs>
          <w:tab w:val="num" w:pos="2821"/>
        </w:tabs>
        <w:ind w:left="2821" w:hanging="360"/>
      </w:pPr>
      <w:rPr>
        <w:rFonts w:ascii="Courier New" w:hAnsi="Courier New" w:hint="default"/>
      </w:rPr>
    </w:lvl>
    <w:lvl w:ilvl="2" w:tentative="1">
      <w:start w:val="1"/>
      <w:numFmt w:val="bullet"/>
      <w:lvlText w:val=""/>
      <w:lvlJc w:val="left"/>
      <w:pPr>
        <w:tabs>
          <w:tab w:val="num" w:pos="3541"/>
        </w:tabs>
        <w:ind w:left="3541" w:hanging="360"/>
      </w:pPr>
      <w:rPr>
        <w:rFonts w:ascii="Wingdings" w:hAnsi="Wingdings" w:hint="default"/>
      </w:rPr>
    </w:lvl>
    <w:lvl w:ilvl="3" w:tentative="1">
      <w:start w:val="1"/>
      <w:numFmt w:val="bullet"/>
      <w:lvlText w:val=""/>
      <w:lvlJc w:val="left"/>
      <w:pPr>
        <w:tabs>
          <w:tab w:val="num" w:pos="4261"/>
        </w:tabs>
        <w:ind w:left="4261" w:hanging="360"/>
      </w:pPr>
      <w:rPr>
        <w:rFonts w:ascii="Symbol" w:hAnsi="Symbol" w:hint="default"/>
      </w:rPr>
    </w:lvl>
    <w:lvl w:ilvl="4" w:tentative="1">
      <w:start w:val="1"/>
      <w:numFmt w:val="bullet"/>
      <w:lvlText w:val="o"/>
      <w:lvlJc w:val="left"/>
      <w:pPr>
        <w:tabs>
          <w:tab w:val="num" w:pos="4981"/>
        </w:tabs>
        <w:ind w:left="4981" w:hanging="360"/>
      </w:pPr>
      <w:rPr>
        <w:rFonts w:ascii="Courier New" w:hAnsi="Courier New" w:hint="default"/>
      </w:rPr>
    </w:lvl>
    <w:lvl w:ilvl="5" w:tentative="1">
      <w:start w:val="1"/>
      <w:numFmt w:val="bullet"/>
      <w:lvlText w:val=""/>
      <w:lvlJc w:val="left"/>
      <w:pPr>
        <w:tabs>
          <w:tab w:val="num" w:pos="5701"/>
        </w:tabs>
        <w:ind w:left="5701" w:hanging="360"/>
      </w:pPr>
      <w:rPr>
        <w:rFonts w:ascii="Wingdings" w:hAnsi="Wingdings" w:hint="default"/>
      </w:rPr>
    </w:lvl>
    <w:lvl w:ilvl="6" w:tentative="1">
      <w:start w:val="1"/>
      <w:numFmt w:val="bullet"/>
      <w:lvlText w:val=""/>
      <w:lvlJc w:val="left"/>
      <w:pPr>
        <w:tabs>
          <w:tab w:val="num" w:pos="6421"/>
        </w:tabs>
        <w:ind w:left="6421" w:hanging="360"/>
      </w:pPr>
      <w:rPr>
        <w:rFonts w:ascii="Symbol" w:hAnsi="Symbol" w:hint="default"/>
      </w:rPr>
    </w:lvl>
    <w:lvl w:ilvl="7" w:tentative="1">
      <w:start w:val="1"/>
      <w:numFmt w:val="bullet"/>
      <w:lvlText w:val="o"/>
      <w:lvlJc w:val="left"/>
      <w:pPr>
        <w:tabs>
          <w:tab w:val="num" w:pos="7141"/>
        </w:tabs>
        <w:ind w:left="7141" w:hanging="360"/>
      </w:pPr>
      <w:rPr>
        <w:rFonts w:ascii="Courier New" w:hAnsi="Courier New" w:hint="default"/>
      </w:rPr>
    </w:lvl>
    <w:lvl w:ilvl="8" w:tentative="1">
      <w:start w:val="1"/>
      <w:numFmt w:val="bullet"/>
      <w:lvlText w:val=""/>
      <w:lvlJc w:val="left"/>
      <w:pPr>
        <w:tabs>
          <w:tab w:val="num" w:pos="7861"/>
        </w:tabs>
        <w:ind w:left="7861" w:hanging="360"/>
      </w:pPr>
      <w:rPr>
        <w:rFonts w:ascii="Wingdings" w:hAnsi="Wingdings" w:hint="default"/>
      </w:rPr>
    </w:lvl>
  </w:abstractNum>
  <w:abstractNum w:abstractNumId="209">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0">
    <w:nsid w:val="5B1738B9"/>
    <w:multiLevelType w:val="singleLevel"/>
    <w:tmpl w:val="0409000F"/>
    <w:lvl w:ilvl="0">
      <w:start w:val="1"/>
      <w:numFmt w:val="decimal"/>
      <w:lvlText w:val="%1."/>
      <w:lvlJc w:val="left"/>
      <w:pPr>
        <w:tabs>
          <w:tab w:val="num" w:pos="360"/>
        </w:tabs>
        <w:ind w:left="360" w:hanging="360"/>
      </w:pPr>
    </w:lvl>
  </w:abstractNum>
  <w:abstractNum w:abstractNumId="211">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12">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5B9476C9"/>
    <w:multiLevelType w:val="singleLevel"/>
    <w:tmpl w:val="E0743FFA"/>
    <w:lvl w:ilvl="0">
      <w:start w:val="1"/>
      <w:numFmt w:val="decimal"/>
      <w:lvlText w:val="%1."/>
      <w:lvlJc w:val="left"/>
      <w:pPr>
        <w:tabs>
          <w:tab w:val="num" w:pos="648"/>
        </w:tabs>
        <w:ind w:left="360" w:hanging="72"/>
      </w:pPr>
    </w:lvl>
  </w:abstractNum>
  <w:abstractNum w:abstractNumId="214">
    <w:nsid w:val="5BAB79B9"/>
    <w:multiLevelType w:val="singleLevel"/>
    <w:tmpl w:val="0409000F"/>
    <w:lvl w:ilvl="0">
      <w:start w:val="1"/>
      <w:numFmt w:val="decimal"/>
      <w:lvlText w:val="%1."/>
      <w:lvlJc w:val="left"/>
      <w:pPr>
        <w:tabs>
          <w:tab w:val="num" w:pos="360"/>
        </w:tabs>
        <w:ind w:left="360" w:hanging="360"/>
      </w:pPr>
    </w:lvl>
  </w:abstractNum>
  <w:abstractNum w:abstractNumId="215">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5CD64E73"/>
    <w:multiLevelType w:val="hybridMultilevel"/>
    <w:tmpl w:val="8B4ECCF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17">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8">
    <w:nsid w:val="5D1C4F26"/>
    <w:multiLevelType w:val="hybridMultilevel"/>
    <w:tmpl w:val="96D4E0E8"/>
    <w:lvl w:ilvl="0">
      <w:start w:val="1"/>
      <w:numFmt w:val="bullet"/>
      <w:lvlText w:val=""/>
      <w:lvlJc w:val="left"/>
      <w:pPr>
        <w:tabs>
          <w:tab w:val="num" w:pos="2459"/>
        </w:tabs>
        <w:ind w:left="2459" w:hanging="360"/>
      </w:pPr>
      <w:rPr>
        <w:rFonts w:ascii="Wingdings" w:hAnsi="Wingdings"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19">
    <w:nsid w:val="5DD03402"/>
    <w:multiLevelType w:val="multilevel"/>
    <w:tmpl w:val="E7DA58EC"/>
    <w:lvl w:ilvl="0">
      <w:numFmt w:val="bullet"/>
      <w:lvlText w:val="-"/>
      <w:lvlJc w:val="left"/>
      <w:pPr>
        <w:tabs>
          <w:tab w:val="num" w:pos="769"/>
        </w:tabs>
        <w:ind w:left="769" w:hanging="360"/>
      </w:pPr>
      <w:rPr>
        <w:rFonts w:ascii="Arial" w:eastAsia="Batang" w:hAnsi="Arial" w:cs="Arial" w:hint="default"/>
      </w:rPr>
    </w:lvl>
    <w:lvl w:ilvl="1" w:tentative="1">
      <w:start w:val="1"/>
      <w:numFmt w:val="bullet"/>
      <w:lvlText w:val="o"/>
      <w:lvlJc w:val="left"/>
      <w:pPr>
        <w:tabs>
          <w:tab w:val="num" w:pos="1489"/>
        </w:tabs>
        <w:ind w:left="1489" w:hanging="360"/>
      </w:pPr>
      <w:rPr>
        <w:rFonts w:ascii="Courier New" w:hAnsi="Courier New" w:cs="Barcode 3 of 9 by request" w:hint="default"/>
      </w:rPr>
    </w:lvl>
    <w:lvl w:ilvl="2" w:tentative="1">
      <w:start w:val="1"/>
      <w:numFmt w:val="bullet"/>
      <w:lvlText w:val=""/>
      <w:lvlJc w:val="left"/>
      <w:pPr>
        <w:tabs>
          <w:tab w:val="num" w:pos="2209"/>
        </w:tabs>
        <w:ind w:left="2209" w:hanging="360"/>
      </w:pPr>
      <w:rPr>
        <w:rFonts w:ascii="Wingdings" w:hAnsi="Wingdings" w:hint="default"/>
      </w:rPr>
    </w:lvl>
    <w:lvl w:ilvl="3" w:tentative="1">
      <w:start w:val="1"/>
      <w:numFmt w:val="bullet"/>
      <w:lvlText w:val=""/>
      <w:lvlJc w:val="left"/>
      <w:pPr>
        <w:tabs>
          <w:tab w:val="num" w:pos="2929"/>
        </w:tabs>
        <w:ind w:left="2929" w:hanging="360"/>
      </w:pPr>
      <w:rPr>
        <w:rFonts w:ascii="Symbol" w:hAnsi="Symbol" w:hint="default"/>
      </w:rPr>
    </w:lvl>
    <w:lvl w:ilvl="4" w:tentative="1">
      <w:start w:val="1"/>
      <w:numFmt w:val="bullet"/>
      <w:lvlText w:val="o"/>
      <w:lvlJc w:val="left"/>
      <w:pPr>
        <w:tabs>
          <w:tab w:val="num" w:pos="3649"/>
        </w:tabs>
        <w:ind w:left="3649" w:hanging="360"/>
      </w:pPr>
      <w:rPr>
        <w:rFonts w:ascii="Courier New" w:hAnsi="Courier New" w:cs="Barcode 3 of 9 by request" w:hint="default"/>
      </w:rPr>
    </w:lvl>
    <w:lvl w:ilvl="5" w:tentative="1">
      <w:start w:val="1"/>
      <w:numFmt w:val="bullet"/>
      <w:lvlText w:val=""/>
      <w:lvlJc w:val="left"/>
      <w:pPr>
        <w:tabs>
          <w:tab w:val="num" w:pos="4369"/>
        </w:tabs>
        <w:ind w:left="4369" w:hanging="360"/>
      </w:pPr>
      <w:rPr>
        <w:rFonts w:ascii="Wingdings" w:hAnsi="Wingdings" w:hint="default"/>
      </w:rPr>
    </w:lvl>
    <w:lvl w:ilvl="6" w:tentative="1">
      <w:start w:val="1"/>
      <w:numFmt w:val="bullet"/>
      <w:lvlText w:val=""/>
      <w:lvlJc w:val="left"/>
      <w:pPr>
        <w:tabs>
          <w:tab w:val="num" w:pos="5089"/>
        </w:tabs>
        <w:ind w:left="5089" w:hanging="360"/>
      </w:pPr>
      <w:rPr>
        <w:rFonts w:ascii="Symbol" w:hAnsi="Symbol" w:hint="default"/>
      </w:rPr>
    </w:lvl>
    <w:lvl w:ilvl="7" w:tentative="1">
      <w:start w:val="1"/>
      <w:numFmt w:val="bullet"/>
      <w:lvlText w:val="o"/>
      <w:lvlJc w:val="left"/>
      <w:pPr>
        <w:tabs>
          <w:tab w:val="num" w:pos="5809"/>
        </w:tabs>
        <w:ind w:left="5809" w:hanging="360"/>
      </w:pPr>
      <w:rPr>
        <w:rFonts w:ascii="Courier New" w:hAnsi="Courier New" w:cs="Barcode 3 of 9 by request" w:hint="default"/>
      </w:rPr>
    </w:lvl>
    <w:lvl w:ilvl="8" w:tentative="1">
      <w:start w:val="1"/>
      <w:numFmt w:val="bullet"/>
      <w:lvlText w:val=""/>
      <w:lvlJc w:val="left"/>
      <w:pPr>
        <w:tabs>
          <w:tab w:val="num" w:pos="6529"/>
        </w:tabs>
        <w:ind w:left="6529" w:hanging="360"/>
      </w:pPr>
      <w:rPr>
        <w:rFonts w:ascii="Wingdings" w:hAnsi="Wingdings" w:hint="default"/>
      </w:rPr>
    </w:lvl>
  </w:abstractNum>
  <w:abstractNum w:abstractNumId="220">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1">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2">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23">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4">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25">
    <w:nsid w:val="602827E8"/>
    <w:multiLevelType w:val="singleLevel"/>
    <w:tmpl w:val="79D089C4"/>
    <w:lvl w:ilvl="0">
      <w:start w:val="1"/>
      <w:numFmt w:val="decimal"/>
      <w:lvlText w:val="%1."/>
      <w:lvlJc w:val="left"/>
      <w:pPr>
        <w:tabs>
          <w:tab w:val="num" w:pos="360"/>
        </w:tabs>
        <w:ind w:left="0" w:firstLine="0"/>
      </w:pPr>
    </w:lvl>
  </w:abstractNum>
  <w:abstractNum w:abstractNumId="226">
    <w:nsid w:val="605C02FF"/>
    <w:multiLevelType w:val="singleLevel"/>
    <w:tmpl w:val="77743DB6"/>
    <w:lvl w:ilvl="0">
      <w:start w:val="1"/>
      <w:numFmt w:val="lowerLetter"/>
      <w:lvlText w:val="(%1)"/>
      <w:lvlJc w:val="left"/>
      <w:pPr>
        <w:tabs>
          <w:tab w:val="num" w:pos="360"/>
        </w:tabs>
        <w:ind w:left="360" w:hanging="360"/>
      </w:pPr>
    </w:lvl>
  </w:abstractNum>
  <w:abstractNum w:abstractNumId="227">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28">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9">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0">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2">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33">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4">
    <w:nsid w:val="625A5FCE"/>
    <w:multiLevelType w:val="singleLevel"/>
    <w:tmpl w:val="F938A33E"/>
    <w:lvl w:ilvl="0">
      <w:numFmt w:val="bullet"/>
      <w:lvlText w:val="-"/>
      <w:lvlJc w:val="left"/>
      <w:pPr>
        <w:tabs>
          <w:tab w:val="num" w:pos="360"/>
        </w:tabs>
        <w:ind w:left="360" w:hanging="360"/>
      </w:pPr>
      <w:rPr>
        <w:rFonts w:hint="default"/>
      </w:rPr>
    </w:lvl>
  </w:abstractNum>
  <w:abstractNum w:abstractNumId="235">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7">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40">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1">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42">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44">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5">
    <w:nsid w:val="67197D68"/>
    <w:multiLevelType w:val="singleLevel"/>
    <w:tmpl w:val="0409000F"/>
    <w:lvl w:ilvl="0">
      <w:start w:val="1"/>
      <w:numFmt w:val="decimal"/>
      <w:lvlText w:val="%1."/>
      <w:lvlJc w:val="left"/>
      <w:pPr>
        <w:tabs>
          <w:tab w:val="num" w:pos="360"/>
        </w:tabs>
        <w:ind w:left="360" w:hanging="360"/>
      </w:pPr>
    </w:lvl>
  </w:abstractNum>
  <w:abstractNum w:abstractNumId="246">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8">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68F2588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50">
    <w:nsid w:val="69301748"/>
    <w:multiLevelType w:val="multilevel"/>
    <w:tmpl w:val="C582C31E"/>
    <w:lvl w:ilvl="0">
      <w:numFmt w:val="bullet"/>
      <w:lvlText w:val="-"/>
      <w:lvlJc w:val="left"/>
      <w:pPr>
        <w:tabs>
          <w:tab w:val="num" w:pos="720"/>
        </w:tabs>
        <w:ind w:left="720" w:hanging="360"/>
      </w:pPr>
      <w:rPr>
        <w:rFonts w:ascii="Arial" w:eastAsia="Batang" w:hAnsi="Arial" w:cs="Aria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2">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3">
    <w:nsid w:val="6ABE516E"/>
    <w:multiLevelType w:val="hybridMultilevel"/>
    <w:tmpl w:val="79366E46"/>
    <w:lvl w:ilvl="0">
      <w:start w:val="1"/>
      <w:numFmt w:val="bullet"/>
      <w:lvlText w:val=""/>
      <w:lvlJc w:val="left"/>
      <w:pPr>
        <w:tabs>
          <w:tab w:val="num" w:pos="2070"/>
        </w:tabs>
        <w:ind w:left="2070" w:hanging="360"/>
      </w:pPr>
      <w:rPr>
        <w:rFonts w:ascii="Wingdings" w:hAnsi="Wingdings" w:hint="default"/>
      </w:rPr>
    </w:lvl>
    <w:lvl w:ilvl="1" w:tentative="1">
      <w:start w:val="1"/>
      <w:numFmt w:val="bullet"/>
      <w:lvlText w:val="o"/>
      <w:lvlJc w:val="left"/>
      <w:pPr>
        <w:tabs>
          <w:tab w:val="num" w:pos="2790"/>
        </w:tabs>
        <w:ind w:left="2790" w:hanging="360"/>
      </w:pPr>
      <w:rPr>
        <w:rFonts w:ascii="Courier New" w:hAnsi="Courier New" w:hint="default"/>
      </w:rPr>
    </w:lvl>
    <w:lvl w:ilvl="2" w:tentative="1">
      <w:start w:val="1"/>
      <w:numFmt w:val="bullet"/>
      <w:lvlText w:val=""/>
      <w:lvlJc w:val="left"/>
      <w:pPr>
        <w:tabs>
          <w:tab w:val="num" w:pos="3510"/>
        </w:tabs>
        <w:ind w:left="3510" w:hanging="360"/>
      </w:pPr>
      <w:rPr>
        <w:rFonts w:ascii="Wingdings" w:hAnsi="Wingdings" w:hint="default"/>
      </w:rPr>
    </w:lvl>
    <w:lvl w:ilvl="3" w:tentative="1">
      <w:start w:val="1"/>
      <w:numFmt w:val="bullet"/>
      <w:lvlText w:val=""/>
      <w:lvlJc w:val="left"/>
      <w:pPr>
        <w:tabs>
          <w:tab w:val="num" w:pos="4230"/>
        </w:tabs>
        <w:ind w:left="4230" w:hanging="360"/>
      </w:pPr>
      <w:rPr>
        <w:rFonts w:ascii="Symbol" w:hAnsi="Symbol" w:hint="default"/>
      </w:rPr>
    </w:lvl>
    <w:lvl w:ilvl="4" w:tentative="1">
      <w:start w:val="1"/>
      <w:numFmt w:val="bullet"/>
      <w:lvlText w:val="o"/>
      <w:lvlJc w:val="left"/>
      <w:pPr>
        <w:tabs>
          <w:tab w:val="num" w:pos="4950"/>
        </w:tabs>
        <w:ind w:left="4950" w:hanging="360"/>
      </w:pPr>
      <w:rPr>
        <w:rFonts w:ascii="Courier New" w:hAnsi="Courier New" w:hint="default"/>
      </w:rPr>
    </w:lvl>
    <w:lvl w:ilvl="5" w:tentative="1">
      <w:start w:val="1"/>
      <w:numFmt w:val="bullet"/>
      <w:lvlText w:val=""/>
      <w:lvlJc w:val="left"/>
      <w:pPr>
        <w:tabs>
          <w:tab w:val="num" w:pos="5670"/>
        </w:tabs>
        <w:ind w:left="5670" w:hanging="360"/>
      </w:pPr>
      <w:rPr>
        <w:rFonts w:ascii="Wingdings" w:hAnsi="Wingdings" w:hint="default"/>
      </w:rPr>
    </w:lvl>
    <w:lvl w:ilvl="6" w:tentative="1">
      <w:start w:val="1"/>
      <w:numFmt w:val="bullet"/>
      <w:lvlText w:val=""/>
      <w:lvlJc w:val="left"/>
      <w:pPr>
        <w:tabs>
          <w:tab w:val="num" w:pos="6390"/>
        </w:tabs>
        <w:ind w:left="6390" w:hanging="360"/>
      </w:pPr>
      <w:rPr>
        <w:rFonts w:ascii="Symbol" w:hAnsi="Symbol" w:hint="default"/>
      </w:rPr>
    </w:lvl>
    <w:lvl w:ilvl="7" w:tentative="1">
      <w:start w:val="1"/>
      <w:numFmt w:val="bullet"/>
      <w:lvlText w:val="o"/>
      <w:lvlJc w:val="left"/>
      <w:pPr>
        <w:tabs>
          <w:tab w:val="num" w:pos="7110"/>
        </w:tabs>
        <w:ind w:left="7110" w:hanging="360"/>
      </w:pPr>
      <w:rPr>
        <w:rFonts w:ascii="Courier New" w:hAnsi="Courier New" w:hint="default"/>
      </w:rPr>
    </w:lvl>
    <w:lvl w:ilvl="8" w:tentative="1">
      <w:start w:val="1"/>
      <w:numFmt w:val="bullet"/>
      <w:lvlText w:val=""/>
      <w:lvlJc w:val="left"/>
      <w:pPr>
        <w:tabs>
          <w:tab w:val="num" w:pos="7830"/>
        </w:tabs>
        <w:ind w:left="7830" w:hanging="360"/>
      </w:pPr>
      <w:rPr>
        <w:rFonts w:ascii="Wingdings" w:hAnsi="Wingdings" w:hint="default"/>
      </w:rPr>
    </w:lvl>
  </w:abstractNum>
  <w:abstractNum w:abstractNumId="254">
    <w:nsid w:val="6B002D51"/>
    <w:multiLevelType w:val="hybridMultilevel"/>
    <w:tmpl w:val="4E00B866"/>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700"/>
        </w:tabs>
        <w:ind w:left="2700" w:hanging="360"/>
      </w:pPr>
      <w:rPr>
        <w:rFonts w:ascii="Courier New" w:hAnsi="Courier New"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255">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56">
    <w:nsid w:val="6B8773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57">
    <w:nsid w:val="6BEA3A31"/>
    <w:multiLevelType w:val="hybridMultilevel"/>
    <w:tmpl w:val="40B613CA"/>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58">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0">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1">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2">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4">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5">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66">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67">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68">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69">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70">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3">
    <w:nsid w:val="76DD4F12"/>
    <w:multiLevelType w:val="hybridMultilevel"/>
    <w:tmpl w:val="601EE980"/>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74">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5">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76">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77">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8">
    <w:nsid w:val="7A1B1F4C"/>
    <w:multiLevelType w:val="hybridMultilevel"/>
    <w:tmpl w:val="A5F2C46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79">
    <w:nsid w:val="7A2660E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80">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1">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2">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3">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4">
    <w:nsid w:val="7F401B4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85">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30"/>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61"/>
  </w:num>
  <w:num w:numId="13">
    <w:abstractNumId w:val="192"/>
  </w:num>
  <w:num w:numId="14">
    <w:abstractNumId w:val="9"/>
  </w:num>
  <w:num w:numId="15">
    <w:abstractNumId w:val="266"/>
  </w:num>
  <w:num w:numId="16">
    <w:abstractNumId w:val="236"/>
  </w:num>
  <w:num w:numId="17">
    <w:abstractNumId w:val="224"/>
  </w:num>
  <w:num w:numId="18">
    <w:abstractNumId w:val="71"/>
  </w:num>
  <w:num w:numId="19">
    <w:abstractNumId w:val="227"/>
  </w:num>
  <w:num w:numId="20">
    <w:abstractNumId w:val="165"/>
  </w:num>
  <w:num w:numId="21">
    <w:abstractNumId w:val="268"/>
  </w:num>
  <w:num w:numId="22">
    <w:abstractNumId w:val="118"/>
  </w:num>
  <w:num w:numId="23">
    <w:abstractNumId w:val="129"/>
  </w:num>
  <w:num w:numId="24">
    <w:abstractNumId w:val="203"/>
  </w:num>
  <w:num w:numId="25">
    <w:abstractNumId w:val="92"/>
  </w:num>
  <w:num w:numId="26">
    <w:abstractNumId w:val="134"/>
  </w:num>
  <w:num w:numId="27">
    <w:abstractNumId w:val="243"/>
  </w:num>
  <w:num w:numId="28">
    <w:abstractNumId w:val="70"/>
  </w:num>
  <w:num w:numId="29">
    <w:abstractNumId w:val="58"/>
  </w:num>
  <w:num w:numId="30">
    <w:abstractNumId w:val="213"/>
  </w:num>
  <w:num w:numId="31">
    <w:abstractNumId w:val="163"/>
  </w:num>
  <w:num w:numId="32">
    <w:abstractNumId w:val="141"/>
  </w:num>
  <w:num w:numId="33">
    <w:abstractNumId w:val="64"/>
  </w:num>
  <w:num w:numId="34">
    <w:abstractNumId w:val="245"/>
  </w:num>
  <w:num w:numId="35">
    <w:abstractNumId w:val="210"/>
  </w:num>
  <w:num w:numId="36">
    <w:abstractNumId w:val="214"/>
  </w:num>
  <w:num w:numId="37">
    <w:abstractNumId w:val="225"/>
  </w:num>
  <w:num w:numId="38">
    <w:abstractNumId w:val="275"/>
  </w:num>
  <w:num w:numId="39">
    <w:abstractNumId w:val="179"/>
  </w:num>
  <w:num w:numId="40">
    <w:abstractNumId w:val="194"/>
  </w:num>
  <w:num w:numId="41">
    <w:abstractNumId w:val="175"/>
  </w:num>
  <w:num w:numId="42">
    <w:abstractNumId w:val="37"/>
  </w:num>
  <w:num w:numId="43">
    <w:abstractNumId w:val="234"/>
  </w:num>
  <w:num w:numId="44">
    <w:abstractNumId w:val="112"/>
  </w:num>
  <w:num w:numId="45">
    <w:abstractNumId w:val="190"/>
  </w:num>
  <w:num w:numId="46">
    <w:abstractNumId w:val="147"/>
  </w:num>
  <w:num w:numId="47">
    <w:abstractNumId w:val="26"/>
  </w:num>
  <w:num w:numId="48">
    <w:abstractNumId w:val="111"/>
  </w:num>
  <w:num w:numId="49">
    <w:abstractNumId w:val="211"/>
  </w:num>
  <w:num w:numId="50">
    <w:abstractNumId w:val="75"/>
  </w:num>
  <w:num w:numId="51">
    <w:abstractNumId w:val="33"/>
  </w:num>
  <w:num w:numId="52">
    <w:abstractNumId w:val="62"/>
  </w:num>
  <w:num w:numId="53">
    <w:abstractNumId w:val="22"/>
  </w:num>
  <w:num w:numId="54">
    <w:abstractNumId w:val="198"/>
  </w:num>
  <w:num w:numId="55">
    <w:abstractNumId w:val="69"/>
  </w:num>
  <w:num w:numId="56">
    <w:abstractNumId w:val="82"/>
  </w:num>
  <w:num w:numId="57">
    <w:abstractNumId w:val="44"/>
  </w:num>
  <w:num w:numId="58">
    <w:abstractNumId w:val="239"/>
  </w:num>
  <w:num w:numId="59">
    <w:abstractNumId w:val="30"/>
  </w:num>
  <w:num w:numId="60">
    <w:abstractNumId w:val="88"/>
  </w:num>
  <w:num w:numId="61">
    <w:abstractNumId w:val="222"/>
  </w:num>
  <w:num w:numId="62">
    <w:abstractNumId w:val="149"/>
  </w:num>
  <w:num w:numId="63">
    <w:abstractNumId w:val="285"/>
  </w:num>
  <w:num w:numId="64">
    <w:abstractNumId w:val="153"/>
  </w:num>
  <w:num w:numId="65">
    <w:abstractNumId w:val="66"/>
  </w:num>
  <w:num w:numId="66">
    <w:abstractNumId w:val="41"/>
  </w:num>
  <w:num w:numId="67">
    <w:abstractNumId w:val="36"/>
  </w:num>
  <w:num w:numId="68">
    <w:abstractNumId w:val="128"/>
  </w:num>
  <w:num w:numId="69">
    <w:abstractNumId w:val="61"/>
  </w:num>
  <w:num w:numId="70">
    <w:abstractNumId w:val="231"/>
  </w:num>
  <w:num w:numId="71">
    <w:abstractNumId w:val="127"/>
  </w:num>
  <w:num w:numId="72">
    <w:abstractNumId w:val="226"/>
  </w:num>
  <w:num w:numId="73">
    <w:abstractNumId w:val="80"/>
  </w:num>
  <w:num w:numId="74">
    <w:abstractNumId w:val="171"/>
  </w:num>
  <w:num w:numId="75">
    <w:abstractNumId w:val="100"/>
  </w:num>
  <w:num w:numId="76">
    <w:abstractNumId w:val="31"/>
  </w:num>
  <w:num w:numId="77">
    <w:abstractNumId w:val="206"/>
  </w:num>
  <w:num w:numId="78">
    <w:abstractNumId w:val="67"/>
  </w:num>
  <w:num w:numId="79">
    <w:abstractNumId w:val="168"/>
  </w:num>
  <w:num w:numId="80">
    <w:abstractNumId w:val="269"/>
  </w:num>
  <w:num w:numId="81">
    <w:abstractNumId w:val="101"/>
  </w:num>
  <w:num w:numId="82">
    <w:abstractNumId w:val="16"/>
  </w:num>
  <w:num w:numId="83">
    <w:abstractNumId w:val="232"/>
  </w:num>
  <w:num w:numId="84">
    <w:abstractNumId w:val="107"/>
  </w:num>
  <w:num w:numId="85">
    <w:abstractNumId w:val="102"/>
  </w:num>
  <w:num w:numId="86">
    <w:abstractNumId w:val="200"/>
  </w:num>
  <w:num w:numId="87">
    <w:abstractNumId w:val="195"/>
  </w:num>
  <w:num w:numId="88">
    <w:abstractNumId w:val="196"/>
  </w:num>
  <w:num w:numId="89">
    <w:abstractNumId w:val="197"/>
  </w:num>
  <w:num w:numId="90">
    <w:abstractNumId w:val="46"/>
  </w:num>
  <w:num w:numId="91">
    <w:abstractNumId w:val="105"/>
  </w:num>
  <w:num w:numId="92">
    <w:abstractNumId w:val="83"/>
  </w:num>
  <w:num w:numId="93">
    <w:abstractNumId w:val="115"/>
  </w:num>
  <w:num w:numId="94">
    <w:abstractNumId w:val="86"/>
  </w:num>
  <w:num w:numId="95">
    <w:abstractNumId w:val="187"/>
  </w:num>
  <w:num w:numId="96">
    <w:abstractNumId w:val="252"/>
  </w:num>
  <w:num w:numId="97">
    <w:abstractNumId w:val="10"/>
  </w:num>
  <w:num w:numId="98">
    <w:abstractNumId w:val="157"/>
  </w:num>
  <w:num w:numId="99">
    <w:abstractNumId w:val="90"/>
  </w:num>
  <w:num w:numId="100">
    <w:abstractNumId w:val="17"/>
  </w:num>
  <w:num w:numId="101">
    <w:abstractNumId w:val="89"/>
  </w:num>
  <w:num w:numId="102">
    <w:abstractNumId w:val="51"/>
  </w:num>
  <w:num w:numId="103">
    <w:abstractNumId w:val="178"/>
  </w:num>
  <w:num w:numId="104">
    <w:abstractNumId w:val="73"/>
  </w:num>
  <w:num w:numId="105">
    <w:abstractNumId w:val="11"/>
  </w:num>
  <w:num w:numId="106">
    <w:abstractNumId w:val="48"/>
  </w:num>
  <w:num w:numId="107">
    <w:abstractNumId w:val="204"/>
  </w:num>
  <w:num w:numId="108">
    <w:abstractNumId w:val="23"/>
  </w:num>
  <w:num w:numId="109">
    <w:abstractNumId w:val="265"/>
  </w:num>
  <w:num w:numId="110">
    <w:abstractNumId w:val="160"/>
  </w:num>
  <w:num w:numId="111">
    <w:abstractNumId w:val="117"/>
  </w:num>
  <w:num w:numId="112">
    <w:abstractNumId w:val="212"/>
  </w:num>
  <w:num w:numId="113">
    <w:abstractNumId w:val="91"/>
  </w:num>
  <w:num w:numId="114">
    <w:abstractNumId w:val="186"/>
  </w:num>
  <w:num w:numId="115">
    <w:abstractNumId w:val="77"/>
  </w:num>
  <w:num w:numId="116">
    <w:abstractNumId w:val="81"/>
  </w:num>
  <w:num w:numId="117">
    <w:abstractNumId w:val="47"/>
  </w:num>
  <w:num w:numId="118">
    <w:abstractNumId w:val="84"/>
  </w:num>
  <w:num w:numId="119">
    <w:abstractNumId w:val="173"/>
  </w:num>
  <w:num w:numId="120">
    <w:abstractNumId w:val="267"/>
  </w:num>
  <w:num w:numId="121">
    <w:abstractNumId w:val="272"/>
  </w:num>
  <w:num w:numId="122">
    <w:abstractNumId w:val="43"/>
  </w:num>
  <w:num w:numId="123">
    <w:abstractNumId w:val="145"/>
  </w:num>
  <w:num w:numId="124">
    <w:abstractNumId w:val="34"/>
  </w:num>
  <w:num w:numId="125">
    <w:abstractNumId w:val="184"/>
  </w:num>
  <w:num w:numId="126">
    <w:abstractNumId w:val="164"/>
  </w:num>
  <w:num w:numId="127">
    <w:abstractNumId w:val="260"/>
  </w:num>
  <w:num w:numId="128">
    <w:abstractNumId w:val="150"/>
  </w:num>
  <w:num w:numId="129">
    <w:abstractNumId w:val="148"/>
  </w:num>
  <w:num w:numId="130">
    <w:abstractNumId w:val="181"/>
  </w:num>
  <w:num w:numId="131">
    <w:abstractNumId w:val="103"/>
  </w:num>
  <w:num w:numId="132">
    <w:abstractNumId w:val="221"/>
  </w:num>
  <w:num w:numId="133">
    <w:abstractNumId w:val="228"/>
  </w:num>
  <w:num w:numId="134">
    <w:abstractNumId w:val="183"/>
  </w:num>
  <w:num w:numId="135">
    <w:abstractNumId w:val="154"/>
  </w:num>
  <w:num w:numId="136">
    <w:abstractNumId w:val="15"/>
  </w:num>
  <w:num w:numId="137">
    <w:abstractNumId w:val="109"/>
  </w:num>
  <w:num w:numId="138">
    <w:abstractNumId w:val="110"/>
  </w:num>
  <w:num w:numId="139">
    <w:abstractNumId w:val="255"/>
  </w:num>
  <w:num w:numId="140">
    <w:abstractNumId w:val="276"/>
  </w:num>
  <w:num w:numId="141">
    <w:abstractNumId w:val="79"/>
  </w:num>
  <w:num w:numId="142">
    <w:abstractNumId w:val="45"/>
  </w:num>
  <w:num w:numId="143">
    <w:abstractNumId w:val="138"/>
  </w:num>
  <w:num w:numId="144">
    <w:abstractNumId w:val="189"/>
  </w:num>
  <w:num w:numId="145">
    <w:abstractNumId w:val="19"/>
  </w:num>
  <w:num w:numId="146">
    <w:abstractNumId w:val="223"/>
  </w:num>
  <w:num w:numId="147">
    <w:abstractNumId w:val="52"/>
  </w:num>
  <w:num w:numId="148">
    <w:abstractNumId w:val="156"/>
  </w:num>
  <w:num w:numId="149">
    <w:abstractNumId w:val="237"/>
  </w:num>
  <w:num w:numId="150">
    <w:abstractNumId w:val="282"/>
  </w:num>
  <w:num w:numId="151">
    <w:abstractNumId w:val="28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83"/>
  </w:num>
  <w:num w:numId="153">
    <w:abstractNumId w:val="28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40"/>
  </w:num>
  <w:num w:numId="155">
    <w:abstractNumId w:val="24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9"/>
  </w:num>
  <w:num w:numId="157">
    <w:abstractNumId w:val="248"/>
  </w:num>
  <w:num w:numId="158">
    <w:abstractNumId w:val="35"/>
  </w:num>
  <w:num w:numId="159">
    <w:abstractNumId w:val="57"/>
  </w:num>
  <w:num w:numId="160">
    <w:abstractNumId w:val="49"/>
  </w:num>
  <w:num w:numId="161">
    <w:abstractNumId w:val="274"/>
  </w:num>
  <w:num w:numId="162">
    <w:abstractNumId w:val="220"/>
  </w:num>
  <w:num w:numId="163">
    <w:abstractNumId w:val="2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62"/>
  </w:num>
  <w:num w:numId="165">
    <w:abstractNumId w:val="1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22"/>
  </w:num>
  <w:num w:numId="167">
    <w:abstractNumId w:val="217"/>
  </w:num>
  <w:num w:numId="168">
    <w:abstractNumId w:val="38"/>
  </w:num>
  <w:num w:numId="169">
    <w:abstractNumId w:val="209"/>
  </w:num>
  <w:num w:numId="170">
    <w:abstractNumId w:val="209"/>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80"/>
  </w:num>
  <w:num w:numId="174">
    <w:abstractNumId w:val="28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5"/>
  </w:num>
  <w:num w:numId="176">
    <w:abstractNumId w:val="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35"/>
  </w:num>
  <w:num w:numId="178">
    <w:abstractNumId w:val="271"/>
  </w:num>
  <w:num w:numId="179">
    <w:abstractNumId w:val="241"/>
  </w:num>
  <w:num w:numId="180">
    <w:abstractNumId w:val="172"/>
  </w:num>
  <w:num w:numId="181">
    <w:abstractNumId w:val="1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3"/>
  </w:num>
  <w:num w:numId="183">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51"/>
  </w:num>
  <w:num w:numId="185">
    <w:abstractNumId w:val="133"/>
  </w:num>
  <w:num w:numId="186">
    <w:abstractNumId w:val="135"/>
  </w:num>
  <w:num w:numId="187">
    <w:abstractNumId w:val="1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4"/>
  </w:num>
  <w:num w:numId="189">
    <w:abstractNumId w:val="10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76"/>
  </w:num>
  <w:num w:numId="191">
    <w:abstractNumId w:val="17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23"/>
  </w:num>
  <w:num w:numId="193">
    <w:abstractNumId w:val="12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6"/>
  </w:num>
  <w:num w:numId="195">
    <w:abstractNumId w:val="65"/>
  </w:num>
  <w:num w:numId="196">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42"/>
  </w:num>
  <w:num w:numId="198">
    <w:abstractNumId w:val="119"/>
  </w:num>
  <w:num w:numId="199">
    <w:abstractNumId w:val="1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42"/>
  </w:num>
  <w:num w:numId="201">
    <w:abstractNumId w:val="185"/>
  </w:num>
  <w:num w:numId="202">
    <w:abstractNumId w:val="54"/>
  </w:num>
  <w:num w:numId="203">
    <w:abstractNumId w:val="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7"/>
  </w:num>
  <w:num w:numId="205">
    <w:abstractNumId w:val="13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6"/>
  </w:num>
  <w:num w:numId="207">
    <w:abstractNumId w:val="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5"/>
  </w:num>
  <w:num w:numId="209">
    <w:abstractNumId w:val="12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7"/>
  </w:num>
  <w:num w:numId="211">
    <w:abstractNumId w:val="20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7"/>
  </w:num>
  <w:num w:numId="213">
    <w:abstractNumId w:val="114"/>
  </w:num>
  <w:num w:numId="214">
    <w:abstractNumId w:val="182"/>
  </w:num>
  <w:num w:numId="215">
    <w:abstractNumId w:val="108"/>
  </w:num>
  <w:num w:numId="216">
    <w:abstractNumId w:val="10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2"/>
  </w:num>
  <w:num w:numId="218">
    <w:abstractNumId w:val="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9"/>
  </w:num>
  <w:num w:numId="220">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64"/>
  </w:num>
  <w:num w:numId="222">
    <w:abstractNumId w:val="26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44"/>
  </w:num>
  <w:num w:numId="224">
    <w:abstractNumId w:val="14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4"/>
  </w:num>
  <w:num w:numId="226">
    <w:abstractNumId w:val="98"/>
  </w:num>
  <w:num w:numId="227">
    <w:abstractNumId w:val="247"/>
  </w:num>
  <w:num w:numId="228">
    <w:abstractNumId w:val="24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55"/>
  </w:num>
  <w:num w:numId="230">
    <w:abstractNumId w:val="174"/>
  </w:num>
  <w:num w:numId="231">
    <w:abstractNumId w:val="215"/>
  </w:num>
  <w:num w:numId="232">
    <w:abstractNumId w:val="78"/>
  </w:num>
  <w:num w:numId="233">
    <w:abstractNumId w:val="191"/>
  </w:num>
  <w:num w:numId="234">
    <w:abstractNumId w:val="151"/>
  </w:num>
  <w:num w:numId="235">
    <w:abstractNumId w:val="1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33"/>
  </w:num>
  <w:num w:numId="237">
    <w:abstractNumId w:val="166"/>
  </w:num>
  <w:num w:numId="238">
    <w:abstractNumId w:val="1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40"/>
  </w:num>
  <w:num w:numId="240">
    <w:abstractNumId w:val="124"/>
  </w:num>
  <w:num w:numId="241">
    <w:abstractNumId w:val="1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50"/>
  </w:num>
  <w:num w:numId="243">
    <w:abstractNumId w:val="14"/>
  </w:num>
  <w:num w:numId="244">
    <w:abstractNumId w:val="59"/>
  </w:num>
  <w:num w:numId="245">
    <w:abstractNumId w:val="68"/>
  </w:num>
  <w:num w:numId="246">
    <w:abstractNumId w:val="6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6"/>
  </w:num>
  <w:num w:numId="248">
    <w:abstractNumId w:val="132"/>
  </w:num>
  <w:num w:numId="249">
    <w:abstractNumId w:val="281"/>
  </w:num>
  <w:num w:numId="250">
    <w:abstractNumId w:val="94"/>
  </w:num>
  <w:num w:numId="251">
    <w:abstractNumId w:val="263"/>
  </w:num>
  <w:num w:numId="252">
    <w:abstractNumId w:val="167"/>
  </w:num>
  <w:num w:numId="253">
    <w:abstractNumId w:val="230"/>
  </w:num>
  <w:num w:numId="254">
    <w:abstractNumId w:val="2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201"/>
  </w:num>
  <w:num w:numId="256">
    <w:abstractNumId w:val="20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59"/>
  </w:num>
  <w:num w:numId="258">
    <w:abstractNumId w:val="25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93"/>
  </w:num>
  <w:num w:numId="260">
    <w:abstractNumId w:val="136"/>
  </w:num>
  <w:num w:numId="261">
    <w:abstractNumId w:val="13"/>
  </w:num>
  <w:num w:numId="262">
    <w:abstractNumId w:val="246"/>
  </w:num>
  <w:num w:numId="263">
    <w:abstractNumId w:val="188"/>
  </w:num>
  <w:num w:numId="264">
    <w:abstractNumId w:val="159"/>
  </w:num>
  <w:num w:numId="265">
    <w:abstractNumId w:val="87"/>
  </w:num>
  <w:num w:numId="266">
    <w:abstractNumId w:val="12"/>
  </w:num>
  <w:num w:numId="267">
    <w:abstractNumId w:val="270"/>
  </w:num>
  <w:num w:numId="268">
    <w:abstractNumId w:val="244"/>
  </w:num>
  <w:num w:numId="269">
    <w:abstractNumId w:val="202"/>
  </w:num>
  <w:num w:numId="270">
    <w:abstractNumId w:val="32"/>
  </w:num>
  <w:num w:numId="271">
    <w:abstractNumId w:val="277"/>
  </w:num>
  <w:num w:numId="272">
    <w:abstractNumId w:val="25"/>
  </w:num>
  <w:num w:numId="273">
    <w:abstractNumId w:val="143"/>
  </w:num>
  <w:num w:numId="274">
    <w:abstractNumId w:val="113"/>
  </w:num>
  <w:num w:numId="275">
    <w:abstractNumId w:val="121"/>
  </w:num>
  <w:num w:numId="276">
    <w:abstractNumId w:val="53"/>
  </w:num>
  <w:num w:numId="277">
    <w:abstractNumId w:val="238"/>
  </w:num>
  <w:num w:numId="278">
    <w:abstractNumId w:val="42"/>
  </w:num>
  <w:num w:numId="279">
    <w:abstractNumId w:val="29"/>
  </w:num>
  <w:num w:numId="280">
    <w:abstractNumId w:val="262"/>
  </w:num>
  <w:num w:numId="281">
    <w:abstractNumId w:val="161"/>
  </w:num>
  <w:num w:numId="282">
    <w:abstractNumId w:val="27"/>
  </w:num>
  <w:num w:numId="283">
    <w:abstractNumId w:val="28"/>
  </w:num>
  <w:num w:numId="284">
    <w:abstractNumId w:val="258"/>
  </w:num>
  <w:num w:numId="285">
    <w:abstractNumId w:val="199"/>
  </w:num>
  <w:num w:numId="286">
    <w:abstractNumId w:val="7"/>
  </w:num>
  <w:num w:numId="287">
    <w:abstractNumId w:val="6"/>
  </w:num>
  <w:num w:numId="288">
    <w:abstractNumId w:val="5"/>
  </w:num>
  <w:num w:numId="289">
    <w:abstractNumId w:val="4"/>
  </w:num>
  <w:num w:numId="290">
    <w:abstractNumId w:val="20"/>
  </w:num>
  <w:num w:numId="291">
    <w:abstractNumId w:val="126"/>
  </w:num>
  <w:num w:numId="292">
    <w:abstractNumId w:val="170"/>
  </w:num>
  <w:num w:numId="293">
    <w:abstractNumId w:val="256"/>
  </w:num>
  <w:num w:numId="294">
    <w:abstractNumId w:val="93"/>
  </w:num>
  <w:num w:numId="295">
    <w:abstractNumId w:val="279"/>
  </w:num>
  <w:num w:numId="296">
    <w:abstractNumId w:val="60"/>
  </w:num>
  <w:num w:numId="297">
    <w:abstractNumId w:val="284"/>
  </w:num>
  <w:num w:numId="298">
    <w:abstractNumId w:val="97"/>
  </w:num>
  <w:num w:numId="299">
    <w:abstractNumId w:val="55"/>
  </w:num>
  <w:num w:numId="300">
    <w:abstractNumId w:val="152"/>
  </w:num>
  <w:num w:numId="301">
    <w:abstractNumId w:val="99"/>
  </w:num>
  <w:num w:numId="302">
    <w:abstractNumId w:val="21"/>
  </w:num>
  <w:num w:numId="303">
    <w:abstractNumId w:val="139"/>
  </w:num>
  <w:num w:numId="304">
    <w:abstractNumId w:val="85"/>
  </w:num>
  <w:num w:numId="305">
    <w:abstractNumId w:val="120"/>
  </w:num>
  <w:num w:numId="306">
    <w:abstractNumId w:val="158"/>
  </w:num>
  <w:num w:numId="307">
    <w:abstractNumId w:val="249"/>
  </w:num>
  <w:num w:numId="308">
    <w:abstractNumId w:val="76"/>
  </w:num>
  <w:num w:numId="309">
    <w:abstractNumId w:val="40"/>
  </w:num>
  <w:num w:numId="310">
    <w:abstractNumId w:val="180"/>
  </w:num>
  <w:num w:numId="311">
    <w:abstractNumId w:val="216"/>
  </w:num>
  <w:num w:numId="312">
    <w:abstractNumId w:val="254"/>
  </w:num>
  <w:num w:numId="313">
    <w:abstractNumId w:val="253"/>
  </w:num>
  <w:num w:numId="314">
    <w:abstractNumId w:val="208"/>
  </w:num>
  <w:num w:numId="315">
    <w:abstractNumId w:val="96"/>
  </w:num>
  <w:num w:numId="316">
    <w:abstractNumId w:val="257"/>
  </w:num>
  <w:num w:numId="317">
    <w:abstractNumId w:val="273"/>
  </w:num>
  <w:num w:numId="318">
    <w:abstractNumId w:val="205"/>
  </w:num>
  <w:num w:numId="319">
    <w:abstractNumId w:val="218"/>
  </w:num>
  <w:num w:numId="320">
    <w:abstractNumId w:val="116"/>
  </w:num>
  <w:num w:numId="321">
    <w:abstractNumId w:val="278"/>
  </w:num>
  <w:num w:numId="322">
    <w:abstractNumId w:val="131"/>
  </w:num>
  <w:num w:numId="323">
    <w:abstractNumId w:val="39"/>
  </w:num>
  <w:num w:numId="324">
    <w:abstractNumId w:val="219"/>
  </w:num>
  <w:num w:numId="325">
    <w:abstractNumId w:val="250"/>
  </w:num>
  <w:num w:numId="326">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doNotTrackMoves/>
  <w:defaultTabStop w:val="475"/>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outlineLvl w:val="3"/>
    </w:pPr>
    <w:rPr>
      <w:b/>
    </w:rPr>
  </w:style>
  <w:style w:type="paragraph" w:styleId="Heading5">
    <w:name w:val="heading 5"/>
    <w:basedOn w:val="Normal"/>
    <w:next w:val="Normal"/>
    <w:qFormat/>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jc w:val="both"/>
      <w:outlineLvl w:val="4"/>
    </w:pPr>
    <w:rPr>
      <w:i/>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styleId="BlockText">
    <w:name w:val="Block Text"/>
    <w:basedOn w:val="Normal"/>
    <w:semiHidden/>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3</Pages>
  <Words>37005</Words>
  <Characters>210931</Characters>
  <Application>Microsoft Office Word</Application>
  <DocSecurity>4</DocSecurity>
  <Lines>1757</Lines>
  <Paragraphs>421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259038</CharactersWithSpaces>
  <SharedDoc>false</SharedDoc>
  <HLinks>
    <vt:vector size="6" baseType="variant">
      <vt:variant>
        <vt:i4>8257630</vt:i4>
      </vt:variant>
      <vt:variant>
        <vt:i4>512360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6</cp:revision>
  <cp:lastPrinted>2005-06-15T18:35:00Z</cp:lastPrinted>
  <dcterms:created xsi:type="dcterms:W3CDTF">2005-06-15T18:34:00Z</dcterms:created>
  <dcterms:modified xsi:type="dcterms:W3CDTF">2005-06-15T20:57:00Z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106</vt:lpwstr>
  </property>
  <property fmtid="{D5CDD505-2E9C-101B-9397-08002B2CF9AE}" pid="8" name="Operator">
    <vt:lpwstr>Паничкина</vt:lpwstr>
  </property>
</Properties>
</file>