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88D" w:rsidRDefault="00F0788D" w:rsidP="00F0788D">
      <w:pPr>
        <w:spacing w:line="60" w:lineRule="exact"/>
        <w:rPr>
          <w:sz w:val="6"/>
        </w:rPr>
        <w:sectPr w:rsidR="00F0788D" w:rsidSect="00F0788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0788D" w:rsidRDefault="00F0788D" w:rsidP="00F0788D">
      <w:pPr>
        <w:spacing w:line="60" w:lineRule="exact"/>
        <w:rPr>
          <w:sz w:val="6"/>
        </w:rPr>
      </w:pPr>
    </w:p>
    <w:p w:rsidR="00ED3EBD" w:rsidRDefault="00ED3EBD" w:rsidP="001943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D3EBD" w:rsidRPr="0019433C" w:rsidRDefault="00ED3EBD" w:rsidP="0019433C">
      <w:pPr>
        <w:pStyle w:val="SingleTxt"/>
        <w:spacing w:after="60"/>
        <w:ind w:left="0"/>
        <w:rPr>
          <w:rFonts w:ascii="SimHei" w:eastAsia="SimHei" w:hint="eastAsia"/>
          <w:color w:val="FF0000"/>
        </w:rPr>
      </w:pPr>
      <w:r w:rsidRPr="0019433C">
        <w:rPr>
          <w:rFonts w:ascii="SimHei" w:eastAsia="SimHei" w:hint="eastAsia"/>
          <w:color w:val="FF0000"/>
        </w:rPr>
        <w:t>第四十三届会议</w:t>
      </w:r>
    </w:p>
    <w:p w:rsidR="00ED3EBD" w:rsidRDefault="00ED3EBD" w:rsidP="0019433C">
      <w:pPr>
        <w:pStyle w:val="SingleTxt"/>
        <w:spacing w:after="60"/>
        <w:ind w:left="0"/>
        <w:rPr>
          <w:rFonts w:hint="eastAsia"/>
        </w:rPr>
      </w:pPr>
      <w:r>
        <w:rPr>
          <w:rFonts w:hint="eastAsia"/>
        </w:rPr>
        <w:t>2009年1月19日至2月6日</w:t>
      </w:r>
    </w:p>
    <w:p w:rsidR="00ED3EBD" w:rsidRDefault="00ED3EBD" w:rsidP="00ED3EBD">
      <w:pPr>
        <w:pStyle w:val="SingleTxt"/>
      </w:pPr>
    </w:p>
    <w:p w:rsidR="00ED3EBD" w:rsidRDefault="0019433C" w:rsidP="001943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ED3EBD">
        <w:rPr>
          <w:rFonts w:hint="eastAsia"/>
        </w:rPr>
        <w:t>临时议程</w:t>
      </w:r>
    </w:p>
    <w:p w:rsidR="0019433C" w:rsidRPr="0019433C" w:rsidRDefault="0019433C" w:rsidP="0019433C">
      <w:pPr>
        <w:pStyle w:val="SingleTxt"/>
        <w:spacing w:after="0" w:line="120" w:lineRule="exact"/>
        <w:rPr>
          <w:sz w:val="10"/>
        </w:rPr>
      </w:pPr>
    </w:p>
    <w:p w:rsidR="0019433C" w:rsidRPr="0019433C" w:rsidRDefault="0019433C" w:rsidP="0019433C">
      <w:pPr>
        <w:pStyle w:val="SingleTxt"/>
        <w:spacing w:after="0" w:line="120" w:lineRule="exact"/>
        <w:rPr>
          <w:rFonts w:hint="eastAsia"/>
          <w:sz w:val="10"/>
        </w:rPr>
      </w:pPr>
    </w:p>
    <w:p w:rsidR="00ED3EBD" w:rsidRDefault="00ED3EBD" w:rsidP="00ED3EBD">
      <w:pPr>
        <w:pStyle w:val="SingleTxt"/>
        <w:rPr>
          <w:rFonts w:hint="eastAsia"/>
        </w:rPr>
      </w:pPr>
      <w:r>
        <w:rPr>
          <w:rFonts w:hint="eastAsia"/>
        </w:rPr>
        <w:t>1.</w:t>
      </w:r>
      <w:r>
        <w:rPr>
          <w:rFonts w:hint="eastAsia"/>
        </w:rPr>
        <w:tab/>
        <w:t>会议开幕。</w:t>
      </w:r>
    </w:p>
    <w:p w:rsidR="00ED3EBD" w:rsidRDefault="00ED3EBD" w:rsidP="00ED3EBD">
      <w:pPr>
        <w:pStyle w:val="SingleTxt"/>
        <w:rPr>
          <w:rFonts w:hint="eastAsia"/>
        </w:rPr>
      </w:pPr>
      <w:r>
        <w:rPr>
          <w:rFonts w:hint="eastAsia"/>
        </w:rPr>
        <w:t>2.</w:t>
      </w:r>
      <w:r>
        <w:rPr>
          <w:rFonts w:hint="eastAsia"/>
        </w:rPr>
        <w:tab/>
        <w:t>通过议程和工作安排。</w:t>
      </w:r>
    </w:p>
    <w:p w:rsidR="00ED3EBD" w:rsidRDefault="00ED3EBD" w:rsidP="00ED3EBD">
      <w:pPr>
        <w:pStyle w:val="SingleTxt"/>
        <w:rPr>
          <w:rFonts w:hint="eastAsia"/>
        </w:rPr>
      </w:pPr>
      <w:r>
        <w:rPr>
          <w:rFonts w:hint="eastAsia"/>
        </w:rPr>
        <w:t>3.</w:t>
      </w:r>
      <w:r>
        <w:rPr>
          <w:rFonts w:hint="eastAsia"/>
        </w:rPr>
        <w:tab/>
        <w:t>委员会新成员庄严宣誓。</w:t>
      </w:r>
    </w:p>
    <w:p w:rsidR="00ED3EBD" w:rsidRDefault="00ED3EBD" w:rsidP="00ED3EBD">
      <w:pPr>
        <w:pStyle w:val="SingleTxt"/>
        <w:rPr>
          <w:rFonts w:hint="eastAsia"/>
        </w:rPr>
      </w:pPr>
      <w:r>
        <w:rPr>
          <w:rFonts w:hint="eastAsia"/>
        </w:rPr>
        <w:t>4.</w:t>
      </w:r>
      <w:r>
        <w:rPr>
          <w:rFonts w:hint="eastAsia"/>
        </w:rPr>
        <w:tab/>
        <w:t>主席关于委员会第四十二届会议至第四十三届会议闭会期间活动的报告。</w:t>
      </w:r>
    </w:p>
    <w:p w:rsidR="00ED3EBD" w:rsidRDefault="00ED3EBD" w:rsidP="00ED3EBD">
      <w:pPr>
        <w:pStyle w:val="SingleTxt"/>
        <w:rPr>
          <w:rFonts w:hint="eastAsia"/>
        </w:rPr>
      </w:pPr>
      <w:r>
        <w:rPr>
          <w:rFonts w:hint="eastAsia"/>
        </w:rPr>
        <w:t>5.</w:t>
      </w:r>
      <w:r>
        <w:rPr>
          <w:rFonts w:hint="eastAsia"/>
        </w:rPr>
        <w:tab/>
        <w:t>选举主席团成员。</w:t>
      </w:r>
    </w:p>
    <w:p w:rsidR="00ED3EBD" w:rsidRDefault="00ED3EBD" w:rsidP="00ED3EBD">
      <w:pPr>
        <w:pStyle w:val="SingleTxt"/>
        <w:rPr>
          <w:rFonts w:hint="eastAsia"/>
        </w:rPr>
      </w:pPr>
      <w:r>
        <w:rPr>
          <w:rFonts w:hint="eastAsia"/>
        </w:rPr>
        <w:t>6.</w:t>
      </w:r>
      <w:r>
        <w:rPr>
          <w:rFonts w:hint="eastAsia"/>
        </w:rPr>
        <w:tab/>
        <w:t>审议缔约国根据《消除对妇女一切形式歧视公约》第十八条提交的报告。</w:t>
      </w:r>
    </w:p>
    <w:p w:rsidR="00ED3EBD" w:rsidRDefault="00ED3EBD" w:rsidP="00ED3EBD">
      <w:pPr>
        <w:pStyle w:val="SingleTxt"/>
        <w:rPr>
          <w:rFonts w:hint="eastAsia"/>
        </w:rPr>
      </w:pPr>
      <w:r>
        <w:rPr>
          <w:rFonts w:hint="eastAsia"/>
        </w:rPr>
        <w:t>7.</w:t>
      </w:r>
      <w:r>
        <w:rPr>
          <w:rFonts w:hint="eastAsia"/>
        </w:rPr>
        <w:tab/>
        <w:t>《消除对妇女一切形式歧视公约》第二十一条的执行情况。</w:t>
      </w:r>
    </w:p>
    <w:p w:rsidR="00ED3EBD" w:rsidRDefault="00ED3EBD" w:rsidP="00ED3EBD">
      <w:pPr>
        <w:pStyle w:val="SingleTxt"/>
        <w:rPr>
          <w:rFonts w:hint="eastAsia"/>
        </w:rPr>
      </w:pPr>
      <w:r>
        <w:rPr>
          <w:rFonts w:hint="eastAsia"/>
        </w:rPr>
        <w:t>8.</w:t>
      </w:r>
      <w:r>
        <w:rPr>
          <w:rFonts w:hint="eastAsia"/>
        </w:rPr>
        <w:tab/>
        <w:t>加快委员会工作的方式和方法。</w:t>
      </w:r>
    </w:p>
    <w:p w:rsidR="00ED3EBD" w:rsidRDefault="00ED3EBD" w:rsidP="00ED3EBD">
      <w:pPr>
        <w:pStyle w:val="SingleTxt"/>
        <w:rPr>
          <w:rFonts w:hint="eastAsia"/>
        </w:rPr>
      </w:pPr>
      <w:r>
        <w:rPr>
          <w:rFonts w:hint="eastAsia"/>
        </w:rPr>
        <w:t>9.</w:t>
      </w:r>
      <w:r>
        <w:rPr>
          <w:rFonts w:hint="eastAsia"/>
        </w:rPr>
        <w:tab/>
        <w:t>委员会根据《消除对妇女一切形式歧视公约任择议定书》开展的活动。</w:t>
      </w:r>
    </w:p>
    <w:p w:rsidR="00ED3EBD" w:rsidRDefault="00ED3EBD" w:rsidP="00ED3EBD">
      <w:pPr>
        <w:pStyle w:val="SingleTxt"/>
        <w:rPr>
          <w:rFonts w:hint="eastAsia"/>
        </w:rPr>
      </w:pPr>
      <w:r>
        <w:rPr>
          <w:rFonts w:hint="eastAsia"/>
        </w:rPr>
        <w:t>10.</w:t>
      </w:r>
      <w:r>
        <w:rPr>
          <w:rFonts w:hint="eastAsia"/>
        </w:rPr>
        <w:tab/>
        <w:t>委员会第四十四届会议临时议程。</w:t>
      </w:r>
    </w:p>
    <w:p w:rsidR="00ED3EBD" w:rsidRDefault="00ED3EBD" w:rsidP="00ED3EBD">
      <w:pPr>
        <w:pStyle w:val="SingleTxt"/>
        <w:rPr>
          <w:rFonts w:hint="eastAsia"/>
        </w:rPr>
      </w:pPr>
      <w:r>
        <w:rPr>
          <w:rFonts w:hint="eastAsia"/>
        </w:rPr>
        <w:t>11.</w:t>
      </w:r>
      <w:r>
        <w:rPr>
          <w:rFonts w:hint="eastAsia"/>
        </w:rPr>
        <w:tab/>
        <w:t>通过委员会第四十三届会议的报告。</w:t>
      </w:r>
    </w:p>
    <w:p w:rsidR="0019433C" w:rsidRDefault="00ED3EBD" w:rsidP="00ED3EBD">
      <w:pPr>
        <w:pStyle w:val="SingleTxt"/>
      </w:pPr>
      <w:r>
        <w:t xml:space="preserve"> </w:t>
      </w:r>
    </w:p>
    <w:p w:rsidR="00ED3EBD" w:rsidRDefault="0019433C" w:rsidP="001943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r>
      <w:r w:rsidR="00ED3EBD">
        <w:rPr>
          <w:rFonts w:hint="eastAsia"/>
        </w:rPr>
        <w:t>说明</w:t>
      </w:r>
    </w:p>
    <w:p w:rsidR="0019433C" w:rsidRPr="0019433C" w:rsidRDefault="0019433C" w:rsidP="0019433C">
      <w:pPr>
        <w:pStyle w:val="SingleTxt"/>
        <w:spacing w:after="0" w:line="120" w:lineRule="exact"/>
        <w:rPr>
          <w:sz w:val="10"/>
        </w:rPr>
      </w:pPr>
    </w:p>
    <w:p w:rsidR="0019433C" w:rsidRPr="0019433C" w:rsidRDefault="0019433C" w:rsidP="0019433C">
      <w:pPr>
        <w:pStyle w:val="SingleTxt"/>
        <w:spacing w:after="0" w:line="120" w:lineRule="exact"/>
        <w:rPr>
          <w:rFonts w:hint="eastAsia"/>
          <w:sz w:val="10"/>
        </w:rPr>
      </w:pPr>
    </w:p>
    <w:p w:rsidR="00ED3EBD" w:rsidRPr="0019433C" w:rsidRDefault="00ED3EBD" w:rsidP="00ED3EBD">
      <w:pPr>
        <w:pStyle w:val="SingleTxt"/>
        <w:rPr>
          <w:rFonts w:ascii="SimHei" w:eastAsia="SimHei" w:hint="eastAsia"/>
          <w:color w:val="FF0000"/>
        </w:rPr>
      </w:pPr>
      <w:r w:rsidRPr="0019433C">
        <w:rPr>
          <w:rFonts w:ascii="SimHei" w:eastAsia="SimHei" w:hint="eastAsia"/>
          <w:color w:val="FF0000"/>
        </w:rPr>
        <w:t>项目1</w:t>
      </w:r>
      <w:r w:rsidR="0019433C" w:rsidRPr="0019433C">
        <w:rPr>
          <w:rFonts w:ascii="SimHei" w:eastAsia="SimHei"/>
          <w:color w:val="FF0000"/>
        </w:rPr>
        <w:br/>
      </w:r>
      <w:r w:rsidRPr="0019433C">
        <w:rPr>
          <w:rFonts w:ascii="SimHei" w:eastAsia="SimHei" w:hint="eastAsia"/>
          <w:color w:val="FF0000"/>
        </w:rPr>
        <w:t>会议开幕</w:t>
      </w:r>
    </w:p>
    <w:p w:rsidR="00ED3EBD" w:rsidRDefault="0019433C" w:rsidP="00ED3EBD">
      <w:pPr>
        <w:pStyle w:val="SingleTxt"/>
        <w:rPr>
          <w:rFonts w:hint="eastAsia"/>
        </w:rPr>
      </w:pPr>
      <w:r>
        <w:rPr>
          <w:rFonts w:hint="eastAsia"/>
        </w:rPr>
        <w:tab/>
      </w:r>
      <w:r w:rsidR="00ED3EBD">
        <w:rPr>
          <w:rFonts w:hint="eastAsia"/>
        </w:rPr>
        <w:t>消除对妇女歧视委员会主席宣布第四十三届会议开幕。</w:t>
      </w:r>
    </w:p>
    <w:p w:rsidR="00ED3EBD" w:rsidRPr="0019433C" w:rsidRDefault="00ED3EBD" w:rsidP="00ED3EBD">
      <w:pPr>
        <w:pStyle w:val="SingleTxt"/>
        <w:rPr>
          <w:rFonts w:ascii="SimHei" w:eastAsia="SimHei" w:hint="eastAsia"/>
          <w:color w:val="FF0000"/>
        </w:rPr>
      </w:pPr>
      <w:r w:rsidRPr="0019433C">
        <w:rPr>
          <w:rFonts w:ascii="SimHei" w:eastAsia="SimHei" w:hint="eastAsia"/>
          <w:color w:val="FF0000"/>
        </w:rPr>
        <w:t>项目2</w:t>
      </w:r>
      <w:r w:rsidR="0019433C" w:rsidRPr="0019433C">
        <w:rPr>
          <w:rFonts w:ascii="SimHei" w:eastAsia="SimHei"/>
          <w:color w:val="FF0000"/>
        </w:rPr>
        <w:br/>
      </w:r>
      <w:r w:rsidRPr="0019433C">
        <w:rPr>
          <w:rFonts w:ascii="SimHei" w:eastAsia="SimHei" w:hint="eastAsia"/>
          <w:color w:val="FF0000"/>
        </w:rPr>
        <w:t>通过议程和工作安排</w:t>
      </w:r>
    </w:p>
    <w:p w:rsidR="00ED3EBD" w:rsidRDefault="0019433C" w:rsidP="00ED3EBD">
      <w:pPr>
        <w:pStyle w:val="SingleTxt"/>
        <w:rPr>
          <w:rFonts w:hint="eastAsia"/>
        </w:rPr>
      </w:pPr>
      <w:r>
        <w:rPr>
          <w:rFonts w:hint="eastAsia"/>
        </w:rPr>
        <w:tab/>
      </w:r>
      <w:r w:rsidR="00ED3EBD">
        <w:rPr>
          <w:rFonts w:hint="eastAsia"/>
        </w:rPr>
        <w:t>议事规则第9条规定，任何一届会议临时议程上的第一个实质性项目应为通过议程。第7条规定，每届会议临时议程应由秘书长按照《公约》第十七条至第二十二条相关规定与委员会主席协商拟订。</w:t>
      </w:r>
    </w:p>
    <w:p w:rsidR="00ED3EBD" w:rsidRDefault="0019433C" w:rsidP="00ED3EBD">
      <w:pPr>
        <w:pStyle w:val="SingleTxt"/>
        <w:rPr>
          <w:rFonts w:hint="eastAsia"/>
        </w:rPr>
      </w:pPr>
      <w:r>
        <w:rPr>
          <w:rFonts w:hint="eastAsia"/>
        </w:rPr>
        <w:tab/>
      </w:r>
      <w:r w:rsidR="00ED3EBD">
        <w:rPr>
          <w:rFonts w:hint="eastAsia"/>
        </w:rPr>
        <w:t>委员会第四十二届会议核可了第四十三届会议临时议程。</w:t>
      </w:r>
    </w:p>
    <w:p w:rsidR="00ED3EBD" w:rsidRPr="0019433C" w:rsidRDefault="00ED3EBD" w:rsidP="00ED3EBD">
      <w:pPr>
        <w:pStyle w:val="SingleTxt"/>
        <w:rPr>
          <w:rFonts w:ascii="SimHei" w:eastAsia="SimHei" w:hint="eastAsia"/>
          <w:color w:val="FF0000"/>
        </w:rPr>
      </w:pPr>
      <w:r w:rsidRPr="0019433C">
        <w:rPr>
          <w:rFonts w:ascii="SimHei" w:eastAsia="SimHei" w:hint="eastAsia"/>
          <w:color w:val="FF0000"/>
        </w:rPr>
        <w:t>项目3</w:t>
      </w:r>
      <w:r w:rsidR="0019433C" w:rsidRPr="0019433C">
        <w:rPr>
          <w:rFonts w:ascii="SimHei" w:eastAsia="SimHei"/>
          <w:color w:val="FF0000"/>
        </w:rPr>
        <w:br/>
      </w:r>
      <w:r w:rsidRPr="0019433C">
        <w:rPr>
          <w:rFonts w:ascii="SimHei" w:eastAsia="SimHei" w:hint="eastAsia"/>
          <w:color w:val="FF0000"/>
        </w:rPr>
        <w:t>委员会新成员庄严宣誓</w:t>
      </w:r>
    </w:p>
    <w:p w:rsidR="00ED3EBD" w:rsidRDefault="0019433C" w:rsidP="00ED3EBD">
      <w:pPr>
        <w:pStyle w:val="SingleTxt"/>
        <w:rPr>
          <w:rFonts w:hint="eastAsia"/>
        </w:rPr>
      </w:pPr>
      <w:r>
        <w:rPr>
          <w:rFonts w:hint="eastAsia"/>
        </w:rPr>
        <w:tab/>
      </w:r>
      <w:r w:rsidR="00ED3EBD">
        <w:rPr>
          <w:rFonts w:hint="eastAsia"/>
        </w:rPr>
        <w:t xml:space="preserve">根据委员会议事规则第15条，委员会新成员应按照该条内容庄严宣誓。 </w:t>
      </w:r>
    </w:p>
    <w:p w:rsidR="00ED3EBD" w:rsidRPr="0019433C" w:rsidRDefault="00ED3EBD" w:rsidP="00ED3EBD">
      <w:pPr>
        <w:pStyle w:val="SingleTxt"/>
        <w:rPr>
          <w:rFonts w:ascii="SimHei" w:eastAsia="SimHei" w:hint="eastAsia"/>
          <w:color w:val="FF0000"/>
        </w:rPr>
      </w:pPr>
      <w:r w:rsidRPr="0019433C">
        <w:rPr>
          <w:rFonts w:ascii="SimHei" w:eastAsia="SimHei" w:hint="eastAsia"/>
          <w:color w:val="FF0000"/>
        </w:rPr>
        <w:t>项目4</w:t>
      </w:r>
      <w:r w:rsidR="0019433C" w:rsidRPr="0019433C">
        <w:rPr>
          <w:rFonts w:ascii="SimHei" w:eastAsia="SimHei"/>
          <w:color w:val="FF0000"/>
        </w:rPr>
        <w:br/>
      </w:r>
      <w:r w:rsidRPr="0019433C">
        <w:rPr>
          <w:rFonts w:ascii="SimHei" w:eastAsia="SimHei" w:hint="eastAsia"/>
          <w:color w:val="FF0000"/>
        </w:rPr>
        <w:t>主席关于委员会第四十二届会议至第四十三届会议闭会期间活动的报告</w:t>
      </w:r>
    </w:p>
    <w:p w:rsidR="00ED3EBD" w:rsidRDefault="0019433C" w:rsidP="00ED3EBD">
      <w:pPr>
        <w:pStyle w:val="SingleTxt"/>
        <w:rPr>
          <w:rFonts w:hint="eastAsia"/>
        </w:rPr>
      </w:pPr>
      <w:r>
        <w:rPr>
          <w:rFonts w:hint="eastAsia"/>
        </w:rPr>
        <w:tab/>
      </w:r>
      <w:r w:rsidR="00ED3EBD">
        <w:rPr>
          <w:rFonts w:hint="eastAsia"/>
        </w:rPr>
        <w:t>在本项目下，主席将向委员会简要介绍自上一届会议以来影响委员会工作的活动和事件。</w:t>
      </w:r>
    </w:p>
    <w:p w:rsidR="00ED3EBD" w:rsidRPr="0019433C" w:rsidRDefault="00ED3EBD" w:rsidP="00ED3EBD">
      <w:pPr>
        <w:pStyle w:val="SingleTxt"/>
        <w:rPr>
          <w:rFonts w:ascii="SimHei" w:eastAsia="SimHei" w:hint="eastAsia"/>
          <w:color w:val="FF0000"/>
        </w:rPr>
      </w:pPr>
      <w:r w:rsidRPr="0019433C">
        <w:rPr>
          <w:rFonts w:ascii="SimHei" w:eastAsia="SimHei" w:hint="eastAsia"/>
          <w:color w:val="FF0000"/>
        </w:rPr>
        <w:t>项目5</w:t>
      </w:r>
      <w:r w:rsidR="0019433C" w:rsidRPr="0019433C">
        <w:rPr>
          <w:rFonts w:ascii="SimHei" w:eastAsia="SimHei"/>
          <w:color w:val="FF0000"/>
        </w:rPr>
        <w:br/>
      </w:r>
      <w:r w:rsidRPr="0019433C">
        <w:rPr>
          <w:rFonts w:ascii="SimHei" w:eastAsia="SimHei" w:hint="eastAsia"/>
          <w:color w:val="FF0000"/>
        </w:rPr>
        <w:t>选举主席团成员</w:t>
      </w:r>
    </w:p>
    <w:p w:rsidR="00ED3EBD" w:rsidRDefault="0019433C" w:rsidP="00ED3EBD">
      <w:pPr>
        <w:pStyle w:val="SingleTxt"/>
        <w:rPr>
          <w:rFonts w:hint="eastAsia"/>
        </w:rPr>
      </w:pPr>
      <w:r>
        <w:rPr>
          <w:rFonts w:hint="eastAsia"/>
        </w:rPr>
        <w:tab/>
      </w:r>
      <w:r w:rsidR="00ED3EBD">
        <w:rPr>
          <w:rFonts w:hint="eastAsia"/>
        </w:rPr>
        <w:t>按照《公约》第十九条和委员会议事规则第16条和第17条，委员会应选举主席一人、副主席三人和报告员一人，任期两年。委员会第四十三届会议于2009年1月19日选举产生的主席团成员的任期到2010年12月31日届满。委员会议事规则第20条规定，如委员会主席团任何成员停止担任或宣称无法继续担任委员会成员或因故不再能担任主席团成员，应从同一区域选举产生新的主席团成员，完成前任未满的任期。</w:t>
      </w:r>
    </w:p>
    <w:p w:rsidR="00ED3EBD" w:rsidRPr="0019433C" w:rsidRDefault="00ED3EBD" w:rsidP="00ED3EBD">
      <w:pPr>
        <w:pStyle w:val="SingleTxt"/>
        <w:rPr>
          <w:rFonts w:ascii="SimHei" w:eastAsia="SimHei" w:hint="eastAsia"/>
          <w:color w:val="FF0000"/>
        </w:rPr>
      </w:pPr>
      <w:r w:rsidRPr="0019433C">
        <w:rPr>
          <w:rFonts w:ascii="SimHei" w:eastAsia="SimHei" w:hint="eastAsia"/>
          <w:color w:val="FF0000"/>
        </w:rPr>
        <w:t>文件</w:t>
      </w:r>
    </w:p>
    <w:p w:rsidR="00ED3EBD" w:rsidRDefault="0019433C" w:rsidP="00ED3EBD">
      <w:pPr>
        <w:pStyle w:val="SingleTxt"/>
        <w:rPr>
          <w:rFonts w:hint="eastAsia"/>
        </w:rPr>
      </w:pPr>
      <w:r>
        <w:rPr>
          <w:rFonts w:hint="eastAsia"/>
        </w:rPr>
        <w:tab/>
      </w:r>
      <w:r w:rsidR="00ED3EBD">
        <w:rPr>
          <w:rFonts w:hint="eastAsia"/>
        </w:rPr>
        <w:t>临时议程和说明(CEDAW/C/2009/I/1)</w:t>
      </w:r>
    </w:p>
    <w:p w:rsidR="00ED3EBD" w:rsidRDefault="00ED3EBD" w:rsidP="00ED3EBD">
      <w:pPr>
        <w:pStyle w:val="SingleTxt"/>
        <w:rPr>
          <w:rFonts w:hint="eastAsia"/>
        </w:rPr>
      </w:pPr>
      <w:r w:rsidRPr="0019433C">
        <w:rPr>
          <w:rFonts w:ascii="SimHei" w:eastAsia="SimHei" w:hint="eastAsia"/>
          <w:color w:val="FF0000"/>
        </w:rPr>
        <w:t>项目6</w:t>
      </w:r>
      <w:r w:rsidR="006D4FA1">
        <w:rPr>
          <w:rFonts w:ascii="SimHei" w:eastAsia="SimHei"/>
          <w:color w:val="FF0000"/>
        </w:rPr>
        <w:br/>
      </w:r>
      <w:r w:rsidRPr="006D4FA1">
        <w:rPr>
          <w:rFonts w:ascii="SimHei" w:eastAsia="SimHei" w:hint="eastAsia"/>
          <w:color w:val="FF0000"/>
        </w:rPr>
        <w:t>审议缔约国根据《消除对妇女一切形式歧视公约》第十八条提交的报告</w:t>
      </w:r>
    </w:p>
    <w:p w:rsidR="00ED3EBD" w:rsidRDefault="0019433C" w:rsidP="00ED3EBD">
      <w:pPr>
        <w:pStyle w:val="SingleTxt"/>
        <w:rPr>
          <w:rFonts w:hint="eastAsia"/>
        </w:rPr>
      </w:pPr>
      <w:r>
        <w:rPr>
          <w:rFonts w:hint="eastAsia"/>
        </w:rPr>
        <w:tab/>
      </w:r>
      <w:r w:rsidR="00ED3EBD">
        <w:rPr>
          <w:rFonts w:hint="eastAsia"/>
        </w:rPr>
        <w:t>《公约》第十八条规定，公约缔约国应保证就本国实行《公约》各项规定所采取的立法、司法、行政或其他措施以及在这方面取得的其他进展，向秘书长提交报告，供委员会审议。报告应在《公约》对本国生效后一年内提出，其后至少每四年并随时在委员会的请求下提出。</w:t>
      </w:r>
    </w:p>
    <w:p w:rsidR="00E365D9" w:rsidRDefault="0019433C" w:rsidP="00E365D9">
      <w:pPr>
        <w:pStyle w:val="SingleTxt"/>
        <w:spacing w:after="0"/>
        <w:rPr>
          <w:rFonts w:hint="eastAsia"/>
        </w:rPr>
      </w:pPr>
      <w:r>
        <w:rPr>
          <w:rFonts w:hint="eastAsia"/>
        </w:rPr>
        <w:tab/>
      </w:r>
      <w:r w:rsidR="00ED3EBD">
        <w:rPr>
          <w:rFonts w:hint="eastAsia"/>
        </w:rPr>
        <w:t>委员会第四十三届会议将收到下列报告：亚美尼亚第三次和第四次合并定期报告</w:t>
      </w:r>
      <w:r>
        <w:rPr>
          <w:rFonts w:hint="eastAsia"/>
        </w:rPr>
        <w:t>(</w:t>
      </w:r>
      <w:r w:rsidR="00ED3EBD">
        <w:rPr>
          <w:rFonts w:hint="eastAsia"/>
        </w:rPr>
        <w:t>CEDAW/C/ARM/4</w:t>
      </w:r>
      <w:r>
        <w:rPr>
          <w:rFonts w:hint="eastAsia"/>
        </w:rPr>
        <w:t>)</w:t>
      </w:r>
      <w:r w:rsidR="00ED3EBD">
        <w:rPr>
          <w:rFonts w:hint="eastAsia"/>
        </w:rPr>
        <w:t>；喀麦隆第二次和第三次合并定期报告</w:t>
      </w:r>
      <w:r>
        <w:rPr>
          <w:rFonts w:hint="eastAsia"/>
        </w:rPr>
        <w:t>(</w:t>
      </w:r>
      <w:r w:rsidR="00AF7902">
        <w:rPr>
          <w:rFonts w:hint="eastAsia"/>
        </w:rPr>
        <w:t>CEDAW/C/</w:t>
      </w:r>
      <w:r w:rsidR="00ED3EBD">
        <w:rPr>
          <w:rFonts w:hint="eastAsia"/>
        </w:rPr>
        <w:t>CMR/3</w:t>
      </w:r>
      <w:r>
        <w:rPr>
          <w:rFonts w:hint="eastAsia"/>
        </w:rPr>
        <w:t>)</w:t>
      </w:r>
      <w:r w:rsidR="00ED3EBD">
        <w:rPr>
          <w:rFonts w:hint="eastAsia"/>
        </w:rPr>
        <w:t>；德国第六次定期报告</w:t>
      </w:r>
      <w:r>
        <w:rPr>
          <w:rFonts w:hint="eastAsia"/>
        </w:rPr>
        <w:t>(</w:t>
      </w:r>
      <w:r w:rsidR="00ED3EBD">
        <w:rPr>
          <w:rFonts w:hint="eastAsia"/>
        </w:rPr>
        <w:t>CEDAW/C/DEU/6</w:t>
      </w:r>
      <w:r>
        <w:rPr>
          <w:rFonts w:hint="eastAsia"/>
        </w:rPr>
        <w:t>)</w:t>
      </w:r>
      <w:r w:rsidR="00ED3EBD">
        <w:rPr>
          <w:rFonts w:hint="eastAsia"/>
        </w:rPr>
        <w:t>；危地马拉第七次定期报告</w:t>
      </w:r>
      <w:r>
        <w:rPr>
          <w:rFonts w:hint="eastAsia"/>
        </w:rPr>
        <w:t>(</w:t>
      </w:r>
      <w:r w:rsidR="00ED3EBD">
        <w:rPr>
          <w:rFonts w:hint="eastAsia"/>
        </w:rPr>
        <w:t>CEDAW/C/GUA/</w:t>
      </w:r>
    </w:p>
    <w:p w:rsidR="00ED3EBD" w:rsidRDefault="00ED3EBD" w:rsidP="00ED3EBD">
      <w:pPr>
        <w:pStyle w:val="SingleTxt"/>
        <w:rPr>
          <w:rFonts w:hint="eastAsia"/>
        </w:rPr>
      </w:pPr>
      <w:r>
        <w:rPr>
          <w:rFonts w:hint="eastAsia"/>
        </w:rPr>
        <w:t>7</w:t>
      </w:r>
      <w:r w:rsidR="0019433C">
        <w:rPr>
          <w:rFonts w:hint="eastAsia"/>
        </w:rPr>
        <w:t>)</w:t>
      </w:r>
      <w:r>
        <w:rPr>
          <w:rFonts w:hint="eastAsia"/>
        </w:rPr>
        <w:t>；海地初次至第七次合并定期报告</w:t>
      </w:r>
      <w:r w:rsidR="0019433C">
        <w:rPr>
          <w:rFonts w:hint="eastAsia"/>
        </w:rPr>
        <w:t>(</w:t>
      </w:r>
      <w:r>
        <w:rPr>
          <w:rFonts w:hint="eastAsia"/>
        </w:rPr>
        <w:t>CEDAW/C/HTI/7</w:t>
      </w:r>
      <w:r w:rsidR="0019433C">
        <w:rPr>
          <w:rFonts w:hint="eastAsia"/>
        </w:rPr>
        <w:t>)</w:t>
      </w:r>
      <w:r>
        <w:rPr>
          <w:rFonts w:hint="eastAsia"/>
        </w:rPr>
        <w:t>；阿拉伯利比亚民众国第二次定期报告</w:t>
      </w:r>
      <w:r w:rsidR="00ED2EEF">
        <w:rPr>
          <w:rFonts w:hint="eastAsia"/>
        </w:rPr>
        <w:t>及第三次、第四次和第五次合并报告</w:t>
      </w:r>
      <w:r w:rsidR="0019433C">
        <w:rPr>
          <w:rFonts w:hint="eastAsia"/>
        </w:rPr>
        <w:t>(</w:t>
      </w:r>
      <w:r>
        <w:rPr>
          <w:rFonts w:hint="eastAsia"/>
        </w:rPr>
        <w:t>CEDAW/C/LBY/2</w:t>
      </w:r>
      <w:r w:rsidR="0019433C">
        <w:rPr>
          <w:rFonts w:hint="eastAsia"/>
        </w:rPr>
        <w:t>)</w:t>
      </w:r>
      <w:r>
        <w:rPr>
          <w:rFonts w:hint="eastAsia"/>
        </w:rPr>
        <w:t>；卢旺达第四次至第六次合并定期报告</w:t>
      </w:r>
      <w:r w:rsidR="0019433C">
        <w:rPr>
          <w:rFonts w:hint="eastAsia"/>
        </w:rPr>
        <w:t>(</w:t>
      </w:r>
      <w:r>
        <w:rPr>
          <w:rFonts w:hint="eastAsia"/>
        </w:rPr>
        <w:t>CEDAW/C/RWA/6</w:t>
      </w:r>
      <w:r w:rsidR="0019433C">
        <w:rPr>
          <w:rFonts w:hint="eastAsia"/>
        </w:rPr>
        <w:t>)</w:t>
      </w:r>
      <w:r>
        <w:rPr>
          <w:rFonts w:hint="eastAsia"/>
        </w:rPr>
        <w:t>。</w:t>
      </w:r>
    </w:p>
    <w:p w:rsidR="00ED3EBD" w:rsidRDefault="0019433C" w:rsidP="00ED3EBD">
      <w:pPr>
        <w:pStyle w:val="SingleTxt"/>
        <w:rPr>
          <w:rFonts w:hint="eastAsia"/>
        </w:rPr>
      </w:pPr>
      <w:r>
        <w:rPr>
          <w:rFonts w:hint="eastAsia"/>
        </w:rPr>
        <w:tab/>
      </w:r>
      <w:r w:rsidR="00ED3EBD">
        <w:rPr>
          <w:rFonts w:hint="eastAsia"/>
        </w:rPr>
        <w:t>议事规则第51条规定，缔约国代表应出席委员会审查本国报告的会议，参加就本国报告进行的讨论并回答问题。</w:t>
      </w:r>
    </w:p>
    <w:p w:rsidR="00ED3EBD" w:rsidRPr="002E3145" w:rsidRDefault="0019433C" w:rsidP="00ED3EBD">
      <w:pPr>
        <w:pStyle w:val="SingleTxt"/>
        <w:rPr>
          <w:rFonts w:hint="eastAsia"/>
          <w:spacing w:val="-2"/>
        </w:rPr>
      </w:pPr>
      <w:r w:rsidRPr="002E3145">
        <w:rPr>
          <w:rFonts w:hint="eastAsia"/>
          <w:spacing w:val="-2"/>
        </w:rPr>
        <w:tab/>
      </w:r>
      <w:r w:rsidR="00ED3EBD" w:rsidRPr="002E3145">
        <w:rPr>
          <w:rFonts w:hint="eastAsia"/>
          <w:spacing w:val="-2"/>
        </w:rPr>
        <w:t>议事规则第49条规定，秘书长应在每届会议上将未收到缔约国根据《公约》第十八条提交的任何报告的情况通知委员会。秘书长还向委员会提供一份公约缔约国已提交的报告清单以及一份公约缔约国已提交但委员会尚未审议的报告清单。</w:t>
      </w:r>
    </w:p>
    <w:p w:rsidR="00ED3EBD" w:rsidRDefault="0019433C" w:rsidP="00ED3EBD">
      <w:pPr>
        <w:pStyle w:val="SingleTxt"/>
        <w:rPr>
          <w:rFonts w:hint="eastAsia"/>
        </w:rPr>
      </w:pPr>
      <w:r>
        <w:rPr>
          <w:rFonts w:hint="eastAsia"/>
        </w:rPr>
        <w:tab/>
      </w:r>
      <w:r w:rsidR="00ED3EBD">
        <w:rPr>
          <w:rFonts w:hint="eastAsia"/>
        </w:rPr>
        <w:t>委员会第四十三届会议将收到秘书长关于缔约国根据《公约》第十八条提交报告情况的报告</w:t>
      </w:r>
      <w:r>
        <w:rPr>
          <w:rFonts w:hint="eastAsia"/>
        </w:rPr>
        <w:t>(</w:t>
      </w:r>
      <w:r w:rsidR="00ED3EBD">
        <w:rPr>
          <w:rFonts w:hint="eastAsia"/>
        </w:rPr>
        <w:t>CEDAW/C/2009/I/2</w:t>
      </w:r>
      <w:r>
        <w:rPr>
          <w:rFonts w:hint="eastAsia"/>
        </w:rPr>
        <w:t>)</w:t>
      </w:r>
      <w:r w:rsidR="00ED3EBD">
        <w:rPr>
          <w:rFonts w:hint="eastAsia"/>
        </w:rPr>
        <w:t>。</w:t>
      </w:r>
    </w:p>
    <w:p w:rsidR="00ED3EBD" w:rsidRDefault="0019433C" w:rsidP="00ED3EBD">
      <w:pPr>
        <w:pStyle w:val="SingleTxt"/>
        <w:rPr>
          <w:rFonts w:hint="eastAsia"/>
        </w:rPr>
      </w:pPr>
      <w:r>
        <w:rPr>
          <w:rFonts w:hint="eastAsia"/>
        </w:rPr>
        <w:tab/>
      </w:r>
      <w:r w:rsidR="00ED3EBD">
        <w:rPr>
          <w:rFonts w:hint="eastAsia"/>
        </w:rPr>
        <w:t>每届会议召开之前都举行委员会会前工作组会议，拟订与报告有关的议题和问题清单，在审议缔约国报告的会议举行之前送交报告待审国。第四十三届会议的会前工作组已于2008年7月21日至25日在纽约举行会议。委员会将收到会前工作组的报告以及缔约国对会前工作组所拟议题和问题清单作出的答复。</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文件</w:t>
      </w:r>
    </w:p>
    <w:p w:rsidR="00ED3EBD" w:rsidRDefault="006D4FA1" w:rsidP="00ED3EBD">
      <w:pPr>
        <w:pStyle w:val="SingleTxt"/>
        <w:rPr>
          <w:rFonts w:hint="eastAsia"/>
        </w:rPr>
      </w:pPr>
      <w:r>
        <w:tab/>
      </w:r>
      <w:r w:rsidR="00ED3EBD">
        <w:rPr>
          <w:rFonts w:hint="eastAsia"/>
        </w:rPr>
        <w:t>亚美尼亚第三次和第四次合并定期报告</w:t>
      </w:r>
      <w:r w:rsidR="0019433C">
        <w:rPr>
          <w:rFonts w:hint="eastAsia"/>
        </w:rPr>
        <w:t>(</w:t>
      </w:r>
      <w:r w:rsidR="00ED3EBD">
        <w:rPr>
          <w:rFonts w:hint="eastAsia"/>
        </w:rPr>
        <w:t>CEDAW/C/ARM/4</w:t>
      </w:r>
      <w:r w:rsidR="0019433C">
        <w:rPr>
          <w:rFonts w:hint="eastAsia"/>
        </w:rPr>
        <w:t>)</w:t>
      </w:r>
    </w:p>
    <w:p w:rsidR="00ED3EBD" w:rsidRDefault="006D4FA1" w:rsidP="00ED3EBD">
      <w:pPr>
        <w:pStyle w:val="SingleTxt"/>
        <w:rPr>
          <w:rFonts w:hint="eastAsia"/>
        </w:rPr>
      </w:pPr>
      <w:r>
        <w:tab/>
      </w:r>
      <w:r w:rsidR="00ED3EBD">
        <w:rPr>
          <w:rFonts w:hint="eastAsia"/>
        </w:rPr>
        <w:t>喀麦隆第二次和第三次合并定期报告</w:t>
      </w:r>
      <w:r w:rsidR="0019433C">
        <w:rPr>
          <w:rFonts w:hint="eastAsia"/>
        </w:rPr>
        <w:t>(</w:t>
      </w:r>
      <w:r>
        <w:rPr>
          <w:rFonts w:hint="eastAsia"/>
        </w:rPr>
        <w:t>CEDAW/C/</w:t>
      </w:r>
      <w:r w:rsidR="00ED3EBD">
        <w:rPr>
          <w:rFonts w:hint="eastAsia"/>
        </w:rPr>
        <w:t>CMR/3</w:t>
      </w:r>
      <w:r w:rsidR="0019433C">
        <w:rPr>
          <w:rFonts w:hint="eastAsia"/>
        </w:rPr>
        <w:t>)</w:t>
      </w:r>
    </w:p>
    <w:p w:rsidR="00ED3EBD" w:rsidRDefault="006D4FA1" w:rsidP="00ED3EBD">
      <w:pPr>
        <w:pStyle w:val="SingleTxt"/>
        <w:rPr>
          <w:rFonts w:hint="eastAsia"/>
        </w:rPr>
      </w:pPr>
      <w:r>
        <w:tab/>
      </w:r>
      <w:r w:rsidR="00ED3EBD">
        <w:rPr>
          <w:rFonts w:hint="eastAsia"/>
        </w:rPr>
        <w:t>德国第六次定期报告</w:t>
      </w:r>
      <w:r w:rsidR="0019433C">
        <w:rPr>
          <w:rFonts w:hint="eastAsia"/>
        </w:rPr>
        <w:t>(</w:t>
      </w:r>
      <w:r w:rsidR="00ED3EBD">
        <w:rPr>
          <w:rFonts w:hint="eastAsia"/>
        </w:rPr>
        <w:t>CEDAW/C/DEU/6</w:t>
      </w:r>
      <w:r w:rsidR="0019433C">
        <w:rPr>
          <w:rFonts w:hint="eastAsia"/>
        </w:rPr>
        <w:t>)</w:t>
      </w:r>
    </w:p>
    <w:p w:rsidR="00ED3EBD" w:rsidRDefault="006D4FA1" w:rsidP="00ED3EBD">
      <w:pPr>
        <w:pStyle w:val="SingleTxt"/>
        <w:rPr>
          <w:rFonts w:hint="eastAsia"/>
        </w:rPr>
      </w:pPr>
      <w:r>
        <w:tab/>
      </w:r>
      <w:r w:rsidR="00ED3EBD">
        <w:rPr>
          <w:rFonts w:hint="eastAsia"/>
        </w:rPr>
        <w:t>危地马拉第七次定期报告</w:t>
      </w:r>
      <w:r w:rsidR="0019433C">
        <w:rPr>
          <w:rFonts w:hint="eastAsia"/>
        </w:rPr>
        <w:t>(</w:t>
      </w:r>
      <w:r w:rsidR="00ED3EBD">
        <w:rPr>
          <w:rFonts w:hint="eastAsia"/>
        </w:rPr>
        <w:t>CEDAW/C/GUA/7</w:t>
      </w:r>
      <w:r w:rsidR="0019433C">
        <w:rPr>
          <w:rFonts w:hint="eastAsia"/>
        </w:rPr>
        <w:t>)</w:t>
      </w:r>
    </w:p>
    <w:p w:rsidR="00ED3EBD" w:rsidRDefault="006D4FA1" w:rsidP="00ED3EBD">
      <w:pPr>
        <w:pStyle w:val="SingleTxt"/>
        <w:rPr>
          <w:rFonts w:hint="eastAsia"/>
        </w:rPr>
      </w:pPr>
      <w:r>
        <w:tab/>
      </w:r>
      <w:r w:rsidR="00ED3EBD">
        <w:rPr>
          <w:rFonts w:hint="eastAsia"/>
        </w:rPr>
        <w:t>海地初次至第七次合并定期报告</w:t>
      </w:r>
      <w:r w:rsidR="0019433C">
        <w:rPr>
          <w:rFonts w:hint="eastAsia"/>
        </w:rPr>
        <w:t>(</w:t>
      </w:r>
      <w:r w:rsidR="00ED3EBD">
        <w:rPr>
          <w:rFonts w:hint="eastAsia"/>
        </w:rPr>
        <w:t>CEDAW/C/HTI/7</w:t>
      </w:r>
      <w:r w:rsidR="0019433C">
        <w:rPr>
          <w:rFonts w:hint="eastAsia"/>
        </w:rPr>
        <w:t>)</w:t>
      </w:r>
    </w:p>
    <w:p w:rsidR="00ED3EBD" w:rsidRDefault="006D4FA1" w:rsidP="00ED3EBD">
      <w:pPr>
        <w:pStyle w:val="SingleTxt"/>
        <w:rPr>
          <w:rFonts w:hint="eastAsia"/>
        </w:rPr>
      </w:pPr>
      <w:r>
        <w:tab/>
      </w:r>
      <w:r w:rsidR="00ED3EBD">
        <w:rPr>
          <w:rFonts w:hint="eastAsia"/>
        </w:rPr>
        <w:t>阿拉伯利比亚民众国第二次</w:t>
      </w:r>
      <w:r w:rsidR="00B0333A">
        <w:rPr>
          <w:rFonts w:hint="eastAsia"/>
        </w:rPr>
        <w:t>定期报告</w:t>
      </w:r>
      <w:r w:rsidR="00ED2EEF">
        <w:rPr>
          <w:rFonts w:hint="eastAsia"/>
        </w:rPr>
        <w:t>及第三次、第四次和第五次合并报告</w:t>
      </w:r>
      <w:r w:rsidR="00B0333A">
        <w:rPr>
          <w:rFonts w:hint="eastAsia"/>
        </w:rPr>
        <w:tab/>
      </w:r>
      <w:r w:rsidR="0019433C">
        <w:rPr>
          <w:rFonts w:hint="eastAsia"/>
        </w:rPr>
        <w:t>(</w:t>
      </w:r>
      <w:r w:rsidR="00ED3EBD">
        <w:rPr>
          <w:rFonts w:hint="eastAsia"/>
        </w:rPr>
        <w:t>CEDAW/C/LBY/2</w:t>
      </w:r>
      <w:r w:rsidR="00ED2EEF">
        <w:rPr>
          <w:rFonts w:hint="eastAsia"/>
        </w:rPr>
        <w:t>和CEDAW/C/LBY/5</w:t>
      </w:r>
      <w:r w:rsidR="0019433C">
        <w:rPr>
          <w:rFonts w:hint="eastAsia"/>
        </w:rPr>
        <w:t>)</w:t>
      </w:r>
    </w:p>
    <w:p w:rsidR="00ED3EBD" w:rsidRDefault="006D4FA1" w:rsidP="00ED3EBD">
      <w:pPr>
        <w:pStyle w:val="SingleTxt"/>
        <w:rPr>
          <w:rFonts w:hint="eastAsia"/>
        </w:rPr>
      </w:pPr>
      <w:r>
        <w:tab/>
      </w:r>
      <w:r w:rsidR="00ED3EBD">
        <w:rPr>
          <w:rFonts w:hint="eastAsia"/>
        </w:rPr>
        <w:t>卢旺达第四次至第六次合并定期报告</w:t>
      </w:r>
      <w:r w:rsidR="0019433C">
        <w:rPr>
          <w:rFonts w:hint="eastAsia"/>
        </w:rPr>
        <w:t>(</w:t>
      </w:r>
      <w:r w:rsidR="00ED3EBD">
        <w:rPr>
          <w:rFonts w:hint="eastAsia"/>
        </w:rPr>
        <w:t>CEDAW/C/RWA/6</w:t>
      </w:r>
      <w:r w:rsidR="0019433C">
        <w:rPr>
          <w:rFonts w:hint="eastAsia"/>
        </w:rPr>
        <w:t>)</w:t>
      </w:r>
    </w:p>
    <w:p w:rsidR="00ED3EBD" w:rsidRDefault="006D4FA1" w:rsidP="00ED3EBD">
      <w:pPr>
        <w:pStyle w:val="SingleTxt"/>
        <w:rPr>
          <w:rFonts w:hint="eastAsia"/>
        </w:rPr>
      </w:pPr>
      <w:r>
        <w:tab/>
      </w:r>
      <w:r w:rsidR="00ED3EBD">
        <w:rPr>
          <w:rFonts w:hint="eastAsia"/>
        </w:rPr>
        <w:t>会前工作组报告</w:t>
      </w:r>
      <w:r w:rsidR="0019433C">
        <w:rPr>
          <w:rFonts w:hint="eastAsia"/>
        </w:rPr>
        <w:t>(</w:t>
      </w:r>
      <w:r w:rsidR="00ED3EBD">
        <w:rPr>
          <w:rFonts w:hint="eastAsia"/>
        </w:rPr>
        <w:t>CEDAW/PSWG/200</w:t>
      </w:r>
      <w:r w:rsidR="00ED2EEF">
        <w:rPr>
          <w:rFonts w:hint="eastAsia"/>
        </w:rPr>
        <w:t>9</w:t>
      </w:r>
      <w:r w:rsidR="00ED3EBD">
        <w:rPr>
          <w:rFonts w:hint="eastAsia"/>
        </w:rPr>
        <w:t>/I/CRP.1</w:t>
      </w:r>
      <w:r w:rsidR="0019433C">
        <w:rPr>
          <w:rFonts w:hint="eastAsia"/>
        </w:rPr>
        <w:t>)</w:t>
      </w:r>
    </w:p>
    <w:p w:rsidR="00ED3EBD" w:rsidRPr="006D4FA1" w:rsidRDefault="00ED3EBD" w:rsidP="00ED3EBD">
      <w:pPr>
        <w:pStyle w:val="SingleTxt"/>
        <w:rPr>
          <w:rFonts w:ascii="Times New Roman" w:eastAsia="KaiTi_GB2312"/>
          <w:color w:val="0000FF"/>
        </w:rPr>
      </w:pPr>
      <w:r w:rsidRPr="006D4FA1">
        <w:rPr>
          <w:rFonts w:ascii="KaiTi_GB2312" w:eastAsia="KaiTi_GB2312" w:hint="eastAsia"/>
          <w:color w:val="0000FF"/>
        </w:rPr>
        <w:t>议题和问题清单</w:t>
      </w:r>
    </w:p>
    <w:p w:rsidR="00ED3EBD" w:rsidRDefault="006D4FA1" w:rsidP="00ED3EBD">
      <w:pPr>
        <w:pStyle w:val="SingleTxt"/>
        <w:rPr>
          <w:rFonts w:hint="eastAsia"/>
        </w:rPr>
      </w:pPr>
      <w:r>
        <w:tab/>
      </w:r>
      <w:r w:rsidR="00ED3EBD">
        <w:rPr>
          <w:rFonts w:hint="eastAsia"/>
        </w:rPr>
        <w:t>亚美尼亚(CEDAW/C/ARM/Q/4)</w:t>
      </w:r>
    </w:p>
    <w:p w:rsidR="00ED3EBD" w:rsidRDefault="006D4FA1" w:rsidP="00ED3EBD">
      <w:pPr>
        <w:pStyle w:val="SingleTxt"/>
        <w:rPr>
          <w:rFonts w:hint="eastAsia"/>
        </w:rPr>
      </w:pPr>
      <w:r>
        <w:tab/>
      </w:r>
      <w:r w:rsidR="00ED3EBD">
        <w:rPr>
          <w:rFonts w:hint="eastAsia"/>
        </w:rPr>
        <w:t>喀麦隆(CEDAW/C/CMR/Q/3)</w:t>
      </w:r>
    </w:p>
    <w:p w:rsidR="00ED3EBD" w:rsidRDefault="006D4FA1" w:rsidP="00ED3EBD">
      <w:pPr>
        <w:pStyle w:val="SingleTxt"/>
        <w:rPr>
          <w:rFonts w:hint="eastAsia"/>
        </w:rPr>
      </w:pPr>
      <w:r>
        <w:tab/>
      </w:r>
      <w:r w:rsidR="00ED3EBD">
        <w:rPr>
          <w:rFonts w:hint="eastAsia"/>
        </w:rPr>
        <w:t>多米尼克(CEDAW/C/DMA/Q/7)</w:t>
      </w:r>
    </w:p>
    <w:p w:rsidR="00ED3EBD" w:rsidRDefault="006D4FA1" w:rsidP="00ED3EBD">
      <w:pPr>
        <w:pStyle w:val="SingleTxt"/>
        <w:rPr>
          <w:rFonts w:hint="eastAsia"/>
        </w:rPr>
      </w:pPr>
      <w:r>
        <w:tab/>
      </w:r>
      <w:r w:rsidR="00ED3EBD">
        <w:rPr>
          <w:rFonts w:hint="eastAsia"/>
        </w:rPr>
        <w:t>德国(CEDAW/C/DEU/Q/6)</w:t>
      </w:r>
    </w:p>
    <w:p w:rsidR="00ED3EBD" w:rsidRDefault="006D4FA1" w:rsidP="00ED3EBD">
      <w:pPr>
        <w:pStyle w:val="SingleTxt"/>
        <w:rPr>
          <w:rFonts w:hint="eastAsia"/>
        </w:rPr>
      </w:pPr>
      <w:r>
        <w:tab/>
      </w:r>
      <w:r w:rsidR="00ED3EBD">
        <w:rPr>
          <w:rFonts w:hint="eastAsia"/>
        </w:rPr>
        <w:t>危地马拉(CEDAW/C/GUA/Q/7)</w:t>
      </w:r>
    </w:p>
    <w:p w:rsidR="00ED3EBD" w:rsidRDefault="006D4FA1" w:rsidP="00ED3EBD">
      <w:pPr>
        <w:pStyle w:val="SingleTxt"/>
        <w:rPr>
          <w:rFonts w:hint="eastAsia"/>
        </w:rPr>
      </w:pPr>
      <w:r>
        <w:tab/>
      </w:r>
      <w:r w:rsidR="00ED3EBD">
        <w:rPr>
          <w:rFonts w:hint="eastAsia"/>
        </w:rPr>
        <w:t>海地(CEDAW/C/HTI/Q/7)</w:t>
      </w:r>
    </w:p>
    <w:p w:rsidR="00ED3EBD" w:rsidRDefault="006D4FA1" w:rsidP="00ED3EBD">
      <w:pPr>
        <w:pStyle w:val="SingleTxt"/>
        <w:rPr>
          <w:rFonts w:hint="eastAsia"/>
        </w:rPr>
      </w:pPr>
      <w:r>
        <w:tab/>
      </w:r>
      <w:r w:rsidR="00ED3EBD">
        <w:rPr>
          <w:rFonts w:hint="eastAsia"/>
        </w:rPr>
        <w:t>阿拉伯利比亚民众国(CEDAW/C/LBY/Q/2)</w:t>
      </w:r>
    </w:p>
    <w:p w:rsidR="00ED3EBD" w:rsidRDefault="006D4FA1" w:rsidP="00ED3EBD">
      <w:pPr>
        <w:pStyle w:val="SingleTxt"/>
        <w:rPr>
          <w:rFonts w:hint="eastAsia"/>
        </w:rPr>
      </w:pPr>
      <w:r>
        <w:tab/>
      </w:r>
      <w:r w:rsidR="00ED3EBD">
        <w:rPr>
          <w:rFonts w:hint="eastAsia"/>
        </w:rPr>
        <w:t>卢旺达(CEDAW/C/RWA/Q/6)</w:t>
      </w:r>
    </w:p>
    <w:p w:rsidR="00ED3EBD" w:rsidRPr="006D4FA1" w:rsidRDefault="00ED3EBD" w:rsidP="00ED3EBD">
      <w:pPr>
        <w:pStyle w:val="SingleTxt"/>
        <w:rPr>
          <w:rFonts w:ascii="KaiTi_GB2312" w:eastAsia="KaiTi_GB2312" w:hint="eastAsia"/>
          <w:color w:val="0000FF"/>
        </w:rPr>
      </w:pPr>
      <w:r w:rsidRPr="006D4FA1">
        <w:rPr>
          <w:rFonts w:ascii="KaiTi_GB2312" w:eastAsia="KaiTi_GB2312" w:hint="eastAsia"/>
          <w:color w:val="0000FF"/>
        </w:rPr>
        <w:t>对议题和问题清单的答复</w:t>
      </w:r>
    </w:p>
    <w:p w:rsidR="00ED3EBD" w:rsidRDefault="006D4FA1" w:rsidP="00ED3EBD">
      <w:pPr>
        <w:pStyle w:val="SingleTxt"/>
        <w:rPr>
          <w:rFonts w:hint="eastAsia"/>
        </w:rPr>
      </w:pPr>
      <w:r>
        <w:tab/>
      </w:r>
      <w:r w:rsidR="00ED3EBD">
        <w:rPr>
          <w:rFonts w:hint="eastAsia"/>
        </w:rPr>
        <w:t>亚美尼亚(CEDAW/C/ARM/Q/4/Add.1)</w:t>
      </w:r>
    </w:p>
    <w:p w:rsidR="00ED3EBD" w:rsidRDefault="006D4FA1" w:rsidP="00ED3EBD">
      <w:pPr>
        <w:pStyle w:val="SingleTxt"/>
        <w:rPr>
          <w:rFonts w:hint="eastAsia"/>
        </w:rPr>
      </w:pPr>
      <w:r>
        <w:tab/>
      </w:r>
      <w:r w:rsidR="00ED3EBD">
        <w:rPr>
          <w:rFonts w:hint="eastAsia"/>
        </w:rPr>
        <w:t>喀麦隆(CEDAW/C/CMR/Q/3/Add.1)</w:t>
      </w:r>
    </w:p>
    <w:p w:rsidR="00ED3EBD" w:rsidRDefault="006D4FA1" w:rsidP="00ED3EBD">
      <w:pPr>
        <w:pStyle w:val="SingleTxt"/>
        <w:rPr>
          <w:rFonts w:hint="eastAsia"/>
        </w:rPr>
      </w:pPr>
      <w:r>
        <w:tab/>
      </w:r>
      <w:r w:rsidR="00ED3EBD">
        <w:rPr>
          <w:rFonts w:hint="eastAsia"/>
        </w:rPr>
        <w:t>多米尼克(CEDAW/C/DMA/Q/7/Add.1)</w:t>
      </w:r>
    </w:p>
    <w:p w:rsidR="00ED3EBD" w:rsidRDefault="006D4FA1" w:rsidP="00ED3EBD">
      <w:pPr>
        <w:pStyle w:val="SingleTxt"/>
        <w:rPr>
          <w:rFonts w:hint="eastAsia"/>
        </w:rPr>
      </w:pPr>
      <w:r>
        <w:tab/>
      </w:r>
      <w:r w:rsidR="00ED3EBD">
        <w:rPr>
          <w:rFonts w:hint="eastAsia"/>
        </w:rPr>
        <w:t>德国(CEDAW/C/DEU/Q/6/Add.1)</w:t>
      </w:r>
    </w:p>
    <w:p w:rsidR="00ED3EBD" w:rsidRDefault="006D4FA1" w:rsidP="00ED3EBD">
      <w:pPr>
        <w:pStyle w:val="SingleTxt"/>
        <w:rPr>
          <w:rFonts w:hint="eastAsia"/>
        </w:rPr>
      </w:pPr>
      <w:r>
        <w:tab/>
      </w:r>
      <w:r w:rsidR="00ED3EBD">
        <w:rPr>
          <w:rFonts w:hint="eastAsia"/>
        </w:rPr>
        <w:t>危地马拉(CEDAW/C/GUA/Q/7/Add.1)</w:t>
      </w:r>
    </w:p>
    <w:p w:rsidR="00ED3EBD" w:rsidRDefault="006D4FA1" w:rsidP="00ED3EBD">
      <w:pPr>
        <w:pStyle w:val="SingleTxt"/>
        <w:rPr>
          <w:rFonts w:hint="eastAsia"/>
        </w:rPr>
      </w:pPr>
      <w:r>
        <w:tab/>
      </w:r>
      <w:r w:rsidR="00ED3EBD">
        <w:rPr>
          <w:rFonts w:hint="eastAsia"/>
        </w:rPr>
        <w:t>海地(CEDAW/C/HTI/Q/7/Add.1)</w:t>
      </w:r>
    </w:p>
    <w:p w:rsidR="00ED3EBD" w:rsidRDefault="006D4FA1" w:rsidP="00ED3EBD">
      <w:pPr>
        <w:pStyle w:val="SingleTxt"/>
        <w:rPr>
          <w:rFonts w:hint="eastAsia"/>
        </w:rPr>
      </w:pPr>
      <w:r>
        <w:tab/>
      </w:r>
      <w:r w:rsidR="00ED3EBD">
        <w:rPr>
          <w:rFonts w:hint="eastAsia"/>
        </w:rPr>
        <w:t>阿拉伯利比亚民众国(CEDAW/C/LBY/Q/2/Add.1)</w:t>
      </w:r>
    </w:p>
    <w:p w:rsidR="00ED3EBD" w:rsidRDefault="006D4FA1" w:rsidP="00ED3EBD">
      <w:pPr>
        <w:pStyle w:val="SingleTxt"/>
        <w:rPr>
          <w:rFonts w:hint="eastAsia"/>
        </w:rPr>
      </w:pPr>
      <w:r>
        <w:tab/>
      </w:r>
      <w:r w:rsidR="00ED3EBD">
        <w:rPr>
          <w:rFonts w:hint="eastAsia"/>
        </w:rPr>
        <w:t>卢旺达(CEDAW/C/RWA/Q/6/Add.1)</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项目7</w:t>
      </w:r>
      <w:r w:rsidR="006D4FA1" w:rsidRPr="006D4FA1">
        <w:rPr>
          <w:rFonts w:ascii="SimHei" w:eastAsia="SimHei"/>
          <w:color w:val="FF0000"/>
        </w:rPr>
        <w:br/>
      </w:r>
      <w:r w:rsidRPr="006D4FA1">
        <w:rPr>
          <w:rFonts w:ascii="SimHei" w:eastAsia="SimHei" w:hint="eastAsia"/>
          <w:color w:val="FF0000"/>
        </w:rPr>
        <w:t>《消除对妇女一切形式歧视公约》第二十一条的执行情况</w:t>
      </w:r>
    </w:p>
    <w:p w:rsidR="00ED3EBD" w:rsidRDefault="006D4FA1" w:rsidP="00ED3EBD">
      <w:pPr>
        <w:pStyle w:val="SingleTxt"/>
        <w:rPr>
          <w:rFonts w:hint="eastAsia"/>
        </w:rPr>
      </w:pPr>
      <w:r>
        <w:tab/>
      </w:r>
      <w:r w:rsidR="00ED3EBD">
        <w:rPr>
          <w:rFonts w:hint="eastAsia"/>
        </w:rPr>
        <w:t>《公约》第二十一条规定，委员会可根据对所收到的缔约国报告和资料的审查结果，提出意见和一般性建议。该条还规定，这些意见和一般性建议应连同缔约国可能提出的评论载入委员会的报告。</w:t>
      </w:r>
    </w:p>
    <w:p w:rsidR="00ED3EBD" w:rsidRDefault="006D4FA1" w:rsidP="00ED3EBD">
      <w:pPr>
        <w:pStyle w:val="SingleTxt"/>
        <w:rPr>
          <w:rFonts w:hint="eastAsia"/>
        </w:rPr>
      </w:pPr>
      <w:r>
        <w:tab/>
      </w:r>
      <w:r w:rsidR="00ED3EBD">
        <w:rPr>
          <w:rFonts w:hint="eastAsia"/>
        </w:rPr>
        <w:t>关于《公约》第二条的一般性建议工作队将向委员会简要介绍所取得的进展。各工作组主席还将提供资料，说明关于年纪较长的妇女权利和离婚的经济后果的拟议一般性建议。</w:t>
      </w:r>
    </w:p>
    <w:p w:rsidR="00ED3EBD" w:rsidRDefault="006D4FA1" w:rsidP="00ED3EBD">
      <w:pPr>
        <w:pStyle w:val="SingleTxt"/>
        <w:rPr>
          <w:rFonts w:hint="eastAsia"/>
        </w:rPr>
      </w:pPr>
      <w:r>
        <w:tab/>
      </w:r>
      <w:r w:rsidR="00ED3EBD">
        <w:rPr>
          <w:rFonts w:hint="eastAsia"/>
        </w:rPr>
        <w:t>《公约》第二十二条规定，各专门机构对属于其工作范围内的《公约》各项规定，有权派代表出席关于其执行情况的审议。委员会可邀请各专门机构提交报告，说明在这些领域执行《公约》的情况。委员会第四十三届会议将收到秘书长关于各专门机构就此问题所提报告的说明(CEDAW/C/2009/I/3和补遗)。</w:t>
      </w:r>
    </w:p>
    <w:p w:rsidR="00ED3EBD" w:rsidRDefault="00ED3EBD" w:rsidP="00ED3EBD">
      <w:pPr>
        <w:pStyle w:val="SingleTxt"/>
      </w:pP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文件</w:t>
      </w:r>
    </w:p>
    <w:p w:rsidR="00ED3EBD" w:rsidRDefault="006D4FA1" w:rsidP="006D4FA1">
      <w:pPr>
        <w:pStyle w:val="SingleTxt"/>
        <w:ind w:left="1680" w:hanging="416"/>
        <w:rPr>
          <w:rFonts w:hint="eastAsia"/>
        </w:rPr>
      </w:pPr>
      <w:r>
        <w:tab/>
      </w:r>
      <w:r w:rsidR="00ED3EBD">
        <w:rPr>
          <w:rFonts w:hint="eastAsia"/>
        </w:rPr>
        <w:t>秘书长关于各专门机构就其工作范围内各个领域执行《公约》的情况所提报告的说明(CEDAW/C/2009/I/3)</w:t>
      </w:r>
    </w:p>
    <w:p w:rsidR="00ED3EBD" w:rsidRDefault="006D4FA1" w:rsidP="00ED3EBD">
      <w:pPr>
        <w:pStyle w:val="SingleTxt"/>
        <w:rPr>
          <w:rFonts w:hint="eastAsia"/>
        </w:rPr>
      </w:pPr>
      <w:r>
        <w:tab/>
      </w:r>
      <w:r w:rsidR="00ED3EBD">
        <w:rPr>
          <w:rFonts w:hint="eastAsia"/>
        </w:rPr>
        <w:t>联合国粮食及农业组织的报告(CEDAW/C/2009/I/3/Add.1)</w:t>
      </w:r>
    </w:p>
    <w:p w:rsidR="00ED3EBD" w:rsidRDefault="006D4FA1" w:rsidP="00ED3EBD">
      <w:pPr>
        <w:pStyle w:val="SingleTxt"/>
        <w:rPr>
          <w:rFonts w:hint="eastAsia"/>
        </w:rPr>
      </w:pPr>
      <w:r>
        <w:tab/>
      </w:r>
      <w:r w:rsidR="00ED3EBD">
        <w:rPr>
          <w:rFonts w:hint="eastAsia"/>
        </w:rPr>
        <w:t>世界卫生组织的报告(CEDAW/C/2009/I/3/Add.2)</w:t>
      </w:r>
    </w:p>
    <w:p w:rsidR="00ED3EBD" w:rsidRDefault="006D4FA1" w:rsidP="00ED3EBD">
      <w:pPr>
        <w:pStyle w:val="SingleTxt"/>
        <w:rPr>
          <w:rFonts w:hint="eastAsia"/>
        </w:rPr>
      </w:pPr>
      <w:r>
        <w:tab/>
      </w:r>
      <w:r w:rsidR="00ED3EBD">
        <w:rPr>
          <w:rFonts w:hint="eastAsia"/>
        </w:rPr>
        <w:t>联合国教育、科学及文化组织的报告(CEDAW/C/2009/I/3/Add.3)</w:t>
      </w:r>
    </w:p>
    <w:p w:rsidR="00ED3EBD" w:rsidRDefault="006D4FA1" w:rsidP="00ED3EBD">
      <w:pPr>
        <w:pStyle w:val="SingleTxt"/>
        <w:rPr>
          <w:rFonts w:hint="eastAsia"/>
        </w:rPr>
      </w:pPr>
      <w:r>
        <w:tab/>
      </w:r>
      <w:r w:rsidR="00ED3EBD">
        <w:rPr>
          <w:rFonts w:hint="eastAsia"/>
        </w:rPr>
        <w:t>国际劳工组织的报告(CEDAW/C/2009/I/3/Add.4)</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项目8</w:t>
      </w:r>
      <w:r w:rsidR="006D4FA1" w:rsidRPr="006D4FA1">
        <w:rPr>
          <w:rFonts w:ascii="SimHei" w:eastAsia="SimHei"/>
          <w:color w:val="FF0000"/>
        </w:rPr>
        <w:br/>
      </w:r>
      <w:r w:rsidRPr="006D4FA1">
        <w:rPr>
          <w:rFonts w:ascii="SimHei" w:eastAsia="SimHei" w:hint="eastAsia"/>
          <w:color w:val="FF0000"/>
        </w:rPr>
        <w:t>加快委员会工作的方式和方法</w:t>
      </w:r>
    </w:p>
    <w:p w:rsidR="00ED3EBD" w:rsidRDefault="006D4FA1" w:rsidP="00ED3EBD">
      <w:pPr>
        <w:pStyle w:val="SingleTxt"/>
        <w:rPr>
          <w:rFonts w:hint="eastAsia"/>
        </w:rPr>
      </w:pPr>
      <w:r>
        <w:rPr>
          <w:rFonts w:ascii="SimHei" w:eastAsia="SimHei"/>
          <w:color w:val="FF0000"/>
        </w:rPr>
        <w:tab/>
      </w:r>
      <w:r w:rsidR="00ED3EBD">
        <w:rPr>
          <w:rFonts w:hint="eastAsia"/>
        </w:rPr>
        <w:t>秘书处在每届会议前都编写一份关于改进委员会工作的方式和方法的会前报告，其中载有秘书处提供的资料、委员会成员提出的评论意见或关于人权制度其他方面最新情况的资料(CEDAW/C/2009/I/4)。</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文件</w:t>
      </w:r>
    </w:p>
    <w:p w:rsidR="00ED3EBD" w:rsidRDefault="006D4FA1" w:rsidP="00ED3EBD">
      <w:pPr>
        <w:pStyle w:val="SingleTxt"/>
        <w:rPr>
          <w:rFonts w:hint="eastAsia"/>
        </w:rPr>
      </w:pPr>
      <w:r>
        <w:tab/>
      </w:r>
      <w:r w:rsidR="00ED3EBD">
        <w:rPr>
          <w:rFonts w:hint="eastAsia"/>
        </w:rPr>
        <w:t>秘书处的报告(CEDAW/C/2009/I/4)</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项目9</w:t>
      </w:r>
      <w:r w:rsidR="006D4FA1" w:rsidRPr="006D4FA1">
        <w:rPr>
          <w:rFonts w:ascii="SimHei" w:eastAsia="SimHei"/>
          <w:color w:val="FF0000"/>
        </w:rPr>
        <w:br/>
      </w:r>
      <w:r w:rsidRPr="006D4FA1">
        <w:rPr>
          <w:rFonts w:ascii="SimHei" w:eastAsia="SimHei" w:hint="eastAsia"/>
          <w:color w:val="FF0000"/>
        </w:rPr>
        <w:t>委员会根据《消除对妇女一切形式歧视公约任择议定书》开展的活动</w:t>
      </w:r>
    </w:p>
    <w:p w:rsidR="00ED3EBD" w:rsidRDefault="006D4FA1" w:rsidP="00ED3EBD">
      <w:pPr>
        <w:pStyle w:val="SingleTxt"/>
        <w:rPr>
          <w:rFonts w:hint="eastAsia"/>
        </w:rPr>
      </w:pPr>
      <w:r>
        <w:tab/>
      </w:r>
      <w:r w:rsidR="00ED3EBD">
        <w:rPr>
          <w:rFonts w:hint="eastAsia"/>
        </w:rPr>
        <w:t>自2000年12月《消除对妇女一切形式歧视公约任择议定书》生效后，委员会根据《任择议定书》设立了一个来文工作组。委员会第四十三届会议将为该工作组任命五名成员，任期两年，至2010年12月31日届满。</w:t>
      </w:r>
    </w:p>
    <w:p w:rsidR="00ED3EBD" w:rsidRDefault="006D4FA1" w:rsidP="00ED3EBD">
      <w:pPr>
        <w:pStyle w:val="SingleTxt"/>
        <w:rPr>
          <w:rFonts w:hint="eastAsia"/>
        </w:rPr>
      </w:pPr>
      <w:r>
        <w:tab/>
      </w:r>
      <w:r w:rsidR="00ED3EBD">
        <w:rPr>
          <w:rFonts w:hint="eastAsia"/>
        </w:rPr>
        <w:t>工作组订于2009年2月9日至13日举行第十四届会议。</w:t>
      </w:r>
    </w:p>
    <w:p w:rsidR="00ED3EBD" w:rsidRDefault="006D4FA1" w:rsidP="00ED3EBD">
      <w:pPr>
        <w:pStyle w:val="SingleTxt"/>
        <w:rPr>
          <w:rFonts w:hint="eastAsia"/>
        </w:rPr>
      </w:pPr>
      <w:r>
        <w:tab/>
      </w:r>
      <w:r w:rsidR="00ED3EBD">
        <w:rPr>
          <w:rFonts w:hint="eastAsia"/>
        </w:rPr>
        <w:t>委员会第四十三届会议将根据《公约任择议定书》第2条和第8条继续执行其任务。</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项目10</w:t>
      </w:r>
      <w:r w:rsidR="006D4FA1" w:rsidRPr="006D4FA1">
        <w:rPr>
          <w:rFonts w:ascii="SimHei" w:eastAsia="SimHei"/>
          <w:color w:val="FF0000"/>
        </w:rPr>
        <w:br/>
      </w:r>
      <w:r w:rsidRPr="006D4FA1">
        <w:rPr>
          <w:rFonts w:ascii="SimHei" w:eastAsia="SimHei" w:hint="eastAsia"/>
          <w:color w:val="FF0000"/>
        </w:rPr>
        <w:t>委员会第四十四届会议临时议程</w:t>
      </w:r>
    </w:p>
    <w:p w:rsidR="00ED3EBD" w:rsidRPr="006D4FA1" w:rsidRDefault="00ED3EBD" w:rsidP="00ED3EBD">
      <w:pPr>
        <w:pStyle w:val="SingleTxt"/>
        <w:rPr>
          <w:rFonts w:ascii="SimHei" w:eastAsia="SimHei" w:hint="eastAsia"/>
          <w:color w:val="FF0000"/>
        </w:rPr>
      </w:pPr>
      <w:r w:rsidRPr="006D4FA1">
        <w:rPr>
          <w:rFonts w:ascii="SimHei" w:eastAsia="SimHei" w:hint="eastAsia"/>
          <w:color w:val="FF0000"/>
        </w:rPr>
        <w:t>文件</w:t>
      </w:r>
    </w:p>
    <w:p w:rsidR="00ED3EBD" w:rsidRDefault="006D4FA1" w:rsidP="00ED3EBD">
      <w:pPr>
        <w:pStyle w:val="SingleTxt"/>
        <w:rPr>
          <w:rFonts w:hint="eastAsia"/>
        </w:rPr>
      </w:pPr>
      <w:r>
        <w:tab/>
      </w:r>
      <w:r w:rsidR="00ED3EBD">
        <w:rPr>
          <w:rFonts w:hint="eastAsia"/>
        </w:rPr>
        <w:t>委员会第四十四届会议临时议程(CEDAW/C/2009/II/1)。</w:t>
      </w:r>
    </w:p>
    <w:p w:rsidR="00ED3EBD" w:rsidRDefault="00ED3EBD" w:rsidP="00ED3EBD">
      <w:pPr>
        <w:pStyle w:val="SingleTxt"/>
        <w:rPr>
          <w:rFonts w:ascii="Times New Roman" w:eastAsia="SimHei"/>
          <w:color w:val="FF0000"/>
        </w:rPr>
      </w:pPr>
      <w:r w:rsidRPr="006D4FA1">
        <w:rPr>
          <w:rFonts w:ascii="SimHei" w:eastAsia="SimHei" w:hint="eastAsia"/>
          <w:color w:val="FF0000"/>
        </w:rPr>
        <w:t>项目11</w:t>
      </w:r>
      <w:r w:rsidR="006D4FA1" w:rsidRPr="006D4FA1">
        <w:rPr>
          <w:rFonts w:ascii="SimHei" w:eastAsia="SimHei"/>
          <w:color w:val="FF0000"/>
        </w:rPr>
        <w:br/>
      </w:r>
      <w:r w:rsidRPr="006D4FA1">
        <w:rPr>
          <w:rFonts w:ascii="SimHei" w:eastAsia="SimHei" w:hint="eastAsia"/>
          <w:color w:val="FF0000"/>
        </w:rPr>
        <w:t>通过委员会第四十三届会议的报告</w:t>
      </w:r>
    </w:p>
    <w:p w:rsidR="00ED3EBD" w:rsidRDefault="00ED3EBD" w:rsidP="006D4FA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附件</w:t>
      </w:r>
    </w:p>
    <w:p w:rsidR="000F590F" w:rsidRPr="000F590F" w:rsidRDefault="006D4FA1" w:rsidP="008A280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00"/>
        <w:ind w:left="1264" w:right="1259" w:hanging="1264"/>
        <w:rPr>
          <w:rFonts w:ascii="Times New Roman"/>
        </w:rPr>
      </w:pPr>
      <w:r>
        <w:rPr>
          <w:rFonts w:ascii="Times New Roman"/>
        </w:rPr>
        <w:tab/>
      </w:r>
      <w:r>
        <w:rPr>
          <w:rFonts w:ascii="Times New Roman"/>
        </w:rPr>
        <w:tab/>
      </w:r>
      <w:r w:rsidR="00ED3EBD">
        <w:rPr>
          <w:rFonts w:hint="eastAsia"/>
        </w:rPr>
        <w:t>拟议工作安排</w:t>
      </w:r>
    </w:p>
    <w:tbl>
      <w:tblPr>
        <w:tblW w:w="7320" w:type="dxa"/>
        <w:tblInd w:w="1260" w:type="dxa"/>
        <w:tblLayout w:type="fixed"/>
        <w:tblCellMar>
          <w:left w:w="0" w:type="dxa"/>
          <w:right w:w="0" w:type="dxa"/>
        </w:tblCellMar>
        <w:tblLook w:val="0000" w:firstRow="0" w:lastRow="0" w:firstColumn="0" w:lastColumn="0" w:noHBand="0" w:noVBand="0"/>
      </w:tblPr>
      <w:tblGrid>
        <w:gridCol w:w="2745"/>
        <w:gridCol w:w="915"/>
        <w:gridCol w:w="3660"/>
      </w:tblGrid>
      <w:tr w:rsidR="000F590F" w:rsidRPr="00351805" w:rsidTr="008A2803">
        <w:tblPrEx>
          <w:tblCellMar>
            <w:top w:w="0" w:type="dxa"/>
            <w:bottom w:w="0" w:type="dxa"/>
          </w:tblCellMar>
        </w:tblPrEx>
        <w:trPr>
          <w:tblHeader/>
        </w:trPr>
        <w:tc>
          <w:tcPr>
            <w:tcW w:w="2745" w:type="dxa"/>
            <w:tcBorders>
              <w:top w:val="single" w:sz="4" w:space="0" w:color="auto"/>
              <w:bottom w:val="single" w:sz="12" w:space="0" w:color="auto"/>
            </w:tcBorders>
            <w:shd w:val="clear" w:color="auto" w:fill="auto"/>
            <w:vAlign w:val="bottom"/>
          </w:tcPr>
          <w:p w:rsidR="000F590F" w:rsidRPr="00351805" w:rsidRDefault="000F590F" w:rsidP="00351805">
            <w:pPr>
              <w:tabs>
                <w:tab w:val="left" w:pos="360"/>
                <w:tab w:val="left" w:pos="720"/>
                <w:tab w:val="left" w:pos="1080"/>
                <w:tab w:val="left" w:pos="1440"/>
              </w:tabs>
              <w:spacing w:before="60" w:after="60" w:line="200" w:lineRule="exact"/>
              <w:ind w:right="57"/>
              <w:rPr>
                <w:rFonts w:ascii="KaiTi_GB2312" w:eastAsia="KaiTi_GB2312"/>
                <w:color w:val="0000FF"/>
                <w:sz w:val="15"/>
              </w:rPr>
            </w:pPr>
            <w:r w:rsidRPr="00351805">
              <w:rPr>
                <w:rFonts w:ascii="KaiTi_GB2312" w:eastAsia="KaiTi_GB2312" w:hint="eastAsia"/>
                <w:color w:val="0000FF"/>
                <w:sz w:val="15"/>
              </w:rPr>
              <w:t>日期/时间</w:t>
            </w:r>
          </w:p>
        </w:tc>
        <w:tc>
          <w:tcPr>
            <w:tcW w:w="915" w:type="dxa"/>
            <w:tcBorders>
              <w:top w:val="single" w:sz="4" w:space="0" w:color="auto"/>
              <w:bottom w:val="single" w:sz="12" w:space="0" w:color="auto"/>
            </w:tcBorders>
            <w:shd w:val="clear" w:color="auto" w:fill="auto"/>
            <w:vAlign w:val="bottom"/>
          </w:tcPr>
          <w:p w:rsidR="000F590F" w:rsidRPr="00351805" w:rsidRDefault="000F590F" w:rsidP="00351805">
            <w:pPr>
              <w:tabs>
                <w:tab w:val="left" w:pos="360"/>
                <w:tab w:val="left" w:pos="720"/>
                <w:tab w:val="left" w:pos="1080"/>
                <w:tab w:val="left" w:pos="1440"/>
              </w:tabs>
              <w:spacing w:before="60" w:after="60" w:line="200" w:lineRule="exact"/>
              <w:ind w:right="57"/>
              <w:rPr>
                <w:rFonts w:ascii="KaiTi_GB2312" w:eastAsia="KaiTi_GB2312"/>
                <w:color w:val="0000FF"/>
                <w:sz w:val="15"/>
              </w:rPr>
            </w:pPr>
            <w:r w:rsidRPr="00351805">
              <w:rPr>
                <w:rFonts w:ascii="KaiTi_GB2312" w:eastAsia="KaiTi_GB2312" w:hint="eastAsia"/>
                <w:color w:val="0000FF"/>
                <w:sz w:val="15"/>
              </w:rPr>
              <w:t>议程项目</w:t>
            </w:r>
          </w:p>
        </w:tc>
        <w:tc>
          <w:tcPr>
            <w:tcW w:w="3660" w:type="dxa"/>
            <w:tcBorders>
              <w:top w:val="single" w:sz="4" w:space="0" w:color="auto"/>
              <w:bottom w:val="single" w:sz="12" w:space="0" w:color="auto"/>
            </w:tcBorders>
            <w:shd w:val="clear" w:color="auto" w:fill="auto"/>
            <w:vAlign w:val="bottom"/>
          </w:tcPr>
          <w:p w:rsidR="000F590F" w:rsidRPr="00351805" w:rsidRDefault="000F590F" w:rsidP="00351805">
            <w:pPr>
              <w:tabs>
                <w:tab w:val="left" w:pos="360"/>
                <w:tab w:val="left" w:pos="720"/>
                <w:tab w:val="left" w:pos="1080"/>
                <w:tab w:val="left" w:pos="1440"/>
              </w:tabs>
              <w:spacing w:before="60" w:after="60" w:line="200" w:lineRule="exact"/>
              <w:ind w:left="113"/>
              <w:rPr>
                <w:rFonts w:ascii="KaiTi_GB2312" w:eastAsia="KaiTi_GB2312"/>
                <w:color w:val="0000FF"/>
                <w:sz w:val="15"/>
              </w:rPr>
            </w:pPr>
            <w:r w:rsidRPr="00351805">
              <w:rPr>
                <w:rFonts w:ascii="KaiTi_GB2312" w:eastAsia="KaiTi_GB2312" w:hint="eastAsia"/>
                <w:color w:val="0000FF"/>
                <w:sz w:val="15"/>
              </w:rPr>
              <w:t>文件/日程</w:t>
            </w:r>
          </w:p>
        </w:tc>
      </w:tr>
      <w:tr w:rsidR="00351805" w:rsidRPr="00351805" w:rsidTr="008A2803">
        <w:tblPrEx>
          <w:tblCellMar>
            <w:top w:w="0" w:type="dxa"/>
            <w:bottom w:w="0" w:type="dxa"/>
          </w:tblCellMar>
        </w:tblPrEx>
        <w:trPr>
          <w:trHeight w:hRule="exact" w:val="115"/>
        </w:trPr>
        <w:tc>
          <w:tcPr>
            <w:tcW w:w="2745" w:type="dxa"/>
            <w:tcBorders>
              <w:top w:val="single" w:sz="12" w:space="0" w:color="auto"/>
            </w:tcBorders>
            <w:shd w:val="clear" w:color="auto" w:fill="auto"/>
            <w:vAlign w:val="bottom"/>
          </w:tcPr>
          <w:p w:rsidR="00351805" w:rsidRPr="00351805" w:rsidRDefault="00351805" w:rsidP="00351805">
            <w:pPr>
              <w:tabs>
                <w:tab w:val="left" w:pos="360"/>
                <w:tab w:val="left" w:pos="720"/>
                <w:tab w:val="left" w:pos="1080"/>
                <w:tab w:val="left" w:pos="1440"/>
              </w:tabs>
              <w:spacing w:after="120" w:line="280" w:lineRule="exact"/>
              <w:ind w:right="57"/>
              <w:rPr>
                <w:rFonts w:hint="eastAsia"/>
              </w:rPr>
            </w:pPr>
          </w:p>
        </w:tc>
        <w:tc>
          <w:tcPr>
            <w:tcW w:w="915" w:type="dxa"/>
            <w:tcBorders>
              <w:top w:val="single" w:sz="12" w:space="0" w:color="auto"/>
            </w:tcBorders>
            <w:shd w:val="clear" w:color="auto" w:fill="auto"/>
            <w:vAlign w:val="bottom"/>
          </w:tcPr>
          <w:p w:rsidR="00351805" w:rsidRPr="00351805" w:rsidRDefault="00351805" w:rsidP="00351805">
            <w:pPr>
              <w:tabs>
                <w:tab w:val="left" w:pos="360"/>
                <w:tab w:val="left" w:pos="720"/>
                <w:tab w:val="left" w:pos="1080"/>
                <w:tab w:val="left" w:pos="1440"/>
              </w:tabs>
              <w:spacing w:after="120" w:line="280" w:lineRule="exact"/>
              <w:ind w:right="57"/>
            </w:pPr>
          </w:p>
        </w:tc>
        <w:tc>
          <w:tcPr>
            <w:tcW w:w="3660" w:type="dxa"/>
            <w:tcBorders>
              <w:top w:val="single" w:sz="12" w:space="0" w:color="auto"/>
            </w:tcBorders>
            <w:shd w:val="clear" w:color="auto" w:fill="auto"/>
            <w:vAlign w:val="bottom"/>
          </w:tcPr>
          <w:p w:rsidR="00351805" w:rsidRPr="00351805" w:rsidRDefault="00351805" w:rsidP="00351805">
            <w:pPr>
              <w:tabs>
                <w:tab w:val="left" w:pos="360"/>
                <w:tab w:val="left" w:pos="720"/>
                <w:tab w:val="left" w:pos="1080"/>
                <w:tab w:val="left" w:pos="1440"/>
              </w:tabs>
              <w:spacing w:after="120" w:line="280" w:lineRule="exact"/>
              <w:ind w:left="113"/>
            </w:pPr>
          </w:p>
        </w:tc>
      </w:tr>
      <w:tr w:rsidR="000F590F" w:rsidRPr="00351805" w:rsidTr="008A2803">
        <w:tblPrEx>
          <w:tblCellMar>
            <w:top w:w="0" w:type="dxa"/>
            <w:bottom w:w="0" w:type="dxa"/>
          </w:tblCellMar>
        </w:tblPrEx>
        <w:tc>
          <w:tcPr>
            <w:tcW w:w="274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ascii="SimHei" w:eastAsia="SimHei" w:hAnsi="SimSun"/>
                <w:color w:val="FF0000"/>
                <w:szCs w:val="21"/>
              </w:rPr>
            </w:pPr>
            <w:r w:rsidRPr="00467C53">
              <w:rPr>
                <w:rFonts w:ascii="SimHei" w:eastAsia="SimHei" w:hAnsi="SimSun" w:hint="eastAsia"/>
                <w:color w:val="FF0000"/>
                <w:szCs w:val="21"/>
              </w:rPr>
              <w:t>2009年1月19日，星期一</w:t>
            </w:r>
          </w:p>
        </w:tc>
        <w:tc>
          <w:tcPr>
            <w:tcW w:w="915"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right="57"/>
              <w:rPr>
                <w:rFonts w:hAnsi="SimSun"/>
                <w:szCs w:val="21"/>
              </w:rPr>
            </w:pPr>
          </w:p>
        </w:tc>
        <w:tc>
          <w:tcPr>
            <w:tcW w:w="3660"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left="113"/>
              <w:rPr>
                <w:rFonts w:hAnsi="SimSun"/>
                <w:szCs w:val="21"/>
              </w:rPr>
            </w:pPr>
          </w:p>
        </w:tc>
      </w:tr>
      <w:tr w:rsidR="000F590F" w:rsidRPr="00351805" w:rsidTr="008A2803">
        <w:tblPrEx>
          <w:tblCellMar>
            <w:top w:w="0" w:type="dxa"/>
            <w:bottom w:w="0" w:type="dxa"/>
          </w:tblCellMar>
        </w:tblPrEx>
        <w:tc>
          <w:tcPr>
            <w:tcW w:w="274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ascii="SimHei" w:eastAsia="SimHei" w:hAnsi="SimSun"/>
                <w:color w:val="FF0000"/>
                <w:szCs w:val="21"/>
              </w:rPr>
            </w:pPr>
            <w:r w:rsidRPr="00467C53">
              <w:rPr>
                <w:rFonts w:ascii="SimHei" w:eastAsia="SimHei" w:hAnsi="SimSun" w:hint="eastAsia"/>
                <w:color w:val="FF0000"/>
                <w:szCs w:val="21"/>
              </w:rPr>
              <w:t>第867次会议</w:t>
            </w:r>
          </w:p>
        </w:tc>
        <w:tc>
          <w:tcPr>
            <w:tcW w:w="915"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right="57"/>
              <w:rPr>
                <w:rFonts w:hAnsi="SimSun"/>
                <w:szCs w:val="21"/>
              </w:rPr>
            </w:pPr>
          </w:p>
        </w:tc>
        <w:tc>
          <w:tcPr>
            <w:tcW w:w="3660"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left="113"/>
              <w:rPr>
                <w:rFonts w:hAnsi="SimSun"/>
                <w:szCs w:val="21"/>
              </w:rPr>
            </w:pPr>
          </w:p>
        </w:tc>
      </w:tr>
      <w:tr w:rsidR="000F590F" w:rsidRPr="00351805" w:rsidTr="008A2803">
        <w:tblPrEx>
          <w:tblCellMar>
            <w:top w:w="0" w:type="dxa"/>
            <w:bottom w:w="0" w:type="dxa"/>
          </w:tblCellMar>
        </w:tblPrEx>
        <w:tc>
          <w:tcPr>
            <w:tcW w:w="274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hint="eastAsia"/>
                <w:szCs w:val="21"/>
              </w:rPr>
              <w:t>上午10时至11时</w:t>
            </w:r>
          </w:p>
        </w:tc>
        <w:tc>
          <w:tcPr>
            <w:tcW w:w="91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1</w:t>
            </w:r>
          </w:p>
        </w:tc>
        <w:tc>
          <w:tcPr>
            <w:tcW w:w="3660"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会议开幕</w:t>
            </w:r>
          </w:p>
        </w:tc>
      </w:tr>
      <w:tr w:rsidR="000F590F" w:rsidRPr="00351805" w:rsidTr="008A2803">
        <w:tblPrEx>
          <w:tblCellMar>
            <w:top w:w="0" w:type="dxa"/>
            <w:bottom w:w="0" w:type="dxa"/>
          </w:tblCellMar>
        </w:tblPrEx>
        <w:tc>
          <w:tcPr>
            <w:tcW w:w="2745"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2</w:t>
            </w:r>
          </w:p>
        </w:tc>
        <w:tc>
          <w:tcPr>
            <w:tcW w:w="3660"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通过议程和工作安排</w:t>
            </w:r>
          </w:p>
        </w:tc>
      </w:tr>
      <w:tr w:rsidR="000F590F" w:rsidRPr="00351805" w:rsidTr="008A2803">
        <w:tblPrEx>
          <w:tblCellMar>
            <w:top w:w="0" w:type="dxa"/>
            <w:bottom w:w="0" w:type="dxa"/>
          </w:tblCellMar>
        </w:tblPrEx>
        <w:tc>
          <w:tcPr>
            <w:tcW w:w="2745"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3</w:t>
            </w:r>
          </w:p>
        </w:tc>
        <w:tc>
          <w:tcPr>
            <w:tcW w:w="3660"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委员会新成员庄严宣誓</w:t>
            </w:r>
          </w:p>
        </w:tc>
      </w:tr>
      <w:tr w:rsidR="000F590F" w:rsidRPr="00351805" w:rsidTr="008A2803">
        <w:tblPrEx>
          <w:tblCellMar>
            <w:top w:w="0" w:type="dxa"/>
            <w:bottom w:w="0" w:type="dxa"/>
          </w:tblCellMar>
        </w:tblPrEx>
        <w:tc>
          <w:tcPr>
            <w:tcW w:w="2745" w:type="dxa"/>
            <w:shd w:val="clear" w:color="auto" w:fill="auto"/>
          </w:tcPr>
          <w:p w:rsidR="000F590F" w:rsidRPr="00467C53" w:rsidRDefault="000F590F"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4</w:t>
            </w:r>
          </w:p>
        </w:tc>
        <w:tc>
          <w:tcPr>
            <w:tcW w:w="3660" w:type="dxa"/>
            <w:shd w:val="clear" w:color="auto" w:fill="auto"/>
          </w:tcPr>
          <w:p w:rsidR="000F590F"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主席关于委员会第四十二届会议至第四十三届会议闭会期间活动的报告</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5</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选举主席团成员</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6</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审议缔约国根据《消除对妇女一切形式歧视公约》第十八条提交的报告：会前工作组的报告</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7</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《消除对妇女一切形式歧视公约》第二十一条的执行情况：介绍性发言</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szCs w:val="21"/>
              </w:rPr>
              <w:t>8</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加快委员会工作的方式和方法：介绍性发言</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hint="eastAsia"/>
                <w:szCs w:val="21"/>
              </w:rPr>
              <w:t>上午11时至下午1时</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与联合国各机构和专门机构举行非正式会议(</w:t>
            </w:r>
            <w:r w:rsidRPr="00467C53">
              <w:rPr>
                <w:rFonts w:ascii="KaiTi_GB2312" w:eastAsia="KaiTi_GB2312" w:hAnsi="SimSun" w:hint="eastAsia"/>
                <w:color w:val="0000FF"/>
                <w:szCs w:val="21"/>
              </w:rPr>
              <w:t>非公开会议</w:t>
            </w:r>
            <w:r w:rsidRPr="00467C53">
              <w:rPr>
                <w:rFonts w:hAnsi="SimSun" w:hint="eastAsia"/>
                <w:szCs w:val="21"/>
              </w:rPr>
              <w:t>)</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下午3时至4时15分</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与非政府组织举行非正式会议</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下午4时15分至5时15分</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与国家人权机构举行非正式会议</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下午5时15分至6时</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hAnsi="SimSun" w:hint="eastAsia"/>
                <w:szCs w:val="21"/>
              </w:rPr>
              <w:t>7、8和9</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CB5D1D"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2009年1月20日，星期二</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上午10时至下午1时</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下午3时至6时</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CB5D1D"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CB5D1D" w:rsidRPr="00467C53" w:rsidRDefault="00CB5D1D"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2009年1月21日，星期三</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第868次会议</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审议缔约国根据《公约》第十八条提交的报告</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right="57"/>
              <w:rPr>
                <w:rFonts w:hAnsi="SimSun" w:hint="eastAsia"/>
                <w:sz w:val="10"/>
                <w:szCs w:val="21"/>
              </w:rPr>
            </w:pPr>
          </w:p>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p>
        </w:tc>
        <w:tc>
          <w:tcPr>
            <w:tcW w:w="3660"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left="113"/>
              <w:rPr>
                <w:rFonts w:hAnsi="SimSun" w:hint="eastAsia"/>
                <w:sz w:val="10"/>
                <w:szCs w:val="21"/>
              </w:rPr>
            </w:pPr>
          </w:p>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多米尼克</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第869次会议</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CB5D1D" w:rsidRPr="00351805" w:rsidTr="008A2803">
        <w:tblPrEx>
          <w:tblCellMar>
            <w:top w:w="0" w:type="dxa"/>
            <w:bottom w:w="0" w:type="dxa"/>
          </w:tblCellMar>
        </w:tblPrEx>
        <w:tc>
          <w:tcPr>
            <w:tcW w:w="274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CB5D1D" w:rsidRPr="00467C53" w:rsidRDefault="00CB5D1D"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CB5D1D"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多米尼克(</w:t>
            </w:r>
            <w:r w:rsidRPr="00467C53">
              <w:rPr>
                <w:rFonts w:ascii="KaiTi_GB2312" w:eastAsia="KaiTi_GB2312" w:hAnsi="SimSun" w:hint="eastAsia"/>
                <w:color w:val="0000FF"/>
                <w:szCs w:val="21"/>
              </w:rPr>
              <w:t>续</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778EA" w:rsidRPr="00467C53" w:rsidRDefault="00B778EA"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2009年1月22日，星期四</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上午10时至下午1时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下午3时至6时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778EA" w:rsidRPr="00467C53" w:rsidRDefault="00B778EA"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2009年1月23日，星期五</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第870次会议</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亚美尼亚第三次和第四次合并定期报告(CEDAW/C/ARM/4)</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第871次会议</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亚美尼亚(</w:t>
            </w:r>
            <w:r w:rsidRPr="00467C53">
              <w:rPr>
                <w:rFonts w:ascii="KaiTi_GB2312" w:eastAsia="KaiTi_GB2312" w:hAnsi="SimSun" w:hint="eastAsia"/>
                <w:color w:val="0000FF"/>
                <w:szCs w:val="21"/>
              </w:rPr>
              <w:t>续</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778EA" w:rsidRPr="00467C53" w:rsidRDefault="00B778EA"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2009年1月26日，星期一</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第872次会议</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上午10时至下午1时</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9</w:t>
            </w: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委员会根据《任择议定书》开展的活动(</w:t>
            </w:r>
            <w:r w:rsidRPr="00467C53">
              <w:rPr>
                <w:rFonts w:ascii="KaiTi_GB2312" w:eastAsia="KaiTi_GB2312" w:hAnsi="SimSun" w:hint="eastAsia"/>
                <w:color w:val="0000FF"/>
                <w:szCs w:val="21"/>
              </w:rPr>
              <w:t>非公开会议</w:t>
            </w:r>
            <w:r w:rsidRPr="00467C53">
              <w:rPr>
                <w:rFonts w:hAnsi="SimSun" w:hint="eastAsia"/>
                <w:szCs w:val="21"/>
              </w:rPr>
              <w:t>)</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下午3时至4时30分</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与非政府组织举行非正式会议</w:t>
            </w:r>
          </w:p>
        </w:tc>
      </w:tr>
      <w:tr w:rsidR="00B778EA" w:rsidRPr="00351805" w:rsidTr="008A2803">
        <w:tblPrEx>
          <w:tblCellMar>
            <w:top w:w="0" w:type="dxa"/>
            <w:bottom w:w="0" w:type="dxa"/>
          </w:tblCellMar>
        </w:tblPrEx>
        <w:tc>
          <w:tcPr>
            <w:tcW w:w="274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下午4时30分至5时30分</w:t>
            </w:r>
          </w:p>
        </w:tc>
        <w:tc>
          <w:tcPr>
            <w:tcW w:w="915"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778EA" w:rsidRPr="00467C53" w:rsidRDefault="00B778EA"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与国家人权机构举行非正式会议</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下午5时30分至6时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Pr="00467C53">
              <w:rPr>
                <w:rFonts w:ascii="KaiTi_GB2312" w:eastAsia="KaiTi_GB2312" w:hAnsi="SimSun" w:hint="eastAsia"/>
                <w:color w:val="0000FF"/>
                <w:szCs w:val="21"/>
              </w:rPr>
              <w:t>非公开会议</w:t>
            </w:r>
            <w:r w:rsidRPr="00467C53">
              <w:rPr>
                <w:rFonts w:hAnsi="SimSun" w:hint="eastAsia"/>
                <w:szCs w:val="21"/>
              </w:rPr>
              <w:t>)</w:t>
            </w:r>
          </w:p>
        </w:tc>
      </w:tr>
      <w:tr w:rsidR="00AF7902" w:rsidRPr="00351805" w:rsidTr="008A2803">
        <w:tblPrEx>
          <w:tblCellMar>
            <w:top w:w="0" w:type="dxa"/>
            <w:bottom w:w="0" w:type="dxa"/>
          </w:tblCellMar>
        </w:tblPrEx>
        <w:tc>
          <w:tcPr>
            <w:tcW w:w="2745" w:type="dxa"/>
            <w:shd w:val="clear" w:color="auto" w:fill="auto"/>
          </w:tcPr>
          <w:p w:rsidR="00AF7902" w:rsidRPr="00467C53" w:rsidRDefault="00AF7902"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AF7902" w:rsidRPr="00467C53" w:rsidRDefault="00AF7902"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AF7902" w:rsidRPr="00467C53" w:rsidRDefault="00AF7902"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2008年1月27日，星期二</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第873次会议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海地初次至第七次合并定期报告(CEDAW/C/HTI/7)</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第874次会议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海地(</w:t>
            </w:r>
            <w:r w:rsidRPr="00467C53">
              <w:rPr>
                <w:rFonts w:ascii="KaiTi_GB2312" w:eastAsia="KaiTi_GB2312" w:hAnsi="SimSun" w:hint="eastAsia"/>
                <w:color w:val="0000FF"/>
                <w:szCs w:val="21"/>
              </w:rPr>
              <w:t>续</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2009年1月28日，星期三</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第875次会议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喀麦隆第二次和第三次合并定期报告(CEDAW/C/CMR/3)</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第876次会议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喀麦隆(</w:t>
            </w:r>
            <w:r w:rsidRPr="00467C53">
              <w:rPr>
                <w:rFonts w:ascii="KaiTi_GB2312" w:eastAsia="KaiTi_GB2312" w:hAnsi="SimSun" w:hint="eastAsia"/>
                <w:color w:val="0000FF"/>
                <w:szCs w:val="21"/>
              </w:rPr>
              <w:t>续</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2009年1月29日，星期四</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第877次会议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pacing w:val="4"/>
                <w:szCs w:val="21"/>
              </w:rPr>
              <w:t>阿拉伯利比亚民众国第二次定期报告</w:t>
            </w:r>
            <w:r w:rsidR="00ED2EEF">
              <w:rPr>
                <w:rFonts w:hint="eastAsia"/>
              </w:rPr>
              <w:t>及第三次、第四次和第五次合并报告</w:t>
            </w:r>
            <w:r w:rsidRPr="00467C53">
              <w:rPr>
                <w:rFonts w:hAnsi="SimSun" w:hint="eastAsia"/>
                <w:spacing w:val="4"/>
                <w:szCs w:val="21"/>
              </w:rPr>
              <w:t>(CEDAW/</w:t>
            </w:r>
            <w:r w:rsidRPr="00467C53">
              <w:rPr>
                <w:rFonts w:hAnsi="SimSun" w:hint="eastAsia"/>
                <w:szCs w:val="21"/>
              </w:rPr>
              <w:t>C/LBY/2)</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467C53" w:rsidRPr="00351805" w:rsidTr="008A2803">
        <w:tblPrEx>
          <w:tblCellMar>
            <w:top w:w="0" w:type="dxa"/>
            <w:bottom w:w="0" w:type="dxa"/>
          </w:tblCellMar>
        </w:tblPrEx>
        <w:tc>
          <w:tcPr>
            <w:tcW w:w="2745" w:type="dxa"/>
            <w:shd w:val="clear" w:color="auto" w:fill="auto"/>
          </w:tcPr>
          <w:p w:rsidR="00467C53" w:rsidRPr="00467C53" w:rsidRDefault="00467C53"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467C53" w:rsidRPr="00467C53" w:rsidRDefault="00467C53"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467C53" w:rsidRPr="00467C53" w:rsidRDefault="00467C53"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第878次会议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阿拉伯利比亚民众国(</w:t>
            </w:r>
            <w:r w:rsidRPr="00467C53">
              <w:rPr>
                <w:rFonts w:ascii="KaiTi_GB2312" w:eastAsia="KaiTi_GB2312" w:hAnsi="SimSun" w:hint="eastAsia"/>
                <w:color w:val="0000FF"/>
                <w:szCs w:val="21"/>
              </w:rPr>
              <w:t>续</w:t>
            </w:r>
            <w:r w:rsidRPr="00467C53">
              <w:rPr>
                <w:rFonts w:hAnsi="SimSun" w:hint="eastAsia"/>
                <w:szCs w:val="21"/>
              </w:rPr>
              <w:t>)</w:t>
            </w:r>
          </w:p>
        </w:tc>
      </w:tr>
      <w:tr w:rsidR="00E365D9" w:rsidRPr="00351805" w:rsidTr="008A2803">
        <w:tblPrEx>
          <w:tblCellMar>
            <w:top w:w="0" w:type="dxa"/>
            <w:bottom w:w="0" w:type="dxa"/>
          </w:tblCellMar>
        </w:tblPrEx>
        <w:tc>
          <w:tcPr>
            <w:tcW w:w="2745" w:type="dxa"/>
            <w:shd w:val="clear" w:color="auto" w:fill="auto"/>
          </w:tcPr>
          <w:p w:rsidR="00E365D9" w:rsidRPr="00467C53" w:rsidRDefault="00E365D9"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E365D9" w:rsidRPr="00467C53" w:rsidRDefault="00E365D9"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E365D9" w:rsidRPr="00467C53" w:rsidRDefault="00E365D9"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right="57"/>
              <w:rPr>
                <w:rFonts w:hAnsi="SimSun" w:hint="eastAsia"/>
                <w:sz w:val="1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right="57"/>
              <w:rPr>
                <w:rFonts w:hAnsi="SimSun" w:hint="eastAsia"/>
                <w:sz w:val="1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left="113"/>
              <w:rPr>
                <w:rFonts w:hAnsi="SimSun" w:hint="eastAsia"/>
                <w:sz w:val="10"/>
                <w:szCs w:val="21"/>
              </w:rPr>
            </w:pPr>
          </w:p>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2009年1月30日，星期五</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第879次会议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AF7902" w:rsidRDefault="00B952EC" w:rsidP="008A2803">
            <w:pPr>
              <w:tabs>
                <w:tab w:val="left" w:pos="334"/>
                <w:tab w:val="left" w:pos="669"/>
                <w:tab w:val="left" w:pos="1003"/>
                <w:tab w:val="left" w:pos="1338"/>
              </w:tabs>
              <w:suppressAutoHyphens/>
              <w:spacing w:after="120" w:line="280" w:lineRule="exact"/>
              <w:ind w:left="113"/>
              <w:rPr>
                <w:rFonts w:hAnsi="SimSun" w:hint="eastAsia"/>
                <w:spacing w:val="4"/>
                <w:szCs w:val="21"/>
              </w:rPr>
            </w:pPr>
            <w:r w:rsidRPr="00467C53">
              <w:rPr>
                <w:rFonts w:hAnsi="SimSun" w:hint="eastAsia"/>
                <w:spacing w:val="4"/>
                <w:szCs w:val="21"/>
              </w:rPr>
              <w:t>卢旺达第四次至第六次合并定期报告(CEDAW/</w:t>
            </w:r>
            <w:r w:rsidRPr="00467C53">
              <w:rPr>
                <w:rFonts w:hAnsi="SimSun" w:hint="eastAsia"/>
                <w:szCs w:val="21"/>
              </w:rPr>
              <w:t>C/RWA/6)</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第880次会议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卢旺达(</w:t>
            </w:r>
            <w:r w:rsidRPr="00467C53">
              <w:rPr>
                <w:rFonts w:ascii="KaiTi_GB2312" w:eastAsia="KaiTi_GB2312" w:hAnsi="SimSun" w:hint="eastAsia"/>
                <w:color w:val="0000FF"/>
                <w:szCs w:val="21"/>
              </w:rPr>
              <w:t>续</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2009年2月2日，星期一</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第881次会议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德国第六次定期报告(CEDAW/C/DEU/6)</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第882次会议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德国(</w:t>
            </w:r>
            <w:r w:rsidRPr="00467C53">
              <w:rPr>
                <w:rFonts w:ascii="KaiTi_GB2312" w:eastAsia="KaiTi_GB2312" w:hAnsi="SimSun" w:hint="eastAsia"/>
                <w:color w:val="0000FF"/>
                <w:szCs w:val="21"/>
              </w:rPr>
              <w:t>续</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B952EC"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2009年2月3日，星期二</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ascii="SimHei" w:eastAsia="SimHei" w:hAnsi="SimSun" w:hint="eastAsia"/>
                <w:color w:val="FF0000"/>
                <w:szCs w:val="21"/>
              </w:rPr>
            </w:pPr>
            <w:r w:rsidRPr="00467C53">
              <w:rPr>
                <w:rFonts w:ascii="SimHei" w:eastAsia="SimHei" w:hAnsi="SimSun" w:hint="eastAsia"/>
                <w:color w:val="FF0000"/>
                <w:szCs w:val="21"/>
              </w:rPr>
              <w:t>第883次会议</w:t>
            </w:r>
          </w:p>
        </w:tc>
        <w:tc>
          <w:tcPr>
            <w:tcW w:w="91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B952EC" w:rsidRPr="00467C53" w:rsidRDefault="00B952EC" w:rsidP="008A28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113" w:right="0"/>
              <w:rPr>
                <w:rFonts w:hAnsi="SimSun" w:hint="eastAsia"/>
                <w:szCs w:val="21"/>
              </w:rPr>
            </w:pPr>
          </w:p>
        </w:tc>
      </w:tr>
      <w:tr w:rsidR="00B952EC" w:rsidRPr="00351805" w:rsidTr="008A2803">
        <w:tblPrEx>
          <w:tblCellMar>
            <w:top w:w="0" w:type="dxa"/>
            <w:bottom w:w="0" w:type="dxa"/>
          </w:tblCellMar>
        </w:tblPrEx>
        <w:tc>
          <w:tcPr>
            <w:tcW w:w="2745" w:type="dxa"/>
            <w:shd w:val="clear" w:color="auto" w:fill="auto"/>
          </w:tcPr>
          <w:p w:rsidR="00B952EC" w:rsidRPr="00467C53" w:rsidRDefault="00B952EC"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B952EC"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B952EC"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危地马拉第七次定期报告(CEDAW/C/GUA/7)</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上午10时至10时30分</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缔约国代表介绍情况</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上午10时30分至下午1时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专家提问和与委员会对话</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第884次会议</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下午3时至5时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6(</w:t>
            </w:r>
            <w:r w:rsidRPr="00467C53">
              <w:rPr>
                <w:rFonts w:ascii="KaiTi_GB2312" w:eastAsia="KaiTi_GB2312" w:hAnsi="SimSun" w:hint="eastAsia"/>
                <w:color w:val="0000FF"/>
                <w:szCs w:val="21"/>
              </w:rPr>
              <w:t>续</w:t>
            </w:r>
            <w:r w:rsidRPr="00467C53">
              <w:rPr>
                <w:rFonts w:hAnsi="SimSun" w:hint="eastAsia"/>
                <w:szCs w:val="21"/>
              </w:rPr>
              <w:t>)</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危地马拉(</w:t>
            </w:r>
            <w:r w:rsidRPr="00AF7902">
              <w:rPr>
                <w:rFonts w:ascii="KaiTi_GB2312" w:eastAsia="KaiTi_GB2312" w:hAnsi="SimSun" w:hint="eastAsia"/>
                <w:color w:val="0000FF"/>
                <w:szCs w:val="21"/>
              </w:rPr>
              <w:t>续</w:t>
            </w:r>
            <w:r w:rsidRPr="00467C53">
              <w:rPr>
                <w:rFonts w:hAnsi="SimSun" w:hint="eastAsia"/>
                <w:szCs w:val="21"/>
              </w:rPr>
              <w:t>)</w:t>
            </w:r>
          </w:p>
        </w:tc>
      </w:tr>
      <w:tr w:rsidR="00AF3DD9" w:rsidRPr="00351805" w:rsidTr="008A2803">
        <w:tblPrEx>
          <w:tblCellMar>
            <w:top w:w="0" w:type="dxa"/>
            <w:bottom w:w="0" w:type="dxa"/>
          </w:tblCellMar>
        </w:tblPrEx>
        <w:tc>
          <w:tcPr>
            <w:tcW w:w="2745" w:type="dxa"/>
            <w:shd w:val="clear" w:color="auto" w:fill="auto"/>
          </w:tcPr>
          <w:p w:rsidR="00AF3DD9" w:rsidRPr="00467C53" w:rsidRDefault="00AF3DD9"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shd w:val="clear" w:color="auto" w:fill="auto"/>
          </w:tcPr>
          <w:p w:rsidR="00AF3DD9" w:rsidRPr="00467C53" w:rsidRDefault="00AF3DD9"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AF3DD9" w:rsidRPr="00467C53" w:rsidRDefault="00AF3DD9"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351805" w:rsidRPr="00351805" w:rsidTr="008A2803">
        <w:tblPrEx>
          <w:tblCellMar>
            <w:top w:w="0" w:type="dxa"/>
            <w:bottom w:w="0" w:type="dxa"/>
          </w:tblCellMar>
        </w:tblPrEx>
        <w:tc>
          <w:tcPr>
            <w:tcW w:w="2745"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right="57"/>
              <w:rPr>
                <w:rFonts w:hAnsi="SimSun" w:hint="eastAsia"/>
                <w:sz w:val="10"/>
                <w:szCs w:val="21"/>
              </w:rPr>
            </w:pPr>
          </w:p>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下午5时至6时</w:t>
            </w:r>
          </w:p>
        </w:tc>
        <w:tc>
          <w:tcPr>
            <w:tcW w:w="915"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right="57"/>
              <w:rPr>
                <w:rFonts w:hAnsi="SimSun" w:hint="eastAsia"/>
                <w:sz w:val="10"/>
                <w:szCs w:val="21"/>
              </w:rPr>
            </w:pPr>
          </w:p>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AF3DD9" w:rsidRPr="00AF3DD9" w:rsidRDefault="00AF3DD9" w:rsidP="00AF3DD9">
            <w:pPr>
              <w:tabs>
                <w:tab w:val="left" w:pos="334"/>
                <w:tab w:val="left" w:pos="669"/>
                <w:tab w:val="left" w:pos="1003"/>
                <w:tab w:val="left" w:pos="1338"/>
              </w:tabs>
              <w:suppressAutoHyphens/>
              <w:spacing w:line="120" w:lineRule="exact"/>
              <w:ind w:left="113"/>
              <w:rPr>
                <w:rFonts w:hAnsi="SimSun" w:hint="eastAsia"/>
                <w:sz w:val="10"/>
                <w:szCs w:val="21"/>
              </w:rPr>
            </w:pPr>
          </w:p>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2009年2月4日，星期三</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上午10时至下午1时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下午3时至6时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2009年2月5日，星期四</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113" w:right="0"/>
              <w:rPr>
                <w:rFonts w:hAnsi="SimSun" w:hint="eastAsia"/>
                <w:szCs w:val="21"/>
              </w:rPr>
            </w:pP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上午10时至下午1时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下午3时至6时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8A2803" w:rsidRPr="00467C53" w:rsidRDefault="008A2803" w:rsidP="008A2803">
            <w:pPr>
              <w:tabs>
                <w:tab w:val="left" w:pos="334"/>
                <w:tab w:val="left" w:pos="669"/>
                <w:tab w:val="left" w:pos="1003"/>
                <w:tab w:val="left" w:pos="1338"/>
              </w:tabs>
              <w:suppressAutoHyphens/>
              <w:spacing w:line="120" w:lineRule="exact"/>
              <w:ind w:right="57"/>
              <w:rPr>
                <w:rFonts w:ascii="SimHei" w:eastAsia="SimHei" w:hAnsi="SimSun" w:hint="eastAsia"/>
                <w:color w:val="FF0000"/>
                <w:szCs w:val="21"/>
              </w:rPr>
            </w:pPr>
          </w:p>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ascii="SimHei" w:eastAsia="SimHei" w:hAnsi="SimSun" w:hint="eastAsia"/>
                <w:color w:val="FF0000"/>
                <w:szCs w:val="21"/>
              </w:rPr>
              <w:t>2009年2月6日，星期五</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113" w:right="0"/>
              <w:rPr>
                <w:rFonts w:hAnsi="SimSun" w:hint="eastAsia"/>
                <w:szCs w:val="21"/>
              </w:rPr>
            </w:pP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上午10时至下午1时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全体工作组</w:t>
            </w:r>
            <w:r w:rsidR="0081568D" w:rsidRPr="00467C53">
              <w:rPr>
                <w:rFonts w:hAnsi="SimSun"/>
                <w:szCs w:val="21"/>
              </w:rPr>
              <w:br/>
            </w:r>
            <w:r w:rsidRPr="00467C53">
              <w:rPr>
                <w:rFonts w:hAnsi="SimSun" w:hint="eastAsia"/>
                <w:szCs w:val="21"/>
              </w:rPr>
              <w:t>(</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下午3时至4时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7、8和9</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通过全体工作组的报告(</w:t>
            </w:r>
            <w:r w:rsidRPr="00467C53">
              <w:rPr>
                <w:rFonts w:ascii="KaiTi_GB2312" w:eastAsia="KaiTi_GB2312" w:hAnsi="SimSun" w:hint="eastAsia"/>
                <w:color w:val="0000FF"/>
                <w:szCs w:val="21"/>
              </w:rPr>
              <w:t>非公开会议</w:t>
            </w:r>
            <w:r w:rsidRPr="00467C53">
              <w:rPr>
                <w:rFonts w:hAnsi="SimSun" w:hint="eastAsia"/>
                <w:szCs w:val="21"/>
              </w:rPr>
              <w:t>)</w:t>
            </w: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szCs w:val="21"/>
              </w:rPr>
            </w:pPr>
            <w:r w:rsidRPr="00467C53">
              <w:rPr>
                <w:rFonts w:ascii="SimHei" w:eastAsia="SimHei" w:hAnsi="SimSun" w:hint="eastAsia"/>
                <w:color w:val="FF0000"/>
                <w:szCs w:val="21"/>
              </w:rPr>
              <w:t>第885次会议</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3660" w:type="dxa"/>
            <w:shd w:val="clear" w:color="auto" w:fill="auto"/>
          </w:tcPr>
          <w:p w:rsidR="00351805" w:rsidRPr="00467C53" w:rsidRDefault="00351805" w:rsidP="008A28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113" w:right="0"/>
              <w:rPr>
                <w:rFonts w:hAnsi="SimSun" w:hint="eastAsia"/>
                <w:szCs w:val="21"/>
              </w:rPr>
            </w:pPr>
          </w:p>
        </w:tc>
      </w:tr>
      <w:tr w:rsidR="00351805" w:rsidRPr="00351805" w:rsidTr="008A2803">
        <w:tblPrEx>
          <w:tblCellMar>
            <w:top w:w="0" w:type="dxa"/>
            <w:bottom w:w="0" w:type="dxa"/>
          </w:tblCellMar>
        </w:tblPrEx>
        <w:tc>
          <w:tcPr>
            <w:tcW w:w="274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下午4时至6时</w:t>
            </w:r>
          </w:p>
        </w:tc>
        <w:tc>
          <w:tcPr>
            <w:tcW w:w="915"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10</w:t>
            </w:r>
          </w:p>
        </w:tc>
        <w:tc>
          <w:tcPr>
            <w:tcW w:w="3660" w:type="dxa"/>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委员会第四十四届会议临时议程</w:t>
            </w:r>
          </w:p>
        </w:tc>
      </w:tr>
      <w:tr w:rsidR="00351805" w:rsidRPr="00351805" w:rsidTr="008A2803">
        <w:tblPrEx>
          <w:tblCellMar>
            <w:top w:w="0" w:type="dxa"/>
            <w:bottom w:w="0" w:type="dxa"/>
          </w:tblCellMar>
        </w:tblPrEx>
        <w:tc>
          <w:tcPr>
            <w:tcW w:w="2745" w:type="dxa"/>
            <w:tcBorders>
              <w:bottom w:val="single" w:sz="12" w:space="0" w:color="auto"/>
            </w:tcBorders>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p>
        </w:tc>
        <w:tc>
          <w:tcPr>
            <w:tcW w:w="915" w:type="dxa"/>
            <w:tcBorders>
              <w:bottom w:val="single" w:sz="12" w:space="0" w:color="auto"/>
            </w:tcBorders>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right="57"/>
              <w:rPr>
                <w:rFonts w:hAnsi="SimSun" w:hint="eastAsia"/>
                <w:szCs w:val="21"/>
              </w:rPr>
            </w:pPr>
            <w:r w:rsidRPr="00467C53">
              <w:rPr>
                <w:rFonts w:hAnsi="SimSun" w:hint="eastAsia"/>
                <w:szCs w:val="21"/>
              </w:rPr>
              <w:t>11</w:t>
            </w:r>
          </w:p>
        </w:tc>
        <w:tc>
          <w:tcPr>
            <w:tcW w:w="3660" w:type="dxa"/>
            <w:tcBorders>
              <w:bottom w:val="single" w:sz="12" w:space="0" w:color="auto"/>
            </w:tcBorders>
            <w:shd w:val="clear" w:color="auto" w:fill="auto"/>
          </w:tcPr>
          <w:p w:rsidR="00351805" w:rsidRPr="00467C53" w:rsidRDefault="00351805" w:rsidP="008A2803">
            <w:pPr>
              <w:tabs>
                <w:tab w:val="left" w:pos="334"/>
                <w:tab w:val="left" w:pos="669"/>
                <w:tab w:val="left" w:pos="1003"/>
                <w:tab w:val="left" w:pos="1338"/>
              </w:tabs>
              <w:suppressAutoHyphens/>
              <w:spacing w:after="120" w:line="280" w:lineRule="exact"/>
              <w:ind w:left="113"/>
              <w:rPr>
                <w:rFonts w:hAnsi="SimSun" w:hint="eastAsia"/>
                <w:szCs w:val="21"/>
              </w:rPr>
            </w:pPr>
            <w:r w:rsidRPr="00467C53">
              <w:rPr>
                <w:rFonts w:hAnsi="SimSun" w:hint="eastAsia"/>
                <w:szCs w:val="21"/>
              </w:rPr>
              <w:t>通过委员会第四十三届会议的报告</w:t>
            </w:r>
          </w:p>
        </w:tc>
      </w:tr>
    </w:tbl>
    <w:p w:rsidR="000F590F" w:rsidRPr="00351805" w:rsidRDefault="00351805" w:rsidP="00351805">
      <w:pPr>
        <w:pStyle w:val="SingleTxt"/>
        <w:spacing w:after="0" w:line="240" w:lineRule="auto"/>
        <w:rPr>
          <w:sz w:val="20"/>
        </w:rPr>
      </w:pPr>
      <w:r>
        <w:rPr>
          <w:noProof/>
          <w:sz w:val="20"/>
        </w:rPr>
        <w:pict>
          <v:line id="_x0000_s1028" style="position:absolute;left:0;text-align:left;z-index:1;mso-position-horizontal:center;mso-position-horizontal-relative:text;mso-position-vertical-relative:text" from="0,30pt" to="1in,30pt" strokeweight=".25pt"/>
        </w:pict>
      </w:r>
    </w:p>
    <w:sectPr w:rsidR="000F590F" w:rsidRPr="00351805" w:rsidSect="00F0788D">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5T13:50:00Z" w:initials="Start">
    <w:p w:rsidR="00B50AE1" w:rsidRDefault="00B50AE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NO&gt;&gt;N0862765C&lt;&lt;ODS JOB NO&gt;&gt;</w:t>
      </w:r>
    </w:p>
    <w:p w:rsidR="00B50AE1" w:rsidRDefault="00B50AE1">
      <w:pPr>
        <w:pStyle w:val="CommentText"/>
      </w:pPr>
      <w:r>
        <w:t>&lt;&lt;ODS DOC SYMBOL1&gt;&gt;CEDAW/C/2009/I/1&lt;&lt;ODS DOC SYMBOL1&gt;&gt;</w:t>
      </w:r>
    </w:p>
    <w:p w:rsidR="00B50AE1" w:rsidRDefault="00B50A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5BD" w:rsidRDefault="00BE75BD">
      <w:r>
        <w:separator/>
      </w:r>
    </w:p>
  </w:endnote>
  <w:endnote w:type="continuationSeparator" w:id="0">
    <w:p w:rsidR="00BE75BD" w:rsidRDefault="00BE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0AE1" w:rsidTr="00F0788D">
      <w:tblPrEx>
        <w:tblCellMar>
          <w:top w:w="0" w:type="dxa"/>
          <w:bottom w:w="0" w:type="dxa"/>
        </w:tblCellMar>
      </w:tblPrEx>
      <w:tc>
        <w:tcPr>
          <w:tcW w:w="5033" w:type="dxa"/>
          <w:shd w:val="clear" w:color="auto" w:fill="auto"/>
        </w:tcPr>
        <w:p w:rsidR="00B50AE1" w:rsidRPr="00F0788D" w:rsidRDefault="00B50AE1" w:rsidP="00F078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08-62765 (C)</w:t>
          </w:r>
          <w:r>
            <w:rPr>
              <w:b w:val="0"/>
              <w:w w:val="103"/>
              <w:sz w:val="14"/>
            </w:rPr>
            <w:fldChar w:fldCharType="end"/>
          </w:r>
        </w:p>
      </w:tc>
      <w:tc>
        <w:tcPr>
          <w:tcW w:w="5033" w:type="dxa"/>
          <w:shd w:val="clear" w:color="auto" w:fill="auto"/>
        </w:tcPr>
        <w:p w:rsidR="00B50AE1" w:rsidRPr="00F0788D" w:rsidRDefault="00B50AE1" w:rsidP="00F0788D">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C4691">
            <w:rPr>
              <w:w w:val="103"/>
              <w:sz w:val="17"/>
            </w:rPr>
            <w:t>10</w:t>
          </w:r>
          <w:r>
            <w:rPr>
              <w:w w:val="103"/>
              <w:sz w:val="17"/>
            </w:rPr>
            <w:fldChar w:fldCharType="end"/>
          </w:r>
        </w:p>
      </w:tc>
    </w:tr>
  </w:tbl>
  <w:p w:rsidR="00B50AE1" w:rsidRPr="00F0788D" w:rsidRDefault="00B50AE1" w:rsidP="00F078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0AE1" w:rsidTr="00F0788D">
      <w:tblPrEx>
        <w:tblCellMar>
          <w:top w:w="0" w:type="dxa"/>
          <w:bottom w:w="0" w:type="dxa"/>
        </w:tblCellMar>
      </w:tblPrEx>
      <w:tc>
        <w:tcPr>
          <w:tcW w:w="5033" w:type="dxa"/>
          <w:shd w:val="clear" w:color="auto" w:fill="auto"/>
        </w:tcPr>
        <w:p w:rsidR="00B50AE1" w:rsidRPr="00F0788D" w:rsidRDefault="00B50AE1" w:rsidP="00F0788D">
          <w:pPr>
            <w:pStyle w:val="Footer"/>
            <w:jc w:val="right"/>
          </w:pPr>
          <w:r>
            <w:fldChar w:fldCharType="begin"/>
          </w:r>
          <w:r>
            <w:instrText xml:space="preserve"> PAGE  \* MERGEFORMAT </w:instrText>
          </w:r>
          <w:r>
            <w:fldChar w:fldCharType="separate"/>
          </w:r>
          <w:r w:rsidR="001C4691">
            <w:t>3</w:t>
          </w:r>
          <w:r>
            <w:fldChar w:fldCharType="end"/>
          </w:r>
        </w:p>
      </w:tc>
      <w:tc>
        <w:tcPr>
          <w:tcW w:w="5033" w:type="dxa"/>
          <w:shd w:val="clear" w:color="auto" w:fill="auto"/>
        </w:tcPr>
        <w:p w:rsidR="00B50AE1" w:rsidRPr="00F0788D" w:rsidRDefault="00B50AE1" w:rsidP="00F0788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08-62765 (C)</w:t>
          </w:r>
          <w:r>
            <w:rPr>
              <w:b w:val="0"/>
              <w:w w:val="103"/>
              <w:sz w:val="14"/>
            </w:rPr>
            <w:fldChar w:fldCharType="end"/>
          </w:r>
        </w:p>
      </w:tc>
    </w:tr>
  </w:tbl>
  <w:p w:rsidR="00B50AE1" w:rsidRPr="00F0788D" w:rsidRDefault="00B50AE1" w:rsidP="00F078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AE1" w:rsidRDefault="00B50AE1" w:rsidP="00F0788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08-62765 (C)</w:t>
    </w:r>
    <w:r>
      <w:rPr>
        <w:b w:val="0"/>
        <w:sz w:val="21"/>
      </w:rPr>
      <w:fldChar w:fldCharType="end"/>
    </w:r>
    <w:r>
      <w:rPr>
        <w:b w:val="0"/>
        <w:sz w:val="21"/>
      </w:rPr>
      <w:t xml:space="preserve">    150109    </w:t>
    </w:r>
    <w:r>
      <w:rPr>
        <w:rFonts w:hint="eastAsia"/>
        <w:b w:val="0"/>
        <w:sz w:val="21"/>
      </w:rPr>
      <w:t>19</w:t>
    </w:r>
    <w:r>
      <w:rPr>
        <w:b w:val="0"/>
        <w:sz w:val="21"/>
      </w:rPr>
      <w:t>0109</w:t>
    </w:r>
  </w:p>
  <w:p w:rsidR="00B50AE1" w:rsidRPr="00F0788D" w:rsidRDefault="00B50AE1" w:rsidP="00F0788D">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*0862765*</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5BD" w:rsidRDefault="00BE75BD">
      <w:r>
        <w:separator/>
      </w:r>
    </w:p>
  </w:footnote>
  <w:footnote w:type="continuationSeparator" w:id="0">
    <w:p w:rsidR="00BE75BD" w:rsidRDefault="00BE75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0AE1" w:rsidTr="00F0788D">
      <w:tblPrEx>
        <w:tblCellMar>
          <w:top w:w="0" w:type="dxa"/>
          <w:bottom w:w="0" w:type="dxa"/>
        </w:tblCellMar>
      </w:tblPrEx>
      <w:trPr>
        <w:trHeight w:hRule="exact" w:val="864"/>
      </w:trPr>
      <w:tc>
        <w:tcPr>
          <w:tcW w:w="4838" w:type="dxa"/>
          <w:shd w:val="clear" w:color="auto" w:fill="auto"/>
          <w:vAlign w:val="bottom"/>
        </w:tcPr>
        <w:p w:rsidR="00B50AE1" w:rsidRPr="00F0788D" w:rsidRDefault="00B50AE1" w:rsidP="00F0788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CEDAW/C/2009/I/1</w:t>
          </w:r>
          <w:r>
            <w:rPr>
              <w:b/>
              <w:sz w:val="17"/>
            </w:rPr>
            <w:fldChar w:fldCharType="end"/>
          </w:r>
        </w:p>
      </w:tc>
      <w:tc>
        <w:tcPr>
          <w:tcW w:w="5033" w:type="dxa"/>
          <w:shd w:val="clear" w:color="auto" w:fill="auto"/>
          <w:vAlign w:val="bottom"/>
        </w:tcPr>
        <w:p w:rsidR="00B50AE1" w:rsidRDefault="00B50AE1" w:rsidP="00F0788D">
          <w:pPr>
            <w:pStyle w:val="Header"/>
          </w:pPr>
        </w:p>
      </w:tc>
    </w:tr>
  </w:tbl>
  <w:p w:rsidR="00B50AE1" w:rsidRPr="00F0788D" w:rsidRDefault="00B50AE1" w:rsidP="00F078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0AE1" w:rsidTr="00F0788D">
      <w:tblPrEx>
        <w:tblCellMar>
          <w:top w:w="0" w:type="dxa"/>
          <w:bottom w:w="0" w:type="dxa"/>
        </w:tblCellMar>
      </w:tblPrEx>
      <w:trPr>
        <w:trHeight w:hRule="exact" w:val="864"/>
      </w:trPr>
      <w:tc>
        <w:tcPr>
          <w:tcW w:w="4838" w:type="dxa"/>
          <w:shd w:val="clear" w:color="auto" w:fill="auto"/>
          <w:vAlign w:val="bottom"/>
        </w:tcPr>
        <w:p w:rsidR="00B50AE1" w:rsidRDefault="00B50AE1" w:rsidP="00F0788D">
          <w:pPr>
            <w:pStyle w:val="Header"/>
          </w:pPr>
        </w:p>
      </w:tc>
      <w:tc>
        <w:tcPr>
          <w:tcW w:w="5033" w:type="dxa"/>
          <w:shd w:val="clear" w:color="auto" w:fill="auto"/>
          <w:vAlign w:val="bottom"/>
        </w:tcPr>
        <w:p w:rsidR="00B50AE1" w:rsidRPr="00F0788D" w:rsidRDefault="00B50AE1" w:rsidP="00F0788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CEDAW/C/2009/I/1</w:t>
          </w:r>
          <w:r>
            <w:rPr>
              <w:b/>
              <w:sz w:val="17"/>
            </w:rPr>
            <w:fldChar w:fldCharType="end"/>
          </w:r>
        </w:p>
      </w:tc>
    </w:tr>
  </w:tbl>
  <w:p w:rsidR="00B50AE1" w:rsidRPr="00F0788D" w:rsidRDefault="00B50AE1" w:rsidP="00F078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50AE1" w:rsidTr="00F0788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50AE1" w:rsidRDefault="00B50AE1" w:rsidP="00F0788D">
          <w:pPr>
            <w:pStyle w:val="Header"/>
            <w:spacing w:after="120"/>
          </w:pPr>
        </w:p>
      </w:tc>
      <w:tc>
        <w:tcPr>
          <w:tcW w:w="1872" w:type="dxa"/>
          <w:tcBorders>
            <w:bottom w:val="single" w:sz="4" w:space="0" w:color="auto"/>
          </w:tcBorders>
          <w:shd w:val="clear" w:color="auto" w:fill="auto"/>
          <w:vAlign w:val="bottom"/>
        </w:tcPr>
        <w:p w:rsidR="00B50AE1" w:rsidRPr="00F0788D" w:rsidRDefault="00B50AE1" w:rsidP="00F0788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50AE1" w:rsidRDefault="00B50AE1" w:rsidP="00F0788D">
          <w:pPr>
            <w:pStyle w:val="Header"/>
            <w:spacing w:after="120"/>
          </w:pPr>
        </w:p>
      </w:tc>
      <w:tc>
        <w:tcPr>
          <w:tcW w:w="6523" w:type="dxa"/>
          <w:gridSpan w:val="3"/>
          <w:tcBorders>
            <w:bottom w:val="single" w:sz="4" w:space="0" w:color="auto"/>
          </w:tcBorders>
          <w:shd w:val="clear" w:color="auto" w:fill="auto"/>
          <w:vAlign w:val="bottom"/>
        </w:tcPr>
        <w:p w:rsidR="00B50AE1" w:rsidRPr="00F0788D" w:rsidRDefault="00B50AE1" w:rsidP="00F0788D">
          <w:pPr>
            <w:spacing w:after="80" w:line="240" w:lineRule="auto"/>
            <w:jc w:val="right"/>
            <w:rPr>
              <w:rFonts w:ascii="Times New Roman"/>
              <w:position w:val="-4"/>
            </w:rPr>
          </w:pPr>
          <w:r>
            <w:rPr>
              <w:rFonts w:ascii="Times New Roman"/>
              <w:position w:val="-4"/>
              <w:sz w:val="40"/>
            </w:rPr>
            <w:t>CEDAW</w:t>
          </w:r>
          <w:r>
            <w:rPr>
              <w:rFonts w:ascii="Times New Roman"/>
              <w:position w:val="-4"/>
            </w:rPr>
            <w:t>/C/2009/I/1</w:t>
          </w:r>
        </w:p>
      </w:tc>
    </w:tr>
    <w:tr w:rsidR="00B50AE1" w:rsidRPr="00F0788D" w:rsidTr="00F0788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50AE1" w:rsidRDefault="00B50AE1" w:rsidP="00F0788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50AE1" w:rsidRPr="00F0788D" w:rsidRDefault="00B50AE1" w:rsidP="00F0788D">
          <w:pPr>
            <w:pStyle w:val="Header"/>
            <w:spacing w:before="109"/>
            <w:ind w:left="-72"/>
          </w:pPr>
        </w:p>
      </w:tc>
      <w:tc>
        <w:tcPr>
          <w:tcW w:w="5227" w:type="dxa"/>
          <w:gridSpan w:val="3"/>
          <w:tcBorders>
            <w:top w:val="single" w:sz="4" w:space="0" w:color="auto"/>
            <w:bottom w:val="single" w:sz="12" w:space="0" w:color="auto"/>
          </w:tcBorders>
          <w:shd w:val="clear" w:color="auto" w:fill="auto"/>
        </w:tcPr>
        <w:p w:rsidR="00B50AE1" w:rsidRPr="00F0788D" w:rsidRDefault="00B50AE1" w:rsidP="00F0788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50AE1" w:rsidRPr="00F0788D" w:rsidRDefault="00B50AE1" w:rsidP="00F0788D">
          <w:pPr>
            <w:pStyle w:val="Header"/>
            <w:spacing w:before="109"/>
          </w:pPr>
        </w:p>
      </w:tc>
      <w:tc>
        <w:tcPr>
          <w:tcW w:w="3180" w:type="dxa"/>
          <w:gridSpan w:val="2"/>
          <w:tcBorders>
            <w:top w:val="single" w:sz="4" w:space="0" w:color="auto"/>
            <w:bottom w:val="single" w:sz="12" w:space="0" w:color="auto"/>
          </w:tcBorders>
          <w:shd w:val="clear" w:color="auto" w:fill="auto"/>
        </w:tcPr>
        <w:p w:rsidR="00B50AE1" w:rsidRDefault="00B50AE1" w:rsidP="00F0788D">
          <w:pPr>
            <w:spacing w:before="240" w:line="240" w:lineRule="exact"/>
            <w:rPr>
              <w:rFonts w:ascii="Times New Roman"/>
            </w:rPr>
          </w:pPr>
          <w:r>
            <w:rPr>
              <w:rFonts w:ascii="Times New Roman"/>
            </w:rPr>
            <w:t>Distr.: General</w:t>
          </w:r>
        </w:p>
        <w:p w:rsidR="00B50AE1" w:rsidRDefault="00B50AE1" w:rsidP="00F0788D">
          <w:pPr>
            <w:spacing w:line="240" w:lineRule="exact"/>
            <w:rPr>
              <w:rFonts w:ascii="Times New Roman"/>
            </w:rPr>
          </w:pPr>
          <w:r>
            <w:rPr>
              <w:rFonts w:ascii="Times New Roman"/>
            </w:rPr>
            <w:t>5 December 2008</w:t>
          </w:r>
        </w:p>
        <w:p w:rsidR="00B50AE1" w:rsidRDefault="00B50AE1" w:rsidP="00F0788D">
          <w:pPr>
            <w:spacing w:line="240" w:lineRule="exact"/>
            <w:rPr>
              <w:rFonts w:ascii="Times New Roman"/>
            </w:rPr>
          </w:pPr>
          <w:r>
            <w:rPr>
              <w:rFonts w:ascii="Times New Roman"/>
            </w:rPr>
            <w:t>Chinese</w:t>
          </w:r>
        </w:p>
        <w:p w:rsidR="00B50AE1" w:rsidRPr="00F0788D" w:rsidRDefault="00B50AE1" w:rsidP="00F0788D">
          <w:pPr>
            <w:spacing w:line="240" w:lineRule="exact"/>
            <w:rPr>
              <w:rFonts w:ascii="Times New Roman"/>
            </w:rPr>
          </w:pPr>
          <w:r>
            <w:rPr>
              <w:rFonts w:ascii="Times New Roman"/>
            </w:rPr>
            <w:t>Original: English</w:t>
          </w:r>
        </w:p>
      </w:tc>
    </w:tr>
  </w:tbl>
  <w:p w:rsidR="00B50AE1" w:rsidRPr="00F0788D" w:rsidRDefault="00B50AE1" w:rsidP="00F0788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65*"/>
    <w:docVar w:name="CreationDt" w:val="15/01/2009 10:30:03"/>
    <w:docVar w:name="DocCategory" w:val="Doc"/>
    <w:docVar w:name="DocType" w:val="Final"/>
    <w:docVar w:name="FooterJN" w:val="08-62765 (C)"/>
    <w:docVar w:name="jobn" w:val="08-62765 (C)"/>
    <w:docVar w:name="jobnDT" w:val="08-62765 (C)   150109"/>
    <w:docVar w:name="jobnDTDT" w:val="08-62765 (C)   150109   150109"/>
    <w:docVar w:name="JobNo" w:val="0862765C"/>
    <w:docVar w:name="OandT" w:val="shi"/>
    <w:docVar w:name="sss1" w:val="CEDAW/C/2009/I/1"/>
    <w:docVar w:name="sss2" w:val="-"/>
    <w:docVar w:name="Symbol1" w:val="CEDAW/C/2009/I/1"/>
    <w:docVar w:name="Symbol2" w:val="-"/>
  </w:docVars>
  <w:rsids>
    <w:rsidRoot w:val="00D050F1"/>
    <w:rsid w:val="0000347C"/>
    <w:rsid w:val="000125BC"/>
    <w:rsid w:val="00021A2B"/>
    <w:rsid w:val="000376B3"/>
    <w:rsid w:val="00037B39"/>
    <w:rsid w:val="0004183E"/>
    <w:rsid w:val="00044CA4"/>
    <w:rsid w:val="00045EFE"/>
    <w:rsid w:val="0007337D"/>
    <w:rsid w:val="000758DF"/>
    <w:rsid w:val="00076EB8"/>
    <w:rsid w:val="00090E80"/>
    <w:rsid w:val="00095C67"/>
    <w:rsid w:val="000A31F9"/>
    <w:rsid w:val="000B4D1F"/>
    <w:rsid w:val="000C1786"/>
    <w:rsid w:val="000E240F"/>
    <w:rsid w:val="000E49A4"/>
    <w:rsid w:val="000F1058"/>
    <w:rsid w:val="000F590F"/>
    <w:rsid w:val="001113F8"/>
    <w:rsid w:val="001212F9"/>
    <w:rsid w:val="00121328"/>
    <w:rsid w:val="0012708E"/>
    <w:rsid w:val="00141322"/>
    <w:rsid w:val="0015066B"/>
    <w:rsid w:val="00150D3A"/>
    <w:rsid w:val="00153D29"/>
    <w:rsid w:val="00161E69"/>
    <w:rsid w:val="00161F54"/>
    <w:rsid w:val="00170FBE"/>
    <w:rsid w:val="0017506F"/>
    <w:rsid w:val="00182910"/>
    <w:rsid w:val="0019433C"/>
    <w:rsid w:val="001B1B85"/>
    <w:rsid w:val="001B2814"/>
    <w:rsid w:val="001B4F95"/>
    <w:rsid w:val="001C3F7F"/>
    <w:rsid w:val="001C4636"/>
    <w:rsid w:val="001C4691"/>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E2B"/>
    <w:rsid w:val="002B5F5D"/>
    <w:rsid w:val="002C15CB"/>
    <w:rsid w:val="002C2254"/>
    <w:rsid w:val="002C3BC9"/>
    <w:rsid w:val="002C54DB"/>
    <w:rsid w:val="002D039F"/>
    <w:rsid w:val="002D0694"/>
    <w:rsid w:val="002D5503"/>
    <w:rsid w:val="002E3145"/>
    <w:rsid w:val="002E66D5"/>
    <w:rsid w:val="002F41E2"/>
    <w:rsid w:val="00320C99"/>
    <w:rsid w:val="00322C82"/>
    <w:rsid w:val="003274A9"/>
    <w:rsid w:val="00331221"/>
    <w:rsid w:val="00351805"/>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67C53"/>
    <w:rsid w:val="004700CF"/>
    <w:rsid w:val="00487444"/>
    <w:rsid w:val="004A06D1"/>
    <w:rsid w:val="004A11FC"/>
    <w:rsid w:val="004B23D5"/>
    <w:rsid w:val="004B53E7"/>
    <w:rsid w:val="004C0224"/>
    <w:rsid w:val="004C053E"/>
    <w:rsid w:val="004C16E6"/>
    <w:rsid w:val="004C3255"/>
    <w:rsid w:val="004D07E1"/>
    <w:rsid w:val="004D1C19"/>
    <w:rsid w:val="004D1CA1"/>
    <w:rsid w:val="004F29B8"/>
    <w:rsid w:val="0050413E"/>
    <w:rsid w:val="00515657"/>
    <w:rsid w:val="00521275"/>
    <w:rsid w:val="0052216F"/>
    <w:rsid w:val="00522CC8"/>
    <w:rsid w:val="005232CA"/>
    <w:rsid w:val="00523636"/>
    <w:rsid w:val="005335B9"/>
    <w:rsid w:val="00536CCE"/>
    <w:rsid w:val="005541E4"/>
    <w:rsid w:val="00562FE7"/>
    <w:rsid w:val="0058302A"/>
    <w:rsid w:val="0058675E"/>
    <w:rsid w:val="005B2FF3"/>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D4FA1"/>
    <w:rsid w:val="006E2924"/>
    <w:rsid w:val="006E7A26"/>
    <w:rsid w:val="006F2B3D"/>
    <w:rsid w:val="007052CC"/>
    <w:rsid w:val="007319E0"/>
    <w:rsid w:val="00737B00"/>
    <w:rsid w:val="0075155C"/>
    <w:rsid w:val="00753A05"/>
    <w:rsid w:val="00757193"/>
    <w:rsid w:val="00761190"/>
    <w:rsid w:val="00776537"/>
    <w:rsid w:val="00783A25"/>
    <w:rsid w:val="007877F4"/>
    <w:rsid w:val="007B21A9"/>
    <w:rsid w:val="007B5480"/>
    <w:rsid w:val="007E1B5E"/>
    <w:rsid w:val="007E6253"/>
    <w:rsid w:val="007F2278"/>
    <w:rsid w:val="00805783"/>
    <w:rsid w:val="00806F57"/>
    <w:rsid w:val="00806F90"/>
    <w:rsid w:val="0081568D"/>
    <w:rsid w:val="008246FC"/>
    <w:rsid w:val="00824C19"/>
    <w:rsid w:val="00826250"/>
    <w:rsid w:val="008378D1"/>
    <w:rsid w:val="00846462"/>
    <w:rsid w:val="00854FD0"/>
    <w:rsid w:val="0086691F"/>
    <w:rsid w:val="00883DB0"/>
    <w:rsid w:val="00884C8F"/>
    <w:rsid w:val="00896D38"/>
    <w:rsid w:val="008A2803"/>
    <w:rsid w:val="008B317C"/>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2065"/>
    <w:rsid w:val="009F47E3"/>
    <w:rsid w:val="009F6938"/>
    <w:rsid w:val="00A0537D"/>
    <w:rsid w:val="00A069AD"/>
    <w:rsid w:val="00A112CB"/>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AF3DD9"/>
    <w:rsid w:val="00AF7902"/>
    <w:rsid w:val="00B0333A"/>
    <w:rsid w:val="00B309DD"/>
    <w:rsid w:val="00B36621"/>
    <w:rsid w:val="00B36D64"/>
    <w:rsid w:val="00B41B48"/>
    <w:rsid w:val="00B50AE1"/>
    <w:rsid w:val="00B56194"/>
    <w:rsid w:val="00B61A34"/>
    <w:rsid w:val="00B64E8E"/>
    <w:rsid w:val="00B65E8B"/>
    <w:rsid w:val="00B778EA"/>
    <w:rsid w:val="00B8025A"/>
    <w:rsid w:val="00B827B1"/>
    <w:rsid w:val="00B94B4E"/>
    <w:rsid w:val="00B952EC"/>
    <w:rsid w:val="00BB23A4"/>
    <w:rsid w:val="00BC2276"/>
    <w:rsid w:val="00BC3308"/>
    <w:rsid w:val="00BD2150"/>
    <w:rsid w:val="00BE1CC3"/>
    <w:rsid w:val="00BE365A"/>
    <w:rsid w:val="00BE47C4"/>
    <w:rsid w:val="00BE75BD"/>
    <w:rsid w:val="00C052A2"/>
    <w:rsid w:val="00C06A4A"/>
    <w:rsid w:val="00C1391A"/>
    <w:rsid w:val="00C14CE6"/>
    <w:rsid w:val="00C15218"/>
    <w:rsid w:val="00C2725D"/>
    <w:rsid w:val="00C276BE"/>
    <w:rsid w:val="00C42033"/>
    <w:rsid w:val="00C464DD"/>
    <w:rsid w:val="00C76854"/>
    <w:rsid w:val="00C92AE0"/>
    <w:rsid w:val="00CB2B1E"/>
    <w:rsid w:val="00CB5D1D"/>
    <w:rsid w:val="00CC3E8B"/>
    <w:rsid w:val="00CC4E84"/>
    <w:rsid w:val="00CC687A"/>
    <w:rsid w:val="00CD5641"/>
    <w:rsid w:val="00CE64AC"/>
    <w:rsid w:val="00CF7718"/>
    <w:rsid w:val="00D050F1"/>
    <w:rsid w:val="00D177F1"/>
    <w:rsid w:val="00D323B5"/>
    <w:rsid w:val="00D355E6"/>
    <w:rsid w:val="00D42ACC"/>
    <w:rsid w:val="00D51DC5"/>
    <w:rsid w:val="00D676D7"/>
    <w:rsid w:val="00D71517"/>
    <w:rsid w:val="00D7168D"/>
    <w:rsid w:val="00D86F05"/>
    <w:rsid w:val="00D874E1"/>
    <w:rsid w:val="00D9586D"/>
    <w:rsid w:val="00D96C97"/>
    <w:rsid w:val="00DB0932"/>
    <w:rsid w:val="00DC2506"/>
    <w:rsid w:val="00DC49FA"/>
    <w:rsid w:val="00DD3D6B"/>
    <w:rsid w:val="00DD4467"/>
    <w:rsid w:val="00DD61C8"/>
    <w:rsid w:val="00DD772B"/>
    <w:rsid w:val="00DF60EB"/>
    <w:rsid w:val="00E050BA"/>
    <w:rsid w:val="00E25442"/>
    <w:rsid w:val="00E2569C"/>
    <w:rsid w:val="00E25A1F"/>
    <w:rsid w:val="00E365D9"/>
    <w:rsid w:val="00E37EEB"/>
    <w:rsid w:val="00E710FB"/>
    <w:rsid w:val="00E806D9"/>
    <w:rsid w:val="00E82CA2"/>
    <w:rsid w:val="00E94E5A"/>
    <w:rsid w:val="00E95594"/>
    <w:rsid w:val="00EA0190"/>
    <w:rsid w:val="00EA31C3"/>
    <w:rsid w:val="00EB33AC"/>
    <w:rsid w:val="00EC6F21"/>
    <w:rsid w:val="00ED0462"/>
    <w:rsid w:val="00ED2EEF"/>
    <w:rsid w:val="00ED3EBD"/>
    <w:rsid w:val="00EE0913"/>
    <w:rsid w:val="00F01440"/>
    <w:rsid w:val="00F0788D"/>
    <w:rsid w:val="00F13305"/>
    <w:rsid w:val="00F40463"/>
    <w:rsid w:val="00F50336"/>
    <w:rsid w:val="00F609DF"/>
    <w:rsid w:val="00F62E3F"/>
    <w:rsid w:val="00F67F90"/>
    <w:rsid w:val="00F77B3E"/>
    <w:rsid w:val="00F833CB"/>
    <w:rsid w:val="00F87754"/>
    <w:rsid w:val="00F90A4B"/>
    <w:rsid w:val="00F90C56"/>
    <w:rsid w:val="00FA6005"/>
    <w:rsid w:val="00FC1CE4"/>
    <w:rsid w:val="00FD594E"/>
    <w:rsid w:val="00FD75B9"/>
    <w:rsid w:val="00FE5FE8"/>
    <w:rsid w:val="00FF10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237</TotalTime>
  <Pages>1</Pages>
  <Words>865</Words>
  <Characters>4933</Characters>
  <Application>Microsoft Office Word</Application>
  <DocSecurity>4</DocSecurity>
  <Lines>41</Lines>
  <Paragraphs>11</Paragraphs>
  <ScaleCrop>false</ScaleCrop>
  <Company>United Nations</Company>
  <LinksUpToDate>false</LinksUpToDate>
  <CharactersWithSpaces>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80</cp:revision>
  <cp:lastPrinted>2009-01-16T11:37:00Z</cp:lastPrinted>
  <dcterms:created xsi:type="dcterms:W3CDTF">2009-01-15T08:28:00Z</dcterms:created>
  <dcterms:modified xsi:type="dcterms:W3CDTF">2009-01-16T11:39:00Z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0862765</vt:lpwstr>
  </property>
  <property fmtid="{D5CDD505-2E9C-101B-9397-08002B2CF9AE}" pid="3" name="Symbol1">
    <vt:lpwstr>CEDAW/C/2009/I/1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shi</vt:lpwstr>
  </property>
</Properties>
</file>