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EF1" w:rsidRDefault="00CD6EF1" w:rsidP="00922CE0">
      <w:pPr>
        <w:spacing w:line="240" w:lineRule="auto"/>
        <w:jc w:val="left"/>
        <w:rPr>
          <w:szCs w:val="6"/>
          <w:rtl/>
        </w:rPr>
        <w:sectPr w:rsidR="00CD6EF1" w:rsidSect="00CD6EF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bookmarkStart w:id="1" w:name="TmpSave"/>
      <w:bookmarkEnd w:id="1"/>
      <w:r w:rsidR="00856B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75pt;margin-top:685.4pt;width:54.7pt;height:54.7pt;z-index:2;mso-position-horizontal-relative:page;mso-position-vertical-relative:page" filled="t">
            <v:imagedata r:id="rId13" o:title="6-7-&amp;Size =1&amp;Lang = A"/>
            <w10:wrap anchorx="page" anchory="page"/>
          </v:shape>
        </w:pict>
      </w:r>
    </w:p>
    <w:p w:rsidR="002F0573" w:rsidRDefault="00717793" w:rsidP="00725B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60" w:line="360" w:lineRule="exact"/>
        <w:ind w:left="1267" w:right="1267" w:hanging="1267"/>
        <w:rPr>
          <w:rFonts w:hint="cs"/>
          <w:rtl/>
        </w:rPr>
      </w:pPr>
      <w:r>
        <w:rPr>
          <w:rFonts w:hint="cs"/>
          <w:rtl/>
        </w:rPr>
        <w:t>اللجنة المعنية بالقضاء على التمييز ضد المرأة</w:t>
      </w:r>
    </w:p>
    <w:p w:rsidR="00717793" w:rsidRDefault="00717793"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line="360" w:lineRule="exact"/>
        <w:ind w:left="1267" w:right="1267" w:hanging="1267"/>
        <w:jc w:val="lowKashida"/>
        <w:rPr>
          <w:rFonts w:hint="cs"/>
          <w:rtl/>
        </w:rPr>
      </w:pPr>
      <w:r>
        <w:rPr>
          <w:rFonts w:hint="cs"/>
          <w:rtl/>
        </w:rPr>
        <w:t>الدورة الثانية والستون</w:t>
      </w:r>
    </w:p>
    <w:p w:rsidR="00717793" w:rsidRDefault="00717793" w:rsidP="00725BF3">
      <w:pPr>
        <w:pStyle w:val="SingleTxt"/>
        <w:spacing w:after="60" w:line="360" w:lineRule="exact"/>
        <w:ind w:hanging="1305"/>
        <w:rPr>
          <w:rFonts w:hint="cs"/>
          <w:rtl/>
        </w:rPr>
      </w:pPr>
      <w:r>
        <w:rPr>
          <w:rFonts w:hint="cs"/>
          <w:rtl/>
        </w:rPr>
        <w:t>26</w:t>
      </w:r>
      <w:r w:rsidR="00856B3F">
        <w:rPr>
          <w:rFonts w:hint="cs"/>
          <w:rtl/>
        </w:rPr>
        <w:t xml:space="preserve"> </w:t>
      </w:r>
      <w:r>
        <w:rPr>
          <w:rFonts w:hint="cs"/>
          <w:rtl/>
        </w:rPr>
        <w:t>تشرين الأول/أكتوبر - 20 تشرين الثاني/نوفمبر 2015</w:t>
      </w:r>
    </w:p>
    <w:p w:rsidR="00717793" w:rsidRDefault="00717793" w:rsidP="00725BF3">
      <w:pPr>
        <w:pStyle w:val="SingleTxt"/>
        <w:spacing w:after="60" w:line="360" w:lineRule="exact"/>
        <w:ind w:hanging="1305"/>
        <w:rPr>
          <w:rFonts w:hint="cs"/>
          <w:rtl/>
        </w:rPr>
      </w:pPr>
      <w:r>
        <w:rPr>
          <w:rFonts w:hint="cs"/>
          <w:rtl/>
        </w:rPr>
        <w:t>البند 4 من جدول الأعمال المؤقت*</w:t>
      </w:r>
    </w:p>
    <w:p w:rsidR="00717793" w:rsidRDefault="00717793" w:rsidP="00725BF3">
      <w:pPr>
        <w:pStyle w:val="H23"/>
        <w:tabs>
          <w:tab w:val="right" w:pos="1022"/>
          <w:tab w:val="left" w:pos="1267"/>
          <w:tab w:val="left" w:pos="1930"/>
          <w:tab w:val="left" w:pos="2592"/>
          <w:tab w:val="left" w:pos="3254"/>
          <w:tab w:val="left" w:pos="4579"/>
          <w:tab w:val="left" w:pos="4700"/>
          <w:tab w:val="right" w:pos="4765"/>
          <w:tab w:val="left" w:pos="5242"/>
          <w:tab w:val="left" w:pos="5904"/>
          <w:tab w:val="left" w:pos="6566"/>
        </w:tabs>
        <w:spacing w:after="60" w:line="360" w:lineRule="exact"/>
        <w:ind w:right="5253"/>
        <w:jc w:val="lowKashida"/>
        <w:rPr>
          <w:rFonts w:hint="cs"/>
          <w:rtl/>
        </w:rPr>
      </w:pPr>
      <w:r>
        <w:rPr>
          <w:rFonts w:hint="cs"/>
          <w:rtl/>
        </w:rPr>
        <w:t>النظر في التقارير المقدمة من الدول الأطراف بموجب المادة 18 من اتفاقية القضاء على جميع أشكال التمييز ضد المرأة</w:t>
      </w:r>
    </w:p>
    <w:p w:rsidR="000A6975" w:rsidRPr="00725BF3" w:rsidRDefault="000A6975" w:rsidP="00725BF3">
      <w:pPr>
        <w:pStyle w:val="SingleTxt"/>
        <w:spacing w:after="0" w:line="120" w:lineRule="exact"/>
        <w:rPr>
          <w:rFonts w:hint="cs"/>
          <w:sz w:val="12"/>
          <w:rtl/>
        </w:rPr>
      </w:pPr>
    </w:p>
    <w:p w:rsidR="00717793" w:rsidRDefault="000A6975" w:rsidP="00725BF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17793">
        <w:rPr>
          <w:rFonts w:hint="cs"/>
          <w:rtl/>
        </w:rPr>
        <w:t>قائمة القضايا والأسئلة المطروحة فيما يتعلق بالتقرير الجامع للتقريرين الدوريين السادس والسابع لمدغشقر</w:t>
      </w:r>
    </w:p>
    <w:p w:rsidR="000A6975" w:rsidRPr="00725BF3" w:rsidRDefault="000A6975" w:rsidP="00725BF3">
      <w:pPr>
        <w:pStyle w:val="SingleTxt"/>
        <w:spacing w:after="0" w:line="120" w:lineRule="exact"/>
        <w:rPr>
          <w:rFonts w:hint="cs"/>
          <w:sz w:val="12"/>
          <w:rtl/>
        </w:rPr>
      </w:pPr>
    </w:p>
    <w:p w:rsidR="00717793" w:rsidRDefault="000A6975"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17793">
        <w:rPr>
          <w:rFonts w:hint="cs"/>
          <w:rtl/>
        </w:rPr>
        <w:t>الإطار المؤسسي والتشريعي والاحتكام إلى القضاء</w:t>
      </w:r>
    </w:p>
    <w:p w:rsidR="000A6975" w:rsidRPr="00725BF3" w:rsidRDefault="000A6975" w:rsidP="00725BF3">
      <w:pPr>
        <w:pStyle w:val="SingleTxt"/>
        <w:spacing w:after="0" w:line="120" w:lineRule="exact"/>
        <w:rPr>
          <w:rFonts w:hint="cs"/>
          <w:sz w:val="12"/>
          <w:rtl/>
        </w:rPr>
      </w:pPr>
    </w:p>
    <w:p w:rsidR="00717793" w:rsidRDefault="00717793" w:rsidP="00922CE0">
      <w:pPr>
        <w:pStyle w:val="SingleTxt"/>
        <w:rPr>
          <w:rFonts w:hint="cs"/>
          <w:rtl/>
        </w:rPr>
      </w:pPr>
      <w:r>
        <w:rPr>
          <w:rFonts w:hint="cs"/>
          <w:rtl/>
        </w:rPr>
        <w:t>1 -</w:t>
      </w:r>
      <w:r>
        <w:rPr>
          <w:rFonts w:hint="cs"/>
          <w:rtl/>
        </w:rPr>
        <w:tab/>
      </w:r>
      <w:r w:rsidR="00922CE0">
        <w:rPr>
          <w:rFonts w:hint="cs"/>
          <w:rtl/>
          <w:lang w:bidi="ar-EG"/>
        </w:rPr>
        <w:t xml:space="preserve">يُرجى </w:t>
      </w:r>
      <w:r>
        <w:rPr>
          <w:rFonts w:hint="cs"/>
          <w:rtl/>
        </w:rPr>
        <w:t>بيان ما إذا كانت الدولة الطرف</w:t>
      </w:r>
      <w:r w:rsidR="00B00DFB">
        <w:rPr>
          <w:rFonts w:hint="cs"/>
          <w:rtl/>
        </w:rPr>
        <w:t xml:space="preserve"> قد اضطلعت أو تتوخى الاضطلاع باستعراض كامل لتشريعاتها لتحديد الأحكام التمييزية ضد المرأة وإلغائها.</w:t>
      </w:r>
    </w:p>
    <w:p w:rsidR="00B00DFB" w:rsidRPr="00AA6C5F" w:rsidRDefault="00B00DFB" w:rsidP="00856B3F">
      <w:pPr>
        <w:pStyle w:val="SingleTxt"/>
        <w:rPr>
          <w:rFonts w:hint="cs"/>
          <w:w w:val="100"/>
          <w:rtl/>
        </w:rPr>
      </w:pPr>
      <w:r w:rsidRPr="00AA6C5F">
        <w:rPr>
          <w:rFonts w:hint="cs"/>
          <w:w w:val="100"/>
          <w:rtl/>
        </w:rPr>
        <w:t>2 -</w:t>
      </w:r>
      <w:r w:rsidRPr="00AA6C5F">
        <w:rPr>
          <w:rFonts w:hint="cs"/>
          <w:w w:val="100"/>
          <w:rtl/>
        </w:rPr>
        <w:tab/>
      </w:r>
      <w:r w:rsidR="00922CE0" w:rsidRPr="00AA6C5F">
        <w:rPr>
          <w:rFonts w:hint="cs"/>
          <w:w w:val="100"/>
          <w:rtl/>
        </w:rPr>
        <w:t xml:space="preserve">يُرجى </w:t>
      </w:r>
      <w:r w:rsidR="00F52525" w:rsidRPr="00AA6C5F">
        <w:rPr>
          <w:rFonts w:hint="cs"/>
          <w:w w:val="100"/>
          <w:rtl/>
        </w:rPr>
        <w:t>تقديم معلومات عن العقبات</w:t>
      </w:r>
      <w:r w:rsidRPr="00AA6C5F">
        <w:rPr>
          <w:rFonts w:hint="cs"/>
          <w:w w:val="100"/>
          <w:rtl/>
        </w:rPr>
        <w:t xml:space="preserve"> التي تواجهها المرأة في ال</w:t>
      </w:r>
      <w:r w:rsidR="00922CE0" w:rsidRPr="00AA6C5F">
        <w:rPr>
          <w:rFonts w:hint="cs"/>
          <w:w w:val="100"/>
          <w:rtl/>
        </w:rPr>
        <w:t>وصول</w:t>
      </w:r>
      <w:r w:rsidRPr="00AA6C5F">
        <w:rPr>
          <w:rFonts w:hint="cs"/>
          <w:w w:val="100"/>
          <w:rtl/>
        </w:rPr>
        <w:t xml:space="preserve"> إلى القضاء والتدابير المتخذة للتغلب عليها. و</w:t>
      </w:r>
      <w:r w:rsidR="00922CE0" w:rsidRPr="00AA6C5F">
        <w:rPr>
          <w:rFonts w:hint="cs"/>
          <w:w w:val="100"/>
          <w:rtl/>
        </w:rPr>
        <w:t>يُرجى</w:t>
      </w:r>
      <w:r w:rsidRPr="00AA6C5F">
        <w:rPr>
          <w:rFonts w:hint="cs"/>
          <w:w w:val="100"/>
          <w:rtl/>
        </w:rPr>
        <w:t xml:space="preserve"> بي</w:t>
      </w:r>
      <w:r w:rsidR="00F52525" w:rsidRPr="00AA6C5F">
        <w:rPr>
          <w:rFonts w:hint="cs"/>
          <w:w w:val="100"/>
          <w:rtl/>
        </w:rPr>
        <w:t>ان الإجراءات المتخذة لرصد تنفيذ المرسوم</w:t>
      </w:r>
      <w:r w:rsidRPr="00AA6C5F">
        <w:rPr>
          <w:rFonts w:hint="cs"/>
          <w:w w:val="100"/>
          <w:rtl/>
        </w:rPr>
        <w:t xml:space="preserve"> رقم 2009-970 الذي يُنظم تقديم المساعدة القانونية للنساء ضحايا العنف (الفقرة 131)</w:t>
      </w:r>
      <w:r w:rsidR="009D092F" w:rsidRPr="00AA6C5F">
        <w:rPr>
          <w:w w:val="100"/>
          <w:vertAlign w:val="superscript"/>
          <w:rtl/>
        </w:rPr>
        <w:t>(</w:t>
      </w:r>
      <w:r w:rsidR="009D092F" w:rsidRPr="00AA6C5F">
        <w:rPr>
          <w:rStyle w:val="FootnoteReference"/>
          <w:szCs w:val="30"/>
          <w:rtl/>
        </w:rPr>
        <w:footnoteReference w:id="1"/>
      </w:r>
      <w:r w:rsidR="009D092F" w:rsidRPr="00AA6C5F">
        <w:rPr>
          <w:w w:val="100"/>
          <w:vertAlign w:val="superscript"/>
          <w:rtl/>
        </w:rPr>
        <w:t>)</w:t>
      </w:r>
      <w:r w:rsidRPr="00AA6C5F">
        <w:rPr>
          <w:rFonts w:hint="cs"/>
          <w:w w:val="100"/>
          <w:rtl/>
        </w:rPr>
        <w:t>.</w:t>
      </w:r>
      <w:r w:rsidR="009D092F" w:rsidRPr="00AA6C5F">
        <w:rPr>
          <w:rFonts w:hint="cs"/>
          <w:w w:val="100"/>
          <w:rtl/>
        </w:rPr>
        <w:t xml:space="preserve">وبيان ما إذا كانت </w:t>
      </w:r>
      <w:r w:rsidR="00F52525" w:rsidRPr="00AA6C5F">
        <w:rPr>
          <w:rFonts w:hint="cs"/>
          <w:w w:val="100"/>
          <w:rtl/>
        </w:rPr>
        <w:t xml:space="preserve">تقدم </w:t>
      </w:r>
      <w:r w:rsidR="009D092F" w:rsidRPr="00AA6C5F">
        <w:rPr>
          <w:rFonts w:hint="cs"/>
          <w:w w:val="100"/>
          <w:rtl/>
        </w:rPr>
        <w:t xml:space="preserve">مساعدة قانونية في </w:t>
      </w:r>
      <w:r w:rsidR="002D5089" w:rsidRPr="00AA6C5F">
        <w:rPr>
          <w:rFonts w:hint="cs"/>
          <w:w w:val="100"/>
          <w:rtl/>
        </w:rPr>
        <w:t>ال</w:t>
      </w:r>
      <w:r w:rsidR="009D092F" w:rsidRPr="00AA6C5F">
        <w:rPr>
          <w:rFonts w:hint="cs"/>
          <w:w w:val="100"/>
          <w:rtl/>
        </w:rPr>
        <w:t>حالات</w:t>
      </w:r>
      <w:r w:rsidR="002D5089" w:rsidRPr="00AA6C5F">
        <w:rPr>
          <w:rFonts w:hint="cs"/>
          <w:w w:val="100"/>
          <w:rtl/>
        </w:rPr>
        <w:t xml:space="preserve"> الأخرى للتمييز ضد المر</w:t>
      </w:r>
      <w:r w:rsidR="00922CE0" w:rsidRPr="00AA6C5F">
        <w:rPr>
          <w:rFonts w:hint="cs"/>
          <w:w w:val="100"/>
          <w:rtl/>
        </w:rPr>
        <w:t>أة. ويُرجى أيضا تقديم معلومات عما</w:t>
      </w:r>
      <w:r w:rsidR="002D5089" w:rsidRPr="00AA6C5F">
        <w:rPr>
          <w:rFonts w:hint="cs"/>
          <w:w w:val="100"/>
          <w:rtl/>
        </w:rPr>
        <w:t xml:space="preserve"> </w:t>
      </w:r>
      <w:r w:rsidR="00922CE0" w:rsidRPr="00AA6C5F">
        <w:rPr>
          <w:rFonts w:hint="cs"/>
          <w:w w:val="100"/>
          <w:rtl/>
        </w:rPr>
        <w:t xml:space="preserve">إذا كانت هناك </w:t>
      </w:r>
      <w:r w:rsidR="002D5089" w:rsidRPr="00AA6C5F">
        <w:rPr>
          <w:rFonts w:hint="cs"/>
          <w:w w:val="100"/>
          <w:rtl/>
        </w:rPr>
        <w:t>آليات للقضاء العرفي و</w:t>
      </w:r>
      <w:r w:rsidR="00F52525" w:rsidRPr="00AA6C5F">
        <w:rPr>
          <w:rFonts w:hint="cs"/>
          <w:w w:val="100"/>
          <w:rtl/>
        </w:rPr>
        <w:t>وصف أدائها</w:t>
      </w:r>
      <w:r w:rsidR="002D5089" w:rsidRPr="00AA6C5F">
        <w:rPr>
          <w:rFonts w:hint="cs"/>
          <w:w w:val="100"/>
          <w:rtl/>
        </w:rPr>
        <w:t xml:space="preserve"> وعلاقتها بالنظام القضائي الرسمي. و</w:t>
      </w:r>
      <w:r w:rsidR="00922CE0" w:rsidRPr="00AA6C5F">
        <w:rPr>
          <w:rFonts w:hint="cs"/>
          <w:w w:val="100"/>
          <w:rtl/>
        </w:rPr>
        <w:t>يُرجى</w:t>
      </w:r>
      <w:r w:rsidR="002D5089" w:rsidRPr="00AA6C5F">
        <w:rPr>
          <w:rFonts w:hint="cs"/>
          <w:w w:val="100"/>
          <w:rtl/>
        </w:rPr>
        <w:t xml:space="preserve"> تقديم معلومات عن الخطوات المتخذة لتوفير التدريب للمهنيين القانونيين، بمن فيهم القضا</w:t>
      </w:r>
      <w:r w:rsidR="00B45C82" w:rsidRPr="00AA6C5F">
        <w:rPr>
          <w:rFonts w:hint="cs"/>
          <w:w w:val="100"/>
          <w:rtl/>
        </w:rPr>
        <w:t>ة</w:t>
      </w:r>
      <w:r w:rsidR="002D5089" w:rsidRPr="00AA6C5F">
        <w:rPr>
          <w:rFonts w:hint="cs"/>
          <w:w w:val="100"/>
          <w:rtl/>
        </w:rPr>
        <w:t xml:space="preserve"> والمدعون والمحامون، فضلا عن العناصر الفاعلة الأخرى المسؤولة عن تنفيذ الأحكام المتضمَّنة في الاتفاقية. ويُرجى أيضا تقديم معلومات عن التدابير المتو</w:t>
      </w:r>
      <w:r w:rsidR="00B45C82" w:rsidRPr="00AA6C5F">
        <w:rPr>
          <w:rFonts w:hint="cs"/>
          <w:w w:val="100"/>
          <w:rtl/>
        </w:rPr>
        <w:t>خى</w:t>
      </w:r>
      <w:r w:rsidR="002D5089" w:rsidRPr="00AA6C5F">
        <w:rPr>
          <w:rFonts w:hint="cs"/>
          <w:w w:val="100"/>
          <w:rtl/>
        </w:rPr>
        <w:t xml:space="preserve"> اتخاذها </w:t>
      </w:r>
      <w:r w:rsidR="00B45C82" w:rsidRPr="00AA6C5F">
        <w:rPr>
          <w:rFonts w:hint="cs"/>
          <w:w w:val="100"/>
          <w:rtl/>
        </w:rPr>
        <w:t xml:space="preserve">لزيادة </w:t>
      </w:r>
      <w:r w:rsidR="002D5089" w:rsidRPr="00AA6C5F">
        <w:rPr>
          <w:rFonts w:hint="cs"/>
          <w:w w:val="100"/>
          <w:rtl/>
        </w:rPr>
        <w:t>نشر الاتفاقية والتوصيات العامة التي اعتمدتها اللجنة.</w:t>
      </w:r>
    </w:p>
    <w:p w:rsidR="002D5089" w:rsidRPr="002D5089" w:rsidRDefault="002D5089" w:rsidP="002D5089">
      <w:pPr>
        <w:pStyle w:val="SingleTxt"/>
        <w:spacing w:after="0" w:line="120" w:lineRule="exact"/>
        <w:rPr>
          <w:rFonts w:hint="cs"/>
          <w:sz w:val="12"/>
          <w:rtl/>
        </w:rPr>
      </w:pPr>
    </w:p>
    <w:p w:rsidR="002D5089" w:rsidRDefault="002D5089" w:rsidP="002D50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الأجهزة الوطنية للنهوض بالمرأة</w:t>
      </w:r>
    </w:p>
    <w:p w:rsidR="002D5089" w:rsidRDefault="002D5089" w:rsidP="00B45C82">
      <w:pPr>
        <w:pStyle w:val="SingleTxt"/>
        <w:rPr>
          <w:rFonts w:hint="cs"/>
          <w:rtl/>
        </w:rPr>
      </w:pPr>
      <w:r>
        <w:rPr>
          <w:rFonts w:hint="cs"/>
          <w:rtl/>
        </w:rPr>
        <w:t>3 -</w:t>
      </w:r>
      <w:r>
        <w:rPr>
          <w:rFonts w:hint="cs"/>
          <w:rtl/>
        </w:rPr>
        <w:tab/>
        <w:t xml:space="preserve">يُرجى </w:t>
      </w:r>
      <w:r w:rsidR="00B45C82">
        <w:rPr>
          <w:rFonts w:hint="cs"/>
          <w:rtl/>
        </w:rPr>
        <w:t xml:space="preserve">بيان </w:t>
      </w:r>
      <w:r>
        <w:rPr>
          <w:rFonts w:hint="cs"/>
          <w:rtl/>
        </w:rPr>
        <w:t xml:space="preserve">الإطار الزمني للتنفيذ التام </w:t>
      </w:r>
      <w:r w:rsidR="00B45C82">
        <w:rPr>
          <w:rFonts w:hint="cs"/>
          <w:rtl/>
        </w:rPr>
        <w:t>ل</w:t>
      </w:r>
      <w:r>
        <w:rPr>
          <w:rFonts w:hint="cs"/>
          <w:rtl/>
        </w:rPr>
        <w:t>توصيات خطة العمل الجنسانية والإنمائية</w:t>
      </w:r>
      <w:r w:rsidR="00B45C82">
        <w:rPr>
          <w:rFonts w:hint="cs"/>
          <w:rtl/>
        </w:rPr>
        <w:t xml:space="preserve"> الوطنية</w:t>
      </w:r>
      <w:r>
        <w:rPr>
          <w:rFonts w:hint="cs"/>
          <w:rtl/>
        </w:rPr>
        <w:t>، التي تتضمن إنشاء آلية للنهوض بالمرأة. ويُرجى بيان التدابير المتوخى اتخاذها لزيادة الميزانية المخصصة للنهوض بالمرأة و</w:t>
      </w:r>
      <w:r w:rsidR="00F52525">
        <w:rPr>
          <w:rFonts w:hint="cs"/>
          <w:rtl/>
        </w:rPr>
        <w:t>ل</w:t>
      </w:r>
      <w:r>
        <w:rPr>
          <w:rFonts w:hint="cs"/>
          <w:rtl/>
        </w:rPr>
        <w:t xml:space="preserve">كفالة أن </w:t>
      </w:r>
      <w:r w:rsidR="00B45C82">
        <w:rPr>
          <w:rFonts w:hint="cs"/>
          <w:rtl/>
        </w:rPr>
        <w:t>ت</w:t>
      </w:r>
      <w:r w:rsidR="00AA6C5F">
        <w:rPr>
          <w:rFonts w:hint="cs"/>
          <w:rtl/>
        </w:rPr>
        <w:t>ُ</w:t>
      </w:r>
      <w:r w:rsidR="00B45C82">
        <w:rPr>
          <w:rFonts w:hint="cs"/>
          <w:rtl/>
        </w:rPr>
        <w:t xml:space="preserve">تاح </w:t>
      </w:r>
      <w:r>
        <w:rPr>
          <w:rFonts w:hint="cs"/>
          <w:rtl/>
        </w:rPr>
        <w:t xml:space="preserve">للأجهزة الوطنية </w:t>
      </w:r>
      <w:r w:rsidR="00B45C82">
        <w:rPr>
          <w:rFonts w:hint="cs"/>
          <w:rtl/>
        </w:rPr>
        <w:t xml:space="preserve">للنهوص بالمرأة </w:t>
      </w:r>
      <w:r>
        <w:rPr>
          <w:rFonts w:hint="cs"/>
          <w:rtl/>
        </w:rPr>
        <w:t>الموارد البشرية والتقنية الكافية على الصعيد الوطني وصعيد المناطق والمقاطعات والبلديات.</w:t>
      </w:r>
    </w:p>
    <w:p w:rsidR="002D5089" w:rsidRPr="002D5089" w:rsidRDefault="002D5089" w:rsidP="002D5089">
      <w:pPr>
        <w:pStyle w:val="SingleTxt"/>
        <w:spacing w:after="0" w:line="120" w:lineRule="exact"/>
        <w:rPr>
          <w:rFonts w:hint="cs"/>
          <w:sz w:val="12"/>
          <w:rtl/>
        </w:rPr>
      </w:pPr>
    </w:p>
    <w:p w:rsidR="002D5089" w:rsidRDefault="002D5089" w:rsidP="002D50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2D5089" w:rsidRPr="00AA6C5F" w:rsidRDefault="002D5089" w:rsidP="00856B3F">
      <w:pPr>
        <w:pStyle w:val="SingleTxt"/>
        <w:rPr>
          <w:rFonts w:hint="cs"/>
          <w:w w:val="100"/>
          <w:rtl/>
        </w:rPr>
      </w:pPr>
      <w:r w:rsidRPr="00AA6C5F">
        <w:rPr>
          <w:rFonts w:hint="cs"/>
          <w:w w:val="100"/>
          <w:rtl/>
        </w:rPr>
        <w:t>4 -</w:t>
      </w:r>
      <w:r w:rsidRPr="00AA6C5F">
        <w:rPr>
          <w:rFonts w:hint="cs"/>
          <w:w w:val="100"/>
          <w:rtl/>
        </w:rPr>
        <w:tab/>
        <w:t xml:space="preserve">يُرجى بيان التدابير المتخذة لتعزيز فهم </w:t>
      </w:r>
      <w:r w:rsidR="00A94BF2" w:rsidRPr="00AA6C5F">
        <w:rPr>
          <w:rFonts w:hint="cs"/>
          <w:w w:val="100"/>
          <w:rtl/>
        </w:rPr>
        <w:t>ا</w:t>
      </w:r>
      <w:r w:rsidRPr="00AA6C5F">
        <w:rPr>
          <w:rFonts w:hint="cs"/>
          <w:w w:val="100"/>
          <w:rtl/>
        </w:rPr>
        <w:t xml:space="preserve">لمساواة بين المرأة والرجل والعمل مع وسائط الإعلام من أجل </w:t>
      </w:r>
      <w:r w:rsidR="00A94BF2" w:rsidRPr="00AA6C5F">
        <w:rPr>
          <w:rFonts w:hint="cs"/>
          <w:w w:val="100"/>
          <w:rtl/>
        </w:rPr>
        <w:t xml:space="preserve">تقديم </w:t>
      </w:r>
      <w:r w:rsidRPr="00AA6C5F">
        <w:rPr>
          <w:rFonts w:hint="cs"/>
          <w:w w:val="100"/>
          <w:rtl/>
        </w:rPr>
        <w:t>صور</w:t>
      </w:r>
      <w:r w:rsidR="00A94BF2" w:rsidRPr="00AA6C5F">
        <w:rPr>
          <w:rFonts w:hint="cs"/>
          <w:w w:val="100"/>
          <w:rtl/>
        </w:rPr>
        <w:t>ة</w:t>
      </w:r>
      <w:r w:rsidRPr="00AA6C5F">
        <w:rPr>
          <w:rFonts w:hint="cs"/>
          <w:w w:val="100"/>
          <w:rtl/>
        </w:rPr>
        <w:t xml:space="preserve"> إيجابي</w:t>
      </w:r>
      <w:r w:rsidR="00A94BF2" w:rsidRPr="00AA6C5F">
        <w:rPr>
          <w:rFonts w:hint="cs"/>
          <w:w w:val="100"/>
          <w:rtl/>
        </w:rPr>
        <w:t>ة</w:t>
      </w:r>
      <w:r w:rsidRPr="00AA6C5F">
        <w:rPr>
          <w:rFonts w:hint="cs"/>
          <w:w w:val="100"/>
          <w:rtl/>
        </w:rPr>
        <w:t xml:space="preserve"> وغير مقولب</w:t>
      </w:r>
      <w:r w:rsidR="00A94BF2" w:rsidRPr="00AA6C5F">
        <w:rPr>
          <w:rFonts w:hint="cs"/>
          <w:w w:val="100"/>
          <w:rtl/>
        </w:rPr>
        <w:t>ة</w:t>
      </w:r>
      <w:r w:rsidRPr="00AA6C5F">
        <w:rPr>
          <w:rFonts w:hint="cs"/>
          <w:w w:val="100"/>
          <w:rtl/>
        </w:rPr>
        <w:t xml:space="preserve"> للمرأة. ويُرجى بيان ما إذا كانت الدولة الطرف تتوخى وضع استراتيجية شاملة لتغيير الأنماط الاجتماعية والثقافية والقضاء على القوالب النمطية والممارسات الضارة القائمة على</w:t>
      </w:r>
      <w:r w:rsidR="00A94BF2" w:rsidRPr="00AA6C5F">
        <w:rPr>
          <w:rFonts w:hint="cs"/>
          <w:w w:val="100"/>
          <w:rtl/>
        </w:rPr>
        <w:t xml:space="preserve"> نوع</w:t>
      </w:r>
      <w:r w:rsidRPr="00AA6C5F">
        <w:rPr>
          <w:rFonts w:hint="cs"/>
          <w:w w:val="100"/>
          <w:rtl/>
        </w:rPr>
        <w:t xml:space="preserve"> الجنس، مثل زواج الأطفال، وبيع الزوجات، </w:t>
      </w:r>
      <w:r w:rsidR="00A94BF2" w:rsidRPr="00AA6C5F">
        <w:rPr>
          <w:rFonts w:hint="cs"/>
          <w:w w:val="100"/>
          <w:rtl/>
        </w:rPr>
        <w:t>و</w:t>
      </w:r>
      <w:r w:rsidR="00856B3F">
        <w:rPr>
          <w:rFonts w:hint="cs"/>
          <w:w w:val="100"/>
          <w:rtl/>
        </w:rPr>
        <w:t xml:space="preserve"> </w:t>
      </w:r>
      <w:r w:rsidR="00856B3F">
        <w:rPr>
          <w:rFonts w:hint="eastAsia"/>
          <w:w w:val="100"/>
          <w:rtl/>
        </w:rPr>
        <w:t>”</w:t>
      </w:r>
      <w:proofErr w:type="spellStart"/>
      <w:r w:rsidRPr="00AA6C5F">
        <w:rPr>
          <w:rFonts w:hint="eastAsia"/>
          <w:w w:val="100"/>
          <w:rtl/>
        </w:rPr>
        <w:t>المو</w:t>
      </w:r>
      <w:r w:rsidR="00451F50" w:rsidRPr="00AA6C5F">
        <w:rPr>
          <w:rFonts w:hint="cs"/>
          <w:w w:val="100"/>
          <w:rtl/>
        </w:rPr>
        <w:t>ليتري</w:t>
      </w:r>
      <w:proofErr w:type="spellEnd"/>
      <w:r w:rsidR="00856B3F">
        <w:rPr>
          <w:rFonts w:hint="eastAsia"/>
          <w:w w:val="100"/>
          <w:rtl/>
        </w:rPr>
        <w:t>“</w:t>
      </w:r>
      <w:r w:rsidR="00451F50" w:rsidRPr="00AA6C5F">
        <w:rPr>
          <w:rFonts w:hint="eastAsia"/>
          <w:w w:val="100"/>
          <w:rtl/>
        </w:rPr>
        <w:t xml:space="preserve"> (ثمن العروس)، و</w:t>
      </w:r>
      <w:r w:rsidR="00856B3F">
        <w:rPr>
          <w:rFonts w:hint="cs"/>
          <w:w w:val="100"/>
          <w:rtl/>
        </w:rPr>
        <w:t xml:space="preserve"> </w:t>
      </w:r>
      <w:r w:rsidR="00856B3F">
        <w:rPr>
          <w:rFonts w:hint="eastAsia"/>
          <w:w w:val="100"/>
          <w:rtl/>
        </w:rPr>
        <w:t>”</w:t>
      </w:r>
      <w:r w:rsidR="00451F50" w:rsidRPr="00AA6C5F">
        <w:rPr>
          <w:rFonts w:hint="cs"/>
          <w:w w:val="100"/>
          <w:rtl/>
        </w:rPr>
        <w:t>سوق البنات</w:t>
      </w:r>
      <w:r w:rsidR="00856B3F">
        <w:rPr>
          <w:rFonts w:hint="eastAsia"/>
          <w:w w:val="100"/>
          <w:rtl/>
        </w:rPr>
        <w:t>“</w:t>
      </w:r>
      <w:r w:rsidR="00451F50" w:rsidRPr="00AA6C5F">
        <w:rPr>
          <w:rFonts w:hint="eastAsia"/>
          <w:w w:val="100"/>
          <w:rtl/>
        </w:rPr>
        <w:t>، والتخلي عن ا</w:t>
      </w:r>
      <w:r w:rsidR="00451F50" w:rsidRPr="00AA6C5F">
        <w:rPr>
          <w:rFonts w:hint="cs"/>
          <w:w w:val="100"/>
          <w:rtl/>
        </w:rPr>
        <w:t>ل</w:t>
      </w:r>
      <w:r w:rsidR="00451F50" w:rsidRPr="00AA6C5F">
        <w:rPr>
          <w:rFonts w:hint="eastAsia"/>
          <w:w w:val="100"/>
          <w:rtl/>
        </w:rPr>
        <w:t xml:space="preserve">طفل </w:t>
      </w:r>
      <w:r w:rsidR="00451F50" w:rsidRPr="00AA6C5F">
        <w:rPr>
          <w:rFonts w:hint="cs"/>
          <w:w w:val="100"/>
          <w:rtl/>
        </w:rPr>
        <w:t>التو</w:t>
      </w:r>
      <w:r w:rsidR="00A94BF2" w:rsidRPr="00AA6C5F">
        <w:rPr>
          <w:rFonts w:hint="cs"/>
          <w:w w:val="100"/>
          <w:rtl/>
        </w:rPr>
        <w:t>أم</w:t>
      </w:r>
      <w:r w:rsidR="00F52525" w:rsidRPr="00AA6C5F">
        <w:rPr>
          <w:rFonts w:hint="cs"/>
          <w:w w:val="100"/>
          <w:rtl/>
        </w:rPr>
        <w:t>،</w:t>
      </w:r>
      <w:r w:rsidR="00451F50" w:rsidRPr="00AA6C5F">
        <w:rPr>
          <w:rFonts w:hint="cs"/>
          <w:w w:val="100"/>
          <w:rtl/>
        </w:rPr>
        <w:t xml:space="preserve"> والتمييز ضد المرأة فيما يتعلق بحقها في الميراث. ويُرجى أيضا بيان التدابير المتوخى اتخاذها لتقييم أثر الجهود المبذولة للتثقيف والتوعية بشأن الأثر الضار لهذه الممارسات على الفتيات والنساء.</w:t>
      </w:r>
    </w:p>
    <w:p w:rsidR="00451F50" w:rsidRPr="00451F50" w:rsidRDefault="00451F50" w:rsidP="00451F50">
      <w:pPr>
        <w:pStyle w:val="SingleTxt"/>
        <w:spacing w:after="0" w:line="120" w:lineRule="exact"/>
        <w:rPr>
          <w:rFonts w:hint="cs"/>
          <w:sz w:val="12"/>
          <w:rtl/>
        </w:rPr>
      </w:pPr>
    </w:p>
    <w:p w:rsidR="00451F50" w:rsidRDefault="00451F50" w:rsidP="00451F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451F50" w:rsidRDefault="00451F50" w:rsidP="00F52525">
      <w:pPr>
        <w:pStyle w:val="SingleTxt"/>
        <w:rPr>
          <w:rFonts w:hint="cs"/>
          <w:rtl/>
        </w:rPr>
      </w:pPr>
      <w:r>
        <w:rPr>
          <w:rFonts w:hint="cs"/>
          <w:rtl/>
        </w:rPr>
        <w:t>5 -</w:t>
      </w:r>
      <w:r>
        <w:rPr>
          <w:rFonts w:hint="cs"/>
          <w:rtl/>
        </w:rPr>
        <w:tab/>
        <w:t xml:space="preserve">يُرجى بيان الإطار الزمني للانتهاء من وضع الاستراتيجية الوطنية لمكافحة العنف القائم على نوع الجنس، وبيان التدابير المتخذة والمتوخى اتخاذها لتشجيع النساء على الإبلاغ عن جميع أعمال العنف، بما في ذلك العنف المنزلي؛ وكفالة محاكمة المرتكبين؛ وتوفير الحماية ووسائل الانتصاف والتأهيل للضحايا، والاضطلاع ببرامج لبناء </w:t>
      </w:r>
      <w:r w:rsidR="00F52525">
        <w:rPr>
          <w:rFonts w:hint="cs"/>
          <w:rtl/>
        </w:rPr>
        <w:t>ال</w:t>
      </w:r>
      <w:r>
        <w:rPr>
          <w:rFonts w:hint="cs"/>
          <w:rtl/>
        </w:rPr>
        <w:t>قدرات و</w:t>
      </w:r>
      <w:r w:rsidR="00F52525">
        <w:rPr>
          <w:rFonts w:hint="cs"/>
          <w:rtl/>
        </w:rPr>
        <w:t>ال</w:t>
      </w:r>
      <w:r>
        <w:rPr>
          <w:rFonts w:hint="cs"/>
          <w:rtl/>
        </w:rPr>
        <w:t xml:space="preserve">توعية </w:t>
      </w:r>
      <w:r w:rsidR="00F52525">
        <w:rPr>
          <w:rFonts w:hint="cs"/>
          <w:rtl/>
        </w:rPr>
        <w:t>ل</w:t>
      </w:r>
      <w:r>
        <w:rPr>
          <w:rFonts w:hint="cs"/>
          <w:rtl/>
        </w:rPr>
        <w:t>لشرطة والمحامين والأخصائيين الصحيين والاجتماعيين و</w:t>
      </w:r>
      <w:r w:rsidR="00A94BF2">
        <w:rPr>
          <w:rFonts w:hint="cs"/>
          <w:rtl/>
        </w:rPr>
        <w:t xml:space="preserve">العاملين في مجال </w:t>
      </w:r>
      <w:r>
        <w:rPr>
          <w:rFonts w:hint="cs"/>
          <w:rtl/>
        </w:rPr>
        <w:t>القضاء والجمهور عموما. ويُرجى بيان ما إذا كانت الدولة الطرف تتوخى اعتماد قانون شامل لمكافحة العنف ضد المرأة وكفالة تجريم الاغتصاب في إطار الزواج والتحرش الجنسي.</w:t>
      </w:r>
    </w:p>
    <w:p w:rsidR="00451F50" w:rsidRPr="00451F50" w:rsidRDefault="00451F50" w:rsidP="00451F50">
      <w:pPr>
        <w:pStyle w:val="SingleTxt"/>
        <w:spacing w:after="0" w:line="120" w:lineRule="exact"/>
        <w:rPr>
          <w:rFonts w:hint="cs"/>
          <w:sz w:val="12"/>
          <w:rtl/>
        </w:rPr>
      </w:pPr>
    </w:p>
    <w:p w:rsidR="00451F50" w:rsidRDefault="00451F50" w:rsidP="00451F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 واستغلالهن في البغاء</w:t>
      </w:r>
    </w:p>
    <w:p w:rsidR="00451F50" w:rsidRDefault="00451F50" w:rsidP="00725BF3">
      <w:pPr>
        <w:pStyle w:val="SingleTxt"/>
        <w:spacing w:line="380" w:lineRule="exact"/>
        <w:rPr>
          <w:rFonts w:hint="cs"/>
          <w:rtl/>
        </w:rPr>
      </w:pPr>
      <w:r>
        <w:rPr>
          <w:rFonts w:hint="cs"/>
          <w:rtl/>
        </w:rPr>
        <w:t>6 -</w:t>
      </w:r>
      <w:r>
        <w:rPr>
          <w:rFonts w:hint="cs"/>
          <w:rtl/>
        </w:rPr>
        <w:tab/>
        <w:t xml:space="preserve">يُرجى تقديم معلومات عن التدابير المتخذة والمتوخى اتخاذها للتنفيذ الفعال للقانون رقم 2014-040 المؤرخ 16 كانون الأول/ديسمبر 2014 </w:t>
      </w:r>
      <w:r w:rsidR="00A94BF2">
        <w:rPr>
          <w:rFonts w:hint="cs"/>
          <w:rtl/>
        </w:rPr>
        <w:t xml:space="preserve">بشأن مكافحة </w:t>
      </w:r>
      <w:r>
        <w:rPr>
          <w:rFonts w:hint="cs"/>
          <w:rtl/>
        </w:rPr>
        <w:t>الاتجار بالأشخاص. ويُرجى بيان الإطار الزمني للانتهاء من وضع خطة العمل الوطنية لمكافحة الاتجار وبيان التدابير المتخذة والمتوخى اتخاذها لكفالة تنفيذه</w:t>
      </w:r>
      <w:r w:rsidR="00A94BF2">
        <w:rPr>
          <w:rFonts w:hint="cs"/>
          <w:rtl/>
        </w:rPr>
        <w:t>ا</w:t>
      </w:r>
      <w:r>
        <w:rPr>
          <w:rFonts w:hint="cs"/>
          <w:rtl/>
        </w:rPr>
        <w:t xml:space="preserve"> الفع</w:t>
      </w:r>
      <w:r w:rsidR="00A94BF2">
        <w:rPr>
          <w:rFonts w:hint="cs"/>
          <w:rtl/>
        </w:rPr>
        <w:t>ا</w:t>
      </w:r>
      <w:r>
        <w:rPr>
          <w:rFonts w:hint="cs"/>
          <w:rtl/>
        </w:rPr>
        <w:t xml:space="preserve">ل. ويُرجى تقديم معلومات عن التدابير المتخذة لمكافحة السياحة الجنسية. ويُرجى أيضا تقديم معلومات عن التدابير المتخذة والمتوخى اتخاذها للقيام بصورة منهجية بجمع بيانات مُصنَّفة بحسب نوع الجنس عن الاتجار والسياحة الجنسية وتقديم بيانات عن: (أ) عدد الضحايا والحالات التي تم التحقيق فيها، والحالات التي تمت </w:t>
      </w:r>
      <w:r w:rsidR="002168B7">
        <w:rPr>
          <w:rFonts w:hint="cs"/>
          <w:rtl/>
        </w:rPr>
        <w:t xml:space="preserve">فيها </w:t>
      </w:r>
      <w:r>
        <w:rPr>
          <w:rFonts w:hint="cs"/>
          <w:rtl/>
        </w:rPr>
        <w:t>المحاكمة، وأحكام الإدانة الصادرة بشأن الاتجار بالأشخاص والسياحة الجنسية؛ (ب) معاقبة المرتكبين. ويُرجى تقديم بيانات عن التقدم المحرز والعقبات المصادفة</w:t>
      </w:r>
      <w:r w:rsidR="00A94BF2">
        <w:rPr>
          <w:rFonts w:hint="cs"/>
          <w:rtl/>
        </w:rPr>
        <w:t>،</w:t>
      </w:r>
      <w:r>
        <w:rPr>
          <w:rFonts w:hint="cs"/>
          <w:rtl/>
        </w:rPr>
        <w:t xml:space="preserve"> إن وجدت</w:t>
      </w:r>
      <w:r w:rsidR="00A94BF2">
        <w:rPr>
          <w:rFonts w:hint="cs"/>
          <w:rtl/>
        </w:rPr>
        <w:t>،</w:t>
      </w:r>
      <w:r>
        <w:rPr>
          <w:rFonts w:hint="cs"/>
          <w:rtl/>
        </w:rPr>
        <w:t xml:space="preserve"> في </w:t>
      </w:r>
      <w:r w:rsidR="002168B7">
        <w:rPr>
          <w:rFonts w:hint="cs"/>
          <w:rtl/>
        </w:rPr>
        <w:t xml:space="preserve">مجال </w:t>
      </w:r>
      <w:r>
        <w:rPr>
          <w:rFonts w:hint="cs"/>
          <w:rtl/>
        </w:rPr>
        <w:t>تنفيذ أحكام القانون المتعلق</w:t>
      </w:r>
      <w:r w:rsidR="00A94BF2">
        <w:rPr>
          <w:rFonts w:hint="cs"/>
          <w:rtl/>
        </w:rPr>
        <w:t>ة</w:t>
      </w:r>
      <w:r>
        <w:rPr>
          <w:rFonts w:hint="cs"/>
          <w:rtl/>
        </w:rPr>
        <w:t xml:space="preserve"> بمكافحة الاتجار بالبشر والسياحة الجنسية التي تجعل من الممكن محاكمة ال</w:t>
      </w:r>
      <w:r w:rsidR="00A94BF2">
        <w:rPr>
          <w:rFonts w:hint="cs"/>
          <w:rtl/>
        </w:rPr>
        <w:t xml:space="preserve">مجرمين أينما كانوا </w:t>
      </w:r>
      <w:r>
        <w:rPr>
          <w:rFonts w:hint="cs"/>
          <w:rtl/>
        </w:rPr>
        <w:t>(الفقرة 154). ويُرجى تقديم بيانات عن إبرام اتفاقات ثنائية مع البلدان المجاورة، بما فيها سيشيل</w:t>
      </w:r>
      <w:r w:rsidR="00A94BF2">
        <w:rPr>
          <w:rFonts w:hint="cs"/>
          <w:rtl/>
        </w:rPr>
        <w:t xml:space="preserve"> وموريشيوس</w:t>
      </w:r>
      <w:r>
        <w:rPr>
          <w:rFonts w:hint="cs"/>
          <w:rtl/>
        </w:rPr>
        <w:t>.</w:t>
      </w:r>
    </w:p>
    <w:p w:rsidR="00451F50" w:rsidRDefault="0077455D" w:rsidP="00725BF3">
      <w:pPr>
        <w:pStyle w:val="SingleTxt"/>
        <w:spacing w:line="380" w:lineRule="exact"/>
        <w:rPr>
          <w:rFonts w:hint="cs"/>
          <w:rtl/>
        </w:rPr>
      </w:pPr>
      <w:r>
        <w:rPr>
          <w:rFonts w:hint="cs"/>
          <w:rtl/>
        </w:rPr>
        <w:t>7 -</w:t>
      </w:r>
      <w:r>
        <w:rPr>
          <w:rFonts w:hint="cs"/>
          <w:rtl/>
        </w:rPr>
        <w:tab/>
        <w:t xml:space="preserve">يُرجى بيان التدابير المتخذة لتوفير بدائل تثقيفية واقتصادية </w:t>
      </w:r>
      <w:r w:rsidR="008F4A6B">
        <w:rPr>
          <w:rFonts w:hint="cs"/>
          <w:rtl/>
        </w:rPr>
        <w:t>ل</w:t>
      </w:r>
      <w:r>
        <w:rPr>
          <w:rFonts w:hint="cs"/>
          <w:rtl/>
        </w:rPr>
        <w:t xml:space="preserve">لبغاء، ووضع برامج </w:t>
      </w:r>
      <w:r w:rsidR="008F4A6B">
        <w:rPr>
          <w:rFonts w:hint="cs"/>
          <w:rtl/>
        </w:rPr>
        <w:t>للإقلاع عنه</w:t>
      </w:r>
      <w:r>
        <w:rPr>
          <w:rFonts w:hint="cs"/>
          <w:rtl/>
        </w:rPr>
        <w:t xml:space="preserve"> </w:t>
      </w:r>
      <w:r w:rsidR="008F4A6B">
        <w:rPr>
          <w:rFonts w:hint="cs"/>
          <w:rtl/>
        </w:rPr>
        <w:t xml:space="preserve">واتخاذ </w:t>
      </w:r>
      <w:r>
        <w:rPr>
          <w:rFonts w:hint="cs"/>
          <w:rtl/>
        </w:rPr>
        <w:t xml:space="preserve">تدابير </w:t>
      </w:r>
      <w:r w:rsidR="008F4A6B">
        <w:rPr>
          <w:rFonts w:hint="cs"/>
          <w:rtl/>
        </w:rPr>
        <w:t>ل</w:t>
      </w:r>
      <w:r>
        <w:rPr>
          <w:rFonts w:hint="cs"/>
          <w:rtl/>
        </w:rPr>
        <w:t>تأهيل النساء المقلعات عن البغاء</w:t>
      </w:r>
      <w:r w:rsidR="008F4A6B">
        <w:rPr>
          <w:rFonts w:hint="cs"/>
          <w:rtl/>
        </w:rPr>
        <w:t xml:space="preserve"> وإعادة إدماجهن في المجتمع</w:t>
      </w:r>
      <w:r>
        <w:rPr>
          <w:rFonts w:hint="cs"/>
          <w:rtl/>
        </w:rPr>
        <w:t>. ويُرجى بيان ما إذا كانت التشريعات تتضمن أحكاما تمييزية تُجرِّم النساء الممتهنات للبغاء.</w:t>
      </w:r>
    </w:p>
    <w:p w:rsidR="001760DB" w:rsidRPr="00F74223" w:rsidRDefault="001760DB" w:rsidP="00725BF3">
      <w:pPr>
        <w:pStyle w:val="SingleTxt"/>
        <w:spacing w:after="0" w:line="120" w:lineRule="exact"/>
        <w:rPr>
          <w:rFonts w:hint="cs"/>
          <w:sz w:val="12"/>
          <w:rtl/>
        </w:rPr>
      </w:pPr>
    </w:p>
    <w:p w:rsidR="0077455D" w:rsidRDefault="0077455D"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المشاركة في الحياة السياسية والعامة</w:t>
      </w:r>
    </w:p>
    <w:p w:rsidR="0077455D" w:rsidRDefault="0077455D" w:rsidP="00725BF3">
      <w:pPr>
        <w:pStyle w:val="SingleTxt"/>
        <w:spacing w:line="380" w:lineRule="exact"/>
        <w:rPr>
          <w:rFonts w:hint="cs"/>
          <w:rtl/>
        </w:rPr>
      </w:pPr>
      <w:r>
        <w:rPr>
          <w:rFonts w:hint="cs"/>
          <w:rtl/>
        </w:rPr>
        <w:t>8 -</w:t>
      </w:r>
      <w:r>
        <w:rPr>
          <w:rFonts w:hint="cs"/>
          <w:rtl/>
        </w:rPr>
        <w:tab/>
        <w:t xml:space="preserve">يُرجى تقديم معلومات عن الخطوات المتخذة لتحقيق تمثيل </w:t>
      </w:r>
      <w:r w:rsidR="00F92119">
        <w:rPr>
          <w:rFonts w:hint="cs"/>
          <w:rtl/>
        </w:rPr>
        <w:t>متساو ل</w:t>
      </w:r>
      <w:r>
        <w:rPr>
          <w:rFonts w:hint="cs"/>
          <w:rtl/>
        </w:rPr>
        <w:t>لنساء والرجال في مناصب اتخاذ القرار في الحكومة، والقضاء، والهيئة التشريعية، والخدمة المدنية على المستوى الوطني ومستوى المناطق والمقاطعات والبلديات، وفي السلك الدبلوماسي</w:t>
      </w:r>
      <w:r w:rsidR="00F92119">
        <w:rPr>
          <w:rFonts w:hint="cs"/>
          <w:rtl/>
        </w:rPr>
        <w:t>،</w:t>
      </w:r>
      <w:r>
        <w:rPr>
          <w:rFonts w:hint="cs"/>
          <w:rtl/>
        </w:rPr>
        <w:t xml:space="preserve"> بما في ذلك عن طريق اعتماد تدابير </w:t>
      </w:r>
      <w:r w:rsidR="00F92119">
        <w:rPr>
          <w:rFonts w:hint="cs"/>
          <w:rtl/>
        </w:rPr>
        <w:t xml:space="preserve">خاصة </w:t>
      </w:r>
      <w:r>
        <w:rPr>
          <w:rFonts w:hint="cs"/>
          <w:rtl/>
        </w:rPr>
        <w:t xml:space="preserve">مؤقتة، وفقا للمادة 4 (1) من الاتفاقية والتوصية العامة رقم 25 للجنة بشأن هذا الموضوع. ويُرجى بيان ما إذا كان يُنتظر اتخاذ تدابير </w:t>
      </w:r>
      <w:r w:rsidR="00F92119">
        <w:rPr>
          <w:rFonts w:hint="cs"/>
          <w:rtl/>
        </w:rPr>
        <w:t xml:space="preserve">خاصة </w:t>
      </w:r>
      <w:r>
        <w:rPr>
          <w:rFonts w:hint="cs"/>
          <w:rtl/>
        </w:rPr>
        <w:t>مؤقتة بشأن الانتخابات البلدية المقرر إجراؤها في تموز/يوليه 2015. ويُرجى بيان مدى إدماج النساء في العملية السياسية عقب الأزمة السياسية.</w:t>
      </w:r>
    </w:p>
    <w:p w:rsidR="001760DB" w:rsidRPr="00F74223" w:rsidRDefault="001760DB" w:rsidP="00725BF3">
      <w:pPr>
        <w:pStyle w:val="SingleTxt"/>
        <w:spacing w:after="0" w:line="120" w:lineRule="exact"/>
        <w:rPr>
          <w:rFonts w:hint="cs"/>
          <w:sz w:val="12"/>
          <w:rtl/>
        </w:rPr>
      </w:pPr>
    </w:p>
    <w:p w:rsidR="0077455D" w:rsidRDefault="0077455D"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الجنسية</w:t>
      </w:r>
    </w:p>
    <w:p w:rsidR="006A1A15" w:rsidRPr="00725BF3" w:rsidRDefault="0077455D" w:rsidP="00725BF3">
      <w:pPr>
        <w:pStyle w:val="SingleTxt"/>
        <w:spacing w:line="380" w:lineRule="exact"/>
        <w:rPr>
          <w:rFonts w:hint="cs"/>
          <w:w w:val="100"/>
          <w:rtl/>
        </w:rPr>
      </w:pPr>
      <w:r w:rsidRPr="00725BF3">
        <w:rPr>
          <w:rFonts w:hint="cs"/>
          <w:w w:val="100"/>
          <w:rtl/>
        </w:rPr>
        <w:t>9 -</w:t>
      </w:r>
      <w:r w:rsidRPr="00725BF3">
        <w:rPr>
          <w:rFonts w:hint="cs"/>
          <w:w w:val="100"/>
          <w:rtl/>
        </w:rPr>
        <w:tab/>
        <w:t>ورد ذكر المراجعة الجارية لل</w:t>
      </w:r>
      <w:r w:rsidR="00F92119">
        <w:rPr>
          <w:rFonts w:hint="cs"/>
          <w:w w:val="100"/>
          <w:rtl/>
        </w:rPr>
        <w:t>أمر</w:t>
      </w:r>
      <w:r w:rsidRPr="00725BF3">
        <w:rPr>
          <w:rFonts w:hint="cs"/>
          <w:w w:val="100"/>
          <w:rtl/>
        </w:rPr>
        <w:t xml:space="preserve"> رقم 60-064 المؤرخ 22 تموز/يوليه 1960، الذي يتناول قانون الجنسية الملغاشية (الفقرات 116-118). ويُرجى بيان ما إذا كان قد اضطلع ب</w:t>
      </w:r>
      <w:r w:rsidR="00F92119">
        <w:rPr>
          <w:rFonts w:hint="cs"/>
          <w:w w:val="100"/>
          <w:rtl/>
        </w:rPr>
        <w:t xml:space="preserve">تلك </w:t>
      </w:r>
      <w:r w:rsidRPr="00725BF3">
        <w:rPr>
          <w:rFonts w:hint="cs"/>
          <w:w w:val="100"/>
          <w:rtl/>
        </w:rPr>
        <w:t>المراجعة</w:t>
      </w:r>
      <w:r w:rsidR="00F92119">
        <w:rPr>
          <w:rFonts w:hint="cs"/>
          <w:w w:val="100"/>
          <w:rtl/>
        </w:rPr>
        <w:t>،</w:t>
      </w:r>
      <w:r w:rsidRPr="00725BF3">
        <w:rPr>
          <w:rFonts w:hint="cs"/>
          <w:w w:val="100"/>
          <w:rtl/>
        </w:rPr>
        <w:t xml:space="preserve"> </w:t>
      </w:r>
      <w:r w:rsidR="006A1A15" w:rsidRPr="00725BF3">
        <w:rPr>
          <w:rFonts w:hint="cs"/>
          <w:w w:val="100"/>
          <w:rtl/>
        </w:rPr>
        <w:t>وفي حالة عدم الاضطلاع بها يُرجى بيان الإطار الزمني للانتهاء منها. ويُرجى بيان ما إذا كانت المراجعة تتضمن سحب جميع الأحكام التمييزية القائمة فيما يتصل بالجنسية.</w:t>
      </w:r>
    </w:p>
    <w:p w:rsidR="006A1A15" w:rsidRPr="006A1A15" w:rsidRDefault="006A1A15" w:rsidP="006A1A15">
      <w:pPr>
        <w:pStyle w:val="SingleTxt"/>
        <w:spacing w:after="0" w:line="120" w:lineRule="exact"/>
        <w:rPr>
          <w:rFonts w:hint="cs"/>
          <w:sz w:val="12"/>
          <w:rtl/>
        </w:rPr>
      </w:pPr>
    </w:p>
    <w:p w:rsidR="006A1A15" w:rsidRDefault="006A1A15" w:rsidP="006A1A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6A1A15" w:rsidRDefault="006A1A15" w:rsidP="002168B7">
      <w:pPr>
        <w:pStyle w:val="SingleTxt"/>
        <w:rPr>
          <w:rFonts w:hint="cs"/>
          <w:rtl/>
        </w:rPr>
      </w:pPr>
      <w:r>
        <w:rPr>
          <w:rFonts w:hint="cs"/>
          <w:rtl/>
        </w:rPr>
        <w:t>10 -</w:t>
      </w:r>
      <w:r>
        <w:rPr>
          <w:rFonts w:hint="cs"/>
          <w:rtl/>
        </w:rPr>
        <w:tab/>
        <w:t>يُرجى بيان التدابير المتخذة لزيادة معدل قيد التلاميذ، بمن فيهم الفتيات، والتد</w:t>
      </w:r>
      <w:r w:rsidR="002168B7">
        <w:rPr>
          <w:rFonts w:hint="cs"/>
          <w:rtl/>
        </w:rPr>
        <w:t>ا</w:t>
      </w:r>
      <w:r>
        <w:rPr>
          <w:rFonts w:hint="cs"/>
          <w:rtl/>
        </w:rPr>
        <w:t xml:space="preserve">بير المتوخى اتخاذها لمواصلة زيادة معدل </w:t>
      </w:r>
      <w:r w:rsidR="002168B7">
        <w:rPr>
          <w:rFonts w:hint="cs"/>
          <w:rtl/>
        </w:rPr>
        <w:t>محو أمية ا</w:t>
      </w:r>
      <w:r>
        <w:rPr>
          <w:rFonts w:hint="cs"/>
          <w:rtl/>
        </w:rPr>
        <w:t>لإناث، وبخاصة في المناطق الريفية. ويُرجى بيان ما إذا كانت الدولة الطرف تتوخى تعزيز التدابير المتخذة للحد من معدل تسرب الفتيات من ال</w:t>
      </w:r>
      <w:r w:rsidR="002168B7">
        <w:rPr>
          <w:rFonts w:hint="cs"/>
          <w:rtl/>
        </w:rPr>
        <w:t>م</w:t>
      </w:r>
      <w:r>
        <w:rPr>
          <w:rFonts w:hint="cs"/>
          <w:rtl/>
        </w:rPr>
        <w:t>د</w:t>
      </w:r>
      <w:r w:rsidR="002168B7">
        <w:rPr>
          <w:rFonts w:hint="cs"/>
          <w:rtl/>
        </w:rPr>
        <w:t>ا</w:t>
      </w:r>
      <w:r>
        <w:rPr>
          <w:rFonts w:hint="cs"/>
          <w:rtl/>
        </w:rPr>
        <w:t xml:space="preserve">رس والقضاء على العقبات الاقتصادية والاجتماعية والثقافية التي تعترض حصول الفتيات على التعليم، بما في ذلك التكاليف المباشرة وغير المباشرة المتعلقة بالتعليم، بالإضافة إلى زواج </w:t>
      </w:r>
      <w:r w:rsidR="00F92119">
        <w:rPr>
          <w:rFonts w:hint="cs"/>
          <w:rtl/>
        </w:rPr>
        <w:t>ال</w:t>
      </w:r>
      <w:r>
        <w:rPr>
          <w:rFonts w:hint="cs"/>
          <w:rtl/>
        </w:rPr>
        <w:t>أطفال وحمل المراهقات.</w:t>
      </w:r>
    </w:p>
    <w:p w:rsidR="006A1A15" w:rsidRDefault="006A1A15" w:rsidP="00AD1F15">
      <w:pPr>
        <w:pStyle w:val="SingleTxt"/>
        <w:rPr>
          <w:rFonts w:hint="cs"/>
          <w:rtl/>
        </w:rPr>
      </w:pPr>
      <w:r>
        <w:rPr>
          <w:rFonts w:hint="cs"/>
          <w:rtl/>
        </w:rPr>
        <w:t>11 -</w:t>
      </w:r>
      <w:r>
        <w:rPr>
          <w:rFonts w:hint="cs"/>
          <w:rtl/>
        </w:rPr>
        <w:tab/>
        <w:t xml:space="preserve">يُرجى تقديم </w:t>
      </w:r>
      <w:r w:rsidR="00AD1F15">
        <w:rPr>
          <w:rFonts w:hint="cs"/>
          <w:rtl/>
        </w:rPr>
        <w:t xml:space="preserve">معلومات </w:t>
      </w:r>
      <w:r>
        <w:rPr>
          <w:rFonts w:hint="cs"/>
          <w:rtl/>
        </w:rPr>
        <w:t xml:space="preserve">عن الحالة الراهنة والاتجاهات السائدة في الدولة الطرف </w:t>
      </w:r>
      <w:r w:rsidR="00F92119">
        <w:rPr>
          <w:rFonts w:hint="cs"/>
          <w:rtl/>
        </w:rPr>
        <w:t>فيما يتعلق بالعنف ضد الف</w:t>
      </w:r>
      <w:r w:rsidR="00AD1F15">
        <w:rPr>
          <w:rFonts w:hint="cs"/>
          <w:rtl/>
        </w:rPr>
        <w:t>ت</w:t>
      </w:r>
      <w:r w:rsidR="00F92119">
        <w:rPr>
          <w:rFonts w:hint="cs"/>
          <w:rtl/>
        </w:rPr>
        <w:t>ي</w:t>
      </w:r>
      <w:r w:rsidR="00AD1F15">
        <w:rPr>
          <w:rFonts w:hint="cs"/>
          <w:rtl/>
        </w:rPr>
        <w:t>ا</w:t>
      </w:r>
      <w:r>
        <w:rPr>
          <w:rFonts w:hint="cs"/>
          <w:rtl/>
        </w:rPr>
        <w:t>ت والتحرش الجنسي بهن</w:t>
      </w:r>
      <w:r w:rsidR="00AD1F15">
        <w:rPr>
          <w:rFonts w:hint="cs"/>
          <w:rtl/>
        </w:rPr>
        <w:t xml:space="preserve"> في المدارس</w:t>
      </w:r>
      <w:r>
        <w:rPr>
          <w:rFonts w:hint="cs"/>
          <w:rtl/>
        </w:rPr>
        <w:t xml:space="preserve">؛ وإدراج تثقيف </w:t>
      </w:r>
      <w:r w:rsidR="00F92119">
        <w:rPr>
          <w:rFonts w:hint="cs"/>
          <w:rtl/>
        </w:rPr>
        <w:t xml:space="preserve">ملائم للسن </w:t>
      </w:r>
      <w:r w:rsidR="00AD1F15">
        <w:rPr>
          <w:rFonts w:hint="cs"/>
          <w:rtl/>
        </w:rPr>
        <w:t xml:space="preserve">بشأن </w:t>
      </w:r>
      <w:r>
        <w:rPr>
          <w:rFonts w:hint="cs"/>
          <w:rtl/>
        </w:rPr>
        <w:t xml:space="preserve">الصحة والحقوق الجنسية والإنجابية ضمن المناهج الدراسية على جميع مستويات التعليم؛ والاتجاهات </w:t>
      </w:r>
      <w:r w:rsidR="00F92119">
        <w:rPr>
          <w:rFonts w:hint="cs"/>
          <w:rtl/>
        </w:rPr>
        <w:t xml:space="preserve">القائمة على القولبة </w:t>
      </w:r>
      <w:r>
        <w:rPr>
          <w:rFonts w:hint="cs"/>
          <w:rtl/>
        </w:rPr>
        <w:t>النمطية بشأن أدوار ومسؤوليات النساء والرجال في الكتب المدرسية والمناهج الدراسية وتدريب المعلمين.</w:t>
      </w:r>
    </w:p>
    <w:p w:rsidR="006A1A15" w:rsidRPr="006A1A15" w:rsidRDefault="006A1A15" w:rsidP="006A1A15">
      <w:pPr>
        <w:pStyle w:val="SingleTxt"/>
        <w:spacing w:after="0" w:line="120" w:lineRule="exact"/>
        <w:rPr>
          <w:rFonts w:hint="cs"/>
          <w:sz w:val="12"/>
          <w:rtl/>
        </w:rPr>
      </w:pPr>
    </w:p>
    <w:p w:rsidR="006A1A15" w:rsidRDefault="006A1A15" w:rsidP="006A1A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التوظيف</w:t>
      </w:r>
    </w:p>
    <w:p w:rsidR="0077455D" w:rsidRDefault="006A1A15" w:rsidP="00655DF5">
      <w:pPr>
        <w:pStyle w:val="SingleTxt"/>
        <w:rPr>
          <w:rFonts w:hint="cs"/>
          <w:rtl/>
        </w:rPr>
      </w:pPr>
      <w:r>
        <w:rPr>
          <w:rFonts w:hint="cs"/>
          <w:rtl/>
        </w:rPr>
        <w:t>12 -</w:t>
      </w:r>
      <w:r>
        <w:rPr>
          <w:rFonts w:hint="cs"/>
          <w:rtl/>
        </w:rPr>
        <w:tab/>
        <w:t xml:space="preserve">يذكر التقرير أن مبادئ إتاحة فرص متكافئة للتوظيف والحصول على الأجر المتساوي لقاء العمل المتساوي القيمة </w:t>
      </w:r>
      <w:r w:rsidR="00655DF5">
        <w:rPr>
          <w:rFonts w:hint="cs"/>
          <w:rtl/>
        </w:rPr>
        <w:t xml:space="preserve">يتم مراعاتها </w:t>
      </w:r>
      <w:r>
        <w:rPr>
          <w:rFonts w:hint="cs"/>
          <w:rtl/>
        </w:rPr>
        <w:t>(الفقرة 42). برجاء تقديم بيانا</w:t>
      </w:r>
      <w:r w:rsidR="00655DF5">
        <w:rPr>
          <w:rFonts w:hint="cs"/>
          <w:rtl/>
        </w:rPr>
        <w:t>ت عن مشاركة المرأة في قوة العمل</w:t>
      </w:r>
      <w:r>
        <w:rPr>
          <w:rFonts w:hint="cs"/>
          <w:rtl/>
        </w:rPr>
        <w:t xml:space="preserve"> في القطاعين العام والخاص على السواء، وتفاصيل عن الفروق في الأجور والتفرقة </w:t>
      </w:r>
      <w:r w:rsidR="00F92119">
        <w:rPr>
          <w:rFonts w:hint="cs"/>
          <w:rtl/>
        </w:rPr>
        <w:t>في ا</w:t>
      </w:r>
      <w:r>
        <w:rPr>
          <w:rFonts w:hint="cs"/>
          <w:rtl/>
        </w:rPr>
        <w:t>ل</w:t>
      </w:r>
      <w:r w:rsidR="00F92119">
        <w:rPr>
          <w:rFonts w:hint="cs"/>
          <w:rtl/>
        </w:rPr>
        <w:t>وظائف</w:t>
      </w:r>
      <w:r>
        <w:rPr>
          <w:rFonts w:hint="cs"/>
          <w:rtl/>
        </w:rPr>
        <w:t xml:space="preserve">. ويُرجى بيان التدابير المتوخى اتخاذها لمعالجة ارتفاع معدل البطالة بشكل غير متناسب بين النساء. ويُرجى بيان ما إذا كان جميع الموظفين </w:t>
      </w:r>
      <w:r w:rsidR="00640548">
        <w:rPr>
          <w:rFonts w:hint="cs"/>
          <w:rtl/>
        </w:rPr>
        <w:t>في القطاع الرسمي مشمولين بنظام الحماية ال</w:t>
      </w:r>
      <w:r w:rsidR="00F92119">
        <w:rPr>
          <w:rFonts w:hint="cs"/>
          <w:rtl/>
        </w:rPr>
        <w:t>اجتماعية،</w:t>
      </w:r>
      <w:r w:rsidR="00640548">
        <w:rPr>
          <w:rFonts w:hint="cs"/>
          <w:rtl/>
        </w:rPr>
        <w:t xml:space="preserve"> وتوفير بيانات عن أثر التدابير المتخذة من جانب صندوق الضمان الاجتماعي الوطني لتشجيع أرباب العمل في القطاع غير الرسمي على قيد موظفيهم حتى يمكنهم الحصول على الاستحقاقات الاجتماعية (الفقرة 47).</w:t>
      </w:r>
    </w:p>
    <w:p w:rsidR="00640548" w:rsidRDefault="00640548" w:rsidP="00F92119">
      <w:pPr>
        <w:pStyle w:val="SingleTxt"/>
        <w:rPr>
          <w:rFonts w:hint="cs"/>
          <w:rtl/>
        </w:rPr>
      </w:pPr>
      <w:r>
        <w:rPr>
          <w:rFonts w:hint="cs"/>
          <w:rtl/>
        </w:rPr>
        <w:t>13 -</w:t>
      </w:r>
      <w:r>
        <w:rPr>
          <w:rFonts w:hint="cs"/>
          <w:rtl/>
        </w:rPr>
        <w:tab/>
        <w:t>يُرجى بيان ما إذا كانت ال</w:t>
      </w:r>
      <w:r w:rsidR="00F92119">
        <w:rPr>
          <w:rFonts w:hint="cs"/>
          <w:rtl/>
        </w:rPr>
        <w:t>أحكام</w:t>
      </w:r>
      <w:r>
        <w:rPr>
          <w:rFonts w:hint="cs"/>
          <w:rtl/>
        </w:rPr>
        <w:t xml:space="preserve"> القانونية تحظر التحرش </w:t>
      </w:r>
      <w:r w:rsidR="00F92119">
        <w:rPr>
          <w:rFonts w:hint="cs"/>
          <w:rtl/>
        </w:rPr>
        <w:t xml:space="preserve">الجنسي </w:t>
      </w:r>
      <w:r>
        <w:rPr>
          <w:rFonts w:hint="cs"/>
          <w:rtl/>
        </w:rPr>
        <w:t>في مكان العمل، وتوفير بيانات عن عدد الحالات الم</w:t>
      </w:r>
      <w:r w:rsidR="00AA6C5F">
        <w:rPr>
          <w:rFonts w:hint="cs"/>
          <w:rtl/>
        </w:rPr>
        <w:t>ُ</w:t>
      </w:r>
      <w:r>
        <w:rPr>
          <w:rFonts w:hint="cs"/>
          <w:rtl/>
        </w:rPr>
        <w:t>بل</w:t>
      </w:r>
      <w:r w:rsidR="00AA6C5F">
        <w:rPr>
          <w:rFonts w:hint="cs"/>
          <w:rtl/>
        </w:rPr>
        <w:t>َّ</w:t>
      </w:r>
      <w:r>
        <w:rPr>
          <w:rFonts w:hint="cs"/>
          <w:rtl/>
        </w:rPr>
        <w:t>غ عنها للتحرش الجنسي في مكان العمل وعن التدابير المتخذة لمنع هذه الأفعال والمعاقبة عليها.</w:t>
      </w:r>
    </w:p>
    <w:p w:rsidR="00640548" w:rsidRDefault="00640548" w:rsidP="007573D1">
      <w:pPr>
        <w:pStyle w:val="SingleTxt"/>
        <w:rPr>
          <w:rFonts w:hint="cs"/>
          <w:rtl/>
        </w:rPr>
      </w:pPr>
      <w:r>
        <w:rPr>
          <w:rFonts w:hint="cs"/>
          <w:rtl/>
        </w:rPr>
        <w:t>14 -</w:t>
      </w:r>
      <w:r>
        <w:rPr>
          <w:rFonts w:hint="cs"/>
          <w:rtl/>
        </w:rPr>
        <w:tab/>
        <w:t>يُرج</w:t>
      </w:r>
      <w:r w:rsidR="007573D1">
        <w:rPr>
          <w:rFonts w:hint="cs"/>
          <w:rtl/>
        </w:rPr>
        <w:t>ى بيان ما إذا كانت الدولة الطرف قد ا</w:t>
      </w:r>
      <w:r>
        <w:rPr>
          <w:rFonts w:hint="cs"/>
          <w:rtl/>
        </w:rPr>
        <w:t>تخذ</w:t>
      </w:r>
      <w:r w:rsidR="007573D1">
        <w:rPr>
          <w:rFonts w:hint="cs"/>
          <w:rtl/>
        </w:rPr>
        <w:t>ت</w:t>
      </w:r>
      <w:r>
        <w:rPr>
          <w:rFonts w:hint="cs"/>
          <w:rtl/>
        </w:rPr>
        <w:t xml:space="preserve"> تدابير لمنع </w:t>
      </w:r>
      <w:r w:rsidR="007573D1">
        <w:rPr>
          <w:rFonts w:hint="cs"/>
          <w:rtl/>
        </w:rPr>
        <w:t xml:space="preserve">ومعالجة </w:t>
      </w:r>
      <w:r>
        <w:rPr>
          <w:rFonts w:hint="cs"/>
          <w:rtl/>
        </w:rPr>
        <w:t xml:space="preserve">حالات الإيذاء </w:t>
      </w:r>
      <w:r w:rsidR="007573D1">
        <w:rPr>
          <w:rFonts w:hint="cs"/>
          <w:rtl/>
        </w:rPr>
        <w:t>أ</w:t>
      </w:r>
      <w:r>
        <w:rPr>
          <w:rFonts w:hint="cs"/>
          <w:rtl/>
        </w:rPr>
        <w:t>و</w:t>
      </w:r>
      <w:r w:rsidR="007573D1">
        <w:rPr>
          <w:rFonts w:hint="cs"/>
          <w:rtl/>
        </w:rPr>
        <w:t xml:space="preserve"> </w:t>
      </w:r>
      <w:r>
        <w:rPr>
          <w:rFonts w:hint="cs"/>
          <w:rtl/>
        </w:rPr>
        <w:t>العنف</w:t>
      </w:r>
      <w:r w:rsidR="007573D1">
        <w:rPr>
          <w:rFonts w:hint="cs"/>
          <w:rtl/>
        </w:rPr>
        <w:t>،</w:t>
      </w:r>
      <w:r>
        <w:rPr>
          <w:rFonts w:hint="cs"/>
          <w:rtl/>
        </w:rPr>
        <w:t xml:space="preserve"> بما في ذلك العنف الجنسي، أو الأشكال المعاصرة ل</w:t>
      </w:r>
      <w:r w:rsidR="007573D1">
        <w:rPr>
          <w:rFonts w:hint="cs"/>
          <w:rtl/>
        </w:rPr>
        <w:t>استرقاق</w:t>
      </w:r>
      <w:r>
        <w:rPr>
          <w:rFonts w:hint="cs"/>
          <w:rtl/>
        </w:rPr>
        <w:t xml:space="preserve"> </w:t>
      </w:r>
      <w:r w:rsidR="007573D1">
        <w:rPr>
          <w:rFonts w:hint="cs"/>
          <w:rtl/>
        </w:rPr>
        <w:t>النساء المهاجرات الملاغاشيات</w:t>
      </w:r>
      <w:r>
        <w:rPr>
          <w:rFonts w:hint="cs"/>
          <w:rtl/>
        </w:rPr>
        <w:t xml:space="preserve"> في البلدان المضيفة و</w:t>
      </w:r>
      <w:r w:rsidR="007573D1">
        <w:rPr>
          <w:rFonts w:hint="cs"/>
          <w:rtl/>
        </w:rPr>
        <w:t>حالات ا</w:t>
      </w:r>
      <w:r>
        <w:rPr>
          <w:rFonts w:hint="cs"/>
          <w:rtl/>
        </w:rPr>
        <w:t>لنساء والفتيات الملاغ</w:t>
      </w:r>
      <w:r w:rsidR="007573D1">
        <w:rPr>
          <w:rFonts w:hint="cs"/>
          <w:rtl/>
        </w:rPr>
        <w:t>ا</w:t>
      </w:r>
      <w:r>
        <w:rPr>
          <w:rFonts w:hint="cs"/>
          <w:rtl/>
        </w:rPr>
        <w:t xml:space="preserve">شيات العاملات </w:t>
      </w:r>
      <w:r w:rsidR="007573D1">
        <w:rPr>
          <w:rFonts w:hint="cs"/>
          <w:rtl/>
        </w:rPr>
        <w:t>بالخدمة</w:t>
      </w:r>
      <w:r>
        <w:rPr>
          <w:rFonts w:hint="cs"/>
          <w:rtl/>
        </w:rPr>
        <w:t xml:space="preserve"> </w:t>
      </w:r>
      <w:r w:rsidR="00655DF5">
        <w:rPr>
          <w:rFonts w:hint="cs"/>
          <w:rtl/>
        </w:rPr>
        <w:t xml:space="preserve">المنزلية </w:t>
      </w:r>
      <w:r w:rsidR="007573D1">
        <w:rPr>
          <w:rFonts w:hint="cs"/>
          <w:rtl/>
        </w:rPr>
        <w:t xml:space="preserve">في </w:t>
      </w:r>
      <w:r>
        <w:rPr>
          <w:rFonts w:hint="cs"/>
          <w:rtl/>
        </w:rPr>
        <w:t>الدولة الطرف.</w:t>
      </w:r>
    </w:p>
    <w:p w:rsidR="00640548" w:rsidRPr="00640548" w:rsidRDefault="00640548" w:rsidP="00640548">
      <w:pPr>
        <w:pStyle w:val="SingleTxt"/>
        <w:spacing w:after="0" w:line="120" w:lineRule="exact"/>
        <w:rPr>
          <w:rFonts w:hint="cs"/>
          <w:sz w:val="12"/>
          <w:rtl/>
        </w:rPr>
      </w:pPr>
    </w:p>
    <w:p w:rsidR="00640548" w:rsidRDefault="00640548" w:rsidP="006405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640548" w:rsidRPr="00AA6C5F" w:rsidRDefault="00640548" w:rsidP="00725BF3">
      <w:pPr>
        <w:pStyle w:val="SingleTxt"/>
        <w:spacing w:line="380" w:lineRule="exact"/>
        <w:rPr>
          <w:rFonts w:hint="cs"/>
          <w:w w:val="100"/>
          <w:rtl/>
        </w:rPr>
      </w:pPr>
      <w:r w:rsidRPr="00AA6C5F">
        <w:rPr>
          <w:rFonts w:hint="cs"/>
          <w:w w:val="100"/>
          <w:rtl/>
        </w:rPr>
        <w:t>15 -</w:t>
      </w:r>
      <w:r w:rsidRPr="00AA6C5F">
        <w:rPr>
          <w:rFonts w:hint="cs"/>
          <w:w w:val="100"/>
          <w:rtl/>
        </w:rPr>
        <w:tab/>
        <w:t>يُرجى تقديم معلومات عن التدابير المتخذة لكفالة التنفيذ الفعال لخارطة الطريق للفترة 2015-2019 للحد من الوفيات النفاسية ووفيات المواليد. ويُرجى بيان التدابير المتوخى اتخاذها لمعالجة: (أ) عدم اعتماد مخصصات كافية في الميزانية لقطاع الصحة؛ (ب)</w:t>
      </w:r>
      <w:r w:rsidRPr="00AA6C5F">
        <w:rPr>
          <w:rFonts w:hint="eastAsia"/>
          <w:w w:val="100"/>
          <w:rtl/>
        </w:rPr>
        <w:t> </w:t>
      </w:r>
      <w:r w:rsidRPr="00AA6C5F">
        <w:rPr>
          <w:rFonts w:hint="cs"/>
          <w:w w:val="100"/>
          <w:rtl/>
        </w:rPr>
        <w:t xml:space="preserve">النقص المستمر في </w:t>
      </w:r>
      <w:r w:rsidR="007573D1" w:rsidRPr="00AA6C5F">
        <w:rPr>
          <w:rFonts w:hint="cs"/>
          <w:w w:val="100"/>
          <w:rtl/>
        </w:rPr>
        <w:t>إتاحة</w:t>
      </w:r>
      <w:r w:rsidRPr="00AA6C5F">
        <w:rPr>
          <w:rFonts w:hint="cs"/>
          <w:w w:val="100"/>
          <w:rtl/>
        </w:rPr>
        <w:t xml:space="preserve"> خدمات الرعاية الصحية الأساسية ورعاية التوليد الأساسية، لا سيما بين النساء المقيمات في المناطق الريفية، بما في ذلك بسبب وجود عوائق اجتماعية - ثقافية؛ (ج)</w:t>
      </w:r>
      <w:r w:rsidR="00AA6C5F">
        <w:rPr>
          <w:rFonts w:hint="eastAsia"/>
          <w:w w:val="100"/>
          <w:rtl/>
        </w:rPr>
        <w:t> </w:t>
      </w:r>
      <w:r w:rsidRPr="00AA6C5F">
        <w:rPr>
          <w:rFonts w:hint="cs"/>
          <w:w w:val="100"/>
          <w:rtl/>
        </w:rPr>
        <w:t>ارتفاع معدلات الحمل بين المراهقات؛ (د) حالات الإصابة بالناسور المثاني المهبلي.</w:t>
      </w:r>
    </w:p>
    <w:p w:rsidR="00640548" w:rsidRPr="0027213C" w:rsidRDefault="00640548" w:rsidP="00725BF3">
      <w:pPr>
        <w:pStyle w:val="SingleTxt"/>
        <w:spacing w:line="380" w:lineRule="exact"/>
        <w:rPr>
          <w:rFonts w:hint="cs"/>
          <w:w w:val="100"/>
          <w:rtl/>
        </w:rPr>
      </w:pPr>
      <w:r w:rsidRPr="0027213C">
        <w:rPr>
          <w:rFonts w:hint="cs"/>
          <w:w w:val="100"/>
          <w:rtl/>
        </w:rPr>
        <w:t>16 -</w:t>
      </w:r>
      <w:r w:rsidRPr="0027213C">
        <w:rPr>
          <w:rFonts w:hint="cs"/>
          <w:w w:val="100"/>
          <w:rtl/>
        </w:rPr>
        <w:tab/>
        <w:t xml:space="preserve">يُرجى بيان الإطار الزمني لاعتماد مشروع قانون تنظيم الأسرة وما إذا كان يشمل إتاحة وسائل منع الحمل للمراهقين. ويُرجى توفير معلومات عن التدابير المتوخى اتخاذها لزيادة: (أ) مدى إتاحة </w:t>
      </w:r>
      <w:r w:rsidR="007573D1">
        <w:rPr>
          <w:rFonts w:hint="cs"/>
          <w:w w:val="100"/>
          <w:rtl/>
        </w:rPr>
        <w:t>تثقيف</w:t>
      </w:r>
      <w:r w:rsidRPr="0027213C">
        <w:rPr>
          <w:rFonts w:hint="cs"/>
          <w:w w:val="100"/>
          <w:rtl/>
        </w:rPr>
        <w:t xml:space="preserve"> شامل مناسب للسن بشأن الصحة والحقوق الجنسية والإنجابية وخدمات تنظيم الأسرة</w:t>
      </w:r>
      <w:r w:rsidR="00655DF5">
        <w:rPr>
          <w:rFonts w:hint="cs"/>
          <w:w w:val="100"/>
          <w:rtl/>
        </w:rPr>
        <w:t xml:space="preserve"> وتيسير الحصول عليه</w:t>
      </w:r>
      <w:r w:rsidRPr="0027213C">
        <w:rPr>
          <w:rFonts w:hint="cs"/>
          <w:w w:val="100"/>
          <w:rtl/>
        </w:rPr>
        <w:t xml:space="preserve">؛ (ب) معدل استخدام الوسائل العصرية لمنع الحمل. </w:t>
      </w:r>
      <w:r w:rsidR="00655DF5">
        <w:rPr>
          <w:rFonts w:hint="cs"/>
          <w:w w:val="100"/>
          <w:rtl/>
        </w:rPr>
        <w:t>و</w:t>
      </w:r>
      <w:r w:rsidRPr="0027213C">
        <w:rPr>
          <w:rFonts w:hint="cs"/>
          <w:w w:val="100"/>
          <w:rtl/>
        </w:rPr>
        <w:t>يُرجى بيان ما إذا كان الإجهاض مرخص</w:t>
      </w:r>
      <w:r w:rsidR="00655DF5">
        <w:rPr>
          <w:rFonts w:hint="cs"/>
          <w:w w:val="100"/>
          <w:rtl/>
        </w:rPr>
        <w:t>ا</w:t>
      </w:r>
      <w:r w:rsidRPr="0027213C">
        <w:rPr>
          <w:rFonts w:hint="cs"/>
          <w:w w:val="100"/>
          <w:rtl/>
        </w:rPr>
        <w:t xml:space="preserve"> قانونا في حالات معينة، وإذا ما كان الأمر كذلك يُرجى بيان </w:t>
      </w:r>
      <w:r w:rsidR="0027213C" w:rsidRPr="0027213C">
        <w:rPr>
          <w:rFonts w:hint="cs"/>
          <w:w w:val="100"/>
          <w:rtl/>
        </w:rPr>
        <w:t>ال</w:t>
      </w:r>
      <w:r w:rsidR="007573D1">
        <w:rPr>
          <w:rFonts w:hint="cs"/>
          <w:w w:val="100"/>
          <w:rtl/>
        </w:rPr>
        <w:t>أحكام</w:t>
      </w:r>
      <w:r w:rsidR="0027213C" w:rsidRPr="0027213C">
        <w:rPr>
          <w:rFonts w:hint="cs"/>
          <w:w w:val="100"/>
          <w:rtl/>
        </w:rPr>
        <w:t xml:space="preserve"> القانونية التي تُشير إلى ذلك</w:t>
      </w:r>
      <w:r w:rsidR="007573D1">
        <w:rPr>
          <w:rFonts w:hint="cs"/>
          <w:w w:val="100"/>
          <w:rtl/>
        </w:rPr>
        <w:t>،</w:t>
      </w:r>
      <w:r w:rsidR="0027213C" w:rsidRPr="0027213C">
        <w:rPr>
          <w:rFonts w:hint="cs"/>
          <w:w w:val="100"/>
          <w:rtl/>
        </w:rPr>
        <w:t xml:space="preserve"> وتوفير معلومات عن تنفيذها في الممارسة العملية. ويُرجى توفير بيانات بشأن: (أ) مدى انتشار الإجهاض غير المأمون م</w:t>
      </w:r>
      <w:r w:rsidR="00AA6C5F">
        <w:rPr>
          <w:rFonts w:hint="cs"/>
          <w:w w:val="100"/>
          <w:rtl/>
        </w:rPr>
        <w:t>ُ</w:t>
      </w:r>
      <w:r w:rsidR="007573D1">
        <w:rPr>
          <w:rFonts w:hint="cs"/>
          <w:w w:val="100"/>
          <w:rtl/>
        </w:rPr>
        <w:t>صن</w:t>
      </w:r>
      <w:r w:rsidR="00AA6C5F">
        <w:rPr>
          <w:rFonts w:hint="cs"/>
          <w:w w:val="100"/>
          <w:rtl/>
        </w:rPr>
        <w:t>َّ</w:t>
      </w:r>
      <w:r w:rsidR="007573D1">
        <w:rPr>
          <w:rFonts w:hint="cs"/>
          <w:w w:val="100"/>
          <w:rtl/>
        </w:rPr>
        <w:t>فا</w:t>
      </w:r>
      <w:r w:rsidR="0027213C" w:rsidRPr="0027213C">
        <w:rPr>
          <w:rFonts w:hint="cs"/>
          <w:w w:val="100"/>
          <w:rtl/>
        </w:rPr>
        <w:t xml:space="preserve"> بحسب المنطقة والحالة الاقتصادية للمرأة؛ (ب) عدد ونسبة النساء </w:t>
      </w:r>
      <w:r w:rsidR="007573D1">
        <w:rPr>
          <w:rFonts w:hint="cs"/>
          <w:w w:val="100"/>
          <w:rtl/>
        </w:rPr>
        <w:t>الم</w:t>
      </w:r>
      <w:r w:rsidR="0027213C" w:rsidRPr="0027213C">
        <w:rPr>
          <w:rFonts w:hint="cs"/>
          <w:w w:val="100"/>
          <w:rtl/>
        </w:rPr>
        <w:t>حتجز</w:t>
      </w:r>
      <w:r w:rsidR="007573D1">
        <w:rPr>
          <w:rFonts w:hint="cs"/>
          <w:w w:val="100"/>
          <w:rtl/>
        </w:rPr>
        <w:t>ات</w:t>
      </w:r>
      <w:r w:rsidR="0027213C" w:rsidRPr="0027213C">
        <w:rPr>
          <w:rFonts w:hint="cs"/>
          <w:w w:val="100"/>
          <w:rtl/>
        </w:rPr>
        <w:t xml:space="preserve"> بعد إدانتهن </w:t>
      </w:r>
      <w:r w:rsidR="00CB655C">
        <w:rPr>
          <w:rFonts w:hint="cs"/>
          <w:w w:val="100"/>
          <w:rtl/>
        </w:rPr>
        <w:t xml:space="preserve">بسبب </w:t>
      </w:r>
      <w:r w:rsidR="007573D1">
        <w:rPr>
          <w:rFonts w:hint="cs"/>
          <w:w w:val="100"/>
          <w:rtl/>
        </w:rPr>
        <w:t xml:space="preserve">ارتكابهن </w:t>
      </w:r>
      <w:r w:rsidR="0027213C" w:rsidRPr="0027213C">
        <w:rPr>
          <w:rFonts w:hint="cs"/>
          <w:w w:val="100"/>
          <w:rtl/>
        </w:rPr>
        <w:t>إجهاض</w:t>
      </w:r>
      <w:r w:rsidR="00CB655C">
        <w:rPr>
          <w:rFonts w:hint="cs"/>
          <w:w w:val="100"/>
          <w:rtl/>
        </w:rPr>
        <w:t>ا</w:t>
      </w:r>
      <w:r w:rsidR="0027213C" w:rsidRPr="0027213C">
        <w:rPr>
          <w:rFonts w:hint="cs"/>
          <w:w w:val="100"/>
          <w:rtl/>
        </w:rPr>
        <w:t xml:space="preserve"> غير قانوني. ويُرجى تقديم معلومات عن م</w:t>
      </w:r>
      <w:r w:rsidR="007573D1">
        <w:rPr>
          <w:rFonts w:hint="cs"/>
          <w:w w:val="100"/>
          <w:rtl/>
        </w:rPr>
        <w:t>دى انتشار</w:t>
      </w:r>
      <w:r w:rsidR="00CB655C">
        <w:rPr>
          <w:rFonts w:hint="cs"/>
          <w:w w:val="100"/>
          <w:rtl/>
        </w:rPr>
        <w:t xml:space="preserve"> الإجهاض غير المأمون</w:t>
      </w:r>
      <w:r w:rsidR="0027213C" w:rsidRPr="0027213C">
        <w:rPr>
          <w:rFonts w:hint="cs"/>
          <w:w w:val="100"/>
          <w:rtl/>
        </w:rPr>
        <w:t xml:space="preserve"> وأثره على صحة المرأة، بما في ذلك معدلات الوفيات النفاسية.</w:t>
      </w:r>
    </w:p>
    <w:p w:rsidR="00E803FC" w:rsidRDefault="00E803FC" w:rsidP="00725BF3">
      <w:pPr>
        <w:pStyle w:val="SingleTxt"/>
        <w:spacing w:line="380" w:lineRule="exact"/>
        <w:rPr>
          <w:rFonts w:hint="cs"/>
          <w:rtl/>
        </w:rPr>
      </w:pPr>
      <w:r>
        <w:rPr>
          <w:rFonts w:hint="cs"/>
          <w:rtl/>
        </w:rPr>
        <w:t>17 -</w:t>
      </w:r>
      <w:r>
        <w:rPr>
          <w:rFonts w:hint="cs"/>
          <w:rtl/>
        </w:rPr>
        <w:tab/>
        <w:t>يُرجى بيان التدابير المتخذة ل</w:t>
      </w:r>
      <w:r w:rsidR="007573D1">
        <w:rPr>
          <w:rFonts w:hint="cs"/>
          <w:rtl/>
        </w:rPr>
        <w:t>لتصدي</w:t>
      </w:r>
      <w:r>
        <w:rPr>
          <w:rFonts w:hint="cs"/>
          <w:rtl/>
        </w:rPr>
        <w:t xml:space="preserve"> </w:t>
      </w:r>
      <w:r w:rsidR="007573D1">
        <w:rPr>
          <w:rFonts w:hint="cs"/>
          <w:rtl/>
        </w:rPr>
        <w:t>ل</w:t>
      </w:r>
      <w:r>
        <w:rPr>
          <w:rFonts w:hint="cs"/>
          <w:rtl/>
        </w:rPr>
        <w:t xml:space="preserve">لتمييز المقيم ضد النساء المصابات بفيروس نقص المناعة البشرية/الإيدز </w:t>
      </w:r>
      <w:r w:rsidR="007573D1">
        <w:rPr>
          <w:rFonts w:hint="cs"/>
          <w:rtl/>
        </w:rPr>
        <w:t>ووصمهن</w:t>
      </w:r>
      <w:r w:rsidR="00CB655C">
        <w:rPr>
          <w:rFonts w:hint="cs"/>
          <w:rtl/>
        </w:rPr>
        <w:t>،</w:t>
      </w:r>
      <w:r w:rsidR="007573D1">
        <w:rPr>
          <w:rFonts w:hint="cs"/>
          <w:rtl/>
        </w:rPr>
        <w:t xml:space="preserve"> ول</w:t>
      </w:r>
      <w:r>
        <w:rPr>
          <w:rFonts w:hint="cs"/>
          <w:rtl/>
        </w:rPr>
        <w:t>لوقاية من انتقال فيروس نقص المناعة البشرية/الإيدز من الأم إلى الطفل.</w:t>
      </w:r>
    </w:p>
    <w:p w:rsidR="001760DB" w:rsidRPr="00F74223" w:rsidRDefault="001760DB" w:rsidP="00725BF3">
      <w:pPr>
        <w:pStyle w:val="SingleTxt"/>
        <w:spacing w:after="0" w:line="120" w:lineRule="exact"/>
        <w:rPr>
          <w:rFonts w:hint="cs"/>
          <w:sz w:val="12"/>
          <w:rtl/>
        </w:rPr>
      </w:pPr>
    </w:p>
    <w:p w:rsidR="00E803FC" w:rsidRDefault="00E803FC"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التمكين الاقتصادي للمرأة</w:t>
      </w:r>
      <w:r w:rsidR="007573D1">
        <w:rPr>
          <w:rFonts w:hint="cs"/>
          <w:rtl/>
        </w:rPr>
        <w:t>،</w:t>
      </w:r>
      <w:r>
        <w:rPr>
          <w:rFonts w:hint="cs"/>
          <w:rtl/>
        </w:rPr>
        <w:t xml:space="preserve"> والمرأة الريفية</w:t>
      </w:r>
      <w:r w:rsidR="007573D1">
        <w:rPr>
          <w:rFonts w:hint="cs"/>
          <w:rtl/>
        </w:rPr>
        <w:t>،</w:t>
      </w:r>
      <w:r>
        <w:rPr>
          <w:rFonts w:hint="cs"/>
          <w:rtl/>
        </w:rPr>
        <w:t xml:space="preserve"> وتغير المناخ</w:t>
      </w:r>
    </w:p>
    <w:p w:rsidR="0027213C" w:rsidRDefault="00E803FC" w:rsidP="00725BF3">
      <w:pPr>
        <w:pStyle w:val="SingleTxt"/>
        <w:spacing w:line="380" w:lineRule="exact"/>
        <w:rPr>
          <w:rFonts w:hint="cs"/>
          <w:rtl/>
        </w:rPr>
      </w:pPr>
      <w:r>
        <w:rPr>
          <w:rFonts w:hint="cs"/>
          <w:rtl/>
        </w:rPr>
        <w:t>18 -</w:t>
      </w:r>
      <w:r>
        <w:rPr>
          <w:rFonts w:hint="cs"/>
          <w:rtl/>
        </w:rPr>
        <w:tab/>
        <w:t>يُرجى بيان التدابير المتخذة لتخفيف وطأة الفقر في المناطق الحضرية والريفية وتعزيز مشاركة المرأة الريفية في وضع السياسات في المجالات التي تؤثر عليها</w:t>
      </w:r>
      <w:r w:rsidR="007573D1">
        <w:rPr>
          <w:rFonts w:hint="cs"/>
          <w:rtl/>
        </w:rPr>
        <w:t>، بما في ذلك الحصول على الأراضي</w:t>
      </w:r>
      <w:r>
        <w:rPr>
          <w:rFonts w:hint="cs"/>
          <w:rtl/>
        </w:rPr>
        <w:t xml:space="preserve"> والمدخلات الزراعية والمحاصيل الغذائية. ويُرجى بيان التدابير المتخذة والمتوخى اتخاذها من أجل التنفيذ الفعلي لل</w:t>
      </w:r>
      <w:r w:rsidR="007573D1">
        <w:rPr>
          <w:rFonts w:hint="cs"/>
          <w:rtl/>
        </w:rPr>
        <w:t>أحكام</w:t>
      </w:r>
      <w:r>
        <w:rPr>
          <w:rFonts w:hint="cs"/>
          <w:rtl/>
        </w:rPr>
        <w:t xml:space="preserve"> القانونية التي تكفل عدم التمييز ضد المرأة فيما يتعلق بملكية الأراضي وإدارة الممتلكات والميراث. ويُرجى بيان التدابير المتخذة لإدراج الحد من </w:t>
      </w:r>
      <w:r w:rsidR="007573D1">
        <w:rPr>
          <w:rFonts w:hint="cs"/>
          <w:rtl/>
        </w:rPr>
        <w:t>أ</w:t>
      </w:r>
      <w:r>
        <w:rPr>
          <w:rFonts w:hint="cs"/>
          <w:rtl/>
        </w:rPr>
        <w:t>خط</w:t>
      </w:r>
      <w:r w:rsidR="007573D1">
        <w:rPr>
          <w:rFonts w:hint="cs"/>
          <w:rtl/>
        </w:rPr>
        <w:t>ا</w:t>
      </w:r>
      <w:r>
        <w:rPr>
          <w:rFonts w:hint="cs"/>
          <w:rtl/>
        </w:rPr>
        <w:t>ر الكوارث ضمن العمليات الإنمائية وللتصدي لل</w:t>
      </w:r>
      <w:r w:rsidR="007573D1">
        <w:rPr>
          <w:rFonts w:hint="cs"/>
          <w:rtl/>
        </w:rPr>
        <w:t>أثر</w:t>
      </w:r>
      <w:r>
        <w:rPr>
          <w:rFonts w:hint="cs"/>
          <w:rtl/>
        </w:rPr>
        <w:t xml:space="preserve"> الضار لتغير المناخ. ويُرجى بيان ما</w:t>
      </w:r>
      <w:r w:rsidR="007837A0">
        <w:rPr>
          <w:rFonts w:hint="eastAsia"/>
          <w:rtl/>
        </w:rPr>
        <w:t> </w:t>
      </w:r>
      <w:r>
        <w:rPr>
          <w:rFonts w:hint="cs"/>
          <w:rtl/>
        </w:rPr>
        <w:t xml:space="preserve">إذا كانت الدولة الطرف تتوخى إدراج منظور جنساني في </w:t>
      </w:r>
      <w:r w:rsidR="007573D1">
        <w:rPr>
          <w:rFonts w:hint="cs"/>
          <w:rtl/>
        </w:rPr>
        <w:t>ال</w:t>
      </w:r>
      <w:r>
        <w:rPr>
          <w:rFonts w:hint="cs"/>
          <w:rtl/>
        </w:rPr>
        <w:t>إدارة الوطنية للكوارث وفي استراتيجيات الإغاثة والتعافي.</w:t>
      </w:r>
    </w:p>
    <w:p w:rsidR="00856B3F" w:rsidRPr="00856B3F" w:rsidRDefault="00856B3F" w:rsidP="00856B3F">
      <w:pPr>
        <w:pStyle w:val="SingleTxt"/>
        <w:spacing w:after="0" w:line="120" w:lineRule="exact"/>
        <w:rPr>
          <w:rFonts w:hint="cs"/>
          <w:rtl/>
        </w:rPr>
      </w:pPr>
    </w:p>
    <w:p w:rsidR="00E803FC" w:rsidRDefault="00E803FC"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الفئات المحرومة من النساء</w:t>
      </w:r>
    </w:p>
    <w:p w:rsidR="00E803FC" w:rsidRPr="008A7376" w:rsidRDefault="00E803FC" w:rsidP="00856B3F">
      <w:pPr>
        <w:pStyle w:val="SingleTxt"/>
        <w:rPr>
          <w:rFonts w:hint="cs"/>
          <w:rtl/>
        </w:rPr>
      </w:pPr>
      <w:r>
        <w:rPr>
          <w:rFonts w:hint="cs"/>
          <w:rtl/>
        </w:rPr>
        <w:t>19 -</w:t>
      </w:r>
      <w:r>
        <w:rPr>
          <w:rFonts w:hint="cs"/>
          <w:rtl/>
        </w:rPr>
        <w:tab/>
      </w:r>
      <w:r w:rsidRPr="008A7376">
        <w:rPr>
          <w:rFonts w:hint="cs"/>
          <w:rtl/>
        </w:rPr>
        <w:t>ي</w:t>
      </w:r>
      <w:r w:rsidR="00161188" w:rsidRPr="008A7376">
        <w:rPr>
          <w:rFonts w:hint="cs"/>
          <w:rtl/>
        </w:rPr>
        <w:t>ُ</w:t>
      </w:r>
      <w:r w:rsidRPr="008A7376">
        <w:rPr>
          <w:rFonts w:hint="cs"/>
          <w:rtl/>
        </w:rPr>
        <w:t>رج</w:t>
      </w:r>
      <w:r w:rsidR="00161188" w:rsidRPr="008A7376">
        <w:rPr>
          <w:rFonts w:hint="cs"/>
          <w:rtl/>
        </w:rPr>
        <w:t xml:space="preserve">ى بيان الإطار الزمني لاعتماد وتنفيذ مشروع القانون المتعلق بحماية النساء المسنات والتدابير المتخذة والمتوخى اتخاذها لمكافحة التمييز ضد النساء ذوات الإعاقة وحمايتهن من العنف الجنسي. ويُرجى توفير بيانات عن التدابير المتخذة والمتوخى اتخاذها لكفالة حصول </w:t>
      </w:r>
      <w:r w:rsidR="008A7376">
        <w:rPr>
          <w:rFonts w:hint="cs"/>
          <w:rtl/>
        </w:rPr>
        <w:t>ا</w:t>
      </w:r>
      <w:r w:rsidR="00161188" w:rsidRPr="008A7376">
        <w:rPr>
          <w:rFonts w:hint="cs"/>
          <w:rtl/>
        </w:rPr>
        <w:t>لفئات المحرومة من النساء</w:t>
      </w:r>
      <w:r w:rsidR="008A7376">
        <w:rPr>
          <w:rFonts w:hint="cs"/>
          <w:rtl/>
        </w:rPr>
        <w:t>،</w:t>
      </w:r>
      <w:r w:rsidR="00161188" w:rsidRPr="008A7376">
        <w:rPr>
          <w:rFonts w:hint="cs"/>
          <w:rtl/>
        </w:rPr>
        <w:t xml:space="preserve"> بمن فيهن النساء الفقيرات والريفيات وذوات الإعاقة</w:t>
      </w:r>
      <w:r w:rsidR="00CB655C">
        <w:rPr>
          <w:rFonts w:hint="cs"/>
          <w:rtl/>
        </w:rPr>
        <w:t>،</w:t>
      </w:r>
      <w:r w:rsidR="008A7376">
        <w:rPr>
          <w:rFonts w:hint="cs"/>
          <w:rtl/>
        </w:rPr>
        <w:t xml:space="preserve"> بشكل فعال</w:t>
      </w:r>
      <w:r w:rsidR="00161188" w:rsidRPr="008A7376">
        <w:rPr>
          <w:rFonts w:hint="cs"/>
          <w:rtl/>
        </w:rPr>
        <w:t>، على خدمات الرعاية الصحية والتعليم والمياه والمرافق الصحية والغذاء والإسكان والأنشطة المدرة للدخل. ويُرجى بيان عدد النساء المحتجزات، وتوضيح ما إذا كن يُفصلن دائما عن المحتجزين</w:t>
      </w:r>
      <w:r w:rsidR="008A7376">
        <w:rPr>
          <w:rFonts w:hint="cs"/>
          <w:rtl/>
        </w:rPr>
        <w:t xml:space="preserve"> الذكور</w:t>
      </w:r>
      <w:r w:rsidR="00161188" w:rsidRPr="008A7376">
        <w:rPr>
          <w:rFonts w:hint="cs"/>
          <w:rtl/>
        </w:rPr>
        <w:t>، وما إذا كانت الفتيات يُفصلن عن النساء البالغات</w:t>
      </w:r>
      <w:r w:rsidR="008A7376">
        <w:rPr>
          <w:rFonts w:hint="cs"/>
          <w:rtl/>
        </w:rPr>
        <w:t>،</w:t>
      </w:r>
      <w:r w:rsidR="00161188" w:rsidRPr="008A7376">
        <w:rPr>
          <w:rFonts w:hint="cs"/>
          <w:rtl/>
        </w:rPr>
        <w:t xml:space="preserve"> وما</w:t>
      </w:r>
      <w:r w:rsidR="00856B3F">
        <w:rPr>
          <w:rFonts w:hint="eastAsia"/>
          <w:rtl/>
        </w:rPr>
        <w:t> </w:t>
      </w:r>
      <w:r w:rsidR="00161188" w:rsidRPr="008A7376">
        <w:rPr>
          <w:rFonts w:hint="cs"/>
          <w:rtl/>
        </w:rPr>
        <w:t>إذا كانت النساء المدانات يُفصلن عن النساء المحتجزات على ذمة المحاكمة، وبيان</w:t>
      </w:r>
      <w:r w:rsidR="00856B3F">
        <w:rPr>
          <w:rtl/>
        </w:rPr>
        <w:br/>
      </w:r>
      <w:r w:rsidR="00161188" w:rsidRPr="008A7376">
        <w:rPr>
          <w:rFonts w:hint="cs"/>
          <w:rtl/>
        </w:rPr>
        <w:t>ما إذا كن ي</w:t>
      </w:r>
      <w:r w:rsidR="007837A0">
        <w:rPr>
          <w:rFonts w:hint="cs"/>
          <w:rtl/>
        </w:rPr>
        <w:t>ُ</w:t>
      </w:r>
      <w:r w:rsidR="008A7376">
        <w:rPr>
          <w:rFonts w:hint="cs"/>
          <w:rtl/>
        </w:rPr>
        <w:t>عاملن</w:t>
      </w:r>
      <w:r w:rsidR="00161188" w:rsidRPr="008A7376">
        <w:rPr>
          <w:rFonts w:hint="cs"/>
          <w:rtl/>
        </w:rPr>
        <w:t xml:space="preserve"> معاملة تتفق مع قواعد الأمم المتحدة لمعاملة السجينات والتدابير غير الاحتجازية للمجرمات (قواعد بانكوك).</w:t>
      </w:r>
    </w:p>
    <w:p w:rsidR="00161188" w:rsidRPr="00725BF3" w:rsidRDefault="00161188" w:rsidP="00725BF3">
      <w:pPr>
        <w:pStyle w:val="SingleTxt"/>
        <w:spacing w:after="0" w:line="120" w:lineRule="exact"/>
        <w:rPr>
          <w:rFonts w:hint="cs"/>
          <w:sz w:val="12"/>
          <w:rtl/>
        </w:rPr>
      </w:pPr>
    </w:p>
    <w:p w:rsidR="00161188" w:rsidRDefault="00161188"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1760DB" w:rsidRDefault="00161188" w:rsidP="008A7376">
      <w:pPr>
        <w:pStyle w:val="SingleTxt"/>
        <w:rPr>
          <w:rFonts w:hint="cs"/>
          <w:rtl/>
        </w:rPr>
      </w:pPr>
      <w:r>
        <w:rPr>
          <w:rFonts w:hint="cs"/>
          <w:rtl/>
        </w:rPr>
        <w:t>20 -</w:t>
      </w:r>
      <w:r>
        <w:rPr>
          <w:rFonts w:hint="cs"/>
          <w:rtl/>
        </w:rPr>
        <w:tab/>
        <w:t xml:space="preserve">يُرجى بيان التدابير المتخذة والمتوخى اتخاذها لنشر القانون رقم 2007-022 المؤرخ 20 آب/أغسطس 2007 بشأن </w:t>
      </w:r>
      <w:r w:rsidR="008A7376">
        <w:rPr>
          <w:rFonts w:hint="cs"/>
          <w:rtl/>
        </w:rPr>
        <w:t>ال</w:t>
      </w:r>
      <w:r>
        <w:rPr>
          <w:rFonts w:hint="cs"/>
          <w:rtl/>
        </w:rPr>
        <w:t>زواج ونظم الزواج، بما في ذلك الأحكام القانونية التي ترفع سن الزواج إلى سن 18 سنة (الفقرة 121)، وكفالة التنفيذ التام لذلك القانون. ويُرجى تقديم تفاصيل عن الأحكام القانونية المتصلة بتقسيم الممتلكات عند الطلاق (المرجع نفسه) والحقوق في الميراث (الفقرة 70) وبيان التدابير المتخذة والمتوخى اتخاذها لنشر هذه الأحكام وكفالة التنفيذ الفعال لها. ويُرجى بيان ما إذا كانت جميع الز</w:t>
      </w:r>
      <w:r w:rsidR="008A7376">
        <w:rPr>
          <w:rFonts w:hint="cs"/>
          <w:rtl/>
        </w:rPr>
        <w:t>ي</w:t>
      </w:r>
      <w:r>
        <w:rPr>
          <w:rFonts w:hint="cs"/>
          <w:rtl/>
        </w:rPr>
        <w:t>ج</w:t>
      </w:r>
      <w:r w:rsidR="008A7376">
        <w:rPr>
          <w:rFonts w:hint="cs"/>
          <w:rtl/>
        </w:rPr>
        <w:t>ات</w:t>
      </w:r>
      <w:r>
        <w:rPr>
          <w:rFonts w:hint="cs"/>
          <w:rtl/>
        </w:rPr>
        <w:t xml:space="preserve"> التقليدي</w:t>
      </w:r>
      <w:r w:rsidR="008A7376">
        <w:rPr>
          <w:rFonts w:hint="cs"/>
          <w:rtl/>
        </w:rPr>
        <w:t>ة</w:t>
      </w:r>
      <w:r>
        <w:rPr>
          <w:rFonts w:hint="cs"/>
          <w:rtl/>
        </w:rPr>
        <w:t xml:space="preserve"> </w:t>
      </w:r>
      <w:r w:rsidR="008A7376">
        <w:rPr>
          <w:rFonts w:hint="cs"/>
          <w:rtl/>
        </w:rPr>
        <w:t xml:space="preserve">قد </w:t>
      </w:r>
      <w:r>
        <w:rPr>
          <w:rFonts w:hint="cs"/>
          <w:rtl/>
        </w:rPr>
        <w:t>س</w:t>
      </w:r>
      <w:r w:rsidR="007837A0">
        <w:rPr>
          <w:rFonts w:hint="cs"/>
          <w:rtl/>
        </w:rPr>
        <w:t>ُ</w:t>
      </w:r>
      <w:r>
        <w:rPr>
          <w:rFonts w:hint="cs"/>
          <w:rtl/>
        </w:rPr>
        <w:t>جل</w:t>
      </w:r>
      <w:r w:rsidR="008A7376">
        <w:rPr>
          <w:rFonts w:hint="cs"/>
          <w:rtl/>
        </w:rPr>
        <w:t>ت</w:t>
      </w:r>
      <w:r>
        <w:rPr>
          <w:rFonts w:hint="cs"/>
          <w:rtl/>
        </w:rPr>
        <w:t xml:space="preserve"> </w:t>
      </w:r>
      <w:r w:rsidR="008A7376">
        <w:rPr>
          <w:rFonts w:hint="cs"/>
          <w:rtl/>
        </w:rPr>
        <w:t xml:space="preserve">أمام </w:t>
      </w:r>
      <w:r>
        <w:rPr>
          <w:rFonts w:hint="cs"/>
          <w:rtl/>
        </w:rPr>
        <w:t xml:space="preserve">المسجل وتوضيح ما إذا كان هذا التسجيل </w:t>
      </w:r>
      <w:r w:rsidR="008A7376">
        <w:rPr>
          <w:rFonts w:hint="cs"/>
          <w:rtl/>
        </w:rPr>
        <w:t xml:space="preserve">يعني </w:t>
      </w:r>
      <w:r>
        <w:rPr>
          <w:rFonts w:hint="cs"/>
          <w:rtl/>
        </w:rPr>
        <w:t>امتثالها لجميع أحكام القانون رقم 2007-022. ويُرجى بيان ما إذا كانت الدولة الطرف تتوخى تنقيح المادة 54 من القانون، التي يُعرَّف فيها الزوج بأنه رب الأسرة، بغية موا</w:t>
      </w:r>
      <w:r w:rsidR="001760DB">
        <w:rPr>
          <w:rFonts w:hint="cs"/>
          <w:rtl/>
        </w:rPr>
        <w:t>ء</w:t>
      </w:r>
      <w:r>
        <w:rPr>
          <w:rFonts w:hint="cs"/>
          <w:rtl/>
        </w:rPr>
        <w:t>مة القانون مع الدستور</w:t>
      </w:r>
      <w:r w:rsidR="001760DB">
        <w:rPr>
          <w:rFonts w:hint="cs"/>
          <w:rtl/>
        </w:rPr>
        <w:t xml:space="preserve"> والات</w:t>
      </w:r>
      <w:r>
        <w:rPr>
          <w:rFonts w:hint="cs"/>
          <w:rtl/>
        </w:rPr>
        <w:t>ف</w:t>
      </w:r>
      <w:r w:rsidR="001760DB">
        <w:rPr>
          <w:rFonts w:hint="cs"/>
          <w:rtl/>
        </w:rPr>
        <w:t>اقية. ويُرجى أيضا بيان ما إذا كانت الدول</w:t>
      </w:r>
      <w:r w:rsidR="007837A0">
        <w:rPr>
          <w:rFonts w:hint="cs"/>
          <w:rtl/>
        </w:rPr>
        <w:t>ة</w:t>
      </w:r>
      <w:r w:rsidR="001760DB">
        <w:rPr>
          <w:rFonts w:hint="cs"/>
          <w:rtl/>
        </w:rPr>
        <w:t xml:space="preserve"> الطرف تتوخى اتخاذ تدابير للتغلب على العقبات التي تعترض تنفيذ القانون الذي يحظر تعدد الزوجات.</w:t>
      </w:r>
    </w:p>
    <w:p w:rsidR="000A6975" w:rsidRPr="00725BF3" w:rsidRDefault="000A6975"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1760DB" w:rsidRDefault="001760DB" w:rsidP="00725B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w:t>
      </w:r>
      <w:r w:rsidR="008A7376">
        <w:rPr>
          <w:rFonts w:hint="cs"/>
          <w:rtl/>
        </w:rPr>
        <w:t xml:space="preserve"> الملحق با</w:t>
      </w:r>
      <w:r>
        <w:rPr>
          <w:rFonts w:hint="cs"/>
          <w:rtl/>
        </w:rPr>
        <w:t>لاتفاقية</w:t>
      </w:r>
    </w:p>
    <w:p w:rsidR="00161188" w:rsidRPr="007837A0" w:rsidRDefault="001760DB" w:rsidP="007837A0">
      <w:pPr>
        <w:pStyle w:val="SingleTxt"/>
        <w:rPr>
          <w:rFonts w:hint="cs"/>
          <w:w w:val="100"/>
          <w:rtl/>
        </w:rPr>
      </w:pPr>
      <w:r w:rsidRPr="007837A0">
        <w:rPr>
          <w:rFonts w:hint="cs"/>
          <w:w w:val="100"/>
          <w:rtl/>
        </w:rPr>
        <w:t>21 -</w:t>
      </w:r>
      <w:r w:rsidRPr="007837A0">
        <w:rPr>
          <w:rFonts w:hint="cs"/>
          <w:w w:val="100"/>
          <w:rtl/>
        </w:rPr>
        <w:tab/>
        <w:t xml:space="preserve">يُرجى بيان </w:t>
      </w:r>
      <w:r w:rsidR="008A7376" w:rsidRPr="007837A0">
        <w:rPr>
          <w:rFonts w:hint="cs"/>
          <w:w w:val="100"/>
          <w:rtl/>
        </w:rPr>
        <w:t xml:space="preserve">أي </w:t>
      </w:r>
      <w:r w:rsidRPr="007837A0">
        <w:rPr>
          <w:rFonts w:hint="cs"/>
          <w:w w:val="100"/>
          <w:rtl/>
        </w:rPr>
        <w:t xml:space="preserve">تقدم </w:t>
      </w:r>
      <w:r w:rsidR="008A7376" w:rsidRPr="007837A0">
        <w:rPr>
          <w:rFonts w:hint="cs"/>
          <w:w w:val="100"/>
          <w:rtl/>
        </w:rPr>
        <w:t>أ</w:t>
      </w:r>
      <w:r w:rsidRPr="007837A0">
        <w:rPr>
          <w:rFonts w:hint="cs"/>
          <w:w w:val="100"/>
          <w:rtl/>
        </w:rPr>
        <w:t xml:space="preserve">حرز فيما يتعلق بالتصديق على البروتوكول الاختياري </w:t>
      </w:r>
      <w:r w:rsidR="008A7376" w:rsidRPr="007837A0">
        <w:rPr>
          <w:rFonts w:hint="cs"/>
          <w:w w:val="100"/>
          <w:rtl/>
        </w:rPr>
        <w:t>الملحق</w:t>
      </w:r>
      <w:r w:rsidR="007837A0">
        <w:rPr>
          <w:rFonts w:hint="eastAsia"/>
          <w:w w:val="100"/>
          <w:rtl/>
        </w:rPr>
        <w:t> </w:t>
      </w:r>
      <w:r w:rsidR="008A7376" w:rsidRPr="007837A0">
        <w:rPr>
          <w:rFonts w:hint="cs"/>
          <w:w w:val="100"/>
          <w:rtl/>
        </w:rPr>
        <w:t>با</w:t>
      </w:r>
      <w:r w:rsidRPr="007837A0">
        <w:rPr>
          <w:rFonts w:hint="cs"/>
          <w:w w:val="100"/>
          <w:rtl/>
        </w:rPr>
        <w:t>لاتفاقية.</w:t>
      </w:r>
    </w:p>
    <w:p w:rsidR="001760DB" w:rsidRPr="001760DB" w:rsidRDefault="001760DB" w:rsidP="00725BF3">
      <w:pPr>
        <w:pStyle w:val="SingleTxt"/>
        <w:spacing w:after="0" w:line="240" w:lineRule="auto"/>
        <w:rPr>
          <w:rFonts w:hint="cs"/>
          <w:rtl/>
        </w:rPr>
      </w:pPr>
      <w:r>
        <w:rPr>
          <w:rFonts w:hint="cs"/>
          <w:noProof/>
          <w:w w:val="100"/>
          <w:rtl/>
        </w:rPr>
        <w:pict>
          <v:line id="_x0000_s1027" style="position:absolute;left:0;text-align:left;z-index:1" from="206.6pt,24pt" to="278.6pt,24pt" strokeweight=".25pt"/>
        </w:pict>
      </w:r>
    </w:p>
    <w:sectPr w:rsidR="001760DB" w:rsidRPr="001760DB" w:rsidSect="00CD6EF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09:36:00Z" w:initials="Start">
    <w:p w:rsidR="00856B3F" w:rsidRDefault="007837A0" w:rsidP="00856B3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856B3F">
        <w:rPr>
          <w:rtl/>
        </w:rPr>
        <w:t>&lt;&lt;</w:t>
      </w:r>
      <w:r w:rsidR="00856B3F">
        <w:t>ODS JOB NO&gt;&gt;N1507123</w:t>
      </w:r>
      <w:r w:rsidR="00FF4EF8">
        <w:t>A</w:t>
      </w:r>
      <w:r w:rsidR="00856B3F">
        <w:t>&lt;&lt;ODS JOB NO</w:t>
      </w:r>
      <w:r w:rsidR="00856B3F">
        <w:rPr>
          <w:rtl/>
        </w:rPr>
        <w:t>&gt;&gt;</w:t>
      </w:r>
    </w:p>
    <w:p w:rsidR="00856B3F" w:rsidRDefault="00856B3F" w:rsidP="00856B3F">
      <w:pPr>
        <w:pStyle w:val="CommentText"/>
        <w:rPr>
          <w:rtl/>
        </w:rPr>
      </w:pPr>
      <w:r>
        <w:rPr>
          <w:rtl/>
        </w:rPr>
        <w:t>&lt;&lt;</w:t>
      </w:r>
      <w:r>
        <w:t>ODS DOC SYMBOL1&gt;&gt;CEDAW/C/MDG/Q/6-7&lt;&lt;ODS DOC SYMBOL1</w:t>
      </w:r>
      <w:r>
        <w:rPr>
          <w:rtl/>
        </w:rPr>
        <w:t>&gt;&gt;</w:t>
      </w:r>
    </w:p>
    <w:p w:rsidR="00856B3F" w:rsidRDefault="00856B3F" w:rsidP="00856B3F">
      <w:pPr>
        <w:pStyle w:val="CommentText"/>
        <w:rPr>
          <w:rtl/>
        </w:rPr>
      </w:pPr>
      <w:r>
        <w:rPr>
          <w:rtl/>
        </w:rPr>
        <w:t>&lt;&lt;</w:t>
      </w:r>
      <w:r>
        <w:t>ODS DOC SYMBOL2&gt;&gt;&lt;&lt;ODS DOC SYMBOL2</w:t>
      </w:r>
      <w:r>
        <w:rPr>
          <w:rtl/>
        </w:rPr>
        <w:t>&gt;&gt;</w:t>
      </w:r>
    </w:p>
    <w:p w:rsidR="007837A0" w:rsidRDefault="007837A0" w:rsidP="00856B3F">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EF8" w:rsidRDefault="00FF4EF8">
      <w:r>
        <w:separator/>
      </w:r>
    </w:p>
  </w:endnote>
  <w:endnote w:type="continuationSeparator" w:id="0">
    <w:p w:rsidR="00FF4EF8" w:rsidRDefault="00FF4E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837A0" w:rsidTr="00CD6EF1">
      <w:tblPrEx>
        <w:tblCellMar>
          <w:top w:w="0" w:type="dxa"/>
          <w:bottom w:w="0" w:type="dxa"/>
        </w:tblCellMar>
      </w:tblPrEx>
      <w:tc>
        <w:tcPr>
          <w:tcW w:w="5033" w:type="dxa"/>
          <w:shd w:val="clear" w:color="auto" w:fill="auto"/>
        </w:tcPr>
        <w:p w:rsidR="007837A0" w:rsidRPr="00CD6EF1" w:rsidRDefault="007837A0" w:rsidP="00CD6E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A4527">
            <w:rPr>
              <w:w w:val="103"/>
            </w:rPr>
            <w:t>6</w:t>
          </w:r>
          <w:r>
            <w:rPr>
              <w:w w:val="103"/>
            </w:rPr>
            <w:fldChar w:fldCharType="end"/>
          </w:r>
          <w:r>
            <w:rPr>
              <w:w w:val="103"/>
            </w:rPr>
            <w:t>/</w:t>
          </w:r>
          <w:fldSimple w:instr=" NUMPAGES  \* Arabic  \* MERGEFORMAT ">
            <w:r w:rsidR="00FA4527">
              <w:rPr>
                <w:w w:val="103"/>
              </w:rPr>
              <w:t>6</w:t>
            </w:r>
          </w:fldSimple>
        </w:p>
      </w:tc>
      <w:tc>
        <w:tcPr>
          <w:tcW w:w="5033" w:type="dxa"/>
          <w:shd w:val="clear" w:color="auto" w:fill="auto"/>
        </w:tcPr>
        <w:p w:rsidR="007837A0" w:rsidRPr="00CD6EF1" w:rsidRDefault="00FA4527" w:rsidP="00CD6EF1">
          <w:pPr>
            <w:pStyle w:val="Footer"/>
            <w:rPr>
              <w:b w:val="0"/>
              <w:w w:val="103"/>
            </w:rPr>
          </w:pPr>
          <w:fldSimple w:instr=" DOCVARIABLE &quot;footerjn&quot; \* MERGEFORMAT ">
            <w:r>
              <w:rPr>
                <w:b w:val="0"/>
                <w:w w:val="103"/>
              </w:rPr>
              <w:t>15-04035</w:t>
            </w:r>
          </w:fldSimple>
        </w:p>
      </w:tc>
    </w:tr>
  </w:tbl>
  <w:p w:rsidR="007837A0" w:rsidRPr="00CD6EF1" w:rsidRDefault="007837A0" w:rsidP="00CD6E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837A0" w:rsidTr="00CD6EF1">
      <w:tblPrEx>
        <w:tblCellMar>
          <w:top w:w="0" w:type="dxa"/>
          <w:bottom w:w="0" w:type="dxa"/>
        </w:tblCellMar>
      </w:tblPrEx>
      <w:tc>
        <w:tcPr>
          <w:tcW w:w="5033" w:type="dxa"/>
          <w:shd w:val="clear" w:color="auto" w:fill="auto"/>
        </w:tcPr>
        <w:p w:rsidR="007837A0" w:rsidRPr="00CD6EF1" w:rsidRDefault="00FA4527" w:rsidP="00CD6EF1">
          <w:pPr>
            <w:pStyle w:val="Footer"/>
            <w:jc w:val="right"/>
            <w:rPr>
              <w:b w:val="0"/>
              <w:w w:val="103"/>
            </w:rPr>
          </w:pPr>
          <w:fldSimple w:instr=" DOCVARIABLE &quot;footerjn&quot; \* MERGEFORMAT ">
            <w:r>
              <w:rPr>
                <w:b w:val="0"/>
                <w:w w:val="103"/>
              </w:rPr>
              <w:t>15-04035</w:t>
            </w:r>
          </w:fldSimple>
        </w:p>
      </w:tc>
      <w:tc>
        <w:tcPr>
          <w:tcW w:w="5033" w:type="dxa"/>
          <w:shd w:val="clear" w:color="auto" w:fill="auto"/>
        </w:tcPr>
        <w:p w:rsidR="007837A0" w:rsidRPr="00CD6EF1" w:rsidRDefault="007837A0" w:rsidP="00CD6EF1">
          <w:pPr>
            <w:pStyle w:val="Footer"/>
            <w:rPr>
              <w:w w:val="103"/>
            </w:rPr>
          </w:pPr>
          <w:r>
            <w:rPr>
              <w:w w:val="103"/>
            </w:rPr>
            <w:fldChar w:fldCharType="begin"/>
          </w:r>
          <w:r>
            <w:rPr>
              <w:w w:val="103"/>
            </w:rPr>
            <w:instrText xml:space="preserve"> PAGE  \* Arabic  \* MERGEFORMAT </w:instrText>
          </w:r>
          <w:r>
            <w:rPr>
              <w:w w:val="103"/>
            </w:rPr>
            <w:fldChar w:fldCharType="separate"/>
          </w:r>
          <w:r w:rsidR="00FA4527">
            <w:rPr>
              <w:w w:val="103"/>
            </w:rPr>
            <w:t>5</w:t>
          </w:r>
          <w:r>
            <w:rPr>
              <w:w w:val="103"/>
            </w:rPr>
            <w:fldChar w:fldCharType="end"/>
          </w:r>
          <w:r>
            <w:rPr>
              <w:w w:val="103"/>
            </w:rPr>
            <w:t>/</w:t>
          </w:r>
          <w:fldSimple w:instr=" NUMPAGES  \* Arabic  \* MERGEFORMAT ">
            <w:r w:rsidR="00FA4527">
              <w:rPr>
                <w:w w:val="103"/>
              </w:rPr>
              <w:t>5</w:t>
            </w:r>
          </w:fldSimple>
        </w:p>
      </w:tc>
    </w:tr>
  </w:tbl>
  <w:p w:rsidR="007837A0" w:rsidRPr="00CD6EF1" w:rsidRDefault="007837A0" w:rsidP="00CD6EF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837A0" w:rsidTr="00D76DA6">
      <w:tblPrEx>
        <w:tblCellMar>
          <w:top w:w="0" w:type="dxa"/>
          <w:bottom w:w="0" w:type="dxa"/>
        </w:tblCellMar>
      </w:tblPrEx>
      <w:trPr>
        <w:jc w:val="right"/>
      </w:trPr>
      <w:tc>
        <w:tcPr>
          <w:tcW w:w="3744" w:type="dxa"/>
        </w:tcPr>
        <w:p w:rsidR="007837A0" w:rsidRDefault="007837A0" w:rsidP="00CD6EF1">
          <w:pPr>
            <w:pStyle w:val="Footer"/>
            <w:spacing w:line="240" w:lineRule="atLeast"/>
            <w:rPr>
              <w:rFonts w:cs="Times New Roman"/>
              <w:b w:val="0"/>
              <w:w w:val="103"/>
              <w:sz w:val="20"/>
            </w:rPr>
          </w:pPr>
          <w:r w:rsidRPr="00CD6EF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837A0" w:rsidRDefault="00001C72" w:rsidP="00001C72">
          <w:pPr>
            <w:pStyle w:val="Footer"/>
            <w:jc w:val="right"/>
            <w:rPr>
              <w:rFonts w:cs="Times New Roman"/>
              <w:b w:val="0"/>
              <w:w w:val="103"/>
              <w:sz w:val="20"/>
            </w:rPr>
          </w:pPr>
          <w:r>
            <w:rPr>
              <w:rFonts w:cs="Times New Roman"/>
              <w:b w:val="0"/>
              <w:w w:val="103"/>
              <w:sz w:val="20"/>
            </w:rPr>
            <w:t xml:space="preserve">300315    240315    </w:t>
          </w:r>
          <w:r w:rsidR="00856B3F">
            <w:rPr>
              <w:rFonts w:cs="Times New Roman"/>
              <w:b w:val="0"/>
              <w:w w:val="103"/>
              <w:sz w:val="20"/>
            </w:rPr>
            <w:t>15-04035X (A)</w:t>
          </w:r>
        </w:p>
        <w:p w:rsidR="007837A0" w:rsidRPr="00FA4527" w:rsidRDefault="00FA4527" w:rsidP="00FA452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*1504035*</w:t>
          </w:r>
        </w:p>
      </w:tc>
    </w:tr>
  </w:tbl>
  <w:p w:rsidR="007837A0" w:rsidRPr="00CD6EF1" w:rsidRDefault="007837A0" w:rsidP="00CD6EF1">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EF8" w:rsidRPr="00856B3F" w:rsidRDefault="00FF4EF8" w:rsidP="00856B3F">
      <w:pPr>
        <w:pStyle w:val="Footer"/>
        <w:bidi/>
        <w:spacing w:after="80"/>
        <w:ind w:left="792"/>
        <w:rPr>
          <w:sz w:val="16"/>
        </w:rPr>
      </w:pPr>
      <w:r w:rsidRPr="00856B3F">
        <w:rPr>
          <w:sz w:val="16"/>
          <w:rtl/>
        </w:rPr>
        <w:t>__________</w:t>
      </w:r>
    </w:p>
  </w:footnote>
  <w:footnote w:type="continuationSeparator" w:id="0">
    <w:p w:rsidR="00FF4EF8" w:rsidRPr="00856B3F" w:rsidRDefault="00FF4EF8" w:rsidP="00856B3F">
      <w:pPr>
        <w:pStyle w:val="Footer"/>
        <w:bidi/>
        <w:spacing w:after="80"/>
        <w:ind w:left="792"/>
        <w:rPr>
          <w:sz w:val="16"/>
        </w:rPr>
      </w:pPr>
      <w:r w:rsidRPr="00856B3F">
        <w:rPr>
          <w:sz w:val="16"/>
          <w:rtl/>
        </w:rPr>
        <w:t>__________</w:t>
      </w:r>
    </w:p>
  </w:footnote>
  <w:footnote w:id="1">
    <w:p w:rsidR="007837A0" w:rsidRDefault="007837A0" w:rsidP="009D092F">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t>CEDAW/C/62/1</w:t>
      </w:r>
      <w:r>
        <w:rPr>
          <w:rFonts w:hint="cs"/>
          <w:rtl/>
        </w:rPr>
        <w:t>.</w:t>
      </w:r>
    </w:p>
    <w:p w:rsidR="007837A0" w:rsidRPr="009D092F" w:rsidRDefault="007837A0" w:rsidP="00922CE0">
      <w:pPr>
        <w:pStyle w:val="FootnoteText"/>
        <w:tabs>
          <w:tab w:val="clear" w:pos="418"/>
          <w:tab w:val="right" w:pos="1195"/>
          <w:tab w:val="left" w:pos="1267"/>
          <w:tab w:val="left" w:pos="1656"/>
          <w:tab w:val="left" w:pos="2088"/>
        </w:tabs>
        <w:spacing w:after="80"/>
        <w:ind w:left="1267" w:right="1267" w:hanging="547"/>
        <w:rPr>
          <w:rFonts w:hint="cs"/>
          <w:w w:val="103"/>
          <w:sz w:val="30"/>
          <w:szCs w:val="30"/>
          <w:rtl/>
        </w:rPr>
      </w:pPr>
      <w:r>
        <w:rPr>
          <w:rtl/>
        </w:rPr>
        <w:tab/>
      </w:r>
      <w:r w:rsidRPr="009D092F">
        <w:rPr>
          <w:w w:val="103"/>
          <w:rtl/>
        </w:rPr>
        <w:t>(</w:t>
      </w:r>
      <w:r w:rsidRPr="009D092F">
        <w:rPr>
          <w:rStyle w:val="FootnoteReference"/>
          <w:spacing w:val="0"/>
          <w:w w:val="103"/>
          <w:vertAlign w:val="baseline"/>
          <w:rtl/>
        </w:rPr>
        <w:footnoteRef/>
      </w:r>
      <w:r w:rsidRPr="009D092F">
        <w:rPr>
          <w:w w:val="103"/>
          <w:rtl/>
        </w:rPr>
        <w:t>)</w:t>
      </w:r>
      <w:r w:rsidRPr="009D092F">
        <w:rPr>
          <w:w w:val="103"/>
          <w:rtl/>
        </w:rPr>
        <w:tab/>
      </w:r>
      <w:r w:rsidRPr="009D092F">
        <w:rPr>
          <w:rFonts w:hint="cs"/>
          <w:rtl/>
        </w:rPr>
        <w:t>تُشير أرقام الفقرات إلى التقرير الجامع للتقريرين الدوريين السادس والسابع لمدغشقر</w:t>
      </w:r>
      <w:r>
        <w:rPr>
          <w:rFonts w:hint="cs"/>
          <w:w w:val="103"/>
          <w:sz w:val="30"/>
          <w:szCs w:val="30"/>
          <w:rtl/>
        </w:rPr>
        <w:t xml:space="preserve"> </w:t>
      </w:r>
      <w:r>
        <w:t>CEDAW/C/MDG/6-7)</w:t>
      </w:r>
      <w:r>
        <w:rPr>
          <w:rFonts w:hint="cs"/>
          <w:rtl/>
        </w:rPr>
        <w:t>)، ما لم يُذكر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837A0" w:rsidTr="00CD6EF1">
      <w:tblPrEx>
        <w:tblCellMar>
          <w:top w:w="0" w:type="dxa"/>
          <w:bottom w:w="0" w:type="dxa"/>
        </w:tblCellMar>
      </w:tblPrEx>
      <w:trPr>
        <w:trHeight w:hRule="exact" w:val="864"/>
        <w:jc w:val="center"/>
      </w:trPr>
      <w:tc>
        <w:tcPr>
          <w:tcW w:w="4925" w:type="dxa"/>
          <w:shd w:val="clear" w:color="auto" w:fill="auto"/>
          <w:vAlign w:val="bottom"/>
        </w:tcPr>
        <w:p w:rsidR="007837A0" w:rsidRDefault="007837A0" w:rsidP="00CD6EF1">
          <w:pPr>
            <w:pStyle w:val="Header"/>
            <w:bidi/>
            <w:jc w:val="right"/>
          </w:pPr>
        </w:p>
      </w:tc>
      <w:tc>
        <w:tcPr>
          <w:tcW w:w="4925" w:type="dxa"/>
          <w:shd w:val="clear" w:color="auto" w:fill="auto"/>
          <w:vAlign w:val="bottom"/>
        </w:tcPr>
        <w:p w:rsidR="007837A0" w:rsidRPr="00CD6EF1" w:rsidRDefault="00FA4527" w:rsidP="00CD6EF1">
          <w:pPr>
            <w:pStyle w:val="Header"/>
            <w:spacing w:after="80"/>
            <w:jc w:val="right"/>
            <w:rPr>
              <w:w w:val="103"/>
            </w:rPr>
          </w:pPr>
          <w:fldSimple w:instr=" DOCVARIABLE &quot;sss1&quot; \* MERGEFORMAT ">
            <w:r>
              <w:rPr>
                <w:w w:val="103"/>
              </w:rPr>
              <w:t>CEDAW/C/MDG/Q/6-7</w:t>
            </w:r>
          </w:fldSimple>
        </w:p>
      </w:tc>
    </w:tr>
  </w:tbl>
  <w:p w:rsidR="007837A0" w:rsidRPr="00CD6EF1" w:rsidRDefault="007837A0" w:rsidP="00CD6E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837A0" w:rsidTr="00CD6EF1">
      <w:tblPrEx>
        <w:tblCellMar>
          <w:top w:w="0" w:type="dxa"/>
          <w:bottom w:w="0" w:type="dxa"/>
        </w:tblCellMar>
      </w:tblPrEx>
      <w:trPr>
        <w:trHeight w:hRule="exact" w:val="864"/>
        <w:jc w:val="center"/>
      </w:trPr>
      <w:tc>
        <w:tcPr>
          <w:tcW w:w="4925" w:type="dxa"/>
          <w:shd w:val="clear" w:color="auto" w:fill="auto"/>
          <w:vAlign w:val="bottom"/>
        </w:tcPr>
        <w:p w:rsidR="007837A0" w:rsidRPr="00CD6EF1" w:rsidRDefault="00FA4527" w:rsidP="00CD6EF1">
          <w:pPr>
            <w:pStyle w:val="Header"/>
            <w:spacing w:after="80"/>
            <w:rPr>
              <w:w w:val="103"/>
            </w:rPr>
          </w:pPr>
          <w:fldSimple w:instr=" DOCVARIABLE &quot;sss1&quot; \* MERGEFORMAT ">
            <w:r>
              <w:rPr>
                <w:w w:val="103"/>
              </w:rPr>
              <w:t>CEDAW/C/MDG/Q/6-7</w:t>
            </w:r>
          </w:fldSimple>
        </w:p>
      </w:tc>
      <w:tc>
        <w:tcPr>
          <w:tcW w:w="4925" w:type="dxa"/>
          <w:shd w:val="clear" w:color="auto" w:fill="auto"/>
          <w:vAlign w:val="bottom"/>
        </w:tcPr>
        <w:p w:rsidR="007837A0" w:rsidRDefault="007837A0" w:rsidP="00CD6EF1">
          <w:pPr>
            <w:pStyle w:val="Header"/>
          </w:pPr>
        </w:p>
      </w:tc>
    </w:tr>
  </w:tbl>
  <w:p w:rsidR="007837A0" w:rsidRPr="00CD6EF1" w:rsidRDefault="007837A0" w:rsidP="00CD6EF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837A0" w:rsidTr="00CD6EF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837A0" w:rsidRDefault="007837A0" w:rsidP="00CD6EF1">
          <w:pPr>
            <w:pStyle w:val="Header"/>
            <w:spacing w:after="120"/>
          </w:pPr>
        </w:p>
      </w:tc>
      <w:tc>
        <w:tcPr>
          <w:tcW w:w="1786" w:type="dxa"/>
          <w:tcBorders>
            <w:bottom w:val="single" w:sz="4" w:space="0" w:color="auto"/>
          </w:tcBorders>
          <w:shd w:val="clear" w:color="auto" w:fill="auto"/>
          <w:vAlign w:val="bottom"/>
        </w:tcPr>
        <w:p w:rsidR="007837A0" w:rsidRPr="00CD6EF1" w:rsidRDefault="007837A0" w:rsidP="00CD6EF1">
          <w:pPr>
            <w:pStyle w:val="HCh"/>
            <w:spacing w:after="80"/>
            <w:ind w:left="14"/>
            <w:jc w:val="left"/>
            <w:rPr>
              <w:bCs w:val="0"/>
              <w:spacing w:val="2"/>
              <w:w w:val="96"/>
            </w:rPr>
          </w:pPr>
          <w:r>
            <w:rPr>
              <w:rFonts w:hint="cs"/>
              <w:bCs w:val="0"/>
              <w:spacing w:val="2"/>
              <w:w w:val="96"/>
              <w:rtl/>
            </w:rPr>
            <w:t>الأمم المتحدة</w:t>
          </w:r>
        </w:p>
      </w:tc>
      <w:tc>
        <w:tcPr>
          <w:tcW w:w="245" w:type="dxa"/>
          <w:tcBorders>
            <w:bottom w:val="single" w:sz="4" w:space="0" w:color="auto"/>
          </w:tcBorders>
          <w:shd w:val="clear" w:color="auto" w:fill="auto"/>
          <w:vAlign w:val="bottom"/>
        </w:tcPr>
        <w:p w:rsidR="007837A0" w:rsidRDefault="007837A0" w:rsidP="00CD6EF1">
          <w:pPr>
            <w:pStyle w:val="Header"/>
            <w:spacing w:after="120"/>
          </w:pPr>
        </w:p>
      </w:tc>
      <w:tc>
        <w:tcPr>
          <w:tcW w:w="6523" w:type="dxa"/>
          <w:gridSpan w:val="3"/>
          <w:tcBorders>
            <w:bottom w:val="single" w:sz="4" w:space="0" w:color="auto"/>
          </w:tcBorders>
          <w:shd w:val="clear" w:color="auto" w:fill="auto"/>
          <w:vAlign w:val="bottom"/>
        </w:tcPr>
        <w:p w:rsidR="007837A0" w:rsidRPr="00CD6EF1" w:rsidRDefault="007837A0" w:rsidP="00CD6EF1">
          <w:pPr>
            <w:spacing w:line="380" w:lineRule="exact"/>
            <w:jc w:val="right"/>
          </w:pPr>
          <w:r>
            <w:rPr>
              <w:sz w:val="40"/>
            </w:rPr>
            <w:t>CEDAW</w:t>
          </w:r>
          <w:r>
            <w:t>/C/MDG/Q/6-7</w:t>
          </w:r>
        </w:p>
      </w:tc>
    </w:tr>
    <w:tr w:rsidR="007837A0" w:rsidRPr="00CD6EF1" w:rsidTr="00CD6EF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837A0" w:rsidRDefault="007837A0" w:rsidP="00CD6EF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37A0" w:rsidRPr="00CD6EF1" w:rsidRDefault="007837A0" w:rsidP="00CD6EF1">
          <w:pPr>
            <w:pStyle w:val="Header"/>
            <w:spacing w:before="109"/>
            <w:jc w:val="right"/>
          </w:pPr>
        </w:p>
      </w:tc>
      <w:tc>
        <w:tcPr>
          <w:tcW w:w="5227" w:type="dxa"/>
          <w:gridSpan w:val="3"/>
          <w:tcBorders>
            <w:top w:val="single" w:sz="4" w:space="0" w:color="auto"/>
            <w:bottom w:val="single" w:sz="12" w:space="0" w:color="auto"/>
          </w:tcBorders>
          <w:shd w:val="clear" w:color="auto" w:fill="auto"/>
        </w:tcPr>
        <w:p w:rsidR="007837A0" w:rsidRPr="00CD6EF1" w:rsidRDefault="007837A0" w:rsidP="00CD6EF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837A0" w:rsidRPr="00CD6EF1" w:rsidRDefault="007837A0" w:rsidP="00CD6EF1">
          <w:pPr>
            <w:pStyle w:val="Header"/>
            <w:spacing w:before="109"/>
          </w:pPr>
        </w:p>
      </w:tc>
      <w:tc>
        <w:tcPr>
          <w:tcW w:w="3100" w:type="dxa"/>
          <w:gridSpan w:val="2"/>
          <w:tcBorders>
            <w:top w:val="single" w:sz="4" w:space="0" w:color="auto"/>
            <w:bottom w:val="single" w:sz="12" w:space="0" w:color="auto"/>
          </w:tcBorders>
          <w:shd w:val="clear" w:color="auto" w:fill="auto"/>
        </w:tcPr>
        <w:p w:rsidR="007837A0" w:rsidRDefault="007837A0" w:rsidP="00CD6EF1">
          <w:pPr>
            <w:bidi w:val="0"/>
            <w:spacing w:before="240" w:line="240" w:lineRule="exact"/>
          </w:pPr>
          <w:r>
            <w:t>Distr.: General</w:t>
          </w:r>
        </w:p>
        <w:p w:rsidR="007837A0" w:rsidRDefault="007837A0" w:rsidP="00CD6EF1">
          <w:pPr>
            <w:bidi w:val="0"/>
            <w:spacing w:line="240" w:lineRule="exact"/>
            <w:jc w:val="left"/>
          </w:pPr>
          <w:r>
            <w:t>16 March 2015</w:t>
          </w:r>
        </w:p>
        <w:p w:rsidR="007837A0" w:rsidRDefault="007837A0" w:rsidP="00CD6EF1">
          <w:pPr>
            <w:bidi w:val="0"/>
            <w:spacing w:line="240" w:lineRule="exact"/>
            <w:jc w:val="left"/>
          </w:pPr>
          <w:r>
            <w:t>Arabic</w:t>
          </w:r>
        </w:p>
        <w:p w:rsidR="007837A0" w:rsidRPr="00CD6EF1" w:rsidRDefault="007837A0" w:rsidP="00CD6EF1">
          <w:pPr>
            <w:bidi w:val="0"/>
            <w:spacing w:line="240" w:lineRule="exact"/>
            <w:jc w:val="left"/>
          </w:pPr>
          <w:r>
            <w:t>Original: English</w:t>
          </w:r>
        </w:p>
      </w:tc>
    </w:tr>
  </w:tbl>
  <w:p w:rsidR="007837A0" w:rsidRPr="00CD6EF1" w:rsidRDefault="007837A0" w:rsidP="00CD6EF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revisionView w:markup="0"/>
  <w:trackRevisions/>
  <w:doNotTrackMoves/>
  <w:doNotTrackFormatting/>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3/22/2015 03:54 PM"/>
    <w:docVar w:name="DocCategory" w:val="Doc"/>
    <w:docVar w:name="DocType" w:val="Final"/>
    <w:docVar w:name="FooterJN" w:val="15-04035"/>
    <w:docVar w:name="Jobn" w:val="15-04035 (A)"/>
    <w:docVar w:name="jobnDT" w:val="15-04035 (A)   220315"/>
    <w:docVar w:name="jobnDTDT" w:val="15-04035 (A)   220315   220315"/>
    <w:docVar w:name="JobNo" w:val="1504035A"/>
    <w:docVar w:name="OandT" w:val="عزت ناصف"/>
    <w:docVar w:name="sss1" w:val="CEDAW/C/MDG/Q/6-7"/>
    <w:docVar w:name="Symbol1" w:val="CEDAW/C/MDG/Q/6-7"/>
  </w:docVars>
  <w:rsids>
    <w:rsidRoot w:val="00AE5039"/>
    <w:rsid w:val="00001C72"/>
    <w:rsid w:val="000170D3"/>
    <w:rsid w:val="00017137"/>
    <w:rsid w:val="000311C9"/>
    <w:rsid w:val="00042425"/>
    <w:rsid w:val="00044087"/>
    <w:rsid w:val="00047F6A"/>
    <w:rsid w:val="0006648F"/>
    <w:rsid w:val="00087310"/>
    <w:rsid w:val="0009732C"/>
    <w:rsid w:val="000A6975"/>
    <w:rsid w:val="000C4EED"/>
    <w:rsid w:val="000D2CEC"/>
    <w:rsid w:val="00101EE8"/>
    <w:rsid w:val="001044AC"/>
    <w:rsid w:val="00113349"/>
    <w:rsid w:val="0012522B"/>
    <w:rsid w:val="001342F9"/>
    <w:rsid w:val="001519A9"/>
    <w:rsid w:val="001568A8"/>
    <w:rsid w:val="00161188"/>
    <w:rsid w:val="00165F18"/>
    <w:rsid w:val="001737F8"/>
    <w:rsid w:val="001760DB"/>
    <w:rsid w:val="001775EA"/>
    <w:rsid w:val="0018030C"/>
    <w:rsid w:val="00187870"/>
    <w:rsid w:val="00196CD9"/>
    <w:rsid w:val="001B2394"/>
    <w:rsid w:val="001B71CC"/>
    <w:rsid w:val="001E5A5A"/>
    <w:rsid w:val="001E5A7A"/>
    <w:rsid w:val="001F6786"/>
    <w:rsid w:val="002168B7"/>
    <w:rsid w:val="00236A29"/>
    <w:rsid w:val="002416C5"/>
    <w:rsid w:val="0025002E"/>
    <w:rsid w:val="00252D19"/>
    <w:rsid w:val="00266F59"/>
    <w:rsid w:val="0027213C"/>
    <w:rsid w:val="00272B6C"/>
    <w:rsid w:val="0027623A"/>
    <w:rsid w:val="00285DDF"/>
    <w:rsid w:val="00290F2F"/>
    <w:rsid w:val="002937DA"/>
    <w:rsid w:val="00296C60"/>
    <w:rsid w:val="002A09C6"/>
    <w:rsid w:val="002B14AE"/>
    <w:rsid w:val="002C2AF2"/>
    <w:rsid w:val="002C4E1B"/>
    <w:rsid w:val="002D5089"/>
    <w:rsid w:val="002D58BC"/>
    <w:rsid w:val="002E1490"/>
    <w:rsid w:val="002F0573"/>
    <w:rsid w:val="00312162"/>
    <w:rsid w:val="003501D5"/>
    <w:rsid w:val="003676A8"/>
    <w:rsid w:val="00371AC4"/>
    <w:rsid w:val="00376CFA"/>
    <w:rsid w:val="00383A67"/>
    <w:rsid w:val="00383CA8"/>
    <w:rsid w:val="00386BA9"/>
    <w:rsid w:val="003A65ED"/>
    <w:rsid w:val="003D4612"/>
    <w:rsid w:val="003E26D7"/>
    <w:rsid w:val="003E61A1"/>
    <w:rsid w:val="003F4B8C"/>
    <w:rsid w:val="003F6A40"/>
    <w:rsid w:val="00401BDF"/>
    <w:rsid w:val="00411BBD"/>
    <w:rsid w:val="00415922"/>
    <w:rsid w:val="00423BD7"/>
    <w:rsid w:val="0042757D"/>
    <w:rsid w:val="00437C14"/>
    <w:rsid w:val="00451F50"/>
    <w:rsid w:val="004527C9"/>
    <w:rsid w:val="00453069"/>
    <w:rsid w:val="00472F64"/>
    <w:rsid w:val="0048330E"/>
    <w:rsid w:val="00483F5B"/>
    <w:rsid w:val="00490874"/>
    <w:rsid w:val="00494EE2"/>
    <w:rsid w:val="00496E83"/>
    <w:rsid w:val="004A2886"/>
    <w:rsid w:val="004B14A0"/>
    <w:rsid w:val="004B1CBB"/>
    <w:rsid w:val="004D1B0C"/>
    <w:rsid w:val="004F0D2B"/>
    <w:rsid w:val="004F1402"/>
    <w:rsid w:val="004F75CD"/>
    <w:rsid w:val="0050659B"/>
    <w:rsid w:val="00516A1A"/>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40548"/>
    <w:rsid w:val="00655DF5"/>
    <w:rsid w:val="006564CE"/>
    <w:rsid w:val="00663F64"/>
    <w:rsid w:val="00692B46"/>
    <w:rsid w:val="00696B7A"/>
    <w:rsid w:val="006A1A15"/>
    <w:rsid w:val="006A1E4E"/>
    <w:rsid w:val="006C38EE"/>
    <w:rsid w:val="006E6DD5"/>
    <w:rsid w:val="006E7E51"/>
    <w:rsid w:val="00700F06"/>
    <w:rsid w:val="0071531E"/>
    <w:rsid w:val="0071645B"/>
    <w:rsid w:val="00716E9D"/>
    <w:rsid w:val="00717793"/>
    <w:rsid w:val="007235CA"/>
    <w:rsid w:val="00725BF3"/>
    <w:rsid w:val="00747B9E"/>
    <w:rsid w:val="007524BE"/>
    <w:rsid w:val="007525FA"/>
    <w:rsid w:val="007573D1"/>
    <w:rsid w:val="00770CF8"/>
    <w:rsid w:val="0077455D"/>
    <w:rsid w:val="00774FF0"/>
    <w:rsid w:val="007837A0"/>
    <w:rsid w:val="0079046D"/>
    <w:rsid w:val="0079753A"/>
    <w:rsid w:val="007A296C"/>
    <w:rsid w:val="007A4244"/>
    <w:rsid w:val="007A6C4E"/>
    <w:rsid w:val="007A6DD9"/>
    <w:rsid w:val="007B03DD"/>
    <w:rsid w:val="007B32B7"/>
    <w:rsid w:val="007C4F55"/>
    <w:rsid w:val="007D60E0"/>
    <w:rsid w:val="007D6B8D"/>
    <w:rsid w:val="007E32B9"/>
    <w:rsid w:val="0081284F"/>
    <w:rsid w:val="00814843"/>
    <w:rsid w:val="008170DE"/>
    <w:rsid w:val="00824819"/>
    <w:rsid w:val="00830E32"/>
    <w:rsid w:val="00845A14"/>
    <w:rsid w:val="0085331D"/>
    <w:rsid w:val="00853F0F"/>
    <w:rsid w:val="00856B3F"/>
    <w:rsid w:val="00871E9B"/>
    <w:rsid w:val="00873A11"/>
    <w:rsid w:val="00873AF9"/>
    <w:rsid w:val="0088317F"/>
    <w:rsid w:val="00894823"/>
    <w:rsid w:val="008A3FCA"/>
    <w:rsid w:val="008A7376"/>
    <w:rsid w:val="008D1C04"/>
    <w:rsid w:val="008F04A0"/>
    <w:rsid w:val="008F419C"/>
    <w:rsid w:val="008F4A6B"/>
    <w:rsid w:val="008F64A7"/>
    <w:rsid w:val="008F7A39"/>
    <w:rsid w:val="0090012B"/>
    <w:rsid w:val="0090351F"/>
    <w:rsid w:val="00922CE0"/>
    <w:rsid w:val="00964FA8"/>
    <w:rsid w:val="00970BAD"/>
    <w:rsid w:val="009768D1"/>
    <w:rsid w:val="00981E99"/>
    <w:rsid w:val="009829B7"/>
    <w:rsid w:val="009927C0"/>
    <w:rsid w:val="009961E6"/>
    <w:rsid w:val="009B6C65"/>
    <w:rsid w:val="009B752D"/>
    <w:rsid w:val="009C0017"/>
    <w:rsid w:val="009C15F4"/>
    <w:rsid w:val="009D092F"/>
    <w:rsid w:val="009D62A3"/>
    <w:rsid w:val="009E2A1F"/>
    <w:rsid w:val="009E5241"/>
    <w:rsid w:val="009F231F"/>
    <w:rsid w:val="009F5698"/>
    <w:rsid w:val="00A37C4B"/>
    <w:rsid w:val="00A47282"/>
    <w:rsid w:val="00A56F63"/>
    <w:rsid w:val="00A66F66"/>
    <w:rsid w:val="00A71AE5"/>
    <w:rsid w:val="00A77F16"/>
    <w:rsid w:val="00A90909"/>
    <w:rsid w:val="00A94BF2"/>
    <w:rsid w:val="00AA1E16"/>
    <w:rsid w:val="00AA6C5F"/>
    <w:rsid w:val="00AC002C"/>
    <w:rsid w:val="00AC2EE0"/>
    <w:rsid w:val="00AC2FAE"/>
    <w:rsid w:val="00AC6CDD"/>
    <w:rsid w:val="00AD1F15"/>
    <w:rsid w:val="00AD38D0"/>
    <w:rsid w:val="00AE108C"/>
    <w:rsid w:val="00AE3F6F"/>
    <w:rsid w:val="00AE5039"/>
    <w:rsid w:val="00AE5AE2"/>
    <w:rsid w:val="00AF1A53"/>
    <w:rsid w:val="00AF7AC7"/>
    <w:rsid w:val="00B00DFB"/>
    <w:rsid w:val="00B034A3"/>
    <w:rsid w:val="00B05ADC"/>
    <w:rsid w:val="00B15CF5"/>
    <w:rsid w:val="00B272BE"/>
    <w:rsid w:val="00B45C82"/>
    <w:rsid w:val="00B5784C"/>
    <w:rsid w:val="00B9542C"/>
    <w:rsid w:val="00B95560"/>
    <w:rsid w:val="00BA7FAB"/>
    <w:rsid w:val="00BC2F4C"/>
    <w:rsid w:val="00BC4A05"/>
    <w:rsid w:val="00BC567D"/>
    <w:rsid w:val="00BF0B15"/>
    <w:rsid w:val="00C12CBB"/>
    <w:rsid w:val="00C25A2D"/>
    <w:rsid w:val="00C260F8"/>
    <w:rsid w:val="00C344CE"/>
    <w:rsid w:val="00C43FBE"/>
    <w:rsid w:val="00C449C6"/>
    <w:rsid w:val="00C500EC"/>
    <w:rsid w:val="00C564B0"/>
    <w:rsid w:val="00C6283F"/>
    <w:rsid w:val="00C71487"/>
    <w:rsid w:val="00C814A5"/>
    <w:rsid w:val="00C84B2B"/>
    <w:rsid w:val="00C855F6"/>
    <w:rsid w:val="00C96573"/>
    <w:rsid w:val="00CA4791"/>
    <w:rsid w:val="00CB655C"/>
    <w:rsid w:val="00CD0BB8"/>
    <w:rsid w:val="00CD3849"/>
    <w:rsid w:val="00CD6EF1"/>
    <w:rsid w:val="00CF7384"/>
    <w:rsid w:val="00D2343D"/>
    <w:rsid w:val="00D30EAE"/>
    <w:rsid w:val="00D318F1"/>
    <w:rsid w:val="00D40B0E"/>
    <w:rsid w:val="00D42644"/>
    <w:rsid w:val="00D44FE0"/>
    <w:rsid w:val="00D47636"/>
    <w:rsid w:val="00D54DD2"/>
    <w:rsid w:val="00D66413"/>
    <w:rsid w:val="00D76DA6"/>
    <w:rsid w:val="00DA66B7"/>
    <w:rsid w:val="00DB0865"/>
    <w:rsid w:val="00DB26B5"/>
    <w:rsid w:val="00DB5495"/>
    <w:rsid w:val="00DB7206"/>
    <w:rsid w:val="00DC5C1E"/>
    <w:rsid w:val="00DE5433"/>
    <w:rsid w:val="00DE68A7"/>
    <w:rsid w:val="00DF5A43"/>
    <w:rsid w:val="00DF5F38"/>
    <w:rsid w:val="00E14575"/>
    <w:rsid w:val="00E23336"/>
    <w:rsid w:val="00E31661"/>
    <w:rsid w:val="00E32B52"/>
    <w:rsid w:val="00E35D91"/>
    <w:rsid w:val="00E3652F"/>
    <w:rsid w:val="00E47EB8"/>
    <w:rsid w:val="00E704FD"/>
    <w:rsid w:val="00E750E1"/>
    <w:rsid w:val="00E7795A"/>
    <w:rsid w:val="00E803FC"/>
    <w:rsid w:val="00E9114A"/>
    <w:rsid w:val="00EA0D5B"/>
    <w:rsid w:val="00EA3948"/>
    <w:rsid w:val="00EA489C"/>
    <w:rsid w:val="00EA7B59"/>
    <w:rsid w:val="00EB0CA7"/>
    <w:rsid w:val="00EB4992"/>
    <w:rsid w:val="00EF2E52"/>
    <w:rsid w:val="00F031FB"/>
    <w:rsid w:val="00F06EBD"/>
    <w:rsid w:val="00F07879"/>
    <w:rsid w:val="00F32E4A"/>
    <w:rsid w:val="00F36D8C"/>
    <w:rsid w:val="00F46F85"/>
    <w:rsid w:val="00F5035E"/>
    <w:rsid w:val="00F52525"/>
    <w:rsid w:val="00F53AB7"/>
    <w:rsid w:val="00F74223"/>
    <w:rsid w:val="00F92119"/>
    <w:rsid w:val="00F93545"/>
    <w:rsid w:val="00F96FBA"/>
    <w:rsid w:val="00FA4527"/>
    <w:rsid w:val="00FB14D9"/>
    <w:rsid w:val="00FB4E06"/>
    <w:rsid w:val="00FC3483"/>
    <w:rsid w:val="00FC4D68"/>
    <w:rsid w:val="00FD2ADA"/>
    <w:rsid w:val="00FF4E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D6EF1"/>
    <w:rPr>
      <w:szCs w:val="20"/>
    </w:rPr>
  </w:style>
  <w:style w:type="paragraph" w:styleId="CommentSubject">
    <w:name w:val="annotation subject"/>
    <w:basedOn w:val="CommentText"/>
    <w:next w:val="CommentText"/>
    <w:semiHidden/>
    <w:rsid w:val="00CD6EF1"/>
    <w:rPr>
      <w:b/>
      <w:bCs/>
    </w:rPr>
  </w:style>
  <w:style w:type="paragraph" w:styleId="Revision">
    <w:name w:val="Revision"/>
    <w:hidden/>
    <w:uiPriority w:val="99"/>
    <w:semiHidden/>
    <w:rsid w:val="00F74223"/>
    <w:rPr>
      <w:w w:val="103"/>
      <w:kern w:val="14"/>
      <w:szCs w:val="30"/>
      <w:lang w:eastAsia="zh-CN"/>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6</Pages>
  <Words>1713</Words>
  <Characters>9389</Characters>
  <Application>Microsoft Office Outlook</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cp:lastModifiedBy>Moustapha Gebai</cp:lastModifiedBy>
  <cp:revision>12</cp:revision>
  <cp:lastPrinted>2015-03-27T14:15:00Z</cp:lastPrinted>
  <dcterms:created xsi:type="dcterms:W3CDTF">2015-03-27T08:23:00Z</dcterms:created>
  <dcterms:modified xsi:type="dcterms:W3CDTF">2015-03-30T07:36:00Z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1504035A</vt:lpwstr>
  </property>
  <property fmtid="{D5CDD505-2E9C-101B-9397-08002B2CF9AE}" pid="4" name="ODSRefJobNo">
    <vt:lpwstr>1507123A</vt:lpwstr>
  </property>
  <property fmtid="{D5CDD505-2E9C-101B-9397-08002B2CF9AE}" pid="5" name="Symbol1">
    <vt:lpwstr>CEDAW/C/MDG/Q/6-7</vt:lpwstr>
  </property>
  <property fmtid="{D5CDD505-2E9C-101B-9397-08002B2CF9AE}" pid="6" name="sss1">
    <vt:lpwstr>CEDAW/C/MDG/Q/6-7</vt:lpwstr>
  </property>
  <property fmtid="{D5CDD505-2E9C-101B-9397-08002B2CF9AE}" pid="7" name="Symbol2">
    <vt:lpwstr/>
  </property>
  <property fmtid="{D5CDD505-2E9C-101B-9397-08002B2CF9AE}" pid="8" name="sss2">
    <vt:lpwstr/>
  </property>
  <property fmtid="{D5CDD505-2E9C-101B-9397-08002B2CF9AE}" pid="9" name="Comment">
    <vt:lpwstr>للاصدار</vt:lpwstr>
  </property>
  <property fmtid="{D5CDD505-2E9C-101B-9397-08002B2CF9AE}" pid="10" name="DraftPages">
    <vt:lpwstr> </vt:lpwstr>
  </property>
  <property fmtid="{D5CDD505-2E9C-101B-9397-08002B2CF9AE}" pid="11" name="Operator">
    <vt:lpwstr>رندة</vt:lpwstr>
  </property>
</Properties>
</file>