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B8E9E3C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02F7A04" w14:textId="77777777" w:rsidR="002D5AAC" w:rsidRDefault="002D5AAC" w:rsidP="004D77A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868C658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68DDE1C" w14:textId="385D1703" w:rsidR="002D5AAC" w:rsidRDefault="004D77A9" w:rsidP="004D77A9">
            <w:pPr>
              <w:jc w:val="right"/>
            </w:pPr>
            <w:r w:rsidRPr="004D77A9">
              <w:rPr>
                <w:sz w:val="40"/>
              </w:rPr>
              <w:t>CERD</w:t>
            </w:r>
            <w:r>
              <w:t>/C/GAB/CO/10</w:t>
            </w:r>
          </w:p>
        </w:tc>
      </w:tr>
      <w:tr w:rsidR="002D5AAC" w:rsidRPr="006C31B2" w14:paraId="2D779E9B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5910E7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2DA0D78" wp14:editId="7243746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8EA5518" w14:textId="77777777" w:rsidR="002D5AAC" w:rsidRPr="00033EE1" w:rsidRDefault="002B74B1" w:rsidP="00DF6F2D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F3F9946" w14:textId="77777777" w:rsidR="002D5AAC" w:rsidRPr="004D77A9" w:rsidRDefault="004D77A9" w:rsidP="008D2AAD">
            <w:pPr>
              <w:spacing w:before="240"/>
              <w:rPr>
                <w:lang w:val="en-US"/>
              </w:rPr>
            </w:pPr>
            <w:r w:rsidRPr="004D77A9">
              <w:rPr>
                <w:lang w:val="en-US"/>
              </w:rPr>
              <w:t>Distr.: General</w:t>
            </w:r>
          </w:p>
          <w:p w14:paraId="123B6E85" w14:textId="1C15A93B" w:rsidR="004D77A9" w:rsidRPr="004D77A9" w:rsidRDefault="004D77A9" w:rsidP="004D77A9">
            <w:pPr>
              <w:spacing w:line="240" w:lineRule="exact"/>
              <w:rPr>
                <w:lang w:val="en-US"/>
              </w:rPr>
            </w:pPr>
            <w:r w:rsidRPr="004D77A9">
              <w:rPr>
                <w:lang w:val="en-US"/>
              </w:rPr>
              <w:t>23 May 2</w:t>
            </w:r>
            <w:r w:rsidR="003F5DE0">
              <w:rPr>
                <w:lang w:val="en-US"/>
              </w:rPr>
              <w:t>0</w:t>
            </w:r>
            <w:r w:rsidRPr="004D77A9">
              <w:rPr>
                <w:lang w:val="en-US"/>
              </w:rPr>
              <w:t>25</w:t>
            </w:r>
          </w:p>
          <w:p w14:paraId="48DA2142" w14:textId="77777777" w:rsidR="004D77A9" w:rsidRPr="004D77A9" w:rsidRDefault="004D77A9" w:rsidP="004D77A9">
            <w:pPr>
              <w:spacing w:line="240" w:lineRule="exact"/>
              <w:rPr>
                <w:lang w:val="en-US"/>
              </w:rPr>
            </w:pPr>
            <w:r w:rsidRPr="004D77A9">
              <w:rPr>
                <w:lang w:val="en-US"/>
              </w:rPr>
              <w:t>Russian</w:t>
            </w:r>
          </w:p>
          <w:p w14:paraId="00CF5835" w14:textId="2F8810D0" w:rsidR="004D77A9" w:rsidRPr="004D77A9" w:rsidRDefault="004D77A9" w:rsidP="004D77A9">
            <w:pPr>
              <w:spacing w:line="240" w:lineRule="exact"/>
              <w:rPr>
                <w:lang w:val="en-US"/>
              </w:rPr>
            </w:pPr>
            <w:r w:rsidRPr="004D77A9">
              <w:rPr>
                <w:lang w:val="en-US"/>
              </w:rPr>
              <w:t>Original: French</w:t>
            </w:r>
          </w:p>
        </w:tc>
      </w:tr>
    </w:tbl>
    <w:p w14:paraId="704F7B23" w14:textId="77777777" w:rsidR="004D77A9" w:rsidRPr="005B025B" w:rsidRDefault="004D77A9" w:rsidP="004D77A9">
      <w:pPr>
        <w:spacing w:before="120"/>
        <w:rPr>
          <w:b/>
          <w:sz w:val="24"/>
          <w:szCs w:val="24"/>
        </w:rPr>
      </w:pPr>
      <w:r w:rsidRPr="005B025B">
        <w:rPr>
          <w:b/>
          <w:bCs/>
          <w:sz w:val="24"/>
          <w:szCs w:val="24"/>
        </w:rPr>
        <w:t>Комитет по ликвидации расовой дискриминации</w:t>
      </w:r>
    </w:p>
    <w:p w14:paraId="3433F2B7" w14:textId="77777777" w:rsidR="004D77A9" w:rsidRPr="00B11B32" w:rsidRDefault="004D77A9" w:rsidP="00B11B32">
      <w:pPr>
        <w:pStyle w:val="HChG"/>
      </w:pPr>
      <w:r w:rsidRPr="00B11B32">
        <w:tab/>
      </w:r>
      <w:r w:rsidRPr="00B11B32">
        <w:tab/>
        <w:t>Заключительные замечания по десятому периодическому докладу Габона</w:t>
      </w:r>
      <w:r w:rsidRPr="00B11B32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47F319D7" w14:textId="2AA86342" w:rsidR="004D77A9" w:rsidRPr="00592959" w:rsidRDefault="004D77A9" w:rsidP="004D77A9">
      <w:pPr>
        <w:pStyle w:val="SingleTxtG"/>
      </w:pPr>
      <w:r>
        <w:t>1.</w:t>
      </w:r>
      <w:r>
        <w:tab/>
        <w:t>Комитет рассмотрел десятый периодический доклад Габона</w:t>
      </w:r>
      <w:r w:rsidRPr="00EF3464">
        <w:rPr>
          <w:rStyle w:val="aa"/>
        </w:rPr>
        <w:footnoteReference w:id="2"/>
      </w:r>
      <w:r>
        <w:t xml:space="preserve"> на своих 3151-м и 3152-м заседаниях</w:t>
      </w:r>
      <w:r w:rsidRPr="00EF3464">
        <w:rPr>
          <w:rStyle w:val="aa"/>
        </w:rPr>
        <w:footnoteReference w:id="3"/>
      </w:r>
      <w:r w:rsidR="00F53853" w:rsidRPr="00F53853">
        <w:t>,</w:t>
      </w:r>
      <w:r>
        <w:t xml:space="preserve"> состоявшихся 30 апреля и 1 мая 2025 года. На своем 3161</w:t>
      </w:r>
      <w:r w:rsidR="00C85471" w:rsidRPr="00C85471">
        <w:noBreakHyphen/>
      </w:r>
      <w:r>
        <w:t>м</w:t>
      </w:r>
      <w:r w:rsidR="00C85471">
        <w:rPr>
          <w:lang w:val="en-US"/>
        </w:rPr>
        <w:t> </w:t>
      </w:r>
      <w:r>
        <w:t>заседании, состоявшемся 7 мая 2025 года, он принял настоящие заключительные замечания.</w:t>
      </w:r>
    </w:p>
    <w:p w14:paraId="54333242" w14:textId="28E706BE" w:rsidR="004D77A9" w:rsidRPr="00F77F4D" w:rsidRDefault="00F77F4D" w:rsidP="00F77F4D">
      <w:pPr>
        <w:pStyle w:val="H1G"/>
      </w:pPr>
      <w:r w:rsidRPr="006C31B2">
        <w:tab/>
      </w:r>
      <w:r w:rsidR="004D77A9" w:rsidRPr="00F77F4D">
        <w:t>A.</w:t>
      </w:r>
      <w:r w:rsidR="004D77A9" w:rsidRPr="00F77F4D">
        <w:tab/>
        <w:t xml:space="preserve">Введение </w:t>
      </w:r>
    </w:p>
    <w:p w14:paraId="4B1BF00F" w14:textId="6952BA5B" w:rsidR="004D77A9" w:rsidRPr="00592959" w:rsidRDefault="004D77A9" w:rsidP="004D77A9">
      <w:pPr>
        <w:pStyle w:val="SingleTxtG"/>
      </w:pPr>
      <w:r>
        <w:t>2.</w:t>
      </w:r>
      <w:r>
        <w:tab/>
        <w:t xml:space="preserve">Комитет приветствует десятый периодический доклад государства-участника, хотя он был представлен с </w:t>
      </w:r>
      <w:r w:rsidR="00B84BAF">
        <w:t>25-</w:t>
      </w:r>
      <w:r>
        <w:t>летним опозданием. Он положительно оценивает конструктивный диалог с высокопоставленной делегацией государства-участника и благодарит делегацию за информацию, представленную в ходе рассмотрения доклада, и дополнительные ответы, препровожденные после диалога.</w:t>
      </w:r>
    </w:p>
    <w:p w14:paraId="09D54060" w14:textId="41FA71F4" w:rsidR="004D77A9" w:rsidRPr="00592959" w:rsidRDefault="00F77F4D" w:rsidP="004D77A9">
      <w:pPr>
        <w:pStyle w:val="H1G"/>
      </w:pPr>
      <w:r w:rsidRPr="006C31B2">
        <w:rPr>
          <w:bCs/>
        </w:rPr>
        <w:tab/>
      </w:r>
      <w:r w:rsidR="004D77A9">
        <w:rPr>
          <w:bCs/>
        </w:rPr>
        <w:t>B.</w:t>
      </w:r>
      <w:r w:rsidR="004D77A9">
        <w:tab/>
      </w:r>
      <w:r w:rsidR="004D77A9">
        <w:rPr>
          <w:bCs/>
        </w:rPr>
        <w:t>Позитивные аспекты</w:t>
      </w:r>
      <w:r w:rsidR="004D77A9">
        <w:t xml:space="preserve"> </w:t>
      </w:r>
    </w:p>
    <w:p w14:paraId="55135CF2" w14:textId="77777777" w:rsidR="004D77A9" w:rsidRPr="00592959" w:rsidRDefault="004D77A9" w:rsidP="004D77A9">
      <w:pPr>
        <w:pStyle w:val="SingleTxtG"/>
      </w:pPr>
      <w:r>
        <w:t>3.</w:t>
      </w:r>
      <w:r>
        <w:tab/>
        <w:t xml:space="preserve">Комитет с удовлетворением отмечает тот факт, что государство-участник ратифицировало следующие международные договоры или присоединилось к ним: </w:t>
      </w:r>
    </w:p>
    <w:p w14:paraId="62E180FC" w14:textId="77777777" w:rsidR="004D77A9" w:rsidRPr="00592959" w:rsidRDefault="004D77A9" w:rsidP="004D77A9">
      <w:pPr>
        <w:pStyle w:val="SingleTxtG"/>
        <w:ind w:firstLine="567"/>
      </w:pPr>
      <w:r>
        <w:t>a)</w:t>
      </w:r>
      <w:r>
        <w:tab/>
        <w:t>Факультативный протокол к Конвенции о правах инвалидов, 26 июня 2014 года;</w:t>
      </w:r>
    </w:p>
    <w:p w14:paraId="001E31EC" w14:textId="51CD9327" w:rsidR="004D77A9" w:rsidRPr="00592959" w:rsidRDefault="004D77A9" w:rsidP="004D77A9">
      <w:pPr>
        <w:pStyle w:val="SingleTxtG"/>
        <w:ind w:firstLine="567"/>
      </w:pPr>
      <w:r>
        <w:t>b)</w:t>
      </w:r>
      <w:r>
        <w:tab/>
        <w:t>второй Факультативный протокол к Международному пакту о гражданских и политических правах, направленный на отмену смертной казни, 2</w:t>
      </w:r>
      <w:r w:rsidR="00F77F4D">
        <w:rPr>
          <w:lang w:val="en-US"/>
        </w:rPr>
        <w:t> </w:t>
      </w:r>
      <w:r>
        <w:t>апреля 2014 года;</w:t>
      </w:r>
    </w:p>
    <w:p w14:paraId="216DCD34" w14:textId="77777777" w:rsidR="004D77A9" w:rsidRPr="00592959" w:rsidRDefault="004D77A9" w:rsidP="004D77A9">
      <w:pPr>
        <w:pStyle w:val="SingleTxtG"/>
        <w:ind w:firstLine="567"/>
      </w:pPr>
      <w:r>
        <w:t>c)</w:t>
      </w:r>
      <w:r>
        <w:tab/>
        <w:t>Факультативный протокол к Международному пакту об экономических, социальных и культурных правах, 1 апреля 2014 года;</w:t>
      </w:r>
    </w:p>
    <w:p w14:paraId="0C660CA7" w14:textId="77777777" w:rsidR="004D77A9" w:rsidRPr="00592959" w:rsidRDefault="004D77A9" w:rsidP="004D77A9">
      <w:pPr>
        <w:pStyle w:val="SingleTxtG"/>
        <w:ind w:firstLine="567"/>
      </w:pPr>
      <w:r>
        <w:t>d)</w:t>
      </w:r>
      <w:r>
        <w:tab/>
        <w:t>Факультативный протокол к Конвенции о правах ребенка, касающийся процедуры сообщений, 25 сентября 2012 года;</w:t>
      </w:r>
    </w:p>
    <w:p w14:paraId="42000C7A" w14:textId="77777777" w:rsidR="004D77A9" w:rsidRPr="00592959" w:rsidRDefault="004D77A9" w:rsidP="004D77A9">
      <w:pPr>
        <w:pStyle w:val="SingleTxtG"/>
        <w:ind w:firstLine="567"/>
      </w:pPr>
      <w:r>
        <w:t>e)</w:t>
      </w:r>
      <w:r>
        <w:tab/>
        <w:t>Международная конвенция для защиты всех лиц от насильственных исчезновений, 19 января 2011 года;</w:t>
      </w:r>
    </w:p>
    <w:p w14:paraId="16EB8BCD" w14:textId="77777777" w:rsidR="004D77A9" w:rsidRPr="00592959" w:rsidRDefault="004D77A9" w:rsidP="004D77A9">
      <w:pPr>
        <w:pStyle w:val="SingleTxtG"/>
        <w:ind w:firstLine="567"/>
      </w:pPr>
      <w:r>
        <w:t>f)</w:t>
      </w:r>
      <w:r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наказания, 22 сентября 2010 года;</w:t>
      </w:r>
    </w:p>
    <w:p w14:paraId="655EE507" w14:textId="77777777" w:rsidR="004D77A9" w:rsidRPr="00592959" w:rsidRDefault="004D77A9" w:rsidP="004D77A9">
      <w:pPr>
        <w:pStyle w:val="SingleTxtG"/>
        <w:ind w:firstLine="567"/>
      </w:pPr>
      <w:r>
        <w:lastRenderedPageBreak/>
        <w:t>g)</w:t>
      </w:r>
      <w:r>
        <w:tab/>
        <w:t>Факультативный протокол к Конвенции о правах ребенка, касающийся участия детей в вооруженных конфликтах, 21 сентября 2010 года;</w:t>
      </w:r>
    </w:p>
    <w:p w14:paraId="0485282B" w14:textId="77777777" w:rsidR="004D77A9" w:rsidRPr="00592959" w:rsidRDefault="004D77A9" w:rsidP="004D77A9">
      <w:pPr>
        <w:pStyle w:val="SingleTxtG"/>
        <w:ind w:firstLine="567"/>
      </w:pPr>
      <w:r>
        <w:t>h)</w:t>
      </w:r>
      <w:r>
        <w:tab/>
        <w:t>Конвенция о правах инвалидов, 1 октября 2007 года;</w:t>
      </w:r>
    </w:p>
    <w:p w14:paraId="0362BF4F" w14:textId="77777777" w:rsidR="004D77A9" w:rsidRPr="00592959" w:rsidRDefault="004D77A9" w:rsidP="004D77A9">
      <w:pPr>
        <w:pStyle w:val="SingleTxtG"/>
        <w:ind w:firstLine="567"/>
      </w:pPr>
      <w:r>
        <w:t>i)</w:t>
      </w:r>
      <w:r>
        <w:tab/>
        <w:t>Факультативный протокол к Конвенции о правах ребенка, касающийся торговли детьми, детской проституции и детской порнографии, 1 октября 2007 года;</w:t>
      </w:r>
    </w:p>
    <w:p w14:paraId="7E51EA53" w14:textId="77777777" w:rsidR="004D77A9" w:rsidRPr="00592959" w:rsidRDefault="004D77A9" w:rsidP="004D77A9">
      <w:pPr>
        <w:pStyle w:val="SingleTxtG"/>
        <w:ind w:firstLine="567"/>
      </w:pPr>
      <w:r>
        <w:t>j)</w:t>
      </w:r>
      <w:r>
        <w:tab/>
        <w:t>Факультативный протокол к Конвенции о ликвидации всех форм дискриминации в отношении женщин, 5 ноября 2004 года;</w:t>
      </w:r>
    </w:p>
    <w:p w14:paraId="27976DF0" w14:textId="77777777" w:rsidR="004D77A9" w:rsidRPr="00592959" w:rsidRDefault="004D77A9" w:rsidP="004D77A9">
      <w:pPr>
        <w:pStyle w:val="SingleTxtG"/>
        <w:ind w:firstLine="567"/>
      </w:pPr>
      <w:r>
        <w:t>k)</w:t>
      </w:r>
      <w:r>
        <w:tab/>
        <w:t>Конвенция против пыток и других жестоких, бесчеловечных или унижающих достоинство видов обращения и наказания, 8 сентября 2000 года.</w:t>
      </w:r>
    </w:p>
    <w:p w14:paraId="7761465C" w14:textId="77777777" w:rsidR="004D77A9" w:rsidRPr="00592959" w:rsidRDefault="004D77A9" w:rsidP="004D77A9">
      <w:pPr>
        <w:pStyle w:val="SingleTxtG"/>
        <w:keepNext/>
      </w:pPr>
      <w:r>
        <w:t>4.</w:t>
      </w:r>
      <w:r>
        <w:tab/>
        <w:t>Кроме того, Комитет приветствует следующие законодательные, институциональные и политические меры, принятые государством-участником:</w:t>
      </w:r>
    </w:p>
    <w:p w14:paraId="69D51DC6" w14:textId="77777777" w:rsidR="004D77A9" w:rsidRPr="00592959" w:rsidRDefault="004D77A9" w:rsidP="004D77A9">
      <w:pPr>
        <w:pStyle w:val="SingleTxtG"/>
        <w:ind w:firstLine="567"/>
        <w:rPr>
          <w:color w:val="000000"/>
        </w:rPr>
      </w:pPr>
      <w:r>
        <w:t>a)</w:t>
      </w:r>
      <w:r>
        <w:tab/>
        <w:t>Органический закон № 001/2025 от 19 января 2025 года об Избирательном кодексе Габонской Республики;</w:t>
      </w:r>
    </w:p>
    <w:p w14:paraId="2FE41391" w14:textId="77777777" w:rsidR="004D77A9" w:rsidRPr="00592959" w:rsidRDefault="004D77A9" w:rsidP="004D77A9">
      <w:pPr>
        <w:pStyle w:val="SingleTxtG"/>
        <w:ind w:firstLine="567"/>
        <w:rPr>
          <w:color w:val="000000"/>
        </w:rPr>
      </w:pPr>
      <w:r>
        <w:t>b)</w:t>
      </w:r>
      <w:r>
        <w:tab/>
        <w:t>Закон о референдуме № 002-R/2024 от 19 декабря 2024 года, касающийся Конституции Габонской Республики;</w:t>
      </w:r>
    </w:p>
    <w:p w14:paraId="5BCF64F6" w14:textId="77777777" w:rsidR="004D77A9" w:rsidRPr="00592959" w:rsidRDefault="004D77A9" w:rsidP="004D77A9">
      <w:pPr>
        <w:pStyle w:val="SingleTxtG"/>
        <w:ind w:firstLine="567"/>
        <w:rPr>
          <w:color w:val="000000"/>
        </w:rPr>
      </w:pPr>
      <w:r>
        <w:t>c)</w:t>
      </w:r>
      <w:r>
        <w:tab/>
        <w:t>Закон № 023/2024 от 21 ноября 2024 года о реорганизации Национальной комиссии по правам человека в Габонской Республике;</w:t>
      </w:r>
    </w:p>
    <w:p w14:paraId="3E610F8D" w14:textId="77777777" w:rsidR="004D77A9" w:rsidRPr="00592959" w:rsidRDefault="004D77A9" w:rsidP="004D77A9">
      <w:pPr>
        <w:pStyle w:val="SingleTxtG"/>
        <w:ind w:firstLine="567"/>
        <w:rPr>
          <w:color w:val="000000"/>
        </w:rPr>
      </w:pPr>
      <w:r>
        <w:t>d)</w:t>
      </w:r>
      <w:r>
        <w:tab/>
        <w:t>Закон № 006/2021 от 6 сентября 2021 года об искоренении насилия в отношении женщин;</w:t>
      </w:r>
    </w:p>
    <w:p w14:paraId="2C9E7A6D" w14:textId="68EEA5A4" w:rsidR="004D77A9" w:rsidRPr="00592959" w:rsidRDefault="004D77A9" w:rsidP="004D77A9">
      <w:pPr>
        <w:pStyle w:val="SingleTxtG"/>
        <w:ind w:firstLine="567"/>
        <w:rPr>
          <w:color w:val="000000"/>
        </w:rPr>
      </w:pPr>
      <w:r>
        <w:t>e)</w:t>
      </w:r>
      <w:r>
        <w:tab/>
        <w:t xml:space="preserve">Закон № 006/2020 от 30 июня 2020 года о внесении изменений </w:t>
      </w:r>
      <w:r w:rsidR="00AC0B91" w:rsidRPr="006C31B2">
        <w:br/>
      </w:r>
      <w:r>
        <w:t>в Закон № 042/2018 от 5 июля 2019 года об Уголовном кодексе Габонской Республики;</w:t>
      </w:r>
    </w:p>
    <w:p w14:paraId="56CB7825" w14:textId="77777777" w:rsidR="004D77A9" w:rsidRPr="00592959" w:rsidRDefault="004D77A9" w:rsidP="004D77A9">
      <w:pPr>
        <w:pStyle w:val="SingleTxtG"/>
        <w:ind w:firstLine="567"/>
        <w:rPr>
          <w:color w:val="000000"/>
        </w:rPr>
      </w:pPr>
      <w:r>
        <w:t>f)</w:t>
      </w:r>
      <w:r>
        <w:tab/>
        <w:t>Закон № 028/2016 от 6 февраля 2017 года о Кодексе социальной защиты в Габонской Республике;</w:t>
      </w:r>
    </w:p>
    <w:p w14:paraId="56CD0765" w14:textId="77777777" w:rsidR="004D77A9" w:rsidRPr="00592959" w:rsidRDefault="004D77A9" w:rsidP="004D77A9">
      <w:pPr>
        <w:pStyle w:val="SingleTxtG"/>
        <w:ind w:firstLine="567"/>
        <w:rPr>
          <w:color w:val="000000"/>
        </w:rPr>
      </w:pPr>
      <w:r>
        <w:t>g)</w:t>
      </w:r>
      <w:r>
        <w:tab/>
        <w:t>Закон № 37/98 от 20 июля 1999 года о Кодексе гражданства Габона;</w:t>
      </w:r>
    </w:p>
    <w:p w14:paraId="12A1935F" w14:textId="77777777" w:rsidR="004D77A9" w:rsidRPr="00592959" w:rsidRDefault="004D77A9" w:rsidP="004D77A9">
      <w:pPr>
        <w:pStyle w:val="SingleTxtG"/>
        <w:ind w:firstLine="567"/>
        <w:rPr>
          <w:color w:val="000000"/>
        </w:rPr>
      </w:pPr>
      <w:r>
        <w:t>h)</w:t>
      </w:r>
      <w:r>
        <w:tab/>
        <w:t xml:space="preserve">Декрет № 000102/PR/MHLCCL от 15 января 2007 года о создании и организации Национального комитета по составлению докладов о правах человека в Габоне; </w:t>
      </w:r>
    </w:p>
    <w:p w14:paraId="5B9F69A5" w14:textId="77777777" w:rsidR="004D77A9" w:rsidRPr="00592959" w:rsidRDefault="004D77A9" w:rsidP="004D77A9">
      <w:pPr>
        <w:pStyle w:val="SingleTxtG"/>
        <w:ind w:firstLine="567"/>
        <w:rPr>
          <w:color w:val="000000"/>
        </w:rPr>
      </w:pPr>
      <w:r>
        <w:t>i)</w:t>
      </w:r>
      <w:r>
        <w:tab/>
        <w:t>Декрет № 000103/PR/MHLCCL от 15 января 2007 года о провозглашении Национального дня прав человека в Габонской Республике;</w:t>
      </w:r>
    </w:p>
    <w:p w14:paraId="0DA4B962" w14:textId="77777777" w:rsidR="004D77A9" w:rsidRPr="00592959" w:rsidRDefault="004D77A9" w:rsidP="004D77A9">
      <w:pPr>
        <w:pStyle w:val="SingleTxtG"/>
        <w:ind w:firstLine="567"/>
        <w:rPr>
          <w:color w:val="000000"/>
        </w:rPr>
      </w:pPr>
      <w:r>
        <w:t>j)</w:t>
      </w:r>
      <w:r>
        <w:tab/>
        <w:t>создание Национальной комиссии по предотвращению торговли людьми и борьбе с ней в Габонской Республике в 2024 году;</w:t>
      </w:r>
    </w:p>
    <w:p w14:paraId="0368A14C" w14:textId="77777777" w:rsidR="004D77A9" w:rsidRPr="00592959" w:rsidRDefault="004D77A9" w:rsidP="004D77A9">
      <w:pPr>
        <w:pStyle w:val="SingleTxtG"/>
        <w:ind w:firstLine="567"/>
        <w:rPr>
          <w:color w:val="000000"/>
        </w:rPr>
      </w:pPr>
      <w:r>
        <w:t>k)</w:t>
      </w:r>
      <w:r>
        <w:tab/>
        <w:t>Национальная стратегия по поощрению прав женщин и сокращению гендерного неравенства («Габон — равенство»), принятая в 2020 году;</w:t>
      </w:r>
    </w:p>
    <w:p w14:paraId="60009907" w14:textId="77777777" w:rsidR="004D77A9" w:rsidRPr="00592959" w:rsidRDefault="004D77A9" w:rsidP="004D77A9">
      <w:pPr>
        <w:pStyle w:val="SingleTxtG"/>
        <w:ind w:firstLine="567"/>
        <w:rPr>
          <w:color w:val="000000"/>
        </w:rPr>
      </w:pPr>
      <w:r>
        <w:t>l)</w:t>
      </w:r>
      <w:r>
        <w:tab/>
        <w:t>План по вопросам развития коренных народов, принятый в 2005 году.</w:t>
      </w:r>
    </w:p>
    <w:p w14:paraId="11FB9922" w14:textId="365EF0BD" w:rsidR="004D77A9" w:rsidRPr="00592959" w:rsidRDefault="00317B9E" w:rsidP="004D77A9">
      <w:pPr>
        <w:pStyle w:val="H1G"/>
      </w:pPr>
      <w:r w:rsidRPr="006C31B2">
        <w:rPr>
          <w:bCs/>
        </w:rPr>
        <w:tab/>
      </w:r>
      <w:r w:rsidR="004D77A9">
        <w:rPr>
          <w:bCs/>
        </w:rPr>
        <w:t>C.</w:t>
      </w:r>
      <w:r w:rsidR="004D77A9">
        <w:tab/>
      </w:r>
      <w:r w:rsidR="004D77A9">
        <w:rPr>
          <w:bCs/>
        </w:rPr>
        <w:t>Вопросы, вызывающие обеспокоенность, и рекомендации</w:t>
      </w:r>
      <w:r w:rsidR="004D77A9">
        <w:t xml:space="preserve"> </w:t>
      </w:r>
    </w:p>
    <w:p w14:paraId="7C2E5CED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Статистические данные</w:t>
      </w:r>
    </w:p>
    <w:p w14:paraId="19AFFD6A" w14:textId="40104A1B" w:rsidR="004D77A9" w:rsidRPr="00592959" w:rsidRDefault="004D77A9" w:rsidP="004D77A9">
      <w:pPr>
        <w:pStyle w:val="SingleTxtG"/>
        <w:rPr>
          <w:b/>
        </w:rPr>
      </w:pPr>
      <w:r>
        <w:t>5.</w:t>
      </w:r>
      <w:r>
        <w:tab/>
        <w:t xml:space="preserve">Комитет принимает к сведению представленную государством-участником информацию о том, что всеобщая перепись населения, которая началась в 2023 году, должна позволить собрать данные в разбивке, среди прочих признаков, по возрасту, полу, этническому происхождению, национальности и используемому языку. Тем не менее он выражает сожаление в связи с отсутствием статистических данных об этническом составе населения страны и социально-экономическом положении различных групп населения, что ограничивает его возможности по анализу положения этих групп, в том числе возможного прогресса, достигнутого в деле полного осуществления прав, предусмотренных Конвенцией (ст. 1 и 2). </w:t>
      </w:r>
    </w:p>
    <w:p w14:paraId="0F99952A" w14:textId="0951BFFE" w:rsidR="004D77A9" w:rsidRPr="007F5AC2" w:rsidRDefault="004D77A9" w:rsidP="004D77A9">
      <w:pPr>
        <w:pStyle w:val="SingleTxtG"/>
        <w:rPr>
          <w:b/>
          <w:bCs/>
        </w:rPr>
      </w:pPr>
      <w:r>
        <w:lastRenderedPageBreak/>
        <w:t>6.</w:t>
      </w:r>
      <w:r>
        <w:tab/>
      </w:r>
      <w:r>
        <w:rPr>
          <w:b/>
          <w:bCs/>
        </w:rPr>
        <w:t>Ссылаясь на свои предыдущие заключительные замечания</w:t>
      </w:r>
      <w:r w:rsidRPr="00EF3464">
        <w:rPr>
          <w:rStyle w:val="aa"/>
        </w:rPr>
        <w:footnoteReference w:id="4"/>
      </w:r>
      <w:r>
        <w:rPr>
          <w:b/>
          <w:bCs/>
        </w:rPr>
        <w:t>, в целях создания достаточной эмпирической основы для оценки политики и мер, направленных на обеспечение равного осуществления всех прав, защищаемых Конвенцией, всеми группами населения на территории государства-участника, Комитет рекомендует государству-участнику собирать и публиковать  надежные статистические данные по социально-экономическим показателям в разбивке по этническому или национальному происхождению и используемому языку.</w:t>
      </w:r>
      <w:r>
        <w:t xml:space="preserve"> </w:t>
      </w:r>
      <w:r w:rsidRPr="007F5AC2">
        <w:rPr>
          <w:b/>
          <w:bCs/>
        </w:rPr>
        <w:t>Он</w:t>
      </w:r>
      <w:r w:rsidR="00317B9E">
        <w:rPr>
          <w:b/>
          <w:bCs/>
          <w:lang w:val="en-US"/>
        </w:rPr>
        <w:t> </w:t>
      </w:r>
      <w:r w:rsidRPr="007F5AC2">
        <w:rPr>
          <w:b/>
          <w:bCs/>
        </w:rPr>
        <w:t xml:space="preserve">напоминает государству-участнику о своих общих рекомендациях № 4 (1973), касающейся представления докладов государствами-участниками, № 8 (1990), касающейся толкования и применения пунктов 1 и 4 статьи 1 Конвенции, </w:t>
      </w:r>
      <w:r w:rsidR="00AF1A92">
        <w:rPr>
          <w:b/>
          <w:bCs/>
        </w:rPr>
        <w:br/>
      </w:r>
      <w:r w:rsidRPr="007F5AC2">
        <w:rPr>
          <w:b/>
          <w:bCs/>
        </w:rPr>
        <w:t>и № 24 (1999), касающейся статьи 1 Конвенции, а также о пунктах 10–12 своих руководящих принципов подготовки документа по КЛРД</w:t>
      </w:r>
      <w:r w:rsidRPr="00CF6862">
        <w:rPr>
          <w:rStyle w:val="aa"/>
        </w:rPr>
        <w:footnoteReference w:id="5"/>
      </w:r>
      <w:r w:rsidRPr="007F5AC2">
        <w:rPr>
          <w:b/>
          <w:bCs/>
        </w:rPr>
        <w:t xml:space="preserve">. </w:t>
      </w:r>
    </w:p>
    <w:p w14:paraId="11FC34F1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Применение Конвенции в национальной правовой системе</w:t>
      </w:r>
      <w:r>
        <w:t xml:space="preserve"> </w:t>
      </w:r>
    </w:p>
    <w:p w14:paraId="1387BC5F" w14:textId="281ED426" w:rsidR="004D77A9" w:rsidRPr="00592959" w:rsidRDefault="004D77A9" w:rsidP="004D77A9">
      <w:pPr>
        <w:pStyle w:val="SingleTxtG"/>
      </w:pPr>
      <w:r>
        <w:t>7.</w:t>
      </w:r>
      <w:r>
        <w:tab/>
        <w:t>Комитет отмечает, что в национальной правовой системе государства-участника ратифицированные международные договоры, включая Конвенцию, имеют приоритет над внутренним правом. В то же время он сожалеет об отсутствии подробной информации о делах, в которых национальные суды ссылались на положения Конвенции или непосредственно применяли их</w:t>
      </w:r>
      <w:r w:rsidR="005C4B1F">
        <w:t xml:space="preserve"> </w:t>
      </w:r>
      <w:r>
        <w:t>(ст.</w:t>
      </w:r>
      <w:r w:rsidR="006C31B2">
        <w:t xml:space="preserve"> </w:t>
      </w:r>
      <w:r>
        <w:t xml:space="preserve">2). </w:t>
      </w:r>
    </w:p>
    <w:p w14:paraId="5952528A" w14:textId="77777777" w:rsidR="004D77A9" w:rsidRPr="006B0064" w:rsidRDefault="004D77A9" w:rsidP="004D77A9">
      <w:pPr>
        <w:pStyle w:val="SingleTxtG"/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организации регулярного обучения по вопросам, связанным с положениями Конвенции, в частности для судей, прокуроров, сотрудников правоприменительных органов и адвокатов, чтобы они могли ссылаться на эти положения или применять их в соответствующих случаях.</w:t>
      </w:r>
      <w:r>
        <w:t xml:space="preserve"> </w:t>
      </w:r>
      <w:r>
        <w:rPr>
          <w:b/>
          <w:bCs/>
        </w:rPr>
        <w:t>Он рекомендует также государству-участнику провести среди населения в целом, в частности среди групп, наиболее уязвимых для расовой дискриминации, кампании по повышению осведомленности о положениях Конвенции и о доступных средствах правовой защиты.</w:t>
      </w:r>
      <w:r>
        <w:t xml:space="preserve"> </w:t>
      </w:r>
      <w:r>
        <w:rPr>
          <w:b/>
          <w:bCs/>
        </w:rPr>
        <w:t>Он просит государство-участник включить в свой следующий периодический доклад конкретные примеры применения Конвенции национальными судами.</w:t>
      </w:r>
      <w:r>
        <w:t xml:space="preserve"> </w:t>
      </w:r>
    </w:p>
    <w:p w14:paraId="463563A8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Законодательство против расовой дискриминации</w:t>
      </w:r>
      <w:r>
        <w:t xml:space="preserve"> </w:t>
      </w:r>
    </w:p>
    <w:p w14:paraId="093CF09D" w14:textId="6DFAECC6" w:rsidR="004D77A9" w:rsidRPr="00592959" w:rsidRDefault="004D77A9" w:rsidP="004D77A9">
      <w:pPr>
        <w:pStyle w:val="SingleTxtG"/>
      </w:pPr>
      <w:r>
        <w:t>9.</w:t>
      </w:r>
      <w:r>
        <w:tab/>
        <w:t>Комитет отмечает, что принципы недискриминации и равенства перед законом закреплены в Конституции, а также принимает к сведению наличие разнообразных законов, обеспечивающих различные принципы и права, закрепленные в Конвенции. Тем не менее он обеспокоен тем, что в национальной законодательной базе нет определения расовой дискриминации, полностью соответствующего статье</w:t>
      </w:r>
      <w:r w:rsidR="00A84210">
        <w:rPr>
          <w:lang w:val="en-US"/>
        </w:rPr>
        <w:t> </w:t>
      </w:r>
      <w:r>
        <w:t xml:space="preserve">1 Конвенции и прямо охватывающего все указанные в ней основания для дискриминации, в том числе прямую и косвенную дискриминацию в государственной и частной сферах. Кроме того, он обеспокоен отсутствием законодательного положения, прямо запрещающего расовое профилирование и практику фейсконтроля сотрудниками правоохранительных органов (ст. 1 и 2). </w:t>
      </w:r>
    </w:p>
    <w:p w14:paraId="01E75C94" w14:textId="4EBAC2B4" w:rsidR="004D77A9" w:rsidRPr="00592959" w:rsidRDefault="004D77A9" w:rsidP="004D77A9">
      <w:pPr>
        <w:pStyle w:val="SingleTxtG"/>
        <w:rPr>
          <w:b/>
        </w:rPr>
      </w:pPr>
      <w:r>
        <w:t>10.</w:t>
      </w:r>
      <w:r>
        <w:tab/>
      </w:r>
      <w:r>
        <w:rPr>
          <w:b/>
          <w:bCs/>
        </w:rPr>
        <w:t>В свете своей общей рекомендации № 14 (1993) по пункту 1 статьи 1 Конвенции Комитет рекомендует государству-участнику принять всеобъемлющее законодательство о борьбе с дискриминацией, содержащее четкое определение расовой дискриминации, включающее прямые, косвенные, множественные и перекрестные формы дискриминации, охватывающее все области права в публичной и частной сферах и все основания для дискриминации, предусмотренные в пункте 1 статьи 1Конвенции.</w:t>
      </w:r>
      <w:r>
        <w:t xml:space="preserve"> </w:t>
      </w:r>
      <w:r>
        <w:rPr>
          <w:b/>
          <w:bCs/>
        </w:rPr>
        <w:t xml:space="preserve">Он также рекомендует государству-участнику включить в свое законодательство прямой запрет на расовое профилирование и практику фейсконтроля со стороны сотрудников правоохранительных органов с учетом его общей </w:t>
      </w:r>
      <w:r>
        <w:rPr>
          <w:b/>
          <w:bCs/>
        </w:rPr>
        <w:lastRenderedPageBreak/>
        <w:t>рекомендации</w:t>
      </w:r>
      <w:r w:rsidR="00DF7BA7">
        <w:rPr>
          <w:b/>
          <w:bCs/>
          <w:lang w:val="en-US"/>
        </w:rPr>
        <w:t> </w:t>
      </w:r>
      <w:r>
        <w:rPr>
          <w:b/>
          <w:bCs/>
        </w:rPr>
        <w:t>№</w:t>
      </w:r>
      <w:r w:rsidR="00DF7BA7">
        <w:rPr>
          <w:b/>
          <w:bCs/>
          <w:lang w:val="en-US"/>
        </w:rPr>
        <w:t> </w:t>
      </w:r>
      <w:r>
        <w:rPr>
          <w:b/>
          <w:bCs/>
        </w:rPr>
        <w:t>36</w:t>
      </w:r>
      <w:r w:rsidR="00DF7BA7">
        <w:rPr>
          <w:b/>
          <w:bCs/>
          <w:lang w:val="en-US"/>
        </w:rPr>
        <w:t> </w:t>
      </w:r>
      <w:r>
        <w:rPr>
          <w:b/>
          <w:bCs/>
        </w:rPr>
        <w:t>(2020) о предупреждении расового профилирования со стороны сотрудников правоохранительных органов и борьбе с ним.</w:t>
      </w:r>
      <w:bookmarkStart w:id="0" w:name="_Hlk183972296"/>
      <w:bookmarkEnd w:id="0"/>
    </w:p>
    <w:p w14:paraId="23D74D51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Институциональная база</w:t>
      </w:r>
      <w:r>
        <w:t xml:space="preserve"> </w:t>
      </w:r>
    </w:p>
    <w:p w14:paraId="15BDF512" w14:textId="20D9EA23" w:rsidR="004D77A9" w:rsidRPr="00592959" w:rsidRDefault="004D77A9" w:rsidP="004D77A9">
      <w:pPr>
        <w:pStyle w:val="SingleTxtG"/>
        <w:rPr>
          <w:b/>
        </w:rPr>
      </w:pPr>
      <w:r>
        <w:t>11.</w:t>
      </w:r>
      <w:r>
        <w:tab/>
        <w:t>Комитет приветствует принятие 21 ноября 2024 года Закона № 023/2024 о реорганизации Национальной комиссии по правам человека в Габонской Республике, который закрепил мандат Комиссии, созданной в 2006 году, а также значительное увеличение бюджета, выделяемого ей с 2016 года. Вместе с тем он с сожалением отмечает, что в мандат Комиссии прямо не включена борьба с расовой дискриминацией, что может привести к ограничению ее деятельности в этой области, особенно в отсутствие в государстве-участнике конкретного законодательства и государственной политики, посвященных борьбе с этим видом дискриминации (ст.</w:t>
      </w:r>
      <w:r w:rsidR="00710C4A">
        <w:t> </w:t>
      </w:r>
      <w:r>
        <w:t>1</w:t>
      </w:r>
      <w:r w:rsidR="00710C4A">
        <w:t> </w:t>
      </w:r>
      <w:r>
        <w:t>и</w:t>
      </w:r>
      <w:r w:rsidR="00710C4A">
        <w:t> </w:t>
      </w:r>
      <w:r>
        <w:t>2).</w:t>
      </w:r>
    </w:p>
    <w:p w14:paraId="336F7973" w14:textId="54B7402A" w:rsidR="004D77A9" w:rsidRPr="00592959" w:rsidRDefault="004D77A9" w:rsidP="004D77A9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В свете своей общей рекомендации № 17 (1993) о создании национальных учреждений по содействию осуществлению Конвенции Комитет рекомендует государству-участнику принять необходимые меры, в том числе законодательного характера, чтобы в мандат Национальной комиссии по правам человека были прямо включены полномочия по предотвращению расовой дискриминации и борьбе с ней.</w:t>
      </w:r>
      <w:r>
        <w:t xml:space="preserve"> </w:t>
      </w:r>
      <w:r>
        <w:rPr>
          <w:b/>
          <w:bCs/>
        </w:rPr>
        <w:t>Он рекомендует государству-участнику также продолжать выделять этому учреждению достаточные кадровые, финансовые и технические ресурсы, позволяющие эффективно выполнять его мандат, и</w:t>
      </w:r>
      <w:r w:rsidR="006552E3">
        <w:rPr>
          <w:b/>
          <w:bCs/>
        </w:rPr>
        <w:t> </w:t>
      </w:r>
      <w:r>
        <w:rPr>
          <w:b/>
          <w:bCs/>
        </w:rPr>
        <w:t>усилить подготовку его сотрудников по вопросам, связанным с положениями Конвенции и борьбой с расовой дискриминацией.</w:t>
      </w:r>
      <w:r>
        <w:t xml:space="preserve"> </w:t>
      </w:r>
      <w:r>
        <w:rPr>
          <w:b/>
          <w:bCs/>
        </w:rPr>
        <w:t>Комитет призывает государство-участник продолжать усилия по обеспечению полного соответствия Комиссии Принципам, касающимся статуса национальных учреждений, занимающихся поощрением и защитой прав человека (Парижские принципы), с</w:t>
      </w:r>
      <w:r w:rsidR="001E511F">
        <w:rPr>
          <w:b/>
          <w:bCs/>
          <w:lang w:val="en-US"/>
        </w:rPr>
        <w:t> </w:t>
      </w:r>
      <w:r>
        <w:rPr>
          <w:b/>
          <w:bCs/>
        </w:rPr>
        <w:t xml:space="preserve">тем чтобы как можно скорее обеспечить ее аккредитацию по линии Глобального альянса национальных </w:t>
      </w:r>
      <w:r w:rsidRPr="00F46395">
        <w:rPr>
          <w:b/>
          <w:bCs/>
        </w:rPr>
        <w:t>правозащитных учреждений</w:t>
      </w:r>
      <w:r>
        <w:rPr>
          <w:b/>
          <w:bCs/>
        </w:rPr>
        <w:t>.</w:t>
      </w:r>
    </w:p>
    <w:p w14:paraId="5692F64F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Национальный план действий по борьбе с расовой дискриминацией</w:t>
      </w:r>
      <w:r>
        <w:t xml:space="preserve"> </w:t>
      </w:r>
    </w:p>
    <w:p w14:paraId="5F00241E" w14:textId="77777777" w:rsidR="004D77A9" w:rsidRPr="00592959" w:rsidRDefault="004D77A9" w:rsidP="004D77A9">
      <w:pPr>
        <w:pStyle w:val="SingleTxtG"/>
      </w:pPr>
      <w:r>
        <w:t>13.</w:t>
      </w:r>
      <w:r>
        <w:tab/>
        <w:t xml:space="preserve">Принимая к сведению представленную государством-участником информацию о шагах, предпринятых для принятия национального плана действий по борьбе с расизмом, расовой дискриминацией, ксенофобией и связанной с ними нетерпимостью с 2023 года, Комитет сожалеет, что этот план еще не разработан и не принят (ст. 2). </w:t>
      </w:r>
    </w:p>
    <w:p w14:paraId="23767090" w14:textId="77777777" w:rsidR="004D77A9" w:rsidRPr="00592959" w:rsidRDefault="004D77A9" w:rsidP="004D77A9">
      <w:pPr>
        <w:pStyle w:val="SingleTxtG"/>
        <w:rPr>
          <w:b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1C8F9BD" w14:textId="77777777" w:rsidR="004D77A9" w:rsidRPr="00592959" w:rsidRDefault="004D77A9" w:rsidP="004D77A9">
      <w:pPr>
        <w:pStyle w:val="SingleTxtG"/>
        <w:tabs>
          <w:tab w:val="left" w:pos="1560"/>
        </w:tabs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ускорить процесс разработки и принятия национального плана действий по борьбе с расизмом, расовой дискриминацией, ксенофобией и связанной с ними нетерпимостью с указанием конкретных сроков;</w:t>
      </w:r>
    </w:p>
    <w:p w14:paraId="66218EB1" w14:textId="77777777" w:rsidR="004D77A9" w:rsidRPr="00592959" w:rsidRDefault="004D77A9" w:rsidP="004D77A9">
      <w:pPr>
        <w:pStyle w:val="SingleTxtG"/>
        <w:tabs>
          <w:tab w:val="left" w:pos="1560"/>
        </w:tabs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активное и полноценное участие групп, наиболее подверженных расовой дискриминации, включая коренные народы, этнические меньшинства и неграждан, таких как трудящиеся-мигранты, просители убежища и беженцы, в разработке вышеупомянутого плана, в его мониторинге и в оценке достигнутых результатов и прогресса;</w:t>
      </w:r>
    </w:p>
    <w:p w14:paraId="306BFDA2" w14:textId="77777777" w:rsidR="004D77A9" w:rsidRPr="00592959" w:rsidRDefault="004D77A9" w:rsidP="004D77A9">
      <w:pPr>
        <w:pStyle w:val="SingleTxtG"/>
        <w:tabs>
          <w:tab w:val="left" w:pos="1560"/>
        </w:tabs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создать механизмы мониторинга и оценки выполнения этого плана и выделить достаточные людские, финансовые и технические ресурсы для его эффективной реализации.</w:t>
      </w:r>
      <w:r>
        <w:t xml:space="preserve"> </w:t>
      </w:r>
    </w:p>
    <w:p w14:paraId="39EE07D1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Применение статьи 4 Конвенции</w:t>
      </w:r>
    </w:p>
    <w:p w14:paraId="7BAEC034" w14:textId="0213B917" w:rsidR="004D77A9" w:rsidRPr="00592959" w:rsidRDefault="004D77A9" w:rsidP="004D77A9">
      <w:pPr>
        <w:pStyle w:val="SingleTxtG"/>
        <w:rPr>
          <w:b/>
        </w:rPr>
      </w:pPr>
      <w:r>
        <w:t>15.</w:t>
      </w:r>
      <w:r>
        <w:tab/>
        <w:t xml:space="preserve">Комитет принимает к сведению представленную государством-участником информацию о мерах, принятых для обеспечения соответствия внутреннего законодательства положениям статьи 4 Конвенции, включая проводимую работу по пересмотру Уголовного кодекса. Однако он по-прежнему обеспокоен тем, что национальная законодательная база, включая Уголовный кодекс, не в полной мере охватывает все основания для дискриминации, указанные в статье 1 Конвенции, </w:t>
      </w:r>
      <w:r>
        <w:lastRenderedPageBreak/>
        <w:t>а</w:t>
      </w:r>
      <w:r w:rsidR="001E511F">
        <w:rPr>
          <w:lang w:val="en-US"/>
        </w:rPr>
        <w:t> </w:t>
      </w:r>
      <w:r>
        <w:t xml:space="preserve">также все обязательства, принятые государством-участником в соответствии со статьей 4 Конвенции (ст. 4). </w:t>
      </w:r>
    </w:p>
    <w:p w14:paraId="7A107E94" w14:textId="266DD384" w:rsidR="004D77A9" w:rsidRPr="00592959" w:rsidRDefault="004D77A9" w:rsidP="004D77A9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Ссылаясь на свои предыдущие заключительные замечания</w:t>
      </w:r>
      <w:r w:rsidRPr="00EF3464">
        <w:rPr>
          <w:rStyle w:val="aa"/>
        </w:rPr>
        <w:footnoteReference w:id="6"/>
      </w:r>
      <w:r w:rsidR="00871143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пересмотреть свое законодательство, в</w:t>
      </w:r>
      <w:r w:rsidR="00885501">
        <w:rPr>
          <w:b/>
          <w:bCs/>
        </w:rPr>
        <w:t> </w:t>
      </w:r>
      <w:r>
        <w:rPr>
          <w:b/>
          <w:bCs/>
        </w:rPr>
        <w:t>частности Уголовный кодекс, путем внесения поправок, запрещающих и криминализирующих все действия, описанные в статье 4 Конвенции.</w:t>
      </w:r>
      <w:r>
        <w:t xml:space="preserve"> </w:t>
      </w:r>
      <w:r w:rsidR="0000498B">
        <w:br/>
      </w:r>
      <w:r>
        <w:rPr>
          <w:b/>
          <w:bCs/>
        </w:rPr>
        <w:t>Комитет обращает внимание государства-участника на свои общие рекомендации № 1 (1972), № 7 (1985), № 8 (1990) и № 15 (1993) по статье 4 Конвенции, согласно которым все требования статьи 4 являются обязательными.</w:t>
      </w:r>
    </w:p>
    <w:p w14:paraId="65D4DEFC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Ненавистнические высказывания расистского толка</w:t>
      </w:r>
    </w:p>
    <w:p w14:paraId="327B670E" w14:textId="1DE0F73D" w:rsidR="004D77A9" w:rsidRPr="00592959" w:rsidRDefault="004D77A9" w:rsidP="004D77A9">
      <w:pPr>
        <w:pStyle w:val="SingleTxtG"/>
        <w:rPr>
          <w:bCs/>
        </w:rPr>
      </w:pPr>
      <w:r>
        <w:t>17.</w:t>
      </w:r>
      <w:r>
        <w:tab/>
        <w:t>Комитет принимает к сведению представленную государством-участником информацию о разработанных в последние годы законодательных мерах по предупреждению и пресечению ненавистнических высказываний расистского толка, таких как Закон № 019/2016 от 9 августа 2016 года о Кодексе коммуникации в Габонской Республике, Закон № 027/2023 от 12 июля 2023 года, регулирующий кибербезопасность и борьбу с киберпреступностью в Габонской Республике, и</w:t>
      </w:r>
      <w:r w:rsidR="00EF20A1">
        <w:rPr>
          <w:lang w:val="en-US"/>
        </w:rPr>
        <w:t> </w:t>
      </w:r>
      <w:r>
        <w:t>цифровая кампания «Габон против ненависти», начатая в декабре 2023 года. Однако он обеспокоен сообщениями об участившихся случаях ненавистнических высказываний на почве расизма и ксенофобии, в том числе в Интернете и социальных сетях, особенно в отношении мигрантов и габонцев иностранного происхождения. Он</w:t>
      </w:r>
      <w:r w:rsidR="00E03801">
        <w:rPr>
          <w:lang w:val="en-US"/>
        </w:rPr>
        <w:t> </w:t>
      </w:r>
      <w:r>
        <w:t>также обеспокоен отсутствием данных с разбивкой по этническому происхождению и национальному происхождению, что не позволяет получить полное представление о масштабах проблемы ненавистнических высказываний на почве расизма и ксенофобии (ст. 2 и 4).</w:t>
      </w:r>
    </w:p>
    <w:p w14:paraId="432D4114" w14:textId="77777777" w:rsidR="004D77A9" w:rsidRPr="00592959" w:rsidRDefault="004D77A9" w:rsidP="004D77A9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 xml:space="preserve">В свете своей общей рекомендации № 35 (2013) </w:t>
      </w:r>
      <w:r w:rsidRPr="00D01CA1">
        <w:rPr>
          <w:b/>
          <w:bCs/>
        </w:rPr>
        <w:t>о борьбе с ненавистническими высказываниями расистского толка</w:t>
      </w:r>
      <w:r>
        <w:rPr>
          <w:b/>
          <w:bCs/>
        </w:rPr>
        <w:t xml:space="preserve"> Комитет рекомендует государству-участнику:</w:t>
      </w:r>
      <w:r>
        <w:t xml:space="preserve"> </w:t>
      </w:r>
    </w:p>
    <w:p w14:paraId="3A267090" w14:textId="77777777" w:rsidR="004D77A9" w:rsidRPr="00592959" w:rsidRDefault="004D77A9" w:rsidP="004D77A9">
      <w:pPr>
        <w:pStyle w:val="SingleTxtG"/>
        <w:ind w:firstLine="567"/>
      </w:pPr>
      <w:bookmarkStart w:id="1" w:name="_Hlk197174828"/>
      <w:bookmarkStart w:id="2" w:name="_Hlk184050000"/>
      <w:r>
        <w:rPr>
          <w:b/>
          <w:bCs/>
        </w:rPr>
        <w:t>a)</w:t>
      </w:r>
      <w:r>
        <w:tab/>
      </w:r>
      <w:r>
        <w:rPr>
          <w:b/>
          <w:bCs/>
        </w:rPr>
        <w:t>принять необходимые меры для предотвращения, осуждения и пресечения ненавистнических высказываний в отношении групп, наиболее подверженных расовой дискриминации, в том числе в Интернете и социальных сетях, содействовать сообщению о таких ненавистнических высказываниях расистского толка, обеспечить надлежащее преследование по закону и наказание виновных, а также доступ жертв к эффективным средствам правовой защиты и соответствующему возмещению ущерба;</w:t>
      </w:r>
      <w:r>
        <w:t xml:space="preserve"> </w:t>
      </w:r>
    </w:p>
    <w:p w14:paraId="6FB9050C" w14:textId="77777777" w:rsidR="004D77A9" w:rsidRPr="00592959" w:rsidRDefault="004D77A9" w:rsidP="004D77A9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ускорить процесс принятия национального плана действий по предотвращению ненавистнических высказываний и подстрекательства к насилию </w:t>
      </w:r>
      <w:r w:rsidRPr="00D01CA1">
        <w:rPr>
          <w:b/>
          <w:bCs/>
        </w:rPr>
        <w:t>и реагированию на них</w:t>
      </w:r>
      <w:r>
        <w:rPr>
          <w:b/>
          <w:bCs/>
        </w:rPr>
        <w:t>;</w:t>
      </w:r>
    </w:p>
    <w:bookmarkEnd w:id="1"/>
    <w:p w14:paraId="28039B2A" w14:textId="77777777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активизировать усилия по пресечению распространения ненавистнических высказываний на почве расизма и ксенофобии в Интернете и социальных сетях в тесном сотрудничестве с поставщиками услуг Интернета, платформами социальных сетей и группами населения, больше других страдающими от ненавистнических высказываний на почве расизма и ксенофобии;</w:t>
      </w:r>
    </w:p>
    <w:bookmarkEnd w:id="2"/>
    <w:p w14:paraId="2D647333" w14:textId="1557526D" w:rsidR="004D77A9" w:rsidRPr="00592959" w:rsidRDefault="004D77A9" w:rsidP="004D77A9">
      <w:pPr>
        <w:pStyle w:val="SingleTxtG"/>
        <w:ind w:firstLine="567"/>
      </w:pPr>
      <w:r>
        <w:rPr>
          <w:b/>
          <w:bCs/>
        </w:rPr>
        <w:t>d)</w:t>
      </w:r>
      <w:r>
        <w:tab/>
      </w:r>
      <w:r>
        <w:rPr>
          <w:b/>
          <w:bCs/>
        </w:rPr>
        <w:t>укрепить программы обучения сотрудников полиции, прокуроров, судей и других должностных лиц, ответственных за поддержание правопорядка, методам выявления и регистрации случаев ненавистнических высказываний расистского толка, расследования таких правонарушений и уголовного преследования совершивших их лиц;</w:t>
      </w:r>
      <w:r>
        <w:t xml:space="preserve"> </w:t>
      </w:r>
    </w:p>
    <w:p w14:paraId="01A4364F" w14:textId="0C327360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продолжать проведение и разработку информационно-просветительских кампаний для населения, направленных, с одной стороны, на искоренение предрассудков и стигматизации групп, наиболее подверженных расовой дискриминации, а с другой стороны</w:t>
      </w:r>
      <w:r w:rsidR="002F2BFE">
        <w:rPr>
          <w:b/>
          <w:bCs/>
        </w:rPr>
        <w:t>,</w:t>
      </w:r>
      <w:r>
        <w:rPr>
          <w:b/>
          <w:bCs/>
        </w:rPr>
        <w:t xml:space="preserve"> на внушение уважения к </w:t>
      </w:r>
      <w:r>
        <w:rPr>
          <w:b/>
          <w:bCs/>
        </w:rPr>
        <w:lastRenderedPageBreak/>
        <w:t>разнообразию и ликвидации расовой дискриминации, в том числе ненавистнических высказываний на почве расизма и ксенофобии;</w:t>
      </w:r>
    </w:p>
    <w:p w14:paraId="13C432D1" w14:textId="77777777" w:rsidR="004D77A9" w:rsidRPr="00592959" w:rsidRDefault="004D77A9" w:rsidP="004D77A9">
      <w:pPr>
        <w:pStyle w:val="SingleTxtG"/>
        <w:ind w:firstLine="567"/>
      </w:pPr>
      <w:r>
        <w:rPr>
          <w:b/>
          <w:bCs/>
        </w:rPr>
        <w:t>f)</w:t>
      </w:r>
      <w:r>
        <w:tab/>
      </w:r>
      <w:r>
        <w:rPr>
          <w:b/>
          <w:bCs/>
        </w:rPr>
        <w:t>собирать и публиковать достоверные и полные статистические данные, в разбивке по этническому или национальному происхождению жертв, касающиеся сообщений о ненавистнических высказываниях расистского толка, осуществленных судебных преследованиях и вынесенных виновным приговорах, а также о возмещении ущерба, предоставленном жертвам.</w:t>
      </w:r>
      <w:r>
        <w:t xml:space="preserve"> </w:t>
      </w:r>
    </w:p>
    <w:p w14:paraId="68DE45A7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Правозащитники и организации гражданского общества</w:t>
      </w:r>
    </w:p>
    <w:p w14:paraId="3223192F" w14:textId="77777777" w:rsidR="004D77A9" w:rsidRPr="00592959" w:rsidRDefault="004D77A9" w:rsidP="004D77A9">
      <w:pPr>
        <w:pStyle w:val="SingleTxtG"/>
      </w:pPr>
      <w:r>
        <w:t>19.</w:t>
      </w:r>
      <w:r>
        <w:tab/>
        <w:t xml:space="preserve">Комитет отмечает, что Конституция Габона от 2024 года признает гражданское общество в качестве проводника идей плюралистической демократии и что оно вносит вклад в демократическое, экономическое, социальное, культурное, экологическое и культурное развитие. Однако он по-прежнему обеспокоен сообщениями о том, что правозащитники и защитники окружающей среды, особенно женщины, фермеры и коренные народы, борющиеся с обезлесением, часто подвергаются злоупотреблениям и репрессиям (ст. 5). </w:t>
      </w:r>
    </w:p>
    <w:p w14:paraId="0789E576" w14:textId="77777777" w:rsidR="004D77A9" w:rsidRPr="00592959" w:rsidRDefault="004D77A9" w:rsidP="004D77A9">
      <w:pPr>
        <w:pStyle w:val="SingleTxtG"/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принять меры для обеспечения того, чтобы организации гражданского общества и правозащитники, в частности те, кто занимается правами этнических меньшинств, коренных народов и мигрантов, могли эффективно выполнять свою работу, не опасаясь репрессий.</w:t>
      </w:r>
      <w:r>
        <w:t xml:space="preserve"> </w:t>
      </w:r>
      <w:r>
        <w:rPr>
          <w:b/>
          <w:bCs/>
        </w:rPr>
        <w:t>Он также рекомендует ему ускорить принятие законопроекта о поощрении деятельности и защите правозащитников.</w:t>
      </w:r>
    </w:p>
    <w:p w14:paraId="50349AFC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Борьба с расовой дискриминацией и структурным неравенством</w:t>
      </w:r>
    </w:p>
    <w:p w14:paraId="0D2A9B74" w14:textId="6288B12F" w:rsidR="004D77A9" w:rsidRPr="00592959" w:rsidRDefault="004D77A9" w:rsidP="004D77A9">
      <w:pPr>
        <w:pStyle w:val="SingleTxtG"/>
      </w:pPr>
      <w:r>
        <w:t>21.</w:t>
      </w:r>
      <w:r>
        <w:tab/>
        <w:t xml:space="preserve">Комитет отмечает меры, принятые государством-участником для борьбы с дискриминацией и неравенством, такие как Программа </w:t>
      </w:r>
      <w:r w:rsidRPr="00787D3E">
        <w:t>«Гражданство и социальная защита»</w:t>
      </w:r>
      <w:r>
        <w:t>, Программа равных возможностей и Программа амбулаторного здравоохранения. Однако он с обеспокоенностью отмечает, что некоторые общины, в</w:t>
      </w:r>
      <w:r w:rsidR="004E67B7">
        <w:rPr>
          <w:lang w:val="en-US"/>
        </w:rPr>
        <w:t> </w:t>
      </w:r>
      <w:r>
        <w:t xml:space="preserve">частности этнические меньшинства и коренные народы, такие как бака, </w:t>
      </w:r>
      <w:proofErr w:type="spellStart"/>
      <w:r>
        <w:t>бабонго</w:t>
      </w:r>
      <w:proofErr w:type="spellEnd"/>
      <w:r>
        <w:t xml:space="preserve">, </w:t>
      </w:r>
      <w:proofErr w:type="spellStart"/>
      <w:r>
        <w:t>бакойя</w:t>
      </w:r>
      <w:proofErr w:type="spellEnd"/>
      <w:r>
        <w:t xml:space="preserve">, </w:t>
      </w:r>
      <w:proofErr w:type="spellStart"/>
      <w:r>
        <w:t>багаме</w:t>
      </w:r>
      <w:proofErr w:type="spellEnd"/>
      <w:r>
        <w:t xml:space="preserve">, </w:t>
      </w:r>
      <w:proofErr w:type="spellStart"/>
      <w:r>
        <w:t>баримба</w:t>
      </w:r>
      <w:proofErr w:type="spellEnd"/>
      <w:r>
        <w:t xml:space="preserve">, акула и </w:t>
      </w:r>
      <w:proofErr w:type="spellStart"/>
      <w:r>
        <w:t>аквоа</w:t>
      </w:r>
      <w:proofErr w:type="spellEnd"/>
      <w:r>
        <w:t>, сталкиваются с множественными формами дискриминации, включая расовую дискриминацию, что приводит к высоким уровням бедности и социальной изоляции, особенно среди людей, живущих в сельских и отдаленных районах. Он также обеспокоен влиянием структурной дискриминации на эффективное осуществление прав, закрепленных в статье 5 Конвенции, в частности права на участие в управлении страной, равно как и в ведении государственных дел, а</w:t>
      </w:r>
      <w:r w:rsidR="00F80AF4">
        <w:t> </w:t>
      </w:r>
      <w:r>
        <w:t>также экономических, социальных и культурных прав, в частности доступ к занятости, охране здоровья и образованию (ст. 2 и 5).</w:t>
      </w:r>
    </w:p>
    <w:p w14:paraId="369A65D1" w14:textId="517C9C4C" w:rsidR="004D77A9" w:rsidRPr="00592959" w:rsidRDefault="004D77A9" w:rsidP="004D77A9">
      <w:pPr>
        <w:pStyle w:val="SingleTxtG"/>
      </w:pPr>
      <w:r>
        <w:t>22.</w:t>
      </w:r>
      <w:r>
        <w:tab/>
      </w:r>
      <w:r>
        <w:rPr>
          <w:b/>
          <w:bCs/>
        </w:rPr>
        <w:t>Ссылаясь на свои предыдущие заключительные замечания</w:t>
      </w:r>
      <w:r w:rsidRPr="00EF3464">
        <w:rPr>
          <w:rStyle w:val="aa"/>
        </w:rPr>
        <w:footnoteReference w:id="7"/>
      </w:r>
      <w:r>
        <w:rPr>
          <w:b/>
          <w:bCs/>
        </w:rPr>
        <w:t xml:space="preserve"> и в свете своей общей рекомендации № 32 (2009) о значении и сфере применения особых мер в Конвенции, Комитет настоятельно призывает государство-участник принять необходимые меры, включая особые меры или позитивные действия, направленные на ликвидацию дискриминации и неравенства, с которыми сталкиваются коренные народы и этнические меньшинства, включая косвенную дискриминацию, а также всех препятствий для полного и равного осуществления ими своих прав в соответствии со статьями 1 (п. 4), 2 (п. 2) и 5 Конвенции.</w:t>
      </w:r>
      <w:r>
        <w:t xml:space="preserve"> </w:t>
      </w:r>
      <w:r>
        <w:rPr>
          <w:b/>
          <w:bCs/>
        </w:rPr>
        <w:t>Он</w:t>
      </w:r>
      <w:r w:rsidR="004E67B7">
        <w:rPr>
          <w:b/>
          <w:bCs/>
          <w:lang w:val="en-US"/>
        </w:rPr>
        <w:t> </w:t>
      </w:r>
      <w:r>
        <w:rPr>
          <w:b/>
          <w:bCs/>
        </w:rPr>
        <w:t>напоминает, что в соответствии с вышеупомянутой общей рекомендацией государства-участники несут ответственность за обеспечение того, чтобы эти особые меры применялись на всей их территории, разрабатывались и осуществлялись по согласованию с соответствующими общинами и при их активном участии.</w:t>
      </w:r>
      <w:r>
        <w:t xml:space="preserve"> </w:t>
      </w:r>
      <w:r w:rsidRPr="002810B0">
        <w:rPr>
          <w:b/>
          <w:bCs/>
        </w:rPr>
        <w:t>Кроме того</w:t>
      </w:r>
      <w:r>
        <w:t xml:space="preserve">, </w:t>
      </w:r>
      <w:r>
        <w:rPr>
          <w:b/>
          <w:bCs/>
        </w:rPr>
        <w:t>Комитет рекомендует государству-участнику:</w:t>
      </w:r>
    </w:p>
    <w:p w14:paraId="5C40D100" w14:textId="77777777" w:rsidR="004D77A9" w:rsidRPr="00592959" w:rsidRDefault="004D77A9" w:rsidP="004D77A9">
      <w:pPr>
        <w:pStyle w:val="SingleTxtG"/>
        <w:ind w:firstLine="567"/>
      </w:pPr>
      <w:r>
        <w:rPr>
          <w:b/>
          <w:bCs/>
        </w:rPr>
        <w:t>a)</w:t>
      </w:r>
      <w:r>
        <w:tab/>
      </w:r>
      <w:r>
        <w:rPr>
          <w:b/>
          <w:bCs/>
        </w:rPr>
        <w:t>удвоить усилия по сокращению структурного неравенства и бедности, от которых страдают коренные народы и этнические меньшинства, особенно в сельских и отдаленных районах;</w:t>
      </w:r>
    </w:p>
    <w:p w14:paraId="3D9ED12E" w14:textId="77777777" w:rsidR="004D77A9" w:rsidRPr="00592959" w:rsidRDefault="004D77A9" w:rsidP="004D77A9">
      <w:pPr>
        <w:pStyle w:val="SingleTxtG"/>
        <w:ind w:firstLine="567"/>
      </w:pPr>
      <w:r>
        <w:rPr>
          <w:b/>
          <w:bCs/>
        </w:rPr>
        <w:lastRenderedPageBreak/>
        <w:t>b)</w:t>
      </w:r>
      <w:r>
        <w:tab/>
      </w:r>
      <w:r>
        <w:rPr>
          <w:b/>
          <w:bCs/>
        </w:rPr>
        <w:t>усилить программу «Гражданство и социальная защита» и меры по облегчению доступа представителей коренных народов, этнических меньшинств и неграждан к документам гражданского состояния, включая регистрацию рождения, особенно в сельских и отдаленных районах, путем повышения осведомленности этих групп о важности регистрации и обеспечения недискриминационного применения всех положений, касающихся выдачи документов, удостоверяющих личность, уделяя приоритетное внимание обездоленным группам;</w:t>
      </w:r>
    </w:p>
    <w:p w14:paraId="10CBA5EF" w14:textId="77777777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принять эффективные меры для обеспечения полноценного участия представителей коренных народов и этнических меньшинств, в частности женщин, в ведении государственных дел и содействовать их представленности на руководящих должностях в государственном и частном секторах;</w:t>
      </w:r>
    </w:p>
    <w:p w14:paraId="6FA97B97" w14:textId="67463B14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принять дальнейшие меры по борьбе с расовой дискриминацией в сфере занятости и неправомерной и эксплуататорской трудовой практикой, затрагивающей, в частности, коренные народы и этнические меньшинства, и</w:t>
      </w:r>
      <w:r w:rsidR="000B6FE1">
        <w:rPr>
          <w:b/>
          <w:bCs/>
        </w:rPr>
        <w:t> </w:t>
      </w:r>
      <w:r>
        <w:rPr>
          <w:b/>
          <w:bCs/>
        </w:rPr>
        <w:t>облегчить им доступ в формальный сектор экономики и к справедливым и благоприятным условиям труда;</w:t>
      </w:r>
    </w:p>
    <w:p w14:paraId="53F751C8" w14:textId="77777777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удвоить усилия по обеспечению того, чтобы коренные народы и представители этнических меньшинств имели равный доступ к высококачественным, культурно приемлемым медицинским услугам;</w:t>
      </w:r>
    </w:p>
    <w:p w14:paraId="52093E4C" w14:textId="77777777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принять дополнительные меры по борьбе с дискриминацией и неравенством в сфере образования, затрагивающими людей из общин коренных народов и этнических меньшинств, и обеспечить наличие, доступность и качество образования на всех уровнях для детей из этих общин, включая меры по укреплению образования на языках меньшинств и коренных народов.</w:t>
      </w:r>
    </w:p>
    <w:p w14:paraId="47A7BEE1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Права коренных народов</w:t>
      </w:r>
    </w:p>
    <w:p w14:paraId="09528C57" w14:textId="77777777" w:rsidR="004D77A9" w:rsidRPr="00592959" w:rsidRDefault="004D77A9" w:rsidP="004D77A9">
      <w:pPr>
        <w:pStyle w:val="SingleTxtG"/>
      </w:pPr>
      <w:r>
        <w:t>23.</w:t>
      </w:r>
      <w:r>
        <w:tab/>
        <w:t xml:space="preserve">Комитет отмечает меры, принятые государством-участником для поощрения и защиты прав коренных народов. Тем не менее он обеспокоен отсутствием юридического признания коренных народов и конкретной законодательной базы для поощрения и защиты их прав, включая право на коллективную собственность на земли, традиционно занимаемые коренными народами, и право на консультации, направленные на получение их свободного, предварительного и осознанного согласия. Он также обеспокоен сообщениями о перемещении коренных народов без их свободного, предварительного и осознанного согласия, а также о негативном воздействии проектов по развитию инфраструктуры и эксплуатации природных ресурсов, таких как добыча полезных ископаемых и лесозаготовки, на экосистемы, территории, ресурсы и традиционный образ жизни коренных народов (ст. 5). </w:t>
      </w:r>
    </w:p>
    <w:p w14:paraId="3EDEADD6" w14:textId="77777777" w:rsidR="004D77A9" w:rsidRPr="00592959" w:rsidRDefault="004D77A9" w:rsidP="004D77A9">
      <w:pPr>
        <w:pStyle w:val="SingleTxtG"/>
      </w:pPr>
      <w:r>
        <w:t>24.</w:t>
      </w:r>
      <w:r>
        <w:tab/>
      </w:r>
      <w:r>
        <w:rPr>
          <w:b/>
          <w:bCs/>
        </w:rPr>
        <w:t>В свете своей общей рекомендации № 23 (1997) о правах коренных народов и со ссылкой на Декларацию Организации Объединенных Наций о правах коренных народов 2007 года Комитет рекомендует государству-участнику:</w:t>
      </w:r>
    </w:p>
    <w:p w14:paraId="7FBFC879" w14:textId="77777777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все необходимые меры для обеспечения недискриминации, признания и правовой защиты коренных народов, включая принятие специального закона для поощрения и защиты их прав;</w:t>
      </w:r>
      <w:r>
        <w:t xml:space="preserve"> </w:t>
      </w:r>
    </w:p>
    <w:p w14:paraId="7B7AD313" w14:textId="77777777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принять закон, регулирующий процедуры консультаций, направленных на получение свободного, предварительного и осознанного согласия коренных народов на проекты, затрагивающие их экологические экосистемы и их образ жизни, создать соответствующие механизмы для проведения таких консультаций и обеспечить эффективное участие коренных народов в разработке такого закона и в создании механизмов консультаций;</w:t>
      </w:r>
    </w:p>
    <w:p w14:paraId="32006954" w14:textId="77777777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пересмотреть законодательную базу, регулирующую право собственности на землю, чтобы гарантировать защиту права коренных народов на владение, пользование, освоение и контроль над своими землями, территориями и ресурсами, обеспечив их эффективное и значимое участие в процессе пересмотра;</w:t>
      </w:r>
    </w:p>
    <w:p w14:paraId="54D584DF" w14:textId="77777777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lastRenderedPageBreak/>
        <w:t>d)</w:t>
      </w:r>
      <w:r>
        <w:tab/>
      </w:r>
      <w:r>
        <w:rPr>
          <w:b/>
          <w:bCs/>
        </w:rPr>
        <w:t>принять меры для обеспечения консультаций с коренными народами по любым законодательным или административным мерам или проектам развития инфраструктуры и эксплуатации природных ресурсов, которые могут затронуть их земли, территории и ресурсы;</w:t>
      </w:r>
    </w:p>
    <w:p w14:paraId="1E57322F" w14:textId="2E8F1D6B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предпринять меры в целях обеспечения доступа коренных народов к эффективным средствам правовой защиты и предоставления им справедливой компенсации за земли, территории и ресурсы, которыми они традиционно владели или пользовались и которые были конфискованы, заняты или использованы без их свободного, предварительного и осознанного согласия или которым был нанесен ущерб;</w:t>
      </w:r>
    </w:p>
    <w:p w14:paraId="122D0061" w14:textId="77777777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 xml:space="preserve">предпринять меры для обеспечения того, чтобы коренные народы, вывезенные из своих деревень в </w:t>
      </w:r>
      <w:proofErr w:type="spellStart"/>
      <w:r>
        <w:rPr>
          <w:b/>
          <w:bCs/>
        </w:rPr>
        <w:t>Бакумбе</w:t>
      </w:r>
      <w:proofErr w:type="spellEnd"/>
      <w:r>
        <w:rPr>
          <w:b/>
          <w:bCs/>
        </w:rPr>
        <w:t xml:space="preserve"> и переселенные в другие места без их свободного, предварительного и осознанного согласия, получили справедливую и сбалансированную компенсацию и адекватные условия для переселения и жизни.</w:t>
      </w:r>
    </w:p>
    <w:p w14:paraId="637451C4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Лица иностранного происхождения</w:t>
      </w:r>
    </w:p>
    <w:p w14:paraId="0071C5D1" w14:textId="441BEF2E" w:rsidR="004D77A9" w:rsidRPr="00592959" w:rsidRDefault="004D77A9" w:rsidP="004D77A9">
      <w:pPr>
        <w:pStyle w:val="SingleTxtG"/>
      </w:pPr>
      <w:r>
        <w:t>25.</w:t>
      </w:r>
      <w:r>
        <w:tab/>
        <w:t xml:space="preserve">Принимая к сведению представленную государством-участником информацию о натурализации </w:t>
      </w:r>
      <w:proofErr w:type="spellStart"/>
      <w:r>
        <w:t>габонcких</w:t>
      </w:r>
      <w:proofErr w:type="spellEnd"/>
      <w:r>
        <w:t xml:space="preserve"> хауса, Комитет обеспокоен сообщениями о росте ненавистнических высказываний в отношении габонских граждан иностранного происхождения и </w:t>
      </w:r>
      <w:proofErr w:type="spellStart"/>
      <w:r>
        <w:t>габонcких</w:t>
      </w:r>
      <w:proofErr w:type="spellEnd"/>
      <w:r>
        <w:t xml:space="preserve"> хауса, а также дискриминационным обращением в некоторых случаях, включая удержание миграционными властями их паспортов по возвращении из поездок и возможность их получения только при предъявлении документов, подтверждающих габонское гражданство, а также трудности с получением документов, удостоверяющих личность, в частности паспортов. Кроме того, он с обеспокоенностью отмечает, что применение политики «</w:t>
      </w:r>
      <w:proofErr w:type="spellStart"/>
      <w:r>
        <w:t>габонизации</w:t>
      </w:r>
      <w:proofErr w:type="spellEnd"/>
      <w:r>
        <w:t>» рабочих мест может фактически привести к дискриминационной практике по признаку национального происхождения, расы, цвета кожи или религии в отношении габонских граждан иностранного происхождения (ст. 5).</w:t>
      </w:r>
    </w:p>
    <w:p w14:paraId="27BE8ED6" w14:textId="77777777" w:rsidR="004D77A9" w:rsidRPr="00592959" w:rsidRDefault="004D77A9" w:rsidP="004D77A9">
      <w:pPr>
        <w:pStyle w:val="SingleTxtG"/>
      </w:pPr>
      <w:r>
        <w:t>26.</w:t>
      </w:r>
      <w:r>
        <w:tab/>
      </w:r>
      <w:r>
        <w:rPr>
          <w:b/>
          <w:bCs/>
        </w:rPr>
        <w:t xml:space="preserve">Комитет рекомендует государству-участнику принять необходимые меры для предотвращения, искоренения и наказания ненавистнических высказываний в отношении габонских граждан иностранного происхождения и </w:t>
      </w:r>
      <w:proofErr w:type="spellStart"/>
      <w:r>
        <w:rPr>
          <w:b/>
          <w:bCs/>
        </w:rPr>
        <w:t>габонcких</w:t>
      </w:r>
      <w:proofErr w:type="spellEnd"/>
      <w:r>
        <w:rPr>
          <w:b/>
          <w:bCs/>
        </w:rPr>
        <w:t xml:space="preserve"> хауса, а также дискриминационного отношения к ним, в том числе со стороны миграционных служб.</w:t>
      </w:r>
      <w:r>
        <w:t xml:space="preserve"> </w:t>
      </w:r>
      <w:r>
        <w:rPr>
          <w:b/>
          <w:bCs/>
        </w:rPr>
        <w:t>Он также рекомендует ему обеспечить, чтобы реализация политики «</w:t>
      </w:r>
      <w:proofErr w:type="spellStart"/>
      <w:r>
        <w:rPr>
          <w:b/>
          <w:bCs/>
        </w:rPr>
        <w:t>габонизации</w:t>
      </w:r>
      <w:proofErr w:type="spellEnd"/>
      <w:r>
        <w:rPr>
          <w:b/>
          <w:bCs/>
        </w:rPr>
        <w:t>» рабочих мест не приводила к дискриминационной практике при найме или увольнении габонских граждан иностранного происхождения.</w:t>
      </w:r>
    </w:p>
    <w:p w14:paraId="547A6C27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Положение неграждан, в частности мигрантов, просителей убежища и беженцев</w:t>
      </w:r>
    </w:p>
    <w:p w14:paraId="7793F349" w14:textId="492BD4B6" w:rsidR="004D77A9" w:rsidRPr="00592959" w:rsidRDefault="004D77A9" w:rsidP="004D77A9">
      <w:pPr>
        <w:pStyle w:val="SingleTxtG"/>
        <w:rPr>
          <w:bCs/>
        </w:rPr>
      </w:pPr>
      <w:r>
        <w:t>27.</w:t>
      </w:r>
      <w:r>
        <w:tab/>
        <w:t>Комитет обеспокоен положениями Закона № 5/86 от 17 июня 1986 года, устанавливающими режим приема и проживания иностранцев в Габонской Республике, которые предусматривают уголовную ответственность за нелегальную миграцию. Принимая к сведению представленную государством-участником информацию о мерах, принятых в области интеграции неграждан и урегулирования миграционного статуса, он выражает сожаление по поводу отсутствия достаточной информации, включая статистические данные, о результатах и воздействии этих мер, в частности о прогрессе, достигнутом в улучшении социально-экономического положения неграждан. Комитет обеспокоен сведениями о том, что просители убежища не имеют доступа к медицинским услугам в ожидании решения о своем статусе беженца. Кроме того,</w:t>
      </w:r>
      <w:r w:rsidR="008A1A97" w:rsidRPr="008A1A97">
        <w:t xml:space="preserve"> </w:t>
      </w:r>
      <w:r>
        <w:t>он с обеспокоенностью отмечает, что мигранты, беженцы и просители убежища становятся объектом предрассудков, стереотипов, ксенофобских и расистских актов. Он также обеспокоен сведениями о том, что мигранты, беженцы и просители убежища подвергаются рэкету и «расовому профилированию» со стороны сотрудников правоохранительных органов (ст. 2 и 5).</w:t>
      </w:r>
    </w:p>
    <w:p w14:paraId="01E93B3F" w14:textId="77777777" w:rsidR="004D77A9" w:rsidRPr="00592959" w:rsidRDefault="004D77A9" w:rsidP="004D77A9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>В свете своей общей рекомендации № 30 (2004) о дискриминации неграждан Комитет рекомендует государству-участнику:</w:t>
      </w:r>
    </w:p>
    <w:p w14:paraId="6B929FF3" w14:textId="77777777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lastRenderedPageBreak/>
        <w:t>a)</w:t>
      </w:r>
      <w:r>
        <w:tab/>
      </w:r>
      <w:r>
        <w:rPr>
          <w:b/>
          <w:bCs/>
        </w:rPr>
        <w:t>пересмотреть Закон № 5/86 и обеспечить его соответствие международным обязательствам страны, в частности отменив действующие положения, криминализирующие нерегулярную миграцию;</w:t>
      </w:r>
      <w:r>
        <w:t xml:space="preserve"> </w:t>
      </w:r>
    </w:p>
    <w:p w14:paraId="730F12BB" w14:textId="77777777" w:rsidR="004D77A9" w:rsidRPr="00592959" w:rsidRDefault="004D77A9" w:rsidP="004D77A9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принять дополнительные меры по содействию интеграции неграждан, включая принятие национального плана действий, и разработать систему показателей для оценки воздействия его государственной политики и других мер, в частности в отношении эффективного осуществления экономических, социальных и культурных прав;</w:t>
      </w:r>
      <w:r>
        <w:t xml:space="preserve"> </w:t>
      </w:r>
    </w:p>
    <w:p w14:paraId="244E7E9B" w14:textId="77777777" w:rsidR="004D77A9" w:rsidRPr="00592959" w:rsidRDefault="004D77A9" w:rsidP="004D77A9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принять необходимые меры, чтобы гарантировать в законодательстве и на практике доступ к услугам первичной медико-санитарной помощи для просителей убежища, ожидающих окончательного решения по их статусу беженца;</w:t>
      </w:r>
    </w:p>
    <w:p w14:paraId="725BBEB9" w14:textId="77777777" w:rsidR="004D77A9" w:rsidRPr="00592959" w:rsidRDefault="004D77A9" w:rsidP="004D77A9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активизировать меры по предотвращению и пресечению предрассудков, стереотипов, ксенофобии и расовой дискриминации в отношении мигрантов, беженцев и просителей убежища, в том числе путем проведения информационно-просветительских кампаний и решительного осуждения любых ксенофобских и расистских проявлений, в том числе со стороны государственных органов;</w:t>
      </w:r>
    </w:p>
    <w:p w14:paraId="44B0A4CF" w14:textId="77777777" w:rsidR="004D77A9" w:rsidRPr="00592959" w:rsidRDefault="004D77A9" w:rsidP="004D77A9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обеспечить расследование и судебное преследование любых актов расовой или ксенофобной дискриминации в отношении неграждан, включая рэкет и фейсконтроль со стороны сотрудников правоохранительных органов, наказание виновных и надлежащее возмещение ущерба жертвам.</w:t>
      </w:r>
    </w:p>
    <w:p w14:paraId="47AF7EBA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Борьба с торговлей людьми</w:t>
      </w:r>
    </w:p>
    <w:p w14:paraId="329D8422" w14:textId="6C10B80C" w:rsidR="004D77A9" w:rsidRPr="006C31B2" w:rsidRDefault="004D77A9" w:rsidP="004D77A9">
      <w:pPr>
        <w:pStyle w:val="SingleTxtG"/>
        <w:rPr>
          <w:b/>
        </w:rPr>
      </w:pPr>
      <w:r>
        <w:t>29.</w:t>
      </w:r>
      <w:r>
        <w:tab/>
        <w:t xml:space="preserve">Комитет принимает к сведению принятые государством-участником меры по предупреждению торговли людьми и борьбе с ней, такие как Декрет № 0133/PR/MJGS от 27 марта 2024 года о создании, полномочиях, организации и деятельности Национальной комиссии по предупреждению торговли людьми и борьбе с ней в Габонской Республике и Закон № 006/2020 от 30 июня 2020 года о внесении изменений в Закон № 042/2018 от 5 июля 2019 года об Уголовном кодексе Габонской Республики, в частности в положения, касающиеся торговли людьми. Вместе с тем он с обеспокоенностью отмечает сохраняющуюся торговлю людьми, особенно в целях трудовой эксплуатации, сексуальной эксплуатации, подневольного труда в домашнем хозяйстве и попрошайничества, от которой в непропорционально большой степени страдают дети-мигранты. Он обеспокоен отсутствием подробной информации о мерах, принятых для улучшения процедур выявления жертв торговли людьми среди мигрантов, беженцев и просителей убежища, а также о предоставляемой им помощи и услугах по реабилитации. Комитет также сожалеет об отсутствии информации о жалобах, расследованиях, преследованиях, осуждениях и наказаниях, связанных с торговлей людьми, а также о мерах по возмещению ущерба жертвам торговли людьми (ст. 2, 5 и 6). </w:t>
      </w:r>
    </w:p>
    <w:p w14:paraId="5FE2C8AB" w14:textId="77777777" w:rsidR="004D77A9" w:rsidRPr="00592959" w:rsidRDefault="004D77A9" w:rsidP="004D77A9">
      <w:pPr>
        <w:pStyle w:val="SingleTxtG"/>
        <w:rPr>
          <w:b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A392A6E" w14:textId="7B6DCBAA" w:rsidR="004D77A9" w:rsidRPr="00592959" w:rsidRDefault="004D77A9" w:rsidP="004D77A9">
      <w:pPr>
        <w:pStyle w:val="SingleTxtG"/>
        <w:ind w:firstLine="567"/>
        <w:rPr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укрепить законодательную и институциональную базу и государственную политику в области борьбы с торговлей людьми, в том числе путем пересмотра положений Уголовного кодекса, запрещающих торговлю людьми, в соответствии с международными стандартами, ускорить принятие проекта национальной стратегии и плана действий по предупреждению торговли людьми и борьбе с ней на период  2025</w:t>
      </w:r>
      <w:r w:rsidR="00685128" w:rsidRPr="001C6754">
        <w:rPr>
          <w:b/>
          <w:bCs/>
        </w:rPr>
        <w:t>–</w:t>
      </w:r>
      <w:r>
        <w:rPr>
          <w:b/>
          <w:bCs/>
        </w:rPr>
        <w:t>2029 годов и выделить Национальной комиссии по предупреждению торговли людьми и борьбе с ней достаточные кадровые, финансовые и технические ресурсы, чтобы она могла эффективно выполнять свой мандат;</w:t>
      </w:r>
    </w:p>
    <w:p w14:paraId="1E1D7D6D" w14:textId="47D9A411" w:rsidR="004D77A9" w:rsidRPr="00592959" w:rsidRDefault="004D77A9" w:rsidP="004D77A9">
      <w:pPr>
        <w:pStyle w:val="SingleTxtG"/>
        <w:ind w:firstLine="567"/>
        <w:rPr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активизировать усилия по расследованию всех сообщений о торговле людьми, судебному преследованию лиц, совершивших такие деяния, и,</w:t>
      </w:r>
      <w:r w:rsidR="009F5725">
        <w:rPr>
          <w:b/>
          <w:bCs/>
          <w:lang w:val="en-US"/>
        </w:rPr>
        <w:t> </w:t>
      </w:r>
      <w:r>
        <w:rPr>
          <w:b/>
          <w:bCs/>
        </w:rPr>
        <w:t xml:space="preserve">в случае признания виновными, назначению им соответствующей меры </w:t>
      </w:r>
      <w:r>
        <w:rPr>
          <w:b/>
          <w:bCs/>
        </w:rPr>
        <w:lastRenderedPageBreak/>
        <w:t>наказания, содействуя сообщению информации о фактах торговли людьми обеспечивая при этом доступ жертв к эффективным средствам правовой защиты;</w:t>
      </w:r>
      <w:r>
        <w:t xml:space="preserve"> </w:t>
      </w:r>
    </w:p>
    <w:p w14:paraId="6C6192AA" w14:textId="77777777" w:rsidR="004D77A9" w:rsidRPr="00592959" w:rsidRDefault="004D77A9" w:rsidP="004D77A9">
      <w:pPr>
        <w:pStyle w:val="SingleTxtG"/>
        <w:ind w:firstLine="567"/>
        <w:rPr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усовершенствовать процедуры раннего выявления жертв торговли людьми, включая мигрантов, беженцев и лиц, ищущих убежище, и создать комплексную систему направления к специалистам для обеспечения доступа к соответствующим службам поддержки, принимая целенаправленные меры по защите наиболее уязвимых групп населения, в частности детей-мигрантов;</w:t>
      </w:r>
      <w:r>
        <w:t xml:space="preserve"> </w:t>
      </w:r>
    </w:p>
    <w:p w14:paraId="76447C50" w14:textId="77777777" w:rsidR="004D77A9" w:rsidRPr="00592959" w:rsidRDefault="004D77A9" w:rsidP="004D77A9">
      <w:pPr>
        <w:pStyle w:val="SingleTxtG"/>
        <w:ind w:firstLine="567"/>
        <w:rPr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усилить меры по защите и поддержке жертв и обеспечить им реальный доступ к соответствующей юридической, медицинской и психологической помощи и к социальным услугам;</w:t>
      </w:r>
      <w:r>
        <w:t xml:space="preserve"> </w:t>
      </w:r>
    </w:p>
    <w:p w14:paraId="3C62134E" w14:textId="77777777" w:rsidR="004D77A9" w:rsidRPr="00592959" w:rsidRDefault="004D77A9" w:rsidP="004D77A9">
      <w:pPr>
        <w:pStyle w:val="SingleTxtG"/>
        <w:ind w:firstLine="567"/>
        <w:rPr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продолжать деятельность по обучению сотрудников полиции, пограничных войск и иммиграционных служб, судей, прокуроров и трудовых инспекторов с целью обеспечения эффективного применения национального законодательства о борьбе с торговлей людьми.</w:t>
      </w:r>
      <w:r>
        <w:t xml:space="preserve"> </w:t>
      </w:r>
    </w:p>
    <w:p w14:paraId="198B761F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Правовые и институциональные основы предоставления убежища</w:t>
      </w:r>
    </w:p>
    <w:p w14:paraId="163F547D" w14:textId="60D3F80D" w:rsidR="004D77A9" w:rsidRPr="00592959" w:rsidRDefault="004D77A9" w:rsidP="004D77A9">
      <w:pPr>
        <w:pStyle w:val="SingleTxtG"/>
        <w:rPr>
          <w:b/>
        </w:rPr>
      </w:pPr>
      <w:r>
        <w:t>31.</w:t>
      </w:r>
      <w:r>
        <w:tab/>
        <w:t>Комитет принимает к сведению представленную государством-участником информацию о правовой базе, касающейся убежища, в частности Законе № 5/98 от 5</w:t>
      </w:r>
      <w:r w:rsidR="0009615D">
        <w:rPr>
          <w:lang w:val="en-US"/>
        </w:rPr>
        <w:t> </w:t>
      </w:r>
      <w:r>
        <w:t>марта 1996 года о статусе беженцев в Габонской Республике и постановлениях о его применении. Однако его беспокоят сообщения об отсутствии стандартных операционных процедур для определения статуса беженца и выявления лиц, прибывающих на границу и нуждающихся в международной защите. Он также сожалеет об отсутствии достаточной информации о мерах, принятых для укрепления функционирования Национальной комиссии по делам беженцев (ст. 1, 2 и 5).</w:t>
      </w:r>
    </w:p>
    <w:p w14:paraId="1698EEFE" w14:textId="77777777" w:rsidR="004D77A9" w:rsidRPr="00592959" w:rsidRDefault="004D77A9" w:rsidP="004D77A9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В свете своей общей рекомендации № 30 (2004) о дискриминации неграждан Комитет рекомендует государству-участнику разработать и внедрить стандартные процедуры определения статуса беженца и быстрого выявления лиц, нуждающихся в международной защите, по прибытии на сухопутные или морские границы.</w:t>
      </w:r>
      <w:r>
        <w:t xml:space="preserve"> </w:t>
      </w:r>
      <w:r>
        <w:rPr>
          <w:b/>
          <w:bCs/>
        </w:rPr>
        <w:t>Он также рекомендует ему принять меры по укреплению функционирования Национальной комиссии по делам беженцев, включая сбор и обработку данных о просителях убежища и беженцах, и выделить Комиссии достаточные людские, финансовые и технические ресурсы, чтобы она могла эффективно выполнять свой мандат.</w:t>
      </w:r>
    </w:p>
    <w:p w14:paraId="041546DE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Безгражданство</w:t>
      </w:r>
    </w:p>
    <w:p w14:paraId="3F4C55CA" w14:textId="77777777" w:rsidR="004D77A9" w:rsidRPr="00592959" w:rsidRDefault="004D77A9" w:rsidP="004D77A9">
      <w:pPr>
        <w:pStyle w:val="SingleTxtG"/>
        <w:rPr>
          <w:b/>
        </w:rPr>
      </w:pPr>
      <w:r>
        <w:t>33.</w:t>
      </w:r>
      <w:r>
        <w:tab/>
        <w:t>Отмечая усилия государства-участника по предотвращению безгражданства, Комитет сожалеет об отсутствии достаточной и подробной информации об институциональных рамках по его предотвращению и искоренению. Он обеспокоен отсутствием национального плана действий по сокращению и предотвращению безгражданства (ст. 5).</w:t>
      </w:r>
    </w:p>
    <w:p w14:paraId="6E84077D" w14:textId="4AD567FC" w:rsidR="004D77A9" w:rsidRPr="00592959" w:rsidRDefault="004D77A9" w:rsidP="004D77A9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>В свете своей общей рекомендации № 30 (2004) о дискриминации неграждан Комитет рекомендует государству-участнику создать национальный механизм по вопросам безгражданства, имеющий правовую базу и четкий мандат, позволяющий ему эффективно функционировать.</w:t>
      </w:r>
      <w:r>
        <w:t xml:space="preserve"> </w:t>
      </w:r>
      <w:r>
        <w:rPr>
          <w:b/>
          <w:bCs/>
        </w:rPr>
        <w:t>Он также рекомендует ему принять национальный план действий по сокращению и предупреждению безгражданства, включая меры, касающиеся выявления и защиты мигрантов без гражданства и лиц без гражданства, прибывающих в составе смешанных миграционных потоков, и выделить достаточные ресурсы для его эффективного осуществления.</w:t>
      </w:r>
      <w:r>
        <w:t xml:space="preserve"> </w:t>
      </w:r>
      <w:r>
        <w:rPr>
          <w:b/>
          <w:bCs/>
        </w:rPr>
        <w:t>Кроме того, он рекомендует ему ускорить процесс присоединения к Конвенции 1954 года о статусе апатридов и Конвенции 1961 года о сокращении безгражданства.</w:t>
      </w:r>
      <w:r>
        <w:t xml:space="preserve"> </w:t>
      </w:r>
    </w:p>
    <w:p w14:paraId="5A202FD5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Жалобы на расовую дискриминацию и доступ к правосудию</w:t>
      </w:r>
    </w:p>
    <w:p w14:paraId="1FD7EE19" w14:textId="77777777" w:rsidR="004D77A9" w:rsidRPr="00592959" w:rsidRDefault="004D77A9" w:rsidP="004D77A9">
      <w:pPr>
        <w:pStyle w:val="SingleTxtG"/>
        <w:rPr>
          <w:b/>
        </w:rPr>
      </w:pPr>
      <w:r>
        <w:t>35.</w:t>
      </w:r>
      <w:r>
        <w:tab/>
        <w:t xml:space="preserve">Принимая к сведению представленную государством-участником информацию о небольшом количестве жалоб на расовую дискриминацию, Комитет обеспокоен </w:t>
      </w:r>
      <w:r>
        <w:lastRenderedPageBreak/>
        <w:t xml:space="preserve">отсутствием системы регистрации и сбора данных о случаях расовой дискриминации и сожалеет об отсутствии достаточной и подробной информации о жалобах на расовую дискриминацию, ненавистнические высказывания на почве расизма и связанные с ней правонарушения, поданных в суды или другие национальные учреждения, а также о результатах проведенных расследований и судебных преследований, назначенных наказаниях виновным и возмещении ущерба жертвам. Он сожалеет также о том, что в делах о расовой дискриминации государство-участник не применяет принцип переноса бремени доказывания (ст. 5 и 6). </w:t>
      </w:r>
    </w:p>
    <w:p w14:paraId="39D60841" w14:textId="402AAEB8" w:rsidR="004D77A9" w:rsidRPr="0010749D" w:rsidRDefault="004D77A9" w:rsidP="004D77A9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В свете своей общей рекомендации № 31 (2005) о предупреждении расовой дискриминации в процессе отправления и функционирования системы уголовного правосудия Комитет напоминает государству-участнику, что отсутствие или незначительное число жалоб и судебных исков, поданных жертвами расовой дискриминации, может свидетельствовать об отсутствии конкретного законодательства в этой области, недостаточной осведомленности жертв о своих правах, страхе жертв перед общественным осуждением или местью, опасениях в связи с дороговизной и сложностью судебного разбирательства, отсутствии доверия к полиции и судебным органам или недостаточном внимании или недостаточной информационно-просветительской работе со стороны этих органов в области правонарушений на почве расизма.</w:t>
      </w:r>
      <w:r>
        <w:t xml:space="preserve"> </w:t>
      </w:r>
      <w:r w:rsidRPr="0010749D">
        <w:rPr>
          <w:b/>
          <w:bCs/>
        </w:rPr>
        <w:t>Ссылаясь на свои предыдущие заключительные замечания</w:t>
      </w:r>
      <w:r w:rsidRPr="0010749D">
        <w:rPr>
          <w:rStyle w:val="aa"/>
          <w:b/>
          <w:bCs/>
        </w:rPr>
        <w:footnoteReference w:id="8"/>
      </w:r>
      <w:r w:rsidR="00B60119" w:rsidRPr="0010749D">
        <w:rPr>
          <w:b/>
          <w:bCs/>
        </w:rPr>
        <w:t>,</w:t>
      </w:r>
      <w:r w:rsidRPr="0010749D">
        <w:rPr>
          <w:b/>
          <w:bCs/>
        </w:rPr>
        <w:t xml:space="preserve"> Комитет настоятельно рекомендует государству-участнику: </w:t>
      </w:r>
    </w:p>
    <w:p w14:paraId="630770EA" w14:textId="77777777" w:rsidR="004D77A9" w:rsidRPr="00592959" w:rsidRDefault="004D77A9" w:rsidP="004D77A9">
      <w:pPr>
        <w:pStyle w:val="SingleTxtG"/>
        <w:ind w:firstLine="567"/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обеспечить, чтобы законодательная база для борьбы с расовой дискриминацией содержала соответствующие положения, принять необходимые меры для облегчения сообщения о таких случаях и обеспечить, чтобы все жертвы расовой дискриминации имели доступ к эффективным средствам правовой защиты и надлежащему возмещению ущерба;</w:t>
      </w:r>
    </w:p>
    <w:p w14:paraId="2F83AFE7" w14:textId="77777777" w:rsidR="004D77A9" w:rsidRPr="00592959" w:rsidRDefault="004D77A9" w:rsidP="004D77A9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активизировать проведение общественных информационных кампаний, направленных на повышение осведомленности о правах, закрепленных в Конвенции, и об имеющихся судебных и внесудебных средствах защиты этих прав, ориентируясь, в частности, на группы, наиболее подверженные расовой дискриминации, включая коренные народы, этнические меньшинства, мигрантов, беженцев и просителей убежища;</w:t>
      </w:r>
    </w:p>
    <w:p w14:paraId="6A000429" w14:textId="77777777" w:rsidR="004D77A9" w:rsidRPr="00592959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удвоить усилия по обеспечению жертвам расовой дискриминации эффективного доступа к услугам переводчиков и бесплатной юридической помощи, а также выделить достаточные людские и финансовые ресурсы на эти цели;</w:t>
      </w:r>
    </w:p>
    <w:p w14:paraId="1DAC9188" w14:textId="77777777" w:rsidR="004D77A9" w:rsidRPr="00592959" w:rsidRDefault="004D77A9" w:rsidP="004D77A9">
      <w:pPr>
        <w:pStyle w:val="SingleTxtG"/>
        <w:ind w:firstLine="567"/>
      </w:pPr>
      <w:r>
        <w:rPr>
          <w:b/>
          <w:bCs/>
        </w:rPr>
        <w:t>d)</w:t>
      </w:r>
      <w:r>
        <w:tab/>
      </w:r>
      <w:r>
        <w:rPr>
          <w:b/>
          <w:bCs/>
        </w:rPr>
        <w:t>усилить подготовку должностных лиц, ответственных за поддержание правопорядка, чтобы они могли эффективно бороться со случаями расовой дискриминации;</w:t>
      </w:r>
    </w:p>
    <w:p w14:paraId="0057D2D2" w14:textId="77777777" w:rsidR="004D77A9" w:rsidRPr="00592959" w:rsidRDefault="004D77A9" w:rsidP="004D77A9">
      <w:pPr>
        <w:pStyle w:val="SingleTxtG"/>
        <w:ind w:firstLine="567"/>
      </w:pPr>
      <w:r>
        <w:rPr>
          <w:b/>
          <w:bCs/>
        </w:rPr>
        <w:t>e)</w:t>
      </w:r>
      <w:r>
        <w:tab/>
      </w:r>
      <w:r>
        <w:rPr>
          <w:b/>
          <w:bCs/>
        </w:rPr>
        <w:t>принять необходимые меры, в том числе законодательного характера, для применения принципа переноса бремени доказывания в пользу жертв расовой дискриминации;</w:t>
      </w:r>
    </w:p>
    <w:p w14:paraId="443F6F8C" w14:textId="77777777" w:rsidR="004D77A9" w:rsidRPr="007906A2" w:rsidRDefault="004D77A9" w:rsidP="004D77A9">
      <w:pPr>
        <w:pStyle w:val="SingleTxtG"/>
        <w:ind w:firstLine="567"/>
        <w:rPr>
          <w:b/>
          <w:bCs/>
        </w:rPr>
      </w:pPr>
      <w:r>
        <w:rPr>
          <w:b/>
          <w:bCs/>
        </w:rPr>
        <w:t>f)</w:t>
      </w:r>
      <w:r>
        <w:tab/>
      </w:r>
      <w:r w:rsidRPr="007906A2">
        <w:rPr>
          <w:b/>
          <w:bCs/>
        </w:rPr>
        <w:t xml:space="preserve">создать механизм сбора статистических данных о жалобах на расовую дискриминацию и правонарушениях расистского толка в разбивке по этническому или национальному происхождению жертв, о судебных преследованиях и вынесенных приговорах в отношении виновных, а также о предоставленном жертвам возмещении ущерба. </w:t>
      </w:r>
    </w:p>
    <w:p w14:paraId="50A71C9C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Образование в области прав человека для борьбы с расовой дискриминацией</w:t>
      </w:r>
    </w:p>
    <w:p w14:paraId="3601713A" w14:textId="2A7E943C" w:rsidR="004D77A9" w:rsidRPr="00592959" w:rsidRDefault="004D77A9" w:rsidP="004D77A9">
      <w:pPr>
        <w:pStyle w:val="SingleTxtG"/>
        <w:rPr>
          <w:b/>
        </w:rPr>
      </w:pPr>
      <w:r>
        <w:t>37.</w:t>
      </w:r>
      <w:r>
        <w:tab/>
        <w:t xml:space="preserve">Комитет приветствует тот факт, что школьные программы в государстве-участнике включают раздел, посвященный образованию в области прав человека, начиная с начальной школы, в частности в рамках занятий, посвященных гражданскому воспитанию. Вместе с тем он сожалеет об отсутствии в школьных </w:t>
      </w:r>
      <w:r>
        <w:lastRenderedPageBreak/>
        <w:t>программах и программах профессиональной подготовки, в частности для работников судебной системы и других правоохранительных органов,</w:t>
      </w:r>
      <w:r w:rsidR="004F021D" w:rsidRPr="004F021D">
        <w:t xml:space="preserve"> </w:t>
      </w:r>
      <w:r>
        <w:t xml:space="preserve">подробной информации о специальной подготовке по вопросам, касающимся положений Конвенции и борьбы с расовой дискриминацией, расизмом и ксенофобией. Он также сожалеет об отсутствии достаточной информации о преподавании национальных языков, включая языки бака и </w:t>
      </w:r>
      <w:proofErr w:type="spellStart"/>
      <w:r>
        <w:t>койя</w:t>
      </w:r>
      <w:proofErr w:type="spellEnd"/>
      <w:r>
        <w:t>, и о включении истории и культуры коренных народов и этнических меньшинств в учебники и учебные программы на всех уровнях, а также о просвещении по вопросам истории работорговли и ее последствий. Комитет обеспокоен отказом от инициативы по введению преподавания прав человека на университетском уровне. Он</w:t>
      </w:r>
      <w:r w:rsidR="004F021D">
        <w:rPr>
          <w:lang w:val="en-US"/>
        </w:rPr>
        <w:t> </w:t>
      </w:r>
      <w:r>
        <w:t xml:space="preserve">также обеспокоен сохранением расистских и ксенофобских стереотипов и высказываний в отношении представителей определенных общин, в частности граждан иностранного происхождения и мигрантов, в том числе в Интернете и социальных сетях. Наконец, он обеспокоен отсутствием информации о распространении через средства массовой информации культуры и традиций различных этнических групп (ст. 7). </w:t>
      </w:r>
    </w:p>
    <w:p w14:paraId="70618EC4" w14:textId="77777777" w:rsidR="004D77A9" w:rsidRPr="00592959" w:rsidRDefault="004D77A9" w:rsidP="004D77A9">
      <w:pPr>
        <w:pStyle w:val="SingleTxtG"/>
        <w:rPr>
          <w:b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9AEE718" w14:textId="77777777" w:rsidR="004D77A9" w:rsidRPr="00592959" w:rsidRDefault="004D77A9" w:rsidP="004D77A9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продолжать свои инициативы по повышению осведомленности и просвещению общественности о многокультурном разнообразии, взаимопонимании и терпимости;</w:t>
      </w:r>
    </w:p>
    <w:p w14:paraId="75E46127" w14:textId="77777777" w:rsidR="004D77A9" w:rsidRPr="00592959" w:rsidRDefault="004D77A9" w:rsidP="004D77A9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активизировать усилия в области образования по вопросам прав человека, обеспечив, чтобы программы школьного, университетского и профессионального обучения включали систематическую и непрерывную подготовку по вопросам прав человека, положений Конвенции и борьбы с расовой дискриминацией, расизмом и ксенофобией, в том числе для сотрудников судебных и других правоприменительных органов;</w:t>
      </w:r>
      <w:r>
        <w:t xml:space="preserve"> </w:t>
      </w:r>
    </w:p>
    <w:p w14:paraId="5570026A" w14:textId="77777777" w:rsidR="004D77A9" w:rsidRPr="00592959" w:rsidRDefault="004D77A9" w:rsidP="004D77A9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включить в образовательные программы изучение истории и культуры коренных народов и этнических меньшинств, а также истории работорговли и ее последствий, содействовать проведению исследований по этим вопросам и включить информацию о принятых в этой связи мерах в свой следующий периодический доклад;</w:t>
      </w:r>
    </w:p>
    <w:p w14:paraId="4519700E" w14:textId="77777777" w:rsidR="004D77A9" w:rsidRPr="00592959" w:rsidRDefault="004D77A9" w:rsidP="004D77A9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 xml:space="preserve">расширить преподавание национальных языков, включая бака и </w:t>
      </w:r>
      <w:proofErr w:type="spellStart"/>
      <w:r>
        <w:rPr>
          <w:b/>
          <w:bCs/>
        </w:rPr>
        <w:t>койя</w:t>
      </w:r>
      <w:proofErr w:type="spellEnd"/>
      <w:r>
        <w:rPr>
          <w:b/>
          <w:bCs/>
        </w:rPr>
        <w:t>, на всех уровнях образования, а также увеличить отражение и распространение культуры и традиций различных этнических групп через средства массовой информации.</w:t>
      </w:r>
    </w:p>
    <w:p w14:paraId="7BEC90DD" w14:textId="550994AB" w:rsidR="004D77A9" w:rsidRPr="00592959" w:rsidRDefault="004F021D" w:rsidP="004D77A9">
      <w:pPr>
        <w:pStyle w:val="H1G"/>
      </w:pPr>
      <w:r w:rsidRPr="006C31B2">
        <w:rPr>
          <w:bCs/>
        </w:rPr>
        <w:tab/>
      </w:r>
      <w:r w:rsidR="004D77A9">
        <w:rPr>
          <w:bCs/>
        </w:rPr>
        <w:t>D.</w:t>
      </w:r>
      <w:r w:rsidR="004D77A9">
        <w:tab/>
      </w:r>
      <w:r w:rsidR="004D77A9">
        <w:rPr>
          <w:bCs/>
        </w:rPr>
        <w:t>Другие рекомендации</w:t>
      </w:r>
    </w:p>
    <w:p w14:paraId="3D7E6EF0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Ратификация прочих договоров</w:t>
      </w:r>
      <w:r>
        <w:t xml:space="preserve"> </w:t>
      </w:r>
    </w:p>
    <w:p w14:paraId="3672C262" w14:textId="39CE3EDC" w:rsidR="004D77A9" w:rsidRPr="00592959" w:rsidRDefault="004D77A9" w:rsidP="004D77A9">
      <w:pPr>
        <w:pStyle w:val="SingleTxtG"/>
      </w:pPr>
      <w:r>
        <w:t>39.</w:t>
      </w:r>
      <w:r>
        <w:tab/>
      </w:r>
      <w:r>
        <w:rPr>
          <w:b/>
          <w:bCs/>
        </w:rPr>
        <w:t>Учитывая неделимость всех прав человека, Комитет призывает государство-участник рассмотреть вопрос о ратификации еще не ратифицированных им международных договоров по правам человека, в</w:t>
      </w:r>
      <w:r w:rsidR="00343F5B">
        <w:rPr>
          <w:b/>
          <w:bCs/>
        </w:rPr>
        <w:t> </w:t>
      </w:r>
      <w:r>
        <w:rPr>
          <w:b/>
          <w:bCs/>
        </w:rPr>
        <w:t>частности тех договоров, положения которых непосредственно касаются общин, возможно подвергающихся расовой дискриминации, в том числе Международной конвенции о защите прав всех трудящихся-мигрантов и членов их семей, первого Факультативного протокола к Международному пакту о гражданских и политических правах, Конвенции 1989 года о коренных народах и народах, ведущих племенной образ жизни (№ 169), а также Конвенции 2011 года о достойном труде домашних работников (№ 189) Международной организации труда.</w:t>
      </w:r>
      <w:r>
        <w:t xml:space="preserve"> </w:t>
      </w:r>
    </w:p>
    <w:p w14:paraId="6B97F13B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Поправка к статье 8 Конвенции</w:t>
      </w:r>
    </w:p>
    <w:p w14:paraId="3F0E5726" w14:textId="63B5D966" w:rsidR="004D77A9" w:rsidRPr="00592959" w:rsidRDefault="004D77A9" w:rsidP="004D77A9">
      <w:pPr>
        <w:pStyle w:val="SingleTxtG"/>
      </w:pPr>
      <w:r>
        <w:t>40.</w:t>
      </w:r>
      <w:r>
        <w:tab/>
      </w:r>
      <w:r>
        <w:rPr>
          <w:b/>
          <w:bCs/>
        </w:rPr>
        <w:t xml:space="preserve">Комитет рекомендует государству-участнику ратифицировать поправку к пункту 6 статьи 8 Конвенции, которая была принята 15 января 1992 года на четырнадцатом совещании государств — участников Конвенции и одобрена Генеральной Ассамблеей в ее резолюции </w:t>
      </w:r>
      <w:r w:rsidRPr="007B7DCE">
        <w:rPr>
          <w:b/>
          <w:bCs/>
        </w:rPr>
        <w:t>47/111</w:t>
      </w:r>
      <w:r>
        <w:rPr>
          <w:b/>
          <w:bCs/>
        </w:rPr>
        <w:t>.</w:t>
      </w:r>
    </w:p>
    <w:p w14:paraId="24322A3E" w14:textId="77777777" w:rsidR="004D77A9" w:rsidRPr="00592959" w:rsidRDefault="004D77A9" w:rsidP="004D77A9">
      <w:pPr>
        <w:pStyle w:val="H23G"/>
      </w:pPr>
      <w:r>
        <w:lastRenderedPageBreak/>
        <w:tab/>
      </w:r>
      <w:r>
        <w:tab/>
      </w:r>
      <w:r>
        <w:rPr>
          <w:bCs/>
        </w:rPr>
        <w:t>Заявление в соответствии со статьей 14 Конвенции</w:t>
      </w:r>
    </w:p>
    <w:p w14:paraId="338B5368" w14:textId="77777777" w:rsidR="004D77A9" w:rsidRPr="00592959" w:rsidRDefault="004D77A9" w:rsidP="004D77A9">
      <w:pPr>
        <w:pStyle w:val="SingleTxtG"/>
      </w:pPr>
      <w:r>
        <w:t>41.</w:t>
      </w:r>
      <w:r>
        <w:tab/>
      </w:r>
      <w:r>
        <w:rPr>
          <w:b/>
          <w:bCs/>
        </w:rPr>
        <w:t>Комитет призывает государство-участник сделать предусмотренное в статье 14 Конвенции факультативное заявление о признании государствами-участниками компетенции Комитета принимать и рассматривать индивидуальные сообщения.</w:t>
      </w:r>
    </w:p>
    <w:p w14:paraId="030B902E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Последующие действия по реализации Дурбанской декларации и Программы действий</w:t>
      </w:r>
    </w:p>
    <w:p w14:paraId="6DA6EE8E" w14:textId="77777777" w:rsidR="004D77A9" w:rsidRPr="00592959" w:rsidRDefault="004D77A9" w:rsidP="004D77A9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при осуществлении Конвенции принять меры по выполнению Дурбанской декларации и Программы действий, утвержденных в сентябре 2001 года на Всемирной конференции по борьбе против расизма, расовой дискриминации, ксенофобии и связанной с ними нетерпимости, с учетом итогового документа Конференции по обзору Дурбанского процесса, состоявшейся в Женеве в апреле 2009 года.</w:t>
      </w:r>
      <w:r>
        <w:t xml:space="preserve"> </w:t>
      </w:r>
      <w:r>
        <w:rPr>
          <w:b/>
          <w:bCs/>
        </w:rPr>
        <w:t>Комитет просит государство-участник включить в свой следующий периодический доклад точную информацию о принятых планах действий и других мерах, направленных на осуществление Дурбанской декларации и Программы действий на национальном уровне.</w:t>
      </w:r>
    </w:p>
    <w:p w14:paraId="381AA01F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Международное десятилетие лиц африканского происхождения</w:t>
      </w:r>
      <w:r>
        <w:t xml:space="preserve"> </w:t>
      </w:r>
    </w:p>
    <w:p w14:paraId="707D8A45" w14:textId="4363BE27" w:rsidR="004D77A9" w:rsidRPr="00592959" w:rsidRDefault="004D77A9" w:rsidP="004D77A9">
      <w:pPr>
        <w:pStyle w:val="SingleTxtG"/>
        <w:rPr>
          <w:b/>
          <w:bCs/>
        </w:rPr>
      </w:pPr>
      <w:bookmarkStart w:id="3" w:name="_Hlk198629961"/>
      <w:r>
        <w:t>43.</w:t>
      </w:r>
      <w:r>
        <w:tab/>
      </w:r>
      <w:r>
        <w:rPr>
          <w:b/>
          <w:bCs/>
        </w:rPr>
        <w:t xml:space="preserve">Генеральная Ассамблея в своей резолюции </w:t>
      </w:r>
      <w:hyperlink r:id="rId8" w:history="1">
        <w:r w:rsidRPr="00DF7652">
          <w:rPr>
            <w:rStyle w:val="af1"/>
            <w:b/>
            <w:bCs/>
          </w:rPr>
          <w:t>79/193</w:t>
        </w:r>
      </w:hyperlink>
      <w:r>
        <w:rPr>
          <w:b/>
          <w:bCs/>
        </w:rPr>
        <w:t xml:space="preserve"> провозгласила период 2025–2034 годов вторым Международным десятилетием лиц африканского происхождения.</w:t>
      </w:r>
      <w:r>
        <w:t xml:space="preserve"> </w:t>
      </w:r>
      <w:r>
        <w:rPr>
          <w:b/>
          <w:bCs/>
        </w:rPr>
        <w:t xml:space="preserve">Она также постановила продлить программу мероприятий по проведению Международного десятилетия лиц африканского происхождения, принятую в резолюции </w:t>
      </w:r>
      <w:hyperlink r:id="rId9" w:history="1">
        <w:r w:rsidRPr="00DF7652">
          <w:rPr>
            <w:rStyle w:val="af1"/>
            <w:b/>
            <w:bCs/>
          </w:rPr>
          <w:t>69/16</w:t>
        </w:r>
      </w:hyperlink>
      <w:r>
        <w:rPr>
          <w:b/>
          <w:bCs/>
        </w:rPr>
        <w:t>, с целью обеспечить постоянные усилия по поощрению уважения, защиты и осуществления всех прав человека и основных свобод лиц африканского происхождения.</w:t>
      </w:r>
      <w:r>
        <w:t xml:space="preserve"> </w:t>
      </w:r>
      <w:r>
        <w:rPr>
          <w:b/>
          <w:bCs/>
        </w:rPr>
        <w:t>В свете этих подвижек Комитет рекомендует государству-участнику осуществить программу мероприятий в сотрудничестве с лицами африканского происхождения и включить в свой следующий периодический доклад информацию о конкретных мерах, принятых в этой связи, с учетом его общей рекомендации № 34 (2011) о расовой дискриминации в отношении лиц африканского происхождения.</w:t>
      </w:r>
      <w:bookmarkEnd w:id="3"/>
    </w:p>
    <w:p w14:paraId="1B2E5E13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5CDBACAF" w14:textId="77777777" w:rsidR="004D77A9" w:rsidRPr="00592959" w:rsidRDefault="004D77A9" w:rsidP="004D77A9">
      <w:pPr>
        <w:pStyle w:val="SingleTxtG"/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продолжать проводить консультации и расширять диалог с организациями гражданского общества, занимающимися защитой прав человека, в частности ведущими борьбу против расовой дискриминации, в рамках подготовки следующего периодического доклада и принятия последующих мер по настоящим заключительным замечаниям.</w:t>
      </w:r>
    </w:p>
    <w:p w14:paraId="727C8EBC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2F7CC858" w14:textId="218209B7" w:rsidR="004D77A9" w:rsidRPr="00592959" w:rsidRDefault="004D77A9" w:rsidP="004D77A9">
      <w:pPr>
        <w:pStyle w:val="SingleTxtG"/>
        <w:tabs>
          <w:tab w:val="left" w:pos="1560"/>
        </w:tabs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обеспечить, чтобы его доклады были доступны общественности с момента их представления и чтобы заключительные замечания Комитета по этим докладам также распространялись среди всех государственных органов, ответственных за осуществление Конвенции, а также публиковались на сайте Министерства иностранных дел и сотрудничества, отвечающего за интеграцию и диаспору, на</w:t>
      </w:r>
      <w:r w:rsidR="00692BD0">
        <w:rPr>
          <w:b/>
          <w:bCs/>
        </w:rPr>
        <w:t> </w:t>
      </w:r>
      <w:r>
        <w:rPr>
          <w:b/>
          <w:bCs/>
        </w:rPr>
        <w:t>официальных языках, а при необходимости — и на других широко используемых языках.</w:t>
      </w:r>
    </w:p>
    <w:p w14:paraId="611EB028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Общий базовый документ</w:t>
      </w:r>
    </w:p>
    <w:p w14:paraId="7158E6B7" w14:textId="7E04B59B" w:rsidR="004D77A9" w:rsidRPr="00592959" w:rsidRDefault="004D77A9" w:rsidP="004D77A9">
      <w:pPr>
        <w:pStyle w:val="SingleTxtG"/>
        <w:tabs>
          <w:tab w:val="left" w:pos="1560"/>
        </w:tabs>
        <w:rPr>
          <w:b/>
          <w:bCs/>
        </w:rPr>
      </w:pPr>
      <w:r>
        <w:t>46.</w:t>
      </w:r>
      <w:r>
        <w:tab/>
      </w:r>
      <w:r>
        <w:rPr>
          <w:b/>
          <w:bCs/>
        </w:rPr>
        <w:t xml:space="preserve">Комитет рекомендует государству-участнику обновить свой общий базовый документ, представленный в 1998 году, опираясь на согласованные руководящие </w:t>
      </w:r>
      <w:r>
        <w:rPr>
          <w:b/>
          <w:bCs/>
        </w:rPr>
        <w:lastRenderedPageBreak/>
        <w:t xml:space="preserve">принципы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договорам, принятые на пятом </w:t>
      </w:r>
      <w:proofErr w:type="spellStart"/>
      <w:r>
        <w:rPr>
          <w:b/>
          <w:bCs/>
        </w:rPr>
        <w:t>межкомитетском</w:t>
      </w:r>
      <w:proofErr w:type="spellEnd"/>
      <w:r>
        <w:rPr>
          <w:b/>
          <w:bCs/>
        </w:rPr>
        <w:t xml:space="preserve"> совещании договорных органов по правам человека в июне 2006</w:t>
      </w:r>
      <w:r w:rsidR="00A84F3D">
        <w:rPr>
          <w:b/>
          <w:bCs/>
        </w:rPr>
        <w:t> </w:t>
      </w:r>
      <w:r>
        <w:rPr>
          <w:b/>
          <w:bCs/>
        </w:rPr>
        <w:t>года</w:t>
      </w:r>
      <w:r w:rsidRPr="00EF3464">
        <w:rPr>
          <w:rStyle w:val="aa"/>
        </w:rPr>
        <w:footnoteReference w:id="9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 xml:space="preserve">В свете резолюции </w:t>
      </w:r>
      <w:hyperlink r:id="rId10" w:history="1">
        <w:r w:rsidRPr="00DF7652">
          <w:rPr>
            <w:rStyle w:val="af1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 Комитет настоятельно призывает государство-участник соблюдать установленное для объема этого документа ограничение в 42 400 слов.</w:t>
      </w:r>
    </w:p>
    <w:p w14:paraId="7A97E1CE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Пункты, имеющие особое значение</w:t>
      </w:r>
    </w:p>
    <w:p w14:paraId="2FBE8842" w14:textId="75DBBD21" w:rsidR="004D77A9" w:rsidRPr="00592959" w:rsidRDefault="004D77A9" w:rsidP="004D77A9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хотел бы обратить внимание государства-участника на особую важность рекомендаций, содержащихся в пунктах 8 (применение Конвенции в национальной правовой системе), 10 (законодательство против расовой дискриминации) и 24 а) и b) (права коренных народов) выше, и просит государство-участник включить в свой следующий периодический доклад подробную информацию о конкретных мерах, принятых для их осуществления.</w:t>
      </w:r>
    </w:p>
    <w:p w14:paraId="3B7E1F86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Последующие меры по выполнению заключительных замечаний</w:t>
      </w:r>
    </w:p>
    <w:p w14:paraId="708C1F75" w14:textId="77777777" w:rsidR="004D77A9" w:rsidRPr="00592959" w:rsidRDefault="004D77A9" w:rsidP="004D77A9">
      <w:pPr>
        <w:pStyle w:val="SingleTxtG"/>
      </w:pPr>
      <w:r>
        <w:t>48.</w:t>
      </w:r>
      <w:r>
        <w:tab/>
      </w:r>
      <w:r>
        <w:rPr>
          <w:b/>
          <w:bCs/>
        </w:rPr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замечаний информацию о последующих мерах по выполнению рекомендаций, содержащихся в пунктах 22 b) (борьба с расовой дискриминацией и структурным неравенством) и 24 f) (права коренных народов) выше.</w:t>
      </w:r>
    </w:p>
    <w:p w14:paraId="4A9FCC28" w14:textId="77777777" w:rsidR="004D77A9" w:rsidRPr="00592959" w:rsidRDefault="004D77A9" w:rsidP="004D77A9">
      <w:pPr>
        <w:pStyle w:val="H23G"/>
      </w:pP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6F67EFB9" w14:textId="4E8D0E73" w:rsidR="004D77A9" w:rsidRPr="00592959" w:rsidRDefault="004D77A9" w:rsidP="004D77A9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представить свои объединенные одиннадцатый</w:t>
      </w:r>
      <w:r w:rsidR="00E6145D">
        <w:rPr>
          <w:b/>
          <w:bCs/>
        </w:rPr>
        <w:t xml:space="preserve"> — </w:t>
      </w:r>
      <w:r>
        <w:rPr>
          <w:b/>
          <w:bCs/>
        </w:rPr>
        <w:t>тринадцатый периодические доклады к 30 марта 2030 года, приняв во внимание руководящие принципы подготовки докладов об осуществлении Конвенции, принятые Комитетом в ходе его семьдесят первой сессии</w:t>
      </w:r>
      <w:r w:rsidRPr="00EF3464">
        <w:rPr>
          <w:rStyle w:val="aa"/>
        </w:rPr>
        <w:footnoteReference w:id="10"/>
      </w:r>
      <w:r w:rsidR="00B0407A">
        <w:rPr>
          <w:b/>
          <w:bCs/>
        </w:rPr>
        <w:t xml:space="preserve">, </w:t>
      </w:r>
      <w:r>
        <w:rPr>
          <w:b/>
          <w:bCs/>
        </w:rPr>
        <w:t>и отразив в нем все вопросы, поднятые в настоящих заключительных замечаниях.</w:t>
      </w:r>
      <w:r>
        <w:t xml:space="preserve"> </w:t>
      </w:r>
      <w:r>
        <w:rPr>
          <w:b/>
          <w:bCs/>
        </w:rPr>
        <w:t xml:space="preserve">В свете резолюции </w:t>
      </w:r>
      <w:hyperlink r:id="rId11" w:history="1">
        <w:r w:rsidRPr="00DF7652">
          <w:rPr>
            <w:rStyle w:val="af1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 Комитет настоятельно призывает государство-участник соблюдать установленное для объема периодических докладов ограничение в 21 200 слов.</w:t>
      </w:r>
    </w:p>
    <w:p w14:paraId="01647A35" w14:textId="77777777" w:rsidR="004D77A9" w:rsidRPr="00592959" w:rsidRDefault="004D77A9" w:rsidP="004D77A9">
      <w:pPr>
        <w:pStyle w:val="SingleTxtG"/>
        <w:spacing w:before="240" w:after="0"/>
        <w:jc w:val="center"/>
        <w:rPr>
          <w:u w:val="single"/>
        </w:rPr>
      </w:pPr>
      <w:r w:rsidRPr="00592959">
        <w:rPr>
          <w:u w:val="single"/>
        </w:rPr>
        <w:tab/>
      </w:r>
      <w:r w:rsidRPr="00592959">
        <w:rPr>
          <w:u w:val="single"/>
        </w:rPr>
        <w:tab/>
      </w:r>
      <w:r w:rsidRPr="00592959">
        <w:rPr>
          <w:u w:val="single"/>
        </w:rPr>
        <w:tab/>
      </w:r>
    </w:p>
    <w:sectPr w:rsidR="004D77A9" w:rsidRPr="00592959" w:rsidSect="004D7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462CD" w14:textId="77777777" w:rsidR="00D941F8" w:rsidRPr="00A312BC" w:rsidRDefault="00D941F8" w:rsidP="00A312BC"/>
  </w:endnote>
  <w:endnote w:type="continuationSeparator" w:id="0">
    <w:p w14:paraId="2707FEA3" w14:textId="77777777" w:rsidR="00D941F8" w:rsidRPr="00A312BC" w:rsidRDefault="00D941F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261A3" w14:textId="0393CBA1" w:rsidR="004D77A9" w:rsidRPr="004D77A9" w:rsidRDefault="004D77A9">
    <w:pPr>
      <w:pStyle w:val="a8"/>
    </w:pPr>
    <w:r w:rsidRPr="004D77A9">
      <w:rPr>
        <w:b/>
        <w:sz w:val="18"/>
      </w:rPr>
      <w:fldChar w:fldCharType="begin"/>
    </w:r>
    <w:r w:rsidRPr="004D77A9">
      <w:rPr>
        <w:b/>
        <w:sz w:val="18"/>
      </w:rPr>
      <w:instrText xml:space="preserve"> PAGE  \* MERGEFORMAT </w:instrText>
    </w:r>
    <w:r w:rsidRPr="004D77A9">
      <w:rPr>
        <w:b/>
        <w:sz w:val="18"/>
      </w:rPr>
      <w:fldChar w:fldCharType="separate"/>
    </w:r>
    <w:r w:rsidRPr="004D77A9">
      <w:rPr>
        <w:b/>
        <w:noProof/>
        <w:sz w:val="18"/>
      </w:rPr>
      <w:t>2</w:t>
    </w:r>
    <w:r w:rsidRPr="004D77A9">
      <w:rPr>
        <w:b/>
        <w:sz w:val="18"/>
      </w:rPr>
      <w:fldChar w:fldCharType="end"/>
    </w:r>
    <w:r>
      <w:rPr>
        <w:b/>
        <w:sz w:val="18"/>
      </w:rPr>
      <w:tab/>
    </w:r>
    <w:r>
      <w:t>GE.25-07516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5438A" w14:textId="23A426EB" w:rsidR="004D77A9" w:rsidRPr="004D77A9" w:rsidRDefault="004D77A9" w:rsidP="004D77A9">
    <w:pPr>
      <w:pStyle w:val="a8"/>
      <w:tabs>
        <w:tab w:val="clear" w:pos="9639"/>
        <w:tab w:val="right" w:pos="9638"/>
      </w:tabs>
      <w:rPr>
        <w:b/>
        <w:sz w:val="18"/>
      </w:rPr>
    </w:pPr>
    <w:r>
      <w:t>GE.25-07516</w:t>
    </w:r>
    <w:r>
      <w:tab/>
    </w:r>
    <w:r w:rsidRPr="004D77A9">
      <w:rPr>
        <w:b/>
        <w:sz w:val="18"/>
      </w:rPr>
      <w:fldChar w:fldCharType="begin"/>
    </w:r>
    <w:r w:rsidRPr="004D77A9">
      <w:rPr>
        <w:b/>
        <w:sz w:val="18"/>
      </w:rPr>
      <w:instrText xml:space="preserve"> PAGE  \* MERGEFORMAT </w:instrText>
    </w:r>
    <w:r w:rsidRPr="004D77A9">
      <w:rPr>
        <w:b/>
        <w:sz w:val="18"/>
      </w:rPr>
      <w:fldChar w:fldCharType="separate"/>
    </w:r>
    <w:r w:rsidRPr="004D77A9">
      <w:rPr>
        <w:b/>
        <w:noProof/>
        <w:sz w:val="18"/>
      </w:rPr>
      <w:t>3</w:t>
    </w:r>
    <w:r w:rsidRPr="004D77A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E6E4F" w14:textId="72545C6B" w:rsidR="00042B72" w:rsidRPr="004D77A9" w:rsidRDefault="004D77A9" w:rsidP="004D77A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099BA9F" wp14:editId="2B0E743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07516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BD95738" wp14:editId="171C86A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290525  300625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6CD0A" w14:textId="77777777" w:rsidR="00D941F8" w:rsidRPr="001075E9" w:rsidRDefault="00D941F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76CBD2A" w14:textId="77777777" w:rsidR="00D941F8" w:rsidRDefault="00D941F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6B0E93F" w14:textId="54288F98" w:rsidR="004D77A9" w:rsidRPr="006B0064" w:rsidRDefault="004D77A9" w:rsidP="004D77A9">
      <w:pPr>
        <w:pStyle w:val="ad"/>
      </w:pPr>
      <w:r>
        <w:tab/>
      </w:r>
      <w:r w:rsidRPr="00F53853">
        <w:rPr>
          <w:rStyle w:val="aa"/>
          <w:bCs/>
          <w:sz w:val="20"/>
          <w:vertAlign w:val="baseline"/>
        </w:rPr>
        <w:t>*</w:t>
      </w:r>
      <w:r w:rsidRPr="00F53853">
        <w:rPr>
          <w:rStyle w:val="aa"/>
          <w:bCs/>
          <w:sz w:val="20"/>
          <w:vertAlign w:val="baseline"/>
        </w:rPr>
        <w:tab/>
      </w:r>
      <w:r>
        <w:t xml:space="preserve">Приняты Комитетом на его </w:t>
      </w:r>
      <w:r w:rsidR="00DF7652">
        <w:t>сто пятнадцатой</w:t>
      </w:r>
      <w:r>
        <w:t xml:space="preserve"> сессии (22 апреля — 9 мая 2025 года).</w:t>
      </w:r>
    </w:p>
  </w:footnote>
  <w:footnote w:id="2">
    <w:p w14:paraId="4BF0CCE3" w14:textId="6C00E6B3" w:rsidR="004D77A9" w:rsidRPr="00592959" w:rsidRDefault="004D77A9" w:rsidP="004D77A9">
      <w:pPr>
        <w:pStyle w:val="ad"/>
        <w:rPr>
          <w:lang w:val="de-CH"/>
        </w:rPr>
      </w:pPr>
      <w:r w:rsidRPr="009E1172">
        <w:tab/>
      </w:r>
      <w:r w:rsidRPr="00EF3464">
        <w:rPr>
          <w:rStyle w:val="aa"/>
        </w:rPr>
        <w:footnoteRef/>
      </w:r>
      <w:r w:rsidRPr="00592959">
        <w:rPr>
          <w:lang w:val="de-CH"/>
        </w:rPr>
        <w:tab/>
      </w:r>
      <w:hyperlink r:id="rId1" w:history="1">
        <w:r w:rsidRPr="00DF7652">
          <w:rPr>
            <w:rStyle w:val="af1"/>
            <w:lang w:val="de-CH"/>
          </w:rPr>
          <w:t>CERD/C/GAB/10</w:t>
        </w:r>
      </w:hyperlink>
      <w:r w:rsidRPr="00592959">
        <w:rPr>
          <w:lang w:val="de-CH"/>
        </w:rPr>
        <w:t>.</w:t>
      </w:r>
    </w:p>
  </w:footnote>
  <w:footnote w:id="3">
    <w:p w14:paraId="6FF0EBE1" w14:textId="4B7FC862" w:rsidR="004D77A9" w:rsidRPr="00592959" w:rsidRDefault="004D77A9" w:rsidP="004D77A9">
      <w:pPr>
        <w:pStyle w:val="ad"/>
        <w:rPr>
          <w:lang w:val="de-CH"/>
        </w:rPr>
      </w:pPr>
      <w:r w:rsidRPr="00592959">
        <w:rPr>
          <w:lang w:val="de-CH"/>
        </w:rPr>
        <w:tab/>
      </w:r>
      <w:r w:rsidRPr="00EF3464">
        <w:rPr>
          <w:rStyle w:val="aa"/>
        </w:rPr>
        <w:footnoteRef/>
      </w:r>
      <w:r w:rsidRPr="00592959">
        <w:rPr>
          <w:lang w:val="de-CH"/>
        </w:rPr>
        <w:tab/>
      </w:r>
      <w:r>
        <w:t>См</w:t>
      </w:r>
      <w:r w:rsidRPr="00592959">
        <w:rPr>
          <w:lang w:val="de-CH"/>
        </w:rPr>
        <w:t xml:space="preserve">. </w:t>
      </w:r>
      <w:hyperlink r:id="rId2" w:history="1">
        <w:r w:rsidRPr="00DF7652">
          <w:rPr>
            <w:rStyle w:val="af1"/>
            <w:lang w:val="de-CH"/>
          </w:rPr>
          <w:t>CERD/C/SR.3151</w:t>
        </w:r>
      </w:hyperlink>
      <w:r w:rsidRPr="00592959">
        <w:rPr>
          <w:lang w:val="de-CH"/>
        </w:rPr>
        <w:t xml:space="preserve"> </w:t>
      </w:r>
      <w:r>
        <w:t>и</w:t>
      </w:r>
      <w:r w:rsidRPr="00592959">
        <w:rPr>
          <w:lang w:val="de-CH"/>
        </w:rPr>
        <w:t xml:space="preserve"> </w:t>
      </w:r>
      <w:hyperlink r:id="rId3" w:history="1">
        <w:r w:rsidRPr="00DF7652">
          <w:rPr>
            <w:rStyle w:val="af1"/>
            <w:lang w:val="de-CH"/>
          </w:rPr>
          <w:t>CERD/C/SR.3152</w:t>
        </w:r>
      </w:hyperlink>
      <w:r w:rsidRPr="00592959">
        <w:rPr>
          <w:lang w:val="de-CH"/>
        </w:rPr>
        <w:t>.</w:t>
      </w:r>
    </w:p>
  </w:footnote>
  <w:footnote w:id="4">
    <w:p w14:paraId="0895FCF2" w14:textId="7FD6B5BE" w:rsidR="004D77A9" w:rsidRPr="004D77A9" w:rsidRDefault="004D77A9" w:rsidP="004D77A9">
      <w:pPr>
        <w:pStyle w:val="ad"/>
        <w:rPr>
          <w:lang w:val="en-US"/>
        </w:rPr>
      </w:pPr>
      <w:r w:rsidRPr="00592959">
        <w:rPr>
          <w:lang w:val="de-CH"/>
        </w:rPr>
        <w:tab/>
      </w:r>
      <w:r w:rsidRPr="00EF3464">
        <w:rPr>
          <w:rStyle w:val="aa"/>
        </w:rPr>
        <w:footnoteRef/>
      </w:r>
      <w:r w:rsidRPr="004D77A9">
        <w:rPr>
          <w:lang w:val="en-US"/>
        </w:rPr>
        <w:tab/>
      </w:r>
      <w:r w:rsidR="006F2B20">
        <w:fldChar w:fldCharType="begin"/>
      </w:r>
      <w:r w:rsidR="006F2B20" w:rsidRPr="006C31B2">
        <w:rPr>
          <w:lang w:val="en-US"/>
        </w:rPr>
        <w:instrText>HYPERLINK "https://docs.un.org/ru/CERD/C/304/Add.58"</w:instrText>
      </w:r>
      <w:r w:rsidR="006F2B20">
        <w:fldChar w:fldCharType="separate"/>
      </w:r>
      <w:r w:rsidRPr="00DF7652">
        <w:rPr>
          <w:rStyle w:val="af1"/>
          <w:lang w:val="en-US"/>
        </w:rPr>
        <w:t>CERD/C/304/Add.58</w:t>
      </w:r>
      <w:r w:rsidR="006F2B20">
        <w:rPr>
          <w:rStyle w:val="af1"/>
          <w:lang w:val="en-US"/>
        </w:rPr>
        <w:fldChar w:fldCharType="end"/>
      </w:r>
      <w:r w:rsidRPr="004D77A9">
        <w:rPr>
          <w:lang w:val="en-US"/>
        </w:rPr>
        <w:t xml:space="preserve">, </w:t>
      </w:r>
      <w:proofErr w:type="spellStart"/>
      <w:r>
        <w:t>пп</w:t>
      </w:r>
      <w:proofErr w:type="spellEnd"/>
      <w:r w:rsidRPr="004D77A9">
        <w:rPr>
          <w:lang w:val="en-US"/>
        </w:rPr>
        <w:t xml:space="preserve">. 8 </w:t>
      </w:r>
      <w:r>
        <w:t>и</w:t>
      </w:r>
      <w:r w:rsidRPr="004D77A9">
        <w:rPr>
          <w:lang w:val="en-US"/>
        </w:rPr>
        <w:t xml:space="preserve"> 13.</w:t>
      </w:r>
    </w:p>
  </w:footnote>
  <w:footnote w:id="5">
    <w:p w14:paraId="7D157A18" w14:textId="1F2C4E13" w:rsidR="004D77A9" w:rsidRPr="00592959" w:rsidRDefault="004D77A9" w:rsidP="004D77A9">
      <w:pPr>
        <w:pStyle w:val="ad"/>
      </w:pPr>
      <w:r w:rsidRPr="004D77A9">
        <w:rPr>
          <w:lang w:val="en-US"/>
        </w:rPr>
        <w:tab/>
      </w:r>
      <w:r w:rsidRPr="00EF3464">
        <w:rPr>
          <w:rStyle w:val="aa"/>
        </w:rPr>
        <w:footnoteRef/>
      </w:r>
      <w:r>
        <w:t xml:space="preserve"> </w:t>
      </w:r>
      <w:r>
        <w:tab/>
      </w:r>
      <w:hyperlink r:id="rId4" w:history="1">
        <w:r w:rsidRPr="00DF7652">
          <w:rPr>
            <w:rStyle w:val="af1"/>
          </w:rPr>
          <w:t>CERD/C/2007/1</w:t>
        </w:r>
      </w:hyperlink>
      <w:r>
        <w:t>.</w:t>
      </w:r>
    </w:p>
  </w:footnote>
  <w:footnote w:id="6">
    <w:p w14:paraId="3BF9F509" w14:textId="29CF3637" w:rsidR="004D77A9" w:rsidRPr="00592959" w:rsidRDefault="004D77A9" w:rsidP="004D77A9">
      <w:pPr>
        <w:pStyle w:val="ad"/>
      </w:pPr>
      <w:r>
        <w:tab/>
      </w:r>
      <w:r w:rsidRPr="00EF3464">
        <w:rPr>
          <w:rStyle w:val="aa"/>
        </w:rPr>
        <w:footnoteRef/>
      </w:r>
      <w:r>
        <w:tab/>
      </w:r>
      <w:hyperlink r:id="rId5" w:history="1">
        <w:r w:rsidRPr="00DF7652">
          <w:rPr>
            <w:rStyle w:val="af1"/>
          </w:rPr>
          <w:t>CERD/C/304/Add.58</w:t>
        </w:r>
      </w:hyperlink>
      <w:r>
        <w:t xml:space="preserve">, </w:t>
      </w:r>
      <w:proofErr w:type="spellStart"/>
      <w:r>
        <w:t>пп</w:t>
      </w:r>
      <w:proofErr w:type="spellEnd"/>
      <w:r>
        <w:t>. 9 и 14.</w:t>
      </w:r>
    </w:p>
  </w:footnote>
  <w:footnote w:id="7">
    <w:p w14:paraId="7F3A4018" w14:textId="77777777" w:rsidR="004D77A9" w:rsidRPr="00592959" w:rsidRDefault="004D77A9" w:rsidP="004D77A9">
      <w:pPr>
        <w:pStyle w:val="ad"/>
      </w:pPr>
      <w:r>
        <w:tab/>
      </w:r>
      <w:r w:rsidRPr="00EF3464">
        <w:rPr>
          <w:rStyle w:val="aa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10 и 15.</w:t>
      </w:r>
    </w:p>
  </w:footnote>
  <w:footnote w:id="8">
    <w:p w14:paraId="78B9D326" w14:textId="77777777" w:rsidR="004D77A9" w:rsidRPr="00592959" w:rsidRDefault="004D77A9" w:rsidP="004D77A9">
      <w:pPr>
        <w:pStyle w:val="ad"/>
      </w:pPr>
      <w:r>
        <w:tab/>
      </w:r>
      <w:r w:rsidRPr="00EF3464">
        <w:rPr>
          <w:rStyle w:val="aa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11 и 16.</w:t>
      </w:r>
    </w:p>
  </w:footnote>
  <w:footnote w:id="9">
    <w:p w14:paraId="0BE65185" w14:textId="36DFF428" w:rsidR="004D77A9" w:rsidRPr="00DF7652" w:rsidRDefault="004D77A9" w:rsidP="004D77A9">
      <w:pPr>
        <w:pStyle w:val="ad"/>
        <w:rPr>
          <w:lang w:val="en-US"/>
        </w:rPr>
      </w:pPr>
      <w:r>
        <w:tab/>
      </w:r>
      <w:r w:rsidRPr="00EF3464">
        <w:rPr>
          <w:rStyle w:val="aa"/>
        </w:rPr>
        <w:footnoteRef/>
      </w:r>
      <w:r w:rsidRPr="006C31B2">
        <w:tab/>
      </w:r>
      <w:r w:rsidR="006F2B20">
        <w:fldChar w:fldCharType="begin"/>
      </w:r>
      <w:r w:rsidR="006F2B20">
        <w:instrText>HYPERLINK "https://docs.un.org/ru/HRI/GEN/2/Rev.6"</w:instrText>
      </w:r>
      <w:r w:rsidR="006F2B20">
        <w:fldChar w:fldCharType="separate"/>
      </w:r>
      <w:r w:rsidRPr="00DF7652">
        <w:rPr>
          <w:rStyle w:val="af1"/>
          <w:lang w:val="en-US"/>
        </w:rPr>
        <w:t>HRI</w:t>
      </w:r>
      <w:r w:rsidRPr="006C31B2">
        <w:rPr>
          <w:rStyle w:val="af1"/>
        </w:rPr>
        <w:t>/</w:t>
      </w:r>
      <w:r w:rsidRPr="00DF7652">
        <w:rPr>
          <w:rStyle w:val="af1"/>
          <w:lang w:val="en-US"/>
        </w:rPr>
        <w:t>GEN</w:t>
      </w:r>
      <w:r w:rsidRPr="006C31B2">
        <w:rPr>
          <w:rStyle w:val="af1"/>
        </w:rPr>
        <w:t>/2/</w:t>
      </w:r>
      <w:r w:rsidRPr="00DF7652">
        <w:rPr>
          <w:rStyle w:val="af1"/>
          <w:lang w:val="en-US"/>
        </w:rPr>
        <w:t>Rev</w:t>
      </w:r>
      <w:r w:rsidRPr="006C31B2">
        <w:rPr>
          <w:rStyle w:val="af1"/>
        </w:rPr>
        <w:t>.6</w:t>
      </w:r>
      <w:r w:rsidR="006F2B20">
        <w:rPr>
          <w:rStyle w:val="af1"/>
          <w:lang w:val="en-US"/>
        </w:rPr>
        <w:fldChar w:fldCharType="end"/>
      </w:r>
      <w:r w:rsidRPr="006C31B2">
        <w:t xml:space="preserve">, </w:t>
      </w:r>
      <w:proofErr w:type="spellStart"/>
      <w:r>
        <w:t>гл</w:t>
      </w:r>
      <w:proofErr w:type="spellEnd"/>
      <w:r w:rsidRPr="006C31B2">
        <w:t xml:space="preserve">. </w:t>
      </w:r>
      <w:r w:rsidRPr="00DF7652">
        <w:rPr>
          <w:lang w:val="en-US"/>
        </w:rPr>
        <w:t>I.</w:t>
      </w:r>
    </w:p>
  </w:footnote>
  <w:footnote w:id="10">
    <w:p w14:paraId="1DD20069" w14:textId="15D6E7B8" w:rsidR="004D77A9" w:rsidRPr="006A0864" w:rsidRDefault="004D77A9" w:rsidP="004D77A9">
      <w:pPr>
        <w:pStyle w:val="ad"/>
      </w:pPr>
      <w:r w:rsidRPr="00DF7652">
        <w:rPr>
          <w:lang w:val="en-US"/>
        </w:rPr>
        <w:tab/>
      </w:r>
      <w:r w:rsidRPr="00EF3464">
        <w:rPr>
          <w:rStyle w:val="aa"/>
        </w:rPr>
        <w:footnoteRef/>
      </w:r>
      <w:r w:rsidRPr="00DF7652">
        <w:rPr>
          <w:lang w:val="en-US"/>
        </w:rPr>
        <w:tab/>
      </w:r>
      <w:hyperlink r:id="rId6" w:history="1">
        <w:r w:rsidRPr="00DF7652">
          <w:rPr>
            <w:rStyle w:val="af1"/>
          </w:rPr>
          <w:t>CERD/C/2007/1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93915" w14:textId="59C160EA" w:rsidR="004D77A9" w:rsidRPr="004D77A9" w:rsidRDefault="006F2B2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EB41DE">
      <w:t>CERD/C/GAB/CO/10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2EFA5" w14:textId="754215C9" w:rsidR="004D77A9" w:rsidRPr="004D77A9" w:rsidRDefault="006F2B20" w:rsidP="004D77A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B41DE">
      <w:t>CERD/C/GAB/CO/10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ADF72" w14:textId="77777777" w:rsidR="004D77A9" w:rsidRDefault="004D77A9" w:rsidP="004D77A9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64063080">
    <w:abstractNumId w:val="16"/>
  </w:num>
  <w:num w:numId="2" w16cid:durableId="224024604">
    <w:abstractNumId w:val="11"/>
  </w:num>
  <w:num w:numId="3" w16cid:durableId="804468468">
    <w:abstractNumId w:val="10"/>
  </w:num>
  <w:num w:numId="4" w16cid:durableId="1936205651">
    <w:abstractNumId w:val="17"/>
  </w:num>
  <w:num w:numId="5" w16cid:durableId="1407417131">
    <w:abstractNumId w:val="13"/>
  </w:num>
  <w:num w:numId="6" w16cid:durableId="1249384599">
    <w:abstractNumId w:val="8"/>
  </w:num>
  <w:num w:numId="7" w16cid:durableId="725690659">
    <w:abstractNumId w:val="3"/>
  </w:num>
  <w:num w:numId="8" w16cid:durableId="587230704">
    <w:abstractNumId w:val="2"/>
  </w:num>
  <w:num w:numId="9" w16cid:durableId="1228298274">
    <w:abstractNumId w:val="1"/>
  </w:num>
  <w:num w:numId="10" w16cid:durableId="1040662605">
    <w:abstractNumId w:val="0"/>
  </w:num>
  <w:num w:numId="11" w16cid:durableId="439957537">
    <w:abstractNumId w:val="9"/>
  </w:num>
  <w:num w:numId="12" w16cid:durableId="1609579333">
    <w:abstractNumId w:val="7"/>
  </w:num>
  <w:num w:numId="13" w16cid:durableId="1183520733">
    <w:abstractNumId w:val="6"/>
  </w:num>
  <w:num w:numId="14" w16cid:durableId="443690586">
    <w:abstractNumId w:val="5"/>
  </w:num>
  <w:num w:numId="15" w16cid:durableId="1823234533">
    <w:abstractNumId w:val="4"/>
  </w:num>
  <w:num w:numId="16" w16cid:durableId="2085683281">
    <w:abstractNumId w:val="15"/>
  </w:num>
  <w:num w:numId="17" w16cid:durableId="366637293">
    <w:abstractNumId w:val="12"/>
  </w:num>
  <w:num w:numId="18" w16cid:durableId="116720568">
    <w:abstractNumId w:val="14"/>
  </w:num>
  <w:num w:numId="19" w16cid:durableId="212427639">
    <w:abstractNumId w:val="15"/>
  </w:num>
  <w:num w:numId="20" w16cid:durableId="916980932">
    <w:abstractNumId w:val="12"/>
  </w:num>
  <w:num w:numId="21" w16cid:durableId="85723958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F8"/>
    <w:rsid w:val="0000498B"/>
    <w:rsid w:val="00033EE1"/>
    <w:rsid w:val="00042B72"/>
    <w:rsid w:val="000558BD"/>
    <w:rsid w:val="0009615D"/>
    <w:rsid w:val="000B57E7"/>
    <w:rsid w:val="000B6373"/>
    <w:rsid w:val="000B6FE1"/>
    <w:rsid w:val="000F09DF"/>
    <w:rsid w:val="000F61B2"/>
    <w:rsid w:val="00103383"/>
    <w:rsid w:val="001075E9"/>
    <w:rsid w:val="00141D50"/>
    <w:rsid w:val="0015103F"/>
    <w:rsid w:val="00180183"/>
    <w:rsid w:val="0018024D"/>
    <w:rsid w:val="0018649F"/>
    <w:rsid w:val="00196389"/>
    <w:rsid w:val="001B3EF6"/>
    <w:rsid w:val="001C6754"/>
    <w:rsid w:val="001C7A89"/>
    <w:rsid w:val="001E511F"/>
    <w:rsid w:val="001E6210"/>
    <w:rsid w:val="001F7127"/>
    <w:rsid w:val="001F7C09"/>
    <w:rsid w:val="00200F96"/>
    <w:rsid w:val="002459F2"/>
    <w:rsid w:val="002558F0"/>
    <w:rsid w:val="00256CA9"/>
    <w:rsid w:val="002A2EFC"/>
    <w:rsid w:val="002B74B1"/>
    <w:rsid w:val="002C0E18"/>
    <w:rsid w:val="002D5AAC"/>
    <w:rsid w:val="002E5067"/>
    <w:rsid w:val="002E62F0"/>
    <w:rsid w:val="002F2BFE"/>
    <w:rsid w:val="002F405F"/>
    <w:rsid w:val="002F7EEC"/>
    <w:rsid w:val="00301299"/>
    <w:rsid w:val="00305C08"/>
    <w:rsid w:val="00307FB6"/>
    <w:rsid w:val="00311B13"/>
    <w:rsid w:val="00317339"/>
    <w:rsid w:val="00317B9E"/>
    <w:rsid w:val="00322004"/>
    <w:rsid w:val="00333FA2"/>
    <w:rsid w:val="0033553A"/>
    <w:rsid w:val="003402C2"/>
    <w:rsid w:val="00343F5B"/>
    <w:rsid w:val="00352D96"/>
    <w:rsid w:val="00381C24"/>
    <w:rsid w:val="003958D0"/>
    <w:rsid w:val="003A6859"/>
    <w:rsid w:val="003B00E5"/>
    <w:rsid w:val="003D11EA"/>
    <w:rsid w:val="003F388C"/>
    <w:rsid w:val="003F5DE0"/>
    <w:rsid w:val="004055E9"/>
    <w:rsid w:val="00407B78"/>
    <w:rsid w:val="00424203"/>
    <w:rsid w:val="0043340A"/>
    <w:rsid w:val="00452493"/>
    <w:rsid w:val="00453318"/>
    <w:rsid w:val="00454E07"/>
    <w:rsid w:val="00472C5C"/>
    <w:rsid w:val="004A1C15"/>
    <w:rsid w:val="004A6432"/>
    <w:rsid w:val="004D2C64"/>
    <w:rsid w:val="004D77A9"/>
    <w:rsid w:val="004E104A"/>
    <w:rsid w:val="004E67B7"/>
    <w:rsid w:val="004F021D"/>
    <w:rsid w:val="0050108D"/>
    <w:rsid w:val="00503601"/>
    <w:rsid w:val="00513081"/>
    <w:rsid w:val="00517901"/>
    <w:rsid w:val="0052150B"/>
    <w:rsid w:val="00526683"/>
    <w:rsid w:val="00546F6F"/>
    <w:rsid w:val="00566713"/>
    <w:rsid w:val="0057071C"/>
    <w:rsid w:val="005709E0"/>
    <w:rsid w:val="00572E19"/>
    <w:rsid w:val="00574F1F"/>
    <w:rsid w:val="005961C8"/>
    <w:rsid w:val="005A0103"/>
    <w:rsid w:val="005B025B"/>
    <w:rsid w:val="005C4B1F"/>
    <w:rsid w:val="005D7914"/>
    <w:rsid w:val="005E2B41"/>
    <w:rsid w:val="005F0B42"/>
    <w:rsid w:val="00613681"/>
    <w:rsid w:val="00627C61"/>
    <w:rsid w:val="006306AC"/>
    <w:rsid w:val="00641A8C"/>
    <w:rsid w:val="006552E3"/>
    <w:rsid w:val="0067000F"/>
    <w:rsid w:val="00681A10"/>
    <w:rsid w:val="00685128"/>
    <w:rsid w:val="00692BD0"/>
    <w:rsid w:val="006A1ED8"/>
    <w:rsid w:val="006C2031"/>
    <w:rsid w:val="006C31B2"/>
    <w:rsid w:val="006C6A2E"/>
    <w:rsid w:val="006D18C3"/>
    <w:rsid w:val="006D461A"/>
    <w:rsid w:val="006F35EE"/>
    <w:rsid w:val="007021FF"/>
    <w:rsid w:val="00702289"/>
    <w:rsid w:val="00706B3D"/>
    <w:rsid w:val="00710C4A"/>
    <w:rsid w:val="00712895"/>
    <w:rsid w:val="00757357"/>
    <w:rsid w:val="00757E80"/>
    <w:rsid w:val="007B7DCE"/>
    <w:rsid w:val="007C46C9"/>
    <w:rsid w:val="007C49AB"/>
    <w:rsid w:val="00814BA8"/>
    <w:rsid w:val="00824737"/>
    <w:rsid w:val="00825F8D"/>
    <w:rsid w:val="00834B71"/>
    <w:rsid w:val="0086445C"/>
    <w:rsid w:val="00871143"/>
    <w:rsid w:val="008728F9"/>
    <w:rsid w:val="00885501"/>
    <w:rsid w:val="00894693"/>
    <w:rsid w:val="008A08D7"/>
    <w:rsid w:val="008A1A97"/>
    <w:rsid w:val="008A3166"/>
    <w:rsid w:val="008B227E"/>
    <w:rsid w:val="008B360C"/>
    <w:rsid w:val="008B6909"/>
    <w:rsid w:val="008C1299"/>
    <w:rsid w:val="008D2AAD"/>
    <w:rsid w:val="008D34A2"/>
    <w:rsid w:val="0090054A"/>
    <w:rsid w:val="00906890"/>
    <w:rsid w:val="00911BE4"/>
    <w:rsid w:val="00947315"/>
    <w:rsid w:val="00951972"/>
    <w:rsid w:val="009608F3"/>
    <w:rsid w:val="00967C42"/>
    <w:rsid w:val="00992249"/>
    <w:rsid w:val="009A24AC"/>
    <w:rsid w:val="009D5FCE"/>
    <w:rsid w:val="009F5725"/>
    <w:rsid w:val="00A14DA8"/>
    <w:rsid w:val="00A312BC"/>
    <w:rsid w:val="00A84021"/>
    <w:rsid w:val="00A84210"/>
    <w:rsid w:val="00A84D35"/>
    <w:rsid w:val="00A84F3D"/>
    <w:rsid w:val="00A917B3"/>
    <w:rsid w:val="00AB0123"/>
    <w:rsid w:val="00AB4B51"/>
    <w:rsid w:val="00AC0B91"/>
    <w:rsid w:val="00AF1A92"/>
    <w:rsid w:val="00B0407A"/>
    <w:rsid w:val="00B10CC7"/>
    <w:rsid w:val="00B11B32"/>
    <w:rsid w:val="00B27969"/>
    <w:rsid w:val="00B32719"/>
    <w:rsid w:val="00B36DF7"/>
    <w:rsid w:val="00B539E7"/>
    <w:rsid w:val="00B60119"/>
    <w:rsid w:val="00B62458"/>
    <w:rsid w:val="00B67B12"/>
    <w:rsid w:val="00B84BAF"/>
    <w:rsid w:val="00BC18B2"/>
    <w:rsid w:val="00BD33EE"/>
    <w:rsid w:val="00C106D6"/>
    <w:rsid w:val="00C16F21"/>
    <w:rsid w:val="00C60F0C"/>
    <w:rsid w:val="00C805C9"/>
    <w:rsid w:val="00C84E97"/>
    <w:rsid w:val="00C85471"/>
    <w:rsid w:val="00C92939"/>
    <w:rsid w:val="00CA1679"/>
    <w:rsid w:val="00CB151C"/>
    <w:rsid w:val="00CE5A1A"/>
    <w:rsid w:val="00CF55F6"/>
    <w:rsid w:val="00CF6862"/>
    <w:rsid w:val="00D33D63"/>
    <w:rsid w:val="00D619AA"/>
    <w:rsid w:val="00D61A5E"/>
    <w:rsid w:val="00D90028"/>
    <w:rsid w:val="00D90138"/>
    <w:rsid w:val="00D941F8"/>
    <w:rsid w:val="00DD1D1E"/>
    <w:rsid w:val="00DD78D1"/>
    <w:rsid w:val="00DE32CD"/>
    <w:rsid w:val="00DF6F2D"/>
    <w:rsid w:val="00DF71B9"/>
    <w:rsid w:val="00DF7652"/>
    <w:rsid w:val="00DF7BA7"/>
    <w:rsid w:val="00E03801"/>
    <w:rsid w:val="00E32125"/>
    <w:rsid w:val="00E42E91"/>
    <w:rsid w:val="00E6145D"/>
    <w:rsid w:val="00E73F76"/>
    <w:rsid w:val="00E7480E"/>
    <w:rsid w:val="00EA2C9F"/>
    <w:rsid w:val="00EA420E"/>
    <w:rsid w:val="00EA794B"/>
    <w:rsid w:val="00EB41DE"/>
    <w:rsid w:val="00EB596E"/>
    <w:rsid w:val="00EC680B"/>
    <w:rsid w:val="00ED0BDA"/>
    <w:rsid w:val="00EF1360"/>
    <w:rsid w:val="00EF20A1"/>
    <w:rsid w:val="00EF3220"/>
    <w:rsid w:val="00F0540A"/>
    <w:rsid w:val="00F41B03"/>
    <w:rsid w:val="00F43903"/>
    <w:rsid w:val="00F53853"/>
    <w:rsid w:val="00F7397A"/>
    <w:rsid w:val="00F77F4D"/>
    <w:rsid w:val="00F80AF4"/>
    <w:rsid w:val="00F94155"/>
    <w:rsid w:val="00F9783F"/>
    <w:rsid w:val="00FD1BD7"/>
    <w:rsid w:val="00FD2EF7"/>
    <w:rsid w:val="00FE012C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8418D6"/>
  <w15:docId w15:val="{5446B746-7339-4CA8-B3FC-58986F910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/>
      <w:u w:val="none"/>
    </w:rPr>
  </w:style>
  <w:style w:type="character" w:styleId="af2">
    <w:name w:val="FollowedHyperlink"/>
    <w:basedOn w:val="a0"/>
    <w:rsid w:val="006306AC"/>
    <w:rPr>
      <w:color w:val="0000FF"/>
      <w:u w:val="none"/>
    </w:rPr>
  </w:style>
  <w:style w:type="character" w:customStyle="1" w:styleId="HChGChar">
    <w:name w:val="_ H _Ch_G Char"/>
    <w:link w:val="HChG"/>
    <w:rsid w:val="004D77A9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locked/>
    <w:rsid w:val="004D77A9"/>
    <w:rPr>
      <w:lang w:val="ru-RU" w:eastAsia="en-US"/>
    </w:rPr>
  </w:style>
  <w:style w:type="character" w:customStyle="1" w:styleId="H1GChar">
    <w:name w:val="_ H_1_G Char"/>
    <w:link w:val="H1G"/>
    <w:locked/>
    <w:rsid w:val="004D77A9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4D77A9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DF76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RES/79/193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ru/A/RES/68/268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docs.un.org/ru/A/RES/68/268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RES/69/16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en/CERD/C/SR.3152" TargetMode="External"/><Relationship Id="rId2" Type="http://schemas.openxmlformats.org/officeDocument/2006/relationships/hyperlink" Target="https://docs.un.org/en/CERD/C/SR.3151" TargetMode="External"/><Relationship Id="rId1" Type="http://schemas.openxmlformats.org/officeDocument/2006/relationships/hyperlink" Target="https://docs.un.org/en/CERD/C/GAB/10" TargetMode="External"/><Relationship Id="rId6" Type="http://schemas.openxmlformats.org/officeDocument/2006/relationships/hyperlink" Target="https://docs.un.org/ru/CERD/C/2007/1" TargetMode="External"/><Relationship Id="rId5" Type="http://schemas.openxmlformats.org/officeDocument/2006/relationships/hyperlink" Target="https://docs.un.org/ru/CERD/C/304/Add.58" TargetMode="External"/><Relationship Id="rId4" Type="http://schemas.openxmlformats.org/officeDocument/2006/relationships/hyperlink" Target="https://docs.un.org/ru/CERD/C/2007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14</Pages>
  <Words>5576</Words>
  <Characters>38642</Characters>
  <Application>Microsoft Office Word</Application>
  <DocSecurity>0</DocSecurity>
  <Lines>702</Lines>
  <Paragraphs>176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CERD/C/GAB/CO/10</vt:lpstr>
      <vt:lpstr>A/</vt:lpstr>
      <vt:lpstr>A/</vt:lpstr>
    </vt:vector>
  </TitlesOfParts>
  <Company>DCM</Company>
  <LinksUpToDate>false</LinksUpToDate>
  <CharactersWithSpaces>44042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CERD/C/GAB/CO/10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2025-06-30T09:56:00Z</dcterms:created>
  <dcterms:modified xsi:type="dcterms:W3CDTF">2025-06-30T09:56:00Z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