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336" w:rsidRPr="004C0FAD" w:rsidRDefault="000B6336" w:rsidP="000B6336">
      <w:pPr>
        <w:spacing w:line="240" w:lineRule="auto"/>
        <w:rPr>
          <w:sz w:val="6"/>
        </w:rPr>
        <w:sectPr w:rsidR="000B6336" w:rsidRPr="004C0FAD" w:rsidSect="00494AA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C0FAD">
        <w:rPr>
          <w:rStyle w:val="CommentReference"/>
          <w:szCs w:val="20"/>
        </w:rPr>
        <w:commentReference w:id="0"/>
      </w:r>
      <w:bookmarkStart w:id="1" w:name="_GoBack"/>
      <w:bookmarkEnd w:id="1"/>
    </w:p>
    <w:p w:rsidR="000B6336" w:rsidRPr="004C0FAD" w:rsidRDefault="000B6336" w:rsidP="000B6336">
      <w:pPr>
        <w:pStyle w:val="H1"/>
      </w:pPr>
      <w:r w:rsidRPr="004C0FAD">
        <w:lastRenderedPageBreak/>
        <w:t>Comité contra la Desaparición Forzada</w:t>
      </w:r>
    </w:p>
    <w:p w:rsidR="004C0FAD" w:rsidRPr="004C0FAD" w:rsidRDefault="004C0FAD" w:rsidP="004C0FAD">
      <w:pPr>
        <w:pStyle w:val="Session"/>
        <w:rPr>
          <w:lang w:bidi="es-ES"/>
        </w:rPr>
      </w:pPr>
      <w:r w:rsidRPr="004C0FAD">
        <w:rPr>
          <w:lang w:bidi="es-ES"/>
        </w:rPr>
        <w:t>Noveno período de sesiones</w:t>
      </w:r>
    </w:p>
    <w:p w:rsidR="004C0FAD" w:rsidRPr="004C0FAD" w:rsidRDefault="004C0FAD" w:rsidP="004C0FAD">
      <w:pPr>
        <w:pStyle w:val="AgendaTitle"/>
        <w:rPr>
          <w:lang w:bidi="es-ES"/>
        </w:rPr>
      </w:pPr>
      <w:r w:rsidRPr="004C0FAD">
        <w:rPr>
          <w:lang w:bidi="es-ES"/>
        </w:rPr>
        <w:t>7 a 18 de septiembre de 2015</w:t>
      </w:r>
    </w:p>
    <w:p w:rsidR="004C0FAD" w:rsidRPr="004C0FAD" w:rsidRDefault="004C0FAD" w:rsidP="004C0FAD">
      <w:pPr>
        <w:pStyle w:val="AgendaTitle"/>
        <w:rPr>
          <w:lang w:bidi="es-ES"/>
        </w:rPr>
      </w:pPr>
      <w:r w:rsidRPr="004C0FAD">
        <w:rPr>
          <w:lang w:bidi="es-ES"/>
        </w:rPr>
        <w:t>Tema 4 del programa provisional</w:t>
      </w:r>
    </w:p>
    <w:p w:rsidR="004C0FAD" w:rsidRDefault="004C0FAD" w:rsidP="004C0FAD">
      <w:pPr>
        <w:pStyle w:val="Session"/>
        <w:rPr>
          <w:lang w:bidi="es-ES"/>
        </w:rPr>
      </w:pPr>
      <w:r w:rsidRPr="004C0FAD">
        <w:rPr>
          <w:lang w:bidi="es-ES"/>
        </w:rPr>
        <w:t>Aprobación del programa</w:t>
      </w:r>
    </w:p>
    <w:p w:rsidR="004C0FAD" w:rsidRPr="004C0FAD" w:rsidRDefault="004C0FAD" w:rsidP="004C0FAD">
      <w:pPr>
        <w:pStyle w:val="Session"/>
        <w:spacing w:line="120" w:lineRule="exact"/>
        <w:rPr>
          <w:sz w:val="10"/>
          <w:lang w:bidi="es-ES"/>
        </w:rPr>
      </w:pPr>
    </w:p>
    <w:p w:rsidR="004C0FAD" w:rsidRPr="004C0FAD" w:rsidRDefault="004C0FAD" w:rsidP="004C0FAD">
      <w:pPr>
        <w:pStyle w:val="Session"/>
        <w:spacing w:line="120" w:lineRule="exact"/>
        <w:rPr>
          <w:sz w:val="10"/>
          <w:lang w:bidi="es-ES"/>
        </w:rPr>
      </w:pPr>
    </w:p>
    <w:p w:rsidR="004C0FAD" w:rsidRPr="004C0FAD" w:rsidRDefault="004C0FAD" w:rsidP="004C0FAD">
      <w:pPr>
        <w:pStyle w:val="Session"/>
        <w:spacing w:line="120" w:lineRule="exact"/>
        <w:rPr>
          <w:sz w:val="10"/>
          <w:lang w:bidi="es-ES"/>
        </w:rPr>
      </w:pPr>
    </w:p>
    <w:p w:rsidR="004C0FAD" w:rsidRDefault="004C0FAD" w:rsidP="00A63C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r>
      <w:r w:rsidRPr="004C0FAD">
        <w:rPr>
          <w:lang w:bidi="es-ES"/>
        </w:rPr>
        <w:tab/>
        <w:t>Programa provisional anotado</w:t>
      </w:r>
    </w:p>
    <w:p w:rsidR="004C0FAD" w:rsidRPr="004C0FAD" w:rsidRDefault="004C0FAD" w:rsidP="004C0FAD">
      <w:pPr>
        <w:pStyle w:val="SingleTxt"/>
        <w:spacing w:after="0" w:line="120" w:lineRule="exact"/>
        <w:rPr>
          <w:b/>
          <w:sz w:val="10"/>
          <w:lang w:bidi="es-ES"/>
        </w:rPr>
      </w:pPr>
    </w:p>
    <w:p w:rsidR="004C0FAD" w:rsidRPr="004C0FAD" w:rsidRDefault="004C0FAD" w:rsidP="004C0FAD">
      <w:pPr>
        <w:pStyle w:val="SingleTxt"/>
        <w:spacing w:after="0" w:line="120" w:lineRule="exact"/>
        <w:rPr>
          <w:b/>
          <w:sz w:val="10"/>
          <w:lang w:bidi="es-ES"/>
        </w:rPr>
      </w:pPr>
    </w:p>
    <w:p w:rsidR="004C0FAD" w:rsidRDefault="004C0FAD" w:rsidP="00A63C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r>
      <w:r w:rsidRPr="004C0FAD">
        <w:rPr>
          <w:lang w:bidi="es-ES"/>
        </w:rPr>
        <w:tab/>
        <w:t>Programa provisional</w:t>
      </w:r>
    </w:p>
    <w:p w:rsidR="004C0FAD" w:rsidRPr="004C0FAD" w:rsidRDefault="004C0FAD" w:rsidP="004C0FAD">
      <w:pPr>
        <w:pStyle w:val="SingleTxt"/>
        <w:spacing w:after="0" w:line="120" w:lineRule="exact"/>
        <w:rPr>
          <w:b/>
          <w:sz w:val="10"/>
          <w:lang w:bidi="es-ES"/>
        </w:rPr>
      </w:pPr>
    </w:p>
    <w:p w:rsidR="004C0FAD" w:rsidRPr="004C0FAD" w:rsidRDefault="004C0FAD" w:rsidP="004C0FAD">
      <w:pPr>
        <w:pStyle w:val="SingleTxt"/>
        <w:spacing w:after="0" w:line="120" w:lineRule="exact"/>
        <w:rPr>
          <w:b/>
          <w:sz w:val="10"/>
          <w:lang w:bidi="es-ES"/>
        </w:rPr>
      </w:pPr>
    </w:p>
    <w:p w:rsidR="004C0FAD" w:rsidRPr="004C0FAD" w:rsidRDefault="004C0FAD" w:rsidP="004C0FAD">
      <w:pPr>
        <w:pStyle w:val="SingleTxt"/>
        <w:ind w:left="1742" w:hanging="475"/>
        <w:rPr>
          <w:lang w:bidi="es-ES"/>
        </w:rPr>
      </w:pPr>
      <w:r>
        <w:rPr>
          <w:lang w:bidi="es-ES"/>
        </w:rPr>
        <w:t>1.</w:t>
      </w:r>
      <w:r>
        <w:rPr>
          <w:lang w:bidi="es-ES"/>
        </w:rPr>
        <w:tab/>
      </w:r>
      <w:r w:rsidRPr="004C0FAD">
        <w:rPr>
          <w:lang w:bidi="es-ES"/>
        </w:rPr>
        <w:t>Apertura del período de sesiones.</w:t>
      </w:r>
    </w:p>
    <w:p w:rsidR="004C0FAD" w:rsidRPr="004C0FAD" w:rsidRDefault="004C0FAD" w:rsidP="004C0FAD">
      <w:pPr>
        <w:pStyle w:val="SingleTxt"/>
        <w:ind w:left="1742" w:hanging="475"/>
        <w:rPr>
          <w:lang w:bidi="es-ES"/>
        </w:rPr>
      </w:pPr>
      <w:r>
        <w:rPr>
          <w:lang w:bidi="es-ES"/>
        </w:rPr>
        <w:t>2.</w:t>
      </w:r>
      <w:r>
        <w:rPr>
          <w:lang w:bidi="es-ES"/>
        </w:rPr>
        <w:tab/>
      </w:r>
      <w:r w:rsidRPr="004C0FAD">
        <w:rPr>
          <w:lang w:bidi="es-ES"/>
        </w:rPr>
        <w:t>Declaración solemne de los miembros del Comité recientemente elegidos.</w:t>
      </w:r>
    </w:p>
    <w:p w:rsidR="004C0FAD" w:rsidRPr="004C0FAD" w:rsidRDefault="004C0FAD" w:rsidP="004C0FAD">
      <w:pPr>
        <w:pStyle w:val="SingleTxt"/>
        <w:ind w:left="1742" w:hanging="475"/>
        <w:rPr>
          <w:lang w:bidi="es-ES"/>
        </w:rPr>
      </w:pPr>
      <w:r>
        <w:rPr>
          <w:lang w:bidi="es-ES"/>
        </w:rPr>
        <w:t>3.</w:t>
      </w:r>
      <w:r>
        <w:rPr>
          <w:lang w:bidi="es-ES"/>
        </w:rPr>
        <w:tab/>
      </w:r>
      <w:r w:rsidRPr="004C0FAD">
        <w:rPr>
          <w:lang w:bidi="es-ES"/>
        </w:rPr>
        <w:t>Elección de la Mesa.</w:t>
      </w:r>
    </w:p>
    <w:p w:rsidR="004C0FAD" w:rsidRPr="004C0FAD" w:rsidRDefault="004C0FAD" w:rsidP="004C0FAD">
      <w:pPr>
        <w:pStyle w:val="SingleTxt"/>
        <w:ind w:left="1742" w:hanging="475"/>
        <w:rPr>
          <w:lang w:bidi="es-ES"/>
        </w:rPr>
      </w:pPr>
      <w:r w:rsidRPr="004C0FAD">
        <w:rPr>
          <w:lang w:bidi="es-ES"/>
        </w:rPr>
        <w:t>4.</w:t>
      </w:r>
      <w:r w:rsidRPr="004C0FAD">
        <w:rPr>
          <w:lang w:bidi="es-ES"/>
        </w:rPr>
        <w:tab/>
        <w:t>Aprobación del programa.</w:t>
      </w:r>
    </w:p>
    <w:p w:rsidR="004C0FAD" w:rsidRPr="004C0FAD" w:rsidRDefault="004C0FAD" w:rsidP="004C0FAD">
      <w:pPr>
        <w:pStyle w:val="SingleTxt"/>
        <w:ind w:left="1742" w:hanging="475"/>
        <w:rPr>
          <w:lang w:bidi="es-ES"/>
        </w:rPr>
      </w:pPr>
      <w:r w:rsidRPr="004C0FAD">
        <w:rPr>
          <w:lang w:bidi="es-ES"/>
        </w:rPr>
        <w:t>5.</w:t>
      </w:r>
      <w:r w:rsidRPr="004C0FAD">
        <w:rPr>
          <w:lang w:bidi="es-ES"/>
        </w:rPr>
        <w:tab/>
        <w:t>Minuto de silencio en recuerdo de las víctimas de las desapariciones forzadas.</w:t>
      </w:r>
    </w:p>
    <w:p w:rsidR="004C0FAD" w:rsidRPr="004C0FAD" w:rsidRDefault="004C0FAD" w:rsidP="004C0FAD">
      <w:pPr>
        <w:pStyle w:val="SingleTxt"/>
        <w:ind w:left="1742" w:hanging="475"/>
        <w:rPr>
          <w:lang w:bidi="es-ES"/>
        </w:rPr>
      </w:pPr>
      <w:r w:rsidRPr="004C0FAD">
        <w:rPr>
          <w:lang w:bidi="es-ES"/>
        </w:rPr>
        <w:t>6.</w:t>
      </w:r>
      <w:r w:rsidRPr="004C0FAD">
        <w:rPr>
          <w:lang w:bidi="es-ES"/>
        </w:rPr>
        <w:tab/>
        <w:t>Información recibida por el Comité.</w:t>
      </w:r>
    </w:p>
    <w:p w:rsidR="004C0FAD" w:rsidRPr="004C0FAD" w:rsidRDefault="004C0FAD" w:rsidP="004C0FAD">
      <w:pPr>
        <w:pStyle w:val="SingleTxt"/>
        <w:ind w:left="1742" w:hanging="475"/>
        <w:rPr>
          <w:lang w:bidi="es-ES"/>
        </w:rPr>
      </w:pPr>
      <w:r w:rsidRPr="004C0FAD">
        <w:rPr>
          <w:lang w:bidi="es-ES"/>
        </w:rPr>
        <w:t>7.</w:t>
      </w:r>
      <w:r w:rsidRPr="004C0FAD">
        <w:rPr>
          <w:lang w:bidi="es-ES"/>
        </w:rPr>
        <w:tab/>
        <w:t>Asuntos relacionados con los métodos de trabajo del Comité:</w:t>
      </w:r>
    </w:p>
    <w:p w:rsidR="004C0FAD" w:rsidRPr="004C0FAD" w:rsidRDefault="004C0FAD" w:rsidP="00A63C02">
      <w:pPr>
        <w:pStyle w:val="SingleTxt"/>
        <w:ind w:left="1742"/>
        <w:rPr>
          <w:lang w:bidi="es-ES"/>
        </w:rPr>
      </w:pPr>
      <w:r w:rsidRPr="004C0FAD">
        <w:rPr>
          <w:lang w:bidi="es-ES"/>
        </w:rPr>
        <w:t>a)</w:t>
      </w:r>
      <w:r w:rsidRPr="004C0FAD">
        <w:rPr>
          <w:lang w:bidi="es-ES"/>
        </w:rPr>
        <w:tab/>
        <w:t>Métodos de trabajo en relación con los artículos 31 a 34 de la Convención;</w:t>
      </w:r>
    </w:p>
    <w:p w:rsidR="004C0FAD" w:rsidRPr="004C0FAD" w:rsidRDefault="004C0FAD" w:rsidP="00A63C02">
      <w:pPr>
        <w:pStyle w:val="SingleTxt"/>
        <w:ind w:left="1742"/>
        <w:rPr>
          <w:lang w:bidi="es-ES"/>
        </w:rPr>
      </w:pPr>
      <w:r w:rsidRPr="004C0FAD">
        <w:rPr>
          <w:lang w:bidi="es-ES"/>
        </w:rPr>
        <w:t>b)</w:t>
      </w:r>
      <w:r w:rsidRPr="004C0FAD">
        <w:rPr>
          <w:lang w:bidi="es-ES"/>
        </w:rPr>
        <w:tab/>
        <w:t xml:space="preserve">Estrategia para </w:t>
      </w:r>
      <w:r w:rsidR="00A63C02">
        <w:rPr>
          <w:lang w:bidi="es-ES"/>
        </w:rPr>
        <w:t xml:space="preserve">la </w:t>
      </w:r>
      <w:r w:rsidRPr="004C0FAD">
        <w:rPr>
          <w:lang w:bidi="es-ES"/>
        </w:rPr>
        <w:t>ratifica</w:t>
      </w:r>
      <w:r w:rsidR="00A63C02">
        <w:rPr>
          <w:lang w:bidi="es-ES"/>
        </w:rPr>
        <w:t>ción de</w:t>
      </w:r>
      <w:r w:rsidRPr="004C0FAD">
        <w:rPr>
          <w:lang w:bidi="es-ES"/>
        </w:rPr>
        <w:t xml:space="preserve"> la Convención;</w:t>
      </w:r>
    </w:p>
    <w:p w:rsidR="004C0FAD" w:rsidRPr="004C0FAD" w:rsidRDefault="004C0FAD" w:rsidP="00A63C02">
      <w:pPr>
        <w:pStyle w:val="SingleTxt"/>
        <w:ind w:left="1742"/>
        <w:rPr>
          <w:lang w:bidi="es-ES"/>
        </w:rPr>
      </w:pPr>
      <w:r w:rsidRPr="004C0FAD">
        <w:rPr>
          <w:lang w:bidi="es-ES"/>
        </w:rPr>
        <w:t>c)</w:t>
      </w:r>
      <w:r w:rsidRPr="004C0FAD">
        <w:rPr>
          <w:lang w:bidi="es-ES"/>
        </w:rPr>
        <w:tab/>
        <w:t xml:space="preserve">Otros asuntos. </w:t>
      </w:r>
    </w:p>
    <w:p w:rsidR="004C0FAD" w:rsidRPr="004C0FAD" w:rsidRDefault="004C0FAD" w:rsidP="004C0FAD">
      <w:pPr>
        <w:pStyle w:val="SingleTxt"/>
        <w:ind w:left="1742" w:hanging="475"/>
        <w:rPr>
          <w:lang w:bidi="es-ES"/>
        </w:rPr>
      </w:pPr>
      <w:r w:rsidRPr="004C0FAD">
        <w:rPr>
          <w:lang w:bidi="es-ES"/>
        </w:rPr>
        <w:t>8.</w:t>
      </w:r>
      <w:r w:rsidRPr="004C0FAD">
        <w:rPr>
          <w:lang w:bidi="es-ES"/>
        </w:rPr>
        <w:tab/>
        <w:t>Examen de los informes de los Estados partes en la Convención.</w:t>
      </w:r>
    </w:p>
    <w:p w:rsidR="004C0FAD" w:rsidRPr="004C0FAD" w:rsidRDefault="004C0FAD" w:rsidP="004C0FAD">
      <w:pPr>
        <w:pStyle w:val="SingleTxt"/>
        <w:ind w:left="1742" w:hanging="475"/>
        <w:rPr>
          <w:lang w:bidi="es-ES"/>
        </w:rPr>
      </w:pPr>
      <w:r w:rsidRPr="004C0FAD">
        <w:rPr>
          <w:lang w:bidi="es-ES"/>
        </w:rPr>
        <w:t>9.</w:t>
      </w:r>
      <w:r w:rsidRPr="004C0FAD">
        <w:rPr>
          <w:lang w:bidi="es-ES"/>
        </w:rPr>
        <w:tab/>
        <w:t>Seguimiento de las observaciones finales sobre los informes de los Estados partes.</w:t>
      </w:r>
    </w:p>
    <w:p w:rsidR="004C0FAD" w:rsidRPr="004C0FAD" w:rsidRDefault="004C0FAD" w:rsidP="004C0FAD">
      <w:pPr>
        <w:pStyle w:val="SingleTxt"/>
        <w:ind w:left="1742" w:hanging="475"/>
        <w:rPr>
          <w:lang w:bidi="es-ES"/>
        </w:rPr>
      </w:pPr>
      <w:r w:rsidRPr="004C0FAD">
        <w:rPr>
          <w:lang w:bidi="es-ES"/>
        </w:rPr>
        <w:t>10.</w:t>
      </w:r>
      <w:r w:rsidRPr="004C0FAD">
        <w:rPr>
          <w:lang w:bidi="es-ES"/>
        </w:rPr>
        <w:tab/>
        <w:t>Examen de las listas de cuestiones.</w:t>
      </w:r>
    </w:p>
    <w:p w:rsidR="004C0FAD" w:rsidRPr="004C0FAD" w:rsidRDefault="004C0FAD" w:rsidP="004C0FAD">
      <w:pPr>
        <w:pStyle w:val="SingleTxt"/>
        <w:ind w:left="1742" w:hanging="475"/>
        <w:rPr>
          <w:lang w:bidi="es-ES"/>
        </w:rPr>
      </w:pPr>
      <w:r w:rsidRPr="004C0FAD">
        <w:rPr>
          <w:lang w:bidi="es-ES"/>
        </w:rPr>
        <w:t>11.</w:t>
      </w:r>
      <w:r w:rsidRPr="004C0FAD">
        <w:rPr>
          <w:lang w:bidi="es-ES"/>
        </w:rPr>
        <w:tab/>
        <w:t>Examen de peticiones de acción urgente (art. 30 de la Convención).</w:t>
      </w:r>
    </w:p>
    <w:p w:rsidR="004C0FAD" w:rsidRPr="004C0FAD" w:rsidRDefault="004C0FAD" w:rsidP="004C0FAD">
      <w:pPr>
        <w:pStyle w:val="SingleTxt"/>
        <w:ind w:left="1742" w:hanging="475"/>
        <w:rPr>
          <w:lang w:bidi="es-ES"/>
        </w:rPr>
      </w:pPr>
      <w:r w:rsidRPr="004C0FAD">
        <w:rPr>
          <w:lang w:bidi="es-ES"/>
        </w:rPr>
        <w:t>12.</w:t>
      </w:r>
      <w:r w:rsidRPr="004C0FAD">
        <w:rPr>
          <w:lang w:bidi="es-ES"/>
        </w:rPr>
        <w:tab/>
        <w:t>Examen de comunicaciones individuales (art. 31 de la Convención).</w:t>
      </w:r>
    </w:p>
    <w:p w:rsidR="004C0FAD" w:rsidRPr="004C0FAD" w:rsidRDefault="004C0FAD" w:rsidP="004C0FAD">
      <w:pPr>
        <w:pStyle w:val="SingleTxt"/>
        <w:ind w:left="1742" w:hanging="475"/>
        <w:rPr>
          <w:lang w:bidi="es-ES"/>
        </w:rPr>
      </w:pPr>
      <w:r w:rsidRPr="004C0FAD">
        <w:rPr>
          <w:lang w:bidi="es-ES"/>
        </w:rPr>
        <w:t>13.</w:t>
      </w:r>
      <w:r w:rsidRPr="004C0FAD">
        <w:rPr>
          <w:lang w:bidi="es-ES"/>
        </w:rPr>
        <w:tab/>
        <w:t>Reunión con Estados Miembros de las Naciones Unidas.</w:t>
      </w:r>
    </w:p>
    <w:p w:rsidR="004C0FAD" w:rsidRPr="004C0FAD" w:rsidRDefault="004C0FAD" w:rsidP="004C0FAD">
      <w:pPr>
        <w:pStyle w:val="SingleTxt"/>
        <w:ind w:left="1742" w:hanging="475"/>
        <w:rPr>
          <w:lang w:bidi="es-ES"/>
        </w:rPr>
      </w:pPr>
      <w:r w:rsidRPr="004C0FAD">
        <w:rPr>
          <w:lang w:bidi="es-ES"/>
        </w:rPr>
        <w:t>14.</w:t>
      </w:r>
      <w:r w:rsidRPr="004C0FAD">
        <w:rPr>
          <w:lang w:bidi="es-ES"/>
        </w:rPr>
        <w:tab/>
        <w:t>Reunión con organismos y mecanismos de las Naciones Unidas y con organizaciones intergubernamentales.</w:t>
      </w:r>
    </w:p>
    <w:p w:rsidR="004C0FAD" w:rsidRPr="004C0FAD" w:rsidRDefault="004C0FAD" w:rsidP="004C0FAD">
      <w:pPr>
        <w:pStyle w:val="SingleTxt"/>
        <w:ind w:left="1742" w:hanging="475"/>
        <w:rPr>
          <w:lang w:bidi="es-ES"/>
        </w:rPr>
      </w:pPr>
      <w:r w:rsidRPr="004C0FAD">
        <w:rPr>
          <w:lang w:bidi="es-ES"/>
        </w:rPr>
        <w:t>15.</w:t>
      </w:r>
      <w:r w:rsidRPr="004C0FAD">
        <w:rPr>
          <w:lang w:bidi="es-ES"/>
        </w:rPr>
        <w:tab/>
        <w:t>Reunión anual con el Grupo de Trabajo sobre las Desapariciones Forzadas o Involuntarias.</w:t>
      </w:r>
    </w:p>
    <w:p w:rsidR="004C0FAD" w:rsidRPr="004C0FAD" w:rsidRDefault="004C0FAD" w:rsidP="004C0FAD">
      <w:pPr>
        <w:pStyle w:val="SingleTxt"/>
        <w:ind w:left="1742" w:hanging="475"/>
        <w:rPr>
          <w:lang w:bidi="es-ES"/>
        </w:rPr>
      </w:pPr>
      <w:r w:rsidRPr="004C0FAD">
        <w:rPr>
          <w:lang w:bidi="es-ES"/>
        </w:rPr>
        <w:t>16.</w:t>
      </w:r>
      <w:r w:rsidRPr="004C0FAD">
        <w:rPr>
          <w:lang w:bidi="es-ES"/>
        </w:rPr>
        <w:tab/>
        <w:t>Reunión con instituciones nacionales de derechos humanos.</w:t>
      </w:r>
    </w:p>
    <w:p w:rsidR="004C0FAD" w:rsidRPr="004C0FAD" w:rsidRDefault="004C0FAD" w:rsidP="004C0FAD">
      <w:pPr>
        <w:pStyle w:val="SingleTxt"/>
        <w:ind w:left="1742" w:hanging="475"/>
        <w:rPr>
          <w:lang w:bidi="es-ES"/>
        </w:rPr>
      </w:pPr>
      <w:r w:rsidRPr="004C0FAD">
        <w:rPr>
          <w:lang w:bidi="es-ES"/>
        </w:rPr>
        <w:t>17.</w:t>
      </w:r>
      <w:r w:rsidRPr="004C0FAD">
        <w:rPr>
          <w:lang w:bidi="es-ES"/>
        </w:rPr>
        <w:tab/>
        <w:t>Reunión con organizaciones no gubernamentales y otros interesados.</w:t>
      </w:r>
    </w:p>
    <w:p w:rsidR="004C0FAD" w:rsidRPr="004C0FAD" w:rsidRDefault="004C0FAD" w:rsidP="004C0FAD">
      <w:pPr>
        <w:pStyle w:val="SingleTxt"/>
        <w:ind w:left="1742" w:hanging="475"/>
        <w:rPr>
          <w:lang w:bidi="es-ES"/>
        </w:rPr>
      </w:pPr>
      <w:r w:rsidRPr="004C0FAD">
        <w:rPr>
          <w:lang w:bidi="es-ES"/>
        </w:rPr>
        <w:lastRenderedPageBreak/>
        <w:t>18.</w:t>
      </w:r>
      <w:r w:rsidRPr="004C0FAD">
        <w:rPr>
          <w:lang w:bidi="es-ES"/>
        </w:rPr>
        <w:tab/>
        <w:t xml:space="preserve">Programa provisional del décimo período de sesiones. </w:t>
      </w:r>
    </w:p>
    <w:p w:rsidR="004C0FAD" w:rsidRDefault="004C0FAD" w:rsidP="004C0FAD">
      <w:pPr>
        <w:pStyle w:val="SingleTxt"/>
        <w:ind w:left="1742" w:hanging="475"/>
        <w:rPr>
          <w:lang w:bidi="es-ES"/>
        </w:rPr>
      </w:pPr>
      <w:r w:rsidRPr="004C0FAD">
        <w:rPr>
          <w:lang w:bidi="es-ES"/>
        </w:rPr>
        <w:t>19.</w:t>
      </w:r>
      <w:r w:rsidRPr="004C0FAD">
        <w:rPr>
          <w:lang w:bidi="es-ES"/>
        </w:rPr>
        <w:tab/>
        <w:t>Información actualizada sobre la aplicación de la resolución 68/268 de la Asamblea General.</w:t>
      </w:r>
    </w:p>
    <w:p w:rsidR="00A63C02" w:rsidRPr="00A63C02" w:rsidRDefault="00A63C02" w:rsidP="00A63C02">
      <w:pPr>
        <w:pStyle w:val="SingleTxt"/>
        <w:spacing w:after="0" w:line="120" w:lineRule="exact"/>
        <w:ind w:left="1742" w:hanging="475"/>
        <w:rPr>
          <w:sz w:val="10"/>
          <w:lang w:bidi="es-ES"/>
        </w:rPr>
      </w:pPr>
    </w:p>
    <w:p w:rsidR="00A63C02" w:rsidRPr="00A63C02" w:rsidRDefault="00A63C02" w:rsidP="00A63C02">
      <w:pPr>
        <w:pStyle w:val="SingleTxt"/>
        <w:spacing w:after="0" w:line="120" w:lineRule="exact"/>
        <w:ind w:left="1742" w:hanging="475"/>
        <w:rPr>
          <w:sz w:val="10"/>
          <w:lang w:bidi="es-ES"/>
        </w:rPr>
      </w:pPr>
    </w:p>
    <w:p w:rsidR="004C0FAD" w:rsidRDefault="004C0FAD" w:rsidP="00C1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r>
      <w:r w:rsidRPr="004C0FAD">
        <w:rPr>
          <w:lang w:bidi="es-ES"/>
        </w:rPr>
        <w:tab/>
        <w:t>Anotaciones</w:t>
      </w:r>
    </w:p>
    <w:p w:rsidR="00A63C02" w:rsidRPr="006169CB" w:rsidRDefault="00A63C02" w:rsidP="006169CB">
      <w:pPr>
        <w:pStyle w:val="SingleTxt"/>
        <w:spacing w:after="0" w:line="120" w:lineRule="exact"/>
        <w:rPr>
          <w:b/>
          <w:sz w:val="10"/>
          <w:lang w:bidi="es-ES"/>
        </w:rPr>
      </w:pPr>
    </w:p>
    <w:p w:rsidR="006169CB" w:rsidRPr="00A63C02" w:rsidRDefault="006169CB" w:rsidP="00A63C02">
      <w:pPr>
        <w:pStyle w:val="SingleTxt"/>
        <w:spacing w:after="0" w:line="120" w:lineRule="exact"/>
        <w:rPr>
          <w:b/>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w:t>
      </w:r>
      <w:r w:rsidRPr="004C0FAD">
        <w:rPr>
          <w:lang w:bidi="es-ES"/>
        </w:rPr>
        <w:tab/>
        <w:t>Apertura del período de sesiones</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noveno período de sesiones del Comité será inaugurado por el Alto Comisionado de las Naciones Unidas para los Derechos Humanos o por su representante.</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2.</w:t>
      </w:r>
      <w:r w:rsidRPr="004C0FAD">
        <w:rPr>
          <w:lang w:bidi="es-ES"/>
        </w:rPr>
        <w:tab/>
        <w:t>Declaración solemne de los miembros del Comité recientemente elegidos</w:t>
      </w:r>
    </w:p>
    <w:p w:rsidR="00A63C02" w:rsidRPr="00A63C02" w:rsidRDefault="00A63C02" w:rsidP="00A63C02">
      <w:pPr>
        <w:pStyle w:val="SingleTxt"/>
        <w:spacing w:after="0" w:line="120" w:lineRule="exact"/>
        <w:rPr>
          <w:b/>
          <w:sz w:val="10"/>
          <w:lang w:bidi="es-ES"/>
        </w:rPr>
      </w:pPr>
    </w:p>
    <w:p w:rsidR="004C0FAD" w:rsidRPr="004C0FAD" w:rsidRDefault="006169CB" w:rsidP="004C0FAD">
      <w:pPr>
        <w:pStyle w:val="SingleTxt"/>
        <w:rPr>
          <w:lang w:bidi="es-ES"/>
        </w:rPr>
      </w:pPr>
      <w:r>
        <w:rPr>
          <w:lang w:bidi="es-ES"/>
        </w:rPr>
        <w:tab/>
      </w:r>
      <w:r w:rsidR="004C0FAD" w:rsidRPr="004C0FAD">
        <w:rPr>
          <w:lang w:bidi="es-ES"/>
        </w:rPr>
        <w:t xml:space="preserve">De conformidad con el artículo 11 del reglamento, al asumir sus funciones los miembros del Comité recientemente elegidos harán la siguiente declaración solemne: </w:t>
      </w:r>
    </w:p>
    <w:p w:rsidR="004C0FAD" w:rsidRDefault="006169CB" w:rsidP="006169CB">
      <w:pPr>
        <w:pStyle w:val="SingleTxt"/>
        <w:ind w:left="1742"/>
        <w:rPr>
          <w:lang w:bidi="es-ES"/>
        </w:rPr>
      </w:pPr>
      <w:r>
        <w:rPr>
          <w:lang w:bidi="es-ES"/>
        </w:rPr>
        <w:tab/>
      </w:r>
      <w:r w:rsidR="004C0FAD" w:rsidRPr="004C0FAD">
        <w:rPr>
          <w:lang w:bidi="es-ES"/>
        </w:rPr>
        <w:t>Declaro solemnemente que desempeñaré mis funciones y ejerceré mis facultades como miembro del Comité contra la Desaparición Forzada con independencia, objetividad, honorabilidad, fidelidad, imparcialidad y en conciencia.</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3.</w:t>
      </w:r>
      <w:r w:rsidRPr="004C0FAD">
        <w:rPr>
          <w:lang w:bidi="es-ES"/>
        </w:rPr>
        <w:tab/>
        <w:t>Elección de la Mesa</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 xml:space="preserve">De conformidad con el artículo 15 del reglamento, el Comité elegirá entre sus miembros </w:t>
      </w:r>
      <w:r w:rsidR="003543D9">
        <w:rPr>
          <w:lang w:bidi="es-ES"/>
        </w:rPr>
        <w:t>1</w:t>
      </w:r>
      <w:r w:rsidR="004C0FAD" w:rsidRPr="004C0FAD">
        <w:rPr>
          <w:lang w:bidi="es-ES"/>
        </w:rPr>
        <w:t xml:space="preserve"> Presidente, </w:t>
      </w:r>
      <w:r w:rsidR="003543D9">
        <w:rPr>
          <w:lang w:bidi="es-ES"/>
        </w:rPr>
        <w:t>3</w:t>
      </w:r>
      <w:r w:rsidR="004C0FAD" w:rsidRPr="004C0FAD">
        <w:rPr>
          <w:lang w:bidi="es-ES"/>
        </w:rPr>
        <w:t xml:space="preserve"> vicepresidentes y </w:t>
      </w:r>
      <w:r w:rsidR="003543D9">
        <w:rPr>
          <w:lang w:bidi="es-ES"/>
        </w:rPr>
        <w:t>1</w:t>
      </w:r>
      <w:r w:rsidR="004C0FAD" w:rsidRPr="004C0FAD">
        <w:rPr>
          <w:lang w:bidi="es-ES"/>
        </w:rPr>
        <w:t xml:space="preserve"> relator, teniendo debidamente en cuenta una representación geográfica equitativa. Al elegir los miembros de la Mesa, el Comité tendrá también en cuenta que haya un equilibrio de género adecuado y, en la medida de lo posible, una rotación entre los miembros.</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4.</w:t>
      </w:r>
      <w:r w:rsidRPr="004C0FAD">
        <w:rPr>
          <w:lang w:bidi="es-ES"/>
        </w:rPr>
        <w:tab/>
        <w:t>Aprobación del programa</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noveno período de sesiones.</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5.</w:t>
      </w:r>
      <w:r w:rsidRPr="004C0FAD">
        <w:rPr>
          <w:lang w:bidi="es-ES"/>
        </w:rPr>
        <w:tab/>
        <w:t>Minuto de silencio en recuerdo de las víctimas de l</w:t>
      </w:r>
      <w:r w:rsidR="00C1374A">
        <w:rPr>
          <w:lang w:bidi="es-ES"/>
        </w:rPr>
        <w:t>as desapariciones forzadas</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guardará un minuto de silencio en recuerdo de las víctimas de las desapariciones forzadas</w:t>
      </w:r>
      <w:r w:rsidR="00A63C02">
        <w:rPr>
          <w:lang w:bidi="es-ES"/>
        </w:rPr>
        <w:t>.</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6.</w:t>
      </w:r>
      <w:r w:rsidRPr="004C0FAD">
        <w:rPr>
          <w:lang w:bidi="es-ES"/>
        </w:rPr>
        <w:tab/>
        <w:t>Inf</w:t>
      </w:r>
      <w:r w:rsidR="00A63C02">
        <w:rPr>
          <w:lang w:bidi="es-ES"/>
        </w:rPr>
        <w:t>ormación recibida por el Comité</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toda información que haya recibido en relación con los artículos 33 y 34 de la Convención.</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7.</w:t>
      </w:r>
      <w:r w:rsidRPr="004C0FAD">
        <w:rPr>
          <w:lang w:bidi="es-ES"/>
        </w:rPr>
        <w:tab/>
        <w:t>Asuntos relacionados con los métodos de trabajo del Comité</w:t>
      </w:r>
    </w:p>
    <w:p w:rsidR="00A63C02" w:rsidRPr="00A63C02" w:rsidRDefault="00A63C02" w:rsidP="00A63C02">
      <w:pPr>
        <w:pStyle w:val="SingleTxt"/>
        <w:spacing w:after="0" w:line="120" w:lineRule="exact"/>
        <w:rPr>
          <w:b/>
          <w:sz w:val="10"/>
          <w:lang w:bidi="es-ES"/>
        </w:rPr>
      </w:pPr>
    </w:p>
    <w:p w:rsidR="004C0FAD" w:rsidRDefault="00B92752"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4C0FAD" w:rsidRPr="004C0FAD">
        <w:rPr>
          <w:lang w:bidi="es-ES"/>
        </w:rPr>
        <w:t>a)</w:t>
      </w:r>
      <w:r w:rsidR="004C0FAD" w:rsidRPr="004C0FAD">
        <w:rPr>
          <w:lang w:bidi="es-ES"/>
        </w:rPr>
        <w:tab/>
        <w:t>Métodos de trabajo en relación con los art</w:t>
      </w:r>
      <w:r w:rsidR="00C1374A">
        <w:rPr>
          <w:lang w:bidi="es-ES"/>
        </w:rPr>
        <w:t>ículos 31 a 34 de la Convención</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proseguirá la elaboración de la metodología y los procedimientos de trabajo para llevar a la práctica los artículos 31 a 34 de la Convención.</w:t>
      </w:r>
    </w:p>
    <w:p w:rsidR="004C0FAD" w:rsidRDefault="00B92752" w:rsidP="001D4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lastRenderedPageBreak/>
        <w:tab/>
      </w:r>
      <w:r w:rsidR="004C0FAD" w:rsidRPr="004C0FAD">
        <w:rPr>
          <w:lang w:bidi="es-ES"/>
        </w:rPr>
        <w:t>b)</w:t>
      </w:r>
      <w:r w:rsidR="004C0FAD" w:rsidRPr="004C0FAD">
        <w:rPr>
          <w:lang w:bidi="es-ES"/>
        </w:rPr>
        <w:tab/>
        <w:t>Estrategia para ratificar la Convención</w:t>
      </w:r>
    </w:p>
    <w:p w:rsidR="00A63C02" w:rsidRPr="00A63C02" w:rsidRDefault="00A63C02" w:rsidP="001D48DF">
      <w:pPr>
        <w:pStyle w:val="SingleTxt"/>
        <w:keepNext/>
        <w:keepLines/>
        <w:spacing w:after="0" w:line="120" w:lineRule="exact"/>
        <w:rPr>
          <w:b/>
          <w:sz w:val="10"/>
          <w:lang w:bidi="es-ES"/>
        </w:rPr>
      </w:pPr>
    </w:p>
    <w:p w:rsidR="004C0FAD" w:rsidRDefault="006169CB" w:rsidP="001D48DF">
      <w:pPr>
        <w:pStyle w:val="SingleTxt"/>
        <w:keepNext/>
        <w:keepLines/>
        <w:rPr>
          <w:lang w:bidi="es-ES"/>
        </w:rPr>
      </w:pPr>
      <w:r>
        <w:rPr>
          <w:lang w:bidi="es-ES"/>
        </w:rPr>
        <w:tab/>
      </w:r>
      <w:r w:rsidR="004C0FAD" w:rsidRPr="004C0FAD">
        <w:rPr>
          <w:lang w:bidi="es-ES"/>
        </w:rPr>
        <w:t>El Comité examinará la tasa de ratificación de la Convención y debatirá estrategias tanto para alentarla como para fomentar la aceptación de la competencia del Comité prevista en los artículos 31 y 32 de la Convención.</w:t>
      </w:r>
    </w:p>
    <w:p w:rsidR="00A63C02" w:rsidRPr="00A63C02" w:rsidRDefault="00A63C02" w:rsidP="00A63C02">
      <w:pPr>
        <w:pStyle w:val="SingleTxt"/>
        <w:spacing w:after="0" w:line="120" w:lineRule="exact"/>
        <w:rPr>
          <w:sz w:val="10"/>
          <w:lang w:bidi="es-ES"/>
        </w:rPr>
      </w:pPr>
    </w:p>
    <w:p w:rsidR="004C0FAD" w:rsidRDefault="00B92752"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4C0FAD" w:rsidRPr="004C0FAD">
        <w:rPr>
          <w:lang w:bidi="es-ES"/>
        </w:rPr>
        <w:t>c)</w:t>
      </w:r>
      <w:r w:rsidR="004C0FAD" w:rsidRPr="004C0FAD">
        <w:rPr>
          <w:lang w:bidi="es-ES"/>
        </w:rPr>
        <w:tab/>
        <w:t>Otros asuntos</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cualquier otro asunto relacionado con sus métodos de trabajo.</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8.</w:t>
      </w:r>
      <w:r w:rsidRPr="004C0FAD">
        <w:rPr>
          <w:lang w:bidi="es-ES"/>
        </w:rPr>
        <w:tab/>
        <w:t>Examen de los informes de los Estados partes en la Convención</w:t>
      </w:r>
    </w:p>
    <w:p w:rsidR="00A63C02" w:rsidRPr="00A63C02" w:rsidRDefault="00A63C02" w:rsidP="00A63C02">
      <w:pPr>
        <w:pStyle w:val="SingleTxt"/>
        <w:spacing w:after="0" w:line="120" w:lineRule="exact"/>
        <w:rPr>
          <w:b/>
          <w:sz w:val="10"/>
          <w:lang w:bidi="es-ES"/>
        </w:rPr>
      </w:pPr>
    </w:p>
    <w:p w:rsidR="004C0FAD" w:rsidRPr="004C0FAD" w:rsidRDefault="006169CB" w:rsidP="004C0FAD">
      <w:pPr>
        <w:pStyle w:val="SingleTxt"/>
        <w:rPr>
          <w:lang w:bidi="es-ES"/>
        </w:rPr>
      </w:pPr>
      <w:r>
        <w:rPr>
          <w:lang w:bidi="es-ES"/>
        </w:rPr>
        <w:tab/>
      </w:r>
      <w:r w:rsidR="004C0FAD" w:rsidRPr="004C0FAD">
        <w:rPr>
          <w:lang w:bidi="es-ES"/>
        </w:rPr>
        <w:t>El Comité examinará los informes del Iraq y Montenegro, presentados en virtud del artículo 29, párrafo 1, de la Convención.</w:t>
      </w:r>
    </w:p>
    <w:p w:rsidR="004C0FAD" w:rsidRPr="004C0FAD" w:rsidRDefault="006169CB" w:rsidP="004C0FAD">
      <w:pPr>
        <w:pStyle w:val="SingleTxt"/>
        <w:rPr>
          <w:lang w:bidi="es-ES"/>
        </w:rPr>
      </w:pPr>
      <w:r>
        <w:rPr>
          <w:lang w:bidi="es-ES"/>
        </w:rPr>
        <w:tab/>
      </w:r>
      <w:r w:rsidR="004C0FAD" w:rsidRPr="004C0FAD">
        <w:rPr>
          <w:lang w:bidi="es-ES"/>
        </w:rPr>
        <w:t>Calendario provisional para el examen de los informes:</w:t>
      </w:r>
    </w:p>
    <w:p w:rsidR="004C0FAD" w:rsidRPr="004C0FAD" w:rsidRDefault="004C0FAD" w:rsidP="006169CB">
      <w:pPr>
        <w:pStyle w:val="SingleTxt"/>
        <w:ind w:left="1742"/>
        <w:rPr>
          <w:lang w:bidi="es-ES"/>
        </w:rPr>
      </w:pPr>
      <w:r w:rsidRPr="004C0FAD">
        <w:rPr>
          <w:lang w:bidi="es-ES"/>
        </w:rPr>
        <w:t>Iraq (CED/C/IRQ/1): lunes 7 de septiembre de 2015 (por la tarde) y martes 8 de septiembre de 2015 (por la mañana);</w:t>
      </w:r>
    </w:p>
    <w:p w:rsidR="004C0FAD" w:rsidRPr="004C0FAD" w:rsidRDefault="004C0FAD" w:rsidP="006169CB">
      <w:pPr>
        <w:pStyle w:val="SingleTxt"/>
        <w:ind w:left="1742"/>
        <w:rPr>
          <w:lang w:bidi="es-ES"/>
        </w:rPr>
      </w:pPr>
      <w:r w:rsidRPr="004C0FAD">
        <w:rPr>
          <w:lang w:bidi="es-ES"/>
        </w:rPr>
        <w:t>Montenegro (CED/C/MNE/1): martes 8 de septiembre de 2015 (por la tarde) y miércoles 9 de septiembre de 2015 (por la mañana).</w:t>
      </w:r>
    </w:p>
    <w:p w:rsidR="004C0FAD" w:rsidRDefault="006169CB" w:rsidP="004C0FAD">
      <w:pPr>
        <w:pStyle w:val="SingleTxt"/>
        <w:rPr>
          <w:b/>
          <w:lang w:bidi="es-ES"/>
        </w:rPr>
      </w:pPr>
      <w:r>
        <w:rPr>
          <w:lang w:bidi="es-ES"/>
        </w:rPr>
        <w:tab/>
      </w:r>
      <w:r w:rsidR="004C0FAD" w:rsidRPr="004C0FAD">
        <w:rPr>
          <w:lang w:bidi="es-ES"/>
        </w:rPr>
        <w:t>De conformidad con el artículo 51 del reglamento, el Comité, por conducto del Secretario General, ha informado a los Estados partes interesados de las fechas previstas para el examen de sus respectivos informes.</w:t>
      </w:r>
    </w:p>
    <w:p w:rsidR="00A63C02" w:rsidRPr="00A63C02" w:rsidRDefault="00A63C02" w:rsidP="00A63C02">
      <w:pPr>
        <w:pStyle w:val="SingleTxt"/>
        <w:spacing w:after="0" w:line="120" w:lineRule="exact"/>
        <w:rPr>
          <w:b/>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9.</w:t>
      </w:r>
      <w:r w:rsidRPr="004C0FAD">
        <w:rPr>
          <w:lang w:bidi="es-ES"/>
        </w:rPr>
        <w:tab/>
        <w:t>Seguimiento de las observaciones finales sobre los informes de los Estados partes</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la información recibida de Alemania, la Argentina, España y los Países Bajos para dar seguimiento a sus observaciones finales.</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10.</w:t>
      </w:r>
      <w:r w:rsidRPr="004C0FAD">
        <w:rPr>
          <w:lang w:bidi="es-ES"/>
        </w:rPr>
        <w:tab/>
        <w:t>Exa</w:t>
      </w:r>
      <w:r w:rsidR="003543D9">
        <w:rPr>
          <w:lang w:bidi="es-ES"/>
        </w:rPr>
        <w:t>men de las listas de cuestiones</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y aprobará listas de cuestiones relativas a los informes presentados por Burkina Faso (CED/C/BFA/1), Kazajstán (CED/C/KAZ/1) y Túnez (CED/C/TUN/1) con arreglo al artículo 29, párrafo 1, de la Convención.</w:t>
      </w:r>
    </w:p>
    <w:p w:rsidR="00A63C02" w:rsidRPr="00A63C02" w:rsidRDefault="00A63C02" w:rsidP="00A63C02">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11.</w:t>
      </w:r>
      <w:r w:rsidRPr="004C0FAD">
        <w:rPr>
          <w:lang w:bidi="es-ES"/>
        </w:rPr>
        <w:tab/>
        <w:t>Examen de peticiones de acción urgente (art. 30 de la Convención)</w:t>
      </w:r>
    </w:p>
    <w:p w:rsidR="00A63C02" w:rsidRPr="00A63C02" w:rsidRDefault="00A63C02" w:rsidP="00A63C02">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relator especial nombrado para examinar las peticiones de acción urgente de conformidad con el artículo 30 de la Convención informará al Comité sobre las peticiones recibidas y las medidas de seguimiento adoptadas desde el anterior período de sesiones.</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12.</w:t>
      </w:r>
      <w:r w:rsidRPr="004C0FAD">
        <w:rPr>
          <w:lang w:bidi="es-ES"/>
        </w:rPr>
        <w:tab/>
        <w:t>Examen de comunicaciones individuales (art. 31 de la Convención)</w:t>
      </w:r>
    </w:p>
    <w:p w:rsidR="004531FE" w:rsidRPr="004531FE" w:rsidRDefault="004531FE" w:rsidP="004531FE">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las comunicaciones individuales, de conformidad con el artículo 31 de la Convención.</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13.</w:t>
      </w:r>
      <w:r w:rsidRPr="004C0FAD">
        <w:rPr>
          <w:lang w:bidi="es-ES"/>
        </w:rPr>
        <w:tab/>
        <w:t>Reunión con Estados Miembros de las Naciones Unidas</w:t>
      </w:r>
    </w:p>
    <w:p w:rsidR="004531FE" w:rsidRPr="004531FE" w:rsidRDefault="004531FE" w:rsidP="004531FE">
      <w:pPr>
        <w:pStyle w:val="SingleTxt"/>
        <w:spacing w:after="0" w:line="120" w:lineRule="exact"/>
        <w:rPr>
          <w:b/>
          <w:sz w:val="10"/>
          <w:lang w:bidi="es-ES"/>
        </w:rPr>
      </w:pPr>
    </w:p>
    <w:p w:rsidR="004C0FAD" w:rsidRPr="004C0FAD" w:rsidRDefault="006169CB" w:rsidP="004C0FAD">
      <w:pPr>
        <w:pStyle w:val="SingleTxt"/>
        <w:rPr>
          <w:lang w:bidi="es-ES"/>
        </w:rPr>
      </w:pPr>
      <w:r>
        <w:rPr>
          <w:lang w:bidi="es-ES"/>
        </w:rPr>
        <w:tab/>
      </w:r>
      <w:r w:rsidR="004C0FAD" w:rsidRPr="004C0FAD">
        <w:rPr>
          <w:lang w:bidi="es-ES"/>
        </w:rPr>
        <w:t>El Comité celebrará una reunión con Estados partes en la Convención, Estados signatarios de la Convención y otros Estados Miembros de las Naciones Unidas para debatir asuntos relacionados con la Convención.</w:t>
      </w:r>
    </w:p>
    <w:p w:rsidR="004C0FAD" w:rsidRDefault="004C0FAD" w:rsidP="001D48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lastRenderedPageBreak/>
        <w:tab/>
        <w:t>14.</w:t>
      </w:r>
      <w:r w:rsidRPr="004C0FAD">
        <w:rPr>
          <w:lang w:bidi="es-ES"/>
        </w:rPr>
        <w:tab/>
        <w:t>Reunión con organismos y mecanismos de las Naciones Unidas y con organizaciones intergubernamentales</w:t>
      </w:r>
    </w:p>
    <w:p w:rsidR="004531FE" w:rsidRPr="004531FE" w:rsidRDefault="004531FE" w:rsidP="001D48DF">
      <w:pPr>
        <w:pStyle w:val="SingleTxt"/>
        <w:keepNext/>
        <w:keepLines/>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se reunirá con organismos y mecanismos de las Naciones Unidas y con organizaciones intergubernamentales que se ocupan de cuestiones relacionadas con la desaparición forzada.</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15.</w:t>
      </w:r>
      <w:r w:rsidRPr="004C0FAD">
        <w:rPr>
          <w:lang w:bidi="es-ES"/>
        </w:rPr>
        <w:tab/>
        <w:t>Reunión anual con el Grupo de Trabajo sobr</w:t>
      </w:r>
      <w:r w:rsidR="00C1374A">
        <w:rPr>
          <w:lang w:bidi="es-ES"/>
        </w:rPr>
        <w:t>e las Desapariciones Forzadas o </w:t>
      </w:r>
      <w:r w:rsidRPr="004C0FAD">
        <w:rPr>
          <w:lang w:bidi="es-ES"/>
        </w:rPr>
        <w:t>Involuntarias</w:t>
      </w:r>
    </w:p>
    <w:p w:rsidR="004531FE" w:rsidRPr="004531FE" w:rsidRDefault="004531FE" w:rsidP="004531FE">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celebrará su reunión anual con el Grupo de Trabajo sobre las Desapariciones Forzadas o Involuntarias con miras a mantener una cooperación estrecha y eficaz entre ambos mecanismos, evitar la duplicación de funciones, lograr el objetivo común de la erradicación de la práctica de las desapariciones forzadas y garantizar el derecho de las víctimas a la verdad, la justicia y la reparación.</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16.</w:t>
      </w:r>
      <w:r w:rsidRPr="004C0FAD">
        <w:rPr>
          <w:lang w:bidi="es-ES"/>
        </w:rPr>
        <w:tab/>
        <w:t>Reunión con instituciones nacionales de derechos humanos</w:t>
      </w:r>
    </w:p>
    <w:p w:rsidR="004531FE" w:rsidRPr="004531FE" w:rsidRDefault="004531FE" w:rsidP="004531FE">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celebrará una reunión con instituciones nacionales de derechos humanos para tratar asuntos relacionados con la aplicación de la Convención.</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17.</w:t>
      </w:r>
      <w:r w:rsidRPr="004C0FAD">
        <w:rPr>
          <w:lang w:bidi="es-ES"/>
        </w:rPr>
        <w:tab/>
        <w:t>Reunión con organizaciones no gubernamentales y otros interesados</w:t>
      </w:r>
    </w:p>
    <w:p w:rsidR="004531FE" w:rsidRPr="004531FE" w:rsidRDefault="004531FE" w:rsidP="004531FE">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celebrará una reunión con organizaciones no gubernamentales y otros interesados para tratar asuntos relacionados con la aplicación de la Convención.</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18.</w:t>
      </w:r>
      <w:r w:rsidRPr="004C0FAD">
        <w:rPr>
          <w:lang w:bidi="es-ES"/>
        </w:rPr>
        <w:tab/>
        <w:t>Programa provisional del décimo período de sesiones</w:t>
      </w:r>
    </w:p>
    <w:p w:rsidR="004531FE" w:rsidRPr="004531FE" w:rsidRDefault="004531FE" w:rsidP="004531FE">
      <w:pPr>
        <w:pStyle w:val="SingleTxt"/>
        <w:spacing w:after="0" w:line="120" w:lineRule="exact"/>
        <w:rPr>
          <w:b/>
          <w:sz w:val="10"/>
          <w:lang w:bidi="es-ES"/>
        </w:rPr>
      </w:pPr>
    </w:p>
    <w:p w:rsidR="004C0FAD" w:rsidRDefault="006169CB" w:rsidP="004C0FAD">
      <w:pPr>
        <w:pStyle w:val="SingleTxt"/>
        <w:rPr>
          <w:lang w:bidi="es-ES"/>
        </w:rPr>
      </w:pPr>
      <w:r>
        <w:rPr>
          <w:lang w:bidi="es-ES"/>
        </w:rPr>
        <w:tab/>
      </w:r>
      <w:r w:rsidR="004C0FAD" w:rsidRPr="004C0FAD">
        <w:rPr>
          <w:lang w:bidi="es-ES"/>
        </w:rPr>
        <w:t>El Comité examinará el programa provisional de su décimo período de sesiones, que se celebrará del 7 al 18 de marzo de</w:t>
      </w:r>
      <w:r w:rsidR="004531FE">
        <w:rPr>
          <w:lang w:bidi="es-ES"/>
        </w:rPr>
        <w:t xml:space="preserve"> 2016.</w:t>
      </w:r>
    </w:p>
    <w:p w:rsidR="004531FE" w:rsidRPr="004531FE" w:rsidRDefault="004531FE" w:rsidP="004531FE">
      <w:pPr>
        <w:pStyle w:val="SingleTxt"/>
        <w:spacing w:after="0" w:line="120" w:lineRule="exact"/>
        <w:rPr>
          <w:sz w:val="10"/>
          <w:lang w:bidi="es-ES"/>
        </w:rPr>
      </w:pPr>
    </w:p>
    <w:p w:rsidR="004C0FAD" w:rsidRDefault="004C0FAD" w:rsidP="00C1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4C0FAD">
        <w:rPr>
          <w:lang w:bidi="es-ES"/>
        </w:rPr>
        <w:tab/>
        <w:t>19.</w:t>
      </w:r>
      <w:r w:rsidRPr="004C0FAD">
        <w:rPr>
          <w:lang w:bidi="es-ES"/>
        </w:rPr>
        <w:tab/>
        <w:t>Información actualizada sobre la aplicación de la r</w:t>
      </w:r>
      <w:r w:rsidR="00C1374A">
        <w:rPr>
          <w:lang w:bidi="es-ES"/>
        </w:rPr>
        <w:t>esolución 68/268 de la Asamblea </w:t>
      </w:r>
      <w:r w:rsidRPr="004C0FAD">
        <w:rPr>
          <w:lang w:bidi="es-ES"/>
        </w:rPr>
        <w:t>General</w:t>
      </w:r>
    </w:p>
    <w:p w:rsidR="004531FE" w:rsidRPr="004531FE" w:rsidRDefault="004531FE" w:rsidP="004531FE">
      <w:pPr>
        <w:pStyle w:val="SingleTxt"/>
        <w:spacing w:after="0" w:line="120" w:lineRule="exact"/>
        <w:rPr>
          <w:b/>
          <w:sz w:val="10"/>
          <w:lang w:bidi="es-ES"/>
        </w:rPr>
      </w:pPr>
    </w:p>
    <w:p w:rsidR="000B6336" w:rsidRDefault="006169CB" w:rsidP="004C0FAD">
      <w:pPr>
        <w:pStyle w:val="SingleTxt"/>
        <w:rPr>
          <w:lang w:bidi="es-ES"/>
        </w:rPr>
      </w:pPr>
      <w:r>
        <w:rPr>
          <w:lang w:bidi="es-ES"/>
        </w:rPr>
        <w:tab/>
      </w:r>
      <w:r w:rsidR="004C0FAD" w:rsidRPr="004C0FAD">
        <w:rPr>
          <w:lang w:bidi="es-ES"/>
        </w:rPr>
        <w:t>En relación con este tema, el Comité examinará cuestiones relacionadas con la aplicación de la resolución 68/268 de la Asamblea General, relativa al fortalecimiento y mejoramiento del funcionamiento eficaz del sistema de órganos creados en virtud de tratados de derechos humanos.</w:t>
      </w:r>
    </w:p>
    <w:p w:rsidR="004531FE" w:rsidRPr="004C0FAD" w:rsidRDefault="004531FE" w:rsidP="004C0FAD">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531FE" w:rsidRPr="004C0FAD" w:rsidSect="00494AA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5:25:00Z" w:initials="Start">
    <w:p w:rsidR="000B6336" w:rsidRPr="004C0FAD" w:rsidRDefault="000B6336">
      <w:pPr>
        <w:pStyle w:val="CommentText"/>
        <w:rPr>
          <w:lang w:val="en-US"/>
        </w:rPr>
      </w:pPr>
      <w:r>
        <w:fldChar w:fldCharType="begin"/>
      </w:r>
      <w:r w:rsidRPr="004C0FAD">
        <w:rPr>
          <w:rStyle w:val="CommentReference"/>
          <w:lang w:val="en-US"/>
        </w:rPr>
        <w:instrText xml:space="preserve"> </w:instrText>
      </w:r>
      <w:r w:rsidRPr="004C0FAD">
        <w:rPr>
          <w:lang w:val="en-US"/>
        </w:rPr>
        <w:instrText>PAGE \# "'Page: '#'</w:instrText>
      </w:r>
      <w:r w:rsidRPr="004C0FAD">
        <w:rPr>
          <w:lang w:val="en-US"/>
        </w:rPr>
        <w:br/>
        <w:instrText>'"</w:instrText>
      </w:r>
      <w:r w:rsidRPr="004C0FAD">
        <w:rPr>
          <w:rStyle w:val="CommentReference"/>
          <w:lang w:val="en-US"/>
        </w:rPr>
        <w:instrText xml:space="preserve"> </w:instrText>
      </w:r>
      <w:r>
        <w:fldChar w:fldCharType="end"/>
      </w:r>
      <w:r>
        <w:rPr>
          <w:rStyle w:val="CommentReference"/>
        </w:rPr>
        <w:annotationRef/>
      </w:r>
      <w:r w:rsidRPr="004C0FAD">
        <w:rPr>
          <w:lang w:val="en-US"/>
        </w:rPr>
        <w:t>&lt;&lt;ODS JOB NO&gt;&gt;N1513617S&lt;&lt;ODS JOB NO&gt;&gt;</w:t>
      </w:r>
    </w:p>
    <w:p w:rsidR="000B6336" w:rsidRDefault="000B6336">
      <w:pPr>
        <w:pStyle w:val="CommentText"/>
      </w:pPr>
      <w:r>
        <w:t>&lt;&lt;ODS DOC SYMBOL1&gt;&gt;CED/C/9/1&lt;&lt;ODS DOC SYMBOL1&gt;&gt;</w:t>
      </w:r>
    </w:p>
    <w:p w:rsidR="000B6336" w:rsidRDefault="000B63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62E" w:rsidRDefault="004D262E" w:rsidP="008F1E8F">
      <w:pPr>
        <w:spacing w:line="240" w:lineRule="auto"/>
      </w:pPr>
      <w:r>
        <w:separator/>
      </w:r>
    </w:p>
  </w:endnote>
  <w:endnote w:type="continuationSeparator" w:id="0">
    <w:p w:rsidR="004D262E" w:rsidRDefault="004D262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B6336" w:rsidTr="000B6336">
      <w:trPr>
        <w:jc w:val="center"/>
      </w:trPr>
      <w:tc>
        <w:tcPr>
          <w:tcW w:w="5088" w:type="dxa"/>
          <w:shd w:val="clear" w:color="auto" w:fill="auto"/>
        </w:tcPr>
        <w:p w:rsidR="000B6336" w:rsidRPr="000B6336" w:rsidRDefault="000B6336" w:rsidP="000B633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043D">
            <w:rPr>
              <w:b w:val="0"/>
              <w:color w:val="000000"/>
              <w:w w:val="103"/>
              <w:sz w:val="14"/>
            </w:rPr>
            <w:t>15-10021</w:t>
          </w:r>
          <w:r>
            <w:rPr>
              <w:b w:val="0"/>
              <w:color w:val="000000"/>
              <w:w w:val="103"/>
              <w:sz w:val="14"/>
            </w:rPr>
            <w:fldChar w:fldCharType="end"/>
          </w:r>
        </w:p>
      </w:tc>
      <w:tc>
        <w:tcPr>
          <w:tcW w:w="5089" w:type="dxa"/>
          <w:shd w:val="clear" w:color="auto" w:fill="auto"/>
        </w:tcPr>
        <w:p w:rsidR="000B6336" w:rsidRPr="000B6336" w:rsidRDefault="000B6336" w:rsidP="000B633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9043D">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9043D">
            <w:rPr>
              <w:color w:val="000000"/>
              <w:w w:val="103"/>
            </w:rPr>
            <w:t>4</w:t>
          </w:r>
          <w:r>
            <w:rPr>
              <w:color w:val="000000"/>
              <w:w w:val="103"/>
            </w:rPr>
            <w:fldChar w:fldCharType="end"/>
          </w:r>
        </w:p>
      </w:tc>
    </w:tr>
  </w:tbl>
  <w:p w:rsidR="000B6336" w:rsidRPr="000B6336" w:rsidRDefault="000B6336" w:rsidP="000B63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B6336" w:rsidTr="000B6336">
      <w:trPr>
        <w:jc w:val="center"/>
      </w:trPr>
      <w:tc>
        <w:tcPr>
          <w:tcW w:w="5088" w:type="dxa"/>
          <w:shd w:val="clear" w:color="auto" w:fill="auto"/>
        </w:tcPr>
        <w:p w:rsidR="000B6336" w:rsidRPr="000B6336" w:rsidRDefault="000B6336" w:rsidP="000B633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9043D">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9043D">
            <w:rPr>
              <w:color w:val="000000"/>
              <w:w w:val="103"/>
            </w:rPr>
            <w:t>4</w:t>
          </w:r>
          <w:r>
            <w:rPr>
              <w:color w:val="000000"/>
              <w:w w:val="103"/>
            </w:rPr>
            <w:fldChar w:fldCharType="end"/>
          </w:r>
        </w:p>
      </w:tc>
      <w:tc>
        <w:tcPr>
          <w:tcW w:w="5089" w:type="dxa"/>
          <w:shd w:val="clear" w:color="auto" w:fill="auto"/>
        </w:tcPr>
        <w:p w:rsidR="000B6336" w:rsidRPr="000B6336" w:rsidRDefault="000B6336" w:rsidP="000B633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043D">
            <w:rPr>
              <w:b w:val="0"/>
              <w:color w:val="000000"/>
              <w:w w:val="103"/>
              <w:sz w:val="14"/>
            </w:rPr>
            <w:t>15-10021</w:t>
          </w:r>
          <w:r>
            <w:rPr>
              <w:b w:val="0"/>
              <w:color w:val="000000"/>
              <w:w w:val="103"/>
              <w:sz w:val="14"/>
            </w:rPr>
            <w:fldChar w:fldCharType="end"/>
          </w:r>
        </w:p>
      </w:tc>
    </w:tr>
  </w:tbl>
  <w:p w:rsidR="000B6336" w:rsidRPr="000B6336" w:rsidRDefault="000B6336" w:rsidP="000B63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336" w:rsidRPr="000B6336" w:rsidRDefault="000B6336" w:rsidP="000B6336">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BE681C4" wp14:editId="350D109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9/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B6336" w:rsidTr="000B6336">
      <w:tc>
        <w:tcPr>
          <w:tcW w:w="3859" w:type="dxa"/>
        </w:tcPr>
        <w:p w:rsidR="000B6336" w:rsidRDefault="000B6336" w:rsidP="000B6336">
          <w:pPr>
            <w:pStyle w:val="ReleaseDate"/>
          </w:pPr>
          <w:r>
            <w:t xml:space="preserve">GE.15-10021 (S)    080715    </w:t>
          </w:r>
          <w:r w:rsidR="00B92752">
            <w:t>09</w:t>
          </w:r>
          <w:r>
            <w:t>0715</w:t>
          </w:r>
        </w:p>
        <w:p w:rsidR="000B6336" w:rsidRPr="000B6336" w:rsidRDefault="000B6336" w:rsidP="000B633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*1510021*</w:t>
          </w:r>
        </w:p>
      </w:tc>
      <w:tc>
        <w:tcPr>
          <w:tcW w:w="5089" w:type="dxa"/>
        </w:tcPr>
        <w:p w:rsidR="000B6336" w:rsidRDefault="000B6336" w:rsidP="000B6336">
          <w:pPr>
            <w:pStyle w:val="Footer"/>
            <w:jc w:val="right"/>
            <w:rPr>
              <w:b w:val="0"/>
              <w:sz w:val="20"/>
            </w:rPr>
          </w:pPr>
          <w:r>
            <w:rPr>
              <w:b w:val="0"/>
              <w:sz w:val="20"/>
              <w:lang w:val="es-ES" w:eastAsia="es-ES"/>
            </w:rPr>
            <w:drawing>
              <wp:inline distT="0" distB="0" distL="0" distR="0" wp14:anchorId="51419F1C" wp14:editId="5D81C87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B6336" w:rsidRPr="000B6336" w:rsidRDefault="000B6336" w:rsidP="000B633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62E" w:rsidRDefault="004D262E" w:rsidP="008F1E8F">
      <w:pPr>
        <w:spacing w:line="240" w:lineRule="auto"/>
      </w:pPr>
      <w:r>
        <w:separator/>
      </w:r>
    </w:p>
  </w:footnote>
  <w:footnote w:type="continuationSeparator" w:id="0">
    <w:p w:rsidR="004D262E" w:rsidRDefault="004D262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B6336" w:rsidTr="000B6336">
      <w:trPr>
        <w:trHeight w:hRule="exact" w:val="864"/>
        <w:jc w:val="center"/>
      </w:trPr>
      <w:tc>
        <w:tcPr>
          <w:tcW w:w="4882" w:type="dxa"/>
          <w:shd w:val="clear" w:color="auto" w:fill="auto"/>
          <w:vAlign w:val="bottom"/>
        </w:tcPr>
        <w:p w:rsidR="000B6336" w:rsidRPr="000B6336" w:rsidRDefault="000B6336" w:rsidP="000B63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043D">
            <w:rPr>
              <w:b/>
              <w:color w:val="000000"/>
            </w:rPr>
            <w:t>CED/C/9/1</w:t>
          </w:r>
          <w:r>
            <w:rPr>
              <w:b/>
              <w:color w:val="000000"/>
            </w:rPr>
            <w:fldChar w:fldCharType="end"/>
          </w:r>
        </w:p>
      </w:tc>
      <w:tc>
        <w:tcPr>
          <w:tcW w:w="5089" w:type="dxa"/>
          <w:shd w:val="clear" w:color="auto" w:fill="auto"/>
          <w:vAlign w:val="bottom"/>
        </w:tcPr>
        <w:p w:rsidR="000B6336" w:rsidRDefault="000B6336" w:rsidP="000B6336">
          <w:pPr>
            <w:pStyle w:val="Header"/>
          </w:pPr>
        </w:p>
      </w:tc>
    </w:tr>
  </w:tbl>
  <w:p w:rsidR="000B6336" w:rsidRPr="000B6336" w:rsidRDefault="000B6336" w:rsidP="000B633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B6336" w:rsidTr="000B6336">
      <w:trPr>
        <w:trHeight w:hRule="exact" w:val="864"/>
        <w:jc w:val="center"/>
      </w:trPr>
      <w:tc>
        <w:tcPr>
          <w:tcW w:w="4882" w:type="dxa"/>
          <w:shd w:val="clear" w:color="auto" w:fill="auto"/>
          <w:vAlign w:val="bottom"/>
        </w:tcPr>
        <w:p w:rsidR="000B6336" w:rsidRDefault="000B6336" w:rsidP="000B6336">
          <w:pPr>
            <w:pStyle w:val="Header"/>
          </w:pPr>
        </w:p>
      </w:tc>
      <w:tc>
        <w:tcPr>
          <w:tcW w:w="5089" w:type="dxa"/>
          <w:shd w:val="clear" w:color="auto" w:fill="auto"/>
          <w:vAlign w:val="bottom"/>
        </w:tcPr>
        <w:p w:rsidR="000B6336" w:rsidRPr="000B6336" w:rsidRDefault="000B6336" w:rsidP="000B63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043D">
            <w:rPr>
              <w:b/>
              <w:color w:val="000000"/>
            </w:rPr>
            <w:t>CED/C/9/1</w:t>
          </w:r>
          <w:r>
            <w:rPr>
              <w:b/>
              <w:color w:val="000000"/>
            </w:rPr>
            <w:fldChar w:fldCharType="end"/>
          </w:r>
        </w:p>
      </w:tc>
    </w:tr>
  </w:tbl>
  <w:p w:rsidR="000B6336" w:rsidRPr="000B6336" w:rsidRDefault="000B6336" w:rsidP="000B633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B6336" w:rsidTr="000B6336">
      <w:trPr>
        <w:trHeight w:hRule="exact" w:val="864"/>
      </w:trPr>
      <w:tc>
        <w:tcPr>
          <w:tcW w:w="1267" w:type="dxa"/>
          <w:tcBorders>
            <w:bottom w:val="single" w:sz="4" w:space="0" w:color="auto"/>
          </w:tcBorders>
          <w:shd w:val="clear" w:color="auto" w:fill="auto"/>
          <w:vAlign w:val="bottom"/>
        </w:tcPr>
        <w:p w:rsidR="000B6336" w:rsidRDefault="000B6336" w:rsidP="000B6336">
          <w:pPr>
            <w:pStyle w:val="Header"/>
            <w:spacing w:after="120"/>
          </w:pPr>
        </w:p>
      </w:tc>
      <w:tc>
        <w:tcPr>
          <w:tcW w:w="2059" w:type="dxa"/>
          <w:tcBorders>
            <w:bottom w:val="single" w:sz="4" w:space="0" w:color="auto"/>
          </w:tcBorders>
          <w:shd w:val="clear" w:color="auto" w:fill="auto"/>
          <w:vAlign w:val="bottom"/>
        </w:tcPr>
        <w:p w:rsidR="000B6336" w:rsidRPr="000B6336" w:rsidRDefault="000B6336" w:rsidP="000B63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B6336" w:rsidRDefault="000B6336" w:rsidP="000B6336">
          <w:pPr>
            <w:pStyle w:val="Header"/>
            <w:spacing w:after="120"/>
          </w:pPr>
        </w:p>
      </w:tc>
      <w:tc>
        <w:tcPr>
          <w:tcW w:w="6653" w:type="dxa"/>
          <w:gridSpan w:val="4"/>
          <w:tcBorders>
            <w:bottom w:val="single" w:sz="4" w:space="0" w:color="auto"/>
          </w:tcBorders>
          <w:shd w:val="clear" w:color="auto" w:fill="auto"/>
          <w:vAlign w:val="bottom"/>
        </w:tcPr>
        <w:p w:rsidR="000B6336" w:rsidRPr="000B6336" w:rsidRDefault="000B6336" w:rsidP="000B6336">
          <w:pPr>
            <w:spacing w:after="80" w:line="240" w:lineRule="auto"/>
            <w:jc w:val="right"/>
            <w:rPr>
              <w:position w:val="-4"/>
            </w:rPr>
          </w:pPr>
          <w:r>
            <w:rPr>
              <w:position w:val="-4"/>
              <w:sz w:val="40"/>
            </w:rPr>
            <w:t>CED</w:t>
          </w:r>
          <w:r>
            <w:rPr>
              <w:position w:val="-4"/>
            </w:rPr>
            <w:t>/C/9/1</w:t>
          </w:r>
        </w:p>
      </w:tc>
    </w:tr>
    <w:tr w:rsidR="000B6336" w:rsidRPr="000B6336" w:rsidTr="000B6336">
      <w:trPr>
        <w:gridAfter w:val="1"/>
        <w:wAfter w:w="18" w:type="dxa"/>
        <w:trHeight w:hRule="exact" w:val="2880"/>
      </w:trPr>
      <w:tc>
        <w:tcPr>
          <w:tcW w:w="1267" w:type="dxa"/>
          <w:tcBorders>
            <w:top w:val="single" w:sz="4" w:space="0" w:color="auto"/>
            <w:bottom w:val="single" w:sz="12" w:space="0" w:color="auto"/>
          </w:tcBorders>
          <w:shd w:val="clear" w:color="auto" w:fill="auto"/>
        </w:tcPr>
        <w:p w:rsidR="000B6336" w:rsidRPr="000B6336" w:rsidRDefault="000B6336" w:rsidP="000B6336">
          <w:pPr>
            <w:pStyle w:val="Header"/>
            <w:spacing w:before="120"/>
            <w:jc w:val="center"/>
          </w:pPr>
          <w:r>
            <w:t xml:space="preserve"> </w:t>
          </w:r>
          <w:r>
            <w:rPr>
              <w:lang w:val="es-ES" w:eastAsia="es-ES"/>
            </w:rPr>
            <w:drawing>
              <wp:inline distT="0" distB="0" distL="0" distR="0" wp14:anchorId="574A3FA3" wp14:editId="567830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B6336" w:rsidRPr="000B6336" w:rsidRDefault="000B6336" w:rsidP="000B6336">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0B6336" w:rsidRPr="004C0FAD" w:rsidRDefault="000B6336" w:rsidP="000B6336">
          <w:pPr>
            <w:pStyle w:val="Header"/>
            <w:spacing w:before="109"/>
            <w:rPr>
              <w:lang w:val="es-ES"/>
            </w:rPr>
          </w:pPr>
        </w:p>
      </w:tc>
      <w:tc>
        <w:tcPr>
          <w:tcW w:w="3280" w:type="dxa"/>
          <w:tcBorders>
            <w:top w:val="single" w:sz="4" w:space="0" w:color="auto"/>
            <w:bottom w:val="single" w:sz="12" w:space="0" w:color="auto"/>
          </w:tcBorders>
          <w:shd w:val="clear" w:color="auto" w:fill="auto"/>
        </w:tcPr>
        <w:p w:rsidR="000B6336" w:rsidRDefault="000B6336" w:rsidP="000B6336">
          <w:pPr>
            <w:pStyle w:val="Distribution"/>
            <w:spacing w:before="240"/>
          </w:pPr>
          <w:r>
            <w:t>Distr. general</w:t>
          </w:r>
        </w:p>
        <w:p w:rsidR="000B6336" w:rsidRDefault="000B6336" w:rsidP="000B6336">
          <w:pPr>
            <w:pStyle w:val="Publication"/>
          </w:pPr>
          <w:r>
            <w:t>29 de junio de 2015</w:t>
          </w:r>
        </w:p>
        <w:p w:rsidR="000B6336" w:rsidRDefault="000B6336" w:rsidP="000B6336">
          <w:r>
            <w:t>Español</w:t>
          </w:r>
        </w:p>
        <w:p w:rsidR="000B6336" w:rsidRDefault="000B6336" w:rsidP="000B6336">
          <w:pPr>
            <w:pStyle w:val="Original"/>
          </w:pPr>
          <w:r>
            <w:t>Original: inglés</w:t>
          </w:r>
        </w:p>
        <w:p w:rsidR="000B6336" w:rsidRPr="000B6336" w:rsidRDefault="003543D9" w:rsidP="000B6336">
          <w:r>
            <w:t>Español, francés e inglés únicamente</w:t>
          </w:r>
        </w:p>
      </w:tc>
    </w:tr>
  </w:tbl>
  <w:p w:rsidR="000B6336" w:rsidRPr="003543D9" w:rsidRDefault="000B6336" w:rsidP="000B633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021*"/>
    <w:docVar w:name="CreationDt" w:val="7/8/2015 3:25: PM"/>
    <w:docVar w:name="DocCategory" w:val="Doc"/>
    <w:docVar w:name="DocType" w:val="Final"/>
    <w:docVar w:name="DutyStation" w:val="Geneva"/>
    <w:docVar w:name="FooterJN" w:val="15-10021"/>
    <w:docVar w:name="jobn" w:val="15-10021 (S)"/>
    <w:docVar w:name="jobnDT" w:val="15-10021 (S)   080715"/>
    <w:docVar w:name="jobnDTDT" w:val="15-10021 (S)   080715   080715"/>
    <w:docVar w:name="JobNo" w:val="1510021S"/>
    <w:docVar w:name="JobNo2" w:val="15136173:25: PM"/>
    <w:docVar w:name="LocalDrive" w:val="0"/>
    <w:docVar w:name="OandT" w:val="AM"/>
    <w:docVar w:name="PaperSize" w:val="A4"/>
    <w:docVar w:name="sss1" w:val="CED/C/9/1"/>
    <w:docVar w:name="sss2" w:val="-"/>
    <w:docVar w:name="Symbol1" w:val="CED/C/9/1"/>
    <w:docVar w:name="Symbol2" w:val="-"/>
  </w:docVars>
  <w:rsids>
    <w:rsidRoot w:val="004D262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6336"/>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8DF"/>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43D9"/>
    <w:rsid w:val="0035601E"/>
    <w:rsid w:val="003626AF"/>
    <w:rsid w:val="00363CCE"/>
    <w:rsid w:val="00364682"/>
    <w:rsid w:val="00364F73"/>
    <w:rsid w:val="00365806"/>
    <w:rsid w:val="00367739"/>
    <w:rsid w:val="0037312C"/>
    <w:rsid w:val="00373423"/>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31FE"/>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4AAD"/>
    <w:rsid w:val="00496527"/>
    <w:rsid w:val="004A146B"/>
    <w:rsid w:val="004A3174"/>
    <w:rsid w:val="004A7C6C"/>
    <w:rsid w:val="004B47A3"/>
    <w:rsid w:val="004B7559"/>
    <w:rsid w:val="004C0FAD"/>
    <w:rsid w:val="004C1BCD"/>
    <w:rsid w:val="004C75AE"/>
    <w:rsid w:val="004C7731"/>
    <w:rsid w:val="004C7EA8"/>
    <w:rsid w:val="004D262E"/>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CB"/>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3861"/>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043D"/>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3C02"/>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2752"/>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74A"/>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1C7D"/>
    <w:rsid w:val="00D2412C"/>
    <w:rsid w:val="00D27C55"/>
    <w:rsid w:val="00D30E8B"/>
    <w:rsid w:val="00D36FEB"/>
    <w:rsid w:val="00D40561"/>
    <w:rsid w:val="00D42CA0"/>
    <w:rsid w:val="00D5080B"/>
    <w:rsid w:val="00D535F0"/>
    <w:rsid w:val="00D60200"/>
    <w:rsid w:val="00D621E4"/>
    <w:rsid w:val="00D66326"/>
    <w:rsid w:val="00D75748"/>
    <w:rsid w:val="00D75DCF"/>
    <w:rsid w:val="00D802D1"/>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4AF3"/>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clear" w:pos="2376"/>
        <w:tab w:val="left" w:pos="2218"/>
      </w:tabs>
      <w:spacing w:before="40" w:after="80"/>
      <w:ind w:left="1689" w:right="302" w:hanging="555"/>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B6336"/>
    <w:pPr>
      <w:spacing w:line="240" w:lineRule="auto"/>
    </w:pPr>
    <w:rPr>
      <w:szCs w:val="20"/>
    </w:rPr>
  </w:style>
  <w:style w:type="character" w:customStyle="1" w:styleId="CommentTextChar">
    <w:name w:val="Comment Text Char"/>
    <w:basedOn w:val="DefaultParagraphFont"/>
    <w:link w:val="CommentText"/>
    <w:rsid w:val="000B6336"/>
    <w:rPr>
      <w:rFonts w:ascii="Times New Roman" w:hAnsi="Times New Roman"/>
      <w:spacing w:val="4"/>
      <w:w w:val="103"/>
      <w:lang w:val="es-ES"/>
    </w:rPr>
  </w:style>
  <w:style w:type="paragraph" w:styleId="CommentSubject">
    <w:name w:val="annotation subject"/>
    <w:basedOn w:val="CommentText"/>
    <w:next w:val="CommentText"/>
    <w:link w:val="CommentSubjectChar"/>
    <w:rsid w:val="000B6336"/>
    <w:rPr>
      <w:b/>
      <w:bCs/>
    </w:rPr>
  </w:style>
  <w:style w:type="character" w:customStyle="1" w:styleId="CommentSubjectChar">
    <w:name w:val="Comment Subject Char"/>
    <w:basedOn w:val="CommentTextChar"/>
    <w:link w:val="CommentSubject"/>
    <w:rsid w:val="000B633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clear" w:pos="2376"/>
        <w:tab w:val="left" w:pos="2218"/>
      </w:tabs>
      <w:spacing w:before="40" w:after="80"/>
      <w:ind w:left="1689" w:right="302" w:hanging="555"/>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B6336"/>
    <w:pPr>
      <w:spacing w:line="240" w:lineRule="auto"/>
    </w:pPr>
    <w:rPr>
      <w:szCs w:val="20"/>
    </w:rPr>
  </w:style>
  <w:style w:type="character" w:customStyle="1" w:styleId="CommentTextChar">
    <w:name w:val="Comment Text Char"/>
    <w:basedOn w:val="DefaultParagraphFont"/>
    <w:link w:val="CommentText"/>
    <w:rsid w:val="000B6336"/>
    <w:rPr>
      <w:rFonts w:ascii="Times New Roman" w:hAnsi="Times New Roman"/>
      <w:spacing w:val="4"/>
      <w:w w:val="103"/>
      <w:lang w:val="es-ES"/>
    </w:rPr>
  </w:style>
  <w:style w:type="paragraph" w:styleId="CommentSubject">
    <w:name w:val="annotation subject"/>
    <w:basedOn w:val="CommentText"/>
    <w:next w:val="CommentText"/>
    <w:link w:val="CommentSubjectChar"/>
    <w:rsid w:val="000B6336"/>
    <w:rPr>
      <w:b/>
      <w:bCs/>
    </w:rPr>
  </w:style>
  <w:style w:type="character" w:customStyle="1" w:styleId="CommentSubjectChar">
    <w:name w:val="Comment Subject Char"/>
    <w:basedOn w:val="CommentTextChar"/>
    <w:link w:val="CommentSubject"/>
    <w:rsid w:val="000B633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1F62F-B637-4F45-9263-360CCA5CC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1198</Words>
  <Characters>6591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3</cp:revision>
  <cp:lastPrinted>2015-07-09T08:54:00Z</cp:lastPrinted>
  <dcterms:created xsi:type="dcterms:W3CDTF">2015-07-09T08:54:00Z</dcterms:created>
  <dcterms:modified xsi:type="dcterms:W3CDTF">2015-07-09T08:54:00Z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1510021</vt:lpwstr>
  </property>
  <property fmtid="{D5CDD505-2E9C-101B-9397-08002B2CF9AE}" pid="3" name="ODSRefJobNo">
    <vt:lpwstr>1513617</vt:lpwstr>
  </property>
  <property fmtid="{D5CDD505-2E9C-101B-9397-08002B2CF9AE}" pid="4" name="Symbol1">
    <vt:lpwstr>CED/C/9/1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junio de 2015</vt:lpwstr>
  </property>
  <property fmtid="{D5CDD505-2E9C-101B-9397-08002B2CF9AE}" pid="8" name="Original">
    <vt:lpwstr>inglés</vt:lpwstr>
  </property>
  <property fmtid="{D5CDD505-2E9C-101B-9397-08002B2CF9AE}" pid="9" name="Release Date">
    <vt:lpwstr>080715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