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2A90B63" w14:textId="77777777" w:rsidTr="00BC3629">
        <w:trPr>
          <w:trHeight w:hRule="exact" w:val="851"/>
        </w:trPr>
        <w:tc>
          <w:tcPr>
            <w:tcW w:w="142" w:type="dxa"/>
            <w:tcBorders>
              <w:bottom w:val="single" w:sz="4" w:space="0" w:color="auto"/>
            </w:tcBorders>
          </w:tcPr>
          <w:p w14:paraId="218B3C60" w14:textId="77777777" w:rsidR="002D5AAC" w:rsidRDefault="002D5AAC" w:rsidP="007B0BF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597FB39"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28DBD6E" w14:textId="53284CB5" w:rsidR="002D5AAC" w:rsidRDefault="007B0BFB" w:rsidP="007B0BFB">
            <w:pPr>
              <w:jc w:val="right"/>
            </w:pPr>
            <w:r w:rsidRPr="007B0BFB">
              <w:rPr>
                <w:sz w:val="40"/>
              </w:rPr>
              <w:t>CCPR</w:t>
            </w:r>
            <w:r>
              <w:t>/C/TKM/FCO/3</w:t>
            </w:r>
          </w:p>
        </w:tc>
      </w:tr>
      <w:tr w:rsidR="002D5AAC" w:rsidRPr="007B0BFB" w14:paraId="690AF8D5" w14:textId="77777777" w:rsidTr="00BC3629">
        <w:trPr>
          <w:trHeight w:hRule="exact" w:val="2835"/>
        </w:trPr>
        <w:tc>
          <w:tcPr>
            <w:tcW w:w="1280" w:type="dxa"/>
            <w:gridSpan w:val="2"/>
            <w:tcBorders>
              <w:top w:val="single" w:sz="4" w:space="0" w:color="auto"/>
              <w:bottom w:val="single" w:sz="12" w:space="0" w:color="auto"/>
            </w:tcBorders>
          </w:tcPr>
          <w:p w14:paraId="5A26BA6B" w14:textId="77777777" w:rsidR="002D5AAC" w:rsidRDefault="002E5067" w:rsidP="00BC3629">
            <w:pPr>
              <w:spacing w:before="120"/>
              <w:jc w:val="center"/>
            </w:pPr>
            <w:r>
              <w:rPr>
                <w:noProof/>
                <w:lang w:val="fr-CH" w:eastAsia="fr-CH"/>
              </w:rPr>
              <w:drawing>
                <wp:inline distT="0" distB="0" distL="0" distR="0" wp14:anchorId="15ACF097" wp14:editId="2696903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ACA729D" w14:textId="77777777" w:rsidR="002D5AAC" w:rsidRPr="00033EE1" w:rsidRDefault="00DE32CD" w:rsidP="006B3942">
            <w:pPr>
              <w:spacing w:before="120" w:line="38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774BCE71" w14:textId="77777777" w:rsidR="002D5AAC" w:rsidRPr="007B0BFB" w:rsidRDefault="007B0BFB" w:rsidP="00BC3629">
            <w:pPr>
              <w:spacing w:before="240"/>
              <w:rPr>
                <w:lang w:val="en-US"/>
              </w:rPr>
            </w:pPr>
            <w:r w:rsidRPr="007B0BFB">
              <w:rPr>
                <w:lang w:val="en-US"/>
              </w:rPr>
              <w:t>Distr.: General</w:t>
            </w:r>
          </w:p>
          <w:p w14:paraId="38AF5016" w14:textId="78357843" w:rsidR="007B0BFB" w:rsidRPr="007B0BFB" w:rsidRDefault="007B0BFB" w:rsidP="007B0BFB">
            <w:pPr>
              <w:spacing w:line="240" w:lineRule="exact"/>
              <w:rPr>
                <w:lang w:val="en-US"/>
              </w:rPr>
            </w:pPr>
            <w:r w:rsidRPr="005358CE">
              <w:rPr>
                <w:lang w:val="en-US"/>
              </w:rPr>
              <w:t>2</w:t>
            </w:r>
            <w:r>
              <w:rPr>
                <w:lang w:val="en-US"/>
              </w:rPr>
              <w:t>5</w:t>
            </w:r>
            <w:r w:rsidRPr="005358CE">
              <w:rPr>
                <w:lang w:val="en-US"/>
              </w:rPr>
              <w:t xml:space="preserve"> June 2026</w:t>
            </w:r>
          </w:p>
          <w:p w14:paraId="1E32ED15" w14:textId="77777777" w:rsidR="007B0BFB" w:rsidRDefault="007B0BFB" w:rsidP="007B0BFB">
            <w:pPr>
              <w:suppressAutoHyphens w:val="0"/>
              <w:rPr>
                <w:lang w:val="en-US"/>
              </w:rPr>
            </w:pPr>
          </w:p>
          <w:p w14:paraId="055C7A31" w14:textId="3E500093" w:rsidR="007B0BFB" w:rsidRPr="005358CE" w:rsidRDefault="007B0BFB" w:rsidP="007B0BFB">
            <w:pPr>
              <w:suppressAutoHyphens w:val="0"/>
              <w:rPr>
                <w:lang w:val="en-US"/>
              </w:rPr>
            </w:pPr>
            <w:r w:rsidRPr="007B0BFB">
              <w:rPr>
                <w:lang w:val="en-US"/>
              </w:rPr>
              <w:t xml:space="preserve">Original: </w:t>
            </w:r>
            <w:r w:rsidRPr="005358CE">
              <w:rPr>
                <w:lang w:val="en-US"/>
              </w:rPr>
              <w:t>Russian</w:t>
            </w:r>
          </w:p>
          <w:p w14:paraId="639BBF69" w14:textId="47C850B0" w:rsidR="007B0BFB" w:rsidRPr="007B0BFB" w:rsidRDefault="007B0BFB" w:rsidP="007B0BFB">
            <w:pPr>
              <w:spacing w:line="240" w:lineRule="exact"/>
              <w:rPr>
                <w:lang w:val="en-US"/>
              </w:rPr>
            </w:pPr>
            <w:r w:rsidRPr="005358CE">
              <w:rPr>
                <w:lang w:val="en-US"/>
              </w:rPr>
              <w:t>English and Russian only</w:t>
            </w:r>
          </w:p>
        </w:tc>
      </w:tr>
    </w:tbl>
    <w:p w14:paraId="1F0DB726" w14:textId="77777777" w:rsidR="007B0BFB" w:rsidRPr="00551247" w:rsidRDefault="007B0BFB" w:rsidP="007B0BFB">
      <w:pPr>
        <w:spacing w:before="120"/>
        <w:rPr>
          <w:b/>
          <w:sz w:val="24"/>
        </w:rPr>
      </w:pPr>
      <w:r w:rsidRPr="00551247">
        <w:rPr>
          <w:b/>
          <w:sz w:val="24"/>
        </w:rPr>
        <w:t>Комитет по правам человека</w:t>
      </w:r>
    </w:p>
    <w:p w14:paraId="6C37E6A6" w14:textId="53DB8C72" w:rsidR="007B0BFB" w:rsidRPr="00551247" w:rsidRDefault="007B0BFB" w:rsidP="007B0BFB">
      <w:pPr>
        <w:pStyle w:val="HMG"/>
      </w:pPr>
      <w:r w:rsidRPr="00551247">
        <w:tab/>
      </w:r>
      <w:r w:rsidRPr="00551247">
        <w:tab/>
        <w:t>Информация, полученная от Туркменистана в</w:t>
      </w:r>
      <w:r>
        <w:rPr>
          <w:lang w:val="en-US"/>
        </w:rPr>
        <w:t> </w:t>
      </w:r>
      <w:r w:rsidRPr="00551247">
        <w:t>отношении последующей деятельности в</w:t>
      </w:r>
      <w:r>
        <w:rPr>
          <w:lang w:val="en-US"/>
        </w:rPr>
        <w:t> </w:t>
      </w:r>
      <w:r w:rsidRPr="00551247">
        <w:t>связи с заключительными замечаниями по</w:t>
      </w:r>
      <w:r>
        <w:rPr>
          <w:lang w:val="en-US"/>
        </w:rPr>
        <w:t> </w:t>
      </w:r>
      <w:r w:rsidRPr="00551247">
        <w:t>его третьему периодическому докладу</w:t>
      </w:r>
      <w:r w:rsidRPr="00551247">
        <w:rPr>
          <w:rStyle w:val="aa"/>
          <w:b w:val="0"/>
          <w:sz w:val="20"/>
          <w:vertAlign w:val="baseline"/>
        </w:rPr>
        <w:footnoteReference w:customMarkFollows="1" w:id="1"/>
        <w:t>*</w:t>
      </w:r>
    </w:p>
    <w:p w14:paraId="379850D6" w14:textId="77777777" w:rsidR="007B0BFB" w:rsidRPr="00E867AC" w:rsidRDefault="007B0BFB" w:rsidP="007B0BFB">
      <w:pPr>
        <w:pStyle w:val="SingleTxtG"/>
        <w:jc w:val="right"/>
      </w:pPr>
      <w:r w:rsidRPr="00E867AC">
        <w:t>[</w:t>
      </w:r>
      <w:r w:rsidRPr="00842DD1">
        <w:t>Дата получения:</w:t>
      </w:r>
      <w:r w:rsidRPr="00E867AC">
        <w:t xml:space="preserve"> 30 </w:t>
      </w:r>
      <w:r>
        <w:t>марта</w:t>
      </w:r>
      <w:r w:rsidRPr="00E867AC">
        <w:t xml:space="preserve"> 2026</w:t>
      </w:r>
      <w:r>
        <w:t xml:space="preserve"> года</w:t>
      </w:r>
      <w:r w:rsidRPr="00E867AC">
        <w:t>]</w:t>
      </w:r>
    </w:p>
    <w:p w14:paraId="64F8ED7A" w14:textId="0C0C213E" w:rsidR="007B0BFB" w:rsidRDefault="007B0BFB">
      <w:pPr>
        <w:suppressAutoHyphens w:val="0"/>
        <w:spacing w:line="240" w:lineRule="auto"/>
        <w:rPr>
          <w:lang w:val="en-US"/>
        </w:rPr>
      </w:pPr>
      <w:r>
        <w:rPr>
          <w:lang w:val="en-US"/>
        </w:rPr>
        <w:br w:type="page"/>
      </w:r>
    </w:p>
    <w:p w14:paraId="1A07F855" w14:textId="77777777" w:rsidR="007B0BFB" w:rsidRPr="00787C4D" w:rsidRDefault="007B0BFB" w:rsidP="007B0BFB">
      <w:pPr>
        <w:pStyle w:val="SingleTxtG"/>
        <w:rPr>
          <w:w w:val="105"/>
        </w:rPr>
      </w:pPr>
      <w:r w:rsidRPr="005358CE">
        <w:lastRenderedPageBreak/>
        <w:t>1.</w:t>
      </w:r>
      <w:r w:rsidRPr="00787C4D">
        <w:tab/>
        <w:t>В соответствии с пунктом 51 Заключительных рекомендаций Комитета ООН по правам человека представляем дополнительную информацию о мерах, принятых для выполнения замечаний, содержащихся в пунктах 7 (Национальное правозащитное учреждение), 21 (Контртеррористические меры) и 25 (Тайные задержания и насильственные исчезновения).</w:t>
      </w:r>
    </w:p>
    <w:p w14:paraId="3ECE953E" w14:textId="77777777" w:rsidR="007B0BFB" w:rsidRPr="005358CE" w:rsidRDefault="007B0BFB" w:rsidP="007B0BFB">
      <w:pPr>
        <w:pStyle w:val="H1G"/>
      </w:pPr>
      <w:r w:rsidRPr="008578AA">
        <w:tab/>
      </w:r>
      <w:r w:rsidRPr="008578AA">
        <w:tab/>
        <w:t xml:space="preserve">Последующая информация в связи с пунктом </w:t>
      </w:r>
      <w:r>
        <w:t>7</w:t>
      </w:r>
      <w:r w:rsidRPr="008578AA">
        <w:t xml:space="preserve"> заключительных замечаний</w:t>
      </w:r>
      <w:r w:rsidRPr="005358CE">
        <w:t xml:space="preserve"> (CCPR/C/TKM/CO/3)</w:t>
      </w:r>
    </w:p>
    <w:p w14:paraId="1640467D" w14:textId="77777777" w:rsidR="007B0BFB" w:rsidRPr="00787C4D" w:rsidRDefault="007B0BFB" w:rsidP="007B0BFB">
      <w:pPr>
        <w:pStyle w:val="SingleTxtG"/>
      </w:pPr>
      <w:r>
        <w:t>2</w:t>
      </w:r>
      <w:r w:rsidRPr="00787C4D">
        <w:t>.</w:t>
      </w:r>
      <w:r>
        <w:tab/>
      </w:r>
      <w:r w:rsidRPr="005358CE">
        <w:t>14 июня 2024</w:t>
      </w:r>
      <w:r w:rsidRPr="00787C4D">
        <w:t xml:space="preserve"> года было принято Постановление Президента Туркменистана «О</w:t>
      </w:r>
      <w:r>
        <w:rPr>
          <w:lang w:val="en-US"/>
        </w:rPr>
        <w:t> </w:t>
      </w:r>
      <w:r w:rsidRPr="00787C4D">
        <w:t>совершенствовании работы Аппарата Омбудсмена»</w:t>
      </w:r>
      <w:r>
        <w:t>,</w:t>
      </w:r>
      <w:r w:rsidRPr="00787C4D">
        <w:t xml:space="preserve"> согласно документу Омбудсмен осуществил реорганизацию структуры Аппарата Омбудсмена Туркменистана, утверждение структуры Аппарата, штатного расписания и определение количества работников. </w:t>
      </w:r>
    </w:p>
    <w:p w14:paraId="3ADCF085" w14:textId="77777777" w:rsidR="007B0BFB" w:rsidRPr="00787C4D" w:rsidRDefault="007B0BFB" w:rsidP="007B0BFB">
      <w:pPr>
        <w:pStyle w:val="SingleTxtG"/>
      </w:pPr>
      <w:r>
        <w:t>3.</w:t>
      </w:r>
      <w:r>
        <w:tab/>
      </w:r>
      <w:r w:rsidRPr="00787C4D">
        <w:t xml:space="preserve">На основании данного Постановления Президента Туркменистана приказом Омбудсмена от </w:t>
      </w:r>
      <w:r w:rsidRPr="005358CE">
        <w:t>21</w:t>
      </w:r>
      <w:r>
        <w:t xml:space="preserve"> июня </w:t>
      </w:r>
      <w:r w:rsidRPr="005358CE">
        <w:t>2024</w:t>
      </w:r>
      <w:r>
        <w:t xml:space="preserve"> </w:t>
      </w:r>
      <w:r w:rsidRPr="005358CE">
        <w:t>г</w:t>
      </w:r>
      <w:r>
        <w:t>ода</w:t>
      </w:r>
      <w:r w:rsidRPr="00787C4D">
        <w:t xml:space="preserve"> в структуре Аппарата Омбудсмена было образовано </w:t>
      </w:r>
      <w:r>
        <w:t xml:space="preserve">три </w:t>
      </w:r>
      <w:r w:rsidRPr="00787C4D">
        <w:t>новых отдела. В настоящее время в Аппарате действуют Отделы по вопросам защиты прав и свобод человека в органах государственной власти и местных органах самоуправления, по вопросам защиты прав женщин и детей и по вопросам защиты прав человека в частном секторе. Приказом Омбудсмена от 21</w:t>
      </w:r>
      <w:r>
        <w:t xml:space="preserve"> июня </w:t>
      </w:r>
      <w:r w:rsidRPr="00787C4D">
        <w:t>2024</w:t>
      </w:r>
      <w:r>
        <w:t xml:space="preserve"> </w:t>
      </w:r>
      <w:r w:rsidRPr="00787C4D">
        <w:t>г</w:t>
      </w:r>
      <w:r>
        <w:t>ода</w:t>
      </w:r>
      <w:r w:rsidRPr="00787C4D">
        <w:t xml:space="preserve"> утверждено штатное расписание Аппарата Омбудсмена, в соответствии с которым количество работников увеличено до 15 человек.</w:t>
      </w:r>
    </w:p>
    <w:p w14:paraId="4903E041" w14:textId="77777777" w:rsidR="007B0BFB" w:rsidRPr="00787C4D" w:rsidRDefault="007B0BFB" w:rsidP="007B0BFB">
      <w:pPr>
        <w:pStyle w:val="SingleTxtG"/>
      </w:pPr>
      <w:r>
        <w:t>4.</w:t>
      </w:r>
      <w:r>
        <w:tab/>
      </w:r>
      <w:r w:rsidRPr="00787C4D">
        <w:t xml:space="preserve">Вопрос об изменении законодательства в части установления возможности сотрудников Аппарат Омбудсмена права посещения мест лишения свободы был поставлен и в рекомендациях ГАНПЗУ, в связи с чем Аппарат Омбудсмена разрабатывает дорожную карту, где предусматривается внесение данного изменения. Следует отметить, что в соответствии с действующим законодательством нет ограничений в этом плане. </w:t>
      </w:r>
    </w:p>
    <w:p w14:paraId="34BEF176" w14:textId="77777777" w:rsidR="007B0BFB" w:rsidRPr="00787C4D" w:rsidRDefault="007B0BFB" w:rsidP="007B0BFB">
      <w:pPr>
        <w:pStyle w:val="SingleTxtG"/>
      </w:pPr>
      <w:r>
        <w:t>5.</w:t>
      </w:r>
      <w:r>
        <w:tab/>
      </w:r>
      <w:r w:rsidRPr="00787C4D">
        <w:t>В соответствии с нормами главы X Закона Туркменистана «Об Омбудсмене» Аппарат Омбудсмена создается для осуществления правового, организационного, научно-аналитического, материально-технического, финансового и хозяйственного, информационного и иного обеспечения деятельности Омбудсмена. На основании данной нормы посещение Омбудсменом мест лишения свободы и других закрытых специализированных учреждений осуществляется при участии работника Аппарат</w:t>
      </w:r>
      <w:r>
        <w:t>а</w:t>
      </w:r>
      <w:r w:rsidRPr="00787C4D">
        <w:t xml:space="preserve"> Омбудсмена. Работы по совершенствованию соответствующего законодательства в данном направлении продолжаются.</w:t>
      </w:r>
    </w:p>
    <w:p w14:paraId="1C41F929" w14:textId="77777777" w:rsidR="007B0BFB" w:rsidRPr="00787C4D" w:rsidRDefault="007B0BFB" w:rsidP="007B0BFB">
      <w:pPr>
        <w:pStyle w:val="SingleTxtG"/>
      </w:pPr>
      <w:r>
        <w:t>6.</w:t>
      </w:r>
      <w:r>
        <w:tab/>
      </w:r>
      <w:r w:rsidRPr="00787C4D">
        <w:t xml:space="preserve">Со дня образования Аппарат Омбудсмена сотрудничает с ООН и его структурными подразделениями (Программой развития ООН, Фондом народонаселения, представительствами Управления Верховного комиссара ООН по правам человека, Детским Фондом ООН, Управлением ООН по наркотикам и преступности и др.), с представительством Центра Организации по Безопасности и Сотрудничеству в Европе, Европейского Союза, Глобальным Альянсом Национальных Правозащитных Учреждений, Азиатско-Тихоокеанским Форумом. Также Аппарат Омбудсмена поддерживает международное сотрудничество с национальными правозащитными учреждениями Узбекистана, Таджикистана, Кыргызстана, Казахстана, Азербайджана, Российской Федерации и др. </w:t>
      </w:r>
    </w:p>
    <w:p w14:paraId="2A0063B3" w14:textId="77777777" w:rsidR="007B0BFB" w:rsidRPr="00787C4D" w:rsidRDefault="007B0BFB" w:rsidP="007B0BFB">
      <w:pPr>
        <w:pStyle w:val="SingleTxtG"/>
      </w:pPr>
      <w:r>
        <w:t>7.</w:t>
      </w:r>
      <w:r>
        <w:tab/>
      </w:r>
      <w:r w:rsidRPr="00787C4D">
        <w:t xml:space="preserve">При сотрудничестве УВКПЧ и ЮНИСЕФ был представлен альтернативный доклад по выполнению Конвенции по правам ребенка. Сотрудничество с гражданским обществом осуществляется путем участия представителей нескольких общественных объединений (Национальный центр Профессиональных союзов Туркменистана, Центральный Совет Организации женщин Туркменистана, Центральный Совет Молодежной организации Туркменистана имени Махтумкули, Ýeňme, Keýik okara, Täze zaman). Указанные организации участвуют в Экспертном Совете Аппарата Омбудсмена и в других мероприятиях. </w:t>
      </w:r>
    </w:p>
    <w:p w14:paraId="6BFDA0A4" w14:textId="77777777" w:rsidR="007B0BFB" w:rsidRPr="008578AA" w:rsidRDefault="007B0BFB" w:rsidP="007B0BFB">
      <w:pPr>
        <w:pStyle w:val="H1G"/>
      </w:pPr>
      <w:r w:rsidRPr="008578AA">
        <w:lastRenderedPageBreak/>
        <w:tab/>
      </w:r>
      <w:r w:rsidRPr="008578AA">
        <w:tab/>
        <w:t xml:space="preserve">Последующая информация в связи с пунктом </w:t>
      </w:r>
      <w:r>
        <w:t>21</w:t>
      </w:r>
      <w:r w:rsidRPr="008578AA">
        <w:t xml:space="preserve"> заключительных замечаний</w:t>
      </w:r>
    </w:p>
    <w:p w14:paraId="7C08B2E1" w14:textId="77777777" w:rsidR="007B0BFB" w:rsidRPr="00787C4D" w:rsidRDefault="007B0BFB" w:rsidP="007B0BFB">
      <w:pPr>
        <w:pStyle w:val="SingleTxtG"/>
      </w:pPr>
      <w:r>
        <w:t>8</w:t>
      </w:r>
      <w:r w:rsidRPr="00787C4D">
        <w:t>.</w:t>
      </w:r>
      <w:r>
        <w:tab/>
      </w:r>
      <w:r w:rsidRPr="00787C4D">
        <w:t>Туркменистан последовательно укрепляет национальную правовую систему в соответствии с международными обязательствами. Важным этапом в этом направлении стало успешное прохождение Туркменистаном в 2023 году второго раунда взаимной оценки национальной системы противодействия легализации доходов, финансированию терроризма и финансированию распространения оружия массового уничтожения (ПОД/ФТ/ФРОМУ). Данный факт подтверждает высокую степень соответствия национальных механизмов Рекомендациям Группы разработки финансовых мер борьбы с отмыванием денег (ФАТФ) и стандартам ООН.</w:t>
      </w:r>
    </w:p>
    <w:p w14:paraId="74C352F4" w14:textId="77777777" w:rsidR="007B0BFB" w:rsidRPr="00787C4D" w:rsidRDefault="007B0BFB" w:rsidP="007B0BFB">
      <w:pPr>
        <w:pStyle w:val="SingleTxtG"/>
      </w:pPr>
      <w:r>
        <w:t>9.</w:t>
      </w:r>
      <w:r>
        <w:tab/>
      </w:r>
      <w:r w:rsidRPr="00787C4D">
        <w:t xml:space="preserve">В период с 2 по 17 августа 2022 года состоялась выездная миссия экспертов-оценщиков Евразийской группы (ЕАГ), по итогам проведения которого составлен отчет. По результатам обобщения принимаемых Туркменистаном мер по противодействию отмыванию преступных доходов и финансированию терроризма, сделан вывод о том, что Туркменистан принимает значительные усилия для выявления оценки и понимания своих рисков отмывания денег и финансирования терроризма, и выработки мер для их минимизации. </w:t>
      </w:r>
    </w:p>
    <w:p w14:paraId="0452462B" w14:textId="77777777" w:rsidR="007B0BFB" w:rsidRPr="00787C4D" w:rsidRDefault="007B0BFB" w:rsidP="007B0BFB">
      <w:pPr>
        <w:pStyle w:val="SingleTxtG"/>
      </w:pPr>
      <w:r>
        <w:t>10.</w:t>
      </w:r>
      <w:r>
        <w:tab/>
      </w:r>
      <w:r w:rsidRPr="00787C4D">
        <w:t xml:space="preserve">В Туркменистане проведены национальные оценки рисков НОР-1 и НОР-2. </w:t>
      </w:r>
      <w:r w:rsidRPr="005358CE">
        <w:br/>
      </w:r>
      <w:r w:rsidRPr="00787C4D">
        <w:t>На основании выводов НОР-1 и НОР-2 страной было разработано и утверждено два Плана действий по управлению рисками, связанных с ОД/ФТ/ФРОМУ в Туркменистане. План действий по контролю, снижению и устранению рисков ОД/ФТ/ФРОМУ на 2020</w:t>
      </w:r>
      <w:r>
        <w:t>–</w:t>
      </w:r>
      <w:r w:rsidRPr="00787C4D">
        <w:t>2021 г</w:t>
      </w:r>
      <w:r>
        <w:t>оды</w:t>
      </w:r>
      <w:r w:rsidRPr="00787C4D">
        <w:t xml:space="preserve"> направлен на совершенствование нормативно-правовой базы, повышение уровня знаний сотрудников компетентных органов, совершенствование материально-технической базы государственных органов, повышению взаимодействия государственных органов и др.</w:t>
      </w:r>
    </w:p>
    <w:p w14:paraId="635A85E8" w14:textId="77777777" w:rsidR="007B0BFB" w:rsidRPr="00787C4D" w:rsidRDefault="007B0BFB" w:rsidP="007B0BFB">
      <w:pPr>
        <w:pStyle w:val="SingleTxtG"/>
      </w:pPr>
      <w:r>
        <w:t>11.</w:t>
      </w:r>
      <w:r>
        <w:tab/>
      </w:r>
      <w:r w:rsidRPr="00787C4D">
        <w:t>В свою очередь План действий по управлению рискам ОД/ФТ на 2021</w:t>
      </w:r>
      <w:r>
        <w:t>–</w:t>
      </w:r>
      <w:r w:rsidRPr="00787C4D">
        <w:t>2022</w:t>
      </w:r>
      <w:r>
        <w:t> </w:t>
      </w:r>
      <w:r w:rsidRPr="00787C4D">
        <w:t>г</w:t>
      </w:r>
      <w:r>
        <w:t>оды</w:t>
      </w:r>
      <w:r w:rsidRPr="00787C4D">
        <w:t xml:space="preserve"> (НОР-2) включает </w:t>
      </w:r>
      <w:r>
        <w:t>шесть</w:t>
      </w:r>
      <w:r w:rsidRPr="00787C4D">
        <w:t xml:space="preserve"> стратегических направлений: национальные угрозы </w:t>
      </w:r>
      <w:r>
        <w:t>—</w:t>
      </w:r>
      <w:r w:rsidRPr="00787C4D">
        <w:t xml:space="preserve"> снижение рисков, связанных с национальными угрозами; снижение рисков, связанных с финансированием терроризма и ФРОМУ; национальные уязвимости </w:t>
      </w:r>
      <w:r>
        <w:t>—</w:t>
      </w:r>
      <w:r w:rsidRPr="00787C4D">
        <w:t xml:space="preserve"> снижение рисков, относящихся к национальным уязвимостям; усовершенствование механизма снижения рисков, связанных с уязвимостями в финансовом секторе; уязвимости, связанные с идентификацией̆ выгодоприобретателей̆ и бенефициарных владельцев; снижение рисков, связанных с уязвимостями не финансовых секторов. </w:t>
      </w:r>
    </w:p>
    <w:p w14:paraId="22D00E84" w14:textId="77777777" w:rsidR="007B0BFB" w:rsidRPr="00787C4D" w:rsidRDefault="007B0BFB" w:rsidP="007B0BFB">
      <w:pPr>
        <w:pStyle w:val="SingleTxtG"/>
      </w:pPr>
      <w:r>
        <w:t>12.</w:t>
      </w:r>
      <w:r>
        <w:tab/>
      </w:r>
      <w:r w:rsidRPr="00787C4D">
        <w:t xml:space="preserve">В Туркменистане имеется нормативно-правовая база и в целом обученный персонал компетентных органов для выявления и расследования фактов ФТ. В стране не зафиксировано каких-либо преступлений террористической направленности, включая ФТ. Деятельность по противодействию ФТ в основном направлена на предотвращение и профилактику указанного деяния. Власти Туркменистана в значительной степени интегрировали вопросы противодействия ФТ в национальные антитеррористические стратегии и осуществляют превентивные меры в поддержку контртеррористической политике. В Туркменистане действует единая правовая база по применению целевых финансовых санкций (ЦФС) в сфере ФТ. </w:t>
      </w:r>
    </w:p>
    <w:p w14:paraId="22C9B3C0" w14:textId="77777777" w:rsidR="007B0BFB" w:rsidRPr="00787C4D" w:rsidRDefault="007B0BFB" w:rsidP="007B0BFB">
      <w:pPr>
        <w:pStyle w:val="SingleTxtG"/>
      </w:pPr>
      <w:r>
        <w:t>13.</w:t>
      </w:r>
      <w:r>
        <w:tab/>
      </w:r>
      <w:r w:rsidRPr="00787C4D">
        <w:t>С 1 января 2023 года в Туркменистане вступила в силу новая редакция Уголовного кодекса (УК). Реформа была направлена на дальнейшую гуманизацию правосудия при одновременном усилении ответственности за преступления против мира и человечности. Криминализация актов терроризма (ст. 293 УК), статья 293 УК устанавливает жесткую ответственность за террористическую деятельность.</w:t>
      </w:r>
    </w:p>
    <w:p w14:paraId="2F017F67" w14:textId="77777777" w:rsidR="007B0BFB" w:rsidRPr="00787C4D" w:rsidRDefault="007B0BFB" w:rsidP="007B0BFB">
      <w:pPr>
        <w:pStyle w:val="H4G"/>
      </w:pPr>
      <w:r>
        <w:tab/>
      </w:r>
      <w:r>
        <w:tab/>
      </w:r>
      <w:r w:rsidRPr="005358CE">
        <w:t>Криминализация финансирования терроризма (ст. 294 УК)</w:t>
      </w:r>
    </w:p>
    <w:p w14:paraId="6781642A" w14:textId="77777777" w:rsidR="007B0BFB" w:rsidRPr="00787C4D" w:rsidRDefault="007B0BFB" w:rsidP="007B0BFB">
      <w:pPr>
        <w:pStyle w:val="SingleTxtG"/>
      </w:pPr>
      <w:r>
        <w:t>14.</w:t>
      </w:r>
      <w:r>
        <w:tab/>
      </w:r>
      <w:r w:rsidRPr="00787C4D">
        <w:t>Согласно новой редакции УК финансирование терроризма рассматривается как сбор или предоставление средств с осознанием того, что они предназначены для обеспечения деятельности террористических организаций, независимо от совершения конкретного акта. По категории данное преступление является тяжким.</w:t>
      </w:r>
    </w:p>
    <w:p w14:paraId="69EC7F9D" w14:textId="77777777" w:rsidR="007B0BFB" w:rsidRPr="00787C4D" w:rsidRDefault="007B0BFB" w:rsidP="007B0BFB">
      <w:pPr>
        <w:pStyle w:val="H4G"/>
      </w:pPr>
      <w:r w:rsidRPr="005358CE">
        <w:lastRenderedPageBreak/>
        <w:tab/>
      </w:r>
      <w:r w:rsidRPr="005358CE">
        <w:tab/>
        <w:t>Дополнительные нормы в области безопасности</w:t>
      </w:r>
    </w:p>
    <w:p w14:paraId="30E89A81" w14:textId="77777777" w:rsidR="007B0BFB" w:rsidRPr="00787C4D" w:rsidRDefault="007B0BFB" w:rsidP="007B0BFB">
      <w:pPr>
        <w:pStyle w:val="SingleTxtG"/>
      </w:pPr>
      <w:r>
        <w:t>15.</w:t>
      </w:r>
      <w:r>
        <w:tab/>
      </w:r>
      <w:r w:rsidRPr="00787C4D">
        <w:t>В УК также сохранены и актуализированы статьи:</w:t>
      </w:r>
    </w:p>
    <w:p w14:paraId="667C12FD" w14:textId="77777777" w:rsidR="007B0BFB" w:rsidRPr="00787C4D" w:rsidRDefault="007B0BFB" w:rsidP="007B0BFB">
      <w:pPr>
        <w:pStyle w:val="Bullet1G"/>
        <w:kinsoku w:val="0"/>
        <w:overflowPunct w:val="0"/>
        <w:autoSpaceDE w:val="0"/>
        <w:autoSpaceDN w:val="0"/>
        <w:adjustRightInd w:val="0"/>
        <w:snapToGrid w:val="0"/>
      </w:pPr>
      <w:r>
        <w:t>с</w:t>
      </w:r>
      <w:r w:rsidRPr="00787C4D">
        <w:t>татья 176 (Наемничество): ответственность за вербовку, обучение, финансирование или иное материальное обеспечение на</w:t>
      </w:r>
      <w:r>
        <w:t>е</w:t>
      </w:r>
      <w:r w:rsidRPr="00787C4D">
        <w:t>мника</w:t>
      </w:r>
      <w:r>
        <w:t>;</w:t>
      </w:r>
    </w:p>
    <w:p w14:paraId="40F162BB" w14:textId="77777777" w:rsidR="007B0BFB" w:rsidRPr="00787C4D" w:rsidRDefault="007B0BFB" w:rsidP="007B0BFB">
      <w:pPr>
        <w:pStyle w:val="Bullet1G"/>
        <w:kinsoku w:val="0"/>
        <w:overflowPunct w:val="0"/>
        <w:autoSpaceDE w:val="0"/>
        <w:autoSpaceDN w:val="0"/>
        <w:adjustRightInd w:val="0"/>
        <w:snapToGrid w:val="0"/>
      </w:pPr>
      <w:r>
        <w:t>с</w:t>
      </w:r>
      <w:r w:rsidRPr="00787C4D">
        <w:t>татья 305 (Финансирование преступных структур): ответственность за обеспечение незаконных военизированных формирований</w:t>
      </w:r>
      <w:r>
        <w:t>;</w:t>
      </w:r>
    </w:p>
    <w:p w14:paraId="07656C37" w14:textId="77777777" w:rsidR="007B0BFB" w:rsidRPr="00787C4D" w:rsidRDefault="007B0BFB" w:rsidP="007B0BFB">
      <w:pPr>
        <w:pStyle w:val="Bullet1G"/>
        <w:kinsoku w:val="0"/>
        <w:overflowPunct w:val="0"/>
        <w:autoSpaceDE w:val="0"/>
        <w:autoSpaceDN w:val="0"/>
        <w:adjustRightInd w:val="0"/>
        <w:snapToGrid w:val="0"/>
      </w:pPr>
      <w:r>
        <w:t>с</w:t>
      </w:r>
      <w:r w:rsidRPr="00787C4D">
        <w:t>татья 230 (Несообщение о преступлении или его укрывательство): уголовное наказание за укрывательство или недонесение о готовящемся акте терроризма или ФТ.</w:t>
      </w:r>
    </w:p>
    <w:p w14:paraId="58F52A02" w14:textId="77777777" w:rsidR="007B0BFB" w:rsidRPr="00787C4D" w:rsidRDefault="007B0BFB" w:rsidP="007B0BFB">
      <w:pPr>
        <w:pStyle w:val="SingleTxtG"/>
      </w:pPr>
      <w:r>
        <w:t>16.</w:t>
      </w:r>
      <w:r>
        <w:tab/>
      </w:r>
      <w:r w:rsidRPr="00787C4D">
        <w:t>Закон Туркменистана от 25</w:t>
      </w:r>
      <w:r>
        <w:t xml:space="preserve"> ноября </w:t>
      </w:r>
      <w:r w:rsidRPr="00787C4D">
        <w:t>2017 г</w:t>
      </w:r>
      <w:r>
        <w:t>ода</w:t>
      </w:r>
      <w:r w:rsidRPr="00787C4D">
        <w:t xml:space="preserve"> «О противодействии терроризму»</w:t>
      </w:r>
      <w:r>
        <w:t xml:space="preserve"> — </w:t>
      </w:r>
      <w:r w:rsidRPr="00787C4D">
        <w:t>базовый документ</w:t>
      </w:r>
      <w:r>
        <w:t>,</w:t>
      </w:r>
      <w:r w:rsidRPr="00787C4D">
        <w:t xml:space="preserve"> определяющий правовые и организационные основы противодействия терроризму. Согласно стать</w:t>
      </w:r>
      <w:r>
        <w:t>е</w:t>
      </w:r>
      <w:r w:rsidRPr="00787C4D">
        <w:t xml:space="preserve"> 3 Закона Туркменистана «О</w:t>
      </w:r>
      <w:r>
        <w:t> </w:t>
      </w:r>
      <w:r w:rsidRPr="00787C4D">
        <w:t xml:space="preserve">противодействии терроризму» </w:t>
      </w:r>
      <w:r w:rsidRPr="00787C4D">
        <w:rPr>
          <w:bCs/>
          <w:bdr w:val="none" w:sz="0" w:space="0" w:color="auto" w:frame="1"/>
          <w:shd w:val="clear" w:color="auto" w:fill="FFFFFF"/>
        </w:rPr>
        <w:t xml:space="preserve">терроризм </w:t>
      </w:r>
      <w:r>
        <w:rPr>
          <w:bCs/>
          <w:bdr w:val="none" w:sz="0" w:space="0" w:color="auto" w:frame="1"/>
          <w:shd w:val="clear" w:color="auto" w:fill="FFFFFF"/>
        </w:rPr>
        <w:t>—</w:t>
      </w:r>
      <w:r w:rsidRPr="00787C4D">
        <w:rPr>
          <w:bCs/>
          <w:bdr w:val="none" w:sz="0" w:space="0" w:color="auto" w:frame="1"/>
          <w:shd w:val="clear" w:color="auto" w:fill="FFFFFF"/>
        </w:rPr>
        <w:t xml:space="preserve"> это</w:t>
      </w:r>
      <w:r w:rsidRPr="00787C4D">
        <w:rPr>
          <w:shd w:val="clear" w:color="auto" w:fill="FFFFFF"/>
        </w:rPr>
        <w:t xml:space="preserve">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либо иными лицами; общественно опасная деятельность, которая заключается в умышленном применении насилия пут</w:t>
      </w:r>
      <w:r>
        <w:rPr>
          <w:shd w:val="clear" w:color="auto" w:fill="FFFFFF"/>
        </w:rPr>
        <w:t>е</w:t>
      </w:r>
      <w:r w:rsidRPr="00787C4D">
        <w:rPr>
          <w:shd w:val="clear" w:color="auto" w:fill="FFFFFF"/>
        </w:rPr>
        <w:t xml:space="preserve">м захвата заложников, поджогов, убийств, пыток, устрашения населения и органов власти или совершения других посягательств на жизнь или здоровье невиновных людей или угрозы совершения каких-либо действий для достижения преступных целей. </w:t>
      </w:r>
    </w:p>
    <w:p w14:paraId="50597920" w14:textId="77777777" w:rsidR="007B0BFB" w:rsidRPr="008578AA" w:rsidRDefault="007B0BFB" w:rsidP="007B0BFB">
      <w:pPr>
        <w:pStyle w:val="H1G"/>
      </w:pPr>
      <w:r w:rsidRPr="008578AA">
        <w:tab/>
      </w:r>
      <w:r w:rsidRPr="008578AA">
        <w:tab/>
        <w:t xml:space="preserve">Последующая информация в связи с пунктом </w:t>
      </w:r>
      <w:r>
        <w:t>25</w:t>
      </w:r>
      <w:r w:rsidRPr="008578AA">
        <w:t xml:space="preserve"> заключительных замечаний</w:t>
      </w:r>
    </w:p>
    <w:p w14:paraId="138897C5" w14:textId="77777777" w:rsidR="007B0BFB" w:rsidRPr="00787C4D" w:rsidRDefault="007B0BFB" w:rsidP="007B0BFB">
      <w:pPr>
        <w:pStyle w:val="SingleTxtG"/>
        <w:rPr>
          <w:rStyle w:val="cs3b0a1abe"/>
        </w:rPr>
      </w:pPr>
      <w:r>
        <w:rPr>
          <w:rStyle w:val="cs3b0a1abe"/>
        </w:rPr>
        <w:t>17</w:t>
      </w:r>
      <w:r w:rsidRPr="00787C4D">
        <w:rPr>
          <w:rStyle w:val="cs3b0a1abe"/>
        </w:rPr>
        <w:t>.</w:t>
      </w:r>
      <w:r>
        <w:rPr>
          <w:rStyle w:val="cs3b0a1abe"/>
        </w:rPr>
        <w:tab/>
      </w:r>
      <w:r w:rsidRPr="00787C4D">
        <w:rPr>
          <w:rStyle w:val="cs3b0a1abe"/>
        </w:rPr>
        <w:t xml:space="preserve">Согласно </w:t>
      </w:r>
      <w:r w:rsidRPr="00787C4D">
        <w:t xml:space="preserve">пункту </w:t>
      </w:r>
      <w:r w:rsidRPr="00787C4D">
        <w:rPr>
          <w:rStyle w:val="cs3b0a1abe"/>
        </w:rPr>
        <w:t xml:space="preserve">9.3 </w:t>
      </w:r>
      <w:r w:rsidRPr="00787C4D">
        <w:t>«Национальной стратегии по предотвращению насильственного экстремизма и противодействия терроризма»</w:t>
      </w:r>
      <w:r w:rsidRPr="00787C4D">
        <w:rPr>
          <w:rStyle w:val="cs3b0a1abe"/>
        </w:rPr>
        <w:t>, и впредь будет уделено особое внимание соблюдению прав человека в местах лишения свободы, в том числе обвиняемых в насильственном экстремизме и терроризме, и поддерживать тесное сотрудничество в этой связи с органами ООН по правам человека.</w:t>
      </w:r>
    </w:p>
    <w:p w14:paraId="7A331D8E" w14:textId="77777777" w:rsidR="007B0BFB" w:rsidRPr="00787C4D" w:rsidRDefault="007B0BFB" w:rsidP="007B0BFB">
      <w:pPr>
        <w:pStyle w:val="SingleTxtG"/>
        <w:rPr>
          <w:rStyle w:val="cs3b0a1abe"/>
        </w:rPr>
      </w:pPr>
      <w:r>
        <w:rPr>
          <w:rStyle w:val="cs3b0a1abe"/>
        </w:rPr>
        <w:t>18.</w:t>
      </w:r>
      <w:r>
        <w:rPr>
          <w:rStyle w:val="cs3b0a1abe"/>
        </w:rPr>
        <w:tab/>
      </w:r>
      <w:r w:rsidRPr="00787C4D">
        <w:rPr>
          <w:rStyle w:val="cs3b0a1abe"/>
        </w:rPr>
        <w:t>В данном направлении разрабатываются инструменты, обеспечивающие эффективное исполнение судебных гарантий (ст.</w:t>
      </w:r>
      <w:r>
        <w:rPr>
          <w:rStyle w:val="cs3b0a1abe"/>
        </w:rPr>
        <w:t> </w:t>
      </w:r>
      <w:r w:rsidRPr="00787C4D">
        <w:rPr>
          <w:rStyle w:val="cs3b0a1abe"/>
        </w:rPr>
        <w:t>13, 141, 182 Уголовно-процессуального кодекса Туркменистана).</w:t>
      </w:r>
    </w:p>
    <w:p w14:paraId="1601CB3F" w14:textId="77777777" w:rsidR="007B0BFB" w:rsidRPr="00787C4D" w:rsidRDefault="007B0BFB" w:rsidP="007B0BFB">
      <w:pPr>
        <w:pStyle w:val="SingleTxtG"/>
        <w:rPr>
          <w:rStyle w:val="cs3b0a1abe"/>
        </w:rPr>
      </w:pPr>
      <w:r>
        <w:rPr>
          <w:rStyle w:val="cs3b0a1abe"/>
        </w:rPr>
        <w:t>19.</w:t>
      </w:r>
      <w:r>
        <w:rPr>
          <w:rStyle w:val="cs3b0a1abe"/>
        </w:rPr>
        <w:tab/>
      </w:r>
      <w:r w:rsidRPr="00787C4D">
        <w:rPr>
          <w:rStyle w:val="cs3b0a1abe"/>
        </w:rPr>
        <w:t xml:space="preserve">Продолжаются обсуждения с органами ООН, обеспечивающими правовую защиту, относительно дальнейшего применения правил и гарантий, связанных с терроризмом. </w:t>
      </w:r>
    </w:p>
    <w:p w14:paraId="5DDEF0B3" w14:textId="77777777" w:rsidR="007B0BFB" w:rsidRPr="00787C4D" w:rsidRDefault="007B0BFB" w:rsidP="007B0BFB">
      <w:pPr>
        <w:pStyle w:val="SingleTxtG"/>
        <w:rPr>
          <w:rStyle w:val="cs3b0a1abe"/>
        </w:rPr>
      </w:pPr>
      <w:r>
        <w:rPr>
          <w:rStyle w:val="cs3b0a1abe"/>
        </w:rPr>
        <w:t>20.</w:t>
      </w:r>
      <w:r>
        <w:rPr>
          <w:rStyle w:val="cs3b0a1abe"/>
        </w:rPr>
        <w:tab/>
      </w:r>
      <w:r w:rsidRPr="00787C4D">
        <w:rPr>
          <w:rStyle w:val="cs3b0a1abe"/>
        </w:rPr>
        <w:t xml:space="preserve">Туркменистан продолжает активное привлечение сотрудников соответствующих судебных органов, прокуратуры и органов охраны правопорядка к профессиональной подготовке и обмену передового опыта по вопросам проведения расследований по делам, связанным с экстремизмом и терроризмом, уголовным преследованием и принятия судебных решений, с полным соблюдением норм международного права в области прав человека. </w:t>
      </w:r>
    </w:p>
    <w:p w14:paraId="3B7A0CCF" w14:textId="0FDE6C02" w:rsidR="00381C24" w:rsidRPr="007B0BFB" w:rsidRDefault="007B0BFB" w:rsidP="007B0BFB">
      <w:pPr>
        <w:spacing w:before="240"/>
        <w:jc w:val="center"/>
        <w:rPr>
          <w:u w:val="single"/>
          <w:lang w:val="en-US"/>
        </w:rPr>
      </w:pPr>
      <w:r w:rsidRPr="00787C4D">
        <w:rPr>
          <w:rStyle w:val="cs3b0a1abe"/>
          <w:u w:val="single"/>
        </w:rPr>
        <w:tab/>
      </w:r>
      <w:r w:rsidRPr="00787C4D">
        <w:rPr>
          <w:rStyle w:val="cs3b0a1abe"/>
          <w:u w:val="single"/>
        </w:rPr>
        <w:tab/>
      </w:r>
      <w:r w:rsidRPr="00787C4D">
        <w:rPr>
          <w:rStyle w:val="cs3b0a1abe"/>
          <w:u w:val="single"/>
        </w:rPr>
        <w:tab/>
      </w:r>
    </w:p>
    <w:sectPr w:rsidR="00381C24" w:rsidRPr="007B0BFB" w:rsidSect="007B0BFB">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DD83A" w14:textId="77777777" w:rsidR="00315AAE" w:rsidRPr="00A312BC" w:rsidRDefault="00315AAE" w:rsidP="00A312BC"/>
  </w:endnote>
  <w:endnote w:type="continuationSeparator" w:id="0">
    <w:p w14:paraId="4903550A" w14:textId="77777777" w:rsidR="00315AAE" w:rsidRPr="00A312BC" w:rsidRDefault="00315AA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4EEC0" w14:textId="232805F6" w:rsidR="007B0BFB" w:rsidRPr="007B0BFB" w:rsidRDefault="007B0BFB">
    <w:pPr>
      <w:pStyle w:val="a8"/>
    </w:pPr>
    <w:r w:rsidRPr="007B0BFB">
      <w:rPr>
        <w:b/>
        <w:sz w:val="18"/>
      </w:rPr>
      <w:fldChar w:fldCharType="begin"/>
    </w:r>
    <w:r w:rsidRPr="007B0BFB">
      <w:rPr>
        <w:b/>
        <w:sz w:val="18"/>
      </w:rPr>
      <w:instrText xml:space="preserve"> PAGE  \* MERGEFORMAT </w:instrText>
    </w:r>
    <w:r w:rsidRPr="007B0BFB">
      <w:rPr>
        <w:b/>
        <w:sz w:val="18"/>
      </w:rPr>
      <w:fldChar w:fldCharType="separate"/>
    </w:r>
    <w:r w:rsidRPr="007B0BFB">
      <w:rPr>
        <w:b/>
        <w:noProof/>
        <w:sz w:val="18"/>
      </w:rPr>
      <w:t>2</w:t>
    </w:r>
    <w:r w:rsidRPr="007B0BFB">
      <w:rPr>
        <w:b/>
        <w:sz w:val="18"/>
      </w:rPr>
      <w:fldChar w:fldCharType="end"/>
    </w:r>
    <w:r>
      <w:rPr>
        <w:b/>
        <w:sz w:val="18"/>
      </w:rPr>
      <w:tab/>
    </w:r>
    <w:r>
      <w:t>GE.26-09368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3AC88" w14:textId="272A094B" w:rsidR="007B0BFB" w:rsidRPr="007B0BFB" w:rsidRDefault="007B0BFB" w:rsidP="007B0BFB">
    <w:pPr>
      <w:pStyle w:val="a8"/>
      <w:tabs>
        <w:tab w:val="clear" w:pos="9639"/>
        <w:tab w:val="right" w:pos="9638"/>
      </w:tabs>
      <w:rPr>
        <w:b/>
        <w:sz w:val="18"/>
      </w:rPr>
    </w:pPr>
    <w:r>
      <w:t>GE.26-09368</w:t>
    </w:r>
    <w:r>
      <w:tab/>
    </w:r>
    <w:r w:rsidRPr="007B0BFB">
      <w:rPr>
        <w:b/>
        <w:sz w:val="18"/>
      </w:rPr>
      <w:fldChar w:fldCharType="begin"/>
    </w:r>
    <w:r w:rsidRPr="007B0BFB">
      <w:rPr>
        <w:b/>
        <w:sz w:val="18"/>
      </w:rPr>
      <w:instrText xml:space="preserve"> PAGE  \* MERGEFORMAT </w:instrText>
    </w:r>
    <w:r w:rsidRPr="007B0BFB">
      <w:rPr>
        <w:b/>
        <w:sz w:val="18"/>
      </w:rPr>
      <w:fldChar w:fldCharType="separate"/>
    </w:r>
    <w:r w:rsidRPr="007B0BFB">
      <w:rPr>
        <w:b/>
        <w:noProof/>
        <w:sz w:val="18"/>
      </w:rPr>
      <w:t>3</w:t>
    </w:r>
    <w:r w:rsidRPr="007B0B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3A433" w14:textId="3E318019" w:rsidR="00042B72" w:rsidRPr="007B0BFB" w:rsidRDefault="007B0BFB" w:rsidP="007B0BFB">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D6F9E73" wp14:editId="13286C0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26-09368  (R)</w:t>
    </w:r>
    <w:r>
      <w:rPr>
        <w:noProof/>
      </w:rPr>
      <w:drawing>
        <wp:anchor distT="0" distB="0" distL="114300" distR="114300" simplePos="0" relativeHeight="251659264" behindDoc="0" locked="0" layoutInCell="1" allowOverlap="1" wp14:anchorId="19B87282" wp14:editId="1880A280">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290626  300626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41845" w14:textId="77777777" w:rsidR="00315AAE" w:rsidRPr="001075E9" w:rsidRDefault="00315AAE" w:rsidP="001075E9">
      <w:pPr>
        <w:tabs>
          <w:tab w:val="right" w:pos="2155"/>
        </w:tabs>
        <w:spacing w:after="80" w:line="240" w:lineRule="auto"/>
        <w:ind w:left="680"/>
        <w:rPr>
          <w:u w:val="single"/>
        </w:rPr>
      </w:pPr>
      <w:r>
        <w:rPr>
          <w:u w:val="single"/>
        </w:rPr>
        <w:tab/>
      </w:r>
    </w:p>
  </w:footnote>
  <w:footnote w:type="continuationSeparator" w:id="0">
    <w:p w14:paraId="0FFB3B21" w14:textId="77777777" w:rsidR="00315AAE" w:rsidRDefault="00315AAE" w:rsidP="00407B78">
      <w:pPr>
        <w:tabs>
          <w:tab w:val="right" w:pos="2155"/>
        </w:tabs>
        <w:spacing w:after="80"/>
        <w:ind w:left="680"/>
        <w:rPr>
          <w:u w:val="single"/>
        </w:rPr>
      </w:pPr>
      <w:r>
        <w:rPr>
          <w:u w:val="single"/>
        </w:rPr>
        <w:tab/>
      </w:r>
    </w:p>
  </w:footnote>
  <w:footnote w:id="1">
    <w:p w14:paraId="6961F62F" w14:textId="77777777" w:rsidR="007B0BFB" w:rsidRPr="00E867AC" w:rsidRDefault="007B0BFB" w:rsidP="007B0BFB">
      <w:pPr>
        <w:pStyle w:val="ad"/>
      </w:pPr>
      <w:r w:rsidRPr="00787C4D">
        <w:tab/>
      </w:r>
      <w:r w:rsidRPr="00E867AC">
        <w:rPr>
          <w:rStyle w:val="aa"/>
          <w:sz w:val="20"/>
          <w:vertAlign w:val="baseline"/>
        </w:rPr>
        <w:t>*</w:t>
      </w:r>
      <w:r w:rsidRPr="00E867AC">
        <w:rPr>
          <w:sz w:val="20"/>
        </w:rPr>
        <w:tab/>
      </w:r>
      <w:r w:rsidRPr="00A45965">
        <w:t>Настоящий документ выпускается без официального редактирования</w:t>
      </w:r>
      <w:r w:rsidRPr="00E867A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F014F" w14:textId="752D5EFD" w:rsidR="007B0BFB" w:rsidRPr="007B0BFB" w:rsidRDefault="007B0BFB">
    <w:pPr>
      <w:pStyle w:val="a5"/>
    </w:pPr>
    <w:fldSimple w:instr=" TITLE  \* MERGEFORMAT ">
      <w:r>
        <w:t>CCPR/C/TKM/FCO/3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B3783" w14:textId="48C4AD58" w:rsidR="007B0BFB" w:rsidRPr="007B0BFB" w:rsidRDefault="007B0BFB" w:rsidP="007B0BFB">
    <w:pPr>
      <w:pStyle w:val="a5"/>
      <w:jc w:val="right"/>
    </w:pPr>
    <w:fldSimple w:instr=" TITLE  \* MERGEFORMAT ">
      <w:r>
        <w:t>CCPR/C/TKM/FCO/3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BF9"/>
    <w:rsid w:val="00033EE1"/>
    <w:rsid w:val="000358F2"/>
    <w:rsid w:val="00042B72"/>
    <w:rsid w:val="000558BD"/>
    <w:rsid w:val="000B57E7"/>
    <w:rsid w:val="000B6373"/>
    <w:rsid w:val="000F09DF"/>
    <w:rsid w:val="000F61B2"/>
    <w:rsid w:val="001075E9"/>
    <w:rsid w:val="00180183"/>
    <w:rsid w:val="0018024D"/>
    <w:rsid w:val="0018649F"/>
    <w:rsid w:val="00196389"/>
    <w:rsid w:val="001B3EF6"/>
    <w:rsid w:val="001C7A89"/>
    <w:rsid w:val="00254812"/>
    <w:rsid w:val="002A2EFC"/>
    <w:rsid w:val="002C0E18"/>
    <w:rsid w:val="002D5AAC"/>
    <w:rsid w:val="002E00F0"/>
    <w:rsid w:val="002E5067"/>
    <w:rsid w:val="002F405F"/>
    <w:rsid w:val="002F7EEC"/>
    <w:rsid w:val="00301299"/>
    <w:rsid w:val="00305C08"/>
    <w:rsid w:val="00307FB6"/>
    <w:rsid w:val="00315AAE"/>
    <w:rsid w:val="00317339"/>
    <w:rsid w:val="00322004"/>
    <w:rsid w:val="0032326A"/>
    <w:rsid w:val="003402C2"/>
    <w:rsid w:val="00375F01"/>
    <w:rsid w:val="00381C24"/>
    <w:rsid w:val="003958D0"/>
    <w:rsid w:val="003B00E5"/>
    <w:rsid w:val="00407B78"/>
    <w:rsid w:val="00424203"/>
    <w:rsid w:val="00452493"/>
    <w:rsid w:val="00454E07"/>
    <w:rsid w:val="00472C5C"/>
    <w:rsid w:val="004969B2"/>
    <w:rsid w:val="0050108D"/>
    <w:rsid w:val="00513081"/>
    <w:rsid w:val="00517901"/>
    <w:rsid w:val="00526683"/>
    <w:rsid w:val="005513F3"/>
    <w:rsid w:val="005709E0"/>
    <w:rsid w:val="00572E19"/>
    <w:rsid w:val="005961C8"/>
    <w:rsid w:val="005D7914"/>
    <w:rsid w:val="005E2B41"/>
    <w:rsid w:val="005F0B42"/>
    <w:rsid w:val="006103C5"/>
    <w:rsid w:val="00666B97"/>
    <w:rsid w:val="00681A10"/>
    <w:rsid w:val="006A1ED8"/>
    <w:rsid w:val="006B3942"/>
    <w:rsid w:val="006C2031"/>
    <w:rsid w:val="006D461A"/>
    <w:rsid w:val="006F35EE"/>
    <w:rsid w:val="007021FF"/>
    <w:rsid w:val="007117DB"/>
    <w:rsid w:val="00712895"/>
    <w:rsid w:val="0075523D"/>
    <w:rsid w:val="00757357"/>
    <w:rsid w:val="00787D3A"/>
    <w:rsid w:val="00791B9D"/>
    <w:rsid w:val="007B0BFB"/>
    <w:rsid w:val="00825F8D"/>
    <w:rsid w:val="00834B71"/>
    <w:rsid w:val="0086445C"/>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84021"/>
    <w:rsid w:val="00A84D35"/>
    <w:rsid w:val="00A917B3"/>
    <w:rsid w:val="00AB4B51"/>
    <w:rsid w:val="00AD6F87"/>
    <w:rsid w:val="00B10CC7"/>
    <w:rsid w:val="00B136DB"/>
    <w:rsid w:val="00B539E7"/>
    <w:rsid w:val="00B62458"/>
    <w:rsid w:val="00BC18B2"/>
    <w:rsid w:val="00BC3629"/>
    <w:rsid w:val="00BD33EE"/>
    <w:rsid w:val="00BF1A04"/>
    <w:rsid w:val="00C0177C"/>
    <w:rsid w:val="00C106D6"/>
    <w:rsid w:val="00C12BF9"/>
    <w:rsid w:val="00C46D5A"/>
    <w:rsid w:val="00C60F0C"/>
    <w:rsid w:val="00C805C9"/>
    <w:rsid w:val="00C92939"/>
    <w:rsid w:val="00CA1679"/>
    <w:rsid w:val="00CB151C"/>
    <w:rsid w:val="00CE5A1A"/>
    <w:rsid w:val="00CF55F6"/>
    <w:rsid w:val="00D33D63"/>
    <w:rsid w:val="00D90028"/>
    <w:rsid w:val="00D90138"/>
    <w:rsid w:val="00D9090B"/>
    <w:rsid w:val="00DD1D1E"/>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6153"/>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BF7F53"/>
  <w15:docId w15:val="{1BB44C8B-4A87-4672-BC24-4787D75E7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SingleTxtGChar">
    <w:name w:val="_ Single Txt_G Char"/>
    <w:link w:val="SingleTxtG"/>
    <w:locked/>
    <w:rsid w:val="007B0BFB"/>
    <w:rPr>
      <w:lang w:val="ru-RU" w:eastAsia="en-US"/>
    </w:rPr>
  </w:style>
  <w:style w:type="character" w:customStyle="1" w:styleId="cs3b0a1abe">
    <w:name w:val="cs3b0a1abe"/>
    <w:basedOn w:val="a0"/>
    <w:rsid w:val="007B0B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4</Pages>
  <Words>1169</Words>
  <Characters>8887</Characters>
  <Application>Microsoft Office Word</Application>
  <DocSecurity>0</DocSecurity>
  <Lines>987</Lines>
  <Paragraphs>257</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CCPR/C/TKM/FCO/3</dc:title>
  <dc:subject/>
  <dc:creator>Anna PETELINA</dc:creator>
  <cp:keywords/>
  <cp:lastModifiedBy>Anna Taillandier</cp:lastModifiedBy>
  <cp:revision>2</cp:revision>
  <cp:lastPrinted>2008-01-15T07:58:00Z</cp:lastPrinted>
  <dcterms:created xsi:type="dcterms:W3CDTF">2026-06-30T06:17:00Z</dcterms:created>
  <dcterms:modified xsi:type="dcterms:W3CDTF">2026-06-30T06:17:00Z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