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1D9D1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D9FC8AF" w14:textId="77777777" w:rsidR="002D5AAC" w:rsidRDefault="002D5AAC" w:rsidP="00475FE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5E2C0C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70B99F2" w14:textId="1C863C37" w:rsidR="002D5AAC" w:rsidRDefault="00475FEB" w:rsidP="00475FEB">
            <w:pPr>
              <w:jc w:val="right"/>
            </w:pPr>
            <w:r w:rsidRPr="00475FEB">
              <w:rPr>
                <w:sz w:val="40"/>
              </w:rPr>
              <w:t>CCPR</w:t>
            </w:r>
            <w:r>
              <w:t>/C/MNE/CO/2</w:t>
            </w:r>
          </w:p>
        </w:tc>
      </w:tr>
      <w:tr w:rsidR="002D5AAC" w:rsidRPr="00E127A8" w14:paraId="538BDAA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20AD2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3F5CE3" wp14:editId="26DB5DB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9FD902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7BACBF" w14:textId="77777777" w:rsidR="002D5AAC" w:rsidRPr="00475FEB" w:rsidRDefault="00475FEB" w:rsidP="00BC3629">
            <w:pPr>
              <w:spacing w:before="240"/>
              <w:rPr>
                <w:lang w:val="en-US"/>
              </w:rPr>
            </w:pPr>
            <w:r w:rsidRPr="00475FEB">
              <w:rPr>
                <w:lang w:val="en-US"/>
              </w:rPr>
              <w:t>Distr.: General</w:t>
            </w:r>
          </w:p>
          <w:p w14:paraId="3C5010F3" w14:textId="77777777" w:rsidR="00475FEB" w:rsidRPr="00475FEB" w:rsidRDefault="00475FEB" w:rsidP="00475FEB">
            <w:pPr>
              <w:spacing w:line="240" w:lineRule="exact"/>
              <w:rPr>
                <w:lang w:val="en-US"/>
              </w:rPr>
            </w:pPr>
            <w:r w:rsidRPr="00475FEB">
              <w:rPr>
                <w:lang w:val="en-US"/>
              </w:rPr>
              <w:t>7 May 2025</w:t>
            </w:r>
          </w:p>
          <w:p w14:paraId="18915F09" w14:textId="77777777" w:rsidR="00475FEB" w:rsidRPr="00475FEB" w:rsidRDefault="00475FEB" w:rsidP="00475FEB">
            <w:pPr>
              <w:spacing w:line="240" w:lineRule="exact"/>
              <w:rPr>
                <w:lang w:val="en-US"/>
              </w:rPr>
            </w:pPr>
            <w:r w:rsidRPr="00475FEB">
              <w:rPr>
                <w:lang w:val="en-US"/>
              </w:rPr>
              <w:t>Russian</w:t>
            </w:r>
          </w:p>
          <w:p w14:paraId="2154F6C6" w14:textId="07A23267" w:rsidR="00475FEB" w:rsidRPr="00475FEB" w:rsidRDefault="00475FEB" w:rsidP="00475FEB">
            <w:pPr>
              <w:spacing w:line="240" w:lineRule="exact"/>
              <w:rPr>
                <w:lang w:val="en-US"/>
              </w:rPr>
            </w:pPr>
            <w:r w:rsidRPr="00475FEB">
              <w:rPr>
                <w:lang w:val="en-US"/>
              </w:rPr>
              <w:t>Original: English</w:t>
            </w:r>
          </w:p>
        </w:tc>
      </w:tr>
    </w:tbl>
    <w:p w14:paraId="6D821AE1" w14:textId="77777777" w:rsidR="00475FEB" w:rsidRPr="00C61959" w:rsidRDefault="00475FEB" w:rsidP="00475FEB">
      <w:pPr>
        <w:spacing w:before="120"/>
        <w:rPr>
          <w:b/>
          <w:bCs/>
          <w:color w:val="000000" w:themeColor="text1"/>
          <w:sz w:val="24"/>
          <w:szCs w:val="24"/>
        </w:rPr>
      </w:pPr>
      <w:r w:rsidRPr="00C61959">
        <w:rPr>
          <w:b/>
          <w:bCs/>
          <w:color w:val="000000" w:themeColor="text1"/>
          <w:sz w:val="24"/>
          <w:szCs w:val="24"/>
        </w:rPr>
        <w:t>Комитет по правам человека</w:t>
      </w:r>
    </w:p>
    <w:p w14:paraId="334E10FE" w14:textId="77777777" w:rsidR="00475FEB" w:rsidRPr="00EF510D" w:rsidRDefault="00475FEB" w:rsidP="00475FE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Черногории</w:t>
      </w:r>
      <w:r w:rsidRPr="00EA15F7">
        <w:rPr>
          <w:b w:val="0"/>
          <w:bCs/>
          <w:sz w:val="20"/>
          <w:szCs w:val="14"/>
        </w:rPr>
        <w:footnoteReference w:customMarkFollows="1" w:id="1"/>
        <w:t>*</w:t>
      </w:r>
    </w:p>
    <w:p w14:paraId="54EE9F70" w14:textId="56865307" w:rsidR="00475FEB" w:rsidRPr="00EF510D" w:rsidRDefault="00475FEB" w:rsidP="00475FEB">
      <w:pPr>
        <w:pStyle w:val="SingleTxtG"/>
      </w:pPr>
      <w:r>
        <w:t>1.</w:t>
      </w:r>
      <w:r>
        <w:tab/>
        <w:t>Комитет рассмотрел второй периодический доклад Черногории</w:t>
      </w:r>
      <w:r w:rsidRPr="00EA15F7">
        <w:rPr>
          <w:rStyle w:val="aa"/>
        </w:rPr>
        <w:footnoteReference w:id="2"/>
      </w:r>
      <w:r>
        <w:t xml:space="preserve"> на своих </w:t>
      </w:r>
      <w:r w:rsidR="00706226" w:rsidRPr="00B7393D">
        <w:br/>
      </w:r>
      <w:r>
        <w:t>4187-м и 4188-м заседаниях</w:t>
      </w:r>
      <w:r w:rsidRPr="00EA15F7">
        <w:rPr>
          <w:rStyle w:val="aa"/>
        </w:rPr>
        <w:footnoteReference w:id="3"/>
      </w:r>
      <w:r>
        <w:t xml:space="preserve">, состоявшихся 4 и 5 марта 2025 года. На своем </w:t>
      </w:r>
      <w:r w:rsidR="00706226" w:rsidRPr="00B7393D">
        <w:br/>
      </w:r>
      <w:r>
        <w:t>4211-м заседании, состоявшемся 20 марта 2025 года, он принял настоящие заключительные замечания.</w:t>
      </w:r>
    </w:p>
    <w:p w14:paraId="61676A3F" w14:textId="77777777" w:rsidR="00475FEB" w:rsidRPr="00EF510D" w:rsidRDefault="00475FEB" w:rsidP="00475FE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763D591" w14:textId="77777777" w:rsidR="00475FEB" w:rsidRPr="00EF510D" w:rsidRDefault="00475FEB" w:rsidP="00475FEB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второго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EA15F7">
        <w:rPr>
          <w:rStyle w:val="aa"/>
        </w:rPr>
        <w:footnoteReference w:id="4"/>
      </w:r>
      <w:r>
        <w:t>. Он выражает признательность за возможность возобновления конструктивного диалога с делегацией высокого уровня государства-участника по вопросу о мерах, принятых в отчетный период с целью осуществления положений Пакта. Комитет благодарит государство-участник за устные ответы членов делегации, а также за дополнительную информацию, представленную ему в письменном виде.</w:t>
      </w:r>
    </w:p>
    <w:p w14:paraId="2C04FDFC" w14:textId="77777777" w:rsidR="00475FEB" w:rsidRPr="00EF510D" w:rsidRDefault="00475FEB" w:rsidP="00475FE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56906C03" w14:textId="77777777" w:rsidR="00475FEB" w:rsidRPr="00EF510D" w:rsidRDefault="00475FEB" w:rsidP="00475FEB">
      <w:pPr>
        <w:pStyle w:val="SingleTxtG"/>
      </w:pPr>
      <w:r>
        <w:t>3.</w:t>
      </w:r>
      <w:r>
        <w:tab/>
        <w:t>Комитет приветствует следующие законодательные, политические и институциональные меры, принятые государством-участником:</w:t>
      </w:r>
    </w:p>
    <w:p w14:paraId="7D8C8328" w14:textId="77777777" w:rsidR="00475FEB" w:rsidRPr="00EF510D" w:rsidRDefault="00475FEB" w:rsidP="00475FEB">
      <w:pPr>
        <w:pStyle w:val="SingleTxtG"/>
      </w:pPr>
      <w:r>
        <w:tab/>
        <w:t>a)</w:t>
      </w:r>
      <w:r>
        <w:tab/>
        <w:t>принятие в 2024 году Закона об аудиовизуальных информационных службах и Закона о СМИ, а также поправок к Закону о национальной общественной вещательной компании («Радио и телевидение Черногории»), содействующих укреплению плюрализма и свободы СМИ;</w:t>
      </w:r>
    </w:p>
    <w:p w14:paraId="12908E18" w14:textId="77777777" w:rsidR="00475FEB" w:rsidRPr="00EF510D" w:rsidRDefault="00475FEB" w:rsidP="00475FEB">
      <w:pPr>
        <w:pStyle w:val="SingleTxtG"/>
      </w:pPr>
      <w:r>
        <w:tab/>
        <w:t>b)</w:t>
      </w:r>
      <w:r>
        <w:tab/>
        <w:t>принятие в 2024 году Закона о лоббировании, предусматривающего введение обязательного реестра лоббистов;</w:t>
      </w:r>
    </w:p>
    <w:p w14:paraId="4EA7EC3C" w14:textId="77777777" w:rsidR="00475FEB" w:rsidRPr="00EF510D" w:rsidRDefault="00475FEB" w:rsidP="00475FEB">
      <w:pPr>
        <w:pStyle w:val="SingleTxtG"/>
      </w:pPr>
      <w:r>
        <w:tab/>
        <w:t>c)</w:t>
      </w:r>
      <w:r>
        <w:tab/>
        <w:t>внесение в 2024 году поправок в Закон о предупреждении коррупции, направленных на укрепление превентивных механизмов по борьбе с коррупцией и повышение эффективности работы Агентства по предупреждению коррупции;</w:t>
      </w:r>
    </w:p>
    <w:p w14:paraId="1B1E9882" w14:textId="77777777" w:rsidR="00475FEB" w:rsidRPr="00EF510D" w:rsidRDefault="00475FEB" w:rsidP="00475FEB">
      <w:pPr>
        <w:pStyle w:val="SingleTxtG"/>
      </w:pPr>
      <w:r>
        <w:tab/>
        <w:t>d)</w:t>
      </w:r>
      <w:r>
        <w:tab/>
        <w:t xml:space="preserve">внесение поправок в Закон о Судебном совете и судьях и Закон о прокуратуре, направленных, в частности, на повышение независимости и подотчетности судей и прокуроров; </w:t>
      </w:r>
    </w:p>
    <w:p w14:paraId="7FCD7D7A" w14:textId="77777777" w:rsidR="00475FEB" w:rsidRPr="00EF510D" w:rsidRDefault="00475FEB" w:rsidP="00475FEB">
      <w:pPr>
        <w:pStyle w:val="SingleTxtG"/>
      </w:pPr>
      <w:r>
        <w:lastRenderedPageBreak/>
        <w:tab/>
        <w:t>e)</w:t>
      </w:r>
      <w:r>
        <w:tab/>
        <w:t>внесение в 2024 году поправок в Закон о юридической помощи, гарантирующих право на юридическую помощь жертвам пыток, жертвам сексуальных преступлений, а также детям, инициирующим судебные разбирательства для защиты своих прав;</w:t>
      </w:r>
    </w:p>
    <w:p w14:paraId="0953B1C0" w14:textId="77777777" w:rsidR="00475FEB" w:rsidRPr="00EF510D" w:rsidRDefault="00475FEB" w:rsidP="00475FEB">
      <w:pPr>
        <w:pStyle w:val="SingleTxtG"/>
      </w:pPr>
      <w:r>
        <w:tab/>
        <w:t>f)</w:t>
      </w:r>
      <w:r>
        <w:tab/>
        <w:t>внесение в 2023 году поправок в Уголовный кодекс, обеспечивающих неприменимость срока давности к преступлению пытки;</w:t>
      </w:r>
    </w:p>
    <w:p w14:paraId="6AD6D31C" w14:textId="77777777" w:rsidR="00475FEB" w:rsidRPr="00EF510D" w:rsidRDefault="00475FEB" w:rsidP="00475FEB">
      <w:pPr>
        <w:pStyle w:val="SingleTxtG"/>
      </w:pPr>
      <w:r>
        <w:tab/>
        <w:t>g)</w:t>
      </w:r>
      <w:r>
        <w:tab/>
        <w:t xml:space="preserve">внесение в 2018 году поправок в Закон об иностранцах, предусматривающих введение процедуры определения безгражданства; </w:t>
      </w:r>
    </w:p>
    <w:p w14:paraId="4E6DDA7F" w14:textId="77777777" w:rsidR="00475FEB" w:rsidRPr="00EF510D" w:rsidRDefault="00475FEB" w:rsidP="00475FEB">
      <w:pPr>
        <w:pStyle w:val="SingleTxtG"/>
      </w:pPr>
      <w:r>
        <w:tab/>
        <w:t>h)</w:t>
      </w:r>
      <w:r>
        <w:tab/>
        <w:t xml:space="preserve">принятие Стратегии борьбы с коррупцией на 2024–2028 годы; </w:t>
      </w:r>
    </w:p>
    <w:p w14:paraId="676427C1" w14:textId="77777777" w:rsidR="00475FEB" w:rsidRPr="00EF510D" w:rsidRDefault="00475FEB" w:rsidP="00475FEB">
      <w:pPr>
        <w:pStyle w:val="SingleTxtG"/>
      </w:pPr>
      <w:r>
        <w:tab/>
        <w:t>i)</w:t>
      </w:r>
      <w:r>
        <w:tab/>
        <w:t>принятие Стратегии расследования военных преступлений на 2024–2027 годы;</w:t>
      </w:r>
    </w:p>
    <w:p w14:paraId="08560D5B" w14:textId="77777777" w:rsidR="00475FEB" w:rsidRPr="00EF510D" w:rsidRDefault="00475FEB" w:rsidP="00475FEB">
      <w:pPr>
        <w:pStyle w:val="SingleTxtG"/>
      </w:pPr>
      <w:r>
        <w:tab/>
        <w:t>j)</w:t>
      </w:r>
      <w:r>
        <w:tab/>
        <w:t>принятие Стратегии защиты прав инвалидов от дискриминации и поощрения равенства на 2022–2027 годы;</w:t>
      </w:r>
    </w:p>
    <w:p w14:paraId="684B014C" w14:textId="77777777" w:rsidR="00475FEB" w:rsidRPr="00EF510D" w:rsidRDefault="00475FEB" w:rsidP="00475FEB">
      <w:pPr>
        <w:pStyle w:val="SingleTxtG"/>
      </w:pPr>
      <w:r>
        <w:tab/>
        <w:t>k)</w:t>
      </w:r>
      <w:r>
        <w:tab/>
        <w:t>принятие Стратегии улучшения качества жизни представителей сообщества ЛГБТИ на 2024–2028 годы;</w:t>
      </w:r>
    </w:p>
    <w:p w14:paraId="207DA504" w14:textId="77777777" w:rsidR="00475FEB" w:rsidRPr="00EF510D" w:rsidRDefault="00475FEB" w:rsidP="00475FEB">
      <w:pPr>
        <w:pStyle w:val="SingleTxtG"/>
      </w:pPr>
      <w:r>
        <w:tab/>
        <w:t>l)</w:t>
      </w:r>
      <w:r>
        <w:tab/>
        <w:t>принятие Стратегии социальной интеграции рома и египтян на 2021–2025 годы;</w:t>
      </w:r>
    </w:p>
    <w:p w14:paraId="0F304D38" w14:textId="77777777" w:rsidR="00475FEB" w:rsidRPr="00EF510D" w:rsidRDefault="00475FEB" w:rsidP="00475FEB">
      <w:pPr>
        <w:pStyle w:val="SingleTxtG"/>
      </w:pPr>
      <w:r>
        <w:tab/>
        <w:t>m)</w:t>
      </w:r>
      <w:r>
        <w:tab/>
        <w:t>принятие Национальной стратегии обеспечения гендерного равенства на 2021–2025 годы;</w:t>
      </w:r>
    </w:p>
    <w:p w14:paraId="4B0F0AC0" w14:textId="77777777" w:rsidR="00475FEB" w:rsidRPr="00EF510D" w:rsidRDefault="00475FEB" w:rsidP="00475FEB">
      <w:pPr>
        <w:pStyle w:val="SingleTxtG"/>
      </w:pPr>
      <w:r>
        <w:tab/>
        <w:t>n)</w:t>
      </w:r>
      <w:r>
        <w:tab/>
        <w:t>принятие Стратегии борьбы с торговлей людьми на 2019–2024 годы;</w:t>
      </w:r>
    </w:p>
    <w:p w14:paraId="1B1C4470" w14:textId="77777777" w:rsidR="00475FEB" w:rsidRPr="00524D50" w:rsidRDefault="00475FEB" w:rsidP="00475FEB">
      <w:pPr>
        <w:pStyle w:val="SingleTxtG"/>
      </w:pPr>
      <w:r>
        <w:tab/>
        <w:t>o)</w:t>
      </w:r>
      <w:r>
        <w:tab/>
        <w:t>принятие Стратегии в области миграции и реинтеграции возвращающихся в Черногорию лиц на 2021–2025 годы;</w:t>
      </w:r>
    </w:p>
    <w:p w14:paraId="267A4A9D" w14:textId="77777777" w:rsidR="00475FEB" w:rsidRPr="00EF510D" w:rsidRDefault="00475FEB" w:rsidP="00475FEB">
      <w:pPr>
        <w:pStyle w:val="SingleTxtG"/>
      </w:pPr>
      <w:r>
        <w:tab/>
        <w:t>p)</w:t>
      </w:r>
      <w:r>
        <w:tab/>
        <w:t>принятие Стратегии исполнения уголовных наказаний на 2023–2026</w:t>
      </w:r>
      <w:r>
        <w:rPr>
          <w:lang w:val="fr-CH"/>
        </w:rPr>
        <w:t> </w:t>
      </w:r>
      <w:r>
        <w:t>годы;</w:t>
      </w:r>
    </w:p>
    <w:p w14:paraId="3C8D3F47" w14:textId="77777777" w:rsidR="00475FEB" w:rsidRPr="00EF510D" w:rsidRDefault="00475FEB" w:rsidP="00475FEB">
      <w:pPr>
        <w:pStyle w:val="SingleTxtG"/>
      </w:pPr>
      <w:r>
        <w:tab/>
        <w:t>q)</w:t>
      </w:r>
      <w:r>
        <w:tab/>
        <w:t>принятие Стратегии судебной реформы на 2024–2027 годы;</w:t>
      </w:r>
    </w:p>
    <w:p w14:paraId="11C16342" w14:textId="77777777" w:rsidR="00475FEB" w:rsidRPr="00EF510D" w:rsidRDefault="00475FEB" w:rsidP="00475FEB">
      <w:pPr>
        <w:pStyle w:val="SingleTxtG"/>
      </w:pPr>
      <w:r>
        <w:tab/>
        <w:t>r)</w:t>
      </w:r>
      <w:r>
        <w:tab/>
        <w:t>принятие Стратегии осуществления прав ребенка на 2019–2023 годы;</w:t>
      </w:r>
    </w:p>
    <w:p w14:paraId="430993FF" w14:textId="77777777" w:rsidR="00475FEB" w:rsidRPr="00EF510D" w:rsidRDefault="00475FEB" w:rsidP="00475FEB">
      <w:pPr>
        <w:pStyle w:val="SingleTxtG"/>
      </w:pPr>
      <w:r>
        <w:tab/>
        <w:t>s)</w:t>
      </w:r>
      <w:r>
        <w:tab/>
        <w:t>принятие Стратегии в области политики в отношении меньшинств в Черногории на 2024–2028 годы.</w:t>
      </w:r>
    </w:p>
    <w:p w14:paraId="617F803E" w14:textId="5F50C8CD" w:rsidR="00475FEB" w:rsidRPr="00EF510D" w:rsidRDefault="00706226" w:rsidP="00475FEB">
      <w:pPr>
        <w:pStyle w:val="H1G"/>
      </w:pPr>
      <w:r w:rsidRPr="00B7393D">
        <w:rPr>
          <w:bCs/>
        </w:rPr>
        <w:tab/>
      </w:r>
      <w:r w:rsidR="00475FEB">
        <w:rPr>
          <w:bCs/>
        </w:rPr>
        <w:t>C.</w:t>
      </w:r>
      <w:r w:rsidR="00475FEB">
        <w:tab/>
      </w:r>
      <w:r w:rsidR="00475FEB">
        <w:tab/>
      </w:r>
      <w:r w:rsidR="00475FEB">
        <w:rPr>
          <w:bCs/>
        </w:rPr>
        <w:t>Основные вопросы, вызывающие обеспокоенность, и</w:t>
      </w:r>
      <w:bookmarkStart w:id="0" w:name="_Hlk156293670"/>
      <w:r>
        <w:rPr>
          <w:lang w:val="en-US"/>
        </w:rPr>
        <w:t> </w:t>
      </w:r>
      <w:bookmarkEnd w:id="0"/>
      <w:r w:rsidR="00475FEB">
        <w:rPr>
          <w:bCs/>
        </w:rPr>
        <w:t>рекомендации</w:t>
      </w:r>
    </w:p>
    <w:p w14:paraId="7367A5DC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Осуществление Пакта</w:t>
      </w:r>
    </w:p>
    <w:p w14:paraId="6A52D2DE" w14:textId="77777777" w:rsidR="00475FEB" w:rsidRPr="00EF510D" w:rsidRDefault="00475FEB" w:rsidP="00475FEB">
      <w:pPr>
        <w:pStyle w:val="SingleTxtG"/>
      </w:pPr>
      <w:r>
        <w:t>4.</w:t>
      </w:r>
      <w:r>
        <w:tab/>
        <w:t>Ссылаясь на свои предыдущие заключительные замечания</w:t>
      </w:r>
      <w:r w:rsidRPr="00EA15F7">
        <w:rPr>
          <w:rStyle w:val="aa"/>
        </w:rPr>
        <w:footnoteReference w:id="5"/>
      </w:r>
      <w:r>
        <w:t>, Комитет по-прежнему обеспокоен сообщениями о низком уровне осведомленности о Пакте и отсутствии судебных дел, в которых внутригосударственные суды ссылались бы на положения Пакта. Кроме того, Комитет обеспокоен отсутствием национального механизма, обеспечивающего всеохватный, скоординированный и эффективный подход к представлению докладов договорным органам Организации Объединенных Наций и выполнению их рекомендаций (ст. 2).</w:t>
      </w:r>
    </w:p>
    <w:p w14:paraId="067088DC" w14:textId="77777777" w:rsidR="00475FEB" w:rsidRPr="00EF510D" w:rsidRDefault="00475FEB" w:rsidP="00475FE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принять надлежащие меры для повышения осведомленности о Пакте и практике Комитета, а также обеспечить применение Пакта внутригосударственными судами, в том числе путем организации регулярного обучения судей, прокуроров, адвокатов и сотрудников правоохранительных органов.</w:t>
      </w:r>
      <w:r>
        <w:t xml:space="preserve"> </w:t>
      </w:r>
      <w:r>
        <w:rPr>
          <w:b/>
          <w:bCs/>
        </w:rPr>
        <w:t xml:space="preserve">Государству-участнику следует также создать национальный механизм осуществления, представления докладов и последующей деятельности с целью обеспечения всеохватного, скоординированного и эффективного подхода к представлению докладов </w:t>
      </w:r>
      <w:r>
        <w:rPr>
          <w:b/>
          <w:bCs/>
        </w:rPr>
        <w:lastRenderedPageBreak/>
        <w:t>договорным органам Организации Объединенных Наций и выполнению соответствующих рекомендаций.</w:t>
      </w:r>
    </w:p>
    <w:p w14:paraId="263F1D37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5E5090C9" w14:textId="77777777" w:rsidR="00475FEB" w:rsidRPr="00EF510D" w:rsidRDefault="00475FEB" w:rsidP="00475FEB">
      <w:pPr>
        <w:pStyle w:val="SingleTxtG"/>
      </w:pPr>
      <w:r>
        <w:t>6.</w:t>
      </w:r>
      <w:r>
        <w:tab/>
        <w:t xml:space="preserve">Ссылаясь на свои предыдущие заключительные замечания (п. 7), Комитет приветствует заявление делегации о том, что в 2025 году должен быть принят новый закон, на основе которого деятельность Защитника прав и свобод человека в Черногории будет приведена в полное соответствие с принципами, касающимися статуса национальных учреждений, занимающихся поощрением и защитой прав человека (Парижские принципы). Однако он обеспокоен тем, что в настоящее время данное учреждение не располагает достаточными ресурсами для полноценной реализации своего широкого мандата, что процедуры назначения членов правления и найма персонала не позволяют обеспечить полную независимость и автономию этого учреждения и что его рекомендации не выполняются в полной мере (ст. 2). </w:t>
      </w:r>
    </w:p>
    <w:p w14:paraId="53CF45A3" w14:textId="77777777" w:rsidR="00475FEB" w:rsidRPr="00EF510D" w:rsidRDefault="00475FEB" w:rsidP="00475FE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продолжить процесс, направленный на принятие в 2025 году законодательства, обеспечивающего полное соответствие деятельности Защитника прав и свобод человека в Черногории принципам, касающимся статуса национальных учреждений, занимающихся поощрением и защитой прав человека (Парижские принципы), в том числе путем предоставления достаточных финансовых и людских ресурсов для обеспечения эффективной реализации им своего широкого мандата и для полного выполнения его рекомендаций.</w:t>
      </w:r>
    </w:p>
    <w:p w14:paraId="51AF5727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4EAF644F" w14:textId="77777777" w:rsidR="00475FEB" w:rsidRPr="00EF510D" w:rsidRDefault="00475FEB" w:rsidP="00475FEB">
      <w:pPr>
        <w:pStyle w:val="SingleTxtG"/>
      </w:pPr>
      <w:r>
        <w:t>8.</w:t>
      </w:r>
      <w:r>
        <w:tab/>
        <w:t>Отмечая важные меры, принятые в целях борьбы с коррупцией, включая значительное увеличение числа обвинений и судебных преследований в отношении бывших и пребывающих в должности высокопоставленных должностных лиц, Комитет обеспокоен сообщениями о сохранении коррупции, в том числе в судебной системе, и низким числом окончательных обвинительных приговоров. Комитет обеспокоен также сообщениями о неэффективности работы Агентства по предупреждению коррупции, в том числе в том, что касается недостаточной координации с органами прокуратуры (ст. 2 и 25).</w:t>
      </w:r>
    </w:p>
    <w:p w14:paraId="39A80F2E" w14:textId="77777777" w:rsidR="00475FEB" w:rsidRPr="00EF510D" w:rsidRDefault="00475FEB" w:rsidP="00475FE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следует:</w:t>
      </w:r>
    </w:p>
    <w:p w14:paraId="7F5B217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ускорить завершение текущих разбирательств по делам о коррупции, фигурантами которых являются высокопоставленные должностные лица, и обеспечить адекватное наказание виновных в случае доказанности их вины;</w:t>
      </w:r>
      <w:r>
        <w:t xml:space="preserve"> </w:t>
      </w:r>
    </w:p>
    <w:p w14:paraId="661EBBB3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повысить эффективность и независимость Агентства по предупреждению коррупции, в том числе путем предоставления достаточных финансовых, кадровых и технических ресурсов, необходимых для полного выполнения его мандата, и укрепления координации с органами прокуратуры;</w:t>
      </w:r>
    </w:p>
    <w:p w14:paraId="44139F2A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эффективную реализацию мер по искоренению коррупции в судебных органах и органах прокуратуры;</w:t>
      </w:r>
    </w:p>
    <w:p w14:paraId="3FCDDFA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укреплять потенциал сотрудников полиции, прокуроров и судей в области эффективного выявления и противодействия коррупции, в том числе посредством надлежащего и регулярного обучения;</w:t>
      </w:r>
    </w:p>
    <w:p w14:paraId="5809075E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ускорить запланированное принятие специального закона о защите лиц, сообщающих о нарушениях, который бы полностью соответствовал международным стандартам.</w:t>
      </w:r>
    </w:p>
    <w:p w14:paraId="6D6C7FDB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Привлечение к ответственности за совершенные в прошлом нарушения прав человека</w:t>
      </w:r>
    </w:p>
    <w:p w14:paraId="7671E52C" w14:textId="77777777" w:rsidR="00475FEB" w:rsidRPr="00EF510D" w:rsidRDefault="00475FEB" w:rsidP="00475FEB">
      <w:pPr>
        <w:pStyle w:val="SingleTxtG"/>
      </w:pPr>
      <w:r>
        <w:t>10.</w:t>
      </w:r>
      <w:r>
        <w:tab/>
        <w:t xml:space="preserve">Ссылаясь на свои предыдущие заключительные замечания (п. 9) и соответствующую последующую оценку, Комитет приветствует шаги, предпринятые государством-участником для решения проблемы безнаказанности за серьезные нарушения прав человека, совершенные в ходе вооруженного конфликта 1990-х годов, включая его сотрудничество с Международным остаточным механизмом для уголовных трибуналов, а также на региональном уровне. Кроме того, Комитет приветствует возобновление рассмотрения дел о военных преступлениях, связанных с лагерем </w:t>
      </w:r>
      <w:proofErr w:type="spellStart"/>
      <w:r>
        <w:t>Моринь</w:t>
      </w:r>
      <w:proofErr w:type="spellEnd"/>
      <w:r>
        <w:t xml:space="preserve">, </w:t>
      </w:r>
      <w:proofErr w:type="spellStart"/>
      <w:r>
        <w:t>Буковицей</w:t>
      </w:r>
      <w:proofErr w:type="spellEnd"/>
      <w:r>
        <w:t xml:space="preserve">, </w:t>
      </w:r>
      <w:proofErr w:type="spellStart"/>
      <w:r>
        <w:t>Калуджерским</w:t>
      </w:r>
      <w:proofErr w:type="spellEnd"/>
      <w:r>
        <w:t xml:space="preserve"> Лазом и депортацией беженцев из </w:t>
      </w:r>
      <w:proofErr w:type="spellStart"/>
      <w:r>
        <w:t>Херцег</w:t>
      </w:r>
      <w:proofErr w:type="spellEnd"/>
      <w:r>
        <w:t xml:space="preserve">-Нови, в соответствии с международными стандартами судебного преследования за серьезные нарушения прав человека. Тем не менее Комитет обеспокоен чрезмерной длительностью расследований, отсутствием прогресса в завершении производства по текущим делам и привлечении виновных к ответственности, а также отсутствием преследований на основании ответственности командиров (ст. 2, 6, 7, </w:t>
      </w:r>
      <w:proofErr w:type="gramStart"/>
      <w:r>
        <w:t>14−16</w:t>
      </w:r>
      <w:proofErr w:type="gramEnd"/>
      <w:r>
        <w:t xml:space="preserve"> и 26). </w:t>
      </w:r>
    </w:p>
    <w:p w14:paraId="0A71C97D" w14:textId="77777777" w:rsidR="00475FEB" w:rsidRPr="00EF510D" w:rsidRDefault="00475FEB" w:rsidP="00475FE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Государству-участнику следует укрепить необходимый потенциал для обеспечения оперативного и эффективного расследования и судебного преследования по делам о военных преступлениях, в том числе путем заполнения всех вакантных прокурорских должностей и обучения судей и прокуроров в рамках специальной </w:t>
      </w:r>
      <w:proofErr w:type="spellStart"/>
      <w:r>
        <w:rPr>
          <w:b/>
          <w:bCs/>
        </w:rPr>
        <w:t>институционализированной</w:t>
      </w:r>
      <w:proofErr w:type="spellEnd"/>
      <w:r>
        <w:rPr>
          <w:b/>
          <w:bCs/>
        </w:rPr>
        <w:t xml:space="preserve"> программы подготовки по стандартам международного уголовного и гуманитарного права, правам жертв и передовой практике рассмотрения дел о военных преступлениях.</w:t>
      </w:r>
      <w:r>
        <w:t xml:space="preserve"> </w:t>
      </w:r>
      <w:r>
        <w:rPr>
          <w:b/>
          <w:bCs/>
        </w:rPr>
        <w:t>Государству-участнику следует ускорить завершение производства по текущим делам и расследовать дела, связанные с ответственностью командиров, и в соответствующих случаях осуществлять в связи с ними судебное преследование.</w:t>
      </w:r>
    </w:p>
    <w:p w14:paraId="4A4B87AB" w14:textId="77777777" w:rsidR="00475FEB" w:rsidRPr="00EF510D" w:rsidRDefault="00475FEB" w:rsidP="00475FEB">
      <w:pPr>
        <w:pStyle w:val="SingleTxtG"/>
      </w:pPr>
      <w:r>
        <w:t>12.</w:t>
      </w:r>
      <w:r>
        <w:tab/>
        <w:t xml:space="preserve">Комитет обеспокоен отсутствием всеобъемлющей политики возмещения ущерба жертвам военных преступлений, которая, помимо компенсации, включала бы меры по реституции, сатисфакции и реабилитации, а также гарантии неповторения. Комитет также выражает свою обеспокоенность сообщениями о том, что доступ к компенсации для жертв военных преступлений затруднен такими препятствиями, как сроки давности и ограничения, связанные с гражданством. Комитет приветствует заявление делегации о том, что насильственное исчезновение будет отражено в Уголовном кодексе как отдельный вид преступления, но при этом выражает обеспокоенность отсутствием прогресса в выяснении судьбы и местонахождения лиц, пропавших без вести во время войны, включая жертв насильственных исчезновений. </w:t>
      </w:r>
    </w:p>
    <w:p w14:paraId="4EA07AFE" w14:textId="77777777" w:rsidR="00475FEB" w:rsidRPr="00EF510D" w:rsidRDefault="00475FEB" w:rsidP="00475FEB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следует, действуя в более широких рамках правосудия переходного периода и в консультации с жертвами и организациями гражданского общества, принять всеобъемлющую политику возмещения ущерба, предусматривающую компенсацию, реабилитацию, сатисфакцию и реституцию, а также гарантии неповторения, с учетом Основных принципов и руководящих положений,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7D9B543C" w14:textId="77777777" w:rsidR="00475FEB" w:rsidRPr="00EF510D" w:rsidRDefault="00475FEB" w:rsidP="00475FEB">
      <w:pPr>
        <w:pStyle w:val="SingleTxtG"/>
        <w:rPr>
          <w:b/>
          <w:bCs/>
        </w:rPr>
      </w:pPr>
      <w:r w:rsidRPr="00C61959">
        <w:tab/>
      </w:r>
      <w:r>
        <w:t>a)</w:t>
      </w:r>
      <w:r>
        <w:tab/>
      </w:r>
      <w:r>
        <w:rPr>
          <w:b/>
          <w:bCs/>
        </w:rPr>
        <w:t>обеспечить всем жертвам полное возмещение ущерба за нарушения прав человека, совершенные во время войны, в том числе путем устранения препятствий, затрудняющих доступ к компенсации, таких как сроки давности и ограничения по гражданству;</w:t>
      </w:r>
      <w:r>
        <w:t xml:space="preserve"> </w:t>
      </w:r>
    </w:p>
    <w:p w14:paraId="4AFB8C9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эффективный доступ жертв, в том числе родственников пропавших без вести лиц, к надлежащей юридической помощи для подачи исков;</w:t>
      </w:r>
    </w:p>
    <w:p w14:paraId="2F4C597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активизировать усилия по выяснению судьбы и местонахождения лиц, пропавших без вести во время войны, некоторые из которых могли стать жертвами насильственных исчезновений, регулярно информируя родственников жертв о ходе и результатах расследований;</w:t>
      </w:r>
    </w:p>
    <w:p w14:paraId="1F0FF176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продолжить внесение поправок в Уголовный кодекс для того, чтобы классифицировать насильственное исчезновение как отдельный состав преступления;</w:t>
      </w:r>
    </w:p>
    <w:p w14:paraId="41AEF23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укрепить поддержку усилий гражданского общества по оказанию помощи жертвам и увековечиванию памяти.</w:t>
      </w:r>
    </w:p>
    <w:p w14:paraId="6F8E0FB9" w14:textId="5825D67B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Недискриминация и язык ненависти</w:t>
      </w:r>
    </w:p>
    <w:p w14:paraId="37FE28D0" w14:textId="77777777" w:rsidR="00475FEB" w:rsidRPr="00EF510D" w:rsidRDefault="00475FEB" w:rsidP="00475FEB">
      <w:pPr>
        <w:pStyle w:val="SingleTxtG"/>
      </w:pPr>
      <w:r>
        <w:t>14.</w:t>
      </w:r>
      <w:r>
        <w:tab/>
        <w:t>Отмечая наличие законодательной и политической базы для борьбы с дискриминацией, включая язык ненависти, Комитет обеспокоен распространенностью в публичном дискурсе в Интернете и традиционных СМИ, на спортивных мероприятиях и в школах</w:t>
      </w:r>
      <w:r w:rsidRPr="00F76A0D">
        <w:t xml:space="preserve"> </w:t>
      </w:r>
      <w:r>
        <w:t xml:space="preserve">языка ненависти, проявления которого направлены, в частности, на политических оппонентов, этнические, религиозные и национальные группы, включая рома, </w:t>
      </w:r>
      <w:proofErr w:type="spellStart"/>
      <w:r>
        <w:t>ашкали</w:t>
      </w:r>
      <w:proofErr w:type="spellEnd"/>
      <w:r>
        <w:t xml:space="preserve"> и египтян, а также на женщин, лесбиянок, геев, бисексуальных и трансгендерных людей, лиц, живущих в условиях нищеты, и инвалидов. Комитет обеспокоен также сообщениями о высказываниях, отрицающих военные преступления и прославляющих военных преступников, которые позволяют себе в том числе и политики, а также слабым реагированием на такие высказывания. Кроме того, Комитет обеспокоен низкой осведомленностью широкой общественности об имеющихся средствах правовой защиты в связи с языком ненависти, а также тем, что в случае возбуждения дел применяемые меры наказания не имеют должного сдерживающего эффекта (ст. 2, 20, 26 и 27). </w:t>
      </w:r>
    </w:p>
    <w:p w14:paraId="2C70901A" w14:textId="77777777" w:rsidR="00475FEB" w:rsidRPr="00EF510D" w:rsidRDefault="00475FEB" w:rsidP="00475FE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свои усилия по борьбе с языком ненависти и насилием на почве ненависти и в том числе принять следующие меры:</w:t>
      </w:r>
    </w:p>
    <w:p w14:paraId="7554F56E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тщательное расследование предполагаемых преступлений на почве ненависти и судебное преследование за их совершение, наказание виновных, если они были осуждены, соразмерно тяжести совершенного преступления, а также предоставление жертвам доступа к полному возмещению ущерба;</w:t>
      </w:r>
    </w:p>
    <w:p w14:paraId="575881C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вести эффективный мониторинг языка ненависти и преступлений на почве ненависти путем систематического сбора данных о жалобах на соответствующие деяния и результатах их рассмотрения;</w:t>
      </w:r>
    </w:p>
    <w:p w14:paraId="7978BDFC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принять эффективные меры по недопущению и публичному осуждению языка ненависти и исторического ревизионизма в отношении военных преступлений, в частности со стороны политиков и государственных должностных лиц, включая меры по обеспечению распространения достоверной информации о совершенных в прошлом нарушениях прав человека;</w:t>
      </w:r>
    </w:p>
    <w:p w14:paraId="281D59F2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расширить специальную подготовку сотрудников правоохранительных органов, прокуроров и судей по вопросам выявления и судебного преследования проявлений языка ненависти и исторического ревизионизма, а также других форм преступлений на почве ненависти;</w:t>
      </w:r>
    </w:p>
    <w:p w14:paraId="091053E3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усилить меры по борьбе с распространением языка ненависти в Интернете в тесном сотрудничестве с поставщиками интернет-услуг, платформами социальных сетей и группами, наиболее затрагиваемыми языком ненависти;</w:t>
      </w:r>
    </w:p>
    <w:p w14:paraId="526EDD1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пропагандировать уважение к многообразию и повышать осведомленность о запрете преступлений на почве ненависти и о каналах для сообщения о таких преступлениях, в том числе с помощью кампаний по информированию общественности и соответствующих мер, изложенных в Национальной стратегии в области СМИ на 2023–2027 годы.</w:t>
      </w:r>
    </w:p>
    <w:p w14:paraId="0223B876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2F682DD5" w14:textId="77777777" w:rsidR="00475FEB" w:rsidRPr="00EF510D" w:rsidRDefault="00475FEB" w:rsidP="00475FEB">
      <w:pPr>
        <w:pStyle w:val="SingleTxtG"/>
      </w:pPr>
      <w:r>
        <w:t>16.</w:t>
      </w:r>
      <w:r>
        <w:tab/>
        <w:t>Ссылаясь на свои предыдущие заключительные замечания (п. 8), Комитет по-прежнему обеспокоен засильем предрассудков в отношении лесбиянок, геев, бисексуальных и трансгендерных людей, которые проявляются в различных формах дискриминации, включая язык ненависти и, в некоторых случаях, насильственные действия. Комитет обеспокоен также сообщениями о недостаточном привлечении к ответственности виновных в таких деяниях. Комитет приветствует принятие в июле 2020 года Закона о жизненном партнерстве однополых лиц, однако он обеспокоен тем, что его эффективному осуществлению, как представляется, препятствует тот факт, что в соответствующие нормативные акты не были внесены необходимые изменения. Комитет приветствует разработку законопроекта о юридическом признании гендерной идентичности на основе самоопределения, но сожалеет о задержках с его принятием (ст. 2, 7, 20 и 26).</w:t>
      </w:r>
    </w:p>
    <w:p w14:paraId="4AB3093D" w14:textId="77777777" w:rsidR="00475FEB" w:rsidRPr="00EF510D" w:rsidRDefault="00475FEB" w:rsidP="00475FEB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удвоить свои усилия по борьбе с дискриминацией, стереотипами и предрассудками в отношении лесбиянок, геев, бисексуальных и трансгендерных людей.</w:t>
      </w:r>
      <w:r>
        <w:t xml:space="preserve"> </w:t>
      </w:r>
      <w:r>
        <w:rPr>
          <w:b/>
          <w:bCs/>
        </w:rPr>
        <w:t>В этой связи государству-участнику следует:</w:t>
      </w:r>
      <w:r>
        <w:t xml:space="preserve"> </w:t>
      </w:r>
    </w:p>
    <w:p w14:paraId="5176573B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продолжать борьбу со стереотипами и негативным отношением, основанными на реальной или предполагаемой сексуальной ориентации и гендерной идентичности, в том числе посредством проведения общественных информационных кампаний и образовательных программ в школах, которые предоставляли бы учащимся полную, точную и соответствующую возрасту информацию о сексуальности и разнообразии гендерных идентичностей;</w:t>
      </w:r>
    </w:p>
    <w:p w14:paraId="43FD45C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укрепить законодательную базу для поощрения равноправия лесбиянок, геев, бисексуальных и трансгендерных людей, в частности путем принятия законопроекта о юридическом признании гендерной идентичности на основе самоопределения, обеспечив, чтобы в этом законе предусматривался четкий запрет на принудительную медицинскую стерилизацию или другие бесчеловечные медицинские процедуры;</w:t>
      </w:r>
    </w:p>
    <w:p w14:paraId="6669D65A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внести необходимые изменения в законодательство в целях обеспечения эффективной реализации Закона о жизненном партнерстве однополых лиц, принятого в июле 2020 года;</w:t>
      </w:r>
    </w:p>
    <w:p w14:paraId="0551215A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обеспечить, чтобы ненавистнические высказывания и насилие</w:t>
      </w:r>
      <w:r w:rsidRPr="000E4469">
        <w:rPr>
          <w:b/>
          <w:bCs/>
        </w:rPr>
        <w:t xml:space="preserve"> </w:t>
      </w:r>
      <w:r>
        <w:rPr>
          <w:b/>
          <w:bCs/>
        </w:rPr>
        <w:t>со стороны частных лиц или представителей государства, мотивированные сексуальной ориентацией или гендерной идентичностью жертв, оперативно расследовались, виновные привлекались к ответственности и в случае осуждения несли должное наказание, а жертвы получали комплексное возмещение ущерба, включая реабилитацию и компенсацию.</w:t>
      </w:r>
    </w:p>
    <w:p w14:paraId="14792754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 xml:space="preserve">Дискриминация в отношении рома, </w:t>
      </w:r>
      <w:proofErr w:type="spellStart"/>
      <w:r>
        <w:rPr>
          <w:bCs/>
        </w:rPr>
        <w:t>ашкали</w:t>
      </w:r>
      <w:proofErr w:type="spellEnd"/>
      <w:r>
        <w:rPr>
          <w:bCs/>
        </w:rPr>
        <w:t xml:space="preserve"> и египтян</w:t>
      </w:r>
      <w:r>
        <w:t xml:space="preserve"> </w:t>
      </w:r>
    </w:p>
    <w:p w14:paraId="06E68CBF" w14:textId="77777777" w:rsidR="00475FEB" w:rsidRPr="00EF510D" w:rsidRDefault="00475FEB" w:rsidP="00475FEB">
      <w:pPr>
        <w:pStyle w:val="SingleTxtG"/>
      </w:pPr>
      <w:r>
        <w:t>18.</w:t>
      </w:r>
      <w:r>
        <w:tab/>
        <w:t xml:space="preserve">Ссылаясь на свои предыдущие заключительные замечания (п. 19), Комитет признает шаги, предпринятые для борьбы с дискриминацией в отношении рома, </w:t>
      </w:r>
      <w:proofErr w:type="spellStart"/>
      <w:r>
        <w:t>ашкали</w:t>
      </w:r>
      <w:proofErr w:type="spellEnd"/>
      <w:r>
        <w:t xml:space="preserve"> и египтян, но по-прежнему обеспокоен маргинализацией этих групп, в том числе в том, что касается неудовлетворительного жилья и неравного доступа к формальной занятости. Комитет обеспокоен тем, что, несмотря на подвижки в обеспечении доступа к образованию, показатели завершения среднего образования среди детей рома, </w:t>
      </w:r>
      <w:proofErr w:type="spellStart"/>
      <w:r>
        <w:t>ашкали</w:t>
      </w:r>
      <w:proofErr w:type="spellEnd"/>
      <w:r>
        <w:t xml:space="preserve"> и египтян остаются низкими. Комитет обеспокоен также отсутствием политической представленности этих меньшинств, в том числе в национальном парламенте (ст. 2, 24, 25, 26 и 27).</w:t>
      </w:r>
    </w:p>
    <w:p w14:paraId="55B23CF3" w14:textId="77777777" w:rsidR="00475FEB" w:rsidRPr="00EF510D" w:rsidRDefault="00475FEB" w:rsidP="00475FE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 xml:space="preserve">Государству-участнику следует продолжать и активизировать свои усилия по борьбе с дискриминацией и маргинализацией рома, </w:t>
      </w:r>
      <w:proofErr w:type="spellStart"/>
      <w:r>
        <w:rPr>
          <w:b/>
          <w:bCs/>
        </w:rPr>
        <w:t>ашкали</w:t>
      </w:r>
      <w:proofErr w:type="spellEnd"/>
      <w:r>
        <w:rPr>
          <w:b/>
          <w:bCs/>
        </w:rPr>
        <w:t xml:space="preserve"> и египтян, в частности в сфере жилья, занятости и образования.</w:t>
      </w:r>
      <w:r>
        <w:t xml:space="preserve"> </w:t>
      </w:r>
      <w:r>
        <w:rPr>
          <w:b/>
          <w:bCs/>
        </w:rPr>
        <w:t>Для достижения этой цели необходимо увеличить число посредников, координирующих взаимодействие с этими группами, и интегрировать их в систему государственного управления с выделением достаточного и устойчивого финансирования.</w:t>
      </w:r>
      <w:r>
        <w:t xml:space="preserve"> </w:t>
      </w:r>
      <w:r>
        <w:rPr>
          <w:b/>
          <w:bCs/>
        </w:rPr>
        <w:t xml:space="preserve">Государству-участнику следует также принять надлежащие меры для расширения участия рома, </w:t>
      </w:r>
      <w:proofErr w:type="spellStart"/>
      <w:r>
        <w:rPr>
          <w:b/>
          <w:bCs/>
        </w:rPr>
        <w:t>ашкали</w:t>
      </w:r>
      <w:proofErr w:type="spellEnd"/>
      <w:r>
        <w:rPr>
          <w:b/>
          <w:bCs/>
        </w:rPr>
        <w:t xml:space="preserve"> и египтян в общественной и политической жизни, в том числе путем внесения поправок в избирательное законодательство для обеспечения их эффективной представленности в национальном парламенте.</w:t>
      </w:r>
    </w:p>
    <w:p w14:paraId="31D90DA5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6EED44D6" w14:textId="77777777" w:rsidR="00475FEB" w:rsidRPr="00EF510D" w:rsidRDefault="00475FEB" w:rsidP="00475FEB">
      <w:pPr>
        <w:pStyle w:val="SingleTxtG"/>
      </w:pPr>
      <w:r>
        <w:t>20.</w:t>
      </w:r>
      <w:r>
        <w:tab/>
        <w:t>Ссылаясь на свои предыдущие заключительные замечания (п. 10), Комитет отмечает шаги, предпринятые государством-участником для поощрения гендерного равенства, включая введение индекса гендерного равноправия и всесторонний учет гендерных аспектов при разработке государственной политики. Однако Комитет по-прежнему обеспокоен распространенностью патриархальных взглядов и моделей поведения, в частности сообщениями о росте распространенности языка ненависти и насилия в отношении женщин в политической и общественной жизни. Комитет обеспокоен все еще низкой представленностью женщин в политической и общественной жизни, особенно на руководящих и директивных должностях высокого уровня, в том числе в правительстве. Отмечая статистические данные, свидетельствующие о сокращении числа абортов, избирательных по половому признаку плода, и признавая трудности со сбором соответствующих данных, обусловленные необходимостью соблюдать право на неприкосновенность частной жизни, Комитет выражает сожаление по поводу непредоставления государством-участником информации о мерах, принятых для предотвращения, контроля и, в соответствующих случаях, расследования этой практики (ст. 2, 3 и 23−25).</w:t>
      </w:r>
    </w:p>
    <w:p w14:paraId="1F76B40A" w14:textId="77777777" w:rsidR="00475FEB" w:rsidRPr="00EF510D" w:rsidRDefault="00475FEB" w:rsidP="00475FEB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7E5A57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бороться с гендерными стереотипами и языком ненависти в отношении женщин, в частности женщин, работающих в сфере политики и в СМИ, в том числе путем взаимодействия со СМИ, организациями гражданского общества и другими соответствующими заинтересованными сторонами;</w:t>
      </w:r>
    </w:p>
    <w:p w14:paraId="300AC604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принять надлежащие меры для увеличения доли женщин в политической и общественной жизни, в том числе путем принятия эффективных мер по обеспечению соблюдения Закона о гендерном равенстве, с целью достижения гендерного паритета;</w:t>
      </w:r>
      <w:r>
        <w:t xml:space="preserve"> </w:t>
      </w:r>
    </w:p>
    <w:p w14:paraId="285B48DE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принимать инициативные меры для предотвращения, выявления и, в соответствующих случаях, расследования практики абортов, избирательных по половому признаку плода, в том числе путем проведения информационно-просветительных кампаний с участием медицинских работников.</w:t>
      </w:r>
    </w:p>
    <w:p w14:paraId="51073614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1CB27768" w14:textId="77777777" w:rsidR="00475FEB" w:rsidRPr="00EF510D" w:rsidRDefault="00475FEB" w:rsidP="00475FEB">
      <w:pPr>
        <w:pStyle w:val="SingleTxtG"/>
      </w:pPr>
      <w:r>
        <w:t>22.</w:t>
      </w:r>
      <w:r>
        <w:tab/>
        <w:t>Ссылаясь на свои предыдущие заключительные замечания (п. 11), Комитет приветствует важные шаги по укреплению законодательной и политической базы в области борьбы с насилием в отношении женщин. Вместе с тем Комитет обеспокоен сообщениями о высокой степени терпимости общества к гендерному насилию и о его широкой распространенности, а также тем, что, как сообщается, в осуществлении действующих нормативно-правовых рамок существуют пробелы. Отмечая внесенные в Уголовный кодекс в декабре 2023 года поправки, расширившие перечень деяний, рассматриваемых как уголовные преступления, а не мелкие правонарушения, и устанавливающих более жесткие меры наказания, Комитет обеспокоен тем, что домашнее насилие по-прежнему преследуется в основном как мелкое правонарушение, а даже когда оно преследуется как преступление, осужденные часто получают мягкие наказания. Отмечая, что в настоящее время на рассмотрении находится законодательный акт, предусматривающий установление уголовной ответственности за фемицид как за отдельный вид преступления, Комитет тем не менее обеспокоен несоответствиями в существующих законодательных положениях и отсутствием адекватной и систематической оценки риска фемицида. Комитет обеспокоен также сообщениями о том, что доступ к приютам и специализированной помощи, в частности к психосоциальной поддержке для жертв сексуального насилия, не обеспечивается равномерно на всей территории государства-участника (ст. 2, 3, 6, 7 и 26).</w:t>
      </w:r>
    </w:p>
    <w:p w14:paraId="059B97F8" w14:textId="77777777" w:rsidR="00475FEB" w:rsidRPr="00EF510D" w:rsidRDefault="00475FEB" w:rsidP="00475FE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3D21A7A3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продолжать и укреплять усилия по предотвращению и пресечению гендерного насилия в отношении женщин, а также по обеспечению того, чтобы виновные привлекались к ответственности и, в случае осуждения, получали адекватное наказание;</w:t>
      </w:r>
    </w:p>
    <w:p w14:paraId="4F28E7F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продолжить внесение поправок в Закон о защите от домашнего насилия, чтобы обеспечить его соответствие Пакту и Конвенции Совета Европы о предотвращении и пресечении насилия в отношении женщин и домашнего насилия (Стамбульская конвенция);</w:t>
      </w:r>
    </w:p>
    <w:p w14:paraId="6F56C637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четко обозначить фемицид в Уголовном кодексе в качестве отдельного вида преступления и обеспечить проведение эффективной оценки риска сотрудниками правоохранительных органов, рассматривающими дела о гендерном насилии;</w:t>
      </w:r>
    </w:p>
    <w:p w14:paraId="6EFF18A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обеспечить, чтобы все жертвы получали комплексное возмещение ущерба, включая адекватную компенсацию, и имели доступ к приютам и надлежащей защите и помощи, включая психосоциальную помощь;</w:t>
      </w:r>
    </w:p>
    <w:p w14:paraId="4B609AA6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продолжать и расширять подготовку государственных служащих, включая судей, прокуроров, адвокатов и сотрудников правоохранительных органов, по вопросам выявления и рассмотрения случаев насилия в отношении женщин, включая фемицид и домашнее и сексуальное насилие;</w:t>
      </w:r>
    </w:p>
    <w:p w14:paraId="5419BB2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усилить общественные информационно-просветительные кампании в целях борьбы с социальными и культурными установками и стереотипами, которые способствуют терпимости к гендерному насилию.</w:t>
      </w:r>
    </w:p>
    <w:p w14:paraId="7A2CBF3F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21B1C10F" w14:textId="77777777" w:rsidR="00475FEB" w:rsidRPr="00EF510D" w:rsidRDefault="00475FEB" w:rsidP="00475FEB">
      <w:pPr>
        <w:pStyle w:val="SingleTxtG"/>
      </w:pPr>
      <w:r>
        <w:t>24.</w:t>
      </w:r>
      <w:r>
        <w:tab/>
        <w:t xml:space="preserve">Приветствуя различные меры, принятые государством-участником в целях борьбы с насилием в отношении детей, включая ужесточение наказаний за сексуальные надругательства и другие преступления против детей и создание реестра лиц, совершивших преступление на сексуальной почве, Комитет обеспокоен сообщениями, указывающими на широкую распространенность насилия в отношении детей, включая сексуальное насилие, домашнее насилие, насилие со стороны сверстников и злонамеренные действия в Интернете. Комитет обеспокоен также сообщениями о нестабильном или недостаточном финансировании соответствующих служб, в частности для осуществления программ профилактики и раннего вмешательства (ст. 2, 3, 6, 7, 24 и 26). </w:t>
      </w:r>
    </w:p>
    <w:p w14:paraId="3B4828F4" w14:textId="77777777" w:rsidR="00475FEB" w:rsidRPr="00EF510D" w:rsidRDefault="00475FEB" w:rsidP="00475FE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5A57DD93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наращивать инвестиции в профилактику насилия в отношении детей, в том числе путем расширения программ профилактики и раннего вмешательства в школах, реализации программ работы с родителями, а также принятия мер по преодолению предположительно высокого уровня общественной терпимости к насилию в отношении детей в семейном окружении;</w:t>
      </w:r>
    </w:p>
    <w:p w14:paraId="77DC2E6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усилить меры по предотвращению и пресечению сексуальной эксплуатации и груминга детей в Интернете, в том числе путем всеобъемлющего сбора данных;</w:t>
      </w:r>
    </w:p>
    <w:p w14:paraId="54EE56F4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увеличить численность и обеспечить надлежащую квалификацию персонала центров социального обслуживания населения в целях предоставления надлежащих и качественных услуг детям, ставшим жертвами насилия;</w:t>
      </w:r>
    </w:p>
    <w:p w14:paraId="568AA794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наладить сотрудничество между школами, правоохранительными органами и социальными службами в целях повышения эффективности механизмов профилактики, структур отчетности и услуг по поддержке пострадавших детей, в том числе юридической, психологической и социальной;</w:t>
      </w:r>
    </w:p>
    <w:p w14:paraId="204BC9E9" w14:textId="542E10B8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 xml:space="preserve">выделить достаточные людские и финансовые ресурсы в целях реализации всех мер, предусмотренных Стратегией </w:t>
      </w:r>
      <w:r w:rsidRPr="00EB0DD3">
        <w:rPr>
          <w:b/>
          <w:bCs/>
        </w:rPr>
        <w:t>по предотвращению насилия в отношении детей и по их защите от него</w:t>
      </w:r>
      <w:r>
        <w:rPr>
          <w:b/>
          <w:bCs/>
        </w:rPr>
        <w:t xml:space="preserve"> на 2025–2029 годы, в частности на организацию и обеспечение функционировани</w:t>
      </w:r>
      <w:r w:rsidR="009656F2">
        <w:rPr>
          <w:b/>
          <w:bCs/>
        </w:rPr>
        <w:t>я</w:t>
      </w:r>
      <w:r>
        <w:rPr>
          <w:b/>
          <w:bCs/>
        </w:rPr>
        <w:t xml:space="preserve"> учреждений модели «</w:t>
      </w:r>
      <w:proofErr w:type="spellStart"/>
      <w:r>
        <w:rPr>
          <w:b/>
          <w:bCs/>
        </w:rPr>
        <w:t>Барнахус</w:t>
      </w:r>
      <w:proofErr w:type="spellEnd"/>
      <w:r>
        <w:rPr>
          <w:b/>
          <w:bCs/>
        </w:rPr>
        <w:t>» (</w:t>
      </w:r>
      <w:r w:rsidRPr="00C61959">
        <w:rPr>
          <w:b/>
          <w:bCs/>
        </w:rPr>
        <w:t>«Дом для детей»</w:t>
      </w:r>
      <w:r>
        <w:rPr>
          <w:b/>
          <w:bCs/>
        </w:rPr>
        <w:t>), оказывающих помощь детям, ставшим жертвами насилия, эксплуатации и надругательств.</w:t>
      </w:r>
    </w:p>
    <w:p w14:paraId="168DADC3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Детские браки</w:t>
      </w:r>
    </w:p>
    <w:p w14:paraId="544FDB92" w14:textId="77777777" w:rsidR="00475FEB" w:rsidRPr="00EF510D" w:rsidRDefault="00475FEB" w:rsidP="00475FEB">
      <w:pPr>
        <w:pStyle w:val="SingleTxtG"/>
      </w:pPr>
      <w:r>
        <w:t>26.</w:t>
      </w:r>
      <w:r>
        <w:tab/>
        <w:t xml:space="preserve">Ссылаясь на предыдущие заключительные замечания Комитета (п. 20) и приветствуя шаги, предпринятые для борьбы с сохраняющейся практикой детских браков, в частности в сообществах рома, </w:t>
      </w:r>
      <w:proofErr w:type="spellStart"/>
      <w:r>
        <w:t>ашкали</w:t>
      </w:r>
      <w:proofErr w:type="spellEnd"/>
      <w:r>
        <w:t xml:space="preserve"> и египтян, Комитет обеспокоен тем, что в законодательстве не предусмотрен полный запрет детских браков без каких-либо исключений, и сожалеет о непредоставлении данных о воздействии мер, принятых в целях борьбы с этой практикой (ст. 2, 3, 24 и 26). </w:t>
      </w:r>
    </w:p>
    <w:p w14:paraId="16A73FB1" w14:textId="77777777" w:rsidR="00475FEB" w:rsidRPr="00EF510D" w:rsidRDefault="00475FEB" w:rsidP="00475FE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 xml:space="preserve">Государству-участнику следует продолжать информационно-просветительную работу с сообществами рома, </w:t>
      </w:r>
      <w:proofErr w:type="spellStart"/>
      <w:r>
        <w:rPr>
          <w:b/>
          <w:bCs/>
        </w:rPr>
        <w:t>ашкали</w:t>
      </w:r>
      <w:proofErr w:type="spellEnd"/>
      <w:r>
        <w:rPr>
          <w:b/>
          <w:bCs/>
        </w:rPr>
        <w:t xml:space="preserve"> и египтян, а также внести поправки в Закон о семье, чтобы повысить минимальный возраст вступления в брак до 18 лет без каких-либо исключений.</w:t>
      </w:r>
      <w:r>
        <w:t xml:space="preserve"> </w:t>
      </w:r>
      <w:r>
        <w:rPr>
          <w:b/>
          <w:bCs/>
        </w:rPr>
        <w:t>Государству-участнику следует также обеспечить наличие эффективного механизма мониторинга и создать необходимые условия для рассмотрения этим механизмом выявленных случаев детских браков.</w:t>
      </w:r>
    </w:p>
    <w:p w14:paraId="29432000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Запрещение пыток и других видов жестокого, бесчеловечного или унижающего достоинство обращения и наказания</w:t>
      </w:r>
    </w:p>
    <w:p w14:paraId="0F2F6A68" w14:textId="77777777" w:rsidR="00475FEB" w:rsidRPr="00EF510D" w:rsidRDefault="00475FEB" w:rsidP="00475FEB">
      <w:pPr>
        <w:pStyle w:val="SingleTxtG"/>
      </w:pPr>
      <w:r>
        <w:t>28.</w:t>
      </w:r>
      <w:r>
        <w:tab/>
        <w:t>Ссылаясь на свои предыдущие заключительные замечания (п. 12), Комитет приветствует некоторые предпринятые шаги, такие как введение более жестких мер наказания за пытки в 2023 году, отмена срока давности применительно к преступлению пытки в июне 2024 года и распространение права получения бесплатной юридической помощи на жертв пыток в декабре 2024 года. Тем не менее Комитет по-прежнему обеспокоен сообщениями о пытках и жестоком обращении в полиции и исправительных учреждениях, а также об ограниченном привлечении к ответственности виновных в злоупотреблениях, включая мягкие дисциплинарные и уголовные санкции, такие как применение условного осуждения. Комитет обеспокоен также недостаточной беспристрастностью и низким уровнем эффективности расследований, отмечая, что сотрудники полиции, находящиеся под следствием в связи с актами пыток или жестокого обращения, отстраняются от работы только после возбуждения уголовного дела, а иногда и позднее. Кроме того, Комитет обеспокоен сообщениями о несоответствии медицинских осмотров, проводимых в местах содержания под стражей, стандартам, изложенным в Руководстве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в частности в том, что касается документирования медицинских осмотров, проводимых после инцидентов (ст. 7).</w:t>
      </w:r>
    </w:p>
    <w:p w14:paraId="2911D96C" w14:textId="77777777" w:rsidR="00475FEB" w:rsidRPr="00EF510D" w:rsidRDefault="00475FEB" w:rsidP="00475FEB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2CCEBC35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проводить оперативные, тщательные и беспристрастные расследования всех утверждений о пытках и бесчеловечном или унижающем достоинство обращении, обеспечивая привлечение виновных к уголовной ответственности и, в случае их осуждения, назначение им наказания, соизмеримого с тяжестью совершенного преступления;</w:t>
      </w:r>
    </w:p>
    <w:p w14:paraId="12170B08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проведение расследований в связи с утверждениями о пытках и бесчеловечном или унижающем достоинство обращении, в частности соответствующих медицинских осмотров, сообразно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  <w:r>
        <w:t xml:space="preserve"> </w:t>
      </w:r>
    </w:p>
    <w:p w14:paraId="190EFA37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обеспечить, чтобы в случаях предполагаемых пыток или жестокого обращения подозреваемые в их совершении немедленно отстранялись от своих должностных обязанностей на время расследования, включая этап предварительного следствия, в особенности если существует риск того, что в противном случае они могут повторно совершить предполагаемое преступление, мстить предполагаемой жертве или воспрепятствовать расследованию;</w:t>
      </w:r>
    </w:p>
    <w:p w14:paraId="6EA1CE5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предоставить жертвам всеобъемлющее возмещение ущерба, включая реабилитацию и надлежащую компенсацию;</w:t>
      </w:r>
      <w:r>
        <w:t xml:space="preserve"> </w:t>
      </w:r>
    </w:p>
    <w:p w14:paraId="5074FE6C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 xml:space="preserve">укреплять и расширять превентивные меры, в том числе путем систематической видео- и аудиозаписи полицейских допросов и соответствующей подготовки судей, прокуроров и всех категорий сотрудников правоохранительных органов, включающей их ознакомление с Принципами </w:t>
      </w:r>
      <w:r w:rsidRPr="00C61959">
        <w:rPr>
          <w:b/>
          <w:bCs/>
        </w:rPr>
        <w:t>эффективного ведения опроса в ходе расследования и сбора информации</w:t>
      </w:r>
      <w:r w:rsidRPr="00E419A0" w:rsidDel="00E419A0">
        <w:rPr>
          <w:b/>
          <w:bCs/>
        </w:rPr>
        <w:t xml:space="preserve"> </w:t>
      </w:r>
      <w:r>
        <w:rPr>
          <w:b/>
          <w:bCs/>
        </w:rPr>
        <w:t>(Принципы Мендеса).</w:t>
      </w:r>
    </w:p>
    <w:p w14:paraId="33515EF6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Условия содержания в местах лишения свободы</w:t>
      </w:r>
    </w:p>
    <w:p w14:paraId="53B4C228" w14:textId="77777777" w:rsidR="00475FEB" w:rsidRPr="00EF510D" w:rsidRDefault="00475FEB" w:rsidP="00475FEB">
      <w:pPr>
        <w:pStyle w:val="SingleTxtG"/>
      </w:pPr>
      <w:r>
        <w:t>30.</w:t>
      </w:r>
      <w:r>
        <w:tab/>
        <w:t xml:space="preserve">Отмечая прилагаемые усилия по улучшению условий содержания в местах лишения свободы, включая объявленное или текущее строительство новых пенитенциарных учреждений, Комитет обеспокоен тем, что переполненность и неадекватные материальные и санитарные условия остаются серьезной проблемой в некоторых местах лишения свободы, включая полицейские изоляторы временного содержания и следственные изоляторы. Комитет приветствует запланированные государством-участником меры по сокращению переполненности и улучшению условий содержания в психиатрических больницах, в частности строительство «Специальной больницы» в тюремном комплексе в </w:t>
      </w:r>
      <w:proofErr w:type="spellStart"/>
      <w:r>
        <w:t>Спуже</w:t>
      </w:r>
      <w:proofErr w:type="spellEnd"/>
      <w:r>
        <w:t xml:space="preserve"> и принятие в декабре 2024 года стратегии </w:t>
      </w:r>
      <w:proofErr w:type="spellStart"/>
      <w:r>
        <w:t>деинституционализации</w:t>
      </w:r>
      <w:proofErr w:type="spellEnd"/>
      <w:r>
        <w:t xml:space="preserve"> на 2025–2028 годы. При этом Комитет обеспокоен сообщениями о незначительном прогрессе в предоставлении возможности лечения по месту проживания, а также сохранением проблемы переполненности (ст. 10). </w:t>
      </w:r>
    </w:p>
    <w:p w14:paraId="58895A9C" w14:textId="77777777" w:rsidR="00475FEB" w:rsidRPr="00EF510D" w:rsidRDefault="00475FEB" w:rsidP="00475FEB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продолжать принимать эффективные меры, чтобы обеспечить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(Правила Нельсона Манделы) и другим соответствующим международным стандартам.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286609F6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укреплять меры, направленные на прекращение и недопущение переполненности, в частности за счет ускоренного строительства новых пенитенциарных учреждений, а также за счет расширения применения альтернативных заключению под стражу мер пресечения и не связанных с тюремным заключением наказаний, как это предусмотрено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  <w:r>
        <w:t xml:space="preserve"> </w:t>
      </w:r>
    </w:p>
    <w:p w14:paraId="6D98DC6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 xml:space="preserve">решить проблему переполненности психиатрических больниц, в которых люди содержатся в условиях лишения свободы, в частности ускорить строительство «Специальной больницы» в тюремном комплексе в </w:t>
      </w:r>
      <w:proofErr w:type="spellStart"/>
      <w:r>
        <w:rPr>
          <w:b/>
          <w:bCs/>
        </w:rPr>
        <w:t>Спуже</w:t>
      </w:r>
      <w:proofErr w:type="spellEnd"/>
      <w:r>
        <w:rPr>
          <w:b/>
          <w:bCs/>
        </w:rPr>
        <w:t xml:space="preserve"> и обеспечить адекватное финансирование и эффективную реализацию стратегии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на 2025–2028 годы, принятой в декабре 2024 года;</w:t>
      </w:r>
    </w:p>
    <w:p w14:paraId="1C4D85C3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активизировать усилия по улучшению материальных условий во всех местах лишения свободы, в том числе путем реновации существующих объектов.</w:t>
      </w:r>
    </w:p>
    <w:p w14:paraId="651151FE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64837A67" w14:textId="77777777" w:rsidR="00475FEB" w:rsidRPr="00EF510D" w:rsidRDefault="00475FEB" w:rsidP="00475FEB">
      <w:pPr>
        <w:pStyle w:val="SingleTxtG"/>
      </w:pPr>
      <w:r>
        <w:t>32.</w:t>
      </w:r>
      <w:r>
        <w:tab/>
        <w:t xml:space="preserve">Ссылаясь на свои предыдущие заключительные замечания (п. 14), Комитет приветствует продолжающиеся усилия государства-участника по борьбе с торговлей людьми, в том числе активизацию расследований и судебного преследования, введение положения о </w:t>
      </w:r>
      <w:proofErr w:type="spellStart"/>
      <w:r>
        <w:t>ненаказании</w:t>
      </w:r>
      <w:proofErr w:type="spellEnd"/>
      <w:r>
        <w:t xml:space="preserve"> жертв торговли людьми и классификацию торговли детьми в качестве отдельного состава уголовного преступления. Однако Комитет обеспокоен сообщениями о недостатках в процедуре выявления жертв торговли людьми, особенно в целях трудовой и сексуальной эксплуатации, а также нехваткой приютов и специализированных услуг, особенно в районах за пределами центрального региона страны (ст. 8).</w:t>
      </w:r>
    </w:p>
    <w:p w14:paraId="22FBA84C" w14:textId="77777777" w:rsidR="00475FEB" w:rsidRPr="00EF510D" w:rsidRDefault="00475FEB" w:rsidP="00475FE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2B742E26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 xml:space="preserve">активизировать усилия по выявлению жертв или потенциальных жертв, особенно среди групп, находящихся в уязвимом положении, включая сезонных рабочих, транзитных мигрантов, просителей убежища и представителей сообществ рома, </w:t>
      </w:r>
      <w:proofErr w:type="spellStart"/>
      <w:r>
        <w:rPr>
          <w:b/>
          <w:bCs/>
        </w:rPr>
        <w:t>ашкали</w:t>
      </w:r>
      <w:proofErr w:type="spellEnd"/>
      <w:r>
        <w:rPr>
          <w:b/>
          <w:bCs/>
        </w:rPr>
        <w:t xml:space="preserve"> и египтян;</w:t>
      </w:r>
    </w:p>
    <w:p w14:paraId="231B26AC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укрепить Управление по борьбе с торговлей людьми, в том числе за счет увеличения его ресурсов и назначения специализированных сотрудников в региональные отделения;</w:t>
      </w:r>
    </w:p>
    <w:p w14:paraId="63A7572B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укреплять потенциал трудовых инспекторов и сотрудников правоохранительных органов в целях более эффективного выявления случаев торговли людьми (особенно в ситуациях трудовой и сексуальной эксплуатации)</w:t>
      </w:r>
      <w:r w:rsidRPr="00895983">
        <w:rPr>
          <w:b/>
          <w:bCs/>
        </w:rPr>
        <w:t xml:space="preserve"> </w:t>
      </w:r>
      <w:r>
        <w:rPr>
          <w:b/>
          <w:bCs/>
        </w:rPr>
        <w:t>и реагирования на них;</w:t>
      </w:r>
    </w:p>
    <w:p w14:paraId="25C7FFCA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увеличить количество мест в приютах и создать отдельные учреждения для детей и взрослых жертв мужского пола, обеспечив наличие приютов на адекватном уровне на всей территории государства-участника;</w:t>
      </w:r>
    </w:p>
    <w:p w14:paraId="04ACA2D5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обеспечить доступ к адекватным, устойчивым и финансируемым государством службам поддержки жертв, в частности оказывающим юридическую помощь и психосоциальную поддержку и реализующими программы реинтеграции;</w:t>
      </w:r>
    </w:p>
    <w:p w14:paraId="6DEF6C90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улучшить доступ к компенсации, в том числе путем разъяснения жертвам их права на получение компенсации в ходе судебного разбирательства.</w:t>
      </w:r>
    </w:p>
    <w:p w14:paraId="1524D071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Мигранты, просители убежища и недопустимость принудительного возвращения</w:t>
      </w:r>
      <w:r>
        <w:t xml:space="preserve"> </w:t>
      </w:r>
    </w:p>
    <w:p w14:paraId="405D49E8" w14:textId="77777777" w:rsidR="00475FEB" w:rsidRPr="00EF510D" w:rsidRDefault="00475FEB" w:rsidP="00475FEB">
      <w:pPr>
        <w:pStyle w:val="SingleTxtG"/>
      </w:pPr>
      <w:r>
        <w:t>34.</w:t>
      </w:r>
      <w:r>
        <w:tab/>
        <w:t xml:space="preserve">Комитет приветствует принятие в 2016 году Закона о временной и международной защите иностранцев и выражает признательность за введение государством-участником в 2022 году режима временной защиты в ответ на массовое прибытие беженцев из Украины. Однако Комитет обеспокоен сообщениями о том, что эффективный доступ к процедурам предоставления убежища не обеспечивается на систематической основе, в том числе сообщениями о вытеснении на границах, а также предполагаемыми случаями жестокого обращения с мигрантами и просителями убежища, нелегально въезжающими на территорию государства-участника (ст. 7 и 13). </w:t>
      </w:r>
    </w:p>
    <w:p w14:paraId="55E90E5D" w14:textId="77777777" w:rsidR="00475FEB" w:rsidRPr="00EF510D" w:rsidRDefault="00475FEB" w:rsidP="00475FE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68D8F1C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принять конкретные меры для обеспечения ориентированности режима управления границами на защиту и для соблюдения принципа недопустимости принудительного возвращения, в том числе путем эффективного осуществления Закона о временной и международной защите иностранцев;</w:t>
      </w:r>
      <w:r>
        <w:t xml:space="preserve"> </w:t>
      </w:r>
    </w:p>
    <w:p w14:paraId="65BF6F7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обеспечить эффективный доступ к механизмам подачи жалоб и оперативное, тщательное и независимое расследование всех утверждений о вытеснении и жестоком обращении на границе, а также наказание лиц, признанных виновными, соразмерно тяжести совершенного преступления;</w:t>
      </w:r>
    </w:p>
    <w:p w14:paraId="7C255B09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обеспечить надлежащую подготовку сотрудников пограничного контроля и других соответствующих должностных лиц по международным стандартам, в том числе по принципу недопустимости принудительного возвращения, а также по вопросам выявления и направления в соответствующие службы лиц с особой уязвимостью и потребностями в защите;</w:t>
      </w:r>
      <w:r>
        <w:t xml:space="preserve"> </w:t>
      </w:r>
    </w:p>
    <w:p w14:paraId="40226ACC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обеспечить эффективный доступ для независимого мониторинга системы управления границами и центров временного содержания мигрантов.</w:t>
      </w:r>
    </w:p>
    <w:p w14:paraId="0367D7C6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Отправление правосудия и независимость судебных органов</w:t>
      </w:r>
    </w:p>
    <w:p w14:paraId="41CD7B3B" w14:textId="77777777" w:rsidR="00475FEB" w:rsidRPr="00EF510D" w:rsidRDefault="00475FEB" w:rsidP="00475FEB">
      <w:pPr>
        <w:pStyle w:val="SingleTxtG"/>
      </w:pPr>
      <w:r>
        <w:t>36.</w:t>
      </w:r>
      <w:r>
        <w:tab/>
        <w:t>Ссылаясь на свои предыдущие заключительные замечания (п. 15), Комитет приветствует внесение в июне 2024 года поправок в Закон о Судебном совете и судьях, направленных, в частности, на укрепление гарантий защиты от политического влияния и конфликта интересов. Он приветствует также сделанное в ходе диалога заявление представителей делегации о том, что в Конституцию будут внесены поправки, в соответствии с которыми министр юстиции выйдет из состава Судебного совета. Комитет обеспокоен отсутствием ясности в отношении возраста выхода на пенсию членов Конституционного суда и соблюдения ограничений срока полномочий председателей судов. Комитет выражает сожаление по поводу чрезмерной длительности разбирательств, отмечая значительное число нерассмотренных уголовных, гражданских и административных дел, а также дел, находящихся на рассмотрении в Конституционном суде. Комитет обеспокоен сообщениями о нехватке судей и судебных работников, а также неудовлетворительными условиями работы судей и прокуроров, включая недостаточное количество залов заседаний и следственных палат (ст. 14).</w:t>
      </w:r>
      <w:bookmarkStart w:id="1" w:name="_Hlk192610925"/>
      <w:bookmarkEnd w:id="1"/>
    </w:p>
    <w:p w14:paraId="02FD5809" w14:textId="77777777" w:rsidR="00475FEB" w:rsidRPr="00EF510D" w:rsidRDefault="00475FEB" w:rsidP="00475FE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продолжать усилия по укреплению независимости судебных органов, в частности путем обеспечения эффективного осуществления Закона о Судебном совете и судьях, в том числе в отношении соблюдения ограничений срока полномочий лиц, занимающих должность председателя суда.</w:t>
      </w:r>
      <w:r>
        <w:t xml:space="preserve"> </w:t>
      </w:r>
      <w:r>
        <w:rPr>
          <w:b/>
          <w:bCs/>
        </w:rPr>
        <w:t>Ему следует также принять необходимые меры для уточнения возраста выхода на пенсию членов Конституционного суда.</w:t>
      </w:r>
      <w:r>
        <w:t xml:space="preserve"> </w:t>
      </w:r>
      <w:r>
        <w:rPr>
          <w:b/>
          <w:bCs/>
        </w:rPr>
        <w:t>В дополнение к этому государству-участнику следует существенно нарастить финансирование системы правосудия, чтобы устранить факторы неэффективности и задержки, а также сократить количество накопившихся нерассмотренных дел.</w:t>
      </w:r>
      <w:r>
        <w:t xml:space="preserve"> </w:t>
      </w:r>
      <w:r>
        <w:rPr>
          <w:b/>
          <w:bCs/>
        </w:rPr>
        <w:t>Это предполагает, в частности, увеличение числа судей и судебных работников и развитие материально-технической базы судебных учреждений.</w:t>
      </w:r>
    </w:p>
    <w:p w14:paraId="4C26FD54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Юридическая помощь</w:t>
      </w:r>
    </w:p>
    <w:p w14:paraId="0ED151DE" w14:textId="77777777" w:rsidR="00475FEB" w:rsidRPr="00EF510D" w:rsidRDefault="00475FEB" w:rsidP="00475FEB">
      <w:pPr>
        <w:pStyle w:val="SingleTxtG"/>
      </w:pPr>
      <w:r>
        <w:t>38.</w:t>
      </w:r>
      <w:r>
        <w:tab/>
        <w:t>Ссылаясь на свои предыдущие заключительные замечания (п. 16), Комитет приветствует поправки к Закону о юридической помощи, внесенные в 2024 году в целях укрепления процессуальных гарантий, в соответствии с которыми на лиц, пострадавших от пыток и сексуальных преступлений, а также на детей, инициирующих судебные разбирательства для защиты своих прав, было распространено право на получение юридической помощи. Вместе с тем Комитет обеспокоен сообщениями о том, что жертвы торговли людьми и лица, ходатайствующие о международной защите, сталкиваются с трудностями в получении эффективного доступа к бесплатной юридической помощи, что пострадавшие от домашнего насилия не имеют доступа к юридической помощи, если они ранее отзывали свой иск, и что неправительственные организации не имеют права на получение государственных ассигнований на цели предоставления бесплатной юридической помощи. Комитет обеспокоен также сообщениями о том, что бесплатная юридическая помощь не предоставляется лицам, подверженным риску безгражданства, и лицам, нуждающимся в международной защите, в рамках процедур регистрации рождения, определения безгражданства и определения статуса беженца, за исключением апелляций в рамках процедур определения статуса беженца, подаваемых в Административный суд (ст. 14).</w:t>
      </w:r>
    </w:p>
    <w:p w14:paraId="0F3E6DAB" w14:textId="77777777" w:rsidR="00475FEB" w:rsidRPr="00EF510D" w:rsidRDefault="00475FEB" w:rsidP="00475FEB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принять необходимые меры для обеспечения эффективного доступа к бесплатной юридической помощи для жертв торговли людьми и лиц, ходатайствующих о международной защите, устранить препятствия для получения юридической помощи, с которыми сталкиваются жертвы домашнего насилия, и внести поправки в Закон о бесплатной юридической помощи, чтобы наделить неправительственные организации правом предоставлять бесплатную юридическую помощь при финансовой поддержке государства.</w:t>
      </w:r>
      <w:r>
        <w:t xml:space="preserve"> </w:t>
      </w:r>
      <w:r>
        <w:rPr>
          <w:b/>
          <w:bCs/>
        </w:rPr>
        <w:t>Государству-участнику следует внести поправки в Закон о бесплатной юридической помощи и другие соответствующие законодательные акты, чтобы охватить бесплатной юридической помощью всех лиц, подверженных риску безгражданства, и лиц, нуждающихся в международной защите, в рамках процедур регистрации рождения, определения безгражданства и определения статуса беженца как на стадии рассмотрения первоначального заявления, так и на стадии обжалования.</w:t>
      </w:r>
      <w:r>
        <w:t xml:space="preserve"> </w:t>
      </w:r>
    </w:p>
    <w:p w14:paraId="6901FF8D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0CB5BA8A" w14:textId="77777777" w:rsidR="00475FEB" w:rsidRPr="00EF510D" w:rsidRDefault="00475FEB" w:rsidP="00475FEB">
      <w:pPr>
        <w:pStyle w:val="SingleTxtG"/>
      </w:pPr>
      <w:r>
        <w:t>40.</w:t>
      </w:r>
      <w:r>
        <w:tab/>
        <w:t>Комитет отмечает меры, принятые в целях укрепления Агентства по защите персональных данных и обеспечению свободного доступа к информации, которые включают увеличение штата его сотрудников. Он отмечает также учебные инициативы в области защиты данных и права на неприкосновенность частной жизни, ориентированные на сотрудников Агентства и других государственных должностных лиц, неправительственные организации, средства массовой информации и широкую общественность. Вместе с тем Комитет обеспокоен утверждениями о негласном наблюдении, осуществлявшемся по приказу бывшего директора Агентства национальной безопасности, и недостаточностью существующих гарантий неприкосновенности частной жизни, предусмотренных в Законе об Агентстве национальной безопасности, отмечая, что статья 8 этого закона разрешает доступ к базам данных, принадлежащим юридическим лицам, включая банки и неправительственные организации, без санкции суда (ст. 17).</w:t>
      </w:r>
    </w:p>
    <w:p w14:paraId="32C1EC57" w14:textId="77777777" w:rsidR="00475FEB" w:rsidRPr="00EF510D" w:rsidRDefault="00475FEB" w:rsidP="00475FE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продолжать усилия по повышению осведомленности о защите данных и праве на неприкосновенность частной жизни и ускорить принятие законопроекта о внесении поправок в Закон об Агентстве национальной безопасности, обеспечив наличие в нем правовых и процедурных гарантий с целью недопущения, в полном соответствии с Пактом и соответствующими международными стандартами, злоупотребления полномочиями на осуществление негласного наблюдения.</w:t>
      </w:r>
      <w:r>
        <w:t xml:space="preserve"> </w:t>
      </w:r>
    </w:p>
    <w:p w14:paraId="5494A5E3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  <w:r>
        <w:t xml:space="preserve"> </w:t>
      </w:r>
    </w:p>
    <w:p w14:paraId="65ACDEF6" w14:textId="77777777" w:rsidR="00475FEB" w:rsidRPr="00EF510D" w:rsidRDefault="00475FEB" w:rsidP="00475FEB">
      <w:pPr>
        <w:pStyle w:val="SingleTxtG"/>
      </w:pPr>
      <w:r>
        <w:t>42.</w:t>
      </w:r>
      <w:r>
        <w:tab/>
        <w:t xml:space="preserve">Приветствуя усилия государства-участника по обеспечению свободы религии, в частности путем принятия законодательных мер, запрещающих религиозную дискриминацию, и сотрудничества с проживающими в стране религиозными общинами, Комитет выражает обеспокоенность в связи с сообщениями об учащении религиозно мотивированных проявлений языка ненависти, в частности в отношении мусульман. Комитет принимает к сведению заявление делегации о том, что будет принят закон, регулирующий возврат имущества религиозным общинам, но при этом сожалеет об отсутствии информации о спорах, касающихся религиозного имущества, что не позволяет ему дать обоснованную оценку таким спорам (ст. 18). </w:t>
      </w:r>
    </w:p>
    <w:p w14:paraId="33F279FB" w14:textId="77777777" w:rsidR="00475FEB" w:rsidRPr="00EF510D" w:rsidRDefault="00475FEB" w:rsidP="00475FE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принять надлежащие меры по предупреждению и пресечению проявлений языка ненависти в отношении религиозных групп, включая меры, позволяющие избежать имущественных споров между религиозными общинами</w:t>
      </w:r>
      <w:r w:rsidRPr="00FA13C7">
        <w:rPr>
          <w:b/>
          <w:bCs/>
        </w:rPr>
        <w:t xml:space="preserve"> </w:t>
      </w:r>
      <w:r>
        <w:rPr>
          <w:b/>
          <w:bCs/>
        </w:rPr>
        <w:t>или урегулировать их.</w:t>
      </w:r>
      <w:r>
        <w:t xml:space="preserve"> </w:t>
      </w:r>
      <w:r>
        <w:rPr>
          <w:b/>
          <w:bCs/>
        </w:rPr>
        <w:t>Государству-участнику следует также принять необходимые меры для урегулирования имущественных споров между религиозными группами и государством, в том числе путем принятия закона, регулирующего возврат имущества религиозным общинам в полном соответствии с положениями Пакта.</w:t>
      </w:r>
      <w:r>
        <w:t xml:space="preserve"> </w:t>
      </w:r>
    </w:p>
    <w:p w14:paraId="783E5A43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  <w:r>
        <w:t xml:space="preserve"> </w:t>
      </w:r>
    </w:p>
    <w:p w14:paraId="0B19B281" w14:textId="77777777" w:rsidR="00475FEB" w:rsidRPr="00EF510D" w:rsidRDefault="00475FEB" w:rsidP="00475FEB">
      <w:pPr>
        <w:pStyle w:val="SingleTxtG"/>
      </w:pPr>
      <w:r>
        <w:t>44.</w:t>
      </w:r>
      <w:r>
        <w:tab/>
        <w:t xml:space="preserve">Ссылаясь на свои предыдущие заключительные замечания (п. 21), Комитет приветствует меры, принятые государством-участником для лучшего обеспечения безопасности журналистов, в частности принятие обязательных руководящих принципов ведения прокурорами дел, связанных с нападениями на журналистов, внесение поправок в Уголовный кодекс для усиления защиты журналистов положениями уголовного права, а также активную поддержку многосторонней Комиссии по мониторингу расследований нападений на журналистов, в состав которой входят два прокурора. Вместе с тем Комитет по-прежнему обеспокоен сообщениями о том, что в последние годы участились случаи угроз в адрес журналистов и нападений на них, а также отсутствием полной ответственности за события, произошедшие несколько лет назад, к которым относятся убийство журналиста Душко Йовановича в 2004 году и вооруженное покушение на Оливеру </w:t>
      </w:r>
      <w:proofErr w:type="spellStart"/>
      <w:r>
        <w:t>Лакич</w:t>
      </w:r>
      <w:proofErr w:type="spellEnd"/>
      <w:r>
        <w:t xml:space="preserve"> в 2018 году (ст. 2, 6, 7 и 19). </w:t>
      </w:r>
    </w:p>
    <w:p w14:paraId="73E1C392" w14:textId="77777777" w:rsidR="00475FEB" w:rsidRPr="00EF510D" w:rsidRDefault="00475FEB" w:rsidP="00475FE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В соответствии с замечанием общего порядка № 34 (2011) Комитета о свободе мнений и их выражения государству-участнику следует:</w:t>
      </w:r>
    </w:p>
    <w:p w14:paraId="3718A789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быстрое, независимое и беспристрастное расследование всех сообщений об угрозах в адрес журналистов и насильственных нападениях на них, привлекать подозреваемых к ответственности, оперативно судить их и, в случае доказанности их вины, назначать им наказание, соразмерное тяжести совершенного преступления, а также предоставлять жертвам возмещение ущерба;</w:t>
      </w:r>
    </w:p>
    <w:p w14:paraId="47DFF109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 xml:space="preserve">обеспечить Комиссии по мониторингу </w:t>
      </w:r>
      <w:r w:rsidRPr="00775575">
        <w:rPr>
          <w:b/>
          <w:bCs/>
        </w:rPr>
        <w:t xml:space="preserve">расследований </w:t>
      </w:r>
      <w:r>
        <w:rPr>
          <w:b/>
          <w:bCs/>
        </w:rPr>
        <w:t>нападений на журналистов доступ ко всей информации, необходимой ей для эффективного выполнения своих функций, а также достаточные ресурсы;</w:t>
      </w:r>
    </w:p>
    <w:p w14:paraId="752EBDEF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создать национальный механизм обеспечения безопасности журналистов и работников СМИ, наделив его мандатом на предупреждение нападений на сотрудников СМИ и реагирование на них.</w:t>
      </w:r>
    </w:p>
    <w:p w14:paraId="1D396799" w14:textId="77777777" w:rsidR="00475FEB" w:rsidRPr="00EF510D" w:rsidRDefault="00475FEB" w:rsidP="00475FEB">
      <w:pPr>
        <w:pStyle w:val="SingleTxtG"/>
      </w:pPr>
      <w:r>
        <w:t>46.</w:t>
      </w:r>
      <w:r>
        <w:tab/>
        <w:t xml:space="preserve">Комитет обеспокоен сообщениями о широком распространении стратегических исков против участия общественности, часто в форме исков о диффамации, целью которых является запугивание и принуждение к молчанию журналистов и работников СМИ, освещающих вопросы, представляющие общественный интерес. Комитет сожалеет, что от государства-участника не было получено информации об исходе соответствующих разбирательств и о средствах правовой защиты, которыми могут воспользоваться журналисты и работники СМИ. Отмечая планируемое принятие пересмотренного закона о доступе к информации в соответствии с международными стандартами и намерение государства-участника активно работать над увеличением объема информации, доступной общественности, Комитет сожалеет о том, что не было получено разъяснительной информации в связи с сообщениями о растущей тенденции засекречивания общественной информации без четких оснований, а также об отсутствии определенности в отношении того, как пересмотренный закон будет способствовать решению этой проблемы. Отмечая наличие средств правовой защиты в тех случаях, когда государственные органы не отвечают на запросы о предоставлении информации или отвечают на них с задержкой, Комитет обеспокоен большим количеством жалоб, поданных в этой связи (ст. 19). </w:t>
      </w:r>
    </w:p>
    <w:p w14:paraId="3E48101B" w14:textId="77777777" w:rsidR="00475FEB" w:rsidRPr="00EF510D" w:rsidRDefault="00475FEB" w:rsidP="00475FEB">
      <w:pPr>
        <w:pStyle w:val="SingleTxtG"/>
        <w:keepNext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следует:</w:t>
      </w:r>
    </w:p>
    <w:p w14:paraId="6D9EA623" w14:textId="77777777" w:rsidR="00475FEB" w:rsidRPr="00EF510D" w:rsidRDefault="00475FEB" w:rsidP="00475FEB">
      <w:pPr>
        <w:pStyle w:val="SingleTxtG"/>
        <w:keepNext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обеспечить гарантии, препятствующие использованию стратегических исков против участия общественности для преследования или ограничения деятельности журналистов, правозащитников и средств массовой информации или препятствования публикации критически важной информации по вопросам, представляющим общественный интерес;</w:t>
      </w:r>
    </w:p>
    <w:p w14:paraId="7A586DBE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ускорить разработку и принятие пересмотренного закона о доступе к информации в соответствии с международными стандартами, обеспечив, в частности, чтобы он гарантировал частным лицам максимально широкий доступ к информации, представляющей общественный интерес, а предусмотренные ограничения были минимальными и четко определенными;</w:t>
      </w:r>
      <w:r>
        <w:t xml:space="preserve"> </w:t>
      </w:r>
    </w:p>
    <w:p w14:paraId="2D771AEB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принять необходимые меры для обеспечения оперативного и надлежащего ответа властей на запросы о предоставлении информации;</w:t>
      </w:r>
    </w:p>
    <w:p w14:paraId="4D507DD1" w14:textId="77777777" w:rsidR="00475FEB" w:rsidRPr="00EF510D" w:rsidRDefault="00475FEB" w:rsidP="00475FEB">
      <w:pPr>
        <w:pStyle w:val="SingleTxtG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продолжать и наращивать усилия по активному размещению большего объема информации в открытом доступе, в том числе онлайн, на официальных языках и в форматах, доступных для людей с различными видами инвалидности.</w:t>
      </w:r>
      <w:r>
        <w:t xml:space="preserve"> </w:t>
      </w:r>
    </w:p>
    <w:p w14:paraId="23F7899A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  <w:r>
        <w:t xml:space="preserve"> </w:t>
      </w:r>
    </w:p>
    <w:p w14:paraId="6A66A824" w14:textId="77777777" w:rsidR="00475FEB" w:rsidRPr="00EF510D" w:rsidRDefault="00475FEB" w:rsidP="00475FEB">
      <w:pPr>
        <w:pStyle w:val="SingleTxtG"/>
      </w:pPr>
      <w:r>
        <w:t>48.</w:t>
      </w:r>
      <w:r>
        <w:tab/>
        <w:t>Признавая наличие открытого и плюралистического гражданского пространства в государстве-участнике, Комитет обеспокоен сообщениями о том, что гражданское общество, включая неправительственные организации, отстаивающие права человека или демократию, защищающие права женщин и лесбиянок, геев, бисексуальных и трансгендерных людей или занимающиеся вопросами коррупции, сталкиваются с запугиванием, проявлениями языка ненависти, а иногда и с физическими нападениями и подвергаются угрозам и словесным нападкам со стороны высокопоставленных политических деятелей. Отмечая, что роль гражданского общества в законодательных и политических процессах официально закреплена в законе, Комитет обеспокоен сообщениями о том, что с гражданским обществом не проводятся систематические консультации и что его значимое участие в таких процессах не обеспечивается (ст. 22).</w:t>
      </w:r>
      <w:bookmarkStart w:id="2" w:name="_Hlk192744750"/>
      <w:bookmarkEnd w:id="2"/>
    </w:p>
    <w:p w14:paraId="7F4D6D0D" w14:textId="77777777" w:rsidR="00475FEB" w:rsidRPr="00EF510D" w:rsidRDefault="00475FEB" w:rsidP="00475FE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надлежит принять все меры, необходимые для того, чтобы гарантировать, в законодательном порядке и на практике, реальное осуществление права на свободу ассоциации и безопасные и благоприятные условия для работы неправительственных организаций.</w:t>
      </w:r>
      <w:r>
        <w:t xml:space="preserve"> </w:t>
      </w:r>
      <w:r>
        <w:rPr>
          <w:b/>
          <w:bCs/>
        </w:rPr>
        <w:t>Ему следует принять надлежащие меры для обеспечения эффективного участия гражданского общества в законодательных и политических процессах и обеспечить расследование угроз, проявлений языка ненависти и актов насилия в отношении представителей гражданского общества, а также адекватное наказание нарушителей, если они будут признаны виновными в совершении преступных деяний.</w:t>
      </w:r>
    </w:p>
    <w:p w14:paraId="585D9537" w14:textId="77777777" w:rsidR="00475FEB" w:rsidRPr="00EF510D" w:rsidRDefault="00475FEB" w:rsidP="00475FEB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  <w:r>
        <w:t xml:space="preserve"> </w:t>
      </w:r>
    </w:p>
    <w:p w14:paraId="193244D0" w14:textId="77777777" w:rsidR="00475FEB" w:rsidRPr="00EF510D" w:rsidRDefault="00475FEB" w:rsidP="00475FEB">
      <w:pPr>
        <w:pStyle w:val="SingleTxtG"/>
      </w:pPr>
      <w:r>
        <w:t>50.</w:t>
      </w:r>
      <w:r>
        <w:tab/>
        <w:t xml:space="preserve">Отмечая, что в парламенте начался процесс всеобъемлющего реформирования избирательной системы, Комитет обеспокоен медленным ходом проведения необходимых реформ, призванных обеспечить соответствие избирательного законодательства Пакту и соответствующим международным стандартам. Комитет обеспокоен тем, что действующая система не обеспечивает адекватного регулирования и надзора за финансированием избирательных кампаний, в том числе в отношении регулирования участия третьих сторон в избирательных кампаниях, предоставления займов и пожертвований в натуральной форме (ст. 25). </w:t>
      </w:r>
    </w:p>
    <w:p w14:paraId="38868D45" w14:textId="77777777" w:rsidR="00475FEB" w:rsidRPr="00EF510D" w:rsidRDefault="00475FEB" w:rsidP="00475FEB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 ускорить реформу своей избирательной системы в целях обеспечения ее соответствия Пакту и соответствующим международным стандартам.</w:t>
      </w:r>
      <w:r>
        <w:t xml:space="preserve"> </w:t>
      </w:r>
      <w:r>
        <w:rPr>
          <w:b/>
          <w:bCs/>
        </w:rPr>
        <w:t>В этой связи ему следует ускорить внесение поправок в Закон о финансировании политических структур и избирательных кампаний, чтобы обеспечить эффективный и транспарентный контроль за финансированием избирательных кампаний и сдерживающие санкции за нарушения, в том числе путем расширения контрольных полномочий Агентства по предупреждению коррупции.</w:t>
      </w:r>
    </w:p>
    <w:p w14:paraId="1CE66244" w14:textId="77777777" w:rsidR="00475FEB" w:rsidRPr="00EF510D" w:rsidRDefault="00475FEB" w:rsidP="00475FEB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  <w:r>
        <w:t xml:space="preserve"> </w:t>
      </w:r>
    </w:p>
    <w:p w14:paraId="4D548825" w14:textId="77777777" w:rsidR="00475FEB" w:rsidRPr="00EF510D" w:rsidRDefault="00475FEB" w:rsidP="00475FEB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обоих факультативных протоколов к нему, своего второго периодического доклада и настоящих заключительных замечаний, чтобы повысить уровень осведомленности о закрепленных в Пакте правах среди работников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Start w:id="3" w:name="_Hlk168404895"/>
      <w:bookmarkEnd w:id="3"/>
    </w:p>
    <w:p w14:paraId="3EF7CB2F" w14:textId="77777777" w:rsidR="00475FEB" w:rsidRPr="00EF510D" w:rsidRDefault="00475FEB" w:rsidP="00475FEB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28 марта 2028 года информацию об осуществлении рекомендаций, вынесенных Комитетом в пунктах 17 (дискриминация по признакам сексуальной ориентации и гендерной идентичности), 31 (условия содержания в местах лишения свободы) и 47 (свобода выражения мнений) выше.</w:t>
      </w:r>
    </w:p>
    <w:p w14:paraId="433A9873" w14:textId="5F03B5B8" w:rsidR="00475FEB" w:rsidRPr="00EF510D" w:rsidRDefault="00475FEB" w:rsidP="00475FEB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предсказуемым циклом проведения обзоров государство-участник в 2031 году получит от Комитета перечень вопросов, подлежащих рассмотрению до представления доклада, и от него будет ожидаться, что в течение года оно представит свои ответы на эти вопросы, которые лягут в основу третьего периодического доклада государства-участника.</w:t>
      </w:r>
      <w:r>
        <w:t xml:space="preserve"> </w:t>
      </w:r>
      <w:r>
        <w:rPr>
          <w:b/>
          <w:bCs/>
        </w:rPr>
        <w:t>Комитет просит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</w:t>
      </w:r>
      <w:r w:rsidR="006F2269">
        <w:rPr>
          <w:lang w:val="en-US"/>
        </w:rPr>
        <w:t> </w:t>
      </w:r>
      <w:bookmarkStart w:id="4" w:name="_Hlk200002940"/>
      <w:r w:rsidR="006F2269">
        <w:rPr>
          <w:b/>
          <w:bCs/>
        </w:rPr>
        <w:fldChar w:fldCharType="begin"/>
      </w:r>
      <w:r w:rsidR="006F2269">
        <w:rPr>
          <w:b/>
          <w:bCs/>
        </w:rPr>
        <w:instrText>HYPERLINK "https://docs.un.org/ru/A/RES/68/268"</w:instrText>
      </w:r>
      <w:r w:rsidR="006F2269">
        <w:rPr>
          <w:b/>
          <w:bCs/>
        </w:rPr>
      </w:r>
      <w:r w:rsidR="006F2269">
        <w:rPr>
          <w:b/>
          <w:bCs/>
        </w:rPr>
        <w:fldChar w:fldCharType="separate"/>
      </w:r>
      <w:r w:rsidRPr="006F2269">
        <w:rPr>
          <w:rStyle w:val="af1"/>
          <w:b/>
          <w:bCs/>
        </w:rPr>
        <w:t>68/268</w:t>
      </w:r>
      <w:r w:rsidR="006F2269">
        <w:rPr>
          <w:b/>
          <w:bCs/>
        </w:rPr>
        <w:fldChar w:fldCharType="end"/>
      </w:r>
      <w:bookmarkEnd w:id="4"/>
      <w:r>
        <w:rPr>
          <w:b/>
          <w:bCs/>
        </w:rPr>
        <w:t xml:space="preserve">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2033 году в Женеве.</w:t>
      </w:r>
      <w:r>
        <w:t xml:space="preserve"> </w:t>
      </w:r>
    </w:p>
    <w:p w14:paraId="4707E3A6" w14:textId="6A230688" w:rsidR="00381C24" w:rsidRPr="00B7393D" w:rsidRDefault="00475FEB" w:rsidP="00475FEB">
      <w:pPr>
        <w:spacing w:before="240"/>
        <w:jc w:val="center"/>
        <w:rPr>
          <w:u w:val="single"/>
        </w:rPr>
      </w:pPr>
      <w:r w:rsidRPr="00EF510D">
        <w:rPr>
          <w:u w:val="single"/>
        </w:rPr>
        <w:tab/>
      </w:r>
      <w:r w:rsidRPr="00EF510D">
        <w:rPr>
          <w:u w:val="single"/>
        </w:rPr>
        <w:tab/>
      </w:r>
      <w:r w:rsidRPr="00EF510D">
        <w:rPr>
          <w:u w:val="single"/>
        </w:rPr>
        <w:tab/>
      </w:r>
    </w:p>
    <w:sectPr w:rsidR="00381C24" w:rsidRPr="00B7393D" w:rsidSect="00475F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D02BB" w14:textId="77777777" w:rsidR="002835BF" w:rsidRPr="00A312BC" w:rsidRDefault="002835BF" w:rsidP="00A312BC"/>
  </w:endnote>
  <w:endnote w:type="continuationSeparator" w:id="0">
    <w:p w14:paraId="05DC0D62" w14:textId="77777777" w:rsidR="002835BF" w:rsidRPr="00A312BC" w:rsidRDefault="002835B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81131" w14:textId="24DD57A4" w:rsidR="00475FEB" w:rsidRPr="00475FEB" w:rsidRDefault="00475FEB">
    <w:pPr>
      <w:pStyle w:val="a8"/>
    </w:pPr>
    <w:r w:rsidRPr="00475FEB">
      <w:rPr>
        <w:b/>
        <w:sz w:val="18"/>
      </w:rPr>
      <w:fldChar w:fldCharType="begin"/>
    </w:r>
    <w:r w:rsidRPr="00475FEB">
      <w:rPr>
        <w:b/>
        <w:sz w:val="18"/>
      </w:rPr>
      <w:instrText xml:space="preserve"> PAGE  \* MERGEFORMAT </w:instrText>
    </w:r>
    <w:r w:rsidRPr="00475FEB">
      <w:rPr>
        <w:b/>
        <w:sz w:val="18"/>
      </w:rPr>
      <w:fldChar w:fldCharType="separate"/>
    </w:r>
    <w:r w:rsidRPr="00475FEB">
      <w:rPr>
        <w:b/>
        <w:noProof/>
        <w:sz w:val="18"/>
      </w:rPr>
      <w:t>2</w:t>
    </w:r>
    <w:r w:rsidRPr="00475FEB">
      <w:rPr>
        <w:b/>
        <w:sz w:val="18"/>
      </w:rPr>
      <w:fldChar w:fldCharType="end"/>
    </w:r>
    <w:r>
      <w:rPr>
        <w:b/>
        <w:sz w:val="18"/>
      </w:rPr>
      <w:tab/>
    </w:r>
    <w:r>
      <w:t>GE.25-05340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0C09E" w14:textId="37CA0342" w:rsidR="00475FEB" w:rsidRPr="00475FEB" w:rsidRDefault="00475FEB" w:rsidP="00475FEB">
    <w:pPr>
      <w:pStyle w:val="a8"/>
      <w:tabs>
        <w:tab w:val="clear" w:pos="9639"/>
        <w:tab w:val="right" w:pos="9638"/>
      </w:tabs>
      <w:rPr>
        <w:b/>
        <w:sz w:val="18"/>
      </w:rPr>
    </w:pPr>
    <w:r>
      <w:t>GE.25-05340</w:t>
    </w:r>
    <w:r>
      <w:tab/>
    </w:r>
    <w:r w:rsidRPr="00475FEB">
      <w:rPr>
        <w:b/>
        <w:sz w:val="18"/>
      </w:rPr>
      <w:fldChar w:fldCharType="begin"/>
    </w:r>
    <w:r w:rsidRPr="00475FEB">
      <w:rPr>
        <w:b/>
        <w:sz w:val="18"/>
      </w:rPr>
      <w:instrText xml:space="preserve"> PAGE  \* MERGEFORMAT </w:instrText>
    </w:r>
    <w:r w:rsidRPr="00475FEB">
      <w:rPr>
        <w:b/>
        <w:sz w:val="18"/>
      </w:rPr>
      <w:fldChar w:fldCharType="separate"/>
    </w:r>
    <w:r w:rsidRPr="00475FEB">
      <w:rPr>
        <w:b/>
        <w:noProof/>
        <w:sz w:val="18"/>
      </w:rPr>
      <w:t>3</w:t>
    </w:r>
    <w:r w:rsidRPr="00475F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67EAB" w14:textId="579373CF" w:rsidR="00042B72" w:rsidRPr="00475FEB" w:rsidRDefault="00475FEB" w:rsidP="00475FE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4FD51B" wp14:editId="56C0811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05340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84E3653" wp14:editId="76835AA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280525  </w:t>
    </w:r>
    <w:r w:rsidR="00B7393D">
      <w:rPr>
        <w:lang w:val="en-US"/>
      </w:rPr>
      <w:t>10</w:t>
    </w:r>
    <w:r>
      <w:rPr>
        <w:lang w:val="en-US"/>
      </w:rPr>
      <w:t>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037A9" w14:textId="77777777" w:rsidR="002835BF" w:rsidRPr="001075E9" w:rsidRDefault="002835B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6882FA" w14:textId="77777777" w:rsidR="002835BF" w:rsidRDefault="002835B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FA35027" w14:textId="77777777" w:rsidR="00475FEB" w:rsidRPr="00EF510D" w:rsidRDefault="00475FEB" w:rsidP="00475FEB">
      <w:pPr>
        <w:pStyle w:val="ad"/>
      </w:pPr>
      <w:r>
        <w:tab/>
        <w:t>*</w:t>
      </w:r>
      <w:r>
        <w:tab/>
        <w:t>Приняты Комитетом на его 143-й сессии (3–28 марта 2025 года).</w:t>
      </w:r>
    </w:p>
  </w:footnote>
  <w:footnote w:id="2">
    <w:p w14:paraId="07468F49" w14:textId="264992CD" w:rsidR="00475FEB" w:rsidRPr="00EF510D" w:rsidRDefault="00475FEB" w:rsidP="00475FEB">
      <w:pPr>
        <w:pStyle w:val="ad"/>
      </w:pPr>
      <w:r w:rsidRPr="00EA15F7">
        <w:tab/>
      </w:r>
      <w:r w:rsidRPr="00EA15F7">
        <w:rPr>
          <w:rStyle w:val="aa"/>
        </w:rPr>
        <w:footnoteRef/>
      </w:r>
      <w:r>
        <w:tab/>
      </w:r>
      <w:hyperlink r:id="rId1" w:history="1">
        <w:r w:rsidRPr="00A77A5E">
          <w:rPr>
            <w:rStyle w:val="af1"/>
          </w:rPr>
          <w:t>CCPR/C/MNE/2</w:t>
        </w:r>
      </w:hyperlink>
      <w:r>
        <w:t>.</w:t>
      </w:r>
    </w:p>
  </w:footnote>
  <w:footnote w:id="3">
    <w:p w14:paraId="38F38FF4" w14:textId="0257758A" w:rsidR="00475FEB" w:rsidRPr="00EF510D" w:rsidRDefault="00475FEB" w:rsidP="00475FEB">
      <w:pPr>
        <w:pStyle w:val="ad"/>
      </w:pPr>
      <w:r w:rsidRPr="00EA15F7">
        <w:tab/>
      </w:r>
      <w:r w:rsidRPr="00EA15F7">
        <w:rPr>
          <w:rStyle w:val="aa"/>
        </w:rPr>
        <w:footnoteRef/>
      </w:r>
      <w:r>
        <w:tab/>
        <w:t xml:space="preserve">См. </w:t>
      </w:r>
      <w:hyperlink r:id="rId2" w:history="1">
        <w:r w:rsidRPr="00A77A5E">
          <w:rPr>
            <w:rStyle w:val="af1"/>
          </w:rPr>
          <w:t>CCPR/C/SR.4187</w:t>
        </w:r>
      </w:hyperlink>
      <w:r>
        <w:t xml:space="preserve"> и </w:t>
      </w:r>
      <w:hyperlink r:id="rId3" w:history="1">
        <w:r w:rsidRPr="00A77A5E">
          <w:rPr>
            <w:rStyle w:val="af1"/>
          </w:rPr>
          <w:t>CCPR/C/SR.4188</w:t>
        </w:r>
      </w:hyperlink>
      <w:r>
        <w:t>.</w:t>
      </w:r>
    </w:p>
  </w:footnote>
  <w:footnote w:id="4">
    <w:p w14:paraId="72E65276" w14:textId="44A0CDAE" w:rsidR="00475FEB" w:rsidRPr="00EF510D" w:rsidRDefault="00475FEB" w:rsidP="00475FEB">
      <w:pPr>
        <w:pStyle w:val="ad"/>
        <w:rPr>
          <w:lang w:val="fr-FR"/>
        </w:rPr>
      </w:pPr>
      <w:r w:rsidRPr="00EA15F7">
        <w:tab/>
      </w:r>
      <w:r w:rsidRPr="00EA15F7">
        <w:rPr>
          <w:rStyle w:val="aa"/>
        </w:rPr>
        <w:footnoteRef/>
      </w:r>
      <w:r w:rsidRPr="00EF510D">
        <w:rPr>
          <w:lang w:val="fr-FR"/>
        </w:rPr>
        <w:tab/>
      </w:r>
      <w:r>
        <w:fldChar w:fldCharType="begin"/>
      </w:r>
      <w:r w:rsidRPr="00E127A8">
        <w:rPr>
          <w:lang w:val="fr-CH"/>
        </w:rPr>
        <w:instrText>HYPERLINK "https://docs.un.org/ru/CCPR/C/MNE/QPR/2"</w:instrText>
      </w:r>
      <w:r>
        <w:fldChar w:fldCharType="separate"/>
      </w:r>
      <w:r w:rsidRPr="00A77A5E">
        <w:rPr>
          <w:rStyle w:val="af1"/>
          <w:lang w:val="fr-FR"/>
        </w:rPr>
        <w:t>CCPR/C/MNE/QPR/2</w:t>
      </w:r>
      <w:r>
        <w:fldChar w:fldCharType="end"/>
      </w:r>
      <w:r w:rsidRPr="00EF510D">
        <w:rPr>
          <w:lang w:val="fr-FR"/>
        </w:rPr>
        <w:t>.</w:t>
      </w:r>
    </w:p>
  </w:footnote>
  <w:footnote w:id="5">
    <w:p w14:paraId="08F67C5F" w14:textId="00164732" w:rsidR="00475FEB" w:rsidRPr="00EF510D" w:rsidRDefault="00475FEB" w:rsidP="00475FEB">
      <w:pPr>
        <w:pStyle w:val="ad"/>
        <w:rPr>
          <w:lang w:val="fr-FR"/>
        </w:rPr>
      </w:pPr>
      <w:r w:rsidRPr="00EF510D">
        <w:rPr>
          <w:lang w:val="fr-FR"/>
        </w:rPr>
        <w:tab/>
      </w:r>
      <w:r w:rsidRPr="00EA15F7">
        <w:rPr>
          <w:rStyle w:val="aa"/>
        </w:rPr>
        <w:footnoteRef/>
      </w:r>
      <w:r w:rsidRPr="00EF510D">
        <w:rPr>
          <w:lang w:val="fr-FR"/>
        </w:rPr>
        <w:tab/>
      </w:r>
      <w:hyperlink r:id="rId4" w:history="1">
        <w:r w:rsidRPr="00A77A5E">
          <w:rPr>
            <w:rStyle w:val="af1"/>
            <w:lang w:val="fr-FR"/>
          </w:rPr>
          <w:t>CCPR/C/MNE/CO/1</w:t>
        </w:r>
      </w:hyperlink>
      <w:r w:rsidRPr="00EF510D">
        <w:rPr>
          <w:lang w:val="fr-FR"/>
        </w:rPr>
        <w:t xml:space="preserve">, </w:t>
      </w:r>
      <w:r>
        <w:t>п</w:t>
      </w:r>
      <w:r w:rsidRPr="00EF510D">
        <w:rPr>
          <w:lang w:val="fr-FR"/>
        </w:rPr>
        <w:t>.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981BE" w14:textId="7F1133F0" w:rsidR="00475FEB" w:rsidRPr="00475FEB" w:rsidRDefault="00DB7645">
    <w:pPr>
      <w:pStyle w:val="a5"/>
    </w:pPr>
    <w:fldSimple w:instr=" TITLE  \* MERGEFORMAT ">
      <w:r w:rsidR="005A4E12">
        <w:t>CCPR/C/MNE/CO/2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9C9C9" w14:textId="441F3B01" w:rsidR="00475FEB" w:rsidRPr="00475FEB" w:rsidRDefault="00DB7645" w:rsidP="00475FEB">
    <w:pPr>
      <w:pStyle w:val="a5"/>
      <w:jc w:val="right"/>
    </w:pPr>
    <w:fldSimple w:instr=" TITLE  \* MERGEFORMAT ">
      <w:r w:rsidR="005A4E12">
        <w:t>CCPR/C/MNE/CO/2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4E"/>
    <w:rsid w:val="00033EE1"/>
    <w:rsid w:val="000358F2"/>
    <w:rsid w:val="00042B72"/>
    <w:rsid w:val="000558BD"/>
    <w:rsid w:val="000B57E7"/>
    <w:rsid w:val="000B6373"/>
    <w:rsid w:val="000C2121"/>
    <w:rsid w:val="000F09DF"/>
    <w:rsid w:val="000F61B2"/>
    <w:rsid w:val="001075E9"/>
    <w:rsid w:val="001771B8"/>
    <w:rsid w:val="00180183"/>
    <w:rsid w:val="0018024D"/>
    <w:rsid w:val="0018649F"/>
    <w:rsid w:val="00196389"/>
    <w:rsid w:val="001B3EF6"/>
    <w:rsid w:val="001C7A89"/>
    <w:rsid w:val="00201369"/>
    <w:rsid w:val="00254812"/>
    <w:rsid w:val="002835BF"/>
    <w:rsid w:val="00296E6D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75FEB"/>
    <w:rsid w:val="004969B2"/>
    <w:rsid w:val="004B5129"/>
    <w:rsid w:val="0050108D"/>
    <w:rsid w:val="00513081"/>
    <w:rsid w:val="00517901"/>
    <w:rsid w:val="00526683"/>
    <w:rsid w:val="005513F3"/>
    <w:rsid w:val="005709E0"/>
    <w:rsid w:val="00572E19"/>
    <w:rsid w:val="005961C8"/>
    <w:rsid w:val="005A4E12"/>
    <w:rsid w:val="005D7914"/>
    <w:rsid w:val="005E2B41"/>
    <w:rsid w:val="005F0B42"/>
    <w:rsid w:val="005F1384"/>
    <w:rsid w:val="00666B97"/>
    <w:rsid w:val="00681A10"/>
    <w:rsid w:val="006A1ED8"/>
    <w:rsid w:val="006B3942"/>
    <w:rsid w:val="006C2031"/>
    <w:rsid w:val="006D461A"/>
    <w:rsid w:val="006F2269"/>
    <w:rsid w:val="006F35EE"/>
    <w:rsid w:val="007021FF"/>
    <w:rsid w:val="00706226"/>
    <w:rsid w:val="007117DB"/>
    <w:rsid w:val="00712895"/>
    <w:rsid w:val="0075523D"/>
    <w:rsid w:val="00757357"/>
    <w:rsid w:val="00787D3A"/>
    <w:rsid w:val="00791B9D"/>
    <w:rsid w:val="007E2F4E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656F2"/>
    <w:rsid w:val="009918E2"/>
    <w:rsid w:val="009A24AC"/>
    <w:rsid w:val="009D21FD"/>
    <w:rsid w:val="00A14DA8"/>
    <w:rsid w:val="00A312BC"/>
    <w:rsid w:val="00A34D07"/>
    <w:rsid w:val="00A77A5E"/>
    <w:rsid w:val="00A84021"/>
    <w:rsid w:val="00A84D35"/>
    <w:rsid w:val="00A917B3"/>
    <w:rsid w:val="00A9424B"/>
    <w:rsid w:val="00AB4B51"/>
    <w:rsid w:val="00AD6F87"/>
    <w:rsid w:val="00B10CC7"/>
    <w:rsid w:val="00B136DB"/>
    <w:rsid w:val="00B539E7"/>
    <w:rsid w:val="00B62458"/>
    <w:rsid w:val="00B7393D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B7645"/>
    <w:rsid w:val="00DD1D1E"/>
    <w:rsid w:val="00DD78D1"/>
    <w:rsid w:val="00DE32CD"/>
    <w:rsid w:val="00DF71B9"/>
    <w:rsid w:val="00E005F7"/>
    <w:rsid w:val="00E06BEE"/>
    <w:rsid w:val="00E127A8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108A5"/>
  <w15:docId w15:val="{D338E099-49C8-43FF-9924-A364DD63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A77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CPR/C/SR.4188" TargetMode="External"/><Relationship Id="rId2" Type="http://schemas.openxmlformats.org/officeDocument/2006/relationships/hyperlink" Target="https://docs.un.org/ru/CCPR/C/SR.4187" TargetMode="External"/><Relationship Id="rId1" Type="http://schemas.openxmlformats.org/officeDocument/2006/relationships/hyperlink" Target="https://docs.un.org/ru/CCPR/C/MNE/2" TargetMode="External"/><Relationship Id="rId4" Type="http://schemas.openxmlformats.org/officeDocument/2006/relationships/hyperlink" Target="https://docs.un.org/ru/CCPR/C/MNE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16</TotalTime>
  <Pages>16</Pages>
  <Words>6281</Words>
  <Characters>44473</Characters>
  <Application>Microsoft Office Word</Application>
  <DocSecurity>0</DocSecurity>
  <Lines>794</Lines>
  <Paragraphs>190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CCPR/C/MNE/CO/2</vt:lpstr>
      <vt:lpstr>A/</vt:lpstr>
      <vt:lpstr>A/</vt:lpstr>
    </vt:vector>
  </TitlesOfParts>
  <Company>DCM</Company>
  <LinksUpToDate>false</LinksUpToDate>
  <CharactersWithSpaces>50564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CCPR/C/MNE/CO/2</dc:title>
  <dc:subject/>
  <dc:creator>Tatiana CHVETS</dc:creator>
  <cp:keywords/>
  <cp:lastModifiedBy>Tatiana Chvets</cp:lastModifiedBy>
  <cp:revision>3</cp:revision>
  <cp:lastPrinted>2025-06-10T12:46:00Z</cp:lastPrinted>
  <dcterms:created xsi:type="dcterms:W3CDTF">2025-06-10T12:46:00Z</dcterms:created>
  <dcterms:modified xsi:type="dcterms:W3CDTF">2025-06-10T12:47:00Z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