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spacing w:line="240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43646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190809    190809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72612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CAT/C/HUN/Q/5-6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20 July 2009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ПРОТИВ ПЫТОК</w:t>
      </w:r>
    </w:p>
    <w:p w:rsidR="00000000" w:rsidRDefault="00000000"/>
    <w:p w:rsidR="00000000" w:rsidRDefault="00000000">
      <w:pPr>
        <w:jc w:val="center"/>
        <w:rPr>
          <w:b/>
          <w:caps/>
        </w:rPr>
      </w:pPr>
      <w:r>
        <w:rPr>
          <w:b/>
        </w:rPr>
        <w:t xml:space="preserve">Перечень вопросов, подготовленный до представления объединенных пятого и шестого периодических докладов ВЕНГРИИ </w:t>
      </w:r>
      <w:r>
        <w:rPr>
          <w:b/>
          <w:caps/>
        </w:rPr>
        <w:t>(CAT/C/HUN/5-6)</w:t>
      </w:r>
      <w:r>
        <w:rPr>
          <w:rStyle w:val="FootnoteReference"/>
          <w:caps/>
        </w:rPr>
        <w:footnoteReference w:id="1"/>
      </w:r>
    </w:p>
    <w:p w:rsidR="00000000" w:rsidRDefault="00000000">
      <w:pPr>
        <w:jc w:val="center"/>
        <w:rPr>
          <w:b/>
          <w:caps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Конкретная информация о выполнении статей 1-16 Конвенции, включая информацию в отношении предыдущих рекомендаций Комитета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t>Статья 1 и 4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r>
        <w:t>1.</w:t>
      </w:r>
      <w:r>
        <w:tab/>
        <w:t>С учетом предыдущих рекомендаций Комитета просьба представить информацию о каких-либо шагах, предпринятых государством-участником с целью принятия всеобъемлющего определения понятия "пытка", охватывающего все элементы, которые содержатся в статье 1 Конвенции</w:t>
      </w:r>
      <w:r>
        <w:rPr>
          <w:rStyle w:val="FootnoteReference"/>
        </w:rPr>
        <w:footnoteReference w:id="2"/>
      </w:r>
      <w:r>
        <w:t>.</w:t>
      </w:r>
    </w:p>
    <w:p w:rsidR="00000000" w:rsidRDefault="00000000">
      <w:pPr>
        <w:spacing w:line="240" w:lineRule="auto"/>
      </w:pPr>
    </w:p>
    <w:p w:rsidR="00000000" w:rsidRDefault="00000000">
      <w:r>
        <w:t>2.</w:t>
      </w:r>
      <w:r>
        <w:tab/>
        <w:t xml:space="preserve">Просьба представить подробную информацию о действующих ныне положениях уголовного законодательства, касающихся таких преступлений, как покушение на совершение пытки, подстрекательство к применению пытки или согласие с ее применением или дача вышестоящим начальником приказа применить пытку, и касающихся конкретных наказаний, выносимых за любое из этих преступлений.  Просьба представить информацию о количестве и характере дел, в том числе о месте совершения преступлений, при расследовании которых применялись эти юридические положения, а также о вынесенных наказаниях или причинах вынесения оправдательного приговора.  </w:t>
      </w:r>
    </w:p>
    <w:p w:rsidR="00000000" w:rsidRDefault="00000000">
      <w:pPr>
        <w:keepNext/>
        <w:jc w:val="center"/>
        <w:rPr>
          <w:b/>
        </w:rPr>
      </w:pPr>
      <w:r>
        <w:rPr>
          <w:b/>
        </w:rPr>
        <w:t>Статья 2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r>
        <w:t>3.</w:t>
      </w:r>
      <w:r>
        <w:tab/>
        <w:t xml:space="preserve">С учетом предыдущих заключительных замечаний Комитета просьба представить информацию о шагах, предпринятых государством-участником с целью дальнейшего гарантирования прав содержащихся под стражей лиц с самого момента задержания, включая незамедлительный доступ к адвокату, а также адвокату </w:t>
      </w:r>
      <w:r>
        <w:rPr>
          <w:lang w:val="en-US"/>
        </w:rPr>
        <w:t>ex</w:t>
      </w:r>
      <w:r>
        <w:t xml:space="preserve"> </w:t>
      </w:r>
      <w:r>
        <w:rPr>
          <w:lang w:val="en-US"/>
        </w:rPr>
        <w:t>officio</w:t>
      </w:r>
      <w:r>
        <w:t xml:space="preserve"> и право на независимое медицинское освидетельствование и доступ к врачу по их собственному выбору.  Просьба сообщить о любых ограничениях, которые могут быть установлены в отношении этих прав</w:t>
      </w:r>
      <w:r>
        <w:rPr>
          <w:rStyle w:val="FootnoteReference"/>
        </w:rPr>
        <w:footnoteReference w:id="3"/>
      </w:r>
      <w:r>
        <w:t>.</w:t>
      </w:r>
    </w:p>
    <w:p w:rsidR="00000000" w:rsidRDefault="00000000"/>
    <w:p w:rsidR="00000000" w:rsidRDefault="00000000">
      <w:r>
        <w:t>4.</w:t>
      </w:r>
      <w:r>
        <w:tab/>
        <w:t>С учетом предыдущих заключительных замечаний Комитета просьба представить обновленную информацию о практических шагах, предпринятых с целью сокращения продолжительности досудебного содержания под стражей.  Как часто использовалась практика пересмотра один раз в три месяца сроков продленного досудебного содержания под стражей, и каковы были результаты?  Просьба также представить соответствующие данные о жалобах, поданных лицами, которые содержались под стражей до суда, включая любые ходатайства, направленные в недавно созданную Независимую комиссию по рассмотрению жалоб на действия полиции</w:t>
      </w:r>
      <w:r>
        <w:rPr>
          <w:rStyle w:val="FootnoteReference"/>
        </w:rPr>
        <w:footnoteReference w:id="4"/>
      </w:r>
      <w:r>
        <w:t>.</w:t>
      </w:r>
    </w:p>
    <w:p w:rsidR="00000000" w:rsidRDefault="00000000"/>
    <w:p w:rsidR="00000000" w:rsidRDefault="00000000">
      <w:r>
        <w:t>5.</w:t>
      </w:r>
      <w:r>
        <w:tab/>
        <w:t>В своих предыдущих заключительных замечаниях Комитет рекомендовал государству-участнику принять необходимые меры для обеспечения того, чтобы в период досудебного заключения дети содержались отдельно от взрослых.  Просьба представить дополнительную информацию о практических мерах, принятых с целью установления того, что положения пункта 2 статьи 119 Уголовно-процессуального кодекса применяются надлежащим образом</w:t>
      </w:r>
      <w:r>
        <w:rPr>
          <w:rStyle w:val="FootnoteReference"/>
        </w:rPr>
        <w:footnoteReference w:id="5"/>
      </w:r>
      <w:r>
        <w:t>.  Сколько несовершеннолетних содержалось под стражей до суда с 2006 года?  Сколько человек воспользовалось положениями, закрепленными в этом Кодексе?</w:t>
      </w:r>
    </w:p>
    <w:p w:rsidR="00000000" w:rsidRDefault="00000000"/>
    <w:p w:rsidR="00000000" w:rsidRDefault="00000000">
      <w:r>
        <w:t>6.</w:t>
      </w:r>
      <w:r>
        <w:tab/>
        <w:t>Просьба разъяснить, какие условия, обстоятельства и виды дел могут служить основанием для принятия государственной прокуратурой постановления о помещении подозреваемого под стражу в полицейском участке, несмотря на положение статьи 135 Уголовно-процессуального кодекса, которое предполагает обратное.  Просьба также пояснить, какие условия и обстоятельства могут служить основанием для продления первоначального 30-дневного срока содержания под стражей в соответствии с пунктом 2 статьи 135 Уголовно-процессуального кодекса.  Кроме того, просьба представить Комитету информацию об усилиях, предпринимаемых с целью максимально возможного сокращения сроков досудебного содержания под стражей в полицейских участках, как это было рекомендовано Комитетом в его предыдущих заключительных замечаниях</w:t>
      </w:r>
      <w:r>
        <w:rPr>
          <w:rStyle w:val="FootnoteReference"/>
        </w:rPr>
        <w:footnoteReference w:id="6"/>
      </w:r>
      <w:r>
        <w:t>.</w:t>
      </w:r>
    </w:p>
    <w:p w:rsidR="00000000" w:rsidRDefault="00000000"/>
    <w:p w:rsidR="00000000" w:rsidRDefault="00000000">
      <w:r>
        <w:t>7.</w:t>
      </w:r>
      <w:r>
        <w:tab/>
        <w:t>В соответствии с предыдущими заключительными замечаниями Комитета просьба представить информацию о шагах, предпринимаемых с целью обеспечения того, чтобы заключение под стражу просителей убежища и других неграждан имело место лишь в исключительных обстоятельствах или в качестве крайнего средства, было максимально коротким и соответствовало новому законодательству, принятому государством-участником (Законы № 1 и 2 от 2007 года)</w:t>
      </w:r>
      <w:r>
        <w:rPr>
          <w:rStyle w:val="FootnoteReference"/>
        </w:rPr>
        <w:footnoteReference w:id="7"/>
      </w:r>
      <w:r>
        <w:t>.  В этой связи просьба представить информацию о числе просителей убежища и неграждан, которые были помещены под стражу после принятия нового законодательства, и о средней продолжительности их содержания под стражей.  Просьба также представить Комитету информацию о количестве жалоб, поданных такими задержанными лицами в связи с постановлениями о задержании в соответствии с иммиграционными законами.  Каким образом эти новые положения влияют на так называемую "процедуру надзора за иностранцами"?  Кроме того, просьба представить Комитету информацию о мерах, принимаемых с целью обеспечения того, чтобы просители убежища, содержащиеся в тюрьмах, созданных в рамках "процедуры надзора за иностранцами", не подвергались пыткам и жестокому обращению.</w:t>
      </w:r>
    </w:p>
    <w:p w:rsidR="00000000" w:rsidRDefault="00000000"/>
    <w:p w:rsidR="00000000" w:rsidRDefault="00000000">
      <w:r>
        <w:t>8.</w:t>
      </w:r>
      <w:r>
        <w:tab/>
        <w:t>Просьба представить дополнительную информацию о действующем механизме подачи жалоб задержанными просителями убежища.  Предполагает ли такой механизм рассмотрение жалоб на пытки или жестокое обращение?  Просьба включить информацию о количестве жалоб на пытки или жестокое обращение, поданных лицами, которые были помещены под стражу пограничной службой, в разбивке по возрасту, полу, этническому происхождению и месту содержания под стражей</w:t>
      </w:r>
      <w:r>
        <w:rPr>
          <w:rStyle w:val="FootnoteReference"/>
        </w:rPr>
        <w:footnoteReference w:id="8"/>
      </w:r>
      <w:r>
        <w:t xml:space="preserve">.  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Статья 3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r>
        <w:t>9.</w:t>
      </w:r>
      <w:r>
        <w:tab/>
        <w:t>В связи с предыдущими заключительными замечаниями Комитета просьба представить информацию о любых шагах, предпринятых государством-участником для обеспечения полного соблюдения положений статьи 3 Конвенции и надлежащего отношения со стороны компетентных органов к лицам, находящимся под юрисдикцией государства-участника, а также гарантирования справедливого отношения к ним на всех этапах судопроизводства, включая обеспечение возможности эффективного, независимого и беспристрастного пересмотра решений о выдворении, возвращении или экстрадиции</w:t>
      </w:r>
      <w:r>
        <w:rPr>
          <w:rStyle w:val="FootnoteReference"/>
        </w:rPr>
        <w:footnoteReference w:id="9"/>
      </w:r>
      <w:r>
        <w:t>.  Просьба пояснить, были ли государством-участником предприняты шаги с целью пополнения и обновления базы данных, содержащей информацию о странах происхождения (ИСП), и были ли им приняты эффективные меры для обеспечения соблюдения внутренних норм, касающихся обязательного использования системы ИСП.</w:t>
      </w:r>
    </w:p>
    <w:p w:rsidR="00000000" w:rsidRDefault="00000000"/>
    <w:p w:rsidR="00000000" w:rsidRDefault="00000000">
      <w:r>
        <w:t>10.</w:t>
      </w:r>
      <w:r>
        <w:tab/>
        <w:t>Просьба сообщить Комитету о мерах, принятых государством-участником с целью обеспечения того, чтобы право просящих защиты неграждан на доступ к процедуре предоставления убежища в полной мере гарантировалось и чтобы пограничная служба не прибегала к незаконному выдворению просителей убежища и других неграждан в третьи страны</w:t>
      </w:r>
      <w:r>
        <w:rPr>
          <w:rStyle w:val="FootnoteReference"/>
        </w:rPr>
        <w:footnoteReference w:id="10"/>
      </w:r>
      <w:r>
        <w:t>.  Просьба пояснить, были ли пограничникам и военнослужащим даны необходимые указания об уважении принципов предоставления убежища с целью обеспечения того, чтобы они были в полной мере информированы о правах лиц, нуждающихся в международной защите.</w:t>
      </w:r>
    </w:p>
    <w:p w:rsidR="00000000" w:rsidRDefault="00000000"/>
    <w:p w:rsidR="00000000" w:rsidRDefault="00000000">
      <w:r>
        <w:t>11.</w:t>
      </w:r>
      <w:r>
        <w:tab/>
        <w:t>Просьба представить дезагрегированные по возрасту, полу и гражданству данные, касающиеся:</w:t>
      </w:r>
    </w:p>
    <w:p w:rsidR="00000000" w:rsidRDefault="00000000"/>
    <w:p w:rsidR="00000000" w:rsidRDefault="00000000">
      <w:r>
        <w:tab/>
        <w:t>a)</w:t>
      </w:r>
      <w:r>
        <w:tab/>
        <w:t>количества полученных просьб о предоставлении убежища и числе лиц, которым были предоставлены убежище или гуманитарный статус в 2007, 2008 и 2009 годах, в том числе на том основании, что они были жертвами пыток;</w:t>
      </w:r>
    </w:p>
    <w:p w:rsidR="00000000" w:rsidRDefault="00000000"/>
    <w:p w:rsidR="00000000" w:rsidRDefault="00000000">
      <w:r>
        <w:tab/>
        <w:t>b)</w:t>
      </w:r>
      <w:r>
        <w:tab/>
        <w:t>количества мигрантов без документов, арестованных в 2007, 2008 и 2009 годах;</w:t>
      </w:r>
    </w:p>
    <w:p w:rsidR="00000000" w:rsidRDefault="00000000"/>
    <w:p w:rsidR="00000000" w:rsidRDefault="00000000">
      <w:r>
        <w:tab/>
        <w:t>c)</w:t>
      </w:r>
      <w:r>
        <w:tab/>
        <w:t>количества высланных или депортированных лиц с указанием того, было ли кому-нибудь из них отказано в предоставлении убежища.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Статья 5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12.</w:t>
      </w:r>
      <w:r>
        <w:tab/>
        <w:t>Просьба указать, отказывало ли государство-участник после рассмотрения предыдущего доклада в просьбе об экстрадиции со стороны третьего государства в отношении лиц, подозреваемых в совершении преступления в форме пытки, возбуждая при этом свое собственное разбирательство.  Каково состояние и итоги таких разбирательств?  Какие статьи Уголовного кодекса Венгрии были нарушены в таких случаях?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10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13.</w:t>
      </w:r>
      <w:r>
        <w:tab/>
        <w:t>С учетом предыдущих заключительных замечаний Комитета</w:t>
      </w:r>
      <w:r>
        <w:rPr>
          <w:rStyle w:val="FootnoteReference"/>
        </w:rPr>
        <w:footnoteReference w:id="11"/>
      </w:r>
      <w:r>
        <w:t xml:space="preserve"> просьба представить информацию о разработке государством-участником дополнительных учебных программ для обеспечения того, чтобы сотрудники правоохранительных органов, пенитенциарных учреждений и пограничной службы имели полное представление о положениях Конвенции, в которых говорится о том, что нарушения не будут оставаться безнаказанными, что по ним будут проводиться расследования, а нарушители будут подвергаться судебному преследованию.  Какие меры были приняты для обеспечения того, чтобы все соответствующие сотрудники прошли специальную подготовку для изучения признаков применения пыток и жестокого обращения?  Просьба пояснить, был ли Стамбульский протокол 1999</w:t>
      </w:r>
      <w:r>
        <w:rPr>
          <w:lang w:val="en-US"/>
        </w:rPr>
        <w:t> </w:t>
      </w:r>
      <w:r>
        <w:t xml:space="preserve">года ("Руководство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наказания") включен в программу подготовки медицинских работников.  Кроме того, просьба указать, разработало ли государство-участник методологию оценки эффективности и влияния такой подготовки/учебных программ на уменьшение количества случаев пыток, насилия или жестокого обращения, и, если это так, просьба представить информацию о содержании и осуществлении такой методологии.  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11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14.</w:t>
      </w:r>
      <w:r>
        <w:tab/>
        <w:t>Просьба представить обновленную информацию, включая статистические данные, в разбивке по полу, возрасту и этнической принадлежности, о количестве заключенных и степени заполненности пенитенциарных учреждений за период с 2006 по 2009 годы</w:t>
      </w:r>
      <w:r>
        <w:rPr>
          <w:rStyle w:val="FootnoteReference"/>
        </w:rPr>
        <w:footnoteReference w:id="12"/>
      </w:r>
      <w:r>
        <w:t>.</w:t>
      </w:r>
    </w:p>
    <w:p w:rsidR="00000000" w:rsidRDefault="00000000"/>
    <w:p w:rsidR="00000000" w:rsidRDefault="00000000">
      <w:r>
        <w:t>15.</w:t>
      </w:r>
      <w:r>
        <w:tab/>
        <w:t xml:space="preserve">С учетом положений статьи 11 Конвенции просьба представить информацию о любых новых правилах, инструкциях, методах и видах практики или механизмах содержания под стражей, которые, возможно, были введены со времени рассмотрения последнего периодического доклада в 2006 году.  Просьба также указать, как часто они пересматриваются.  Просьба рассказать о дальнейших шагах, предпринятых государством-участником с целью обеспечения эффективного и независимого надзора за местами лишения свободы.  </w:t>
      </w:r>
    </w:p>
    <w:p w:rsidR="00000000" w:rsidRDefault="00000000"/>
    <w:p w:rsidR="00000000" w:rsidRDefault="00000000">
      <w:r>
        <w:t>16.</w:t>
      </w:r>
      <w:r>
        <w:tab/>
        <w:t>С учетом предыдущей рекомендации Комитета просьба представить обновленную информацию об усилиях, предпринятых государством-участником с целью разгрузки переполненных пенитенциарных учреждений, в том числе за счет более широкого применения и использования альтернативных приговоров, предусмотренных новым Законом об уголовном судопроизводстве, и создания, по мере необходимости, дополнительных пенитенциарных учреждений</w:t>
      </w:r>
      <w:r>
        <w:rPr>
          <w:rStyle w:val="FootnoteReference"/>
        </w:rPr>
        <w:footnoteReference w:id="13"/>
      </w:r>
      <w:r>
        <w:t>.</w:t>
      </w:r>
    </w:p>
    <w:p w:rsidR="00000000" w:rsidRDefault="00000000"/>
    <w:p w:rsidR="00000000" w:rsidRDefault="00000000">
      <w:pPr>
        <w:spacing w:line="276" w:lineRule="auto"/>
      </w:pPr>
      <w:r>
        <w:t>17.</w:t>
      </w:r>
      <w:r>
        <w:tab/>
        <w:t>Просьба представить информацию о шагах, предпринятых государством-участником с целью осуществления предыдущих рекомендаций Комитета в отношении заключенных, содержащихся в условиях особого режима безопасности, так называемых "заключенных четвертой категории".  Такие рекомендации предполагали, в частности, пересмотр и доработку государством-участником порядка отнесения заключенных к четвертой категории для обеспечения того, чтобы данная категория присваивалась и закреплялась только за теми заключенными, к которым эта категория действительно применима, а также пересмотр в срочном порядке существующей практики применения жестких ограничительных мер в отношении заключенных, отнесенных к этой категории, и внедрение надлежащей процедуры подачи апелляций для заключенных, содержащихся в условиях этого особого режима безопасности, равно как и адекватные механизмы пересмотра для определения необходимости назначения и продолжительности такого режима</w:t>
      </w:r>
      <w:r>
        <w:rPr>
          <w:rStyle w:val="FootnoteReference"/>
        </w:rPr>
        <w:footnoteReference w:id="14"/>
      </w:r>
      <w:r>
        <w:t>.</w:t>
      </w:r>
    </w:p>
    <w:p w:rsidR="00000000" w:rsidRDefault="00000000"/>
    <w:p w:rsidR="00000000" w:rsidRDefault="00000000">
      <w:r>
        <w:t>18.</w:t>
      </w:r>
      <w:r>
        <w:tab/>
        <w:t>В соответствии с прежними заключительными замечаниями Комитета и с учетом его рекомендации относительно сбора данных, высказанной независимым экспертом по вопросам меньшинств после ее поездки в Венгрию в июне и июле 2006 года, просьба сообщить Комитету о каких-либо изменениях в отношении сбора и использования дезагрегированных данных, в том числе по принадлежности к этническим группам</w:t>
      </w:r>
      <w:r>
        <w:rPr>
          <w:rStyle w:val="FootnoteReference"/>
        </w:rPr>
        <w:footnoteReference w:id="15"/>
      </w:r>
      <w:r>
        <w:t>.</w:t>
      </w:r>
    </w:p>
    <w:p w:rsidR="00000000" w:rsidRDefault="00000000">
      <w:pPr>
        <w:keepNext/>
        <w:jc w:val="center"/>
        <w:rPr>
          <w:b/>
        </w:rPr>
      </w:pPr>
      <w:r>
        <w:rPr>
          <w:b/>
        </w:rPr>
        <w:t>Статьи 12 и 13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r>
        <w:t>19.</w:t>
      </w:r>
      <w:r>
        <w:tab/>
        <w:t>Просьба представить информацию, в том числе статистические данные, о количестве жалоб на пытки и жестокое обращение, поданных в период 2006-2009 годов, и результатах всех разбирательств как уголовного, так и дисциплинарного характера.  Эта информация должна быть дезагрегирована по полу, возрасту и этническому происхождению подавших жалобы лиц.</w:t>
      </w:r>
    </w:p>
    <w:p w:rsidR="00000000" w:rsidRDefault="00000000"/>
    <w:p w:rsidR="00000000" w:rsidRDefault="00000000">
      <w:r>
        <w:t>20.</w:t>
      </w:r>
      <w:r>
        <w:tab/>
        <w:t>В своих предыдущих заключительных замечаниях Комитет рекомендовал государству-участнику создать систему быстрого, беспристрастного и эффективного расследования всех жалоб на насилие и жестокое обращение со стороны сотрудников правоохранительных органов и наказания виновных</w:t>
      </w:r>
      <w:r>
        <w:rPr>
          <w:rStyle w:val="FootnoteReference"/>
        </w:rPr>
        <w:footnoteReference w:id="16"/>
      </w:r>
      <w:r>
        <w:t>.  В этой связи просьба представить информацию о Независимой комиссии по рассмотрению жалоб на действия полиции, которая была создана в 2007 году и должна была начать работу в январе 2008 года, в том числе о ее мандате и составе.  Просьба также представить информацию о содержании и соблюдении недавно принятого кодекса этики, состоящего из 13 пунктов, которые включают основные правила поведения должностных лиц, порядок законного применения силы, вопросы дискриминации и доверия со стороны населения.</w:t>
      </w:r>
    </w:p>
    <w:p w:rsidR="00000000" w:rsidRDefault="00000000"/>
    <w:p w:rsidR="00000000" w:rsidRDefault="00000000">
      <w:r>
        <w:t>21.</w:t>
      </w:r>
      <w:r>
        <w:tab/>
        <w:t>В своих предыдущих заключительных замечаниях Комитет выразил обеспокоенность в связи с сообщениями о чрезмерном применении силы и жестоком обращении со стороны сотрудников полиции в ходе демонстраций в Будапеште в сентябре и октябре 2006 года</w:t>
      </w:r>
      <w:r>
        <w:rPr>
          <w:rStyle w:val="FootnoteReference"/>
        </w:rPr>
        <w:footnoteReference w:id="17"/>
      </w:r>
      <w:r>
        <w:t>.  Просьба представить информацию о выводах, включая рекомендации Специальной комиссии экспертов по демонстрациям, уличным волнениям и полицейским мерам, созданной премьер-министром с целью расследования действий полиции во время демонстраций.</w:t>
      </w:r>
    </w:p>
    <w:p w:rsidR="00000000" w:rsidRDefault="00000000"/>
    <w:p w:rsidR="00000000" w:rsidRDefault="00000000">
      <w:r>
        <w:t>22.</w:t>
      </w:r>
      <w:r>
        <w:tab/>
        <w:t>В соответствии с предыдущими заключительными замечаниями Комитета просьба представить информацию о шагах, предпринятых с 2003 года с целью эффективного соблюдения положений Кодекса поведения сотрудников полиции при допросах</w:t>
      </w:r>
      <w:r>
        <w:rPr>
          <w:rStyle w:val="FootnoteReference"/>
        </w:rPr>
        <w:footnoteReference w:id="18"/>
      </w:r>
      <w:r>
        <w:t>.</w:t>
      </w:r>
    </w:p>
    <w:p w:rsidR="00000000" w:rsidRDefault="00000000"/>
    <w:p w:rsidR="00000000" w:rsidRDefault="00000000">
      <w:pPr>
        <w:keepNext/>
        <w:spacing w:line="216" w:lineRule="auto"/>
        <w:jc w:val="center"/>
        <w:rPr>
          <w:b/>
        </w:rPr>
      </w:pPr>
      <w:r>
        <w:rPr>
          <w:b/>
        </w:rPr>
        <w:t>Статья 14</w:t>
      </w:r>
    </w:p>
    <w:p w:rsidR="00000000" w:rsidRDefault="00000000">
      <w:pPr>
        <w:keepNext/>
        <w:spacing w:line="216" w:lineRule="auto"/>
        <w:jc w:val="center"/>
        <w:rPr>
          <w:b/>
          <w:sz w:val="20"/>
        </w:rPr>
      </w:pPr>
    </w:p>
    <w:p w:rsidR="00000000" w:rsidRDefault="00000000">
      <w:r>
        <w:t>23.</w:t>
      </w:r>
      <w:r>
        <w:tab/>
        <w:t>Просьба представить информацию об осуществлении Закона о помощи жертвам, который содержит положения о праве жертв преступлений на компенсацию и помощь, доступную для таких жертв</w:t>
      </w:r>
      <w:r>
        <w:rPr>
          <w:rStyle w:val="FootnoteReference"/>
        </w:rPr>
        <w:footnoteReference w:id="19"/>
      </w:r>
      <w:r>
        <w:t>.  Кроме того, просьба представить информацию о мерах по восстановлению нарушенных прав и предоставлению компенсации, которые были определены судами и реально осуществлены в интересах жертв пыток или их семей со времени рассмотрения последнего периодического доклада в 2006 году.  Эта информация должна включать данные о количестве направленных просьб, числе удовлетворенных заявлений и компенсациях, предоставленных в каждом случае.  Просьба указать количество пострадавших, которым была предоставлена компенсация даже в тех случаях, когда личность преступника установлена не была.  Проводятся ли расследования подобных дел до тех пор, пока не будет установлена личность виновного и он не предстанет перед судом</w:t>
      </w:r>
      <w:r>
        <w:rPr>
          <w:rStyle w:val="FootnoteReference"/>
        </w:rPr>
        <w:footnoteReference w:id="20"/>
      </w:r>
      <w:r>
        <w:t>?</w:t>
      </w:r>
    </w:p>
    <w:p w:rsidR="00000000" w:rsidRDefault="00000000">
      <w:pPr>
        <w:rPr>
          <w:sz w:val="20"/>
        </w:rPr>
      </w:pPr>
    </w:p>
    <w:p w:rsidR="00000000" w:rsidRDefault="00000000">
      <w:pPr>
        <w:spacing w:line="276" w:lineRule="auto"/>
      </w:pPr>
      <w:r>
        <w:t>24.</w:t>
      </w:r>
      <w:r>
        <w:tab/>
        <w:t>С учетом предыдущих заключительных замечаний Комитета</w:t>
      </w:r>
      <w:r>
        <w:rPr>
          <w:rStyle w:val="FootnoteReference"/>
        </w:rPr>
        <w:footnoteReference w:id="21"/>
      </w:r>
      <w:r>
        <w:t xml:space="preserve"> просьба представить информацию о каких-либо программах возмещения ущерба, в том числе о лечении травм и других видах реабилитации, предлагаемых жертвам пыток и жестокого обращения, а также о выделении достаточных средств для обеспечения эффективного осуществления подобных программ.</w:t>
      </w:r>
    </w:p>
    <w:p w:rsidR="00000000" w:rsidRDefault="00000000">
      <w:pPr>
        <w:rPr>
          <w:sz w:val="20"/>
        </w:rPr>
      </w:pPr>
    </w:p>
    <w:p w:rsidR="00000000" w:rsidRDefault="00000000">
      <w:pPr>
        <w:spacing w:line="216" w:lineRule="auto"/>
        <w:jc w:val="center"/>
        <w:rPr>
          <w:b/>
        </w:rPr>
      </w:pPr>
      <w:r>
        <w:rPr>
          <w:b/>
        </w:rPr>
        <w:t>Статья 16</w:t>
      </w:r>
    </w:p>
    <w:p w:rsidR="00000000" w:rsidRDefault="00000000">
      <w:pPr>
        <w:spacing w:line="216" w:lineRule="auto"/>
        <w:jc w:val="center"/>
        <w:rPr>
          <w:b/>
        </w:rPr>
      </w:pPr>
    </w:p>
    <w:p w:rsidR="00000000" w:rsidRDefault="00000000">
      <w:pPr>
        <w:spacing w:line="276" w:lineRule="auto"/>
      </w:pPr>
      <w:r>
        <w:t>25.</w:t>
      </w:r>
      <w:r>
        <w:tab/>
        <w:t>С учетом предыдущих заключительных замечаний Комитета</w:t>
      </w:r>
      <w:r>
        <w:rPr>
          <w:rStyle w:val="FootnoteReference"/>
        </w:rPr>
        <w:footnoteReference w:id="22"/>
      </w:r>
      <w:r>
        <w:t xml:space="preserve"> просьба представить обновленную информацию об усилиях государства-участника по борьбе с дискриминацией и жестоким обращением в отношении представителей рома со стороны сотрудников правоохранительных органов, особенно полиции, включая обеспечение строгого применения соответствующего законодательства и нормативно-правовых актов, предусматривающих санкции, надлежащую профессиональную подготовку и инструктаж сотрудников правоохранительных органов, а также проведение соответствующей разъяснительной работы среди работников судов.  Просьба также указать, были ли предприняты государством-участником какие-либо шаги по оказанию более активного содействия осуществлению программы предоставления грантов для оказания поддержки полицейским из числа рома и Ассоциации полицейских, являющихся рома</w:t>
      </w:r>
      <w:r>
        <w:rPr>
          <w:rStyle w:val="FootnoteReference"/>
        </w:rPr>
        <w:footnoteReference w:id="23"/>
      </w:r>
      <w:r>
        <w:t>.</w:t>
      </w:r>
    </w:p>
    <w:p w:rsidR="00000000" w:rsidRDefault="00000000">
      <w:r>
        <w:t>26.</w:t>
      </w:r>
      <w:r>
        <w:tab/>
        <w:t>Просьба представить информацию о шагах, предпринятых государством-участником в связи с озабоченностью, высказанной Комитетом по поводу жестокого обращения и дискриминации в отношении представителей национальных меньшинств и неграждан со стороны сотрудников правоохранительных органов, особенно полиции</w:t>
      </w:r>
      <w:r>
        <w:rPr>
          <w:rStyle w:val="FootnoteReference"/>
        </w:rPr>
        <w:footnoteReference w:id="24"/>
      </w:r>
      <w:r>
        <w:t>.  Разработало ли государство-участник механизмы сбора данных и мониторинга в отношении таких действий с целью более эффективного решения данной проблемы?</w:t>
      </w:r>
    </w:p>
    <w:p w:rsidR="00000000" w:rsidRDefault="00000000"/>
    <w:p w:rsidR="00000000" w:rsidRDefault="00000000">
      <w:r>
        <w:t>27.</w:t>
      </w:r>
      <w:r>
        <w:tab/>
        <w:t>В связи с предыдущими заключительными замечаниями Комитета просьба представить обновленную информацию о любом новом законодательстве и/или мерах, принятых для предупреждения и пресечения торговли женщинами и детьми в целях сексуальной эксплуатации и предоставления помощи жертвам, включая разъяснительную работу с сотрудниками правоохранительных органов, находящимися в контакте с этими жертвами</w:t>
      </w:r>
      <w:r>
        <w:rPr>
          <w:rStyle w:val="FootnoteReference"/>
        </w:rPr>
        <w:footnoteReference w:id="25"/>
      </w:r>
      <w:r>
        <w:t>.  Просьба также представить данные о том, сколько женщин и девочек было незаконно ввезено в Венгрию, вывезено из страны и провезено через Венгрию транзитом после рассмотрения предыдущего доклада в 2006 году, а также о том, сколько торговцев людьми подверглись уголовному преследованию и были осуждены.  Какие шаги были предприняты государством-участником для осуществления рекомендаций Комитета по ликвидации дискриминации в отношении женщин о том, что Венгрии следует ускорить разработку своей национальной стратегии борьбы с торговлей людьми, обеспечить эффективное осуществление в конкретно установленные сроки всех мер, принятых в целях борьбы с торговлей людьми, и обеспечить создание системы эффективного наблюдения для определения уровня достигнутого прогресса</w:t>
      </w:r>
      <w:r>
        <w:rPr>
          <w:rStyle w:val="FootnoteReference"/>
        </w:rPr>
        <w:footnoteReference w:id="26"/>
      </w:r>
      <w:r>
        <w:t xml:space="preserve">?  </w:t>
      </w:r>
    </w:p>
    <w:p w:rsidR="00000000" w:rsidRDefault="00000000"/>
    <w:p w:rsidR="00000000" w:rsidRDefault="00000000">
      <w:r>
        <w:t>28.</w:t>
      </w:r>
      <w:r>
        <w:tab/>
        <w:t>Согласно информации, имеющейся у Комитета против пыток, установлено, что почти каждая из трех женщин подвергается физическому насилию со стороны ее партнера.  Просьба представить обновленную информацию о мерах, в том числе законодательных, принятых государством-участником с целью борьбы с насилием в отношении женщин, включая бытовое насилие, и расследованию всех обвинений в жестоком обращении и надругательствах.  Просьба сообщить Комитету о мерах, принятых в связи с обеспокоенностью, выраженной Комитетом по ликвидации дискриминации в отношении женщин по поводу неэффективности инициативы о вынесении запрещающих предписаний с целью обеспечения защиты женщин, ставших жертвами бытового насилия, а также по поводу отсутствия конкретного законодательства о бытовом насилии в отношении женщин</w:t>
      </w:r>
      <w:r>
        <w:rPr>
          <w:rStyle w:val="FootnoteReference"/>
        </w:rPr>
        <w:footnoteReference w:id="27"/>
      </w:r>
      <w:r>
        <w:t>.  Кроме того, просьба представить информацию о мерах, принятых в связи с обеспокоенностью, высказанной Комитетом по ликвидации дискриминации в отношении женщин по поводу сохраняющихся случаев насилия в отношении женщин и девочек народности рома, включая случаи домогательства и надругательства в школах</w:t>
      </w:r>
      <w:r>
        <w:rPr>
          <w:rStyle w:val="FootnoteReference"/>
        </w:rPr>
        <w:footnoteReference w:id="28"/>
      </w:r>
      <w:r>
        <w:t>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t>Другие вопросы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r>
        <w:t>29.</w:t>
      </w:r>
      <w:r>
        <w:tab/>
        <w:t>В своих предыдущих заключительных замечаниях Комитет приветствовал данные представителями государства-участника устные заверения в том, что в ближайшее время предвидится ратификация Факультативного протокола к Конвенции.  Просьба сообщить Комитету о том, какие шаги были предприняты государством-участником с целью ратификации Факультативного протокола, а также создания или планирования национального механизма, который проводил бы периодические посещения мест лишения свободы в целях предупреждения пыток или других жестоких, бесчеловечных или унижающих достоинство видов обращения и наказания</w:t>
      </w:r>
      <w:r>
        <w:rPr>
          <w:rStyle w:val="FootnoteReference"/>
        </w:rPr>
        <w:footnoteReference w:id="29"/>
      </w:r>
      <w:r>
        <w:t>.</w:t>
      </w:r>
    </w:p>
    <w:p w:rsidR="00000000" w:rsidRDefault="00000000"/>
    <w:p w:rsidR="00000000" w:rsidRDefault="00000000">
      <w:r>
        <w:t>30.</w:t>
      </w:r>
      <w:r>
        <w:tab/>
        <w:t xml:space="preserve">Просьба представить информацию о законодательных, административных и других мерах, принятых государством-участником в ответ на угрозу террористических актов, и указать, влияют ли эти меры на гарантии защиты прав человека в законодательстве и на практике, а если да, то каким образом.  В этой связи Комитет хотел бы сослаться на резолюции Совета Безопасности </w:t>
      </w:r>
      <w:r>
        <w:rPr>
          <w:rFonts w:eastAsia="SimSun"/>
          <w:lang w:eastAsia="zh-CN"/>
        </w:rPr>
        <w:t>1456 (2003), 1535 (2004), 1566 (2004) и 1624 (2005), в которых вновь повторяется, что государства "должны обеспечить, чтобы любые меры, принимаемые в целях борьбы с терроризмом, соответствовали всем их обязательствам по международному праву, и им следует принять такие меры в соответствии с международным правом, в частности в области прав человека, беженского права и гуманитарного права".  Просьба сообщить, какая соответствующая профессиональная подготовка организована для сотрудников правоприменительных органов, указать количество и категории обвинений, вынесенных на основании такого законодательства, средства правовой защиты, имеющиеся в распоряжении лиц, в отношении которых применяются меры по борьбе с терроризмом, и сообщить, имеются ли жалобы на несоблюдение международных стандартов и каковы результаты этих жалоб.  Просьба подтвердить, что в государстве-участнике отсутствуют тайные места содержания под стражей.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Общая информация, касающаяся положения в области прав человека в стране,</w:t>
      </w:r>
      <w:r>
        <w:rPr>
          <w:b/>
        </w:rPr>
        <w:br/>
        <w:t>включая новые меры и изменения, относящиеся к осуществлению Конвенции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r>
        <w:t>31.</w:t>
      </w:r>
      <w:r>
        <w:tab/>
        <w:t>Просьба представить подробную информацию о соответствующих новых изменениях в законодательной и институциональной системах, в рамках которых осуществляется поощрение и защита прав человека на национальном уровне, после представления предыдущего периодического доклада, а также о соответствующих частях информации, представленной впоследствии, включая любые соответствующие судебные решения.</w:t>
      </w:r>
    </w:p>
    <w:p w:rsidR="00000000" w:rsidRDefault="00000000"/>
    <w:p w:rsidR="00000000" w:rsidRDefault="00000000">
      <w:r>
        <w:t>32.</w:t>
      </w:r>
      <w:r>
        <w:tab/>
        <w:t>Просьба представить подробную соответствующую информацию о новых политических, административных и иных мерах, принятых в целях поощрения и защиты прав человека на национальном уровне после представления предыдущего периодического доклада, и соответствующих частях информации, представленной впоследствии, в том числе о любых национальных планах или программах в области прав человека, выделенных на их осуществление ресурсах, имеющихся в их распоряжении средствах, их целях и достигнутых результатах.</w:t>
      </w:r>
    </w:p>
    <w:p w:rsidR="00000000" w:rsidRDefault="00000000"/>
    <w:p w:rsidR="00000000" w:rsidRDefault="00000000">
      <w:r>
        <w:t>33.</w:t>
      </w:r>
      <w:r>
        <w:tab/>
        <w:t>Просьба представить любую иную информацию о новых мерах и шагах, предпринятых в целях осуществления Конвенции и рекомендаций Комитета после рассмотрения предыдущего периодического доклада в 2006 году, включая необходимые статистические данные, а также о любых других событиях, которые произошли в государстве-участнике и которые имеют отношение к Конвенции.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  <w:t>Настоящий перечень вопросов был принят Комитетом на его сорок второй сессии в соответствии с новой факультативной процедурой, которая была утверждена Комитетом на его тридцать восьмой сессии и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этот перечень вопросов лягут в основу его доклада в соответствии со статьей 19 Конвенции.</w:t>
      </w:r>
    </w:p>
    <w:p w:rsidR="00000000" w:rsidRDefault="00000000">
      <w:pPr>
        <w:spacing w:line="240" w:lineRule="auto"/>
        <w:rPr>
          <w:sz w:val="20"/>
        </w:rPr>
      </w:pPr>
    </w:p>
  </w:footnote>
  <w:footnote w:id="2">
    <w:p w:rsidR="00000000" w:rsidRDefault="00000000">
      <w:pPr>
        <w:pStyle w:val="FootnoteText"/>
        <w:rPr>
          <w:bCs/>
          <w:szCs w:val="24"/>
          <w:lang w:val="es-ES_tradnl"/>
        </w:rPr>
      </w:pPr>
      <w:r>
        <w:rPr>
          <w:rStyle w:val="FootnoteReference"/>
          <w:szCs w:val="24"/>
        </w:rPr>
        <w:footnoteRef/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bCs/>
          <w:szCs w:val="24"/>
          <w:lang w:val="es-ES_tradnl"/>
        </w:rPr>
        <w:t xml:space="preserve">CAT/C/HUN/CO/4, </w:t>
      </w:r>
      <w:r>
        <w:rPr>
          <w:bCs/>
          <w:szCs w:val="24"/>
        </w:rPr>
        <w:t>пункт</w:t>
      </w:r>
      <w:r>
        <w:rPr>
          <w:bCs/>
          <w:szCs w:val="24"/>
          <w:lang w:val="es-ES_tradnl"/>
        </w:rPr>
        <w:t xml:space="preserve"> 6.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pStyle w:val="FootnoteText"/>
        <w:rPr>
          <w:sz w:val="20"/>
          <w:lang w:val="en-US"/>
        </w:rPr>
      </w:pPr>
    </w:p>
  </w:footnote>
  <w:footnote w:id="3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8.</w:t>
      </w:r>
    </w:p>
    <w:p w:rsidR="00000000" w:rsidRDefault="00000000">
      <w:pPr>
        <w:pStyle w:val="FootnoteText"/>
        <w:rPr>
          <w:szCs w:val="24"/>
        </w:rPr>
      </w:pPr>
    </w:p>
  </w:footnote>
  <w:footnote w:id="4">
    <w:p w:rsidR="00000000" w:rsidRDefault="00000000">
      <w:pPr>
        <w:pStyle w:val="FootnoteText"/>
        <w:rPr>
          <w:bCs/>
          <w:szCs w:val="24"/>
          <w:lang w:eastAsia="en-GB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 xml:space="preserve">Там же, пункт 7, и </w:t>
      </w:r>
      <w:r>
        <w:rPr>
          <w:bCs/>
          <w:szCs w:val="24"/>
          <w:lang w:val="en-GB" w:eastAsia="en-GB"/>
        </w:rPr>
        <w:t>CAT</w:t>
      </w:r>
      <w:r>
        <w:rPr>
          <w:bCs/>
          <w:szCs w:val="24"/>
          <w:lang w:eastAsia="en-GB"/>
        </w:rPr>
        <w:t>/</w:t>
      </w:r>
      <w:r>
        <w:rPr>
          <w:bCs/>
          <w:szCs w:val="24"/>
          <w:lang w:val="en-GB" w:eastAsia="en-GB"/>
        </w:rPr>
        <w:t>C</w:t>
      </w:r>
      <w:r>
        <w:rPr>
          <w:bCs/>
          <w:szCs w:val="24"/>
          <w:lang w:eastAsia="en-GB"/>
        </w:rPr>
        <w:t>/</w:t>
      </w:r>
      <w:r>
        <w:rPr>
          <w:bCs/>
          <w:szCs w:val="24"/>
          <w:lang w:val="en-GB" w:eastAsia="en-GB"/>
        </w:rPr>
        <w:t>HUN</w:t>
      </w:r>
      <w:r>
        <w:rPr>
          <w:bCs/>
          <w:szCs w:val="24"/>
          <w:lang w:eastAsia="en-GB"/>
        </w:rPr>
        <w:t>/</w:t>
      </w:r>
      <w:r>
        <w:rPr>
          <w:bCs/>
          <w:szCs w:val="24"/>
          <w:lang w:val="en-GB" w:eastAsia="en-GB"/>
        </w:rPr>
        <w:t>CO</w:t>
      </w:r>
      <w:r>
        <w:rPr>
          <w:bCs/>
          <w:szCs w:val="24"/>
          <w:lang w:eastAsia="en-GB"/>
        </w:rPr>
        <w:t>/4/</w:t>
      </w:r>
      <w:r>
        <w:rPr>
          <w:bCs/>
          <w:szCs w:val="24"/>
          <w:lang w:val="en-GB" w:eastAsia="en-GB"/>
        </w:rPr>
        <w:t>Add</w:t>
      </w:r>
      <w:r>
        <w:rPr>
          <w:bCs/>
          <w:szCs w:val="24"/>
          <w:lang w:eastAsia="en-GB"/>
        </w:rPr>
        <w:t>.1, пункты 1-11.</w:t>
      </w:r>
    </w:p>
    <w:p w:rsidR="00000000" w:rsidRDefault="00000000">
      <w:pPr>
        <w:pStyle w:val="FootnoteText"/>
        <w:rPr>
          <w:szCs w:val="24"/>
        </w:rPr>
      </w:pPr>
    </w:p>
  </w:footnote>
  <w:footnote w:id="5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bCs/>
          <w:szCs w:val="24"/>
          <w:lang w:val="en-US"/>
        </w:rPr>
        <w:t>CAT/C/HUN/CO/4</w:t>
      </w:r>
      <w:r>
        <w:rPr>
          <w:szCs w:val="24"/>
          <w:lang w:val="en-US"/>
        </w:rPr>
        <w:t xml:space="preserve">, </w:t>
      </w:r>
      <w:r>
        <w:rPr>
          <w:szCs w:val="24"/>
        </w:rPr>
        <w:t>пункт</w:t>
      </w:r>
      <w:r>
        <w:rPr>
          <w:szCs w:val="24"/>
          <w:lang w:val="en-US"/>
        </w:rPr>
        <w:t xml:space="preserve"> 7.</w:t>
      </w:r>
    </w:p>
    <w:p w:rsidR="00000000" w:rsidRDefault="00000000">
      <w:pPr>
        <w:pStyle w:val="FootnoteText"/>
        <w:rPr>
          <w:szCs w:val="24"/>
        </w:rPr>
      </w:pPr>
    </w:p>
  </w:footnote>
  <w:footnote w:id="6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же.</w:t>
      </w:r>
    </w:p>
    <w:p w:rsidR="00000000" w:rsidRDefault="00000000">
      <w:pPr>
        <w:pStyle w:val="FootnoteText"/>
        <w:rPr>
          <w:szCs w:val="24"/>
        </w:rPr>
      </w:pPr>
    </w:p>
  </w:footnote>
  <w:footnote w:id="7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 xml:space="preserve">Там же, пункт 9, и CAT/C/HUN/CO/4/Add.1, пункты </w:t>
      </w:r>
      <w:r>
        <w:rPr>
          <w:szCs w:val="24"/>
          <w:lang w:val="es-ES_tradnl"/>
        </w:rPr>
        <w:t>13-24.</w:t>
      </w:r>
    </w:p>
    <w:p w:rsidR="00000000" w:rsidRDefault="00000000">
      <w:pPr>
        <w:pStyle w:val="FootnoteText"/>
        <w:rPr>
          <w:szCs w:val="24"/>
        </w:rPr>
      </w:pPr>
    </w:p>
  </w:footnote>
  <w:footnote w:id="8">
    <w:p w:rsidR="00000000" w:rsidRDefault="00000000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</w:rPr>
        <w:footnoteRef/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  <w:t xml:space="preserve">CAT/C/HUN/CO/4, </w:t>
      </w:r>
      <w:r>
        <w:rPr>
          <w:szCs w:val="24"/>
        </w:rPr>
        <w:t>пункт</w:t>
      </w:r>
      <w:r>
        <w:rPr>
          <w:szCs w:val="24"/>
          <w:lang w:val="en-US"/>
        </w:rPr>
        <w:t xml:space="preserve"> 9.</w:t>
      </w:r>
    </w:p>
    <w:p w:rsidR="00000000" w:rsidRDefault="00000000">
      <w:pPr>
        <w:pStyle w:val="FootnoteText"/>
        <w:rPr>
          <w:szCs w:val="24"/>
        </w:rPr>
      </w:pPr>
    </w:p>
  </w:footnote>
  <w:footnote w:id="9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10.</w:t>
      </w:r>
    </w:p>
    <w:p w:rsidR="00000000" w:rsidRDefault="00000000">
      <w:pPr>
        <w:pStyle w:val="FootnoteText"/>
        <w:rPr>
          <w:szCs w:val="24"/>
        </w:rPr>
      </w:pPr>
    </w:p>
  </w:footnote>
  <w:footnote w:id="10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же.</w:t>
      </w:r>
    </w:p>
    <w:p w:rsidR="00000000" w:rsidRDefault="00000000">
      <w:pPr>
        <w:pStyle w:val="FootnoteText"/>
        <w:rPr>
          <w:szCs w:val="24"/>
        </w:rPr>
      </w:pPr>
    </w:p>
  </w:footnote>
  <w:footnote w:id="11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11.</w:t>
      </w:r>
    </w:p>
    <w:p w:rsidR="00000000" w:rsidRDefault="00000000">
      <w:pPr>
        <w:pStyle w:val="FootnoteText"/>
        <w:rPr>
          <w:szCs w:val="24"/>
        </w:rPr>
      </w:pPr>
    </w:p>
  </w:footnote>
  <w:footnote w:id="12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13.</w:t>
      </w:r>
    </w:p>
    <w:p w:rsidR="00000000" w:rsidRDefault="00000000">
      <w:pPr>
        <w:pStyle w:val="FootnoteText"/>
        <w:rPr>
          <w:szCs w:val="24"/>
        </w:rPr>
      </w:pPr>
    </w:p>
  </w:footnote>
  <w:footnote w:id="13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же.</w:t>
      </w:r>
    </w:p>
    <w:p w:rsidR="00000000" w:rsidRDefault="00000000">
      <w:pPr>
        <w:pStyle w:val="FootnoteText"/>
        <w:rPr>
          <w:szCs w:val="24"/>
        </w:rPr>
      </w:pPr>
    </w:p>
  </w:footnote>
  <w:footnote w:id="14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18.</w:t>
      </w:r>
    </w:p>
    <w:p w:rsidR="00000000" w:rsidRDefault="00000000">
      <w:pPr>
        <w:pStyle w:val="FootnoteText"/>
        <w:rPr>
          <w:szCs w:val="24"/>
        </w:rPr>
      </w:pPr>
    </w:p>
  </w:footnote>
  <w:footnote w:id="15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 xml:space="preserve">Там же, пункт 12, и </w:t>
      </w:r>
      <w:r>
        <w:rPr>
          <w:szCs w:val="24"/>
          <w:lang w:val="en-US"/>
        </w:rPr>
        <w:t>A</w:t>
      </w:r>
      <w:r>
        <w:rPr>
          <w:szCs w:val="24"/>
        </w:rPr>
        <w:t>/</w:t>
      </w:r>
      <w:r>
        <w:rPr>
          <w:szCs w:val="24"/>
          <w:lang w:val="en-US"/>
        </w:rPr>
        <w:t>HRC</w:t>
      </w:r>
      <w:r>
        <w:rPr>
          <w:szCs w:val="24"/>
        </w:rPr>
        <w:t>/4/9/</w:t>
      </w:r>
      <w:r>
        <w:rPr>
          <w:szCs w:val="24"/>
          <w:lang w:val="en-US"/>
        </w:rPr>
        <w:t>Add</w:t>
      </w:r>
      <w:r>
        <w:rPr>
          <w:szCs w:val="24"/>
        </w:rPr>
        <w:t>.1, пункт 100.</w:t>
      </w:r>
    </w:p>
    <w:p w:rsidR="00000000" w:rsidRDefault="00000000">
      <w:pPr>
        <w:pStyle w:val="FootnoteText"/>
        <w:rPr>
          <w:szCs w:val="24"/>
        </w:rPr>
      </w:pPr>
    </w:p>
  </w:footnote>
  <w:footnote w:id="16">
    <w:p w:rsidR="00000000" w:rsidRDefault="00000000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</w:rPr>
        <w:footnoteRef/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  <w:t xml:space="preserve">CAT/C/HUN/CO/4, </w:t>
      </w:r>
      <w:r>
        <w:rPr>
          <w:szCs w:val="24"/>
        </w:rPr>
        <w:t>пункт</w:t>
      </w:r>
      <w:r>
        <w:rPr>
          <w:szCs w:val="24"/>
          <w:lang w:val="en-US"/>
        </w:rPr>
        <w:t xml:space="preserve"> 16.</w:t>
      </w:r>
    </w:p>
    <w:p w:rsidR="00000000" w:rsidRDefault="00000000">
      <w:pPr>
        <w:pStyle w:val="FootnoteText"/>
        <w:rPr>
          <w:szCs w:val="24"/>
          <w:lang w:val="en-US"/>
        </w:rPr>
      </w:pPr>
    </w:p>
  </w:footnote>
  <w:footnote w:id="17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14.</w:t>
      </w:r>
    </w:p>
    <w:p w:rsidR="00000000" w:rsidRDefault="00000000">
      <w:pPr>
        <w:pStyle w:val="FootnoteText"/>
        <w:rPr>
          <w:szCs w:val="24"/>
        </w:rPr>
      </w:pPr>
    </w:p>
  </w:footnote>
  <w:footnote w:id="18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4 е).</w:t>
      </w:r>
    </w:p>
    <w:p w:rsidR="00000000" w:rsidRDefault="00000000">
      <w:pPr>
        <w:pStyle w:val="FootnoteText"/>
        <w:rPr>
          <w:szCs w:val="24"/>
        </w:rPr>
      </w:pPr>
    </w:p>
  </w:footnote>
  <w:footnote w:id="19">
    <w:p w:rsidR="00000000" w:rsidRDefault="00000000">
      <w:pPr>
        <w:pStyle w:val="FootnoteText"/>
        <w:spacing w:line="216" w:lineRule="auto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17.</w:t>
      </w:r>
    </w:p>
    <w:p w:rsidR="00000000" w:rsidRDefault="00000000">
      <w:pPr>
        <w:pStyle w:val="FootnoteText"/>
        <w:spacing w:line="216" w:lineRule="auto"/>
        <w:rPr>
          <w:sz w:val="20"/>
        </w:rPr>
      </w:pPr>
    </w:p>
  </w:footnote>
  <w:footnote w:id="20">
    <w:p w:rsidR="00000000" w:rsidRDefault="00000000">
      <w:pPr>
        <w:pStyle w:val="FootnoteText"/>
        <w:spacing w:line="216" w:lineRule="auto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4 а).</w:t>
      </w:r>
    </w:p>
    <w:p w:rsidR="00000000" w:rsidRDefault="00000000">
      <w:pPr>
        <w:pStyle w:val="FootnoteText"/>
        <w:spacing w:line="216" w:lineRule="auto"/>
        <w:rPr>
          <w:sz w:val="20"/>
        </w:rPr>
      </w:pPr>
    </w:p>
  </w:footnote>
  <w:footnote w:id="21">
    <w:p w:rsidR="00000000" w:rsidRDefault="00000000">
      <w:pPr>
        <w:pStyle w:val="FootnoteText"/>
        <w:spacing w:line="216" w:lineRule="auto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же.</w:t>
      </w:r>
    </w:p>
    <w:p w:rsidR="00000000" w:rsidRDefault="00000000">
      <w:pPr>
        <w:pStyle w:val="FootnoteText"/>
        <w:spacing w:line="216" w:lineRule="auto"/>
        <w:rPr>
          <w:sz w:val="20"/>
        </w:rPr>
      </w:pPr>
    </w:p>
  </w:footnote>
  <w:footnote w:id="22">
    <w:p w:rsidR="00000000" w:rsidRDefault="00000000">
      <w:pPr>
        <w:pStyle w:val="FootnoteText"/>
        <w:spacing w:line="216" w:lineRule="auto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19.</w:t>
      </w:r>
    </w:p>
    <w:p w:rsidR="00000000" w:rsidRDefault="00000000">
      <w:pPr>
        <w:pStyle w:val="FootnoteText"/>
        <w:spacing w:line="216" w:lineRule="auto"/>
        <w:rPr>
          <w:sz w:val="20"/>
        </w:rPr>
      </w:pPr>
    </w:p>
  </w:footnote>
  <w:footnote w:id="23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4 g).</w:t>
      </w:r>
    </w:p>
  </w:footnote>
  <w:footnote w:id="24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20.</w:t>
      </w:r>
    </w:p>
    <w:p w:rsidR="00000000" w:rsidRDefault="00000000">
      <w:pPr>
        <w:pStyle w:val="FootnoteText"/>
        <w:rPr>
          <w:szCs w:val="24"/>
        </w:rPr>
      </w:pPr>
    </w:p>
  </w:footnote>
  <w:footnote w:id="25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21.</w:t>
      </w:r>
    </w:p>
    <w:p w:rsidR="00000000" w:rsidRDefault="00000000">
      <w:pPr>
        <w:pStyle w:val="FootnoteText"/>
        <w:rPr>
          <w:szCs w:val="24"/>
        </w:rPr>
      </w:pPr>
    </w:p>
  </w:footnote>
  <w:footnote w:id="26">
    <w:p w:rsidR="00000000" w:rsidRDefault="00000000">
      <w:pPr>
        <w:pStyle w:val="FootnoteText"/>
        <w:rPr>
          <w:bCs/>
          <w:szCs w:val="24"/>
          <w:lang w:val="en-US"/>
        </w:rPr>
      </w:pPr>
      <w:r>
        <w:rPr>
          <w:rStyle w:val="FootnoteReference"/>
          <w:szCs w:val="24"/>
        </w:rPr>
        <w:footnoteRef/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bCs/>
          <w:szCs w:val="24"/>
          <w:lang w:val="es-ES_tradnl"/>
        </w:rPr>
        <w:t xml:space="preserve">CEDAW/C/HUN/CO/6, </w:t>
      </w:r>
      <w:r>
        <w:rPr>
          <w:bCs/>
          <w:szCs w:val="24"/>
        </w:rPr>
        <w:t>пункт</w:t>
      </w:r>
      <w:r>
        <w:rPr>
          <w:bCs/>
          <w:szCs w:val="24"/>
          <w:lang w:val="en-US"/>
        </w:rPr>
        <w:t> </w:t>
      </w:r>
      <w:r>
        <w:rPr>
          <w:bCs/>
          <w:szCs w:val="24"/>
          <w:lang w:val="es-ES"/>
        </w:rPr>
        <w:t>23.</w:t>
      </w:r>
    </w:p>
    <w:p w:rsidR="00000000" w:rsidRDefault="00000000">
      <w:pPr>
        <w:pStyle w:val="FootnoteText"/>
        <w:rPr>
          <w:szCs w:val="24"/>
          <w:lang w:val="en-US"/>
        </w:rPr>
      </w:pPr>
    </w:p>
  </w:footnote>
  <w:footnote w:id="27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18.</w:t>
      </w:r>
    </w:p>
    <w:p w:rsidR="00000000" w:rsidRDefault="00000000">
      <w:pPr>
        <w:pStyle w:val="FootnoteText"/>
        <w:rPr>
          <w:szCs w:val="24"/>
        </w:rPr>
      </w:pPr>
    </w:p>
  </w:footnote>
  <w:footnote w:id="28">
    <w:p w:rsidR="00000000" w:rsidRDefault="00000000">
      <w:pPr>
        <w:pStyle w:val="FootnoteText"/>
        <w:rPr>
          <w:szCs w:val="24"/>
        </w:rPr>
      </w:pPr>
      <w:r>
        <w:rPr>
          <w:rStyle w:val="FootnoteReference"/>
          <w:szCs w:val="24"/>
        </w:rPr>
        <w:footnoteRef/>
      </w:r>
      <w:r>
        <w:rPr>
          <w:szCs w:val="24"/>
        </w:rPr>
        <w:t xml:space="preserve"> </w:t>
      </w:r>
      <w:r>
        <w:rPr>
          <w:szCs w:val="24"/>
        </w:rPr>
        <w:tab/>
        <w:t>Там же, пункт 30.</w:t>
      </w:r>
    </w:p>
    <w:p w:rsidR="00000000" w:rsidRDefault="00000000">
      <w:pPr>
        <w:pStyle w:val="FootnoteText"/>
        <w:rPr>
          <w:szCs w:val="24"/>
        </w:rPr>
      </w:pPr>
    </w:p>
  </w:footnote>
  <w:footnote w:id="29">
    <w:p w:rsidR="00000000" w:rsidRDefault="00000000">
      <w:pPr>
        <w:pStyle w:val="FootnoteText"/>
        <w:rPr>
          <w:szCs w:val="24"/>
          <w:lang w:val="en-US"/>
        </w:rPr>
      </w:pPr>
      <w:r>
        <w:rPr>
          <w:rStyle w:val="FootnoteReference"/>
          <w:szCs w:val="24"/>
        </w:rPr>
        <w:footnoteRef/>
      </w:r>
      <w:r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  <w:lang w:val="es-ES_tradnl"/>
        </w:rPr>
        <w:t xml:space="preserve">CAT/C/HUN/CO/4, </w:t>
      </w:r>
      <w:r>
        <w:rPr>
          <w:szCs w:val="24"/>
        </w:rPr>
        <w:t>пункт</w:t>
      </w:r>
      <w:r>
        <w:rPr>
          <w:szCs w:val="24"/>
          <w:lang w:val="en-US"/>
        </w:rPr>
        <w:t> 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CAT/C/HUN/Q/5-6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6804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CAT/C/HUN/Q/5-6</w:t>
    </w:r>
  </w:p>
  <w:p w:rsidR="00000000" w:rsidRDefault="00000000">
    <w:pPr>
      <w:pStyle w:val="Header"/>
      <w:tabs>
        <w:tab w:val="clear" w:pos="8306"/>
        <w:tab w:val="left" w:pos="6804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3273</Words>
  <Characters>18658</Characters>
  <Application>Microsoft Office Word</Application>
  <DocSecurity>4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0943646</vt:lpstr>
    </vt:vector>
  </TitlesOfParts>
  <Company> </Company>
  <LinksUpToDate>false</LinksUpToDate>
  <CharactersWithSpaces>21888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0943646</dc:title>
  <dc:subject>МУРАВЬЕВ</dc:subject>
  <dc:creator>Людмила ЦЕПЕЛЕВА</dc:creator>
  <cp:keywords/>
  <dc:description/>
  <cp:lastModifiedBy>Людмила ЦЕПЕЛЕВА</cp:lastModifiedBy>
  <cp:revision>3</cp:revision>
  <cp:lastPrinted>2009-08-19T13:03:00Z</cp:lastPrinted>
  <dcterms:created xsi:type="dcterms:W3CDTF">2009-08-19T13:02:00Z</dcterms:created>
  <dcterms:modified xsi:type="dcterms:W3CDTF">2009-08-19T13:03:00Z</dcterms:modified>
</cp:coreProperties>
</file>