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67E6" w14:textId="77777777" w:rsidR="006A00F0" w:rsidRPr="00C80C57" w:rsidRDefault="006A00F0" w:rsidP="006A00F0">
      <w:pPr>
        <w:spacing w:line="240" w:lineRule="auto"/>
        <w:rPr>
          <w:sz w:val="2"/>
        </w:rPr>
        <w:sectPr w:rsidR="006A00F0" w:rsidRPr="00C80C57" w:rsidSect="008831C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80C57">
        <w:rPr>
          <w:rStyle w:val="CommentReference"/>
          <w:szCs w:val="20"/>
        </w:rPr>
        <w:commentReference w:id="0"/>
      </w:r>
    </w:p>
    <w:p w14:paraId="39895593" w14:textId="01C87D8A" w:rsidR="008831CA" w:rsidRPr="00F733FC" w:rsidRDefault="008831CA" w:rsidP="00883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F733FC">
        <w:t>Comité para la Eliminación de la Discriminación contra la Mujer</w:t>
      </w:r>
    </w:p>
    <w:p w14:paraId="0384BD33" w14:textId="165B0B80" w:rsidR="008831CA" w:rsidRPr="00F733FC" w:rsidRDefault="008831CA" w:rsidP="008831CA">
      <w:pPr>
        <w:spacing w:line="120" w:lineRule="exact"/>
        <w:rPr>
          <w:b/>
          <w:bCs/>
          <w:sz w:val="10"/>
        </w:rPr>
      </w:pPr>
    </w:p>
    <w:p w14:paraId="3DD4D9EC" w14:textId="280EA734" w:rsidR="008831CA" w:rsidRPr="00F733FC" w:rsidRDefault="008831CA" w:rsidP="008831CA">
      <w:pPr>
        <w:spacing w:line="120" w:lineRule="exact"/>
        <w:rPr>
          <w:b/>
          <w:sz w:val="10"/>
        </w:rPr>
      </w:pPr>
    </w:p>
    <w:p w14:paraId="55315054" w14:textId="5FE38992" w:rsidR="008831CA" w:rsidRPr="00F733FC" w:rsidRDefault="008831CA" w:rsidP="008831CA">
      <w:pPr>
        <w:spacing w:line="120" w:lineRule="exact"/>
        <w:rPr>
          <w:b/>
          <w:sz w:val="10"/>
        </w:rPr>
      </w:pPr>
    </w:p>
    <w:p w14:paraId="5D283099" w14:textId="7DB1829C" w:rsidR="008831CA" w:rsidRPr="00C80C57" w:rsidRDefault="008831CA" w:rsidP="008831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C80C57">
        <w:rPr>
          <w:noProof/>
          <w:w w:val="100"/>
        </w:rPr>
        <mc:AlternateContent>
          <mc:Choice Requires="wps">
            <w:drawing>
              <wp:anchor distT="0" distB="0" distL="114300" distR="114300" simplePos="0" relativeHeight="251659264" behindDoc="0" locked="0" layoutInCell="1" allowOverlap="1" wp14:anchorId="45DD87D2" wp14:editId="2C84A89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EE4D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80C57">
        <w:rPr>
          <w:spacing w:val="5"/>
          <w:w w:val="104"/>
          <w:kern w:val="14"/>
          <w:sz w:val="17"/>
          <w:szCs w:val="20"/>
        </w:rPr>
        <w:tab/>
        <w:t>*</w:t>
      </w:r>
      <w:r w:rsidRPr="00C80C57">
        <w:rPr>
          <w:spacing w:val="5"/>
          <w:w w:val="104"/>
          <w:kern w:val="14"/>
          <w:sz w:val="17"/>
          <w:szCs w:val="20"/>
        </w:rPr>
        <w:tab/>
        <w:t>La versión original del presente documento no fue objeto de revisión editorial oficial.</w:t>
      </w:r>
    </w:p>
    <w:p w14:paraId="64A4CB75" w14:textId="1A764A73" w:rsidR="008831CA" w:rsidRPr="00C80C57" w:rsidRDefault="008831CA" w:rsidP="008831CA">
      <w:pPr>
        <w:pStyle w:val="TitleHCH"/>
        <w:ind w:right="1470"/>
        <w:rPr>
          <w:b w:val="0"/>
          <w:bCs/>
          <w:sz w:val="20"/>
          <w:szCs w:val="20"/>
        </w:rPr>
      </w:pPr>
      <w:r w:rsidRPr="00F733FC">
        <w:tab/>
      </w:r>
      <w:r w:rsidRPr="00F733FC">
        <w:tab/>
        <w:t>Información recibida de Zimbabwe sobre el seguimiento de las observaciones finales relativas a su sexto informe periódico</w:t>
      </w:r>
      <w:r w:rsidRPr="00C80C57">
        <w:rPr>
          <w:b w:val="0"/>
          <w:bCs/>
          <w:sz w:val="20"/>
          <w:szCs w:val="20"/>
        </w:rPr>
        <w:t>*</w:t>
      </w:r>
    </w:p>
    <w:p w14:paraId="0EE03E4A" w14:textId="4BC25D8C" w:rsidR="008831CA" w:rsidRPr="00C80C57" w:rsidRDefault="008831CA" w:rsidP="008831CA">
      <w:pPr>
        <w:pStyle w:val="SingleTxt"/>
        <w:spacing w:after="0" w:line="120" w:lineRule="exact"/>
        <w:rPr>
          <w:sz w:val="10"/>
        </w:rPr>
      </w:pPr>
    </w:p>
    <w:p w14:paraId="7A8B9454" w14:textId="7DE896DE" w:rsidR="008831CA" w:rsidRPr="00C80C57" w:rsidRDefault="008831CA" w:rsidP="008831CA">
      <w:pPr>
        <w:pStyle w:val="SingleTxt"/>
        <w:spacing w:after="0" w:line="120" w:lineRule="exact"/>
        <w:rPr>
          <w:sz w:val="10"/>
        </w:rPr>
      </w:pPr>
    </w:p>
    <w:p w14:paraId="1B814722" w14:textId="1CD1F982" w:rsidR="006A00F0" w:rsidRPr="00C80C57" w:rsidRDefault="008831CA" w:rsidP="008831CA">
      <w:pPr>
        <w:jc w:val="right"/>
      </w:pPr>
      <w:r w:rsidRPr="00C80C57">
        <w:t xml:space="preserve">[Fecha de recepción: </w:t>
      </w:r>
      <w:r w:rsidRPr="00F733FC">
        <w:t>13</w:t>
      </w:r>
      <w:r w:rsidRPr="00C80C57">
        <w:t xml:space="preserve"> de diciembre de </w:t>
      </w:r>
      <w:r w:rsidRPr="00F733FC">
        <w:t>2022</w:t>
      </w:r>
      <w:r w:rsidRPr="00C80C57">
        <w:t>]</w:t>
      </w:r>
    </w:p>
    <w:p w14:paraId="3E5DAABF" w14:textId="2A6C35E8" w:rsidR="008831CA" w:rsidRPr="00C80C57" w:rsidRDefault="008831CA" w:rsidP="008831CA">
      <w:pPr>
        <w:jc w:val="right"/>
      </w:pPr>
    </w:p>
    <w:p w14:paraId="145CDAED" w14:textId="75452DFA" w:rsidR="008831CA" w:rsidRPr="00C80C57" w:rsidRDefault="008831CA">
      <w:pPr>
        <w:suppressAutoHyphens w:val="0"/>
        <w:spacing w:after="200" w:line="276" w:lineRule="auto"/>
      </w:pPr>
      <w:r w:rsidRPr="00C80C57">
        <w:br w:type="page"/>
      </w:r>
    </w:p>
    <w:p w14:paraId="7109E55A" w14:textId="78B8EF3F" w:rsidR="008831CA" w:rsidRPr="00F733FC" w:rsidRDefault="008831CA" w:rsidP="008831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FC">
        <w:lastRenderedPageBreak/>
        <w:tab/>
        <w:t>I.</w:t>
      </w:r>
      <w:r w:rsidRPr="00F733FC">
        <w:tab/>
        <w:t>Introducción</w:t>
      </w:r>
    </w:p>
    <w:p w14:paraId="69BF3613" w14:textId="678A7036" w:rsidR="008831CA" w:rsidRPr="00C80C57" w:rsidRDefault="008831CA" w:rsidP="008831CA">
      <w:pPr>
        <w:pStyle w:val="SingleTxt"/>
        <w:spacing w:after="0" w:line="120" w:lineRule="exact"/>
        <w:rPr>
          <w:sz w:val="10"/>
        </w:rPr>
      </w:pPr>
    </w:p>
    <w:p w14:paraId="44FFA461" w14:textId="1E51F222" w:rsidR="008831CA" w:rsidRPr="00C80C57" w:rsidRDefault="008831CA" w:rsidP="008831CA">
      <w:pPr>
        <w:pStyle w:val="SingleTxt"/>
        <w:spacing w:after="0" w:line="120" w:lineRule="exact"/>
        <w:rPr>
          <w:sz w:val="10"/>
        </w:rPr>
      </w:pPr>
    </w:p>
    <w:p w14:paraId="23B09C71" w14:textId="64F6384B" w:rsidR="008831CA" w:rsidRPr="008831CA" w:rsidRDefault="008831CA" w:rsidP="00C80C57">
      <w:pPr>
        <w:pStyle w:val="SingleTxt"/>
        <w:numPr>
          <w:ilvl w:val="0"/>
          <w:numId w:val="6"/>
        </w:numPr>
        <w:ind w:left="1267"/>
      </w:pPr>
      <w:r w:rsidRPr="008831CA">
        <w:t xml:space="preserve">El Gobierno de Zimbabwe se mantiene decidido a promover la igualdad de género, el empoderamiento de las mujeres y la erradicación de la violencia contra las mujeres y las niñas. Como muestra de su determinación, Zimbabwe ha seguido aplicando las disposiciones de los instrumentos regionales e internacionales, entre ellos la Convención sobre la Eliminación de Todas las Formas de Discriminación contra la Mujer. En consonancia con esa dedicación, el Gobierno de Zimbabwe ha incorporado las disposiciones de la Convención y otros instrumentos internacionales en sus diversas políticas, estrategias y programas. </w:t>
      </w:r>
    </w:p>
    <w:p w14:paraId="496E6082" w14:textId="71318A05" w:rsidR="008831CA" w:rsidRPr="00C80C57" w:rsidRDefault="008831CA" w:rsidP="00C80C57">
      <w:pPr>
        <w:pStyle w:val="SingleTxt"/>
        <w:numPr>
          <w:ilvl w:val="0"/>
          <w:numId w:val="6"/>
        </w:numPr>
        <w:ind w:left="1267"/>
      </w:pPr>
      <w:r w:rsidRPr="008831CA">
        <w:t>El Gobierno de Zimbabwe presentó su sexto informe periódico al Comité para la Eliminación de la Discriminación contra la Mujer en febrero de 2020. El Comité formuló recomendaciones al Estado parte que el Gobierno de Zimbabwe se está esforzando por aplicar. A raíz de la solicitud del Comité, que figura en el párrafo 57 de sus observaciones finales, de presentar en el plazo de dos (2) años respuestas a sus recomendaciones, el Gobierno de Zimbabwe presenta este informe de seguimiento.</w:t>
      </w:r>
    </w:p>
    <w:p w14:paraId="329E019C" w14:textId="72B08BD2" w:rsidR="008831CA" w:rsidRPr="00C80C57" w:rsidRDefault="008831CA" w:rsidP="008831CA">
      <w:pPr>
        <w:pStyle w:val="SingleTxt"/>
        <w:spacing w:after="0" w:line="120" w:lineRule="exact"/>
        <w:rPr>
          <w:sz w:val="10"/>
        </w:rPr>
      </w:pPr>
    </w:p>
    <w:p w14:paraId="79F0E26F" w14:textId="292BB2F0" w:rsidR="008831CA" w:rsidRPr="00C80C57" w:rsidRDefault="008831CA" w:rsidP="008831CA">
      <w:pPr>
        <w:pStyle w:val="SingleTxt"/>
        <w:spacing w:after="0" w:line="120" w:lineRule="exact"/>
        <w:rPr>
          <w:sz w:val="10"/>
        </w:rPr>
      </w:pPr>
    </w:p>
    <w:p w14:paraId="2A7943AE" w14:textId="1BE22BBD" w:rsidR="008831CA" w:rsidRPr="00F733FC" w:rsidRDefault="008831CA" w:rsidP="008831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FC">
        <w:tab/>
        <w:t>II.</w:t>
      </w:r>
      <w:r w:rsidRPr="00F733FC">
        <w:tab/>
        <w:t>Información adicional</w:t>
      </w:r>
    </w:p>
    <w:p w14:paraId="4EB4B22C" w14:textId="05242AE3" w:rsidR="008831CA" w:rsidRPr="00C80C57" w:rsidRDefault="008831CA" w:rsidP="008831CA">
      <w:pPr>
        <w:pStyle w:val="SingleTxt"/>
        <w:spacing w:after="0" w:line="120" w:lineRule="exact"/>
        <w:rPr>
          <w:sz w:val="10"/>
        </w:rPr>
      </w:pPr>
    </w:p>
    <w:p w14:paraId="578E0554" w14:textId="7E6F5090" w:rsidR="008831CA" w:rsidRPr="00C80C57" w:rsidRDefault="008831CA" w:rsidP="008831CA">
      <w:pPr>
        <w:pStyle w:val="SingleTxt"/>
        <w:spacing w:after="0" w:line="120" w:lineRule="exact"/>
        <w:rPr>
          <w:sz w:val="10"/>
        </w:rPr>
      </w:pPr>
    </w:p>
    <w:p w14:paraId="092625A2" w14:textId="39CA63D9" w:rsidR="008831CA" w:rsidRPr="00F733FC" w:rsidRDefault="008831CA" w:rsidP="00AE76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pPr>
      <w:r w:rsidRPr="00F733FC">
        <w:tab/>
        <w:t>A.</w:t>
      </w:r>
      <w:r w:rsidRPr="00F733FC">
        <w:tab/>
        <w:t>Información adicional relativa al párrafo 18 b) de las observaciones finales</w:t>
      </w:r>
      <w:bookmarkStart w:id="1" w:name="_Hlk121843228"/>
      <w:bookmarkEnd w:id="1"/>
    </w:p>
    <w:p w14:paraId="2465414B" w14:textId="3D229FC1" w:rsidR="00AE7638" w:rsidRPr="00C80C57" w:rsidRDefault="00AE7638" w:rsidP="00AE7638">
      <w:pPr>
        <w:pStyle w:val="SingleTxt"/>
        <w:spacing w:after="0" w:line="120" w:lineRule="exact"/>
        <w:rPr>
          <w:sz w:val="10"/>
        </w:rPr>
      </w:pPr>
    </w:p>
    <w:p w14:paraId="74577EAF" w14:textId="5BA3FC07" w:rsidR="00AE7638" w:rsidRPr="00C80C57" w:rsidRDefault="00AE7638" w:rsidP="00AE7638">
      <w:pPr>
        <w:pStyle w:val="SingleTxt"/>
        <w:spacing w:after="0" w:line="120" w:lineRule="exact"/>
        <w:rPr>
          <w:sz w:val="10"/>
        </w:rPr>
      </w:pPr>
    </w:p>
    <w:p w14:paraId="177E6CE7" w14:textId="1488E611" w:rsidR="008831CA" w:rsidRPr="008831CA" w:rsidRDefault="008831CA" w:rsidP="00C80C57">
      <w:pPr>
        <w:pStyle w:val="SingleTxt"/>
        <w:numPr>
          <w:ilvl w:val="0"/>
          <w:numId w:val="6"/>
        </w:numPr>
        <w:ind w:left="1267"/>
      </w:pPr>
      <w:r w:rsidRPr="008831CA">
        <w:t>El Gobierno de Zimbabwe reconoce la importancia de que las mujeres participen en los procesos de paz para que las iniciativas de solución de conflictos y consolidación de la paz sean sostenibles, habida cuenta de que, siempre que se producen conflictos, estos afectan de manera diferente a hombres y mujeres.</w:t>
      </w:r>
    </w:p>
    <w:p w14:paraId="6824A478" w14:textId="62EEE494" w:rsidR="008831CA" w:rsidRPr="008831CA" w:rsidRDefault="008831CA" w:rsidP="00C80C57">
      <w:pPr>
        <w:pStyle w:val="SingleTxt"/>
        <w:numPr>
          <w:ilvl w:val="0"/>
          <w:numId w:val="6"/>
        </w:numPr>
        <w:ind w:left="1267"/>
        <w:rPr>
          <w:bCs/>
        </w:rPr>
      </w:pPr>
      <w:r w:rsidRPr="008831CA">
        <w:t>La Constitución, en su artículo 251, establece la Comisión Nacional de Paz y Reconciliación. La Comisión tiene el mandato de garantizar la justicia, la recuperación y la reconciliación tras los conflictos, y está integrada por cuatro (4) Comisionadas y cinco (5) Comisionados. Esto se traduce en una representación femenina del 44,4 % y demuestra el afán del Gobierno de Zimbabwe por que las mujeres participen en la solución de conflictos. La Presidencia está ocupada por un hombre y la Vicepresidencia, por una mujer, lo que facilita una representación equitativa y equilibrada en la adopción de decisiones. En su estructura de programación, la Comisión cuenta con una Dependencia de Apoyo a las Víctimas, Género y Diversidad como una de sus esferas temáticas, que vela por que la Comisión incorpore la perspectiva de género en su labor. La Comisión ha establecido comités de paz a nivel nacional, provincial, de distrito y de barrio.</w:t>
      </w:r>
    </w:p>
    <w:p w14:paraId="60C68587" w14:textId="0EDF9255" w:rsidR="008831CA" w:rsidRPr="008831CA" w:rsidRDefault="008831CA" w:rsidP="00C80C57">
      <w:pPr>
        <w:pStyle w:val="SingleTxt"/>
        <w:numPr>
          <w:ilvl w:val="0"/>
          <w:numId w:val="6"/>
        </w:numPr>
        <w:ind w:left="1267"/>
        <w:rPr>
          <w:bCs/>
        </w:rPr>
      </w:pPr>
      <w:r w:rsidRPr="008831CA">
        <w:t>Se han creado infraestructuras subnacionales de paz en forma de Comités de Paz provinciales y de distrito. Los Comités de Paz ofrecen un foro y un mecanismo que permite la inclusión y la participación significativa de las mujeres en los procesos de consolidación de la paz. Los Comités de Paz provinciales tienen una representación femenina del 50 % en las presidencias y vicepresidencias, y la representación total</w:t>
      </w:r>
      <w:r w:rsidR="00F071AE">
        <w:t> </w:t>
      </w:r>
      <w:r w:rsidRPr="008831CA">
        <w:t>entre sus integrantes es de 171 mujeres y 176 hombres (representación femenina del 49 %).</w:t>
      </w:r>
    </w:p>
    <w:p w14:paraId="3AFD8880" w14:textId="53EBE289" w:rsidR="008831CA" w:rsidRPr="008831CA" w:rsidRDefault="008831CA" w:rsidP="00C80C57">
      <w:pPr>
        <w:pStyle w:val="SingleTxt"/>
        <w:numPr>
          <w:ilvl w:val="0"/>
          <w:numId w:val="6"/>
        </w:numPr>
        <w:ind w:left="1267"/>
        <w:rPr>
          <w:bCs/>
        </w:rPr>
      </w:pPr>
      <w:r w:rsidRPr="008831CA">
        <w:t xml:space="preserve">Se sigue capacitando a mujeres dedicadas a la consolidación de la paz, en particular a las integrantes de los Comités de Paz, las mediadoras y las redes de mujeres en ese ámbito, a fin de reforzar su capacidad de ser oídas en la esfera de la consolidación de la paz. Desde 2020 hasta la fecha, se han impartido una serie de cursos de capacitación sobre gestión, prevención, solución y mediación de conflictos con perspectiva de género, género y paz positiva, y género y justicia de transición. Los cursos han llegado a 112 mujeres y han potenciado la eficacia de estas en la promoción de la consolidación de la paz y las cuestiones de seguridad, entre ellas la capacidad de las mujeres para adoptar decisiones sobre la paz. </w:t>
      </w:r>
    </w:p>
    <w:p w14:paraId="2B6A6507" w14:textId="1B5E95EA" w:rsidR="008831CA" w:rsidRPr="008831CA" w:rsidRDefault="008831CA" w:rsidP="00C80C57">
      <w:pPr>
        <w:pStyle w:val="SingleTxt"/>
        <w:numPr>
          <w:ilvl w:val="0"/>
          <w:numId w:val="6"/>
        </w:numPr>
        <w:ind w:left="1267"/>
        <w:rPr>
          <w:bCs/>
        </w:rPr>
      </w:pPr>
      <w:r w:rsidRPr="008831CA">
        <w:t>Zimbabwe, por conducto de la Comisión Nacional de Paz y Reconciliación, desarrolló el Sistema Nacional de Alerta y Respuesta Tempranas en caso de Conflicto, que es un mecanismo esencial para garantizar la participación de las mujeres en la prevención de conflictos. Las mujeres y las organizaciones de mujeres contribuyen a ese sistema participando en la vigilancia de la violencia contra las mujeres durante los conflictos y la respuesta a ella. El sistema proporciona información en tiempo real en las comunidades, vela por la prevención estructural, sistémica y operacional de los conflictos y una respuesta oportuna a ellos y cuenta con indicadores claros de la violencia de género.</w:t>
      </w:r>
    </w:p>
    <w:p w14:paraId="2BB27ECF" w14:textId="16A9EAF5" w:rsidR="008831CA" w:rsidRPr="008831CA" w:rsidRDefault="008831CA" w:rsidP="00C80C57">
      <w:pPr>
        <w:pStyle w:val="SingleTxt"/>
        <w:numPr>
          <w:ilvl w:val="0"/>
          <w:numId w:val="6"/>
        </w:numPr>
        <w:ind w:left="1267"/>
      </w:pPr>
      <w:r w:rsidRPr="008831CA">
        <w:t>El Gobierno de Zimbabwe, con el apoyo de los asociados para el desarrollo, impartió capacitación sobre consolidación de la paz a mujeres en todas las provincias del país. Esta se centró en crear capacidad entre las mujeres para participar eficazmente en los procesos de paz a nivel de base. Está previsto ampliar la capacitación para que llegue a más mujeres.</w:t>
      </w:r>
    </w:p>
    <w:p w14:paraId="79B786B0" w14:textId="0FA76E48" w:rsidR="008831CA" w:rsidRPr="008831CA" w:rsidRDefault="008831CA" w:rsidP="00C80C57">
      <w:pPr>
        <w:pStyle w:val="SingleTxt"/>
        <w:numPr>
          <w:ilvl w:val="0"/>
          <w:numId w:val="6"/>
        </w:numPr>
        <w:ind w:left="1267"/>
      </w:pPr>
      <w:r w:rsidRPr="008831CA">
        <w:t xml:space="preserve">Reconociendo la importancia de que las mujeres participen en los procesos de paz, el Gobierno de Zimbabwe comenzó a preparar un plan de acción nacional sobre la aplicación de la resolución 1325 del Consejo de Seguridad. El plan de acción proporcionará orientación sobre la ejecución de programas de socorro y recuperación, y protección y prevención de la violencia contra las mujeres y las niñas, y sobre cómo el Estado parte puede mejorar la participación de las mujeres en los procesos de paz. </w:t>
      </w:r>
    </w:p>
    <w:p w14:paraId="10B716AF" w14:textId="253E7941" w:rsidR="008831CA" w:rsidRPr="00C80C57" w:rsidRDefault="008831CA" w:rsidP="00C80C57">
      <w:pPr>
        <w:pStyle w:val="SingleTxt"/>
        <w:numPr>
          <w:ilvl w:val="0"/>
          <w:numId w:val="6"/>
        </w:numPr>
        <w:ind w:left="1267"/>
      </w:pPr>
      <w:r w:rsidRPr="008831CA">
        <w:t>Desde 2020, se ha destinado a un total de 77 funcionarias a diversas misiones de mantenimiento de la paz, lo que representa el 64 % del funcionariado enviado a misiones de este tipo. Las Fuerzas de Defensa de Zimbabwe se aseguran de que se conceda prioridad a las mujeres en las misiones de mantenimiento de la paz, por lo que ha aumentado su número en misiones de mantenimiento de la paz y en puestos esenciales, como Oficial Jefa de Personal Militar, Jefa de Gabinete de la Misión y Oficial de Asuntos de Género. Algunas de esas mujeres han destacado en el desempeño de sus funciones, como la comandante Winnet Zharare, galardonada con el Premio de las Naciones Unidas al Mejor Defensor Militar de las Cuestiones de Género de 2021.</w:t>
      </w:r>
    </w:p>
    <w:p w14:paraId="6702F0F2" w14:textId="76E24FB3" w:rsidR="00AE7638" w:rsidRPr="00C80C57" w:rsidRDefault="00AE7638" w:rsidP="00AE7638">
      <w:pPr>
        <w:pStyle w:val="SingleTxt"/>
        <w:spacing w:after="0" w:line="120" w:lineRule="exact"/>
        <w:rPr>
          <w:sz w:val="10"/>
        </w:rPr>
      </w:pPr>
    </w:p>
    <w:p w14:paraId="6318736C" w14:textId="3C10D791" w:rsidR="00AE7638" w:rsidRPr="00C80C57" w:rsidRDefault="00AE7638" w:rsidP="00AE7638">
      <w:pPr>
        <w:pStyle w:val="SingleTxt"/>
        <w:spacing w:after="0" w:line="120" w:lineRule="exact"/>
        <w:rPr>
          <w:sz w:val="10"/>
        </w:rPr>
      </w:pPr>
    </w:p>
    <w:p w14:paraId="5AEDFE15" w14:textId="643BEB44" w:rsidR="008831CA" w:rsidRPr="00F733FC" w:rsidRDefault="008831CA" w:rsidP="00AE76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70" w:hanging="1267"/>
      </w:pPr>
      <w:r w:rsidRPr="00F733FC">
        <w:tab/>
        <w:t>B.</w:t>
      </w:r>
      <w:r w:rsidRPr="00F733FC">
        <w:tab/>
        <w:t>Información adicional relativa al párrafo 28 b) de las observaciones finales</w:t>
      </w:r>
    </w:p>
    <w:p w14:paraId="69BD8497" w14:textId="26947C7C" w:rsidR="00AE7638" w:rsidRPr="00C80C57" w:rsidRDefault="00AE7638" w:rsidP="00AE7638">
      <w:pPr>
        <w:pStyle w:val="SingleTxt"/>
        <w:spacing w:after="0" w:line="120" w:lineRule="exact"/>
        <w:rPr>
          <w:sz w:val="10"/>
        </w:rPr>
      </w:pPr>
    </w:p>
    <w:p w14:paraId="29785C8B" w14:textId="0982FC84" w:rsidR="00AE7638" w:rsidRPr="00C80C57" w:rsidRDefault="00AE7638" w:rsidP="00AE7638">
      <w:pPr>
        <w:pStyle w:val="SingleTxt"/>
        <w:spacing w:after="0" w:line="120" w:lineRule="exact"/>
        <w:rPr>
          <w:sz w:val="10"/>
        </w:rPr>
      </w:pPr>
    </w:p>
    <w:p w14:paraId="7739428B" w14:textId="68BE75D2" w:rsidR="008831CA" w:rsidRPr="008831CA" w:rsidRDefault="008831CA" w:rsidP="00C80C57">
      <w:pPr>
        <w:pStyle w:val="SingleTxt"/>
        <w:numPr>
          <w:ilvl w:val="0"/>
          <w:numId w:val="6"/>
        </w:numPr>
        <w:ind w:left="1267"/>
        <w:rPr>
          <w:spacing w:val="2"/>
        </w:rPr>
      </w:pPr>
      <w:r w:rsidRPr="008831CA">
        <w:t xml:space="preserve">Se informa al Comité de que la violencia de género sigue siendo uno de los problemas a que se enfrenta el Gobierno de Zimbabwe. Se ha determinado que las prácticas y creencias perniciosas exacerbadas por situaciones humanitarias como la pandemia de enfermedad por coronavirus (COVID-19), los ciclones y las sequías son las principales causas de la violencia de género. El Gobierno de Zimbabwe sigue realizando intervenciones dirigidas a alentar a las </w:t>
      </w:r>
      <w:r w:rsidRPr="008831CA">
        <w:rPr>
          <w:spacing w:val="2"/>
        </w:rPr>
        <w:t>mujeres a denunciar los casos de violencia de género a las autoridades sin temer consecuencias sociales.</w:t>
      </w:r>
    </w:p>
    <w:p w14:paraId="6ABAC34F" w14:textId="6DBAF6DE" w:rsidR="008831CA" w:rsidRPr="008831CA" w:rsidRDefault="008831CA" w:rsidP="00C80C57">
      <w:pPr>
        <w:pStyle w:val="SingleTxt"/>
        <w:numPr>
          <w:ilvl w:val="0"/>
          <w:numId w:val="6"/>
        </w:numPr>
        <w:ind w:left="1267"/>
        <w:rPr>
          <w:spacing w:val="2"/>
        </w:rPr>
      </w:pPr>
      <w:bookmarkStart w:id="2" w:name="_Hlk103540974"/>
      <w:r w:rsidRPr="008831CA">
        <w:t xml:space="preserve">El Estado parte ha estado realizando campañas de concienciación a todos los niveles por canales multimedia para sensibilizar a las comunidades, especialmente a las mujeres y las niñas, sobre la violencia de género y la necesidad de denunciar esos casos. Las campañas también se han centrado en desmitificar la violencia de género </w:t>
      </w:r>
      <w:r w:rsidRPr="008831CA">
        <w:rPr>
          <w:spacing w:val="2"/>
        </w:rPr>
        <w:t>y concienciar sobre el marco jurídico de la violencia de género, las vías de remisión y la disponibilidad y los tipos de servicios para supervivientes de esa violencia. En 2021 se hicieron un total de 4.348 campañas de concienciación a tal efecto y en 2022, 3.239.</w:t>
      </w:r>
    </w:p>
    <w:p w14:paraId="19E38E6F" w14:textId="389D8CF9" w:rsidR="008831CA" w:rsidRPr="008831CA" w:rsidRDefault="008831CA" w:rsidP="00C80C57">
      <w:pPr>
        <w:pStyle w:val="SingleTxt"/>
        <w:numPr>
          <w:ilvl w:val="0"/>
          <w:numId w:val="6"/>
        </w:numPr>
        <w:ind w:left="1267"/>
      </w:pPr>
      <w:bookmarkStart w:id="3" w:name="_Hlk103541040"/>
      <w:bookmarkEnd w:id="2"/>
      <w:r w:rsidRPr="008831CA">
        <w:t>El Estado parte ha establecido en las provincias centros de atención integral, que ofrecen servicios a las supervivientes de la violencia. Los centros proporcionan un entorno confidencial y acogedor a las supervivientes para alentarlas a denunciar los casos de violencia de género. Asimismo, prestan servicios psicosociales, jurídicos, policiales y de salud. Hasta la fecha se han creado siete (7) centros en seis provincias y en 2021 los centros ofrecieron servicios a 7.392 mujeres. Como complemento de la labor realizada en los centros de atención integral fijos, el Gobierno de Zimbabwe introdujo centros móviles con la ayuda de asociados para el desarrollo. Los centros móviles prestan servicios relativos a la violencia de género a las supervivientes en las zonas donde residen, de manos de diversas organizaciones de la sociedad civil.</w:t>
      </w:r>
    </w:p>
    <w:p w14:paraId="49DBFEE8" w14:textId="0F35FCB5" w:rsidR="008831CA" w:rsidRPr="008831CA" w:rsidRDefault="008831CA" w:rsidP="00C80C57">
      <w:pPr>
        <w:pStyle w:val="SingleTxt"/>
        <w:numPr>
          <w:ilvl w:val="0"/>
          <w:numId w:val="6"/>
        </w:numPr>
        <w:ind w:left="1267"/>
      </w:pPr>
      <w:r w:rsidRPr="008831CA">
        <w:t xml:space="preserve">En colaboración con asociados para el desarrollo, el Gobierno de Zimbabwe ha puesto en marcha refugios seguros que ofrecen espacios seguros temporales a las supervivientes y las ayudan a denunciar los casos de violencia de género y llevar adelante acciones judiciales hasta que se resuelven las causas y las mujeres pueden regresar a sus comunidades. En los refugios seguros, las mujeres pueden permanecer y emprender acciones judiciales para resolver sus casos y además adquirir competencias de empoderamiento que les permitan comenzar actividades generadoras de ingresos después de reintegrarse en la sociedad. </w:t>
      </w:r>
    </w:p>
    <w:p w14:paraId="17CEE82B" w14:textId="252C73D6" w:rsidR="008831CA" w:rsidRPr="008831CA" w:rsidRDefault="008831CA" w:rsidP="00C80C57">
      <w:pPr>
        <w:pStyle w:val="SingleTxt"/>
        <w:numPr>
          <w:ilvl w:val="0"/>
          <w:numId w:val="6"/>
        </w:numPr>
        <w:ind w:left="1267"/>
      </w:pPr>
      <w:r w:rsidRPr="008831CA">
        <w:t xml:space="preserve">El Gobierno también ha puesto en marcha dependencias para las víctimas en todas las comisarías a fin de facilitar la denuncia de la violencia de género en un entorno confidencial y favorable. Las dependencias están atendidas por personal preparado para gestionar casos de violencia de género y velan por que las supervivientes no sufran ninguna otra forma de acoso. </w:t>
      </w:r>
    </w:p>
    <w:p w14:paraId="77AD83F2" w14:textId="3564A88B" w:rsidR="008831CA" w:rsidRPr="00C80C57" w:rsidRDefault="008831CA" w:rsidP="00C80C57">
      <w:pPr>
        <w:pStyle w:val="SingleTxt"/>
        <w:numPr>
          <w:ilvl w:val="0"/>
          <w:numId w:val="10"/>
        </w:numPr>
        <w:ind w:left="1267"/>
      </w:pPr>
      <w:r w:rsidRPr="008831CA">
        <w:t>El Gobierno de Zimbabwe, en colaboración con asociados para el desarrollo y organizaciones de la sociedad civil, ofrece líneas telefónicas gratuitas donde se pueden denunciar los casos de violencia de género de manera rápida, segura y confidencial. Desde enero de 2020 hasta julio de 2022, se han denunciado 104.004 casos en esas líneas telefónicas.</w:t>
      </w:r>
    </w:p>
    <w:p w14:paraId="6454188C" w14:textId="7ABFA1C7" w:rsidR="008831CA" w:rsidRPr="00C80C57" w:rsidRDefault="008831CA" w:rsidP="00AE7638">
      <w:pPr>
        <w:pStyle w:val="SingleTxt"/>
        <w:spacing w:after="0" w:line="120" w:lineRule="exact"/>
        <w:rPr>
          <w:sz w:val="10"/>
        </w:rPr>
      </w:pPr>
    </w:p>
    <w:p w14:paraId="70287B26" w14:textId="335A13DB" w:rsidR="008831CA" w:rsidRPr="00F733FC" w:rsidRDefault="00AE7638" w:rsidP="00AE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733FC">
        <w:tab/>
      </w:r>
      <w:r w:rsidRPr="00F733FC">
        <w:tab/>
      </w:r>
      <w:r w:rsidR="008831CA" w:rsidRPr="00F733FC">
        <w:t>Estadísticas mensuales de supervivientes que accedieron a los servicios a través de las líneas gratuitas</w:t>
      </w:r>
    </w:p>
    <w:p w14:paraId="21B877E0" w14:textId="3CDB9282" w:rsidR="00AE7638" w:rsidRPr="00C80C57" w:rsidRDefault="00AE7638" w:rsidP="00AE7638">
      <w:pPr>
        <w:pStyle w:val="SingleTxt"/>
        <w:spacing w:after="0" w:line="120" w:lineRule="exact"/>
        <w:rPr>
          <w:sz w:val="10"/>
        </w:rPr>
      </w:pPr>
    </w:p>
    <w:p w14:paraId="4E905FAA" w14:textId="13B2DFD1" w:rsidR="00AE7638" w:rsidRPr="00C80C57" w:rsidRDefault="00AE7638" w:rsidP="00AE763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0"/>
        <w:gridCol w:w="561"/>
        <w:gridCol w:w="561"/>
        <w:gridCol w:w="561"/>
        <w:gridCol w:w="560"/>
        <w:gridCol w:w="561"/>
        <w:gridCol w:w="561"/>
        <w:gridCol w:w="561"/>
        <w:gridCol w:w="560"/>
        <w:gridCol w:w="561"/>
        <w:gridCol w:w="561"/>
        <w:gridCol w:w="561"/>
        <w:gridCol w:w="561"/>
      </w:tblGrid>
      <w:tr w:rsidR="00AE7638" w:rsidRPr="00F733FC" w14:paraId="20848C59" w14:textId="77777777" w:rsidTr="00351013">
        <w:trPr>
          <w:tblHeader/>
        </w:trPr>
        <w:tc>
          <w:tcPr>
            <w:tcW w:w="560" w:type="dxa"/>
            <w:tcBorders>
              <w:top w:val="single" w:sz="4" w:space="0" w:color="auto"/>
              <w:bottom w:val="single" w:sz="12" w:space="0" w:color="auto"/>
            </w:tcBorders>
            <w:shd w:val="clear" w:color="auto" w:fill="auto"/>
            <w:noWrap/>
            <w:vAlign w:val="bottom"/>
          </w:tcPr>
          <w:p w14:paraId="2AA9DE4B" w14:textId="34D127A0" w:rsidR="00AE7638" w:rsidRPr="00C80C57" w:rsidRDefault="00AE7638" w:rsidP="00C80C57">
            <w:pPr>
              <w:tabs>
                <w:tab w:val="left" w:pos="288"/>
                <w:tab w:val="left" w:pos="576"/>
                <w:tab w:val="left" w:pos="864"/>
                <w:tab w:val="left" w:pos="1152"/>
              </w:tabs>
              <w:spacing w:before="80" w:after="80" w:line="160" w:lineRule="exact"/>
              <w:ind w:right="40"/>
              <w:rPr>
                <w:i/>
                <w:sz w:val="14"/>
              </w:rPr>
            </w:pPr>
            <w:r w:rsidRPr="00F733FC">
              <w:rPr>
                <w:i/>
                <w:iCs/>
                <w:sz w:val="14"/>
                <w:szCs w:val="16"/>
              </w:rPr>
              <w:t>Año</w:t>
            </w:r>
          </w:p>
        </w:tc>
        <w:tc>
          <w:tcPr>
            <w:tcW w:w="561" w:type="dxa"/>
            <w:tcBorders>
              <w:top w:val="single" w:sz="4" w:space="0" w:color="auto"/>
              <w:bottom w:val="single" w:sz="12" w:space="0" w:color="auto"/>
            </w:tcBorders>
            <w:shd w:val="clear" w:color="auto" w:fill="auto"/>
            <w:vAlign w:val="bottom"/>
          </w:tcPr>
          <w:p w14:paraId="51C1B777" w14:textId="56E9ECFB"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Ene.</w:t>
            </w:r>
          </w:p>
        </w:tc>
        <w:tc>
          <w:tcPr>
            <w:tcW w:w="561" w:type="dxa"/>
            <w:tcBorders>
              <w:top w:val="single" w:sz="4" w:space="0" w:color="auto"/>
              <w:bottom w:val="single" w:sz="12" w:space="0" w:color="auto"/>
            </w:tcBorders>
            <w:shd w:val="clear" w:color="auto" w:fill="auto"/>
            <w:vAlign w:val="bottom"/>
          </w:tcPr>
          <w:p w14:paraId="0FA8305E" w14:textId="67353A70"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Feb.</w:t>
            </w:r>
          </w:p>
        </w:tc>
        <w:tc>
          <w:tcPr>
            <w:tcW w:w="561" w:type="dxa"/>
            <w:tcBorders>
              <w:top w:val="single" w:sz="4" w:space="0" w:color="auto"/>
              <w:bottom w:val="single" w:sz="12" w:space="0" w:color="auto"/>
            </w:tcBorders>
            <w:shd w:val="clear" w:color="auto" w:fill="auto"/>
            <w:vAlign w:val="bottom"/>
          </w:tcPr>
          <w:p w14:paraId="42543B59" w14:textId="000FD20D"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Mar.</w:t>
            </w:r>
          </w:p>
        </w:tc>
        <w:tc>
          <w:tcPr>
            <w:tcW w:w="560" w:type="dxa"/>
            <w:tcBorders>
              <w:top w:val="single" w:sz="4" w:space="0" w:color="auto"/>
              <w:bottom w:val="single" w:sz="12" w:space="0" w:color="auto"/>
            </w:tcBorders>
            <w:shd w:val="clear" w:color="auto" w:fill="auto"/>
            <w:vAlign w:val="bottom"/>
          </w:tcPr>
          <w:p w14:paraId="34759DD3" w14:textId="79F9FDC2"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Abr.</w:t>
            </w:r>
          </w:p>
        </w:tc>
        <w:tc>
          <w:tcPr>
            <w:tcW w:w="561" w:type="dxa"/>
            <w:tcBorders>
              <w:top w:val="single" w:sz="4" w:space="0" w:color="auto"/>
              <w:bottom w:val="single" w:sz="12" w:space="0" w:color="auto"/>
            </w:tcBorders>
            <w:shd w:val="clear" w:color="auto" w:fill="auto"/>
            <w:vAlign w:val="bottom"/>
          </w:tcPr>
          <w:p w14:paraId="1F346EFD" w14:textId="0688EECC"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May.</w:t>
            </w:r>
          </w:p>
        </w:tc>
        <w:tc>
          <w:tcPr>
            <w:tcW w:w="561" w:type="dxa"/>
            <w:tcBorders>
              <w:top w:val="single" w:sz="4" w:space="0" w:color="auto"/>
              <w:bottom w:val="single" w:sz="12" w:space="0" w:color="auto"/>
            </w:tcBorders>
            <w:shd w:val="clear" w:color="auto" w:fill="auto"/>
            <w:vAlign w:val="bottom"/>
          </w:tcPr>
          <w:p w14:paraId="39929064" w14:textId="4E3DB7D7"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Jun.</w:t>
            </w:r>
          </w:p>
        </w:tc>
        <w:tc>
          <w:tcPr>
            <w:tcW w:w="561" w:type="dxa"/>
            <w:tcBorders>
              <w:top w:val="single" w:sz="4" w:space="0" w:color="auto"/>
              <w:bottom w:val="single" w:sz="12" w:space="0" w:color="auto"/>
            </w:tcBorders>
            <w:shd w:val="clear" w:color="auto" w:fill="auto"/>
            <w:vAlign w:val="bottom"/>
          </w:tcPr>
          <w:p w14:paraId="46BA13CF" w14:textId="30C281A2"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Jul.</w:t>
            </w:r>
          </w:p>
        </w:tc>
        <w:tc>
          <w:tcPr>
            <w:tcW w:w="560" w:type="dxa"/>
            <w:tcBorders>
              <w:top w:val="single" w:sz="4" w:space="0" w:color="auto"/>
              <w:bottom w:val="single" w:sz="12" w:space="0" w:color="auto"/>
            </w:tcBorders>
            <w:shd w:val="clear" w:color="auto" w:fill="auto"/>
            <w:vAlign w:val="bottom"/>
          </w:tcPr>
          <w:p w14:paraId="6B96D0FA" w14:textId="30F3E51E"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Ago.</w:t>
            </w:r>
          </w:p>
        </w:tc>
        <w:tc>
          <w:tcPr>
            <w:tcW w:w="561" w:type="dxa"/>
            <w:tcBorders>
              <w:top w:val="single" w:sz="4" w:space="0" w:color="auto"/>
              <w:bottom w:val="single" w:sz="12" w:space="0" w:color="auto"/>
            </w:tcBorders>
            <w:shd w:val="clear" w:color="auto" w:fill="auto"/>
            <w:vAlign w:val="bottom"/>
          </w:tcPr>
          <w:p w14:paraId="13DBEC6D" w14:textId="17A96B65"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Sep.</w:t>
            </w:r>
          </w:p>
        </w:tc>
        <w:tc>
          <w:tcPr>
            <w:tcW w:w="561" w:type="dxa"/>
            <w:tcBorders>
              <w:top w:val="single" w:sz="4" w:space="0" w:color="auto"/>
              <w:bottom w:val="single" w:sz="12" w:space="0" w:color="auto"/>
            </w:tcBorders>
            <w:shd w:val="clear" w:color="auto" w:fill="auto"/>
            <w:vAlign w:val="bottom"/>
          </w:tcPr>
          <w:p w14:paraId="7709D0C2" w14:textId="5989BDB5"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Oct.</w:t>
            </w:r>
          </w:p>
        </w:tc>
        <w:tc>
          <w:tcPr>
            <w:tcW w:w="561" w:type="dxa"/>
            <w:tcBorders>
              <w:top w:val="single" w:sz="4" w:space="0" w:color="auto"/>
              <w:bottom w:val="single" w:sz="12" w:space="0" w:color="auto"/>
            </w:tcBorders>
            <w:shd w:val="clear" w:color="auto" w:fill="auto"/>
            <w:vAlign w:val="bottom"/>
          </w:tcPr>
          <w:p w14:paraId="4E9AA766" w14:textId="143FB58E"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Nov.</w:t>
            </w:r>
          </w:p>
        </w:tc>
        <w:tc>
          <w:tcPr>
            <w:tcW w:w="561" w:type="dxa"/>
            <w:tcBorders>
              <w:top w:val="single" w:sz="4" w:space="0" w:color="auto"/>
              <w:bottom w:val="single" w:sz="12" w:space="0" w:color="auto"/>
            </w:tcBorders>
            <w:shd w:val="clear" w:color="auto" w:fill="auto"/>
            <w:vAlign w:val="bottom"/>
          </w:tcPr>
          <w:p w14:paraId="1E14D6E3" w14:textId="6B24B22B" w:rsidR="00AE7638" w:rsidRPr="00C80C57" w:rsidRDefault="00AE7638" w:rsidP="00C80C57">
            <w:pPr>
              <w:tabs>
                <w:tab w:val="left" w:pos="288"/>
                <w:tab w:val="left" w:pos="576"/>
                <w:tab w:val="left" w:pos="864"/>
                <w:tab w:val="left" w:pos="1152"/>
              </w:tabs>
              <w:spacing w:before="80" w:after="80" w:line="160" w:lineRule="exact"/>
              <w:ind w:right="40"/>
              <w:jc w:val="right"/>
              <w:rPr>
                <w:i/>
                <w:sz w:val="14"/>
              </w:rPr>
            </w:pPr>
            <w:r w:rsidRPr="00F733FC">
              <w:rPr>
                <w:i/>
                <w:iCs/>
                <w:sz w:val="14"/>
                <w:szCs w:val="16"/>
              </w:rPr>
              <w:t>Dic.</w:t>
            </w:r>
          </w:p>
        </w:tc>
      </w:tr>
      <w:tr w:rsidR="00AE7638" w:rsidRPr="00C80C57" w14:paraId="5CACC2B6" w14:textId="77777777" w:rsidTr="00351013">
        <w:trPr>
          <w:trHeight w:hRule="exact" w:val="115"/>
          <w:tblHeader/>
        </w:trPr>
        <w:tc>
          <w:tcPr>
            <w:tcW w:w="560" w:type="dxa"/>
            <w:tcBorders>
              <w:top w:val="single" w:sz="12" w:space="0" w:color="auto"/>
            </w:tcBorders>
            <w:shd w:val="clear" w:color="auto" w:fill="auto"/>
            <w:vAlign w:val="bottom"/>
          </w:tcPr>
          <w:p w14:paraId="0F96F165" w14:textId="77777777" w:rsidR="00AE7638" w:rsidRPr="00C80C57" w:rsidRDefault="00AE7638" w:rsidP="00C80C57">
            <w:pPr>
              <w:tabs>
                <w:tab w:val="left" w:pos="288"/>
                <w:tab w:val="left" w:pos="576"/>
                <w:tab w:val="left" w:pos="864"/>
                <w:tab w:val="left" w:pos="1152"/>
              </w:tabs>
              <w:spacing w:before="40" w:after="40" w:line="210" w:lineRule="exact"/>
              <w:ind w:right="40"/>
              <w:rPr>
                <w:sz w:val="17"/>
              </w:rPr>
            </w:pPr>
          </w:p>
        </w:tc>
        <w:tc>
          <w:tcPr>
            <w:tcW w:w="561" w:type="dxa"/>
            <w:tcBorders>
              <w:top w:val="single" w:sz="12" w:space="0" w:color="auto"/>
            </w:tcBorders>
            <w:shd w:val="clear" w:color="auto" w:fill="auto"/>
            <w:vAlign w:val="bottom"/>
          </w:tcPr>
          <w:p w14:paraId="2CB7790C"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15AB9488"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726DF0B5"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0" w:type="dxa"/>
            <w:tcBorders>
              <w:top w:val="single" w:sz="12" w:space="0" w:color="auto"/>
            </w:tcBorders>
            <w:shd w:val="clear" w:color="auto" w:fill="auto"/>
            <w:vAlign w:val="bottom"/>
          </w:tcPr>
          <w:p w14:paraId="7EB83EA5"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7D48398C"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56D4A891"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3753B47E"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0" w:type="dxa"/>
            <w:tcBorders>
              <w:top w:val="single" w:sz="12" w:space="0" w:color="auto"/>
            </w:tcBorders>
            <w:shd w:val="clear" w:color="auto" w:fill="auto"/>
            <w:vAlign w:val="bottom"/>
          </w:tcPr>
          <w:p w14:paraId="21401C3E"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33884187"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0D46AB11"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6B1D688A"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top w:val="single" w:sz="12" w:space="0" w:color="auto"/>
            </w:tcBorders>
            <w:shd w:val="clear" w:color="auto" w:fill="auto"/>
            <w:vAlign w:val="bottom"/>
          </w:tcPr>
          <w:p w14:paraId="62406D44"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r>
      <w:tr w:rsidR="00AE7638" w:rsidRPr="00C80C57" w14:paraId="34FBC139" w14:textId="77777777" w:rsidTr="00351013">
        <w:tc>
          <w:tcPr>
            <w:tcW w:w="560" w:type="dxa"/>
            <w:shd w:val="clear" w:color="auto" w:fill="auto"/>
            <w:vAlign w:val="bottom"/>
          </w:tcPr>
          <w:p w14:paraId="1808E98F" w14:textId="79D4148D" w:rsidR="00AE7638" w:rsidRPr="00C80C57" w:rsidRDefault="00AE7638" w:rsidP="00C80C57">
            <w:pPr>
              <w:tabs>
                <w:tab w:val="left" w:pos="288"/>
                <w:tab w:val="left" w:pos="576"/>
                <w:tab w:val="left" w:pos="864"/>
                <w:tab w:val="left" w:pos="1152"/>
              </w:tabs>
              <w:spacing w:before="40" w:after="40" w:line="210" w:lineRule="exact"/>
              <w:ind w:right="40"/>
              <w:rPr>
                <w:sz w:val="17"/>
              </w:rPr>
            </w:pPr>
            <w:r w:rsidRPr="00F733FC">
              <w:rPr>
                <w:b/>
                <w:bCs/>
                <w:sz w:val="17"/>
                <w:szCs w:val="18"/>
              </w:rPr>
              <w:t>2020</w:t>
            </w:r>
          </w:p>
        </w:tc>
        <w:tc>
          <w:tcPr>
            <w:tcW w:w="561" w:type="dxa"/>
            <w:shd w:val="clear" w:color="auto" w:fill="auto"/>
            <w:vAlign w:val="bottom"/>
          </w:tcPr>
          <w:p w14:paraId="28F4C168" w14:textId="58256C04"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1</w:t>
            </w:r>
            <w:r w:rsidRPr="00C80C57">
              <w:rPr>
                <w:sz w:val="17"/>
                <w:szCs w:val="18"/>
              </w:rPr>
              <w:t xml:space="preserve"> </w:t>
            </w:r>
            <w:r w:rsidRPr="00F733FC">
              <w:rPr>
                <w:sz w:val="17"/>
                <w:szCs w:val="18"/>
              </w:rPr>
              <w:t>804</w:t>
            </w:r>
          </w:p>
        </w:tc>
        <w:tc>
          <w:tcPr>
            <w:tcW w:w="561" w:type="dxa"/>
            <w:shd w:val="clear" w:color="auto" w:fill="auto"/>
            <w:vAlign w:val="bottom"/>
          </w:tcPr>
          <w:p w14:paraId="50AC7DEF" w14:textId="2EADCCF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1</w:t>
            </w:r>
            <w:r w:rsidRPr="00C80C57">
              <w:rPr>
                <w:sz w:val="17"/>
                <w:szCs w:val="18"/>
              </w:rPr>
              <w:t xml:space="preserve"> </w:t>
            </w:r>
            <w:r w:rsidRPr="00F733FC">
              <w:rPr>
                <w:sz w:val="17"/>
                <w:szCs w:val="18"/>
              </w:rPr>
              <w:t>785</w:t>
            </w:r>
          </w:p>
        </w:tc>
        <w:tc>
          <w:tcPr>
            <w:tcW w:w="561" w:type="dxa"/>
            <w:shd w:val="clear" w:color="auto" w:fill="auto"/>
            <w:vAlign w:val="bottom"/>
          </w:tcPr>
          <w:p w14:paraId="04681AC9" w14:textId="5C9CEEB4"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1</w:t>
            </w:r>
            <w:r w:rsidRPr="00C80C57">
              <w:rPr>
                <w:sz w:val="17"/>
                <w:szCs w:val="18"/>
              </w:rPr>
              <w:t xml:space="preserve"> </w:t>
            </w:r>
            <w:r w:rsidRPr="00F733FC">
              <w:rPr>
                <w:sz w:val="17"/>
                <w:szCs w:val="18"/>
              </w:rPr>
              <w:t>992</w:t>
            </w:r>
          </w:p>
        </w:tc>
        <w:tc>
          <w:tcPr>
            <w:tcW w:w="560" w:type="dxa"/>
            <w:shd w:val="clear" w:color="auto" w:fill="auto"/>
            <w:vAlign w:val="bottom"/>
          </w:tcPr>
          <w:p w14:paraId="28D84625" w14:textId="0B7E5A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2</w:t>
            </w:r>
            <w:r w:rsidRPr="00C80C57">
              <w:rPr>
                <w:sz w:val="17"/>
                <w:szCs w:val="18"/>
              </w:rPr>
              <w:t xml:space="preserve"> </w:t>
            </w:r>
            <w:r w:rsidRPr="00F733FC">
              <w:rPr>
                <w:sz w:val="17"/>
                <w:szCs w:val="18"/>
              </w:rPr>
              <w:t>216</w:t>
            </w:r>
          </w:p>
        </w:tc>
        <w:tc>
          <w:tcPr>
            <w:tcW w:w="561" w:type="dxa"/>
            <w:shd w:val="clear" w:color="auto" w:fill="auto"/>
            <w:vAlign w:val="bottom"/>
          </w:tcPr>
          <w:p w14:paraId="0C07CAF8" w14:textId="0961505D"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691</w:t>
            </w:r>
          </w:p>
        </w:tc>
        <w:tc>
          <w:tcPr>
            <w:tcW w:w="561" w:type="dxa"/>
            <w:shd w:val="clear" w:color="auto" w:fill="auto"/>
            <w:vAlign w:val="bottom"/>
          </w:tcPr>
          <w:p w14:paraId="2202312F" w14:textId="7554BE0C"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985</w:t>
            </w:r>
          </w:p>
        </w:tc>
        <w:tc>
          <w:tcPr>
            <w:tcW w:w="561" w:type="dxa"/>
            <w:shd w:val="clear" w:color="auto" w:fill="auto"/>
            <w:vAlign w:val="bottom"/>
          </w:tcPr>
          <w:p w14:paraId="4925AE8B" w14:textId="4F0BD063"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6</w:t>
            </w:r>
            <w:r w:rsidRPr="00C80C57">
              <w:rPr>
                <w:sz w:val="17"/>
                <w:szCs w:val="18"/>
              </w:rPr>
              <w:t xml:space="preserve"> </w:t>
            </w:r>
            <w:r w:rsidRPr="00F733FC">
              <w:rPr>
                <w:sz w:val="17"/>
                <w:szCs w:val="18"/>
              </w:rPr>
              <w:t>211</w:t>
            </w:r>
          </w:p>
        </w:tc>
        <w:tc>
          <w:tcPr>
            <w:tcW w:w="560" w:type="dxa"/>
            <w:shd w:val="clear" w:color="auto" w:fill="auto"/>
            <w:vAlign w:val="bottom"/>
          </w:tcPr>
          <w:p w14:paraId="45A5D580" w14:textId="134653E3"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707</w:t>
            </w:r>
          </w:p>
        </w:tc>
        <w:tc>
          <w:tcPr>
            <w:tcW w:w="561" w:type="dxa"/>
            <w:shd w:val="clear" w:color="auto" w:fill="auto"/>
            <w:vAlign w:val="bottom"/>
          </w:tcPr>
          <w:p w14:paraId="05FC6286" w14:textId="0C0CF0DA"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149</w:t>
            </w:r>
          </w:p>
        </w:tc>
        <w:tc>
          <w:tcPr>
            <w:tcW w:w="561" w:type="dxa"/>
            <w:shd w:val="clear" w:color="auto" w:fill="auto"/>
            <w:vAlign w:val="bottom"/>
          </w:tcPr>
          <w:p w14:paraId="3E5C6C0C" w14:textId="67809650"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479</w:t>
            </w:r>
          </w:p>
        </w:tc>
        <w:tc>
          <w:tcPr>
            <w:tcW w:w="561" w:type="dxa"/>
            <w:shd w:val="clear" w:color="auto" w:fill="auto"/>
            <w:vAlign w:val="bottom"/>
          </w:tcPr>
          <w:p w14:paraId="7AA9D921" w14:textId="4B1360F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976</w:t>
            </w:r>
          </w:p>
        </w:tc>
        <w:tc>
          <w:tcPr>
            <w:tcW w:w="561" w:type="dxa"/>
            <w:shd w:val="clear" w:color="auto" w:fill="auto"/>
            <w:vAlign w:val="bottom"/>
          </w:tcPr>
          <w:p w14:paraId="60FBBFD9" w14:textId="417BBEC5"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2</w:t>
            </w:r>
            <w:r w:rsidRPr="00C80C57">
              <w:rPr>
                <w:sz w:val="17"/>
                <w:szCs w:val="18"/>
              </w:rPr>
              <w:t xml:space="preserve"> </w:t>
            </w:r>
            <w:r w:rsidRPr="00F733FC">
              <w:rPr>
                <w:sz w:val="17"/>
                <w:szCs w:val="18"/>
              </w:rPr>
              <w:t>541</w:t>
            </w:r>
          </w:p>
        </w:tc>
      </w:tr>
      <w:tr w:rsidR="00AE7638" w:rsidRPr="00C80C57" w14:paraId="0AABCD58" w14:textId="77777777" w:rsidTr="00351013">
        <w:tc>
          <w:tcPr>
            <w:tcW w:w="560" w:type="dxa"/>
            <w:shd w:val="clear" w:color="auto" w:fill="auto"/>
            <w:vAlign w:val="bottom"/>
          </w:tcPr>
          <w:p w14:paraId="393075EF" w14:textId="435259A4" w:rsidR="00AE7638" w:rsidRPr="00C80C57" w:rsidRDefault="00AE7638" w:rsidP="00C80C57">
            <w:pPr>
              <w:tabs>
                <w:tab w:val="left" w:pos="288"/>
                <w:tab w:val="left" w:pos="576"/>
                <w:tab w:val="left" w:pos="864"/>
                <w:tab w:val="left" w:pos="1152"/>
              </w:tabs>
              <w:spacing w:before="40" w:after="40" w:line="210" w:lineRule="exact"/>
              <w:ind w:right="40"/>
              <w:rPr>
                <w:sz w:val="17"/>
              </w:rPr>
            </w:pPr>
            <w:r w:rsidRPr="00F733FC">
              <w:rPr>
                <w:b/>
                <w:bCs/>
                <w:sz w:val="17"/>
                <w:szCs w:val="18"/>
              </w:rPr>
              <w:t>2021</w:t>
            </w:r>
          </w:p>
        </w:tc>
        <w:tc>
          <w:tcPr>
            <w:tcW w:w="561" w:type="dxa"/>
            <w:shd w:val="clear" w:color="auto" w:fill="auto"/>
            <w:vAlign w:val="bottom"/>
          </w:tcPr>
          <w:p w14:paraId="13291D94" w14:textId="4945CCC2"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2</w:t>
            </w:r>
            <w:r w:rsidRPr="00C80C57">
              <w:rPr>
                <w:sz w:val="17"/>
                <w:szCs w:val="18"/>
              </w:rPr>
              <w:t xml:space="preserve"> </w:t>
            </w:r>
            <w:r w:rsidRPr="00F733FC">
              <w:rPr>
                <w:sz w:val="17"/>
                <w:szCs w:val="18"/>
              </w:rPr>
              <w:t>500</w:t>
            </w:r>
          </w:p>
        </w:tc>
        <w:tc>
          <w:tcPr>
            <w:tcW w:w="561" w:type="dxa"/>
            <w:shd w:val="clear" w:color="auto" w:fill="auto"/>
            <w:vAlign w:val="bottom"/>
          </w:tcPr>
          <w:p w14:paraId="2B6082BF" w14:textId="15CD02B3"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108</w:t>
            </w:r>
          </w:p>
        </w:tc>
        <w:tc>
          <w:tcPr>
            <w:tcW w:w="561" w:type="dxa"/>
            <w:shd w:val="clear" w:color="auto" w:fill="auto"/>
            <w:vAlign w:val="bottom"/>
          </w:tcPr>
          <w:p w14:paraId="308493E8" w14:textId="74ED46CB"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5</w:t>
            </w:r>
            <w:r w:rsidRPr="00C80C57">
              <w:rPr>
                <w:sz w:val="17"/>
                <w:szCs w:val="18"/>
              </w:rPr>
              <w:t xml:space="preserve"> </w:t>
            </w:r>
            <w:r w:rsidRPr="00F733FC">
              <w:rPr>
                <w:sz w:val="17"/>
                <w:szCs w:val="18"/>
              </w:rPr>
              <w:t>996</w:t>
            </w:r>
          </w:p>
        </w:tc>
        <w:tc>
          <w:tcPr>
            <w:tcW w:w="560" w:type="dxa"/>
            <w:shd w:val="clear" w:color="auto" w:fill="auto"/>
            <w:vAlign w:val="bottom"/>
          </w:tcPr>
          <w:p w14:paraId="692AFFCC" w14:textId="4DC1DBAC"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902</w:t>
            </w:r>
          </w:p>
        </w:tc>
        <w:tc>
          <w:tcPr>
            <w:tcW w:w="561" w:type="dxa"/>
            <w:shd w:val="clear" w:color="auto" w:fill="auto"/>
            <w:vAlign w:val="bottom"/>
          </w:tcPr>
          <w:p w14:paraId="31A4311E" w14:textId="21152E20"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274</w:t>
            </w:r>
          </w:p>
        </w:tc>
        <w:tc>
          <w:tcPr>
            <w:tcW w:w="561" w:type="dxa"/>
            <w:shd w:val="clear" w:color="auto" w:fill="auto"/>
            <w:vAlign w:val="bottom"/>
          </w:tcPr>
          <w:p w14:paraId="02FD16FB" w14:textId="449756E5"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991</w:t>
            </w:r>
          </w:p>
        </w:tc>
        <w:tc>
          <w:tcPr>
            <w:tcW w:w="561" w:type="dxa"/>
            <w:shd w:val="clear" w:color="auto" w:fill="auto"/>
            <w:vAlign w:val="bottom"/>
          </w:tcPr>
          <w:p w14:paraId="42674ECF" w14:textId="7CED5DCA"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2</w:t>
            </w:r>
            <w:r w:rsidRPr="00C80C57">
              <w:rPr>
                <w:sz w:val="17"/>
                <w:szCs w:val="18"/>
              </w:rPr>
              <w:t xml:space="preserve"> </w:t>
            </w:r>
            <w:r w:rsidRPr="00F733FC">
              <w:rPr>
                <w:sz w:val="17"/>
                <w:szCs w:val="18"/>
              </w:rPr>
              <w:t>604</w:t>
            </w:r>
          </w:p>
        </w:tc>
        <w:tc>
          <w:tcPr>
            <w:tcW w:w="560" w:type="dxa"/>
            <w:shd w:val="clear" w:color="auto" w:fill="auto"/>
            <w:vAlign w:val="bottom"/>
          </w:tcPr>
          <w:p w14:paraId="10473AD0" w14:textId="3933FCFA"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480</w:t>
            </w:r>
          </w:p>
        </w:tc>
        <w:tc>
          <w:tcPr>
            <w:tcW w:w="561" w:type="dxa"/>
            <w:shd w:val="clear" w:color="auto" w:fill="auto"/>
            <w:vAlign w:val="bottom"/>
          </w:tcPr>
          <w:p w14:paraId="17A7FF5A" w14:textId="1A7CE08F"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846</w:t>
            </w:r>
          </w:p>
        </w:tc>
        <w:tc>
          <w:tcPr>
            <w:tcW w:w="561" w:type="dxa"/>
            <w:shd w:val="clear" w:color="auto" w:fill="auto"/>
            <w:vAlign w:val="bottom"/>
          </w:tcPr>
          <w:p w14:paraId="22FBE59B" w14:textId="43BF8A5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2</w:t>
            </w:r>
            <w:r w:rsidRPr="00C80C57">
              <w:rPr>
                <w:sz w:val="17"/>
                <w:szCs w:val="18"/>
              </w:rPr>
              <w:t xml:space="preserve"> </w:t>
            </w:r>
            <w:r w:rsidRPr="00F733FC">
              <w:rPr>
                <w:sz w:val="17"/>
                <w:szCs w:val="18"/>
              </w:rPr>
              <w:t>679</w:t>
            </w:r>
          </w:p>
        </w:tc>
        <w:tc>
          <w:tcPr>
            <w:tcW w:w="561" w:type="dxa"/>
            <w:shd w:val="clear" w:color="auto" w:fill="auto"/>
            <w:vAlign w:val="bottom"/>
          </w:tcPr>
          <w:p w14:paraId="34A430D8" w14:textId="262B14E2"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041</w:t>
            </w:r>
          </w:p>
        </w:tc>
        <w:tc>
          <w:tcPr>
            <w:tcW w:w="561" w:type="dxa"/>
            <w:shd w:val="clear" w:color="auto" w:fill="auto"/>
            <w:vAlign w:val="bottom"/>
          </w:tcPr>
          <w:p w14:paraId="19F29787" w14:textId="5DCCDD71"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814</w:t>
            </w:r>
          </w:p>
        </w:tc>
      </w:tr>
      <w:tr w:rsidR="00AE7638" w:rsidRPr="00C80C57" w14:paraId="38FFD3C4" w14:textId="77777777" w:rsidTr="00351013">
        <w:tc>
          <w:tcPr>
            <w:tcW w:w="560" w:type="dxa"/>
            <w:tcBorders>
              <w:bottom w:val="single" w:sz="12" w:space="0" w:color="auto"/>
            </w:tcBorders>
            <w:shd w:val="clear" w:color="auto" w:fill="auto"/>
            <w:vAlign w:val="bottom"/>
          </w:tcPr>
          <w:p w14:paraId="7BF15E64" w14:textId="175832DC" w:rsidR="00AE7638" w:rsidRPr="00C80C57" w:rsidRDefault="00AE7638" w:rsidP="00C80C57">
            <w:pPr>
              <w:tabs>
                <w:tab w:val="left" w:pos="288"/>
                <w:tab w:val="left" w:pos="576"/>
                <w:tab w:val="left" w:pos="864"/>
                <w:tab w:val="left" w:pos="1152"/>
              </w:tabs>
              <w:spacing w:before="40" w:after="40" w:line="210" w:lineRule="exact"/>
              <w:ind w:right="40"/>
              <w:rPr>
                <w:sz w:val="17"/>
              </w:rPr>
            </w:pPr>
            <w:r w:rsidRPr="00F733FC">
              <w:rPr>
                <w:b/>
                <w:bCs/>
                <w:sz w:val="17"/>
                <w:szCs w:val="18"/>
              </w:rPr>
              <w:t>2022</w:t>
            </w:r>
          </w:p>
        </w:tc>
        <w:tc>
          <w:tcPr>
            <w:tcW w:w="561" w:type="dxa"/>
            <w:tcBorders>
              <w:bottom w:val="single" w:sz="12" w:space="0" w:color="auto"/>
            </w:tcBorders>
            <w:shd w:val="clear" w:color="auto" w:fill="auto"/>
            <w:vAlign w:val="bottom"/>
          </w:tcPr>
          <w:p w14:paraId="75BF0FB8" w14:textId="2DA3F099"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4</w:t>
            </w:r>
            <w:r w:rsidRPr="00C80C57">
              <w:rPr>
                <w:sz w:val="17"/>
                <w:szCs w:val="18"/>
              </w:rPr>
              <w:t xml:space="preserve"> </w:t>
            </w:r>
            <w:r w:rsidRPr="00F733FC">
              <w:rPr>
                <w:sz w:val="17"/>
                <w:szCs w:val="18"/>
              </w:rPr>
              <w:t>411</w:t>
            </w:r>
          </w:p>
        </w:tc>
        <w:tc>
          <w:tcPr>
            <w:tcW w:w="561" w:type="dxa"/>
            <w:tcBorders>
              <w:bottom w:val="single" w:sz="12" w:space="0" w:color="auto"/>
            </w:tcBorders>
            <w:shd w:val="clear" w:color="auto" w:fill="auto"/>
            <w:vAlign w:val="bottom"/>
          </w:tcPr>
          <w:p w14:paraId="3DCB0D8A" w14:textId="0551ECC9"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5</w:t>
            </w:r>
            <w:r w:rsidRPr="00C80C57">
              <w:rPr>
                <w:sz w:val="17"/>
                <w:szCs w:val="18"/>
              </w:rPr>
              <w:t xml:space="preserve"> </w:t>
            </w:r>
            <w:r w:rsidRPr="00F733FC">
              <w:rPr>
                <w:sz w:val="17"/>
                <w:szCs w:val="18"/>
              </w:rPr>
              <w:t>458</w:t>
            </w:r>
          </w:p>
        </w:tc>
        <w:tc>
          <w:tcPr>
            <w:tcW w:w="561" w:type="dxa"/>
            <w:tcBorders>
              <w:bottom w:val="single" w:sz="12" w:space="0" w:color="auto"/>
            </w:tcBorders>
            <w:shd w:val="clear" w:color="auto" w:fill="auto"/>
            <w:vAlign w:val="bottom"/>
          </w:tcPr>
          <w:p w14:paraId="31D33F2D" w14:textId="32F58E46"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6</w:t>
            </w:r>
            <w:r w:rsidRPr="00C80C57">
              <w:rPr>
                <w:sz w:val="17"/>
                <w:szCs w:val="18"/>
              </w:rPr>
              <w:t xml:space="preserve"> </w:t>
            </w:r>
            <w:r w:rsidRPr="00F733FC">
              <w:rPr>
                <w:sz w:val="17"/>
                <w:szCs w:val="18"/>
              </w:rPr>
              <w:t>273</w:t>
            </w:r>
          </w:p>
        </w:tc>
        <w:tc>
          <w:tcPr>
            <w:tcW w:w="560" w:type="dxa"/>
            <w:tcBorders>
              <w:bottom w:val="single" w:sz="12" w:space="0" w:color="auto"/>
            </w:tcBorders>
            <w:shd w:val="clear" w:color="auto" w:fill="auto"/>
            <w:vAlign w:val="bottom"/>
          </w:tcPr>
          <w:p w14:paraId="102B653C" w14:textId="115FD033"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389</w:t>
            </w:r>
          </w:p>
        </w:tc>
        <w:tc>
          <w:tcPr>
            <w:tcW w:w="561" w:type="dxa"/>
            <w:tcBorders>
              <w:bottom w:val="single" w:sz="12" w:space="0" w:color="auto"/>
            </w:tcBorders>
            <w:shd w:val="clear" w:color="auto" w:fill="auto"/>
            <w:vAlign w:val="bottom"/>
          </w:tcPr>
          <w:p w14:paraId="6BD77800" w14:textId="23C2F3EB"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827</w:t>
            </w:r>
          </w:p>
        </w:tc>
        <w:tc>
          <w:tcPr>
            <w:tcW w:w="561" w:type="dxa"/>
            <w:tcBorders>
              <w:bottom w:val="single" w:sz="12" w:space="0" w:color="auto"/>
            </w:tcBorders>
            <w:shd w:val="clear" w:color="auto" w:fill="auto"/>
            <w:vAlign w:val="bottom"/>
          </w:tcPr>
          <w:p w14:paraId="44238399" w14:textId="09144B7A"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6</w:t>
            </w:r>
            <w:r w:rsidRPr="00C80C57">
              <w:rPr>
                <w:sz w:val="17"/>
                <w:szCs w:val="18"/>
              </w:rPr>
              <w:t xml:space="preserve"> </w:t>
            </w:r>
            <w:r w:rsidRPr="00F733FC">
              <w:rPr>
                <w:sz w:val="17"/>
                <w:szCs w:val="18"/>
              </w:rPr>
              <w:t>069</w:t>
            </w:r>
          </w:p>
        </w:tc>
        <w:tc>
          <w:tcPr>
            <w:tcW w:w="561" w:type="dxa"/>
            <w:tcBorders>
              <w:bottom w:val="single" w:sz="12" w:space="0" w:color="auto"/>
            </w:tcBorders>
            <w:shd w:val="clear" w:color="auto" w:fill="auto"/>
            <w:vAlign w:val="bottom"/>
          </w:tcPr>
          <w:p w14:paraId="217C5821" w14:textId="6AA03746"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r w:rsidRPr="00F733FC">
              <w:rPr>
                <w:sz w:val="17"/>
                <w:szCs w:val="18"/>
              </w:rPr>
              <w:t>3</w:t>
            </w:r>
            <w:r w:rsidRPr="00C80C57">
              <w:rPr>
                <w:sz w:val="17"/>
                <w:szCs w:val="18"/>
              </w:rPr>
              <w:t xml:space="preserve"> </w:t>
            </w:r>
            <w:r w:rsidRPr="00F733FC">
              <w:rPr>
                <w:sz w:val="17"/>
                <w:szCs w:val="18"/>
              </w:rPr>
              <w:t>941</w:t>
            </w:r>
          </w:p>
        </w:tc>
        <w:tc>
          <w:tcPr>
            <w:tcW w:w="560" w:type="dxa"/>
            <w:tcBorders>
              <w:bottom w:val="single" w:sz="12" w:space="0" w:color="auto"/>
            </w:tcBorders>
            <w:shd w:val="clear" w:color="auto" w:fill="auto"/>
            <w:vAlign w:val="bottom"/>
          </w:tcPr>
          <w:p w14:paraId="3A4DB1C5"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bottom w:val="single" w:sz="12" w:space="0" w:color="auto"/>
            </w:tcBorders>
            <w:shd w:val="clear" w:color="auto" w:fill="auto"/>
            <w:vAlign w:val="bottom"/>
          </w:tcPr>
          <w:p w14:paraId="51A9ACDB"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bottom w:val="single" w:sz="12" w:space="0" w:color="auto"/>
            </w:tcBorders>
            <w:shd w:val="clear" w:color="auto" w:fill="auto"/>
            <w:vAlign w:val="bottom"/>
          </w:tcPr>
          <w:p w14:paraId="755922AD"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bottom w:val="single" w:sz="12" w:space="0" w:color="auto"/>
            </w:tcBorders>
            <w:shd w:val="clear" w:color="auto" w:fill="auto"/>
            <w:vAlign w:val="bottom"/>
          </w:tcPr>
          <w:p w14:paraId="77942DDF"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c>
          <w:tcPr>
            <w:tcW w:w="561" w:type="dxa"/>
            <w:tcBorders>
              <w:bottom w:val="single" w:sz="12" w:space="0" w:color="auto"/>
            </w:tcBorders>
            <w:shd w:val="clear" w:color="auto" w:fill="auto"/>
            <w:vAlign w:val="bottom"/>
          </w:tcPr>
          <w:p w14:paraId="0AB0BAED" w14:textId="77777777" w:rsidR="00AE7638" w:rsidRPr="00C80C57" w:rsidRDefault="00AE7638" w:rsidP="00C80C57">
            <w:pPr>
              <w:tabs>
                <w:tab w:val="left" w:pos="288"/>
                <w:tab w:val="left" w:pos="576"/>
                <w:tab w:val="left" w:pos="864"/>
                <w:tab w:val="left" w:pos="1152"/>
              </w:tabs>
              <w:spacing w:before="40" w:after="40" w:line="210" w:lineRule="exact"/>
              <w:ind w:right="40"/>
              <w:jc w:val="right"/>
              <w:rPr>
                <w:sz w:val="17"/>
              </w:rPr>
            </w:pPr>
          </w:p>
        </w:tc>
      </w:tr>
    </w:tbl>
    <w:p w14:paraId="43FE6DD9" w14:textId="059BE7A4" w:rsidR="00AE7638" w:rsidRPr="00C80C57" w:rsidRDefault="00AE7638" w:rsidP="00AE7638">
      <w:pPr>
        <w:pStyle w:val="SingleTxt"/>
        <w:spacing w:after="0" w:line="120" w:lineRule="exact"/>
        <w:rPr>
          <w:sz w:val="10"/>
        </w:rPr>
      </w:pPr>
    </w:p>
    <w:p w14:paraId="49123474" w14:textId="5A73109E" w:rsidR="00AE7638" w:rsidRPr="00C80C57" w:rsidRDefault="00AE7638" w:rsidP="00AE7638">
      <w:pPr>
        <w:pStyle w:val="SingleTxt"/>
        <w:spacing w:after="0" w:line="120" w:lineRule="exact"/>
        <w:rPr>
          <w:sz w:val="10"/>
        </w:rPr>
      </w:pPr>
    </w:p>
    <w:p w14:paraId="5C0956D1" w14:textId="7F862569" w:rsidR="008831CA" w:rsidRPr="00C80C57" w:rsidRDefault="008831CA" w:rsidP="00C80C57">
      <w:pPr>
        <w:pStyle w:val="SingleTxt"/>
        <w:numPr>
          <w:ilvl w:val="0"/>
          <w:numId w:val="10"/>
        </w:numPr>
        <w:ind w:left="1267"/>
      </w:pPr>
      <w:r w:rsidRPr="008831CA">
        <w:t>Estas medidas han contribuido a alentar a las mujeres y las niñas a denunciar los casos de violencia de género.</w:t>
      </w:r>
    </w:p>
    <w:p w14:paraId="2DDFBAB3" w14:textId="411A7D25" w:rsidR="00C80C57" w:rsidRPr="00C80C57" w:rsidRDefault="00C80C57" w:rsidP="00C80C57">
      <w:pPr>
        <w:pStyle w:val="SingleTxt"/>
        <w:spacing w:after="0" w:line="120" w:lineRule="exact"/>
        <w:rPr>
          <w:sz w:val="10"/>
        </w:rPr>
      </w:pPr>
    </w:p>
    <w:p w14:paraId="303FD2C7" w14:textId="7546716E" w:rsidR="00C80C57" w:rsidRPr="00C80C57" w:rsidRDefault="00C80C57" w:rsidP="00C80C57">
      <w:pPr>
        <w:pStyle w:val="SingleTxt"/>
        <w:spacing w:after="0" w:line="120" w:lineRule="exact"/>
        <w:rPr>
          <w:sz w:val="10"/>
        </w:rPr>
      </w:pPr>
    </w:p>
    <w:bookmarkEnd w:id="3"/>
    <w:p w14:paraId="6D546D0F" w14:textId="3B819042" w:rsidR="008831CA" w:rsidRPr="00F733FC" w:rsidRDefault="008831CA" w:rsidP="00C80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pPr>
      <w:r w:rsidRPr="00F733FC">
        <w:tab/>
        <w:t>C.</w:t>
      </w:r>
      <w:r w:rsidRPr="00F733FC">
        <w:tab/>
        <w:t>Información adicional relativa al párrafo 28 d) de las observaciones finales</w:t>
      </w:r>
      <w:bookmarkStart w:id="4" w:name="_Hlk121843393"/>
      <w:bookmarkEnd w:id="4"/>
    </w:p>
    <w:p w14:paraId="748818AD" w14:textId="6AF713B8" w:rsidR="00C80C57" w:rsidRPr="00C80C57" w:rsidRDefault="00C80C57" w:rsidP="00C80C57">
      <w:pPr>
        <w:pStyle w:val="SingleTxt"/>
        <w:spacing w:after="0" w:line="120" w:lineRule="exact"/>
        <w:rPr>
          <w:sz w:val="10"/>
        </w:rPr>
      </w:pPr>
    </w:p>
    <w:p w14:paraId="23BC7135" w14:textId="0F4FBF5F" w:rsidR="00C80C57" w:rsidRPr="00C80C57" w:rsidRDefault="00C80C57" w:rsidP="00C80C57">
      <w:pPr>
        <w:pStyle w:val="SingleTxt"/>
        <w:spacing w:after="0" w:line="120" w:lineRule="exact"/>
        <w:rPr>
          <w:sz w:val="10"/>
        </w:rPr>
      </w:pPr>
    </w:p>
    <w:p w14:paraId="5AE8D02F" w14:textId="71A2A121" w:rsidR="008831CA" w:rsidRPr="008831CA" w:rsidRDefault="008831CA" w:rsidP="00C80C57">
      <w:pPr>
        <w:pStyle w:val="SingleTxt"/>
        <w:numPr>
          <w:ilvl w:val="0"/>
          <w:numId w:val="9"/>
        </w:numPr>
        <w:ind w:left="1267"/>
      </w:pPr>
      <w:r w:rsidRPr="008831CA">
        <w:t xml:space="preserve">El Estado parte, a través de las estructuras de coordinación, reúne datos sobre los casos de violencia de género procedentes de las entidades públicas y privadas que trabajan en ese ámbito. La Policía de la República de Zimbabwe, los centros de salud, los tribunales, las organizaciones de la sociedad civil y los grupos comunitarios recogen y envían mensualmente datos sobre los casos denunciados. Los datos recogidos se desglosan por sexo y tipo de violencia. El Estado parte reconoce que existen lagunas en el sistema actual. </w:t>
      </w:r>
    </w:p>
    <w:p w14:paraId="30877F1B" w14:textId="070C5784" w:rsidR="008831CA" w:rsidRPr="00C80C57" w:rsidRDefault="008831CA" w:rsidP="00C80C57">
      <w:pPr>
        <w:pStyle w:val="SingleTxt"/>
        <w:numPr>
          <w:ilvl w:val="0"/>
          <w:numId w:val="8"/>
        </w:numPr>
        <w:ind w:left="1267"/>
      </w:pPr>
      <w:r w:rsidRPr="008831CA">
        <w:t>El Gobierno de Zimbabwe está desarrollando un sistema de gestión de la información sobre violencia de género que hará posible recopilar datos en línea y al instante, y posiblemente otras variables, como aconseja el Comité. El Estado parte también ha desarrollado un sólido Sistema Integrado de Gestión de Casos que conecta a todas las instituciones del sistema de administración de justicia.</w:t>
      </w:r>
    </w:p>
    <w:p w14:paraId="7EF7D127" w14:textId="041FCDFE" w:rsidR="00C80C57" w:rsidRPr="00C80C57" w:rsidRDefault="00C80C57" w:rsidP="00C80C57">
      <w:pPr>
        <w:pStyle w:val="SingleTxt"/>
        <w:spacing w:after="0" w:line="120" w:lineRule="exact"/>
        <w:rPr>
          <w:sz w:val="10"/>
        </w:rPr>
      </w:pPr>
    </w:p>
    <w:p w14:paraId="532E3076" w14:textId="2E05F8A2" w:rsidR="00C80C57" w:rsidRPr="00C80C57" w:rsidRDefault="00C80C57" w:rsidP="00C80C57">
      <w:pPr>
        <w:pStyle w:val="SingleTxt"/>
        <w:spacing w:after="0" w:line="120" w:lineRule="exact"/>
        <w:rPr>
          <w:sz w:val="10"/>
        </w:rPr>
      </w:pPr>
    </w:p>
    <w:p w14:paraId="5923F517" w14:textId="4B426EC6" w:rsidR="008831CA" w:rsidRPr="00F733FC" w:rsidRDefault="008831CA" w:rsidP="00C80C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pPr>
      <w:r w:rsidRPr="00F733FC">
        <w:tab/>
        <w:t>D.</w:t>
      </w:r>
      <w:r w:rsidRPr="00F733FC">
        <w:tab/>
        <w:t xml:space="preserve">Información adicional relativa al párrafo 30 b) de las observaciones finales </w:t>
      </w:r>
    </w:p>
    <w:p w14:paraId="4EA08AC1" w14:textId="7FF7EC5F" w:rsidR="00C80C57" w:rsidRPr="00C80C57" w:rsidRDefault="00C80C57" w:rsidP="00C80C57">
      <w:pPr>
        <w:pStyle w:val="SingleTxt"/>
        <w:spacing w:after="0" w:line="120" w:lineRule="exact"/>
        <w:rPr>
          <w:sz w:val="10"/>
        </w:rPr>
      </w:pPr>
    </w:p>
    <w:p w14:paraId="6533E5AE" w14:textId="12FF3714" w:rsidR="00C80C57" w:rsidRPr="00C80C57" w:rsidRDefault="00C80C57" w:rsidP="00C80C57">
      <w:pPr>
        <w:pStyle w:val="SingleTxt"/>
        <w:spacing w:after="0" w:line="120" w:lineRule="exact"/>
        <w:rPr>
          <w:sz w:val="10"/>
        </w:rPr>
      </w:pPr>
    </w:p>
    <w:p w14:paraId="7A01C53B" w14:textId="585631C4" w:rsidR="008831CA" w:rsidRPr="00C80C57" w:rsidRDefault="008831CA" w:rsidP="00C80C57">
      <w:pPr>
        <w:pStyle w:val="SingleTxt"/>
        <w:numPr>
          <w:ilvl w:val="0"/>
          <w:numId w:val="8"/>
        </w:numPr>
        <w:ind w:left="1267"/>
      </w:pPr>
      <w:r w:rsidRPr="00C80C57">
        <w:t xml:space="preserve">El Gobierno de Zimbabwe ha comenzado el proceso de modificación de la Ley contra la Trata de Personas (capítulo </w:t>
      </w:r>
      <w:r w:rsidRPr="00F733FC">
        <w:t>9</w:t>
      </w:r>
      <w:r w:rsidRPr="00C80C57">
        <w:t>:</w:t>
      </w:r>
      <w:r w:rsidRPr="00F733FC">
        <w:t>25</w:t>
      </w:r>
      <w:r w:rsidRPr="00C80C57">
        <w:t xml:space="preserve">). El Consejo de Ministros aprobó los principios en abril de </w:t>
      </w:r>
      <w:r w:rsidRPr="00F733FC">
        <w:t>2022</w:t>
      </w:r>
      <w:r w:rsidRPr="00C80C57">
        <w:t>, y la Fiscalía General está redactando el proyecto de ley inicial. La definición de trata de personas propuesta incluirá todos los elementos del delito, es decir, el acto, los medios y la finalidad. La captación, el transporte, el traslado, la acogida o la recepción de personas se definirán como actos punibles. A efectos del delito, se considerarán medios el fraude, el uso de la fuerza, las amenazas u otras formas de coacción. También se modificará el término “</w:t>
      </w:r>
      <w:r w:rsidRPr="00BA7205">
        <w:t>explotación” para</w:t>
      </w:r>
      <w:r w:rsidRPr="00C80C57">
        <w:t xml:space="preserve"> que incluya todas las formas de esclavitud o prácticas análogas a la esclavitud, la explotación sexual, la prostitución, la pornografía infantil y de adultos, la servidumbre por deudas, la servidumbre, el trabajo forzoso, la mendicidad y la mendicidad forzada, los fines delictivos, el trabajo infantil, la extracción ilegal de órganos, los matrimonios forzados y el embarazo de una mujer contra su voluntad con el fin de vender posteriormente su hijo. Por tanto, la definición de trata de personas estará debidamente armonizada con el Protocolo para Prevenir, Reprimir y Sancionar la Trata de Personas, Especialmente Mujeres y Niños, de </w:t>
      </w:r>
      <w:r w:rsidRPr="00F733FC">
        <w:t>2000</w:t>
      </w:r>
      <w:r w:rsidRPr="00C80C57">
        <w:t>.</w:t>
      </w:r>
    </w:p>
    <w:p w14:paraId="061CD359" w14:textId="32EA9D94" w:rsidR="008831CA" w:rsidRPr="00C80C57" w:rsidRDefault="00C80C57" w:rsidP="00C80C57">
      <w:pPr>
        <w:pStyle w:val="SingleTxt"/>
      </w:pPr>
      <w:r w:rsidRPr="00C80C57">
        <w:rPr>
          <w:noProof/>
          <w:w w:val="100"/>
        </w:rPr>
        <mc:AlternateContent>
          <mc:Choice Requires="wps">
            <w:drawing>
              <wp:anchor distT="0" distB="0" distL="114300" distR="114300" simplePos="0" relativeHeight="251660288" behindDoc="0" locked="0" layoutInCell="1" allowOverlap="1" wp14:anchorId="6DAC0F8E" wp14:editId="7E75A16F">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A235C"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831CA" w:rsidRPr="00C80C57" w:rsidSect="008831C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04T10:05:00Z" w:initials="Start">
    <w:p w14:paraId="38BD00CE" w14:textId="4DC5FB77" w:rsidR="006A00F0" w:rsidRPr="008831CA" w:rsidRDefault="006A00F0">
      <w:pPr>
        <w:pStyle w:val="CommentText"/>
        <w:rPr>
          <w:lang w:val="en-US"/>
        </w:rPr>
      </w:pPr>
      <w:r>
        <w:rPr>
          <w:rStyle w:val="CommentReference"/>
        </w:rPr>
        <w:annotationRef/>
      </w:r>
      <w:r w:rsidRPr="008831CA">
        <w:rPr>
          <w:lang w:val="en-US"/>
        </w:rPr>
        <w:t>&lt;&lt;ODS JOB NO&gt;&gt;N2</w:t>
      </w:r>
      <w:r w:rsidR="00D85C76">
        <w:rPr>
          <w:noProof/>
          <w:lang w:val="en-US"/>
        </w:rPr>
        <w:t>2</w:t>
      </w:r>
      <w:r w:rsidRPr="008831CA">
        <w:rPr>
          <w:lang w:val="en-US"/>
        </w:rPr>
        <w:t>75184S&lt;&lt;ODS JOB NO&gt;&gt;</w:t>
      </w:r>
    </w:p>
    <w:p w14:paraId="45D49E4D" w14:textId="77777777" w:rsidR="006A00F0" w:rsidRPr="0073588E" w:rsidRDefault="006A00F0">
      <w:pPr>
        <w:pStyle w:val="CommentText"/>
        <w:rPr>
          <w:lang w:val="en-US"/>
        </w:rPr>
      </w:pPr>
      <w:r w:rsidRPr="0073588E">
        <w:rPr>
          <w:lang w:val="en-US"/>
        </w:rPr>
        <w:t>&lt;&lt;ODS DOC SYMBOL1&gt;&gt;CEDAW/C/ZWE/FCO/6&lt;&lt;ODS DOC SYMBOL1&gt;&gt;</w:t>
      </w:r>
    </w:p>
    <w:p w14:paraId="08C9C40C" w14:textId="77777777" w:rsidR="006A00F0" w:rsidRPr="0073588E" w:rsidRDefault="006A00F0">
      <w:pPr>
        <w:pStyle w:val="CommentText"/>
        <w:rPr>
          <w:lang w:val="en-US"/>
        </w:rPr>
      </w:pPr>
      <w:r w:rsidRPr="0073588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C9C4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FCDF3" w16cex:dateUtc="2023-01-04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C9C40C" w16cid:durableId="275FCD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C640A" w14:textId="77777777" w:rsidR="00221277" w:rsidRDefault="00221277" w:rsidP="00101B18">
      <w:r>
        <w:separator/>
      </w:r>
    </w:p>
  </w:endnote>
  <w:endnote w:type="continuationSeparator" w:id="0">
    <w:p w14:paraId="6039E97C" w14:textId="77777777" w:rsidR="00221277" w:rsidRDefault="002212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00F0" w14:paraId="38D705FD" w14:textId="77777777" w:rsidTr="006A00F0">
      <w:tc>
        <w:tcPr>
          <w:tcW w:w="4920" w:type="dxa"/>
          <w:shd w:val="clear" w:color="auto" w:fill="auto"/>
          <w:vAlign w:val="bottom"/>
        </w:tcPr>
        <w:p w14:paraId="428A8CC4" w14:textId="77777777" w:rsidR="006A00F0" w:rsidRPr="006A00F0" w:rsidRDefault="006A00F0" w:rsidP="006A00F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8470D53" w14:textId="259FF700" w:rsidR="006A00F0" w:rsidRPr="006A00F0" w:rsidRDefault="005E061D" w:rsidP="006A00F0">
          <w:pPr>
            <w:pStyle w:val="Footer"/>
            <w:jc w:val="right"/>
            <w:rPr>
              <w:b w:val="0"/>
              <w:color w:val="000000"/>
              <w:sz w:val="14"/>
            </w:rPr>
          </w:pPr>
          <w:r>
            <w:rPr>
              <w:b w:val="0"/>
              <w:color w:val="000000"/>
              <w:sz w:val="14"/>
            </w:rPr>
            <w:t>22-28579</w:t>
          </w:r>
        </w:p>
      </w:tc>
    </w:tr>
  </w:tbl>
  <w:p w14:paraId="2C0D96C6" w14:textId="77777777" w:rsidR="006A00F0" w:rsidRPr="006A00F0" w:rsidRDefault="006A00F0" w:rsidP="006A0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00F0" w14:paraId="393AB669" w14:textId="77777777" w:rsidTr="006A00F0">
      <w:tc>
        <w:tcPr>
          <w:tcW w:w="4920" w:type="dxa"/>
          <w:shd w:val="clear" w:color="auto" w:fill="auto"/>
          <w:vAlign w:val="bottom"/>
        </w:tcPr>
        <w:p w14:paraId="4FFD42AC" w14:textId="5A0FB06B" w:rsidR="006A00F0" w:rsidRPr="006A00F0" w:rsidRDefault="005E061D" w:rsidP="006A00F0">
          <w:pPr>
            <w:pStyle w:val="Footer"/>
            <w:rPr>
              <w:b w:val="0"/>
              <w:color w:val="000000"/>
              <w:sz w:val="14"/>
            </w:rPr>
          </w:pPr>
          <w:r>
            <w:rPr>
              <w:b w:val="0"/>
              <w:color w:val="000000"/>
              <w:sz w:val="14"/>
            </w:rPr>
            <w:t>22-28579</w:t>
          </w:r>
        </w:p>
      </w:tc>
      <w:tc>
        <w:tcPr>
          <w:tcW w:w="4920" w:type="dxa"/>
          <w:shd w:val="clear" w:color="auto" w:fill="auto"/>
          <w:vAlign w:val="bottom"/>
        </w:tcPr>
        <w:p w14:paraId="41F398D3" w14:textId="77777777" w:rsidR="006A00F0" w:rsidRPr="006A00F0" w:rsidRDefault="006A00F0" w:rsidP="006A00F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C74B93B" w14:textId="77777777" w:rsidR="006A00F0" w:rsidRPr="006A00F0" w:rsidRDefault="006A00F0" w:rsidP="006A00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7353" w14:textId="77777777" w:rsidR="006A00F0" w:rsidRPr="006A00F0" w:rsidRDefault="006A00F0" w:rsidP="006A00F0">
    <w:pPr>
      <w:pStyle w:val="Footer"/>
      <w:spacing w:line="120" w:lineRule="exact"/>
      <w:rPr>
        <w:b w:val="0"/>
        <w:sz w:val="10"/>
      </w:rPr>
    </w:pPr>
    <w:r>
      <w:rPr>
        <w:b w:val="0"/>
        <w:sz w:val="10"/>
      </w:rPr>
      <w:drawing>
        <wp:anchor distT="0" distB="0" distL="114300" distR="114300" simplePos="0" relativeHeight="251658240" behindDoc="0" locked="0" layoutInCell="1" allowOverlap="1" wp14:anchorId="09D07AD4" wp14:editId="1E04D13D">
          <wp:simplePos x="0" y="0"/>
          <wp:positionH relativeFrom="column">
            <wp:posOffset>5568315</wp:posOffset>
          </wp:positionH>
          <wp:positionV relativeFrom="paragraph">
            <wp:posOffset>-283210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A00F0" w14:paraId="00BB0D9E" w14:textId="77777777" w:rsidTr="006A00F0">
      <w:tc>
        <w:tcPr>
          <w:tcW w:w="3830" w:type="dxa"/>
          <w:shd w:val="clear" w:color="auto" w:fill="auto"/>
        </w:tcPr>
        <w:p w14:paraId="31C515CA" w14:textId="5C5C07C6" w:rsidR="006A00F0" w:rsidRDefault="006A00F0" w:rsidP="006A00F0">
          <w:pPr>
            <w:pStyle w:val="ReleaseDate0"/>
          </w:pPr>
          <w:r>
            <w:t>2</w:t>
          </w:r>
          <w:r w:rsidR="008641E9">
            <w:t>2</w:t>
          </w:r>
          <w:r>
            <w:t xml:space="preserve">-28579 (S)    </w:t>
          </w:r>
          <w:r w:rsidR="008831CA">
            <w:t>201222</w:t>
          </w:r>
          <w:r>
            <w:t xml:space="preserve">    040123</w:t>
          </w:r>
        </w:p>
        <w:p w14:paraId="70E1A9AA" w14:textId="77777777" w:rsidR="006A00F0" w:rsidRPr="006A00F0" w:rsidRDefault="006A00F0" w:rsidP="006A00F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*2328579*</w:t>
          </w:r>
        </w:p>
      </w:tc>
      <w:tc>
        <w:tcPr>
          <w:tcW w:w="4920" w:type="dxa"/>
          <w:shd w:val="clear" w:color="auto" w:fill="auto"/>
        </w:tcPr>
        <w:p w14:paraId="1C36E34F" w14:textId="77777777" w:rsidR="006A00F0" w:rsidRDefault="006A00F0" w:rsidP="006A00F0">
          <w:pPr>
            <w:pStyle w:val="Footer"/>
            <w:jc w:val="right"/>
            <w:rPr>
              <w:b w:val="0"/>
              <w:sz w:val="20"/>
            </w:rPr>
          </w:pPr>
          <w:r>
            <w:rPr>
              <w:b w:val="0"/>
              <w:sz w:val="20"/>
            </w:rPr>
            <w:drawing>
              <wp:inline distT="0" distB="0" distL="0" distR="0" wp14:anchorId="39DBC9CF" wp14:editId="3FD9C9F7">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306178E" w14:textId="77777777" w:rsidR="006A00F0" w:rsidRPr="006A00F0" w:rsidRDefault="006A00F0" w:rsidP="006A00F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326FA" w14:textId="77777777" w:rsidR="00221277" w:rsidRDefault="00221277" w:rsidP="00101B18">
      <w:r>
        <w:separator/>
      </w:r>
    </w:p>
  </w:footnote>
  <w:footnote w:type="continuationSeparator" w:id="0">
    <w:p w14:paraId="38DFC25D" w14:textId="77777777" w:rsidR="00221277" w:rsidRDefault="00221277"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00F0" w14:paraId="40448D0D" w14:textId="77777777" w:rsidTr="006A00F0">
      <w:trPr>
        <w:trHeight w:hRule="exact" w:val="864"/>
      </w:trPr>
      <w:tc>
        <w:tcPr>
          <w:tcW w:w="4920" w:type="dxa"/>
          <w:shd w:val="clear" w:color="auto" w:fill="auto"/>
          <w:vAlign w:val="bottom"/>
        </w:tcPr>
        <w:p w14:paraId="3F72AC31" w14:textId="4FB18E45" w:rsidR="006A00F0" w:rsidRPr="006A00F0" w:rsidRDefault="006A00F0" w:rsidP="006A00F0">
          <w:pPr>
            <w:pStyle w:val="Header"/>
            <w:spacing w:after="80"/>
            <w:rPr>
              <w:b/>
            </w:rPr>
          </w:pPr>
          <w:r>
            <w:rPr>
              <w:b/>
            </w:rPr>
            <w:fldChar w:fldCharType="begin"/>
          </w:r>
          <w:r>
            <w:rPr>
              <w:b/>
            </w:rPr>
            <w:instrText xml:space="preserve"> DOCVARIABLE "sss1" \* MERGEFORMAT </w:instrText>
          </w:r>
          <w:r>
            <w:rPr>
              <w:b/>
            </w:rPr>
            <w:fldChar w:fldCharType="separate"/>
          </w:r>
          <w:r w:rsidR="001E377F">
            <w:rPr>
              <w:b/>
            </w:rPr>
            <w:t>CEDAW/C/ZWE/FCO/6</w:t>
          </w:r>
          <w:r>
            <w:rPr>
              <w:b/>
            </w:rPr>
            <w:fldChar w:fldCharType="end"/>
          </w:r>
        </w:p>
      </w:tc>
      <w:tc>
        <w:tcPr>
          <w:tcW w:w="4920" w:type="dxa"/>
          <w:shd w:val="clear" w:color="auto" w:fill="auto"/>
          <w:vAlign w:val="bottom"/>
        </w:tcPr>
        <w:p w14:paraId="2D44B79B" w14:textId="77777777" w:rsidR="006A00F0" w:rsidRDefault="006A00F0" w:rsidP="006A00F0">
          <w:pPr>
            <w:pStyle w:val="Header"/>
          </w:pPr>
        </w:p>
      </w:tc>
    </w:tr>
  </w:tbl>
  <w:p w14:paraId="20E3FA1A" w14:textId="77777777" w:rsidR="006A00F0" w:rsidRPr="006A00F0" w:rsidRDefault="006A00F0" w:rsidP="006A0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00F0" w14:paraId="3C9911CE" w14:textId="77777777" w:rsidTr="006A00F0">
      <w:trPr>
        <w:trHeight w:hRule="exact" w:val="864"/>
      </w:trPr>
      <w:tc>
        <w:tcPr>
          <w:tcW w:w="4920" w:type="dxa"/>
          <w:shd w:val="clear" w:color="auto" w:fill="auto"/>
          <w:vAlign w:val="bottom"/>
        </w:tcPr>
        <w:p w14:paraId="0F52F1AB" w14:textId="77777777" w:rsidR="006A00F0" w:rsidRDefault="006A00F0" w:rsidP="006A00F0">
          <w:pPr>
            <w:pStyle w:val="Header"/>
          </w:pPr>
        </w:p>
      </w:tc>
      <w:tc>
        <w:tcPr>
          <w:tcW w:w="4920" w:type="dxa"/>
          <w:shd w:val="clear" w:color="auto" w:fill="auto"/>
          <w:vAlign w:val="bottom"/>
        </w:tcPr>
        <w:p w14:paraId="7C0DE863" w14:textId="7FFA2CEE" w:rsidR="006A00F0" w:rsidRPr="006A00F0" w:rsidRDefault="006A00F0" w:rsidP="006A00F0">
          <w:pPr>
            <w:pStyle w:val="Header"/>
            <w:spacing w:after="80"/>
            <w:jc w:val="right"/>
            <w:rPr>
              <w:b/>
            </w:rPr>
          </w:pPr>
          <w:r>
            <w:rPr>
              <w:b/>
            </w:rPr>
            <w:fldChar w:fldCharType="begin"/>
          </w:r>
          <w:r>
            <w:rPr>
              <w:b/>
            </w:rPr>
            <w:instrText xml:space="preserve"> DOCVARIABLE "sss1" \* MERGEFORMAT </w:instrText>
          </w:r>
          <w:r>
            <w:rPr>
              <w:b/>
            </w:rPr>
            <w:fldChar w:fldCharType="separate"/>
          </w:r>
          <w:r w:rsidR="001E377F">
            <w:rPr>
              <w:b/>
            </w:rPr>
            <w:t>CEDAW/C/ZWE/FCO/6</w:t>
          </w:r>
          <w:r>
            <w:rPr>
              <w:b/>
            </w:rPr>
            <w:fldChar w:fldCharType="end"/>
          </w:r>
        </w:p>
      </w:tc>
    </w:tr>
  </w:tbl>
  <w:p w14:paraId="574CDEC8" w14:textId="77777777" w:rsidR="006A00F0" w:rsidRPr="006A00F0" w:rsidRDefault="006A00F0" w:rsidP="006A00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A00F0" w14:paraId="3F0DE6AB" w14:textId="77777777" w:rsidTr="006A00F0">
      <w:trPr>
        <w:gridAfter w:val="1"/>
        <w:wAfter w:w="15" w:type="dxa"/>
        <w:trHeight w:hRule="exact" w:val="864"/>
      </w:trPr>
      <w:tc>
        <w:tcPr>
          <w:tcW w:w="1267" w:type="dxa"/>
          <w:tcBorders>
            <w:bottom w:val="single" w:sz="4" w:space="0" w:color="auto"/>
          </w:tcBorders>
          <w:shd w:val="clear" w:color="auto" w:fill="auto"/>
          <w:vAlign w:val="bottom"/>
        </w:tcPr>
        <w:p w14:paraId="329BDE15" w14:textId="77777777" w:rsidR="006A00F0" w:rsidRDefault="006A00F0" w:rsidP="006A00F0">
          <w:pPr>
            <w:pStyle w:val="Header"/>
            <w:spacing w:after="120"/>
          </w:pPr>
        </w:p>
      </w:tc>
      <w:tc>
        <w:tcPr>
          <w:tcW w:w="2059" w:type="dxa"/>
          <w:tcBorders>
            <w:bottom w:val="single" w:sz="4" w:space="0" w:color="auto"/>
          </w:tcBorders>
          <w:shd w:val="clear" w:color="auto" w:fill="auto"/>
          <w:vAlign w:val="bottom"/>
        </w:tcPr>
        <w:p w14:paraId="20A38DB8" w14:textId="77777777" w:rsidR="006A00F0" w:rsidRPr="006A00F0" w:rsidRDefault="006A00F0" w:rsidP="006A00F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D808743" w14:textId="77777777" w:rsidR="006A00F0" w:rsidRDefault="006A00F0" w:rsidP="006A00F0">
          <w:pPr>
            <w:pStyle w:val="Header"/>
            <w:spacing w:after="120"/>
          </w:pPr>
        </w:p>
      </w:tc>
      <w:tc>
        <w:tcPr>
          <w:tcW w:w="6480" w:type="dxa"/>
          <w:gridSpan w:val="3"/>
          <w:tcBorders>
            <w:bottom w:val="single" w:sz="4" w:space="0" w:color="auto"/>
          </w:tcBorders>
          <w:shd w:val="clear" w:color="auto" w:fill="auto"/>
          <w:vAlign w:val="bottom"/>
        </w:tcPr>
        <w:p w14:paraId="06D1F0C2" w14:textId="77777777" w:rsidR="006A00F0" w:rsidRPr="006A00F0" w:rsidRDefault="006A00F0" w:rsidP="006A00F0">
          <w:pPr>
            <w:spacing w:after="80" w:line="240" w:lineRule="auto"/>
            <w:jc w:val="right"/>
            <w:rPr>
              <w:position w:val="-4"/>
            </w:rPr>
          </w:pPr>
          <w:r>
            <w:rPr>
              <w:position w:val="-4"/>
              <w:sz w:val="40"/>
            </w:rPr>
            <w:t>CEDAW</w:t>
          </w:r>
          <w:r>
            <w:rPr>
              <w:position w:val="-4"/>
            </w:rPr>
            <w:t>/C/ZWE/FCO/6</w:t>
          </w:r>
        </w:p>
      </w:tc>
    </w:tr>
    <w:tr w:rsidR="006A00F0" w:rsidRPr="006A00F0" w14:paraId="6AF911CB" w14:textId="77777777" w:rsidTr="006A00F0">
      <w:trPr>
        <w:trHeight w:hRule="exact" w:val="2880"/>
      </w:trPr>
      <w:tc>
        <w:tcPr>
          <w:tcW w:w="1267" w:type="dxa"/>
          <w:tcBorders>
            <w:top w:val="single" w:sz="4" w:space="0" w:color="auto"/>
            <w:bottom w:val="single" w:sz="12" w:space="0" w:color="auto"/>
          </w:tcBorders>
          <w:shd w:val="clear" w:color="auto" w:fill="auto"/>
        </w:tcPr>
        <w:p w14:paraId="1356FDB3" w14:textId="77777777" w:rsidR="006A00F0" w:rsidRPr="006A00F0" w:rsidRDefault="006A00F0" w:rsidP="006A00F0">
          <w:pPr>
            <w:pStyle w:val="Header"/>
            <w:spacing w:before="120"/>
            <w:jc w:val="center"/>
          </w:pPr>
          <w:r>
            <w:t xml:space="preserve"> </w:t>
          </w:r>
          <w:r>
            <w:drawing>
              <wp:inline distT="0" distB="0" distL="0" distR="0" wp14:anchorId="3863DE03" wp14:editId="6A48E6F0">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4F6BC3" w14:textId="77777777" w:rsidR="006A00F0" w:rsidRPr="006A00F0" w:rsidRDefault="006A00F0" w:rsidP="006A00F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0E5C001" w14:textId="77777777" w:rsidR="006A00F0" w:rsidRPr="008831CA" w:rsidRDefault="006A00F0" w:rsidP="006A00F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903A7A1" w14:textId="77777777" w:rsidR="006A00F0" w:rsidRDefault="006A00F0" w:rsidP="006A00F0">
          <w:pPr>
            <w:pStyle w:val="Distribution"/>
            <w:spacing w:before="240"/>
          </w:pPr>
          <w:r>
            <w:t>Distr. general</w:t>
          </w:r>
        </w:p>
        <w:p w14:paraId="6C4286FB" w14:textId="77777777" w:rsidR="006A00F0" w:rsidRDefault="006A00F0" w:rsidP="006A00F0">
          <w:pPr>
            <w:pStyle w:val="Publication"/>
          </w:pPr>
          <w:r>
            <w:t>14 de diciembre de 2022</w:t>
          </w:r>
        </w:p>
        <w:p w14:paraId="4F413911" w14:textId="77777777" w:rsidR="006A00F0" w:rsidRDefault="006A00F0" w:rsidP="006A00F0">
          <w:r>
            <w:t>Español</w:t>
          </w:r>
        </w:p>
        <w:p w14:paraId="1437165F" w14:textId="77777777" w:rsidR="006A00F0" w:rsidRDefault="006A00F0" w:rsidP="006A00F0">
          <w:pPr>
            <w:pStyle w:val="Original"/>
          </w:pPr>
          <w:r>
            <w:t>Original: inglés</w:t>
          </w:r>
        </w:p>
        <w:p w14:paraId="323670FA" w14:textId="6D98E562" w:rsidR="008831CA" w:rsidRDefault="008831CA" w:rsidP="008831CA"/>
        <w:p w14:paraId="1DA4D425" w14:textId="3B6F950C" w:rsidR="008831CA" w:rsidRPr="008831CA" w:rsidRDefault="008831CA" w:rsidP="008831CA">
          <w:r w:rsidRPr="008831CA">
            <w:t>Español, francés e inglés únicamente</w:t>
          </w:r>
        </w:p>
        <w:p w14:paraId="20620225" w14:textId="77777777" w:rsidR="006A00F0" w:rsidRPr="006A00F0" w:rsidRDefault="006A00F0" w:rsidP="006A00F0"/>
      </w:tc>
    </w:tr>
  </w:tbl>
  <w:p w14:paraId="702C761B" w14:textId="77777777" w:rsidR="006A00F0" w:rsidRPr="0073588E" w:rsidRDefault="006A00F0" w:rsidP="006A00F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4D95E05"/>
    <w:multiLevelType w:val="hybridMultilevel"/>
    <w:tmpl w:val="A2E82E70"/>
    <w:lvl w:ilvl="0" w:tplc="00CAA71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C691E66"/>
    <w:multiLevelType w:val="singleLevel"/>
    <w:tmpl w:val="883AC3F8"/>
    <w:lvl w:ilvl="0">
      <w:start w:val="1"/>
      <w:numFmt w:val="decimal"/>
      <w:lvlRestart w:val="0"/>
      <w:lvlText w:val="%1."/>
      <w:lvlJc w:val="left"/>
      <w:pPr>
        <w:tabs>
          <w:tab w:val="num" w:pos="475"/>
        </w:tabs>
        <w:ind w:left="0" w:firstLine="0"/>
      </w:pPr>
      <w:rPr>
        <w:spacing w:val="0"/>
        <w:w w:val="100"/>
      </w:rPr>
    </w:lvl>
  </w:abstractNum>
  <w:num w:numId="1" w16cid:durableId="1220704153">
    <w:abstractNumId w:val="5"/>
  </w:num>
  <w:num w:numId="2" w16cid:durableId="2109038190">
    <w:abstractNumId w:val="0"/>
  </w:num>
  <w:num w:numId="3" w16cid:durableId="853540879">
    <w:abstractNumId w:val="3"/>
  </w:num>
  <w:num w:numId="4" w16cid:durableId="1474059374">
    <w:abstractNumId w:val="2"/>
  </w:num>
  <w:num w:numId="5" w16cid:durableId="331880567">
    <w:abstractNumId w:val="1"/>
  </w:num>
  <w:num w:numId="6" w16cid:durableId="1856727550">
    <w:abstractNumId w:val="6"/>
  </w:num>
  <w:num w:numId="7" w16cid:durableId="87046283">
    <w:abstractNumId w:val="4"/>
  </w:num>
  <w:num w:numId="8" w16cid:durableId="1534341242">
    <w:abstractNumId w:val="6"/>
    <w:lvlOverride w:ilvl="0">
      <w:lvl w:ilvl="0">
        <w:start w:val="1"/>
        <w:numFmt w:val="decimal"/>
        <w:lvlRestart w:val="0"/>
        <w:lvlText w:val="%1."/>
        <w:lvlJc w:val="left"/>
        <w:pPr>
          <w:tabs>
            <w:tab w:val="num" w:pos="475"/>
          </w:tabs>
          <w:ind w:left="0" w:firstLine="0"/>
        </w:pPr>
        <w:rPr>
          <w:spacing w:val="0"/>
          <w:w w:val="100"/>
        </w:rPr>
      </w:lvl>
    </w:lvlOverride>
  </w:num>
  <w:num w:numId="9" w16cid:durableId="100733034">
    <w:abstractNumId w:val="6"/>
    <w:lvlOverride w:ilvl="0">
      <w:lvl w:ilvl="0">
        <w:start w:val="1"/>
        <w:numFmt w:val="decimal"/>
        <w:lvlRestart w:val="0"/>
        <w:lvlText w:val="%1."/>
        <w:lvlJc w:val="left"/>
        <w:pPr>
          <w:tabs>
            <w:tab w:val="num" w:pos="475"/>
          </w:tabs>
          <w:ind w:left="0" w:firstLine="0"/>
        </w:pPr>
        <w:rPr>
          <w:spacing w:val="0"/>
          <w:w w:val="100"/>
        </w:rPr>
      </w:lvl>
    </w:lvlOverride>
  </w:num>
  <w:num w:numId="10" w16cid:durableId="396707864">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activeWritingStyle w:appName="MSWord" w:lang="es-ES" w:vendorID="64" w:dllVersion="0" w:nlCheck="1" w:checkStyle="0"/>
  <w:activeWritingStyle w:appName="MSWord" w:lang="en-US" w:vendorID="64" w:dllVersion="0" w:nlCheck="1" w:checkStyle="0"/>
  <w:activeWritingStyle w:appName="MSWord" w:lang="en-US"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8579*"/>
    <w:docVar w:name="CreationDt" w:val="04/01/2023 10:05 AM"/>
    <w:docVar w:name="DocCategory" w:val="Doc"/>
    <w:docVar w:name="DocType" w:val="Final"/>
    <w:docVar w:name="DutyStation" w:val="New York"/>
    <w:docVar w:name="FooterJN" w:val="23-28579"/>
    <w:docVar w:name="jobn" w:val="23-28579 (S)"/>
    <w:docVar w:name="jobnDT" w:val="23-28579 (S)   040123"/>
    <w:docVar w:name="jobnDTDT" w:val="23-28579 (S)   040123   040123"/>
    <w:docVar w:name="JobNo" w:val="2328579S"/>
    <w:docVar w:name="JobNo2" w:val="237518410:05 AM"/>
    <w:docVar w:name="LocalDrive" w:val="-1"/>
    <w:docVar w:name="OandT" w:val="MAO/MPR"/>
    <w:docVar w:name="sss1" w:val="CEDAW/C/ZWE/FCO/6"/>
    <w:docVar w:name="sss2" w:val="-"/>
    <w:docVar w:name="Symbol1" w:val="CEDAW/C/ZWE/FCO/6"/>
    <w:docVar w:name="Symbol2" w:val="-"/>
    <w:docVar w:name="Title1" w:val="_x0009__x0009_Información recibida de Zimbabwe sobre el seguimiento de las observaciones finales relativas a su sexto informe periódico*_x000d_"/>
  </w:docVars>
  <w:rsids>
    <w:rsidRoot w:val="008A1C4E"/>
    <w:rsid w:val="00002584"/>
    <w:rsid w:val="0006491F"/>
    <w:rsid w:val="00067B89"/>
    <w:rsid w:val="000709F5"/>
    <w:rsid w:val="00071D43"/>
    <w:rsid w:val="00081BDF"/>
    <w:rsid w:val="00082144"/>
    <w:rsid w:val="000F1F99"/>
    <w:rsid w:val="00101B18"/>
    <w:rsid w:val="00117EA0"/>
    <w:rsid w:val="001207B1"/>
    <w:rsid w:val="00122A56"/>
    <w:rsid w:val="00134FEE"/>
    <w:rsid w:val="0014192F"/>
    <w:rsid w:val="00146C6A"/>
    <w:rsid w:val="00147570"/>
    <w:rsid w:val="00151388"/>
    <w:rsid w:val="00166A0D"/>
    <w:rsid w:val="001A61CD"/>
    <w:rsid w:val="001C344E"/>
    <w:rsid w:val="001D5969"/>
    <w:rsid w:val="001E377F"/>
    <w:rsid w:val="001E4B50"/>
    <w:rsid w:val="00205C3E"/>
    <w:rsid w:val="00221277"/>
    <w:rsid w:val="00241B93"/>
    <w:rsid w:val="002478A0"/>
    <w:rsid w:val="00263456"/>
    <w:rsid w:val="002A1BC2"/>
    <w:rsid w:val="002A5779"/>
    <w:rsid w:val="002A5E20"/>
    <w:rsid w:val="002C4F96"/>
    <w:rsid w:val="002D1584"/>
    <w:rsid w:val="00304428"/>
    <w:rsid w:val="00351013"/>
    <w:rsid w:val="00356DCA"/>
    <w:rsid w:val="00366D21"/>
    <w:rsid w:val="003851DA"/>
    <w:rsid w:val="0039127C"/>
    <w:rsid w:val="003A675A"/>
    <w:rsid w:val="003B24AA"/>
    <w:rsid w:val="003D096D"/>
    <w:rsid w:val="003D453C"/>
    <w:rsid w:val="003E1E43"/>
    <w:rsid w:val="003F61E1"/>
    <w:rsid w:val="003F7578"/>
    <w:rsid w:val="00415E1D"/>
    <w:rsid w:val="00431E47"/>
    <w:rsid w:val="00440C93"/>
    <w:rsid w:val="00456A64"/>
    <w:rsid w:val="0045727A"/>
    <w:rsid w:val="00480B84"/>
    <w:rsid w:val="00495505"/>
    <w:rsid w:val="004B3E32"/>
    <w:rsid w:val="004B64F9"/>
    <w:rsid w:val="004C1A25"/>
    <w:rsid w:val="0050019A"/>
    <w:rsid w:val="00515991"/>
    <w:rsid w:val="005225EC"/>
    <w:rsid w:val="00525097"/>
    <w:rsid w:val="005251A9"/>
    <w:rsid w:val="005509B6"/>
    <w:rsid w:val="005557D1"/>
    <w:rsid w:val="00570A2B"/>
    <w:rsid w:val="0059679B"/>
    <w:rsid w:val="005C3B79"/>
    <w:rsid w:val="005E061D"/>
    <w:rsid w:val="005E0EC5"/>
    <w:rsid w:val="005E1892"/>
    <w:rsid w:val="005F1F5F"/>
    <w:rsid w:val="005F69DF"/>
    <w:rsid w:val="00622218"/>
    <w:rsid w:val="00622288"/>
    <w:rsid w:val="00632C10"/>
    <w:rsid w:val="006570E2"/>
    <w:rsid w:val="00657C5A"/>
    <w:rsid w:val="00660877"/>
    <w:rsid w:val="00674414"/>
    <w:rsid w:val="00690698"/>
    <w:rsid w:val="006918CC"/>
    <w:rsid w:val="006A00F0"/>
    <w:rsid w:val="006B7C3F"/>
    <w:rsid w:val="006D25CC"/>
    <w:rsid w:val="006E1693"/>
    <w:rsid w:val="006E4A4B"/>
    <w:rsid w:val="006F678D"/>
    <w:rsid w:val="0070020F"/>
    <w:rsid w:val="00703106"/>
    <w:rsid w:val="0073588E"/>
    <w:rsid w:val="00740461"/>
    <w:rsid w:val="007459AE"/>
    <w:rsid w:val="007526FF"/>
    <w:rsid w:val="007531A5"/>
    <w:rsid w:val="00753D8A"/>
    <w:rsid w:val="00754703"/>
    <w:rsid w:val="00757AF2"/>
    <w:rsid w:val="00764C72"/>
    <w:rsid w:val="0077186B"/>
    <w:rsid w:val="00771C9E"/>
    <w:rsid w:val="00783685"/>
    <w:rsid w:val="007964D5"/>
    <w:rsid w:val="00797AC0"/>
    <w:rsid w:val="007B25F9"/>
    <w:rsid w:val="007B3CE3"/>
    <w:rsid w:val="007C5BB3"/>
    <w:rsid w:val="008028B7"/>
    <w:rsid w:val="00802F56"/>
    <w:rsid w:val="00807B29"/>
    <w:rsid w:val="0082045E"/>
    <w:rsid w:val="008222A3"/>
    <w:rsid w:val="00822C6B"/>
    <w:rsid w:val="00840664"/>
    <w:rsid w:val="00847156"/>
    <w:rsid w:val="00857A23"/>
    <w:rsid w:val="008641E9"/>
    <w:rsid w:val="0088038B"/>
    <w:rsid w:val="008831CA"/>
    <w:rsid w:val="008948C4"/>
    <w:rsid w:val="008A1C4E"/>
    <w:rsid w:val="008A41D0"/>
    <w:rsid w:val="008B3FC7"/>
    <w:rsid w:val="008F3462"/>
    <w:rsid w:val="00906619"/>
    <w:rsid w:val="00935932"/>
    <w:rsid w:val="009559A6"/>
    <w:rsid w:val="00965823"/>
    <w:rsid w:val="00993CB7"/>
    <w:rsid w:val="009A02EE"/>
    <w:rsid w:val="009B7345"/>
    <w:rsid w:val="009D0EE3"/>
    <w:rsid w:val="00A1038C"/>
    <w:rsid w:val="00A12E2F"/>
    <w:rsid w:val="00A2494D"/>
    <w:rsid w:val="00A31C1D"/>
    <w:rsid w:val="00A4724F"/>
    <w:rsid w:val="00A50D44"/>
    <w:rsid w:val="00A536A1"/>
    <w:rsid w:val="00AB0B7D"/>
    <w:rsid w:val="00AC366F"/>
    <w:rsid w:val="00AD5F2F"/>
    <w:rsid w:val="00AE7638"/>
    <w:rsid w:val="00AF38FB"/>
    <w:rsid w:val="00AF4336"/>
    <w:rsid w:val="00B114E4"/>
    <w:rsid w:val="00B542DA"/>
    <w:rsid w:val="00B561B2"/>
    <w:rsid w:val="00B60782"/>
    <w:rsid w:val="00B858D5"/>
    <w:rsid w:val="00B937CF"/>
    <w:rsid w:val="00B954D2"/>
    <w:rsid w:val="00B9613E"/>
    <w:rsid w:val="00BA7205"/>
    <w:rsid w:val="00BB3E9B"/>
    <w:rsid w:val="00BB462D"/>
    <w:rsid w:val="00BD113B"/>
    <w:rsid w:val="00BF3B79"/>
    <w:rsid w:val="00C026EE"/>
    <w:rsid w:val="00C07FF6"/>
    <w:rsid w:val="00C32BC2"/>
    <w:rsid w:val="00C43505"/>
    <w:rsid w:val="00C5036A"/>
    <w:rsid w:val="00C52055"/>
    <w:rsid w:val="00C55EFF"/>
    <w:rsid w:val="00C80C37"/>
    <w:rsid w:val="00C80C57"/>
    <w:rsid w:val="00CB06FB"/>
    <w:rsid w:val="00CB63C5"/>
    <w:rsid w:val="00D0035F"/>
    <w:rsid w:val="00D30238"/>
    <w:rsid w:val="00D3073B"/>
    <w:rsid w:val="00D30EED"/>
    <w:rsid w:val="00D424B1"/>
    <w:rsid w:val="00D51AED"/>
    <w:rsid w:val="00D75B73"/>
    <w:rsid w:val="00D85C76"/>
    <w:rsid w:val="00D94250"/>
    <w:rsid w:val="00DB32F0"/>
    <w:rsid w:val="00DB5947"/>
    <w:rsid w:val="00DB66DE"/>
    <w:rsid w:val="00DC7881"/>
    <w:rsid w:val="00DD5701"/>
    <w:rsid w:val="00DD6432"/>
    <w:rsid w:val="00DE025C"/>
    <w:rsid w:val="00E117BC"/>
    <w:rsid w:val="00E14645"/>
    <w:rsid w:val="00E343A6"/>
    <w:rsid w:val="00E410F9"/>
    <w:rsid w:val="00E4188E"/>
    <w:rsid w:val="00E443AC"/>
    <w:rsid w:val="00E47A1E"/>
    <w:rsid w:val="00E517AD"/>
    <w:rsid w:val="00E7105F"/>
    <w:rsid w:val="00E818DE"/>
    <w:rsid w:val="00EC3BAD"/>
    <w:rsid w:val="00ED0729"/>
    <w:rsid w:val="00ED471D"/>
    <w:rsid w:val="00EE37EC"/>
    <w:rsid w:val="00EF2DFA"/>
    <w:rsid w:val="00F021F1"/>
    <w:rsid w:val="00F0704E"/>
    <w:rsid w:val="00F071AE"/>
    <w:rsid w:val="00F20816"/>
    <w:rsid w:val="00F21378"/>
    <w:rsid w:val="00F272D7"/>
    <w:rsid w:val="00F313F6"/>
    <w:rsid w:val="00F3363B"/>
    <w:rsid w:val="00F5012D"/>
    <w:rsid w:val="00F631DD"/>
    <w:rsid w:val="00F73093"/>
    <w:rsid w:val="00F733FC"/>
    <w:rsid w:val="00F84EAE"/>
    <w:rsid w:val="00F873D4"/>
    <w:rsid w:val="00FA3D05"/>
    <w:rsid w:val="00FA5CC9"/>
    <w:rsid w:val="00FB0A2C"/>
    <w:rsid w:val="00FB62C6"/>
    <w:rsid w:val="00FB760F"/>
    <w:rsid w:val="00FC59F1"/>
    <w:rsid w:val="00FD1A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25D250"/>
  <w15:chartTrackingRefBased/>
  <w15:docId w15:val="{D0EB597D-7154-4AE7-8468-85D17559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C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E0EC5"/>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E0EC5"/>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E0EC5"/>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E0EC5"/>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E0EC5"/>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E0EC5"/>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E0EC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E0EC5"/>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E0EC5"/>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E0EC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E0EC5"/>
    <w:pPr>
      <w:spacing w:line="360" w:lineRule="exact"/>
    </w:pPr>
    <w:rPr>
      <w:spacing w:val="-3"/>
      <w:w w:val="99"/>
      <w:sz w:val="34"/>
    </w:rPr>
  </w:style>
  <w:style w:type="paragraph" w:customStyle="1" w:styleId="H23">
    <w:name w:val="_ H_2/3"/>
    <w:basedOn w:val="H1"/>
    <w:next w:val="SingleTxt"/>
    <w:qFormat/>
    <w:rsid w:val="005E0EC5"/>
    <w:pPr>
      <w:spacing w:line="240" w:lineRule="exact"/>
      <w:outlineLvl w:val="1"/>
    </w:pPr>
    <w:rPr>
      <w:spacing w:val="2"/>
      <w:sz w:val="20"/>
    </w:rPr>
  </w:style>
  <w:style w:type="paragraph" w:customStyle="1" w:styleId="H4">
    <w:name w:val="_ H_4"/>
    <w:basedOn w:val="Normal"/>
    <w:next w:val="Normal"/>
    <w:qFormat/>
    <w:rsid w:val="005E0EC5"/>
    <w:pPr>
      <w:keepNext/>
      <w:keepLines/>
      <w:tabs>
        <w:tab w:val="right" w:pos="360"/>
      </w:tabs>
      <w:outlineLvl w:val="3"/>
    </w:pPr>
    <w:rPr>
      <w:i/>
      <w:spacing w:val="3"/>
      <w:kern w:val="14"/>
    </w:rPr>
  </w:style>
  <w:style w:type="paragraph" w:customStyle="1" w:styleId="H56">
    <w:name w:val="_ H_5/6"/>
    <w:basedOn w:val="Normal"/>
    <w:next w:val="Normal"/>
    <w:qFormat/>
    <w:rsid w:val="005E0EC5"/>
    <w:pPr>
      <w:keepNext/>
      <w:keepLines/>
      <w:tabs>
        <w:tab w:val="right" w:pos="360"/>
      </w:tabs>
      <w:outlineLvl w:val="4"/>
    </w:pPr>
    <w:rPr>
      <w:kern w:val="14"/>
    </w:rPr>
  </w:style>
  <w:style w:type="paragraph" w:customStyle="1" w:styleId="DualTxt">
    <w:name w:val="__Dual Txt"/>
    <w:basedOn w:val="Normal"/>
    <w:qFormat/>
    <w:rsid w:val="005E0EC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E0EC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E0EC5"/>
    <w:pPr>
      <w:spacing w:line="540" w:lineRule="exact"/>
    </w:pPr>
    <w:rPr>
      <w:spacing w:val="-8"/>
      <w:w w:val="96"/>
      <w:sz w:val="57"/>
    </w:rPr>
  </w:style>
  <w:style w:type="paragraph" w:customStyle="1" w:styleId="SS">
    <w:name w:val="__S_S"/>
    <w:basedOn w:val="HCh0"/>
    <w:next w:val="Normal"/>
    <w:qFormat/>
    <w:rsid w:val="005E0EC5"/>
    <w:pPr>
      <w:ind w:left="1267" w:right="1267"/>
    </w:pPr>
  </w:style>
  <w:style w:type="paragraph" w:customStyle="1" w:styleId="SingleTxt">
    <w:name w:val="__Single Txt"/>
    <w:basedOn w:val="Normal"/>
    <w:link w:val="SingleTxtChar"/>
    <w:qFormat/>
    <w:rsid w:val="005E0E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E0EC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E0EC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E0EC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E0EC5"/>
    <w:rPr>
      <w:rFonts w:ascii="Tahoma" w:hAnsi="Tahoma" w:cs="Tahoma"/>
      <w:sz w:val="16"/>
      <w:szCs w:val="16"/>
    </w:rPr>
  </w:style>
  <w:style w:type="character" w:customStyle="1" w:styleId="BalloonTextChar">
    <w:name w:val="Balloon Text Char"/>
    <w:basedOn w:val="DefaultParagraphFont"/>
    <w:link w:val="BalloonText"/>
    <w:semiHidden/>
    <w:rsid w:val="005E0EC5"/>
    <w:rPr>
      <w:rFonts w:ascii="Tahoma" w:eastAsiaTheme="minorHAnsi" w:hAnsi="Tahoma" w:cs="Tahoma"/>
      <w:spacing w:val="4"/>
      <w:w w:val="103"/>
      <w:sz w:val="16"/>
      <w:szCs w:val="16"/>
      <w:lang w:val="es-ES" w:eastAsia="en-US"/>
    </w:rPr>
  </w:style>
  <w:style w:type="paragraph" w:customStyle="1" w:styleId="Bullet1">
    <w:name w:val="Bullet 1"/>
    <w:basedOn w:val="Normal"/>
    <w:qFormat/>
    <w:rsid w:val="005E0EC5"/>
    <w:pPr>
      <w:numPr>
        <w:numId w:val="1"/>
      </w:numPr>
      <w:spacing w:after="120"/>
      <w:ind w:right="1264"/>
      <w:jc w:val="both"/>
    </w:pPr>
  </w:style>
  <w:style w:type="paragraph" w:customStyle="1" w:styleId="Bullet2">
    <w:name w:val="Bullet 2"/>
    <w:basedOn w:val="Normal"/>
    <w:qFormat/>
    <w:rsid w:val="005E0EC5"/>
    <w:pPr>
      <w:numPr>
        <w:numId w:val="2"/>
      </w:numPr>
      <w:spacing w:after="120"/>
      <w:ind w:right="1264"/>
      <w:jc w:val="both"/>
    </w:pPr>
  </w:style>
  <w:style w:type="paragraph" w:customStyle="1" w:styleId="Bullet3">
    <w:name w:val="Bullet 3"/>
    <w:basedOn w:val="SingleTxt"/>
    <w:qFormat/>
    <w:rsid w:val="005E0EC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E0EC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E0EC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E0EC5"/>
    <w:pPr>
      <w:spacing w:after="80"/>
    </w:pPr>
  </w:style>
  <w:style w:type="character" w:customStyle="1" w:styleId="EndnoteTextChar">
    <w:name w:val="Endnote Text Char"/>
    <w:basedOn w:val="DefaultParagraphFont"/>
    <w:link w:val="EndnoteText"/>
    <w:semiHidden/>
    <w:rsid w:val="005E0EC5"/>
    <w:rPr>
      <w:rFonts w:ascii="Times New Roman" w:eastAsiaTheme="minorHAnsi" w:hAnsi="Times New Roman" w:cs="Times New Roman"/>
      <w:spacing w:val="5"/>
      <w:w w:val="104"/>
      <w:sz w:val="17"/>
      <w:lang w:val="es-ES" w:eastAsia="en-US"/>
    </w:rPr>
  </w:style>
  <w:style w:type="paragraph" w:styleId="Footer">
    <w:name w:val="footer"/>
    <w:link w:val="FooterChar"/>
    <w:qFormat/>
    <w:rsid w:val="005E0EC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E0EC5"/>
    <w:rPr>
      <w:rFonts w:ascii="Times New Roman" w:eastAsiaTheme="minorHAnsi" w:hAnsi="Times New Roman" w:cs="Times New Roman"/>
      <w:b/>
      <w:noProof/>
      <w:sz w:val="17"/>
      <w:lang w:val="en-US" w:eastAsia="en-US"/>
    </w:rPr>
  </w:style>
  <w:style w:type="character" w:styleId="FootnoteReference">
    <w:name w:val="footnote reference"/>
    <w:semiHidden/>
    <w:rsid w:val="005E0E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E0EC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E0EC5"/>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E0EC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E0EC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E0EC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E0EC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E0EC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E0EC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E0EC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E0EC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E0EC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E0EC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E0EC5"/>
    <w:rPr>
      <w:rFonts w:ascii="Cambria" w:hAnsi="Cambria" w:cs="Times New Roman"/>
      <w:i/>
      <w:iCs/>
      <w:spacing w:val="5"/>
      <w:w w:val="103"/>
      <w:sz w:val="20"/>
      <w:szCs w:val="20"/>
      <w:lang w:val="es-ES" w:eastAsia="en-US"/>
    </w:rPr>
  </w:style>
  <w:style w:type="character" w:styleId="LineNumber">
    <w:name w:val="line number"/>
    <w:qFormat/>
    <w:rsid w:val="005E0EC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E0EC5"/>
    <w:pPr>
      <w:spacing w:line="240" w:lineRule="auto"/>
    </w:pPr>
  </w:style>
  <w:style w:type="paragraph" w:customStyle="1" w:styleId="Original">
    <w:name w:val="Original"/>
    <w:next w:val="Normal"/>
    <w:autoRedefine/>
    <w:qFormat/>
    <w:rsid w:val="005E0EC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E0EC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E0EC5"/>
    <w:pPr>
      <w:tabs>
        <w:tab w:val="right" w:pos="9965"/>
      </w:tabs>
      <w:spacing w:line="210" w:lineRule="exact"/>
    </w:pPr>
    <w:rPr>
      <w:spacing w:val="5"/>
      <w:w w:val="104"/>
      <w:kern w:val="14"/>
      <w:sz w:val="17"/>
    </w:rPr>
  </w:style>
  <w:style w:type="paragraph" w:customStyle="1" w:styleId="SmallX">
    <w:name w:val="SmallX"/>
    <w:basedOn w:val="Small"/>
    <w:next w:val="Normal"/>
    <w:qFormat/>
    <w:rsid w:val="005E0EC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E0E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E0E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E0EC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E0E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E0EC5"/>
    <w:pPr>
      <w:spacing w:line="300" w:lineRule="exact"/>
    </w:pPr>
    <w:rPr>
      <w:spacing w:val="-2"/>
      <w:sz w:val="28"/>
    </w:rPr>
  </w:style>
  <w:style w:type="paragraph" w:styleId="Caption">
    <w:name w:val="caption"/>
    <w:basedOn w:val="Normal"/>
    <w:next w:val="Normal"/>
    <w:uiPriority w:val="35"/>
    <w:semiHidden/>
    <w:unhideWhenUsed/>
    <w:rsid w:val="005E0EC5"/>
    <w:pPr>
      <w:spacing w:line="240" w:lineRule="auto"/>
    </w:pPr>
    <w:rPr>
      <w:b/>
      <w:bCs/>
      <w:color w:val="4F81BD"/>
      <w:sz w:val="18"/>
      <w:szCs w:val="18"/>
    </w:rPr>
  </w:style>
  <w:style w:type="character" w:styleId="CommentReference">
    <w:name w:val="annotation reference"/>
    <w:semiHidden/>
    <w:rsid w:val="005E0EC5"/>
    <w:rPr>
      <w:sz w:val="6"/>
    </w:rPr>
  </w:style>
  <w:style w:type="paragraph" w:customStyle="1" w:styleId="HdBanner">
    <w:name w:val="Hd Banner"/>
    <w:basedOn w:val="Normal"/>
    <w:next w:val="Normal"/>
    <w:qFormat/>
    <w:rsid w:val="005E0EC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E0EC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E0EC5"/>
    <w:pPr>
      <w:spacing w:before="240"/>
    </w:pPr>
    <w:rPr>
      <w:b/>
      <w:spacing w:val="-2"/>
      <w:w w:val="100"/>
    </w:rPr>
  </w:style>
  <w:style w:type="paragraph" w:customStyle="1" w:styleId="HdChapterBdLg">
    <w:name w:val="Hd Chapter Bd Lg"/>
    <w:basedOn w:val="HdChapterBD"/>
    <w:next w:val="Normal"/>
    <w:qFormat/>
    <w:rsid w:val="005E0EC5"/>
    <w:rPr>
      <w:spacing w:val="-3"/>
      <w:w w:val="99"/>
      <w:kern w:val="14"/>
      <w:sz w:val="34"/>
      <w:szCs w:val="34"/>
    </w:rPr>
  </w:style>
  <w:style w:type="paragraph" w:customStyle="1" w:styleId="JournalHeading1">
    <w:name w:val="Journal_Heading1"/>
    <w:basedOn w:val="Normal"/>
    <w:next w:val="Normal"/>
    <w:qFormat/>
    <w:rsid w:val="005E0EC5"/>
    <w:pPr>
      <w:keepNext/>
      <w:spacing w:before="190" w:line="270" w:lineRule="exact"/>
    </w:pPr>
    <w:rPr>
      <w:b/>
      <w:kern w:val="14"/>
      <w:sz w:val="24"/>
    </w:rPr>
  </w:style>
  <w:style w:type="paragraph" w:customStyle="1" w:styleId="JournalHeading2">
    <w:name w:val="Journal_Heading2"/>
    <w:basedOn w:val="Normal"/>
    <w:next w:val="Normal"/>
    <w:qFormat/>
    <w:rsid w:val="005E0EC5"/>
    <w:pPr>
      <w:keepNext/>
      <w:keepLines/>
      <w:spacing w:before="240"/>
      <w:outlineLvl w:val="1"/>
    </w:pPr>
    <w:rPr>
      <w:b/>
      <w:spacing w:val="2"/>
      <w:kern w:val="14"/>
    </w:rPr>
  </w:style>
  <w:style w:type="paragraph" w:customStyle="1" w:styleId="JournalHeading4">
    <w:name w:val="Journal_Heading4"/>
    <w:basedOn w:val="Normal"/>
    <w:next w:val="Normal"/>
    <w:qFormat/>
    <w:rsid w:val="005E0EC5"/>
    <w:pPr>
      <w:keepNext/>
      <w:keepLines/>
      <w:spacing w:before="240"/>
      <w:outlineLvl w:val="3"/>
    </w:pPr>
    <w:rPr>
      <w:i/>
      <w:kern w:val="14"/>
    </w:rPr>
  </w:style>
  <w:style w:type="paragraph" w:customStyle="1" w:styleId="NormalBullet">
    <w:name w:val="Normal Bullet"/>
    <w:basedOn w:val="Normal"/>
    <w:next w:val="Normal"/>
    <w:qFormat/>
    <w:rsid w:val="005E0EC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E0EC5"/>
    <w:pPr>
      <w:tabs>
        <w:tab w:val="left" w:leader="dot" w:pos="2218"/>
        <w:tab w:val="left" w:pos="2707"/>
        <w:tab w:val="right" w:leader="dot" w:pos="9835"/>
      </w:tabs>
    </w:pPr>
    <w:rPr>
      <w:kern w:val="14"/>
    </w:rPr>
  </w:style>
  <w:style w:type="paragraph" w:customStyle="1" w:styleId="ReleaseDate0">
    <w:name w:val="ReleaseDate"/>
    <w:next w:val="Footer"/>
    <w:autoRedefine/>
    <w:qFormat/>
    <w:rsid w:val="005E0EC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E0EC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semiHidden/>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E0EC5"/>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A00F0"/>
    <w:pPr>
      <w:spacing w:line="240" w:lineRule="auto"/>
    </w:pPr>
    <w:rPr>
      <w:szCs w:val="20"/>
    </w:rPr>
  </w:style>
  <w:style w:type="character" w:customStyle="1" w:styleId="CommentTextChar">
    <w:name w:val="Comment Text Char"/>
    <w:basedOn w:val="DefaultParagraphFont"/>
    <w:link w:val="CommentText"/>
    <w:uiPriority w:val="99"/>
    <w:semiHidden/>
    <w:rsid w:val="006A00F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A00F0"/>
    <w:rPr>
      <w:b/>
      <w:bCs/>
    </w:rPr>
  </w:style>
  <w:style w:type="character" w:customStyle="1" w:styleId="CommentSubjectChar">
    <w:name w:val="Comment Subject Char"/>
    <w:basedOn w:val="CommentTextChar"/>
    <w:link w:val="CommentSubject"/>
    <w:uiPriority w:val="99"/>
    <w:semiHidden/>
    <w:rsid w:val="006A00F0"/>
    <w:rPr>
      <w:rFonts w:ascii="Times New Roman" w:hAnsi="Times New Roman" w:cs="Times New Roman"/>
      <w:b/>
      <w:bCs/>
      <w:spacing w:val="4"/>
      <w:w w:val="103"/>
      <w:sz w:val="20"/>
      <w:szCs w:val="20"/>
      <w:lang w:val="es-ES" w:eastAsia="en-US"/>
    </w:rPr>
  </w:style>
  <w:style w:type="table" w:styleId="TableGrid">
    <w:name w:val="Table Grid"/>
    <w:basedOn w:val="TableNormal"/>
    <w:rsid w:val="00883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AE763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AE7638"/>
    <w:rPr>
      <w:rFonts w:ascii="Times New Roman" w:hAnsi="Times New Roman" w:cs="Times New Roman"/>
      <w:sz w:val="20"/>
      <w:szCs w:val="20"/>
      <w:lang w:eastAsia="en-US"/>
    </w:rPr>
  </w:style>
  <w:style w:type="paragraph" w:styleId="Revision">
    <w:name w:val="Revision"/>
    <w:hidden/>
    <w:uiPriority w:val="99"/>
    <w:semiHidden/>
    <w:rsid w:val="00F2137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1887</Words>
  <Characters>10762</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Comité para la Eliminación de la Discriminación contra la Mujer</vt:lpstr>
      <vt:lpstr>Información recibida de Zimbabwe sobre el seguimiento de las observaciones fin</vt:lpstr>
      <vt:lpstr>I.	Introducción</vt:lpstr>
      <vt:lpstr>II.	Información adicional</vt:lpstr>
      <vt:lpstr>A.	Información adicional relativa al párrafo 18 b) de las observaciones finales</vt:lpstr>
      <vt:lpstr>B.	Información adicional relativa al párrafo 28 b) de las observaciones finales</vt:lpstr>
      <vt:lpstr>    Estadísticas mensuales de supervivientes que accedieron a los servicios a trav</vt:lpstr>
      <vt:lpstr>C.	Información adicional relativa al párrafo 28 d) de las observaciones finales</vt:lpstr>
      <vt:lpstr>D.	Información adicional relativa al párrafo 30 b) de las observaciones finales</vt:lpstr>
    </vt:vector>
  </TitlesOfParts>
  <Company/>
  <LinksUpToDate>false</LinksUpToDate>
  <CharactersWithSpaces>12624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5</cp:revision>
  <cp:lastPrinted>2023-01-04T18:03:00Z</cp:lastPrinted>
  <dcterms:created xsi:type="dcterms:W3CDTF">2023-01-04T18:02:00Z</dcterms:created>
  <dcterms:modified xsi:type="dcterms:W3CDTF">2023-01-04T18:03:00Z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2228579</vt:lpwstr>
  </property>
  <property fmtid="{D5CDD505-2E9C-101B-9397-08002B2CF9AE}" pid="3" name="ODSRefJobNo">
    <vt:lpwstr>2275184</vt:lpwstr>
  </property>
  <property fmtid="{D5CDD505-2E9C-101B-9397-08002B2CF9AE}" pid="4" name="Symbol1">
    <vt:lpwstr>CEDAW/C/ZWE/FCO/6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2228579S_Self-Revision_EDT.MPR</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MPR</vt:lpwstr>
  </property>
  <property fmtid="{D5CDD505-2E9C-101B-9397-08002B2CF9AE}" pid="12" name="Release Date">
    <vt:lpwstr>201222</vt:lpwstr>
  </property>
  <property fmtid="{D5CDD505-2E9C-101B-9397-08002B2CF9AE}" pid="13" name="Title1">
    <vt:lpwstr>		Información recibida de Zimbabwe sobre el seguimiento de las observaciones finales relativas a su sexto informe periódico*_x000d_</vt:lpwstr>
  </property>
</Properties>
</file>