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2A2" w:rsidRDefault="00AE52A2" w:rsidP="00AE52A2">
      <w:pPr>
        <w:spacing w:line="60" w:lineRule="exact"/>
        <w:sectPr w:rsidR="00AE52A2" w:rsidSect="00AE52A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4pt;margin-top:682.55pt;width:57.35pt;height:57.35pt;z-index:1;mso-position-horizontal-relative:page;mso-position-vertical-relative:page" o:preferrelative="f" filled="t">
            <v:imagedata r:id="rId12" o:title="1-2Size =1Lang = C"/>
            <w10:wrap anchorx="page" anchory="page"/>
          </v:shape>
        </w:pict>
      </w:r>
      <w:commentRangeEnd w:id="0"/>
      <w:r>
        <w:rPr>
          <w:rStyle w:val="CommentReference"/>
        </w:rPr>
        <w:commentReference w:id="0"/>
      </w:r>
    </w:p>
    <w:p w:rsidR="00AE52A2" w:rsidRDefault="00AE52A2" w:rsidP="00AE52A2">
      <w:pPr>
        <w:spacing w:line="60" w:lineRule="exact"/>
        <w:rPr>
          <w:rFonts w:hint="eastAsia"/>
        </w:rPr>
      </w:pPr>
    </w:p>
    <w:p w:rsidR="00E73166" w:rsidRDefault="00E73166" w:rsidP="00E7316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59" w:hanging="1267"/>
        <w:rPr>
          <w:rFonts w:hint="eastAsia"/>
        </w:rPr>
      </w:pPr>
      <w:r>
        <w:rPr>
          <w:rFonts w:hint="eastAsia"/>
        </w:rPr>
        <w:t>消除对妇女歧视委员会</w:t>
      </w:r>
    </w:p>
    <w:p w:rsidR="00E73166" w:rsidRDefault="00E73166" w:rsidP="00E7316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59" w:hanging="1267"/>
        <w:rPr>
          <w:rFonts w:hint="eastAsia"/>
        </w:rPr>
      </w:pPr>
      <w:r>
        <w:rPr>
          <w:rFonts w:hint="eastAsia"/>
        </w:rPr>
        <w:t>第五十五届会议</w:t>
      </w:r>
    </w:p>
    <w:p w:rsidR="00E73166" w:rsidRDefault="00E73166" w:rsidP="00E73166">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right="1259"/>
        <w:rPr>
          <w:rFonts w:hint="eastAsia"/>
        </w:rPr>
      </w:pPr>
      <w:r>
        <w:rPr>
          <w:rFonts w:hint="eastAsia"/>
        </w:rPr>
        <w:t>2013年7月8日至26日</w:t>
      </w:r>
    </w:p>
    <w:p w:rsidR="0024093D" w:rsidRPr="0024093D" w:rsidRDefault="0024093D" w:rsidP="0024093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4093D" w:rsidRPr="0024093D" w:rsidRDefault="0024093D" w:rsidP="0024093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73166" w:rsidRDefault="00E73166" w:rsidP="00E7316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与审议定期报告有关的议题和问题清单</w:t>
      </w:r>
    </w:p>
    <w:p w:rsidR="0024093D" w:rsidRPr="0024093D" w:rsidRDefault="0024093D" w:rsidP="0024093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4093D" w:rsidRPr="0024093D" w:rsidRDefault="0024093D" w:rsidP="0024093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73166" w:rsidRDefault="00E73166" w:rsidP="00E7316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阿富汗</w:t>
      </w:r>
    </w:p>
    <w:p w:rsidR="0024093D" w:rsidRPr="0024093D" w:rsidRDefault="0024093D" w:rsidP="0024093D">
      <w:pPr>
        <w:pStyle w:val="SingleTxt"/>
        <w:spacing w:after="0" w:line="120" w:lineRule="exact"/>
        <w:rPr>
          <w:rFonts w:hint="eastAsia"/>
          <w:sz w:val="10"/>
        </w:rPr>
      </w:pPr>
    </w:p>
    <w:p w:rsidR="0024093D" w:rsidRPr="0024093D" w:rsidRDefault="0024093D" w:rsidP="0024093D">
      <w:pPr>
        <w:pStyle w:val="SingleTxt"/>
        <w:spacing w:after="0" w:line="120" w:lineRule="exact"/>
        <w:rPr>
          <w:rFonts w:hint="eastAsia"/>
          <w:sz w:val="10"/>
        </w:rPr>
      </w:pPr>
    </w:p>
    <w:p w:rsidR="00E73166" w:rsidRDefault="00E73166" w:rsidP="00E73166">
      <w:pPr>
        <w:pStyle w:val="SingleTxt"/>
        <w:rPr>
          <w:rFonts w:hint="eastAsia"/>
        </w:rPr>
      </w:pPr>
      <w:r>
        <w:rPr>
          <w:rFonts w:hint="eastAsia"/>
        </w:rPr>
        <w:tab/>
        <w:t>会前工作组审查了缔约国阿富汗提交的初次和第二次合并定期报告(CEDAW/</w:t>
      </w:r>
      <w:r w:rsidR="0024093D">
        <w:t xml:space="preserve"> </w:t>
      </w:r>
      <w:r>
        <w:rPr>
          <w:rFonts w:hint="eastAsia"/>
        </w:rPr>
        <w:t>C/AFG/1-2)。</w:t>
      </w:r>
    </w:p>
    <w:p w:rsidR="00E73166" w:rsidRPr="00E73166" w:rsidRDefault="00E73166" w:rsidP="00E73166">
      <w:pPr>
        <w:pStyle w:val="SingleTxt"/>
        <w:rPr>
          <w:rFonts w:ascii="SimHei" w:eastAsia="SimHei" w:hint="eastAsia"/>
        </w:rPr>
      </w:pPr>
      <w:r w:rsidRPr="00E73166">
        <w:rPr>
          <w:rFonts w:ascii="SimHei" w:eastAsia="SimHei" w:hint="eastAsia"/>
        </w:rPr>
        <w:t>总体情况</w:t>
      </w:r>
    </w:p>
    <w:p w:rsidR="00E73166" w:rsidRDefault="00E73166" w:rsidP="00E73166">
      <w:pPr>
        <w:pStyle w:val="SingleTxt"/>
        <w:rPr>
          <w:rFonts w:hint="eastAsia"/>
        </w:rPr>
      </w:pPr>
      <w:r>
        <w:rPr>
          <w:rFonts w:hint="eastAsia"/>
        </w:rPr>
        <w:t>1.</w:t>
      </w:r>
      <w:r>
        <w:rPr>
          <w:rFonts w:hint="eastAsia"/>
        </w:rPr>
        <w:tab/>
        <w:t>缔约国经历了三十多年的战争、政治动荡、法治缺失、有罪不罚和社会不安定，这一切助长了对妇女和女孩持续不断的暴力和歧视。缔约国报告确认，这种情况滋生 了一种严重危害妇女和儿童的暴力文化(见第51段)。请提供资料，说明缔约国采取了哪些措施，在全国各地实行法治，打击严重侵害妇女和女孩的暴力行为。缔约国计划如何提高各级</w:t>
      </w:r>
      <w:r w:rsidR="0024093D">
        <w:rPr>
          <w:rFonts w:hint="eastAsia"/>
        </w:rPr>
        <w:t>和各省</w:t>
      </w:r>
      <w:r>
        <w:rPr>
          <w:rFonts w:hint="eastAsia"/>
        </w:rPr>
        <w:t>执法部门和司法机构的能力，以确保妇女和女孩得到保护，使她们能够享受应有的权利？还请提供资料，说明采取了哪些措施，将性别平等观点纳入和平与和解进程，并确保妇女组织切实参与这一进程。请说明缔约国如何按照安全理事会第1325(2000)号决议和其他国际义务的规定，保证妇女参与国家政治和经济重建及过渡时期司法。也请提供有关执行安全理事会第1325(2000)号决议的工作计划的最新资料。</w:t>
      </w:r>
    </w:p>
    <w:p w:rsidR="00E73166" w:rsidRPr="00E73166" w:rsidRDefault="00E73166" w:rsidP="00E73166">
      <w:pPr>
        <w:pStyle w:val="SingleTxt"/>
        <w:rPr>
          <w:rFonts w:ascii="SimHei" w:eastAsia="SimHei" w:hint="eastAsia"/>
        </w:rPr>
      </w:pPr>
      <w:r w:rsidRPr="00E73166">
        <w:rPr>
          <w:rFonts w:ascii="SimHei" w:eastAsia="SimHei" w:hint="eastAsia"/>
        </w:rPr>
        <w:t>宪法框架</w:t>
      </w:r>
    </w:p>
    <w:p w:rsidR="00E73166" w:rsidRDefault="00E73166" w:rsidP="00E73166">
      <w:pPr>
        <w:pStyle w:val="SingleTxt"/>
        <w:rPr>
          <w:rFonts w:hint="eastAsia"/>
        </w:rPr>
      </w:pPr>
      <w:r>
        <w:rPr>
          <w:rFonts w:hint="eastAsia"/>
        </w:rPr>
        <w:t>2.</w:t>
      </w:r>
      <w:r>
        <w:rPr>
          <w:rFonts w:hint="eastAsia"/>
        </w:rPr>
        <w:tab/>
        <w:t>虽然报告确认，《宪法》载列了不歧视原则，但请说明缔约国是否打算按照《公约》第1条的规定，通过禁止歧视妇女的立法。也请提供详细资料，说明采取了哪些步骤，使缔约国现行的不同法律制度，即国家法、伊斯兰法和习惯法与国际人权标准、特别是与《公约》的规定相一致。</w:t>
      </w:r>
    </w:p>
    <w:p w:rsidR="00E73166" w:rsidRPr="00E73166" w:rsidRDefault="00D63DBE" w:rsidP="00A84C66">
      <w:pPr>
        <w:pStyle w:val="SingleTxt"/>
        <w:spacing w:after="120"/>
        <w:rPr>
          <w:rFonts w:ascii="SimHei" w:eastAsia="SimHei" w:hint="eastAsia"/>
        </w:rPr>
      </w:pPr>
      <w:r>
        <w:rPr>
          <w:rFonts w:ascii="SimHei" w:eastAsia="SimHei"/>
        </w:rPr>
        <w:br w:type="page"/>
      </w:r>
      <w:r w:rsidR="00E73166" w:rsidRPr="00E73166">
        <w:rPr>
          <w:rFonts w:ascii="SimHei" w:eastAsia="SimHei" w:hint="eastAsia"/>
        </w:rPr>
        <w:t>法律投诉机制</w:t>
      </w:r>
    </w:p>
    <w:p w:rsidR="00E73166" w:rsidRDefault="00E73166" w:rsidP="00A84C66">
      <w:pPr>
        <w:pStyle w:val="SingleTxt"/>
        <w:spacing w:after="120"/>
        <w:rPr>
          <w:rFonts w:hint="eastAsia"/>
        </w:rPr>
      </w:pPr>
      <w:r>
        <w:rPr>
          <w:rFonts w:hint="eastAsia"/>
        </w:rPr>
        <w:t>3.</w:t>
      </w:r>
      <w:r>
        <w:rPr>
          <w:rFonts w:hint="eastAsia"/>
        </w:rPr>
        <w:tab/>
        <w:t>报告承认，多年的战争和法治缺失导致更多地使用由男性主导的非正式司法机制(见第73段)。在这方面，据报道，传统观念导致家庭中的虐待行为被隐瞒，而警察和司法官员经常无视家庭暴力，并逮捕和起诉试图逃离强迫婚姻和家庭虐待的妇女。请提供资料，说明采取了哪些措施，使妇女能更多地诉诸正式司法机制，尤其是在农村地区。请特别解释缔约国在通过拟议法律来界定正式司法制度和解决争议的传统机制(支尔格大会和协商会议)之间关系时，打算如何确保这一法律符合所有国际标准。</w:t>
      </w:r>
    </w:p>
    <w:p w:rsidR="00E73166" w:rsidRDefault="00E73166" w:rsidP="00A84C66">
      <w:pPr>
        <w:pStyle w:val="SingleTxt"/>
        <w:spacing w:after="120"/>
        <w:rPr>
          <w:rFonts w:hint="eastAsia"/>
        </w:rPr>
      </w:pPr>
      <w:r>
        <w:rPr>
          <w:rFonts w:hint="eastAsia"/>
        </w:rPr>
        <w:t>4.</w:t>
      </w:r>
      <w:r>
        <w:rPr>
          <w:rFonts w:hint="eastAsia"/>
        </w:rPr>
        <w:tab/>
        <w:t>报告指出，警察不重视妇女举报的犯罪行为，受害妇女更倾向于向女警察举报犯罪(见第102-104段)。在这方面，请说明采取了哪些措施，以加强警察部门中家庭问题应对单位的工作并增加其中女警察的人数和能力。</w:t>
      </w:r>
    </w:p>
    <w:p w:rsidR="00E73166" w:rsidRDefault="00E73166" w:rsidP="00A84C66">
      <w:pPr>
        <w:pStyle w:val="SingleTxt"/>
        <w:spacing w:after="120"/>
        <w:rPr>
          <w:rFonts w:hint="eastAsia"/>
        </w:rPr>
      </w:pPr>
      <w:r>
        <w:rPr>
          <w:rFonts w:hint="eastAsia"/>
        </w:rPr>
        <w:t>5.</w:t>
      </w:r>
      <w:r>
        <w:rPr>
          <w:rFonts w:hint="eastAsia"/>
        </w:rPr>
        <w:tab/>
        <w:t>考虑到最高法院向司法人员发出指导说明，指出“离家出走”在阿富汗的刑法中没有依据，请解释在这方面采取了什么后续行动。请提供资料，说明有多少妇女因“离家出走”而被拘留和指控。</w:t>
      </w:r>
    </w:p>
    <w:p w:rsidR="00E73166" w:rsidRPr="00E73166" w:rsidRDefault="00E73166" w:rsidP="00A84C66">
      <w:pPr>
        <w:pStyle w:val="SingleTxt"/>
        <w:spacing w:after="120"/>
        <w:rPr>
          <w:rFonts w:ascii="SimHei" w:eastAsia="SimHei" w:hint="eastAsia"/>
        </w:rPr>
      </w:pPr>
      <w:r w:rsidRPr="00E73166">
        <w:rPr>
          <w:rFonts w:ascii="SimHei" w:eastAsia="SimHei" w:hint="eastAsia"/>
        </w:rPr>
        <w:t>提高妇女地位国家机构</w:t>
      </w:r>
    </w:p>
    <w:p w:rsidR="00E73166" w:rsidRDefault="00E73166" w:rsidP="00A84C66">
      <w:pPr>
        <w:pStyle w:val="SingleTxt"/>
        <w:spacing w:after="120"/>
        <w:rPr>
          <w:rFonts w:hint="eastAsia"/>
        </w:rPr>
      </w:pPr>
      <w:r>
        <w:rPr>
          <w:rFonts w:hint="eastAsia"/>
        </w:rPr>
        <w:t>6.</w:t>
      </w:r>
      <w:r>
        <w:rPr>
          <w:rFonts w:hint="eastAsia"/>
        </w:rPr>
        <w:tab/>
        <w:t>报告指出，妇女事务部是提高妇女地位国家机构(见第36段)。请提供详细资料，说明采取了哪些措施来提高该部在国家、省和地方各级履行职责的能力。也请说明缔约国打算如何为该国家机构提供充足财政资源，包括将国际来源的资金优先用于提高妇女地位。还请提供进一步资料，说明报告第34段提到的妇女问题国家行动工作计划(2008-2018)。请说明是否为监测妇女问题国家行动工作计划的执行情况确定了目标、活动、时间表或指标。</w:t>
      </w:r>
    </w:p>
    <w:p w:rsidR="00E73166" w:rsidRDefault="00E73166" w:rsidP="00A84C66">
      <w:pPr>
        <w:pStyle w:val="SingleTxt"/>
        <w:spacing w:after="120"/>
        <w:rPr>
          <w:rFonts w:hint="eastAsia"/>
        </w:rPr>
      </w:pPr>
      <w:r>
        <w:rPr>
          <w:rFonts w:hint="eastAsia"/>
        </w:rPr>
        <w:t>7.</w:t>
      </w:r>
      <w:r>
        <w:rPr>
          <w:rFonts w:hint="eastAsia"/>
        </w:rPr>
        <w:tab/>
        <w:t>请提供资料，说明采取了哪些步骤来加强依据《消除暴力侵害妇女行为法》的规定成立的防止暴力侵害妇女行为高级委员会及其省级委员会的工作。请特别说明是否为这些委员会确定了职权范围和工作计划，是否有对暴力侵害妇女行为进行立案和采取后续行动的既定程序。也请说明是否制订了执行《消除暴力侵害妇女行为法》的国家战略。</w:t>
      </w:r>
    </w:p>
    <w:p w:rsidR="00E73166" w:rsidRPr="00E73166" w:rsidRDefault="00E73166" w:rsidP="00A84C66">
      <w:pPr>
        <w:pStyle w:val="SingleTxt"/>
        <w:spacing w:after="120"/>
        <w:rPr>
          <w:rFonts w:ascii="SimHei" w:eastAsia="SimHei" w:hint="eastAsia"/>
        </w:rPr>
      </w:pPr>
      <w:r w:rsidRPr="00E73166">
        <w:rPr>
          <w:rFonts w:ascii="SimHei" w:eastAsia="SimHei" w:hint="eastAsia"/>
        </w:rPr>
        <w:t>暂行特别措施</w:t>
      </w:r>
    </w:p>
    <w:p w:rsidR="00E73166" w:rsidRDefault="00E73166" w:rsidP="00A84C66">
      <w:pPr>
        <w:pStyle w:val="SingleTxt"/>
        <w:spacing w:after="120"/>
        <w:rPr>
          <w:rFonts w:hint="eastAsia"/>
        </w:rPr>
      </w:pPr>
      <w:r>
        <w:rPr>
          <w:rFonts w:hint="eastAsia"/>
        </w:rPr>
        <w:t>8.</w:t>
      </w:r>
      <w:r>
        <w:rPr>
          <w:rFonts w:hint="eastAsia"/>
        </w:rPr>
        <w:tab/>
        <w:t>报告第226和227段指出，在政府公务员职位中妇女的份额为30%，由行政改革和公务员制度独立委员会予以监测。请说明这一方案在多大程度上取得成功。也请提供资料，说明采取了哪些步骤使该配额成为强制性要求并相应建立执行机制。</w:t>
      </w:r>
    </w:p>
    <w:p w:rsidR="00E73166" w:rsidRPr="00E73166" w:rsidRDefault="00E73166" w:rsidP="00A84C66">
      <w:pPr>
        <w:pStyle w:val="SingleTxt"/>
        <w:spacing w:after="120"/>
        <w:rPr>
          <w:rFonts w:ascii="SimHei" w:eastAsia="SimHei" w:hint="eastAsia"/>
        </w:rPr>
      </w:pPr>
      <w:r w:rsidRPr="00E73166">
        <w:rPr>
          <w:rFonts w:ascii="SimHei" w:eastAsia="SimHei" w:hint="eastAsia"/>
        </w:rPr>
        <w:t>定型观念和有害做法</w:t>
      </w:r>
    </w:p>
    <w:p w:rsidR="00E73166" w:rsidRDefault="00E73166" w:rsidP="00A84C66">
      <w:pPr>
        <w:pStyle w:val="SingleTxt"/>
        <w:spacing w:after="120"/>
        <w:rPr>
          <w:rFonts w:hint="eastAsia"/>
        </w:rPr>
      </w:pPr>
      <w:r>
        <w:rPr>
          <w:rFonts w:hint="eastAsia"/>
        </w:rPr>
        <w:t>9.</w:t>
      </w:r>
      <w:r>
        <w:rPr>
          <w:rFonts w:hint="eastAsia"/>
        </w:rPr>
        <w:tab/>
        <w:t>报告承认，在缔约国各地普遍存在有害的传统习俗，比如童婚、巴得(通过交换女孩和妇女来解决争端)以及阻止妇女离开家庭或外出工作(见第98段)。请说明采取了哪些具体措施来消除这些有害的传统习俗并向受害者提供适当支持。也请提供详细资料，说明采取了哪些措施来消除歧视性的社会和文化模式以及对妇女和男子在家庭和社会中的角色和责任的普遍重男轻女观念。还请说明为消除少女和妇女自焚现象而采取的措施。</w:t>
      </w:r>
    </w:p>
    <w:p w:rsidR="00E73166" w:rsidRPr="00E73166" w:rsidRDefault="00E73166" w:rsidP="00A84C66">
      <w:pPr>
        <w:pStyle w:val="SingleTxt"/>
        <w:spacing w:after="120"/>
        <w:rPr>
          <w:rFonts w:ascii="SimHei" w:eastAsia="SimHei" w:hint="eastAsia"/>
        </w:rPr>
      </w:pPr>
      <w:r w:rsidRPr="00E73166">
        <w:rPr>
          <w:rFonts w:ascii="SimHei" w:eastAsia="SimHei" w:hint="eastAsia"/>
        </w:rPr>
        <w:t>暴力侵害妇女行为</w:t>
      </w:r>
    </w:p>
    <w:p w:rsidR="00E73166" w:rsidRDefault="00E73166" w:rsidP="00A84C66">
      <w:pPr>
        <w:pStyle w:val="SingleTxt"/>
        <w:spacing w:after="120"/>
        <w:rPr>
          <w:rFonts w:hint="eastAsia"/>
        </w:rPr>
      </w:pPr>
      <w:r>
        <w:rPr>
          <w:rFonts w:hint="eastAsia"/>
        </w:rPr>
        <w:t>10.</w:t>
      </w:r>
      <w:r>
        <w:rPr>
          <w:rFonts w:hint="eastAsia"/>
        </w:rPr>
        <w:tab/>
        <w:t>报告第42段指出，2010年，消除暴力侵害妇女行为检察官办公室只有17名专业工作人员。此外，收到的资料显示，28个省的检察机关仅对2 229起举报案件中的26%进行了立案。请说明采取了哪些措施来加强《消除暴力侵害妇女行为法》的执行工作，包括为相应机构提供适当的人力和财政资源。在这方面，请提供资料，说明为执法人员和司法人员提供关于《消除暴力侵害妇女行为法》的培训的情况，包括培训他们如何识别、调查和起诉暴力侵害行为案件。政府计划采取哪些措施，确保对妇女向警察和其他政府保护机构提出的所有投诉进行适当记录和调查，并交由正式司法系统处理，而不是由警察进行调解或交由传统争议解决机制处理。</w:t>
      </w:r>
    </w:p>
    <w:p w:rsidR="00E73166" w:rsidRDefault="00E73166" w:rsidP="00A84C66">
      <w:pPr>
        <w:pStyle w:val="SingleTxt"/>
        <w:spacing w:after="120"/>
        <w:rPr>
          <w:rFonts w:hint="eastAsia"/>
        </w:rPr>
      </w:pPr>
      <w:r>
        <w:rPr>
          <w:rFonts w:hint="eastAsia"/>
        </w:rPr>
        <w:t>11.</w:t>
      </w:r>
      <w:r>
        <w:rPr>
          <w:rFonts w:hint="eastAsia"/>
        </w:rPr>
        <w:tab/>
      </w:r>
      <w:r w:rsidRPr="00A84C66">
        <w:rPr>
          <w:rFonts w:hint="eastAsia"/>
          <w:spacing w:val="-2"/>
        </w:rPr>
        <w:t>请提供资料，说明采取了哪些措施来提高妇女对《消除暴力侵害妇女行为法》的认识，包括就如何向主管当局举报暴力侵害行为开展宣传。请说明是否向根据《消除暴力侵害妇女行为法》提出投诉的妇女提供法律援助。也请说明采取了哪些步骤向暴力行为和有害做法的受害妇女和女孩提供其他支持，比如提供收容所、社会心理支持和医疗服务。在这方面，请说明采取什么步骤，确保提供给暴力行为受害妇女的现有收容所是安全和可持续的，缔约国是否有计划增加收容所的数量。</w:t>
      </w:r>
    </w:p>
    <w:p w:rsidR="00E73166" w:rsidRDefault="00E73166" w:rsidP="00A84C66">
      <w:pPr>
        <w:pStyle w:val="SingleTxt"/>
        <w:spacing w:after="120"/>
        <w:rPr>
          <w:rFonts w:hint="eastAsia"/>
        </w:rPr>
      </w:pPr>
      <w:r>
        <w:rPr>
          <w:rFonts w:hint="eastAsia"/>
        </w:rPr>
        <w:t>12.</w:t>
      </w:r>
      <w:r>
        <w:rPr>
          <w:rFonts w:hint="eastAsia"/>
        </w:rPr>
        <w:tab/>
        <w:t>请提供资料，说明采取了哪些措施，防止和惩治以所谓“荣誉”的名义杀害妇女的行为。请提供2009年至2011年报告的案件数据，包括定罪和判刑的数目。请说明缔约国是否打算废除《刑法典》第398条，该条规定对以所谓“荣誉”的名义杀人的行为减轻处罚。</w:t>
      </w:r>
    </w:p>
    <w:p w:rsidR="00E73166" w:rsidRPr="00E73166" w:rsidRDefault="00E73166" w:rsidP="00A84C66">
      <w:pPr>
        <w:pStyle w:val="SingleTxt"/>
        <w:spacing w:after="120"/>
        <w:rPr>
          <w:rFonts w:ascii="SimHei" w:eastAsia="SimHei" w:hint="eastAsia"/>
        </w:rPr>
      </w:pPr>
      <w:r w:rsidRPr="00E73166">
        <w:rPr>
          <w:rFonts w:ascii="SimHei" w:eastAsia="SimHei" w:hint="eastAsia"/>
        </w:rPr>
        <w:t>参与决策以及在政治和公共生活中的代表性</w:t>
      </w:r>
    </w:p>
    <w:p w:rsidR="00E73166" w:rsidRDefault="00E73166" w:rsidP="00A84C66">
      <w:pPr>
        <w:pStyle w:val="SingleTxt"/>
        <w:spacing w:after="120"/>
        <w:rPr>
          <w:rFonts w:hint="eastAsia"/>
        </w:rPr>
      </w:pPr>
      <w:r>
        <w:rPr>
          <w:rFonts w:hint="eastAsia"/>
        </w:rPr>
        <w:t>13.</w:t>
      </w:r>
      <w:r>
        <w:rPr>
          <w:rFonts w:hint="eastAsia"/>
        </w:rPr>
        <w:tab/>
        <w:t>请提供资料，说明采取了哪些措施，促进妇女担任决策职位，包括在执行层任职。还请提供有关在联邦和省级政府任职的妇女数目。采取了哪些措施防止在公共生活中对妇女的伤害，特别是防止对面临较高风险的当选女性官员和高级公务员的伤害？请说明安全部队是否有充足资源，并致力于保护参与公共生活的妇女。在这方面，请提供数据，说明对多少起妇女参与公共生活受到威胁、骚扰、恐吓、攻击或谋杀的案件进行了调查和起诉。</w:t>
      </w:r>
    </w:p>
    <w:p w:rsidR="00E73166" w:rsidRPr="00E73166" w:rsidRDefault="00E73166" w:rsidP="00A84C66">
      <w:pPr>
        <w:pStyle w:val="SingleTxt"/>
        <w:spacing w:after="120"/>
        <w:rPr>
          <w:rFonts w:ascii="SimHei" w:eastAsia="SimHei" w:hint="eastAsia"/>
        </w:rPr>
      </w:pPr>
      <w:r w:rsidRPr="00E73166">
        <w:rPr>
          <w:rFonts w:ascii="SimHei" w:eastAsia="SimHei" w:hint="eastAsia"/>
        </w:rPr>
        <w:t>教育</w:t>
      </w:r>
    </w:p>
    <w:p w:rsidR="00E73166" w:rsidRDefault="00E73166" w:rsidP="00E73166">
      <w:pPr>
        <w:pStyle w:val="SingleTxt"/>
        <w:rPr>
          <w:rFonts w:hint="eastAsia"/>
        </w:rPr>
      </w:pPr>
      <w:r>
        <w:rPr>
          <w:rFonts w:hint="eastAsia"/>
        </w:rPr>
        <w:t>14.</w:t>
      </w:r>
      <w:r>
        <w:rPr>
          <w:rFonts w:hint="eastAsia"/>
        </w:rPr>
        <w:tab/>
        <w:t>请提供资料，说明采取了哪些措施，消除对女童受教育的总体否定态度。请说明采取了什么措施，制止攻击女子学校并惩罚肇事者。也请提供数据，说明2009年至2012年期间发生了多少起攻击女子学校的事件。</w:t>
      </w:r>
    </w:p>
    <w:p w:rsidR="00E73166" w:rsidRDefault="00E73166" w:rsidP="00A0407F">
      <w:pPr>
        <w:pStyle w:val="SingleTxt"/>
        <w:spacing w:line="340" w:lineRule="exact"/>
        <w:rPr>
          <w:rFonts w:hint="eastAsia"/>
        </w:rPr>
      </w:pPr>
      <w:r>
        <w:rPr>
          <w:rFonts w:hint="eastAsia"/>
        </w:rPr>
        <w:t>15.</w:t>
      </w:r>
      <w:r>
        <w:rPr>
          <w:rFonts w:hint="eastAsia"/>
        </w:rPr>
        <w:tab/>
        <w:t>请提供最新资料，说明采取了哪些行动，确保女孩和妇女能平等地接受各级教育并使女童能留在学校求学。还请提供资料，说明采取了哪些措施，确保农村和偏远地区的女孩能安全地获得优质教育。正在考虑采取什么激励措施，增加女教师、特别是农村地区女老师的数量？报告指出，缺乏校舍是教育领域的最大障碍之一。请提供数据，说明2009年至2011年所建校舍的总数量以及同一时期建造的女子学校的数量。</w:t>
      </w:r>
    </w:p>
    <w:p w:rsidR="00E73166" w:rsidRPr="00E73166" w:rsidRDefault="00E73166" w:rsidP="00A0407F">
      <w:pPr>
        <w:pStyle w:val="SingleTxt"/>
        <w:spacing w:line="340" w:lineRule="exact"/>
        <w:rPr>
          <w:rFonts w:ascii="SimHei" w:eastAsia="SimHei" w:hint="eastAsia"/>
        </w:rPr>
      </w:pPr>
      <w:r w:rsidRPr="00E73166">
        <w:rPr>
          <w:rFonts w:ascii="SimHei" w:eastAsia="SimHei" w:hint="eastAsia"/>
        </w:rPr>
        <w:t>健康</w:t>
      </w:r>
    </w:p>
    <w:p w:rsidR="00E73166" w:rsidRDefault="00E73166" w:rsidP="00A0407F">
      <w:pPr>
        <w:pStyle w:val="SingleTxt"/>
        <w:spacing w:line="340" w:lineRule="exact"/>
        <w:rPr>
          <w:rFonts w:hint="eastAsia"/>
        </w:rPr>
      </w:pPr>
      <w:r>
        <w:rPr>
          <w:rFonts w:hint="eastAsia"/>
        </w:rPr>
        <w:t>16.</w:t>
      </w:r>
      <w:r>
        <w:rPr>
          <w:rFonts w:hint="eastAsia"/>
        </w:rPr>
        <w:tab/>
        <w:t>请提供有关卫生部制订的健康和营养战略(2007-2013)的资料(见第253段)。请说明计划开展的活动以及该战略迄今产生的影响。请提供资料，说明采取了哪些措施，增加妇女获得卫生保健服务</w:t>
      </w:r>
      <w:r w:rsidR="00A0407F">
        <w:rPr>
          <w:rFonts w:hint="eastAsia"/>
        </w:rPr>
        <w:t>的机会</w:t>
      </w:r>
      <w:r>
        <w:rPr>
          <w:rFonts w:hint="eastAsia"/>
        </w:rPr>
        <w:t>和解决缔约国各地</w:t>
      </w:r>
      <w:r w:rsidR="00A0407F">
        <w:rPr>
          <w:rFonts w:hint="eastAsia"/>
        </w:rPr>
        <w:t>严重缺乏女性保健人员</w:t>
      </w:r>
      <w:r>
        <w:rPr>
          <w:rFonts w:hint="eastAsia"/>
        </w:rPr>
        <w:t>问题。还请解释采取了哪些措施来解决秘密堕胎问题，并为因不安全和强迫堕胎而感染并发症的妇女提供紧急护理。</w:t>
      </w:r>
    </w:p>
    <w:p w:rsidR="00E73166" w:rsidRDefault="00E73166" w:rsidP="00A0407F">
      <w:pPr>
        <w:pStyle w:val="SingleTxt"/>
        <w:spacing w:line="340" w:lineRule="exact"/>
        <w:rPr>
          <w:rFonts w:hint="eastAsia"/>
        </w:rPr>
      </w:pPr>
      <w:r>
        <w:rPr>
          <w:rFonts w:hint="eastAsia"/>
        </w:rPr>
        <w:t>17.</w:t>
      </w:r>
      <w:r>
        <w:rPr>
          <w:rFonts w:hint="eastAsia"/>
        </w:rPr>
        <w:tab/>
        <w:t>报告第276和277段指出，缔约国的产妇死亡率很高。请提供有关产妇健康国家政策(2006-2009)的详细资料，包括在这一计划下开展的活动及可衡量的</w:t>
      </w:r>
      <w:r w:rsidR="00A0407F">
        <w:rPr>
          <w:rFonts w:hint="eastAsia"/>
        </w:rPr>
        <w:t>成</w:t>
      </w:r>
      <w:r>
        <w:rPr>
          <w:rFonts w:hint="eastAsia"/>
        </w:rPr>
        <w:t>果。还请说明是否延长执行该战略。收到的资料显示，虽然阿富汗妇女平均生育7.4个孩子，但只有14%的妇女在专门机构分娩，只有12%的妇女享受妇产科保健服务。在这方面，请说明采取了什么措施来增加为妇女提供妇产科医疗服务。</w:t>
      </w:r>
    </w:p>
    <w:p w:rsidR="00E73166" w:rsidRPr="00A0407F" w:rsidRDefault="00E73166" w:rsidP="00A0407F">
      <w:pPr>
        <w:pStyle w:val="SingleTxt"/>
        <w:spacing w:line="340" w:lineRule="exact"/>
        <w:rPr>
          <w:rFonts w:ascii="SimHei" w:eastAsia="SimHei" w:hint="eastAsia"/>
        </w:rPr>
      </w:pPr>
      <w:r w:rsidRPr="00A0407F">
        <w:rPr>
          <w:rFonts w:ascii="SimHei" w:eastAsia="SimHei" w:hint="eastAsia"/>
        </w:rPr>
        <w:t>就业</w:t>
      </w:r>
    </w:p>
    <w:p w:rsidR="00E73166" w:rsidRDefault="00E73166" w:rsidP="00A0407F">
      <w:pPr>
        <w:pStyle w:val="SingleTxt"/>
        <w:spacing w:line="340" w:lineRule="exact"/>
        <w:rPr>
          <w:rFonts w:hint="eastAsia"/>
        </w:rPr>
      </w:pPr>
      <w:r>
        <w:rPr>
          <w:rFonts w:hint="eastAsia"/>
        </w:rPr>
        <w:t>18.</w:t>
      </w:r>
      <w:r>
        <w:rPr>
          <w:rFonts w:hint="eastAsia"/>
        </w:rPr>
        <w:tab/>
        <w:t>报告指出，传统和习俗是阻碍妇女工作、特别是在公共部门工作的因素(见第211段)。在这方面，请说明政府正在采取哪些措施来</w:t>
      </w:r>
      <w:r w:rsidR="00A0407F">
        <w:rPr>
          <w:rFonts w:hint="eastAsia"/>
        </w:rPr>
        <w:t>打击</w:t>
      </w:r>
      <w:r>
        <w:rPr>
          <w:rFonts w:hint="eastAsia"/>
        </w:rPr>
        <w:t>对妇女就业的消极态度。请提供资料，说明采取了哪些措施来确保男女在就业方面享有平等权利，在工作场所防止对妇女的性骚扰。</w:t>
      </w:r>
    </w:p>
    <w:p w:rsidR="00E73166" w:rsidRPr="00A0407F" w:rsidRDefault="00E73166" w:rsidP="00A0407F">
      <w:pPr>
        <w:pStyle w:val="SingleTxt"/>
        <w:spacing w:line="340" w:lineRule="exact"/>
        <w:rPr>
          <w:rFonts w:ascii="SimHei" w:eastAsia="SimHei" w:hint="eastAsia"/>
        </w:rPr>
      </w:pPr>
      <w:r w:rsidRPr="00A0407F">
        <w:rPr>
          <w:rFonts w:ascii="SimHei" w:eastAsia="SimHei" w:hint="eastAsia"/>
        </w:rPr>
        <w:t>农村妇女</w:t>
      </w:r>
    </w:p>
    <w:p w:rsidR="00E73166" w:rsidRDefault="00E73166" w:rsidP="00A0407F">
      <w:pPr>
        <w:pStyle w:val="SingleTxt"/>
        <w:spacing w:line="340" w:lineRule="exact"/>
        <w:rPr>
          <w:rFonts w:hint="eastAsia"/>
        </w:rPr>
      </w:pPr>
      <w:r>
        <w:rPr>
          <w:rFonts w:hint="eastAsia"/>
        </w:rPr>
        <w:t>19.</w:t>
      </w:r>
      <w:r>
        <w:rPr>
          <w:rFonts w:hint="eastAsia"/>
        </w:rPr>
        <w:tab/>
        <w:t>请提供最新资料，说明农村妇女的状况，特别是在政府</w:t>
      </w:r>
      <w:r w:rsidR="00A0407F">
        <w:rPr>
          <w:rFonts w:hint="eastAsia"/>
        </w:rPr>
        <w:t>未充分</w:t>
      </w:r>
      <w:r>
        <w:rPr>
          <w:rFonts w:hint="eastAsia"/>
        </w:rPr>
        <w:t>控制的地区受到冲突影响的妇女的境况。也请提供资料，说明采取了哪些措施来确保妇女和女孩能够获得教育和保健等基本服务。在这方面，请说明阿富汗国家发展战略和农村复兴与发展部的农村妇女战略在实现既定目标方面取得了哪些可衡量的</w:t>
      </w:r>
      <w:r w:rsidR="00A0407F">
        <w:rPr>
          <w:rFonts w:hint="eastAsia"/>
        </w:rPr>
        <w:t>成</w:t>
      </w:r>
      <w:r>
        <w:rPr>
          <w:rFonts w:hint="eastAsia"/>
        </w:rPr>
        <w:t>果以及产生的影响。</w:t>
      </w:r>
    </w:p>
    <w:p w:rsidR="00E73166" w:rsidRPr="00A0407F" w:rsidRDefault="00E73166" w:rsidP="00A0407F">
      <w:pPr>
        <w:pStyle w:val="SingleTxt"/>
        <w:spacing w:line="340" w:lineRule="exact"/>
        <w:rPr>
          <w:rFonts w:ascii="SimHei" w:eastAsia="SimHei" w:hint="eastAsia"/>
        </w:rPr>
      </w:pPr>
      <w:r w:rsidRPr="00A0407F">
        <w:rPr>
          <w:rFonts w:ascii="SimHei" w:eastAsia="SimHei" w:hint="eastAsia"/>
        </w:rPr>
        <w:t>弱势女性群体</w:t>
      </w:r>
    </w:p>
    <w:p w:rsidR="00E73166" w:rsidRDefault="00E73166" w:rsidP="00A0407F">
      <w:pPr>
        <w:pStyle w:val="SingleTxt"/>
        <w:spacing w:line="340" w:lineRule="exact"/>
        <w:rPr>
          <w:rFonts w:hint="eastAsia"/>
        </w:rPr>
      </w:pPr>
      <w:r>
        <w:rPr>
          <w:rFonts w:hint="eastAsia"/>
        </w:rPr>
        <w:t>20.</w:t>
      </w:r>
      <w:r>
        <w:rPr>
          <w:rFonts w:hint="eastAsia"/>
        </w:rPr>
        <w:tab/>
        <w:t>请提供资料，说明缔约国境内流离失所妇女的境况以及为满足她们的需要而采取的措施。</w:t>
      </w:r>
    </w:p>
    <w:p w:rsidR="00E73166" w:rsidRPr="00A0407F" w:rsidRDefault="00E73166" w:rsidP="00E73166">
      <w:pPr>
        <w:pStyle w:val="SingleTxt"/>
        <w:rPr>
          <w:rFonts w:ascii="SimHei" w:eastAsia="SimHei" w:hint="eastAsia"/>
        </w:rPr>
      </w:pPr>
      <w:r w:rsidRPr="00A0407F">
        <w:rPr>
          <w:rFonts w:ascii="SimHei" w:eastAsia="SimHei" w:hint="eastAsia"/>
        </w:rPr>
        <w:t>婚姻和家庭关系</w:t>
      </w:r>
    </w:p>
    <w:p w:rsidR="00E73166" w:rsidRDefault="00E73166" w:rsidP="00E73166">
      <w:pPr>
        <w:pStyle w:val="SingleTxt"/>
        <w:rPr>
          <w:rFonts w:hint="eastAsia"/>
        </w:rPr>
      </w:pPr>
      <w:r>
        <w:rPr>
          <w:rFonts w:hint="eastAsia"/>
        </w:rPr>
        <w:t>21.</w:t>
      </w:r>
      <w:r>
        <w:rPr>
          <w:rFonts w:hint="eastAsia"/>
        </w:rPr>
        <w:tab/>
        <w:t>请提供资料，说明采取了哪些措施，废除《民法典》中关于婚姻和家庭法的歧视性规定，包括有关离婚、一夫多妻、继承和最低结婚年龄的规定。此外，请说明采取了哪些措施，废除2009年什叶派人身法对</w:t>
      </w:r>
      <w:r w:rsidR="00A0407F">
        <w:rPr>
          <w:rFonts w:hint="eastAsia"/>
        </w:rPr>
        <w:t>已</w:t>
      </w:r>
      <w:r>
        <w:rPr>
          <w:rFonts w:hint="eastAsia"/>
        </w:rPr>
        <w:t>婚妇女的歧视性规定。也请提供资料，说明采取了哪些措施，使有关婚姻和家庭关系的所有法律与《公约》的规定相一致。也请详细说明家庭法草案的内容和该法目前获得通过的情况。</w:t>
      </w:r>
    </w:p>
    <w:p w:rsidR="00E73166" w:rsidRDefault="00E73166" w:rsidP="00E73166">
      <w:pPr>
        <w:pStyle w:val="SingleTxt"/>
        <w:rPr>
          <w:rFonts w:hint="eastAsia"/>
        </w:rPr>
      </w:pPr>
      <w:r>
        <w:rPr>
          <w:rFonts w:hint="eastAsia"/>
        </w:rPr>
        <w:t>22.</w:t>
      </w:r>
      <w:r>
        <w:rPr>
          <w:rFonts w:hint="eastAsia"/>
        </w:rPr>
        <w:tab/>
        <w:t>报告承认，童婚和强迫婚姻是缔约国的严重关切问题(见第359段)。请说明采取了哪些措施，消除童婚和强迫婚姻做法。报告指出，在法院进行婚姻登记是防止童婚和强迫婚姻的一种方法。在这方面，请告知委员会缔约国采取了哪些步骤来改善婚姻登记情况。</w:t>
      </w:r>
    </w:p>
    <w:p w:rsidR="00EA31C3" w:rsidRPr="00A0407F" w:rsidRDefault="00A0407F" w:rsidP="00A0407F">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weight=".25pt"/>
        </w:pict>
      </w:r>
    </w:p>
    <w:sectPr w:rsidR="00EA31C3" w:rsidRPr="00A0407F" w:rsidSect="00AE52A2">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11-13T15:57:00Z" w:initials="Start">
    <w:p w:rsidR="00D63DBE" w:rsidRDefault="00D63DB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NO&gt;&gt;N1257214C&lt;&lt;ODS JOB NO&gt;&gt;</w:t>
      </w:r>
    </w:p>
    <w:p w:rsidR="00D63DBE" w:rsidRDefault="00D63DBE">
      <w:pPr>
        <w:pStyle w:val="CommentText"/>
      </w:pPr>
      <w:r>
        <w:t>&lt;&lt;ODS DOC SYMBOL1&gt;&gt;CEDAW/C/AFG/Q/1-2&lt;&lt;ODS DOC SYMBOL1&gt;&gt;</w:t>
      </w:r>
    </w:p>
    <w:p w:rsidR="00D63DBE" w:rsidRDefault="00D63DBE">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0428" w:rsidRDefault="00120428">
      <w:r>
        <w:separator/>
      </w:r>
    </w:p>
  </w:endnote>
  <w:endnote w:type="continuationSeparator" w:id="0">
    <w:p w:rsidR="00120428" w:rsidRDefault="001204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63DBE" w:rsidTr="00AE52A2">
      <w:tblPrEx>
        <w:tblCellMar>
          <w:top w:w="0" w:type="dxa"/>
          <w:bottom w:w="0" w:type="dxa"/>
        </w:tblCellMar>
      </w:tblPrEx>
      <w:tc>
        <w:tcPr>
          <w:tcW w:w="5033" w:type="dxa"/>
          <w:shd w:val="clear" w:color="auto" w:fill="auto"/>
        </w:tcPr>
        <w:p w:rsidR="00D63DBE" w:rsidRPr="00AE52A2" w:rsidRDefault="00D63DBE" w:rsidP="00AE52A2">
          <w:pPr>
            <w:pStyle w:val="Footer"/>
            <w:jc w:val="right"/>
            <w:rPr>
              <w:b w:val="0"/>
              <w:w w:val="103"/>
              <w:sz w:val="14"/>
            </w:rPr>
          </w:pPr>
          <w:fldSimple w:instr=" DOCVARIABLE &quot;FooterJN&quot; \* MERGEFORMAT ">
            <w:r>
              <w:rPr>
                <w:b w:val="0"/>
                <w:w w:val="103"/>
                <w:sz w:val="14"/>
              </w:rPr>
              <w:t>12-57214 (C)</w:t>
            </w:r>
          </w:fldSimple>
        </w:p>
      </w:tc>
      <w:tc>
        <w:tcPr>
          <w:tcW w:w="5033" w:type="dxa"/>
          <w:shd w:val="clear" w:color="auto" w:fill="auto"/>
        </w:tcPr>
        <w:p w:rsidR="00D63DBE" w:rsidRPr="00AE52A2" w:rsidRDefault="00D63DBE" w:rsidP="00AE52A2">
          <w:pPr>
            <w:pStyle w:val="Footer"/>
            <w:jc w:val="lef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D63DBE" w:rsidRPr="00AE52A2" w:rsidRDefault="00D63DBE" w:rsidP="00AE52A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63DBE" w:rsidTr="00AE52A2">
      <w:tblPrEx>
        <w:tblCellMar>
          <w:top w:w="0" w:type="dxa"/>
          <w:bottom w:w="0" w:type="dxa"/>
        </w:tblCellMar>
      </w:tblPrEx>
      <w:tc>
        <w:tcPr>
          <w:tcW w:w="5033" w:type="dxa"/>
          <w:shd w:val="clear" w:color="auto" w:fill="auto"/>
        </w:tcPr>
        <w:p w:rsidR="00D63DBE" w:rsidRPr="00AE52A2" w:rsidRDefault="00D63DBE" w:rsidP="00AE52A2">
          <w:pPr>
            <w:pStyle w:val="Footer"/>
            <w:jc w:val="right"/>
          </w:pPr>
          <w:fldSimple w:instr=" PAGE  \* MERGEFORMAT ">
            <w:r>
              <w:t>3</w:t>
            </w:r>
          </w:fldSimple>
        </w:p>
      </w:tc>
      <w:tc>
        <w:tcPr>
          <w:tcW w:w="5033" w:type="dxa"/>
          <w:shd w:val="clear" w:color="auto" w:fill="auto"/>
        </w:tcPr>
        <w:p w:rsidR="00D63DBE" w:rsidRPr="00AE52A2" w:rsidRDefault="00D63DBE" w:rsidP="00AE52A2">
          <w:pPr>
            <w:pStyle w:val="Footer"/>
            <w:jc w:val="left"/>
            <w:rPr>
              <w:b w:val="0"/>
              <w:w w:val="103"/>
              <w:sz w:val="14"/>
            </w:rPr>
          </w:pPr>
          <w:fldSimple w:instr=" DOCVARIABLE &quot;FooterJN&quot; \* MERGEFORMAT ">
            <w:r>
              <w:rPr>
                <w:b w:val="0"/>
                <w:w w:val="103"/>
                <w:sz w:val="14"/>
              </w:rPr>
              <w:t>12-57214 (C)</w:t>
            </w:r>
          </w:fldSimple>
        </w:p>
      </w:tc>
    </w:tr>
  </w:tbl>
  <w:p w:rsidR="00D63DBE" w:rsidRPr="00AE52A2" w:rsidRDefault="00D63DBE" w:rsidP="00AE52A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D63DBE" w:rsidTr="00AE52A2">
      <w:tblPrEx>
        <w:tblCellMar>
          <w:top w:w="0" w:type="dxa"/>
          <w:bottom w:w="0" w:type="dxa"/>
        </w:tblCellMar>
      </w:tblPrEx>
      <w:tc>
        <w:tcPr>
          <w:tcW w:w="5033" w:type="dxa"/>
        </w:tcPr>
        <w:p w:rsidR="00D63DBE" w:rsidRDefault="00D63DBE" w:rsidP="00AE52A2">
          <w:pPr>
            <w:pStyle w:val="Footer"/>
            <w:rPr>
              <w:b w:val="0"/>
              <w:sz w:val="21"/>
            </w:rPr>
          </w:pPr>
          <w:fldSimple w:instr=" DOCVARIABLE &quot;jobn&quot; \* MERGEFORMAT ">
            <w:r>
              <w:rPr>
                <w:b w:val="0"/>
                <w:sz w:val="21"/>
              </w:rPr>
              <w:t>12-57214 (C)</w:t>
            </w:r>
          </w:fldSimple>
          <w:r>
            <w:rPr>
              <w:b w:val="0"/>
              <w:sz w:val="21"/>
            </w:rPr>
            <w:t xml:space="preserve">    131112    1</w:t>
          </w:r>
          <w:r>
            <w:rPr>
              <w:rFonts w:hint="eastAsia"/>
              <w:b w:val="0"/>
              <w:sz w:val="21"/>
            </w:rPr>
            <w:t>5</w:t>
          </w:r>
          <w:r>
            <w:rPr>
              <w:b w:val="0"/>
              <w:sz w:val="21"/>
            </w:rPr>
            <w:t>1112</w:t>
          </w:r>
        </w:p>
        <w:p w:rsidR="00D63DBE" w:rsidRPr="00AE52A2" w:rsidRDefault="00D63DBE" w:rsidP="00AE52A2">
          <w:pPr>
            <w:spacing w:before="80" w:line="210" w:lineRule="exact"/>
            <w:rPr>
              <w:rFonts w:ascii="Barcode 3 of 9 by request" w:hAnsi="Barcode 3 of 9 by request"/>
              <w:sz w:val="24"/>
            </w:rPr>
          </w:pPr>
          <w:r>
            <w:rPr>
              <w:rFonts w:ascii="Barcode 3 of 9 by request" w:hAnsi="Barcode 3 of 9 by request"/>
              <w:sz w:val="24"/>
            </w:rPr>
            <w:t>*1257721C*</w:t>
          </w:r>
        </w:p>
      </w:tc>
      <w:tc>
        <w:tcPr>
          <w:tcW w:w="3686" w:type="dxa"/>
        </w:tcPr>
        <w:p w:rsidR="00D63DBE" w:rsidRDefault="00D63DBE" w:rsidP="00AE52A2">
          <w:pPr>
            <w:pStyle w:val="Footer"/>
            <w:jc w:val="right"/>
            <w:rPr>
              <w:b w:val="0"/>
              <w:sz w:val="21"/>
            </w:rPr>
          </w:pPr>
          <w:r w:rsidRPr="00AE52A2">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D63DBE" w:rsidRPr="00AE52A2" w:rsidRDefault="00D63DBE" w:rsidP="00AE52A2">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0428" w:rsidRDefault="00120428">
      <w:r>
        <w:separator/>
      </w:r>
    </w:p>
  </w:footnote>
  <w:footnote w:type="continuationSeparator" w:id="0">
    <w:p w:rsidR="00120428" w:rsidRDefault="001204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63DBE" w:rsidTr="00AE52A2">
      <w:tblPrEx>
        <w:tblCellMar>
          <w:top w:w="0" w:type="dxa"/>
          <w:bottom w:w="0" w:type="dxa"/>
        </w:tblCellMar>
      </w:tblPrEx>
      <w:trPr>
        <w:trHeight w:hRule="exact" w:val="864"/>
      </w:trPr>
      <w:tc>
        <w:tcPr>
          <w:tcW w:w="4838" w:type="dxa"/>
          <w:shd w:val="clear" w:color="auto" w:fill="auto"/>
          <w:vAlign w:val="bottom"/>
        </w:tcPr>
        <w:p w:rsidR="00D63DBE" w:rsidRPr="00AE52A2" w:rsidRDefault="00D63DBE" w:rsidP="00AE52A2">
          <w:pPr>
            <w:pStyle w:val="Header"/>
            <w:spacing w:after="80"/>
            <w:jc w:val="left"/>
            <w:rPr>
              <w:b/>
              <w:sz w:val="17"/>
            </w:rPr>
          </w:pPr>
          <w:fldSimple w:instr=" DOCVARIABLE &quot;sss1&quot; \* MERGEFORMAT ">
            <w:r>
              <w:rPr>
                <w:b/>
                <w:sz w:val="17"/>
              </w:rPr>
              <w:t>CEDAW/C/AFG/Q/1-2</w:t>
            </w:r>
          </w:fldSimple>
        </w:p>
      </w:tc>
      <w:tc>
        <w:tcPr>
          <w:tcW w:w="5033" w:type="dxa"/>
          <w:shd w:val="clear" w:color="auto" w:fill="auto"/>
          <w:vAlign w:val="bottom"/>
        </w:tcPr>
        <w:p w:rsidR="00D63DBE" w:rsidRDefault="00D63DBE" w:rsidP="00AE52A2">
          <w:pPr>
            <w:pStyle w:val="Header"/>
          </w:pPr>
        </w:p>
      </w:tc>
    </w:tr>
  </w:tbl>
  <w:p w:rsidR="00D63DBE" w:rsidRPr="00AE52A2" w:rsidRDefault="00D63DBE" w:rsidP="00AE52A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63DBE" w:rsidTr="00AE52A2">
      <w:tblPrEx>
        <w:tblCellMar>
          <w:top w:w="0" w:type="dxa"/>
          <w:bottom w:w="0" w:type="dxa"/>
        </w:tblCellMar>
      </w:tblPrEx>
      <w:trPr>
        <w:trHeight w:hRule="exact" w:val="864"/>
      </w:trPr>
      <w:tc>
        <w:tcPr>
          <w:tcW w:w="4838" w:type="dxa"/>
          <w:shd w:val="clear" w:color="auto" w:fill="auto"/>
          <w:vAlign w:val="bottom"/>
        </w:tcPr>
        <w:p w:rsidR="00D63DBE" w:rsidRDefault="00D63DBE" w:rsidP="00AE52A2">
          <w:pPr>
            <w:pStyle w:val="Header"/>
          </w:pPr>
        </w:p>
      </w:tc>
      <w:tc>
        <w:tcPr>
          <w:tcW w:w="5033" w:type="dxa"/>
          <w:shd w:val="clear" w:color="auto" w:fill="auto"/>
          <w:vAlign w:val="bottom"/>
        </w:tcPr>
        <w:p w:rsidR="00D63DBE" w:rsidRPr="00AE52A2" w:rsidRDefault="00D63DBE" w:rsidP="00AE52A2">
          <w:pPr>
            <w:pStyle w:val="Header"/>
            <w:spacing w:after="80"/>
            <w:jc w:val="right"/>
            <w:rPr>
              <w:b/>
              <w:sz w:val="17"/>
            </w:rPr>
          </w:pPr>
          <w:fldSimple w:instr=" DOCVARIABLE &quot;sss1&quot; \* MERGEFORMAT ">
            <w:r>
              <w:rPr>
                <w:b/>
                <w:sz w:val="17"/>
              </w:rPr>
              <w:t>CEDAW/C/AFG/Q/1-2</w:t>
            </w:r>
          </w:fldSimple>
        </w:p>
      </w:tc>
    </w:tr>
  </w:tbl>
  <w:p w:rsidR="00D63DBE" w:rsidRPr="00AE52A2" w:rsidRDefault="00D63DBE" w:rsidP="00AE52A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D63DBE" w:rsidTr="00AE52A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63DBE" w:rsidRDefault="00D63DBE" w:rsidP="00AE52A2">
          <w:pPr>
            <w:pStyle w:val="Header"/>
            <w:spacing w:after="120"/>
          </w:pPr>
        </w:p>
      </w:tc>
      <w:tc>
        <w:tcPr>
          <w:tcW w:w="1872" w:type="dxa"/>
          <w:tcBorders>
            <w:bottom w:val="single" w:sz="4" w:space="0" w:color="auto"/>
          </w:tcBorders>
          <w:shd w:val="clear" w:color="auto" w:fill="auto"/>
          <w:vAlign w:val="bottom"/>
        </w:tcPr>
        <w:p w:rsidR="00D63DBE" w:rsidRPr="00AE52A2" w:rsidRDefault="00D63DBE" w:rsidP="00AE52A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D63DBE" w:rsidRDefault="00D63DBE" w:rsidP="00AE52A2">
          <w:pPr>
            <w:pStyle w:val="Header"/>
            <w:spacing w:after="120"/>
          </w:pPr>
        </w:p>
      </w:tc>
      <w:tc>
        <w:tcPr>
          <w:tcW w:w="6523" w:type="dxa"/>
          <w:gridSpan w:val="3"/>
          <w:tcBorders>
            <w:bottom w:val="single" w:sz="4" w:space="0" w:color="auto"/>
          </w:tcBorders>
          <w:shd w:val="clear" w:color="auto" w:fill="auto"/>
          <w:vAlign w:val="bottom"/>
        </w:tcPr>
        <w:p w:rsidR="00D63DBE" w:rsidRPr="00AE52A2" w:rsidRDefault="00D63DBE" w:rsidP="00AE52A2">
          <w:pPr>
            <w:spacing w:after="80" w:line="240" w:lineRule="auto"/>
            <w:jc w:val="right"/>
            <w:rPr>
              <w:rFonts w:ascii="Times New Roman"/>
              <w:position w:val="-4"/>
            </w:rPr>
          </w:pPr>
          <w:r>
            <w:rPr>
              <w:rFonts w:ascii="Times New Roman"/>
              <w:position w:val="-4"/>
              <w:sz w:val="40"/>
            </w:rPr>
            <w:t>CEDAW</w:t>
          </w:r>
          <w:r>
            <w:rPr>
              <w:rFonts w:ascii="Times New Roman"/>
              <w:position w:val="-4"/>
            </w:rPr>
            <w:t>/C/AFG/Q/1-2</w:t>
          </w:r>
        </w:p>
      </w:tc>
    </w:tr>
    <w:tr w:rsidR="00D63DBE" w:rsidRPr="00AE52A2" w:rsidTr="00AE52A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63DBE" w:rsidRDefault="00D63DBE" w:rsidP="00AE52A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63DBE" w:rsidRPr="00AE52A2" w:rsidRDefault="00D63DBE" w:rsidP="00AE52A2">
          <w:pPr>
            <w:pStyle w:val="Header"/>
            <w:spacing w:before="109"/>
            <w:ind w:left="-72"/>
          </w:pPr>
        </w:p>
      </w:tc>
      <w:tc>
        <w:tcPr>
          <w:tcW w:w="5227" w:type="dxa"/>
          <w:gridSpan w:val="3"/>
          <w:tcBorders>
            <w:top w:val="single" w:sz="4" w:space="0" w:color="auto"/>
            <w:bottom w:val="single" w:sz="12" w:space="0" w:color="auto"/>
          </w:tcBorders>
          <w:shd w:val="clear" w:color="auto" w:fill="auto"/>
        </w:tcPr>
        <w:p w:rsidR="00D63DBE" w:rsidRPr="00AE52A2" w:rsidRDefault="00D63DBE" w:rsidP="00AE52A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63DBE" w:rsidRPr="00AE52A2" w:rsidRDefault="00D63DBE" w:rsidP="00AE52A2">
          <w:pPr>
            <w:pStyle w:val="Header"/>
            <w:spacing w:before="109"/>
          </w:pPr>
        </w:p>
      </w:tc>
      <w:tc>
        <w:tcPr>
          <w:tcW w:w="3180" w:type="dxa"/>
          <w:gridSpan w:val="2"/>
          <w:tcBorders>
            <w:top w:val="single" w:sz="4" w:space="0" w:color="auto"/>
            <w:bottom w:val="single" w:sz="12" w:space="0" w:color="auto"/>
          </w:tcBorders>
          <w:shd w:val="clear" w:color="auto" w:fill="auto"/>
        </w:tcPr>
        <w:p w:rsidR="00D63DBE" w:rsidRDefault="00D63DBE" w:rsidP="00AE52A2">
          <w:pPr>
            <w:spacing w:before="240" w:line="240" w:lineRule="exact"/>
            <w:rPr>
              <w:rFonts w:ascii="Times New Roman"/>
            </w:rPr>
          </w:pPr>
          <w:r>
            <w:rPr>
              <w:rFonts w:ascii="Times New Roman"/>
            </w:rPr>
            <w:t>Distr.: General</w:t>
          </w:r>
        </w:p>
        <w:p w:rsidR="00D63DBE" w:rsidRDefault="00D63DBE" w:rsidP="00AE52A2">
          <w:pPr>
            <w:spacing w:line="240" w:lineRule="exact"/>
            <w:rPr>
              <w:rFonts w:ascii="Times New Roman"/>
            </w:rPr>
          </w:pPr>
          <w:r>
            <w:rPr>
              <w:rFonts w:ascii="Times New Roman"/>
            </w:rPr>
            <w:t>2 November 2012</w:t>
          </w:r>
        </w:p>
        <w:p w:rsidR="00D63DBE" w:rsidRDefault="00D63DBE" w:rsidP="00AE52A2">
          <w:pPr>
            <w:spacing w:line="240" w:lineRule="exact"/>
            <w:rPr>
              <w:rFonts w:ascii="Times New Roman"/>
            </w:rPr>
          </w:pPr>
          <w:r>
            <w:rPr>
              <w:rFonts w:ascii="Times New Roman"/>
            </w:rPr>
            <w:t>Chinese</w:t>
          </w:r>
        </w:p>
        <w:p w:rsidR="00D63DBE" w:rsidRPr="00AE52A2" w:rsidRDefault="00D63DBE" w:rsidP="00AE52A2">
          <w:pPr>
            <w:spacing w:line="240" w:lineRule="exact"/>
            <w:rPr>
              <w:rFonts w:ascii="Times New Roman"/>
            </w:rPr>
          </w:pPr>
          <w:r>
            <w:rPr>
              <w:rFonts w:ascii="Times New Roman"/>
            </w:rPr>
            <w:t>Original: English</w:t>
          </w:r>
        </w:p>
      </w:tc>
    </w:tr>
  </w:tbl>
  <w:p w:rsidR="00D63DBE" w:rsidRPr="00AE52A2" w:rsidRDefault="00D63DBE" w:rsidP="00AE52A2">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57214*"/>
    <w:docVar w:name="CreationDt" w:val="13/11/2012 14:30:26"/>
    <w:docVar w:name="DocCategory" w:val="Doc"/>
    <w:docVar w:name="DocType" w:val="Final"/>
    <w:docVar w:name="FooterJN" w:val="12-57214 (C)"/>
    <w:docVar w:name="Jobn" w:val="12-57214 (C)"/>
    <w:docVar w:name="jobnDT" w:val="12-57721 (C)   131112"/>
    <w:docVar w:name="jobnDTDT" w:val="12-57721 (C)   131112   131112"/>
    <w:docVar w:name="JobNo" w:val="1257214C"/>
    <w:docVar w:name="OandT" w:val="DONG"/>
    <w:docVar w:name="sss1" w:val="CEDAW/C/AFG/Q/1-2"/>
    <w:docVar w:name="sss2" w:val="-"/>
    <w:docVar w:name="Symbol1" w:val="CEDAW/C/AFG/Q/1-2"/>
    <w:docVar w:name="Symbol2" w:val="-"/>
  </w:docVars>
  <w:rsids>
    <w:rsidRoot w:val="00852E07"/>
    <w:rsid w:val="0000347C"/>
    <w:rsid w:val="000125BC"/>
    <w:rsid w:val="0001645E"/>
    <w:rsid w:val="00021A2B"/>
    <w:rsid w:val="00036AA2"/>
    <w:rsid w:val="00037B39"/>
    <w:rsid w:val="00044CA4"/>
    <w:rsid w:val="00044EE9"/>
    <w:rsid w:val="00045EFE"/>
    <w:rsid w:val="0007337D"/>
    <w:rsid w:val="000758DF"/>
    <w:rsid w:val="00076EB8"/>
    <w:rsid w:val="00077AEE"/>
    <w:rsid w:val="00082CCB"/>
    <w:rsid w:val="00083CAB"/>
    <w:rsid w:val="00095C67"/>
    <w:rsid w:val="000A31F9"/>
    <w:rsid w:val="000C1786"/>
    <w:rsid w:val="000C4DDE"/>
    <w:rsid w:val="000E240F"/>
    <w:rsid w:val="000E49A4"/>
    <w:rsid w:val="000F1058"/>
    <w:rsid w:val="000F55DC"/>
    <w:rsid w:val="00101C4E"/>
    <w:rsid w:val="001113F8"/>
    <w:rsid w:val="00120428"/>
    <w:rsid w:val="001212F9"/>
    <w:rsid w:val="00121328"/>
    <w:rsid w:val="0012708E"/>
    <w:rsid w:val="001329F7"/>
    <w:rsid w:val="00141322"/>
    <w:rsid w:val="0015066B"/>
    <w:rsid w:val="00150D3A"/>
    <w:rsid w:val="00153D29"/>
    <w:rsid w:val="00161E69"/>
    <w:rsid w:val="00161F54"/>
    <w:rsid w:val="00170FBE"/>
    <w:rsid w:val="0017339C"/>
    <w:rsid w:val="00174233"/>
    <w:rsid w:val="0017506F"/>
    <w:rsid w:val="001B2814"/>
    <w:rsid w:val="001B4F95"/>
    <w:rsid w:val="001C3F7F"/>
    <w:rsid w:val="001C5166"/>
    <w:rsid w:val="001D0354"/>
    <w:rsid w:val="001D3F72"/>
    <w:rsid w:val="001E20EC"/>
    <w:rsid w:val="001E4442"/>
    <w:rsid w:val="001E5A51"/>
    <w:rsid w:val="001F03A7"/>
    <w:rsid w:val="001F2F76"/>
    <w:rsid w:val="00203760"/>
    <w:rsid w:val="00207135"/>
    <w:rsid w:val="002145EA"/>
    <w:rsid w:val="00231575"/>
    <w:rsid w:val="0024093D"/>
    <w:rsid w:val="00241DB7"/>
    <w:rsid w:val="00247382"/>
    <w:rsid w:val="00252E35"/>
    <w:rsid w:val="00254858"/>
    <w:rsid w:val="00257053"/>
    <w:rsid w:val="00263B7B"/>
    <w:rsid w:val="00266257"/>
    <w:rsid w:val="00271BE6"/>
    <w:rsid w:val="0027454D"/>
    <w:rsid w:val="00277AAE"/>
    <w:rsid w:val="00280671"/>
    <w:rsid w:val="002814F9"/>
    <w:rsid w:val="00282D17"/>
    <w:rsid w:val="002A4AEF"/>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3BFD"/>
    <w:rsid w:val="00320C99"/>
    <w:rsid w:val="003274A9"/>
    <w:rsid w:val="00331221"/>
    <w:rsid w:val="00346223"/>
    <w:rsid w:val="00363610"/>
    <w:rsid w:val="003649EE"/>
    <w:rsid w:val="00371BC6"/>
    <w:rsid w:val="00373A15"/>
    <w:rsid w:val="00383ACA"/>
    <w:rsid w:val="00384CB1"/>
    <w:rsid w:val="00394A02"/>
    <w:rsid w:val="003C7B20"/>
    <w:rsid w:val="003D075F"/>
    <w:rsid w:val="003E4565"/>
    <w:rsid w:val="003E748F"/>
    <w:rsid w:val="003E7612"/>
    <w:rsid w:val="00414423"/>
    <w:rsid w:val="004411AD"/>
    <w:rsid w:val="004424EF"/>
    <w:rsid w:val="00453BB0"/>
    <w:rsid w:val="00460162"/>
    <w:rsid w:val="004620A8"/>
    <w:rsid w:val="00466BB5"/>
    <w:rsid w:val="004700CF"/>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35B9"/>
    <w:rsid w:val="00536CCE"/>
    <w:rsid w:val="00552CE5"/>
    <w:rsid w:val="005541E4"/>
    <w:rsid w:val="00562FE7"/>
    <w:rsid w:val="0056647F"/>
    <w:rsid w:val="00567999"/>
    <w:rsid w:val="0057094A"/>
    <w:rsid w:val="00570BD4"/>
    <w:rsid w:val="0057450D"/>
    <w:rsid w:val="0058302A"/>
    <w:rsid w:val="005851AB"/>
    <w:rsid w:val="005A175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767D5"/>
    <w:rsid w:val="00691524"/>
    <w:rsid w:val="006A654B"/>
    <w:rsid w:val="006C4BB3"/>
    <w:rsid w:val="006E2924"/>
    <w:rsid w:val="006E7A26"/>
    <w:rsid w:val="006F04EF"/>
    <w:rsid w:val="006F2B3D"/>
    <w:rsid w:val="007052CC"/>
    <w:rsid w:val="007319E0"/>
    <w:rsid w:val="007345AA"/>
    <w:rsid w:val="00737B00"/>
    <w:rsid w:val="0075155C"/>
    <w:rsid w:val="00753A05"/>
    <w:rsid w:val="00757193"/>
    <w:rsid w:val="00761190"/>
    <w:rsid w:val="00776537"/>
    <w:rsid w:val="00783A25"/>
    <w:rsid w:val="007877F4"/>
    <w:rsid w:val="007C74B9"/>
    <w:rsid w:val="007E1B5E"/>
    <w:rsid w:val="007E6253"/>
    <w:rsid w:val="007F2278"/>
    <w:rsid w:val="00803014"/>
    <w:rsid w:val="00805783"/>
    <w:rsid w:val="00806F57"/>
    <w:rsid w:val="00806F90"/>
    <w:rsid w:val="008246FC"/>
    <w:rsid w:val="00824C19"/>
    <w:rsid w:val="00826250"/>
    <w:rsid w:val="0083056F"/>
    <w:rsid w:val="008378D1"/>
    <w:rsid w:val="00846462"/>
    <w:rsid w:val="00852E07"/>
    <w:rsid w:val="00860742"/>
    <w:rsid w:val="0086691F"/>
    <w:rsid w:val="00883DB0"/>
    <w:rsid w:val="00884C8F"/>
    <w:rsid w:val="00896D38"/>
    <w:rsid w:val="008A0216"/>
    <w:rsid w:val="008C3296"/>
    <w:rsid w:val="008C3413"/>
    <w:rsid w:val="008E2D03"/>
    <w:rsid w:val="008F2BB5"/>
    <w:rsid w:val="008F425D"/>
    <w:rsid w:val="008F5472"/>
    <w:rsid w:val="008F5D0F"/>
    <w:rsid w:val="009122E0"/>
    <w:rsid w:val="00913351"/>
    <w:rsid w:val="00917A69"/>
    <w:rsid w:val="0096193C"/>
    <w:rsid w:val="009769E1"/>
    <w:rsid w:val="00977E0D"/>
    <w:rsid w:val="00982D5C"/>
    <w:rsid w:val="00986132"/>
    <w:rsid w:val="00986C04"/>
    <w:rsid w:val="009A11E3"/>
    <w:rsid w:val="009A2F76"/>
    <w:rsid w:val="009D2AC2"/>
    <w:rsid w:val="009E1774"/>
    <w:rsid w:val="009E1CE0"/>
    <w:rsid w:val="009E2668"/>
    <w:rsid w:val="009E40A3"/>
    <w:rsid w:val="009E5C8C"/>
    <w:rsid w:val="009F10B1"/>
    <w:rsid w:val="009F47E3"/>
    <w:rsid w:val="009F6938"/>
    <w:rsid w:val="00A0407F"/>
    <w:rsid w:val="00A0537D"/>
    <w:rsid w:val="00A069AD"/>
    <w:rsid w:val="00A17A85"/>
    <w:rsid w:val="00A20856"/>
    <w:rsid w:val="00A24399"/>
    <w:rsid w:val="00A24CA5"/>
    <w:rsid w:val="00A33D6D"/>
    <w:rsid w:val="00A37345"/>
    <w:rsid w:val="00A40EA9"/>
    <w:rsid w:val="00A4532A"/>
    <w:rsid w:val="00A5206D"/>
    <w:rsid w:val="00A72E47"/>
    <w:rsid w:val="00A84C66"/>
    <w:rsid w:val="00A90956"/>
    <w:rsid w:val="00A95404"/>
    <w:rsid w:val="00A968C5"/>
    <w:rsid w:val="00AA3C28"/>
    <w:rsid w:val="00AA759D"/>
    <w:rsid w:val="00AB2786"/>
    <w:rsid w:val="00AD4308"/>
    <w:rsid w:val="00AE52A2"/>
    <w:rsid w:val="00AF2A33"/>
    <w:rsid w:val="00B03EFA"/>
    <w:rsid w:val="00B309DD"/>
    <w:rsid w:val="00B36621"/>
    <w:rsid w:val="00B36D64"/>
    <w:rsid w:val="00B41B48"/>
    <w:rsid w:val="00B56194"/>
    <w:rsid w:val="00B60F41"/>
    <w:rsid w:val="00B61A34"/>
    <w:rsid w:val="00B64E8E"/>
    <w:rsid w:val="00B65E8B"/>
    <w:rsid w:val="00B8025A"/>
    <w:rsid w:val="00B827B1"/>
    <w:rsid w:val="00BB23A4"/>
    <w:rsid w:val="00BC2276"/>
    <w:rsid w:val="00BD1BFF"/>
    <w:rsid w:val="00BD2150"/>
    <w:rsid w:val="00BE1CC3"/>
    <w:rsid w:val="00BE365A"/>
    <w:rsid w:val="00BE47C4"/>
    <w:rsid w:val="00C052A2"/>
    <w:rsid w:val="00C06A4A"/>
    <w:rsid w:val="00C1391A"/>
    <w:rsid w:val="00C14CE6"/>
    <w:rsid w:val="00C15218"/>
    <w:rsid w:val="00C2725D"/>
    <w:rsid w:val="00C31E79"/>
    <w:rsid w:val="00C403C9"/>
    <w:rsid w:val="00C42033"/>
    <w:rsid w:val="00C464DD"/>
    <w:rsid w:val="00C52423"/>
    <w:rsid w:val="00C534BE"/>
    <w:rsid w:val="00C62EF9"/>
    <w:rsid w:val="00C672B6"/>
    <w:rsid w:val="00C76854"/>
    <w:rsid w:val="00C900C5"/>
    <w:rsid w:val="00C92AE0"/>
    <w:rsid w:val="00C943B4"/>
    <w:rsid w:val="00CA450F"/>
    <w:rsid w:val="00CB2B1E"/>
    <w:rsid w:val="00CC3E8B"/>
    <w:rsid w:val="00CC4E84"/>
    <w:rsid w:val="00CD5641"/>
    <w:rsid w:val="00CE64AC"/>
    <w:rsid w:val="00CF49BA"/>
    <w:rsid w:val="00CF5822"/>
    <w:rsid w:val="00CF7718"/>
    <w:rsid w:val="00D177F1"/>
    <w:rsid w:val="00D323B5"/>
    <w:rsid w:val="00D42ACC"/>
    <w:rsid w:val="00D51DC5"/>
    <w:rsid w:val="00D63DBE"/>
    <w:rsid w:val="00D676D7"/>
    <w:rsid w:val="00D71517"/>
    <w:rsid w:val="00D7168D"/>
    <w:rsid w:val="00D874E1"/>
    <w:rsid w:val="00D9586D"/>
    <w:rsid w:val="00D9749C"/>
    <w:rsid w:val="00DA51B2"/>
    <w:rsid w:val="00DA6965"/>
    <w:rsid w:val="00DB0932"/>
    <w:rsid w:val="00DC2506"/>
    <w:rsid w:val="00DC49FA"/>
    <w:rsid w:val="00DD3D6B"/>
    <w:rsid w:val="00DD4467"/>
    <w:rsid w:val="00DD61C8"/>
    <w:rsid w:val="00DD772B"/>
    <w:rsid w:val="00DF2A0E"/>
    <w:rsid w:val="00DF742A"/>
    <w:rsid w:val="00E041F4"/>
    <w:rsid w:val="00E050BA"/>
    <w:rsid w:val="00E25442"/>
    <w:rsid w:val="00E25A1F"/>
    <w:rsid w:val="00E37EEB"/>
    <w:rsid w:val="00E710FB"/>
    <w:rsid w:val="00E73166"/>
    <w:rsid w:val="00E806D9"/>
    <w:rsid w:val="00E82CA2"/>
    <w:rsid w:val="00E8334A"/>
    <w:rsid w:val="00E94E5A"/>
    <w:rsid w:val="00E95594"/>
    <w:rsid w:val="00EA31C3"/>
    <w:rsid w:val="00EB33AC"/>
    <w:rsid w:val="00EC669D"/>
    <w:rsid w:val="00EC6F21"/>
    <w:rsid w:val="00EE0913"/>
    <w:rsid w:val="00F01440"/>
    <w:rsid w:val="00F04C64"/>
    <w:rsid w:val="00F13305"/>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581</Words>
  <Characters>3314</Characters>
  <Application>Microsoft Office Outlook</Application>
  <DocSecurity>4</DocSecurity>
  <Lines>27</Lines>
  <Paragraphs>7</Paragraphs>
  <ScaleCrop>false</ScaleCrop>
  <Company>United Nations</Company>
  <LinksUpToDate>false</LinksUpToDate>
  <CharactersWithSpaces>3888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DLH</dc:creator>
  <cp:keywords/>
  <dc:description/>
  <cp:lastModifiedBy>FrontDesk2</cp:lastModifiedBy>
  <cp:revision>11</cp:revision>
  <cp:lastPrinted>2012-11-13T13:57:00Z</cp:lastPrinted>
  <dcterms:created xsi:type="dcterms:W3CDTF">2012-11-13T13:53:00Z</dcterms:created>
  <dcterms:modified xsi:type="dcterms:W3CDTF">2012-11-15T07:49:00Z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CEDAW/C/AFG/Q/1-2</vt:lpwstr>
  </property>
  <property fmtid="{D5CDD505-2E9C-101B-9397-08002B2CF9AE}" pid="3" name="Symbol2">
    <vt:lpwstr/>
  </property>
  <property fmtid="{D5CDD505-2E9C-101B-9397-08002B2CF9AE}" pid="4" name="Translator">
    <vt:lpwstr/>
  </property>
  <property fmtid="{D5CDD505-2E9C-101B-9397-08002B2CF9AE}" pid="5" name="JobNo">
    <vt:lpwstr>1257214C</vt:lpwstr>
  </property>
  <property fmtid="{D5CDD505-2E9C-101B-9397-08002B2CF9AE}" pid="6" name="Comment">
    <vt:lpwstr/>
  </property>
  <property fmtid="{D5CDD505-2E9C-101B-9397-08002B2CF9AE}" pid="7" name="DraftPages">
    <vt:lpwstr>5</vt:lpwstr>
  </property>
  <property fmtid="{D5CDD505-2E9C-101B-9397-08002B2CF9AE}" pid="8" name="Operator">
    <vt:lpwstr>DONG</vt:lpwstr>
  </property>
</Properties>
</file>