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23F3B" w14:textId="77777777" w:rsidR="005461FC" w:rsidRPr="00A2609B" w:rsidRDefault="005461FC" w:rsidP="005461FC">
      <w:pPr>
        <w:pStyle w:val="RepertoireFootnoteText"/>
        <w:spacing w:line="240" w:lineRule="auto"/>
        <w:ind w:left="0" w:right="0" w:firstLine="0"/>
        <w:jc w:val="both"/>
        <w:rPr>
          <w:sz w:val="2"/>
          <w:lang w:val="es-ES"/>
        </w:rPr>
        <w:sectPr w:rsidR="005461FC" w:rsidRPr="00A2609B" w:rsidSect="00A2609B">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2609B">
        <w:rPr>
          <w:rStyle w:val="CommentReference"/>
          <w:rFonts w:ascii="Times New Roman" w:hAnsi="Times New Roman" w:cs="Times New Roman"/>
          <w:szCs w:val="20"/>
          <w:lang w:val="es-ES"/>
        </w:rPr>
        <w:commentReference w:id="0"/>
      </w:r>
    </w:p>
    <w:p w14:paraId="27CEDBE1" w14:textId="77777777" w:rsidR="00A2609B" w:rsidRPr="00A2609B" w:rsidRDefault="00A2609B" w:rsidP="00A260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A2609B">
        <w:t>Comité para la Eliminación de la Discriminación contra la Mujer</w:t>
      </w:r>
    </w:p>
    <w:p w14:paraId="2323DA01" w14:textId="77777777" w:rsidR="00A2609B" w:rsidRPr="00A2609B" w:rsidRDefault="00A2609B" w:rsidP="00A2609B">
      <w:pPr>
        <w:pStyle w:val="SingleTxt"/>
        <w:spacing w:after="0" w:line="120" w:lineRule="exact"/>
        <w:rPr>
          <w:sz w:val="10"/>
        </w:rPr>
      </w:pPr>
    </w:p>
    <w:p w14:paraId="0F3F6516" w14:textId="77777777" w:rsidR="00A2609B" w:rsidRPr="00A2609B" w:rsidRDefault="00A2609B" w:rsidP="00A2609B">
      <w:pPr>
        <w:pStyle w:val="SingleTxt"/>
        <w:spacing w:after="0" w:line="120" w:lineRule="exact"/>
        <w:rPr>
          <w:sz w:val="10"/>
        </w:rPr>
      </w:pPr>
    </w:p>
    <w:p w14:paraId="7313E6C3" w14:textId="77777777" w:rsidR="00A2609B" w:rsidRPr="00A2609B" w:rsidRDefault="00A2609B" w:rsidP="00A2609B">
      <w:pPr>
        <w:pStyle w:val="SingleTxt"/>
        <w:spacing w:after="0" w:line="120" w:lineRule="exact"/>
        <w:rPr>
          <w:sz w:val="10"/>
        </w:rPr>
      </w:pPr>
    </w:p>
    <w:p w14:paraId="45D61B7B" w14:textId="5271D8CC" w:rsidR="00A2609B" w:rsidRPr="00A2609B" w:rsidRDefault="00D056EA" w:rsidP="00A2609B">
      <w:pPr>
        <w:pStyle w:val="TitleHCH"/>
        <w:ind w:right="2160"/>
      </w:pPr>
      <w:r>
        <w:tab/>
      </w:r>
      <w:r>
        <w:tab/>
      </w:r>
      <w:r w:rsidR="00A2609B" w:rsidRPr="00A2609B">
        <w:t>Informes periódicos noveno y décimo combinados que Bangladesh debía presentar en 2020 en virtud del artículo 18 de la Convención</w:t>
      </w:r>
      <w:r w:rsidR="00A2609B" w:rsidRPr="00A2609B">
        <w:footnoteReference w:customMarkFollows="1" w:id="1"/>
        <w:t>*</w:t>
      </w:r>
      <w:r w:rsidR="00A2609B" w:rsidRPr="002C4253">
        <w:rPr>
          <w:vertAlign w:val="superscript"/>
        </w:rPr>
        <w:t>,</w:t>
      </w:r>
      <w:r w:rsidR="003E3AB4">
        <w:t xml:space="preserve"> </w:t>
      </w:r>
      <w:r w:rsidR="00A2609B" w:rsidRPr="00A2609B">
        <w:footnoteReference w:customMarkFollows="1" w:id="2"/>
        <w:t>**</w:t>
      </w:r>
    </w:p>
    <w:p w14:paraId="285032C9" w14:textId="77777777" w:rsidR="00A2609B" w:rsidRPr="00A2609B" w:rsidRDefault="00A2609B" w:rsidP="00A2609B">
      <w:pPr>
        <w:pStyle w:val="SingleTxt"/>
        <w:spacing w:after="0" w:line="120" w:lineRule="exact"/>
        <w:rPr>
          <w:sz w:val="10"/>
        </w:rPr>
      </w:pPr>
    </w:p>
    <w:p w14:paraId="049DA20C" w14:textId="77777777" w:rsidR="00A2609B" w:rsidRPr="00A2609B" w:rsidRDefault="00A2609B" w:rsidP="00A2609B">
      <w:pPr>
        <w:pStyle w:val="SingleTxt"/>
        <w:spacing w:after="0" w:line="120" w:lineRule="exact"/>
        <w:rPr>
          <w:sz w:val="10"/>
        </w:rPr>
      </w:pPr>
    </w:p>
    <w:p w14:paraId="2A062290" w14:textId="27B923C2" w:rsidR="005461FC" w:rsidRDefault="00A2609B" w:rsidP="00A2609B">
      <w:pPr>
        <w:pStyle w:val="SingleTxt"/>
        <w:jc w:val="right"/>
      </w:pPr>
      <w:r w:rsidRPr="00A2609B">
        <w:t>[Fecha de recepción: 24 de septiembre de 2025]</w:t>
      </w:r>
    </w:p>
    <w:p w14:paraId="72EE8C54" w14:textId="6D70D676" w:rsidR="00A2609B" w:rsidRDefault="00A2609B" w:rsidP="00A2609B">
      <w:pPr>
        <w:pStyle w:val="SingleTxt"/>
      </w:pPr>
      <w:r>
        <w:br w:type="page"/>
      </w:r>
    </w:p>
    <w:p w14:paraId="3032C649" w14:textId="5ACA016D" w:rsidR="00D056EA" w:rsidRDefault="00D056EA" w:rsidP="00D056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lastRenderedPageBreak/>
        <w:tab/>
      </w:r>
      <w:r>
        <w:tab/>
      </w:r>
      <w:r w:rsidRPr="00D056EA">
        <w:rPr>
          <w:bCs/>
        </w:rPr>
        <w:t>Abreviaciones</w:t>
      </w:r>
    </w:p>
    <w:p w14:paraId="431D0A1E" w14:textId="77777777" w:rsidR="00D056EA" w:rsidRPr="00D056EA" w:rsidRDefault="00D056EA" w:rsidP="00547CCB">
      <w:pPr>
        <w:pStyle w:val="SingleTxt"/>
        <w:spacing w:after="0" w:line="120" w:lineRule="exact"/>
        <w:jc w:val="left"/>
        <w:rPr>
          <w:sz w:val="10"/>
        </w:rPr>
      </w:pPr>
    </w:p>
    <w:p w14:paraId="18EC1668" w14:textId="77777777" w:rsidR="00D056EA" w:rsidRPr="00D056EA" w:rsidRDefault="00D056EA" w:rsidP="00D056E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54"/>
        <w:gridCol w:w="6219"/>
      </w:tblGrid>
      <w:tr w:rsidR="00547CCB" w:rsidRPr="00D056EA" w14:paraId="674A3177" w14:textId="77777777" w:rsidTr="00D056EA">
        <w:tc>
          <w:tcPr>
            <w:tcW w:w="1154" w:type="dxa"/>
          </w:tcPr>
          <w:p w14:paraId="00F1CAFB"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ACNUR</w:t>
            </w:r>
          </w:p>
        </w:tc>
        <w:tc>
          <w:tcPr>
            <w:tcW w:w="6219" w:type="dxa"/>
          </w:tcPr>
          <w:p w14:paraId="57049EBA"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Alto Comisionado de las Naciones Unidas para los Refugiados</w:t>
            </w:r>
          </w:p>
        </w:tc>
      </w:tr>
      <w:tr w:rsidR="00547CCB" w:rsidRPr="00D056EA" w14:paraId="15A1AACB" w14:textId="77777777" w:rsidTr="00D056EA">
        <w:tc>
          <w:tcPr>
            <w:tcW w:w="1154" w:type="dxa"/>
          </w:tcPr>
          <w:p w14:paraId="24589D1D"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ASH</w:t>
            </w:r>
          </w:p>
        </w:tc>
        <w:tc>
          <w:tcPr>
            <w:tcW w:w="6219" w:type="dxa"/>
          </w:tcPr>
          <w:p w14:paraId="7690372D"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Agua, saneamiento e higiene</w:t>
            </w:r>
          </w:p>
        </w:tc>
      </w:tr>
      <w:tr w:rsidR="00547CCB" w:rsidRPr="00D056EA" w14:paraId="79561F56" w14:textId="77777777" w:rsidTr="00D056EA">
        <w:tc>
          <w:tcPr>
            <w:tcW w:w="1154" w:type="dxa"/>
          </w:tcPr>
          <w:p w14:paraId="7621E185"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BDHS</w:t>
            </w:r>
          </w:p>
        </w:tc>
        <w:tc>
          <w:tcPr>
            <w:tcW w:w="6219" w:type="dxa"/>
          </w:tcPr>
          <w:p w14:paraId="0CD598DD"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Encuesta Demográfica y de Salud de Bangladesh</w:t>
            </w:r>
          </w:p>
        </w:tc>
      </w:tr>
      <w:tr w:rsidR="00547CCB" w:rsidRPr="00D056EA" w14:paraId="5214BE9F" w14:textId="77777777" w:rsidTr="00D056EA">
        <w:tc>
          <w:tcPr>
            <w:tcW w:w="1154" w:type="dxa"/>
          </w:tcPr>
          <w:p w14:paraId="77FD2A43"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rPr>
                <w:lang w:val="en-US"/>
              </w:rPr>
            </w:pPr>
            <w:r w:rsidRPr="00D056EA">
              <w:rPr>
                <w:lang w:val="en-US"/>
              </w:rPr>
              <w:t>BGB</w:t>
            </w:r>
          </w:p>
        </w:tc>
        <w:tc>
          <w:tcPr>
            <w:tcW w:w="6219" w:type="dxa"/>
          </w:tcPr>
          <w:p w14:paraId="464B4EA4"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rPr>
                <w:lang w:val="en-US"/>
              </w:rPr>
            </w:pPr>
            <w:r w:rsidRPr="00D056EA">
              <w:rPr>
                <w:lang w:val="en-US"/>
              </w:rPr>
              <w:t>Border Guard Bangladesh</w:t>
            </w:r>
          </w:p>
        </w:tc>
      </w:tr>
      <w:tr w:rsidR="00547CCB" w:rsidRPr="00D056EA" w14:paraId="6B5D97B6" w14:textId="77777777" w:rsidTr="00D056EA">
        <w:tc>
          <w:tcPr>
            <w:tcW w:w="1154" w:type="dxa"/>
          </w:tcPr>
          <w:p w14:paraId="00E1B9D3"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rPr>
                <w:lang w:val="en-US"/>
              </w:rPr>
            </w:pPr>
            <w:r w:rsidRPr="00D056EA">
              <w:rPr>
                <w:lang w:val="en-US"/>
              </w:rPr>
              <w:t>BMP</w:t>
            </w:r>
          </w:p>
        </w:tc>
        <w:tc>
          <w:tcPr>
            <w:tcW w:w="6219" w:type="dxa"/>
          </w:tcPr>
          <w:p w14:paraId="6EA281E1"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rPr>
                <w:lang w:val="en-US"/>
              </w:rPr>
            </w:pPr>
            <w:r w:rsidRPr="00D056EA">
              <w:rPr>
                <w:lang w:val="en-US"/>
              </w:rPr>
              <w:t>Bangladesh Mohila Porishod</w:t>
            </w:r>
          </w:p>
        </w:tc>
      </w:tr>
      <w:tr w:rsidR="00547CCB" w:rsidRPr="00D056EA" w14:paraId="6A6696D7" w14:textId="77777777" w:rsidTr="00D056EA">
        <w:tc>
          <w:tcPr>
            <w:tcW w:w="1154" w:type="dxa"/>
          </w:tcPr>
          <w:p w14:paraId="009219FB"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BNKS</w:t>
            </w:r>
          </w:p>
        </w:tc>
        <w:tc>
          <w:tcPr>
            <w:tcW w:w="6219" w:type="dxa"/>
          </w:tcPr>
          <w:p w14:paraId="7FFB6535"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Bolipara Nari Kalyan Samity</w:t>
            </w:r>
          </w:p>
        </w:tc>
      </w:tr>
      <w:tr w:rsidR="00547CCB" w:rsidRPr="00D056EA" w14:paraId="52AFF39E" w14:textId="77777777" w:rsidTr="00D056EA">
        <w:tc>
          <w:tcPr>
            <w:tcW w:w="1154" w:type="dxa"/>
          </w:tcPr>
          <w:p w14:paraId="7CB5B3C2"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CNDH</w:t>
            </w:r>
          </w:p>
        </w:tc>
        <w:tc>
          <w:tcPr>
            <w:tcW w:w="6219" w:type="dxa"/>
          </w:tcPr>
          <w:p w14:paraId="61BE0AC4"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Comisión Nacional de Derechos Humanos</w:t>
            </w:r>
          </w:p>
        </w:tc>
      </w:tr>
      <w:tr w:rsidR="00547CCB" w:rsidRPr="00D056EA" w14:paraId="1E94DD53" w14:textId="77777777" w:rsidTr="00D056EA">
        <w:tc>
          <w:tcPr>
            <w:tcW w:w="1154" w:type="dxa"/>
          </w:tcPr>
          <w:p w14:paraId="4321DC40"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DAM</w:t>
            </w:r>
          </w:p>
        </w:tc>
        <w:tc>
          <w:tcPr>
            <w:tcW w:w="6219" w:type="dxa"/>
          </w:tcPr>
          <w:p w14:paraId="050B53A7"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Departamento de Asuntos de la Mujer</w:t>
            </w:r>
          </w:p>
        </w:tc>
      </w:tr>
      <w:tr w:rsidR="00547CCB" w:rsidRPr="00D056EA" w14:paraId="64458EFB" w14:textId="77777777" w:rsidTr="00D056EA">
        <w:tc>
          <w:tcPr>
            <w:tcW w:w="1154" w:type="dxa"/>
          </w:tcPr>
          <w:p w14:paraId="4FFB80B5"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DGHS</w:t>
            </w:r>
          </w:p>
        </w:tc>
        <w:tc>
          <w:tcPr>
            <w:tcW w:w="6219" w:type="dxa"/>
          </w:tcPr>
          <w:p w14:paraId="7E858B7F"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Dirección General de Servicios de Salud</w:t>
            </w:r>
          </w:p>
        </w:tc>
      </w:tr>
      <w:tr w:rsidR="00547CCB" w:rsidRPr="00D056EA" w14:paraId="7CA836DE" w14:textId="77777777" w:rsidTr="00D056EA">
        <w:tc>
          <w:tcPr>
            <w:tcW w:w="1154" w:type="dxa"/>
          </w:tcPr>
          <w:p w14:paraId="5B8B1929"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EFTP</w:t>
            </w:r>
          </w:p>
        </w:tc>
        <w:tc>
          <w:tcPr>
            <w:tcW w:w="6219" w:type="dxa"/>
          </w:tcPr>
          <w:p w14:paraId="02511BE8"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Enseñanza y formación técnica y profesional</w:t>
            </w:r>
          </w:p>
        </w:tc>
      </w:tr>
      <w:tr w:rsidR="00547CCB" w:rsidRPr="00D056EA" w14:paraId="6EE71A91" w14:textId="77777777" w:rsidTr="00D056EA">
        <w:tc>
          <w:tcPr>
            <w:tcW w:w="1154" w:type="dxa"/>
          </w:tcPr>
          <w:p w14:paraId="5C4DED91"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EPU</w:t>
            </w:r>
          </w:p>
        </w:tc>
        <w:tc>
          <w:tcPr>
            <w:tcW w:w="6219" w:type="dxa"/>
          </w:tcPr>
          <w:p w14:paraId="349FBB74"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Examen periódico universal</w:t>
            </w:r>
          </w:p>
        </w:tc>
      </w:tr>
      <w:tr w:rsidR="00547CCB" w:rsidRPr="00D056EA" w14:paraId="78E06DF7" w14:textId="77777777" w:rsidTr="00D056EA">
        <w:tc>
          <w:tcPr>
            <w:tcW w:w="1154" w:type="dxa"/>
          </w:tcPr>
          <w:p w14:paraId="32F32D2E"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IDH</w:t>
            </w:r>
          </w:p>
        </w:tc>
        <w:tc>
          <w:tcPr>
            <w:tcW w:w="6219" w:type="dxa"/>
          </w:tcPr>
          <w:p w14:paraId="361904F8"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Índice de desarrollo humano</w:t>
            </w:r>
          </w:p>
        </w:tc>
      </w:tr>
      <w:tr w:rsidR="00547CCB" w:rsidRPr="00D056EA" w14:paraId="679C802B" w14:textId="77777777" w:rsidTr="00D056EA">
        <w:tc>
          <w:tcPr>
            <w:tcW w:w="1154" w:type="dxa"/>
          </w:tcPr>
          <w:p w14:paraId="54E78EB2"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IEG</w:t>
            </w:r>
          </w:p>
        </w:tc>
        <w:tc>
          <w:tcPr>
            <w:tcW w:w="6219" w:type="dxa"/>
          </w:tcPr>
          <w:p w14:paraId="525A2724"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Índice de equidad de género</w:t>
            </w:r>
          </w:p>
        </w:tc>
      </w:tr>
      <w:tr w:rsidR="00547CCB" w:rsidRPr="00D056EA" w14:paraId="3334F190" w14:textId="77777777" w:rsidTr="00D056EA">
        <w:tc>
          <w:tcPr>
            <w:tcW w:w="1154" w:type="dxa"/>
          </w:tcPr>
          <w:p w14:paraId="79EDE7A1"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ODM</w:t>
            </w:r>
          </w:p>
        </w:tc>
        <w:tc>
          <w:tcPr>
            <w:tcW w:w="6219" w:type="dxa"/>
          </w:tcPr>
          <w:p w14:paraId="36DC0EEA"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Objetivos de Desarrollo del Milenio</w:t>
            </w:r>
          </w:p>
        </w:tc>
      </w:tr>
      <w:tr w:rsidR="00547CCB" w:rsidRPr="00D056EA" w14:paraId="7CEADE78" w14:textId="77777777" w:rsidTr="00D056EA">
        <w:tc>
          <w:tcPr>
            <w:tcW w:w="1154" w:type="dxa"/>
          </w:tcPr>
          <w:p w14:paraId="1123F0E4"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ODS</w:t>
            </w:r>
          </w:p>
        </w:tc>
        <w:tc>
          <w:tcPr>
            <w:tcW w:w="6219" w:type="dxa"/>
          </w:tcPr>
          <w:p w14:paraId="2ADD0A8F"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Objetivos de Desarrollo Sostenible</w:t>
            </w:r>
          </w:p>
        </w:tc>
      </w:tr>
      <w:tr w:rsidR="00547CCB" w:rsidRPr="00D056EA" w14:paraId="04E72DCD" w14:textId="77777777" w:rsidTr="00D056EA">
        <w:tc>
          <w:tcPr>
            <w:tcW w:w="1154" w:type="dxa"/>
          </w:tcPr>
          <w:p w14:paraId="5965AF95"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ONG</w:t>
            </w:r>
          </w:p>
        </w:tc>
        <w:tc>
          <w:tcPr>
            <w:tcW w:w="6219" w:type="dxa"/>
          </w:tcPr>
          <w:p w14:paraId="2D0DC910"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Organización no gubernamental</w:t>
            </w:r>
          </w:p>
        </w:tc>
      </w:tr>
      <w:tr w:rsidR="00547CCB" w:rsidRPr="00D056EA" w14:paraId="180D7D05" w14:textId="77777777" w:rsidTr="00D056EA">
        <w:tc>
          <w:tcPr>
            <w:tcW w:w="1154" w:type="dxa"/>
          </w:tcPr>
          <w:p w14:paraId="33D4D3C9"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OSC</w:t>
            </w:r>
          </w:p>
        </w:tc>
        <w:tc>
          <w:tcPr>
            <w:tcW w:w="6219" w:type="dxa"/>
          </w:tcPr>
          <w:p w14:paraId="06CD9659"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Organización de la sociedad civil</w:t>
            </w:r>
          </w:p>
        </w:tc>
      </w:tr>
      <w:tr w:rsidR="00547CCB" w:rsidRPr="00D056EA" w14:paraId="293A7D72" w14:textId="77777777" w:rsidTr="00D056EA">
        <w:tc>
          <w:tcPr>
            <w:tcW w:w="1154" w:type="dxa"/>
          </w:tcPr>
          <w:p w14:paraId="5881F47E"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PIB</w:t>
            </w:r>
          </w:p>
        </w:tc>
        <w:tc>
          <w:tcPr>
            <w:tcW w:w="6219" w:type="dxa"/>
          </w:tcPr>
          <w:p w14:paraId="0C8D7126"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Producto interno bruto</w:t>
            </w:r>
          </w:p>
        </w:tc>
      </w:tr>
      <w:tr w:rsidR="00547CCB" w:rsidRPr="00D056EA" w14:paraId="4A5C6538" w14:textId="77777777" w:rsidTr="00D056EA">
        <w:tc>
          <w:tcPr>
            <w:tcW w:w="1154" w:type="dxa"/>
          </w:tcPr>
          <w:p w14:paraId="43EB528F"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PKSF</w:t>
            </w:r>
          </w:p>
        </w:tc>
        <w:tc>
          <w:tcPr>
            <w:tcW w:w="6219" w:type="dxa"/>
          </w:tcPr>
          <w:p w14:paraId="35CB111D"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Palli Karma Sahayak Foundation</w:t>
            </w:r>
          </w:p>
        </w:tc>
      </w:tr>
      <w:tr w:rsidR="00547CCB" w:rsidRPr="00D056EA" w14:paraId="11DE884B" w14:textId="77777777" w:rsidTr="00D056EA">
        <w:tc>
          <w:tcPr>
            <w:tcW w:w="1154" w:type="dxa"/>
          </w:tcPr>
          <w:p w14:paraId="55A3ED75"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TIC</w:t>
            </w:r>
          </w:p>
        </w:tc>
        <w:tc>
          <w:tcPr>
            <w:tcW w:w="6219" w:type="dxa"/>
          </w:tcPr>
          <w:p w14:paraId="0CD992B9"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Tecnología de la Información y las Comunicaciones</w:t>
            </w:r>
          </w:p>
        </w:tc>
      </w:tr>
      <w:tr w:rsidR="00547CCB" w:rsidRPr="00D056EA" w14:paraId="0988E4AC" w14:textId="77777777" w:rsidTr="00D056EA">
        <w:tc>
          <w:tcPr>
            <w:tcW w:w="1154" w:type="dxa"/>
          </w:tcPr>
          <w:p w14:paraId="211F6ADB"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UNFPA</w:t>
            </w:r>
          </w:p>
        </w:tc>
        <w:tc>
          <w:tcPr>
            <w:tcW w:w="6219" w:type="dxa"/>
          </w:tcPr>
          <w:p w14:paraId="4D532395"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Fondo de Población de las Naciones Unidas</w:t>
            </w:r>
          </w:p>
        </w:tc>
      </w:tr>
      <w:tr w:rsidR="00547CCB" w:rsidRPr="00A2609B" w14:paraId="43F233A2" w14:textId="77777777" w:rsidTr="00D056EA">
        <w:tc>
          <w:tcPr>
            <w:tcW w:w="1154" w:type="dxa"/>
          </w:tcPr>
          <w:p w14:paraId="63B95048" w14:textId="77777777" w:rsidR="00547CCB" w:rsidRPr="00D056EA"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VIH</w:t>
            </w:r>
          </w:p>
        </w:tc>
        <w:tc>
          <w:tcPr>
            <w:tcW w:w="6219" w:type="dxa"/>
          </w:tcPr>
          <w:p w14:paraId="5749C407" w14:textId="77777777" w:rsidR="00547CCB" w:rsidRPr="00A2609B" w:rsidRDefault="00547CCB" w:rsidP="00D056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pPr>
            <w:r w:rsidRPr="00D056EA">
              <w:t>Virus de la inmunodeficiencia humana</w:t>
            </w:r>
          </w:p>
        </w:tc>
      </w:tr>
    </w:tbl>
    <w:p w14:paraId="4A652DE7" w14:textId="77777777" w:rsidR="00D056EA" w:rsidRDefault="00D056EA" w:rsidP="00D056EA">
      <w:pPr>
        <w:pStyle w:val="SingleTxt"/>
      </w:pPr>
      <w:r>
        <w:br w:type="page"/>
      </w:r>
    </w:p>
    <w:p w14:paraId="269EE178" w14:textId="77777777" w:rsidR="00D056EA" w:rsidRPr="00D056EA" w:rsidRDefault="00D056EA" w:rsidP="00D056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56EA">
        <w:lastRenderedPageBreak/>
        <w:tab/>
      </w:r>
      <w:r w:rsidRPr="00D056EA">
        <w:tab/>
        <w:t>Introducción</w:t>
      </w:r>
    </w:p>
    <w:p w14:paraId="559ED11D" w14:textId="77777777" w:rsidR="00D056EA" w:rsidRPr="00D056EA" w:rsidRDefault="00D056EA" w:rsidP="00D056EA">
      <w:pPr>
        <w:pStyle w:val="SingleTxt"/>
        <w:spacing w:after="0" w:line="120" w:lineRule="exact"/>
        <w:rPr>
          <w:sz w:val="10"/>
        </w:rPr>
      </w:pPr>
    </w:p>
    <w:p w14:paraId="6815C86A" w14:textId="77777777" w:rsidR="00D056EA" w:rsidRPr="00D056EA" w:rsidRDefault="00D056EA" w:rsidP="00D056EA">
      <w:pPr>
        <w:pStyle w:val="SingleTxt"/>
        <w:spacing w:after="0" w:line="120" w:lineRule="exact"/>
        <w:rPr>
          <w:sz w:val="10"/>
        </w:rPr>
      </w:pPr>
    </w:p>
    <w:p w14:paraId="383C774F" w14:textId="0760BCAC" w:rsidR="00D056EA" w:rsidRPr="00D056EA" w:rsidRDefault="00D056EA" w:rsidP="00D056EA">
      <w:pPr>
        <w:pStyle w:val="SingleTxt"/>
        <w:numPr>
          <w:ilvl w:val="0"/>
          <w:numId w:val="26"/>
        </w:numPr>
        <w:ind w:left="1267"/>
      </w:pPr>
      <w:r w:rsidRPr="00D056EA">
        <w:t>El Gobierno de la República Popular de Bangladesh presenta sus informes periódicos noveno y décimo en virtud del artículo 18 de la Convención sobre la Eliminación de Todas las Formas de Discriminación contra la Mujer. En ellos se recogen los progresos, logros y cambios en respuesta a las observaciones finales formuladas en relación con el octavo informe periódico de Bangladesh. Los presentes informes periódicos noveno y décimo sobre la aplicación de la Convención muestran los progresos y logros alcanzados entre 2016 y 2025. Se elaboraron mediante un proceso consultivo con organismos públicos y no gubernamentales y con organizaciones de defensa de los derechos de las mujeres, así como a partir de un amplio examen de los informes y la documentación pertinentes.</w:t>
      </w:r>
    </w:p>
    <w:p w14:paraId="02B9ECD1" w14:textId="303502F9" w:rsidR="00D056EA" w:rsidRPr="00D056EA" w:rsidRDefault="00D056EA" w:rsidP="00D056EA">
      <w:pPr>
        <w:pStyle w:val="SingleTxt"/>
        <w:numPr>
          <w:ilvl w:val="0"/>
          <w:numId w:val="26"/>
        </w:numPr>
        <w:ind w:left="1267"/>
      </w:pPr>
      <w:r w:rsidRPr="00D056EA">
        <w:t>La Constitución de Bangladesh garantiza la igualdad entre los géneros (artículo</w:t>
      </w:r>
      <w:r w:rsidR="00547CCB">
        <w:t> </w:t>
      </w:r>
      <w:r w:rsidRPr="00D056EA">
        <w:t>27) y</w:t>
      </w:r>
      <w:r w:rsidR="00313B17">
        <w:t xml:space="preserve"> </w:t>
      </w:r>
      <w:r w:rsidRPr="00D056EA">
        <w:t>prohíbe de forma explícita la discriminación contra las mujeres (artículo 28). El país sigue determinado a cumplir las obligaciones que le incumben en virtud de los tratados internacionales en materia de defensa de la igualdad de género y lucha contra la discriminación contra las mujeres. Bangladesh ha firmado y ratificado diversos convenios, convenciones y acuerdos internacionales de fundamental importancia destinados a promover los derechos de las mujeres y las niñas. Como signatario desde 1984 de la Convención sobre la Eliminación de Todas las Formas de Discriminación contra la Mujer, el país continúa adaptando sus políticas y medidas a ese marco global para los derechos de las mujeres.</w:t>
      </w:r>
    </w:p>
    <w:p w14:paraId="31BEBC9B" w14:textId="77B1D61B" w:rsidR="00D056EA" w:rsidRPr="00D056EA" w:rsidRDefault="00D056EA" w:rsidP="00D056EA">
      <w:pPr>
        <w:pStyle w:val="SingleTxt"/>
        <w:numPr>
          <w:ilvl w:val="0"/>
          <w:numId w:val="26"/>
        </w:numPr>
        <w:ind w:left="1267"/>
      </w:pPr>
      <w:r w:rsidRPr="00D056EA">
        <w:t>En los últimos años, Bangladesh ha avanzado de forma notable hacia el logro de los objetivos de la Convención en relación con la igualdad de género. El país ha emprendido diferentes iniciativas y reformas legislativas que allanan el camino para mejorar la igualdad y la justicia de género. Bangladesh ha actualizado el Plan de Acción Nacional sobre la Política Nacional para el Adelanto de las Mujeres (2021</w:t>
      </w:r>
      <w:r w:rsidR="000B4134">
        <w:noBreakHyphen/>
      </w:r>
      <w:r w:rsidRPr="00D056EA">
        <w:t>2030) en consonancia con su Constitución. En el Plan se reafirma la determinación del país de alcanzar la igualdad de derechos para mujeres y hombres en la vida estatal y pública, así como de lograr su participación plena e igualitaria. El país modificó su Ley de Pruebas, que se remonta a 1872, e introdujo una disposición que prohíbe el uso en contra de las víctimas de violación de pruebas relacionadas con su carácter. Además, reformó las disposiciones relativas a la violación de la Ley de Prevención de la Opresión contra Mujeres y Niños de 2000 a fin de proporcionar una justicia rápida.</w:t>
      </w:r>
    </w:p>
    <w:p w14:paraId="7D56665E" w14:textId="1D119A99" w:rsidR="00D056EA" w:rsidRPr="00D056EA" w:rsidRDefault="00D056EA" w:rsidP="00D056EA">
      <w:pPr>
        <w:pStyle w:val="SingleTxt"/>
        <w:numPr>
          <w:ilvl w:val="0"/>
          <w:numId w:val="26"/>
        </w:numPr>
        <w:ind w:left="1267"/>
      </w:pPr>
      <w:r w:rsidRPr="00D056EA">
        <w:t>Por décimo año consecutivo, Bangladesh ocupó el primer lugar entre los países del Asia Meridional en cuanto a igualdad de género. El país ha alcanzado notables avances en ese sentido, sobre todo en la educación, la atención de la salud, la participación política y el empoderamiento económico. Su índice de paridad de género en el ámbito del empoderamiento político es el más alto de la región de Asia Meridional (54,3</w:t>
      </w:r>
      <w:r w:rsidR="00ED40B4">
        <w:t> %</w:t>
      </w:r>
      <w:r w:rsidRPr="00D056EA">
        <w:t>) y el séptimo del mundo</w:t>
      </w:r>
      <w:r w:rsidRPr="00D056EA">
        <w:rPr>
          <w:vertAlign w:val="superscript"/>
        </w:rPr>
        <w:footnoteReference w:id="3"/>
      </w:r>
      <w:r w:rsidRPr="00D056EA">
        <w:t>. El país obtiene buenos resultados en cuanto al nivel de instrucción y presenta una tasa de logro educativo del 94</w:t>
      </w:r>
      <w:r w:rsidR="00ED40B4">
        <w:t> %</w:t>
      </w:r>
      <w:r w:rsidRPr="00D056EA">
        <w:t xml:space="preserve"> y, además, alcanza una paridad del 100</w:t>
      </w:r>
      <w:r w:rsidR="00ED40B4">
        <w:t> %</w:t>
      </w:r>
      <w:r w:rsidRPr="00D056EA">
        <w:t xml:space="preserve"> en la matriculación en educación secundaria, del 93</w:t>
      </w:r>
      <w:r w:rsidR="00ED40B4">
        <w:t> %</w:t>
      </w:r>
      <w:r w:rsidRPr="00D056EA">
        <w:t xml:space="preserve"> en la tasa de alfabetización y del 84,1</w:t>
      </w:r>
      <w:r w:rsidR="00ED40B4">
        <w:t> %</w:t>
      </w:r>
      <w:r w:rsidRPr="00D056EA">
        <w:t xml:space="preserve"> en la matriculación en educación terciaria</w:t>
      </w:r>
      <w:r w:rsidRPr="00D056EA">
        <w:rPr>
          <w:vertAlign w:val="superscript"/>
        </w:rPr>
        <w:footnoteReference w:id="4"/>
      </w:r>
      <w:r w:rsidRPr="00D056EA">
        <w:t>.</w:t>
      </w:r>
    </w:p>
    <w:p w14:paraId="76A20FBE" w14:textId="34AD694C" w:rsidR="00D056EA" w:rsidRPr="00D056EA" w:rsidRDefault="00D056EA" w:rsidP="00D056EA">
      <w:pPr>
        <w:pStyle w:val="SingleTxt"/>
        <w:numPr>
          <w:ilvl w:val="0"/>
          <w:numId w:val="26"/>
        </w:numPr>
        <w:ind w:left="1267"/>
      </w:pPr>
      <w:r w:rsidRPr="00D056EA">
        <w:t>En Bangladesh, la tasa de mortalidad materna se redujo de forma significativa hasta 136 por cada 100.000 nacidos vivos en 2023, frente a 216 en 2010 y 178 en 2016. En cuanto a la participación de las mujeres en la fuerza de trabajo, la encuesta de población activa de 2022 indica que alrededor del 42,67</w:t>
      </w:r>
      <w:r w:rsidR="00ED40B4">
        <w:t> %</w:t>
      </w:r>
      <w:r w:rsidRPr="00D056EA">
        <w:t xml:space="preserve"> de las mujeres realizan </w:t>
      </w:r>
      <w:r w:rsidRPr="00D056EA">
        <w:lastRenderedPageBreak/>
        <w:t>actividades económicas. El</w:t>
      </w:r>
      <w:r w:rsidR="00313B17">
        <w:t xml:space="preserve"> </w:t>
      </w:r>
      <w:r w:rsidRPr="00D056EA">
        <w:t>país está determinado a alcanzar una tasa de participación de las mujeres en la fuerza de trabajo del 50</w:t>
      </w:r>
      <w:r w:rsidR="00ED40B4">
        <w:t> %</w:t>
      </w:r>
      <w:r w:rsidRPr="00D056EA">
        <w:t xml:space="preserve"> para 2030, así como la paridad de género en el sector de las tecnologías de la información y las comunicaciones (TIC) para 2041</w:t>
      </w:r>
      <w:r w:rsidRPr="00D056EA">
        <w:rPr>
          <w:vertAlign w:val="superscript"/>
        </w:rPr>
        <w:footnoteReference w:id="5"/>
      </w:r>
      <w:r w:rsidRPr="00D056EA">
        <w:t xml:space="preserve">. Bangladesh puso en marcha el proyecto </w:t>
      </w:r>
      <w:r w:rsidR="00ED40B4">
        <w:t>“</w:t>
      </w:r>
      <w:r w:rsidRPr="00D056EA">
        <w:t>Tottho Apa (Info Lady): Empowering Women Through ICT Towards Digital Bangladesh</w:t>
      </w:r>
      <w:r w:rsidR="00ED40B4">
        <w:t>”</w:t>
      </w:r>
      <w:r w:rsidRPr="00D056EA">
        <w:t>, cuyo objetivo es aumentar el acceso a las tecnologías de la información para las mujeres desfavorecidas de zonas rurales y empoderar a esas mujeres mediante servicios basados en las tecnologías de la información.</w:t>
      </w:r>
    </w:p>
    <w:p w14:paraId="4242E5EF" w14:textId="6894CA0E" w:rsidR="00D056EA" w:rsidRPr="0079507E" w:rsidRDefault="00D056EA" w:rsidP="00D056EA">
      <w:pPr>
        <w:pStyle w:val="SingleTxt"/>
        <w:numPr>
          <w:ilvl w:val="0"/>
          <w:numId w:val="26"/>
        </w:numPr>
        <w:ind w:left="1267"/>
        <w:rPr>
          <w:spacing w:val="3"/>
        </w:rPr>
      </w:pPr>
      <w:r w:rsidRPr="0079507E">
        <w:rPr>
          <w:spacing w:val="3"/>
        </w:rPr>
        <w:t>Desde 2016, el Ministerio de Asuntos de la Mujer y la Infancia ha emprendido varias iniciativas y reformas administrativas nuevas, ha actualizado el plan de acción nacional y ha puesto en marcha diversos proyectos. El mayor proyecto público para la prevención de la violencia contra las mujeres, el Programa Multisectorial sobre la Violencia contra las Mujeres (Cuarta Fase), desempeñó un papel crucial a la hora de mantener el apoyo y los servicios encaminados a prevenir y combatir la violencia contra las mujeres y las niñas. El Ministerio está coordinándose con otros 14</w:t>
      </w:r>
      <w:r w:rsidR="0079507E" w:rsidRPr="0079507E">
        <w:rPr>
          <w:spacing w:val="3"/>
        </w:rPr>
        <w:t> </w:t>
      </w:r>
      <w:r w:rsidRPr="0079507E">
        <w:rPr>
          <w:spacing w:val="3"/>
        </w:rPr>
        <w:t>Ministerios/Departamentos para establecer un enfoque multisectorial. En la actualidad, hay 14 centros de atención integral en caso de crisis, 67</w:t>
      </w:r>
      <w:r w:rsidR="00313B17" w:rsidRPr="0079507E">
        <w:rPr>
          <w:spacing w:val="3"/>
        </w:rPr>
        <w:t xml:space="preserve"> </w:t>
      </w:r>
      <w:r w:rsidRPr="0079507E">
        <w:rPr>
          <w:spacing w:val="3"/>
        </w:rPr>
        <w:t>células de atención integral en caso de crisis y centros nacionales de asistencia telefónica gratuita (109); todos ellos contribuyen a la prevención de la violencia contra las mujeres y los niños y dependen del Ministerio de Asuntos de la Mujer y la Infancia. Además, sigue habiendo 1 centro nacional de asesoramiento psicológico postraumático, 8 centros regionales de asesoramiento psicológico postraumático, 1</w:t>
      </w:r>
      <w:r w:rsidR="00547CCB">
        <w:rPr>
          <w:spacing w:val="3"/>
        </w:rPr>
        <w:t xml:space="preserve"> </w:t>
      </w:r>
      <w:r w:rsidRPr="0079507E">
        <w:rPr>
          <w:spacing w:val="3"/>
        </w:rPr>
        <w:t>laboratorio nacional forense de perfiles de ADN y 8 laboratorios de análisis de ADN en las Divisiones que tienen por cometido prevenir y combatir la violencia contra las mujeres y los niños en el país mediante una base de datos de seguimiento en tiempo real.</w:t>
      </w:r>
    </w:p>
    <w:p w14:paraId="1B7BC9AF" w14:textId="0D488D4F" w:rsidR="00D056EA" w:rsidRPr="00D056EA" w:rsidRDefault="00D056EA" w:rsidP="00D056EA">
      <w:pPr>
        <w:pStyle w:val="SingleTxt"/>
        <w:numPr>
          <w:ilvl w:val="0"/>
          <w:numId w:val="26"/>
        </w:numPr>
        <w:ind w:left="1267"/>
      </w:pPr>
      <w:r w:rsidRPr="00D056EA">
        <w:t>La pandemia de enfermedad por coronavirus (COVI</w:t>
      </w:r>
      <w:r w:rsidR="00ED40B4">
        <w:t>D</w:t>
      </w:r>
      <w:r w:rsidR="00ED40B4">
        <w:noBreakHyphen/>
        <w:t>1</w:t>
      </w:r>
      <w:r w:rsidRPr="00D056EA">
        <w:t>9) tuvo repercusiones socioeconómicas adversas y desiguales para las mujeres y agravó las vulnerabilidades existentes. Los segmentos vulnerables de la sociedad, como las personas mayores, los pobres, los refugiados, los migrantes, las mujeres y los niños, se vieron afectados de forma desproporcionada debido a sus circunstancias socioeconómicas y de salud específicas. El</w:t>
      </w:r>
      <w:r w:rsidR="00313B17">
        <w:t xml:space="preserve"> </w:t>
      </w:r>
      <w:r w:rsidRPr="00D056EA">
        <w:t>crecimiento del PIB se ralentizó de forma considerable, los ingresos de exportación disminuyeron, las tasas de inversión privada y pública descendieron y los ingresos fiscales del Gobierno se vieron afectados</w:t>
      </w:r>
      <w:r w:rsidRPr="00D056EA">
        <w:rPr>
          <w:vertAlign w:val="superscript"/>
        </w:rPr>
        <w:footnoteReference w:id="6"/>
      </w:r>
      <w:r w:rsidRPr="00D056EA">
        <w:t>. Los trabajadores del servicio doméstico, los propietarios y los trabajadores de microempresas y pequeñas y medianas empresas (mipymes), los jornaleros, los vendedores ambulantes, los limpiadores, los trabajadores sexuales y otros trabajadores informales perdieron en poco tiempo su empleo y su capacidad de obtener ingresos</w:t>
      </w:r>
      <w:r w:rsidRPr="00D056EA">
        <w:rPr>
          <w:vertAlign w:val="superscript"/>
        </w:rPr>
        <w:footnoteReference w:id="7"/>
      </w:r>
      <w:r w:rsidRPr="00D056EA">
        <w:t>. La pandemia exacerbó la carga de trabajo doméstico y de cuidados no remunerado, además de afectar al acceso de las niñas a la educación. Agravó las desigualdades estructurales que ya existían y agrandó la brecha de género en Bangladesh. Sin embargo, el país respondió con rapidez a la pandemia de COVI</w:t>
      </w:r>
      <w:r w:rsidR="00ED40B4">
        <w:t>D</w:t>
      </w:r>
      <w:r w:rsidR="00ED40B4">
        <w:noBreakHyphen/>
        <w:t>1</w:t>
      </w:r>
      <w:r w:rsidRPr="00D056EA">
        <w:t xml:space="preserve">9 mediante un enfoque pansocial y el principio de </w:t>
      </w:r>
      <w:r w:rsidR="00ED40B4">
        <w:t>“</w:t>
      </w:r>
      <w:r w:rsidRPr="00D056EA">
        <w:t>no dejar a nadie atrás</w:t>
      </w:r>
      <w:r w:rsidR="00ED40B4">
        <w:t>”</w:t>
      </w:r>
      <w:r w:rsidRPr="00D056EA">
        <w:t>, y experimentó una sólida trayectoria de recuperación tras la pandemia</w:t>
      </w:r>
      <w:r w:rsidRPr="00D056EA">
        <w:rPr>
          <w:vertAlign w:val="superscript"/>
        </w:rPr>
        <w:footnoteReference w:id="8"/>
      </w:r>
      <w:r w:rsidRPr="00D056EA">
        <w:t>.</w:t>
      </w:r>
    </w:p>
    <w:p w14:paraId="6DA78C8A" w14:textId="77777777" w:rsidR="00D056EA" w:rsidRPr="00D056EA" w:rsidRDefault="00D056EA" w:rsidP="00D056EA">
      <w:pPr>
        <w:pStyle w:val="SingleTxt"/>
        <w:spacing w:after="0" w:line="120" w:lineRule="exact"/>
        <w:rPr>
          <w:sz w:val="10"/>
        </w:rPr>
      </w:pPr>
      <w:bookmarkStart w:id="1" w:name="_Toc198161694"/>
    </w:p>
    <w:p w14:paraId="76F4F977" w14:textId="1AFD1EB8" w:rsidR="00D056EA" w:rsidRDefault="00D056EA" w:rsidP="00D056E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D056EA">
        <w:lastRenderedPageBreak/>
        <w:tab/>
      </w:r>
      <w:r w:rsidRPr="00D056EA">
        <w:tab/>
        <w:t>Sección I: Principales novedades con respecto a las</w:t>
      </w:r>
      <w:r>
        <w:t xml:space="preserve"> </w:t>
      </w:r>
      <w:r w:rsidRPr="00D056EA">
        <w:t>observaciones finales</w:t>
      </w:r>
      <w:bookmarkEnd w:id="1"/>
    </w:p>
    <w:p w14:paraId="6565B2EF" w14:textId="35A6002C" w:rsidR="00D056EA" w:rsidRPr="00D056EA" w:rsidRDefault="00D056EA" w:rsidP="00D056EA">
      <w:pPr>
        <w:pStyle w:val="SingleTxt"/>
        <w:spacing w:after="0" w:line="120" w:lineRule="exact"/>
        <w:rPr>
          <w:sz w:val="10"/>
        </w:rPr>
      </w:pPr>
    </w:p>
    <w:p w14:paraId="7D64AAD8" w14:textId="77777777" w:rsidR="00D056EA" w:rsidRPr="00D056EA" w:rsidRDefault="00D056EA" w:rsidP="00D056EA">
      <w:pPr>
        <w:pStyle w:val="SingleTxt"/>
        <w:spacing w:after="0" w:line="120" w:lineRule="exact"/>
        <w:rPr>
          <w:sz w:val="10"/>
        </w:rPr>
      </w:pPr>
    </w:p>
    <w:p w14:paraId="2F134198" w14:textId="7769625C" w:rsidR="00D056EA" w:rsidRPr="00D056EA" w:rsidRDefault="00D056EA" w:rsidP="00D056EA">
      <w:pPr>
        <w:pStyle w:val="SingleTxt"/>
        <w:numPr>
          <w:ilvl w:val="0"/>
          <w:numId w:val="26"/>
        </w:numPr>
        <w:ind w:left="1267"/>
      </w:pPr>
      <w:r w:rsidRPr="00D056EA">
        <w:t>Medidas jurídicas para eliminar la discriminación: desde la presentación del octavo informe periódico, Bangladesh ha puesto en marcha una serie de iniciativas y reformas legislativas encaminadas a impulsar la igualdad de género y promover la justicia de género. Entre 2016 y 2025, se promulgaron varias leyes y ordenanzas nuevas en consonancia con los principios básicos de la Convención sobre la Eliminación de Todas las Formas de Discriminación contra la Mujer, cuyo objetivo es eliminar la discriminación contra las mujeres y lograr la igualdad de género.</w:t>
      </w:r>
    </w:p>
    <w:p w14:paraId="10C82556" w14:textId="2CFACCF0" w:rsidR="00D056EA" w:rsidRPr="00D056EA" w:rsidRDefault="00D056EA" w:rsidP="00D056EA">
      <w:pPr>
        <w:pStyle w:val="SingleTxt"/>
        <w:numPr>
          <w:ilvl w:val="0"/>
          <w:numId w:val="26"/>
        </w:numPr>
        <w:ind w:left="1267"/>
      </w:pPr>
      <w:r w:rsidRPr="00D056EA">
        <w:t>El Gobierno interino actual de Bangladesh modificó la Ley de Prevención de la Opresión contra Mujeres y Niños de 2000 mediante una ordenanza de marzo de 2025 con el fin de agilizar el proceso de investigación y enjuiciamiento en los casos de violación. La Ley modificada (sección 18) reduce el período de investigación de 30 a 15 días y establece que los juicios se deben concluir en un plazo máximo de 90 días (sección 20), frente a 180 días en la ley anterior. Para solucionar los retrasos causados en los juicios por el requisito de presentar el certificado de una prueba de ADN, en la modificación se establece que si el tribunal determina que un juicio puede proseguir sobre la base de certificados médicos y pruebas circunstanciales, no será necesario esperar por los resultados de esa prueba (sección</w:t>
      </w:r>
      <w:r w:rsidR="00313B17">
        <w:t xml:space="preserve"> </w:t>
      </w:r>
      <w:r w:rsidRPr="00D056EA">
        <w:t>32). Anteriormente, en 2020, el Gobierno había modificado esa misma ley y había introducido penas más duras, incluida la pena de muerte por violación; además, había hecho hincapié en la importancia que tenían en los casos de violación los reconocimientos médicos tanto de las víctimas como de los acusados.</w:t>
      </w:r>
    </w:p>
    <w:p w14:paraId="694D01CC" w14:textId="6106B51F" w:rsidR="00D056EA" w:rsidRPr="00D056EA" w:rsidRDefault="00D056EA" w:rsidP="00D056EA">
      <w:pPr>
        <w:pStyle w:val="SingleTxt"/>
        <w:numPr>
          <w:ilvl w:val="0"/>
          <w:numId w:val="26"/>
        </w:numPr>
        <w:ind w:left="1267"/>
      </w:pPr>
      <w:r w:rsidRPr="00D056EA">
        <w:t xml:space="preserve">El Gobierno modificó en 2022 la antiquísima Ley de Pruebas, de 1872, para ampliar la definición de </w:t>
      </w:r>
      <w:r w:rsidR="00ED40B4">
        <w:t>“</w:t>
      </w:r>
      <w:r w:rsidRPr="00D056EA">
        <w:t>pruebas</w:t>
      </w:r>
      <w:r w:rsidR="00ED40B4">
        <w:t>”</w:t>
      </w:r>
      <w:r w:rsidRPr="00D056EA">
        <w:t xml:space="preserve"> de modo que incluyera pruebas físicas, forenses y digitales. Además, derogó el artículo 155 4), que permitía cuestionar el carácter de una víctima de violación, y modificó el artículo 146 3), que exigía la aprobación del tribunal para cuestionar el carácter de una víctima. Esta reforma supuso un importante paso para proteger a los supervivientes de la violencia de género, evitar la culpabilización de las víctimas y salvaguardar su dignidad y privacidad durante las actuaciones judiciales. En 2018, la</w:t>
      </w:r>
      <w:r w:rsidR="00313B17">
        <w:t xml:space="preserve"> </w:t>
      </w:r>
      <w:r w:rsidRPr="00D056EA">
        <w:t xml:space="preserve">División del Tribunal Superior del Tribunal Supremo de Bangladesh dictó una sentencia histórica en la que prohibía someter a las supervivientes de violación a la humillante </w:t>
      </w:r>
      <w:r w:rsidR="00ED40B4">
        <w:t>“</w:t>
      </w:r>
      <w:r w:rsidRPr="00D056EA">
        <w:t>prueba de los dos dedos</w:t>
      </w:r>
      <w:r w:rsidR="00ED40B4">
        <w:t>”</w:t>
      </w:r>
      <w:r w:rsidRPr="00D056EA">
        <w:t>. El Tribunal dictaminó además que, durante el juicio, los abogados no podían plantear a las víctimas de una violación ninguna pregunta que pudiera ir en contra de su dignidad.</w:t>
      </w:r>
      <w:bookmarkStart w:id="2" w:name="_Hlk125387698"/>
      <w:bookmarkEnd w:id="2"/>
    </w:p>
    <w:p w14:paraId="4A4AD9BB" w14:textId="5B01B780" w:rsidR="00D056EA" w:rsidRPr="00D056EA" w:rsidRDefault="00D056EA" w:rsidP="00D056EA">
      <w:pPr>
        <w:pStyle w:val="SingleTxt"/>
        <w:numPr>
          <w:ilvl w:val="0"/>
          <w:numId w:val="26"/>
        </w:numPr>
        <w:ind w:left="1267"/>
      </w:pPr>
      <w:r w:rsidRPr="00D056EA">
        <w:t>En 2022, el Gobierno redactó un proyecto de ley contra la discriminación, cuyo objetivo era proteger, defender y garantizar la igualdad de derechos y la dignidad de todos los ciudadanos bangladesíes, así como prevenir y eliminar las prácticas discriminatorias, en</w:t>
      </w:r>
      <w:r w:rsidR="00313B17">
        <w:t xml:space="preserve"> </w:t>
      </w:r>
      <w:r w:rsidRPr="00D056EA">
        <w:t>particular contra los segmentos marginados de la sociedad. El proyecto de ley se formuló teniendo en cuenta las disposiciones constitucionales sobre igualdad y no discriminación, y los tratados internacionales de derechos humanos en los que Bangladesh es parte. El proyecto de ley recoge una lista de acciones discriminatorias y prevé recursos administrativos y judiciales para ellas. En la lista se tienen en cuenta los problemas y prejuicios a los que se enfrentan las mujeres tanto en su vida personal como en la esfera pública.</w:t>
      </w:r>
    </w:p>
    <w:p w14:paraId="348FC6FB" w14:textId="7A6B9ABD" w:rsidR="00D056EA" w:rsidRPr="00D056EA" w:rsidRDefault="00D056EA" w:rsidP="00D056EA">
      <w:pPr>
        <w:pStyle w:val="SingleTxt"/>
        <w:numPr>
          <w:ilvl w:val="0"/>
          <w:numId w:val="26"/>
        </w:numPr>
        <w:ind w:left="1267"/>
      </w:pPr>
      <w:r w:rsidRPr="00D056EA">
        <w:t>En consonancia con las indicaciones del Tribunal Superior, la Dirección de Enseñanza Secundaria y Superior, dependiente del Ministerio de Educación, elaboró con el apoyo técnico del Fondo de Población de las Naciones Unidas (UNFPA) unas directrices completas para los comités encargados de combatir el acoso sexual en los centros educativos. El</w:t>
      </w:r>
      <w:r w:rsidR="00313B17">
        <w:t xml:space="preserve"> </w:t>
      </w:r>
      <w:r w:rsidRPr="00D056EA">
        <w:t xml:space="preserve">Gobierno de Bangladesh, junto con organismos internacionales y organizaciones no gubernamentales (ONG), adoptó medidas enérgicas para </w:t>
      </w:r>
      <w:r w:rsidRPr="00D056EA">
        <w:lastRenderedPageBreak/>
        <w:t>implementar las directrices del Tribunal Superior destinadas a prevenir el acoso sexual contra las mujeres y las niñas en el lugar de trabajo, los centros educativos y otros espacios públicos</w:t>
      </w:r>
      <w:r w:rsidRPr="00D056EA">
        <w:rPr>
          <w:vertAlign w:val="superscript"/>
        </w:rPr>
        <w:footnoteReference w:id="9"/>
      </w:r>
      <w:r w:rsidRPr="00D056EA">
        <w:t>. Además, el Gobierno redactó una nueva ley, la Ley de Prevención y Protección en materia de Acoso Sexual de 2025, para combatir el acoso sexual en espacios públicos, lugares de trabajo y centros educativos. En el proyecto de ley se define el acoso sexual, se exponen a grandes rasgos los pasos necesarios para denunciarlo y se prevén sanciones, como multas, suspensión o despido del puesto de trabajo.</w:t>
      </w:r>
    </w:p>
    <w:p w14:paraId="0AD1622E" w14:textId="0D4EC948" w:rsidR="00D056EA" w:rsidRPr="00D056EA" w:rsidRDefault="00D056EA" w:rsidP="00D056EA">
      <w:pPr>
        <w:pStyle w:val="SingleTxt"/>
        <w:numPr>
          <w:ilvl w:val="0"/>
          <w:numId w:val="26"/>
        </w:numPr>
        <w:ind w:left="1267"/>
      </w:pPr>
      <w:r w:rsidRPr="00D056EA">
        <w:t>El Gobierno promulgó la Ley de Prohibición de la Dote de 2018 (Ley núm. 39 de 2018), que prohíbe dar o recibir una dote en el momento del matrimonio, antes de su celebración solemne o durante la relación matrimonial. Introduce cambios fundamentales, por ejemplo la tipificación como delito de los acuerdos de dote y los casos falsos, la</w:t>
      </w:r>
      <w:r w:rsidR="00313B17">
        <w:t xml:space="preserve"> </w:t>
      </w:r>
      <w:r w:rsidRPr="00D056EA">
        <w:t>aplicación del Código de Procedimiento Penal durante los juicios, la eliminación del plazo de prescripción y la estipulación de que el delito sea perseguible sin necesidad de orden judicial previa. En 2017 se promulgó la Ley de Restricción del Matrimonio Infantil, por la que se derogó una ley de la época colonial, con el objetivo de prevenir los matrimonios infantiles fijando la edad mínima legal para casarse en 18 años para las mujeres y 21 para los hombres. La Ley tipifica como delito el matrimonio de menores y prevé sanciones para quienes participen en la concertación o celebración de matrimonios precoces. Por otra parte, prevé excepciones en casos especiales con aprobación judicial, pero solo si se cumplen unas condiciones estrictas.</w:t>
      </w:r>
    </w:p>
    <w:p w14:paraId="1DB02DC5" w14:textId="3EF7270A" w:rsidR="00D056EA" w:rsidRPr="00D056EA" w:rsidRDefault="00D056EA" w:rsidP="00D056EA">
      <w:pPr>
        <w:pStyle w:val="SingleTxt"/>
        <w:numPr>
          <w:ilvl w:val="0"/>
          <w:numId w:val="26"/>
        </w:numPr>
        <w:ind w:left="1267"/>
      </w:pPr>
      <w:r w:rsidRPr="00D056EA">
        <w:t>El Gobierno derogó la Ordenanza de Tribunales de Familia de 1985 y aprobó la Ley de Tribunales de Familia de 2023, por la que se faculta a los tribunales de familia para resolver asuntos relacionados con el divorcio, la restitución de los derechos conyugales, la dote, la pensión alimenticia y la tutela. En virtud de la Ley también se crearon tribunales de apelación de familia, con un juez de distrito en cada tribunal.</w:t>
      </w:r>
    </w:p>
    <w:p w14:paraId="0AD894BE" w14:textId="041A6B6A" w:rsidR="00D056EA" w:rsidRPr="00D056EA" w:rsidRDefault="00D056EA" w:rsidP="00D056EA">
      <w:pPr>
        <w:pStyle w:val="SingleTxt"/>
        <w:numPr>
          <w:ilvl w:val="0"/>
          <w:numId w:val="26"/>
        </w:numPr>
        <w:ind w:left="1267"/>
      </w:pPr>
      <w:r w:rsidRPr="00D056EA">
        <w:t>El Gobierno modificó la Ley (Modificación) de Elección al Parlamento Nacional (Escaños Reservados para Mujeres) de 2023 con el objetivo de aumentar de 45 a 50 el número de escaños reservados para mujeres en el Parlamento Nacional, como establece la 15ª</w:t>
      </w:r>
      <w:r w:rsidR="00313B17">
        <w:t xml:space="preserve"> </w:t>
      </w:r>
      <w:r w:rsidRPr="00D056EA">
        <w:t>enmienda de la Constitución.</w:t>
      </w:r>
    </w:p>
    <w:p w14:paraId="31CEFD03" w14:textId="0F0A2240" w:rsidR="00D056EA" w:rsidRPr="00D056EA" w:rsidRDefault="00D056EA" w:rsidP="00D056EA">
      <w:pPr>
        <w:pStyle w:val="SingleTxt"/>
        <w:numPr>
          <w:ilvl w:val="0"/>
          <w:numId w:val="26"/>
        </w:numPr>
        <w:ind w:left="1267"/>
      </w:pPr>
      <w:r w:rsidRPr="00D056EA">
        <w:t>El Gobierno formuló la Ley del Consejo Nacional de Bienestar Social de Bangladesh de 2019 para crear un Consejo que ofrezca ayuda financiera a los grupos vulnerables de la sociedad, a saber, mujeres, niños, grupos desfavorecidos como minorías étnicas, personas con autismo, discapacidad física o deficiencia visual o auditiva, víctimas de desastres, habitantes de zonas erosionadas por los ríos que se han convertido en habitantes de barrios marginales, trabajadores de plantaciones de té y otros grupos de personas con bajos ingresos que viven por debajo del umbral de pobreza.</w:t>
      </w:r>
    </w:p>
    <w:p w14:paraId="6CCD3A92" w14:textId="41E593EB" w:rsidR="00D056EA" w:rsidRPr="00D056EA" w:rsidRDefault="00D056EA" w:rsidP="00D056EA">
      <w:pPr>
        <w:pStyle w:val="SingleTxt"/>
        <w:numPr>
          <w:ilvl w:val="0"/>
          <w:numId w:val="26"/>
        </w:numPr>
        <w:ind w:left="1267"/>
      </w:pPr>
      <w:r w:rsidRPr="00D056EA">
        <w:t>El Gobierno presentó la Ley de Guarderías de 2021 para establecer normas que rijan el funcionamiento de las guarderías y, así, proteger el bienestar de los niños mientras sus progenitores trabajan. El Gobierno también modificó la Ley (Modificación) del Consejo de Enfermería y Partería de Bangladesh de 2023 (Ley núm.</w:t>
      </w:r>
      <w:r w:rsidR="00313B17">
        <w:t xml:space="preserve"> </w:t>
      </w:r>
      <w:r w:rsidRPr="00D056EA">
        <w:t>03 de 2023), cuyo objetivo es mejorar la calidad de la educación, la formación y la conducta profesional de los enfermeros y parteros, mayoritariamente mujeres, lo que contribuye a empoderarlos en sus carreras.</w:t>
      </w:r>
    </w:p>
    <w:p w14:paraId="184CF51E" w14:textId="24E4F1F1" w:rsidR="00D056EA" w:rsidRPr="00D056EA" w:rsidRDefault="00D056EA" w:rsidP="00D056EA">
      <w:pPr>
        <w:pStyle w:val="SingleTxt"/>
        <w:numPr>
          <w:ilvl w:val="0"/>
          <w:numId w:val="26"/>
        </w:numPr>
        <w:ind w:left="1267"/>
      </w:pPr>
      <w:r w:rsidRPr="00D056EA">
        <w:t xml:space="preserve">El actual Gobierno interino formó una Comisión de Reforma para los Asuntos de la Mujer con el fin de eliminar los obstáculos sistemáticos y la discriminación arraigada que afrontan las mujeres. La Comisión formuló 433 recomendaciones </w:t>
      </w:r>
      <w:r w:rsidRPr="00D056EA">
        <w:lastRenderedPageBreak/>
        <w:t xml:space="preserve">agrupadas en 15 ámbitos temáticos para eliminar la discriminación existente contra las mujeres. A fin de reforzar las medidas jurídicas y las políticas que promueven la igualdad de género y proteger los derechos de las mujeres, la Comisión recomienda eliminar todas las disposiciones jurídicas discriminatorias y contradictorias. En particular, sugiere aprobar un código de familia uniforme que sea voluntario para todas las comunidades religiosas y aborde todos los asuntos relacionados con el matrimonio, el divorcio y la herencia. El Gobierno está estudiando activamente la posibilidad de aplicar las recomendaciones a través de reformas jurídicas, políticas y administrativas llevadas a cabo en consulta con las partes interesadas. </w:t>
      </w:r>
    </w:p>
    <w:p w14:paraId="0780E417" w14:textId="77777777" w:rsidR="00D056EA" w:rsidRDefault="00D056EA" w:rsidP="00D056EA">
      <w:pPr>
        <w:pStyle w:val="SingleTxt"/>
        <w:spacing w:after="0" w:line="120" w:lineRule="exact"/>
        <w:rPr>
          <w:sz w:val="10"/>
        </w:rPr>
      </w:pPr>
      <w:bookmarkStart w:id="3" w:name="_Toc198161695"/>
    </w:p>
    <w:p w14:paraId="7D62B9CF" w14:textId="77777777" w:rsidR="00D056EA" w:rsidRPr="00D056EA" w:rsidRDefault="00D056EA" w:rsidP="00D056EA">
      <w:pPr>
        <w:pStyle w:val="SingleTxt"/>
        <w:spacing w:after="0" w:line="120" w:lineRule="exact"/>
        <w:rPr>
          <w:sz w:val="10"/>
        </w:rPr>
      </w:pPr>
    </w:p>
    <w:p w14:paraId="5B643FF6" w14:textId="7E225E19" w:rsidR="00D056EA" w:rsidRPr="00D056EA" w:rsidRDefault="00D056EA" w:rsidP="00D056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56EA">
        <w:tab/>
      </w:r>
      <w:r w:rsidRPr="00D056EA">
        <w:tab/>
        <w:t>Mecanismos nacionales para el adelanto de la mujer</w:t>
      </w:r>
      <w:bookmarkEnd w:id="3"/>
    </w:p>
    <w:p w14:paraId="06F9490E" w14:textId="77777777" w:rsidR="00D056EA" w:rsidRPr="00D056EA" w:rsidRDefault="00D056EA" w:rsidP="00D056EA">
      <w:pPr>
        <w:pStyle w:val="SingleTxt"/>
        <w:spacing w:after="0" w:line="120" w:lineRule="exact"/>
        <w:rPr>
          <w:sz w:val="10"/>
        </w:rPr>
      </w:pPr>
    </w:p>
    <w:p w14:paraId="1FF655A1" w14:textId="77777777" w:rsidR="00D056EA" w:rsidRPr="00D056EA" w:rsidRDefault="00D056EA" w:rsidP="00D056EA">
      <w:pPr>
        <w:pStyle w:val="SingleTxt"/>
        <w:spacing w:after="0" w:line="120" w:lineRule="exact"/>
        <w:rPr>
          <w:sz w:val="10"/>
        </w:rPr>
      </w:pPr>
    </w:p>
    <w:p w14:paraId="2FF6A5D2" w14:textId="5D9EA21D" w:rsidR="00D056EA" w:rsidRPr="00D056EA" w:rsidRDefault="00D056EA" w:rsidP="00D056EA">
      <w:pPr>
        <w:pStyle w:val="SingleTxt"/>
        <w:numPr>
          <w:ilvl w:val="0"/>
          <w:numId w:val="26"/>
        </w:numPr>
        <w:ind w:left="1267"/>
      </w:pPr>
      <w:r w:rsidRPr="00D056EA">
        <w:t>El Gobierno de Bangladesh ha emprendido varias iniciativas encaminadas a reforzar los mecanismos nacionales de promoción y protección de los derechos de las mujeres y la igualdad de género. Además, ha adoptado diversas medidas para reforzar los mecanismos institucionales encargados de las cuestiones de género, por ejemplo: incrementar los recursos humanos y las asignaciones presupuestarias; contratar expertos en sectores específicos; reforzar los sistemas de documentación y gestión de datos; mejorar la infraestructura y los sistemas de apoyo logístico; vigilar los sistemas e incrementar la coordinación entre las diferentes actividades de los proyectos o programas y los procesos de formulación de estrategias en general.</w:t>
      </w:r>
    </w:p>
    <w:p w14:paraId="244440E2" w14:textId="7B8899F0" w:rsidR="00D056EA" w:rsidRPr="00D056EA" w:rsidRDefault="00D056EA" w:rsidP="00D056EA">
      <w:pPr>
        <w:pStyle w:val="SingleTxt"/>
        <w:numPr>
          <w:ilvl w:val="0"/>
          <w:numId w:val="26"/>
        </w:numPr>
        <w:ind w:left="1267"/>
      </w:pPr>
      <w:r w:rsidRPr="00D056EA">
        <w:t xml:space="preserve">El Gobierno decidió cambiar el nombre del Ministerio de Asuntos de la Mohila y la Infancia por el de Ministerio de la Mujer y la Infancia. En la misma línea, el Gobierno también decidió renombrar todos los organismos asociados y designaciones oficiales en el marco del Ministerio de Asuntos de la Mujer y la Infancia sustituyendo </w:t>
      </w:r>
      <w:r w:rsidR="00ED40B4">
        <w:t>“</w:t>
      </w:r>
      <w:r w:rsidRPr="00D056EA">
        <w:t>Mohila</w:t>
      </w:r>
      <w:r w:rsidR="00ED40B4">
        <w:t>”</w:t>
      </w:r>
      <w:r w:rsidRPr="00D056EA">
        <w:t xml:space="preserve"> por </w:t>
      </w:r>
      <w:r w:rsidR="00ED40B4">
        <w:t>“</w:t>
      </w:r>
      <w:r w:rsidRPr="00D056EA">
        <w:t>Nari</w:t>
      </w:r>
      <w:r w:rsidR="00ED40B4">
        <w:t>”</w:t>
      </w:r>
      <w:r w:rsidRPr="00D056EA">
        <w:t>. Esta decisión pone de manifiesto un cambio estratégico de política destinado a adaptar la atención prestada a la gobernanza relacionada con las mujeres.</w:t>
      </w:r>
    </w:p>
    <w:p w14:paraId="6979DE8A" w14:textId="03743CD7" w:rsidR="00D056EA" w:rsidRPr="00D056EA" w:rsidRDefault="00D056EA" w:rsidP="00D056EA">
      <w:pPr>
        <w:pStyle w:val="SingleTxt"/>
        <w:numPr>
          <w:ilvl w:val="0"/>
          <w:numId w:val="26"/>
        </w:numPr>
        <w:ind w:left="1267"/>
      </w:pPr>
      <w:r w:rsidRPr="00D056EA">
        <w:t>El Ministerio de Asuntos de la Mujer y la Infancia ha adoptado importantes medidas para coordinar, vigilar y poner en marcha iniciativas en materia de igualdad de género en Bangladesh. Entre las principales iniciativas emprendidas desde 2016 figuran la implementación de la presupuestación que responde a las cuestiones de género, la</w:t>
      </w:r>
      <w:r w:rsidR="00313B17">
        <w:t xml:space="preserve"> </w:t>
      </w:r>
      <w:r w:rsidRPr="00D056EA">
        <w:t>actualización del Plan de Acción Nacional sobre la Política Nacional para el Adelanto de las Mujeres, la formulación de Planes de Acción Anuales y la formación de la Dependencia de Promoción del Liderazgo Político.</w:t>
      </w:r>
    </w:p>
    <w:p w14:paraId="035B3611" w14:textId="38498C82" w:rsidR="00D056EA" w:rsidRPr="00D056EA" w:rsidRDefault="00D056EA" w:rsidP="00D056EA">
      <w:pPr>
        <w:pStyle w:val="SingleTxt"/>
        <w:numPr>
          <w:ilvl w:val="0"/>
          <w:numId w:val="26"/>
        </w:numPr>
        <w:ind w:left="1267"/>
      </w:pPr>
      <w:r w:rsidRPr="00D056EA">
        <w:t>En 2023, el Ministerio de Asuntos de la Mujer y la Infancia actualizó el Plan de Acción Nacional sobre la Política Nacional para el Adelanto de las Mujeres para incorporar las oportunidades y retos emergentes. El Plan actualizado (2021-2030) proporciona un marco global para orientar la implementación de la Política Nacional para el Adelanto de las Mujeres de 2011 en 54 Ministerios y se ha cotejado con los indicadores de los Objetivos de Desarrollo Sostenible (ODS) y el Marco de Resultados de Desarrollo del Octavo Plan Quinquenal (2020-2025). El Plan sirve para orientar al Gobierno en el cumplimiento de las obligaciones que le incumben en virtud de numerosos tratados, acuerdos y declaraciones internacionales, incluida la Convención sobre la Eliminación de Todas las Formas de Discriminación contra la Mujer y los ODS. Pretende también contribuir al crecimiento y el desarrollo globales del país mediante la puesta en práctica, a través de un enfoque pangubernamental, de la Política Nacional para el Adelanto de las Mujeres de 2011.</w:t>
      </w:r>
    </w:p>
    <w:p w14:paraId="3461CC88" w14:textId="77777777" w:rsidR="00D056EA" w:rsidRPr="00D056EA" w:rsidRDefault="00D056EA" w:rsidP="00D056EA">
      <w:pPr>
        <w:pStyle w:val="SingleTxt"/>
        <w:spacing w:after="0" w:line="120" w:lineRule="exact"/>
        <w:rPr>
          <w:sz w:val="10"/>
        </w:rPr>
      </w:pPr>
    </w:p>
    <w:p w14:paraId="69C9462A" w14:textId="77777777" w:rsidR="00D056EA" w:rsidRPr="00D056EA" w:rsidRDefault="00D056EA" w:rsidP="00D056EA">
      <w:pPr>
        <w:pStyle w:val="SingleTxt"/>
        <w:spacing w:after="0" w:line="120" w:lineRule="exact"/>
        <w:rPr>
          <w:sz w:val="10"/>
        </w:rPr>
      </w:pPr>
    </w:p>
    <w:p w14:paraId="5D35ED29" w14:textId="69B20B8A" w:rsidR="00D056EA" w:rsidRPr="00D056EA" w:rsidRDefault="00D056EA" w:rsidP="00D13B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48" w:hanging="1267"/>
      </w:pPr>
      <w:r w:rsidRPr="00D056EA">
        <w:lastRenderedPageBreak/>
        <w:tab/>
      </w:r>
      <w:r w:rsidRPr="00D056EA">
        <w:tab/>
      </w:r>
      <w:bookmarkStart w:id="4" w:name="_Hlk212542225"/>
      <w:r w:rsidRPr="00D056EA">
        <w:t>Plan de Acción Nacional para Eliminar la Violencia contra las Mujeres y</w:t>
      </w:r>
      <w:r>
        <w:t xml:space="preserve"> </w:t>
      </w:r>
      <w:r w:rsidRPr="00D056EA">
        <w:t>los Niños</w:t>
      </w:r>
      <w:bookmarkEnd w:id="4"/>
      <w:r w:rsidRPr="00D056EA">
        <w:t xml:space="preserve"> (2018-2030)</w:t>
      </w:r>
    </w:p>
    <w:p w14:paraId="1A304CA0" w14:textId="77777777" w:rsidR="00D056EA" w:rsidRPr="00D056EA" w:rsidRDefault="00D056EA" w:rsidP="00D13B59">
      <w:pPr>
        <w:pStyle w:val="SingleTxt"/>
        <w:keepNext/>
        <w:keepLines/>
        <w:spacing w:after="0" w:line="120" w:lineRule="exact"/>
        <w:rPr>
          <w:sz w:val="10"/>
        </w:rPr>
      </w:pPr>
    </w:p>
    <w:p w14:paraId="54ADF04E" w14:textId="77777777" w:rsidR="00D056EA" w:rsidRPr="00D056EA" w:rsidRDefault="00D056EA" w:rsidP="00D13B59">
      <w:pPr>
        <w:pStyle w:val="SingleTxt"/>
        <w:keepNext/>
        <w:keepLines/>
        <w:spacing w:after="0" w:line="120" w:lineRule="exact"/>
        <w:rPr>
          <w:sz w:val="10"/>
        </w:rPr>
      </w:pPr>
    </w:p>
    <w:p w14:paraId="78D82691" w14:textId="6F250977" w:rsidR="00D056EA" w:rsidRPr="00D056EA" w:rsidRDefault="00D056EA" w:rsidP="00D056EA">
      <w:pPr>
        <w:pStyle w:val="SingleTxt"/>
        <w:numPr>
          <w:ilvl w:val="0"/>
          <w:numId w:val="26"/>
        </w:numPr>
        <w:ind w:left="1267"/>
      </w:pPr>
      <w:r w:rsidRPr="00D056EA">
        <w:t>El Gobierno de Bangladesh examinó su Plan de Acción Nacional para Eliminar la Violencia contra las Mujeres y los Niños, puesto inicialmente en marcha en 2013, para adaptarlo a los ODS y las prioridades actuales reseñadas en el Octavo Plan Quinquenal. El</w:t>
      </w:r>
      <w:r w:rsidR="00313B17">
        <w:t xml:space="preserve"> </w:t>
      </w:r>
      <w:r w:rsidRPr="00D056EA">
        <w:t>Plan de Acción Nacional actualizado, publicado en noviembre de 2018, prevé una sociedad libre de violencia contra las mujeres y los niños para 2030. El plan tiene por meta garantizar la rendición de cuentas e impulsar los organismos para el empoderamiento de las mujeres y la igualdad de género, así como formular y ejecutar planes de programas específicos para prevenir y eliminar la violencia contra las mujeres y las niñas. El Plan de Acción Nacional actualizado pretende mejorar la aplicación del derecho vigente, llevar a cabo una labor de concienciación social, mejorar las condiciones socioeconómicas de las mujeres y mejorar los servicios de protección, prevención y rehabilitación.</w:t>
      </w:r>
    </w:p>
    <w:p w14:paraId="174C7F5D" w14:textId="56F93C13" w:rsidR="00D056EA" w:rsidRPr="00D056EA" w:rsidRDefault="00D056EA" w:rsidP="00D056EA">
      <w:pPr>
        <w:pStyle w:val="SingleTxt"/>
        <w:numPr>
          <w:ilvl w:val="0"/>
          <w:numId w:val="26"/>
        </w:numPr>
        <w:ind w:left="1267"/>
      </w:pPr>
      <w:r w:rsidRPr="00D056EA">
        <w:t>El Gobierno introdujo la presupuestación que responde a las cuestiones de género como parte de reformas financieras más amplias, en particular la implementación del Marco Presupuestario a Medio Plazo. En los últimos años, el Gobierno ha utilizado el modelo RCGP (siglas de recurrente, capital, género y pobreza) para determinar la parte de las asignaciones de género en el gasto operacional; en él se contemplan 16 criterios para evaluar la sensibilidad de género y la relevancia para el adelanto de la mujer de los proyectos y programas emprendidos por los Ministerios o las Divisiones. En el ejercicio económico 2024/2025, la</w:t>
      </w:r>
      <w:r w:rsidR="00313B17">
        <w:t xml:space="preserve"> </w:t>
      </w:r>
      <w:r w:rsidRPr="00D056EA">
        <w:t>División de Finanzas del Gobierno añadió un módulo independiente para las finanzas de género que se adoptó en el Sistema de Presupuesto Integrado y Contabilidad (iBAS++) mediante el modelo GFT, en lugar del modelo RCGP</w:t>
      </w:r>
      <w:r w:rsidRPr="00D056EA">
        <w:rPr>
          <w:vertAlign w:val="superscript"/>
        </w:rPr>
        <w:footnoteReference w:id="10"/>
      </w:r>
      <w:r w:rsidRPr="00D056EA">
        <w:t>. El modelo separó la asignación presupuestaria entre una gama ampliada de ámbitos temáticos, en lugar de hacerlo por Ministerios o Divisiones; para ello, analizó la naturaleza de los programas y actividades con el fin de reforzar la claridad del informe sobre el presupuesto que responde a las cuestiones de género.</w:t>
      </w:r>
    </w:p>
    <w:p w14:paraId="6CBEE1D5" w14:textId="5A740D7B" w:rsidR="00D056EA" w:rsidRPr="00D056EA" w:rsidRDefault="00D056EA" w:rsidP="00D056EA">
      <w:pPr>
        <w:pStyle w:val="SingleTxt"/>
        <w:numPr>
          <w:ilvl w:val="0"/>
          <w:numId w:val="26"/>
        </w:numPr>
        <w:ind w:left="1267"/>
      </w:pPr>
      <w:r w:rsidRPr="00D056EA">
        <w:t>El presupuesto nacional total y la asignación presupuestaria que responde a las cuestiones de género presenta, desde el ejercicio económico 2009/2010, una tendencia de incremento constante, desde 23.100 millones de dólares de los Estados Unidos en el ejercicio 2009/2010 a 230.350 millones en el ejercicio 2024/2025, es decir, prácticamente se multiplicó por diez. Apenas en los últimos cinco años, el presupuesto que responde a las cuestiones de género aumentó un 34,11</w:t>
      </w:r>
      <w:r w:rsidR="00ED40B4">
        <w:t> %</w:t>
      </w:r>
      <w:r w:rsidRPr="00D056EA">
        <w:t xml:space="preserve"> y está bien encaminado para alcanzar, como mínimo, la meta del 35</w:t>
      </w:r>
      <w:r w:rsidR="00ED40B4">
        <w:t> %</w:t>
      </w:r>
      <w:r w:rsidRPr="00D056EA">
        <w:t xml:space="preserve"> para 2025.</w:t>
      </w:r>
    </w:p>
    <w:p w14:paraId="71EA9A6B" w14:textId="68625A49" w:rsidR="00D056EA" w:rsidRPr="00D056EA" w:rsidRDefault="00D056EA" w:rsidP="00D056EA">
      <w:pPr>
        <w:pStyle w:val="SingleTxt"/>
        <w:numPr>
          <w:ilvl w:val="0"/>
          <w:numId w:val="26"/>
        </w:numPr>
        <w:ind w:left="1267"/>
      </w:pPr>
      <w:r w:rsidRPr="00D056EA">
        <w:t>En el siguiente cuadro se muestran las asignaciones presupuestarias para el Ministerio de Asuntos de la Mujer y la Infancia en los últimos años.</w:t>
      </w:r>
    </w:p>
    <w:p w14:paraId="1864C673" w14:textId="77777777" w:rsidR="00C20F3A" w:rsidRPr="00C20F3A" w:rsidRDefault="00C20F3A" w:rsidP="00C20F3A">
      <w:pPr>
        <w:pStyle w:val="SingleTxt"/>
        <w:spacing w:after="0" w:line="120" w:lineRule="exact"/>
        <w:rPr>
          <w:sz w:val="10"/>
        </w:rPr>
      </w:pPr>
    </w:p>
    <w:p w14:paraId="48FB6B83" w14:textId="77777777" w:rsidR="00C20F3A" w:rsidRDefault="00C20F3A" w:rsidP="00BF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D056EA" w:rsidRPr="00C20F3A">
        <w:rPr>
          <w:b w:val="0"/>
          <w:bCs/>
        </w:rPr>
        <w:t>Cuadro 1</w:t>
      </w:r>
    </w:p>
    <w:p w14:paraId="711E9032" w14:textId="0921B92C" w:rsidR="00A2609B" w:rsidRDefault="00C20F3A" w:rsidP="00BF1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6" w:hanging="1267"/>
      </w:pPr>
      <w:r>
        <w:tab/>
      </w:r>
      <w:r>
        <w:tab/>
      </w:r>
      <w:r w:rsidR="00D056EA" w:rsidRPr="00D056EA">
        <w:t>Asignaciones presupuestarias para el Ministerio de Asuntos de la Mujer y la Infancia</w:t>
      </w:r>
    </w:p>
    <w:p w14:paraId="641E99E3" w14:textId="77777777" w:rsidR="00C20F3A" w:rsidRPr="00C20F3A" w:rsidRDefault="00C20F3A" w:rsidP="00BF14E0">
      <w:pPr>
        <w:pStyle w:val="SingleTxt"/>
        <w:keepNext/>
        <w:keepLines/>
        <w:spacing w:after="0" w:line="120" w:lineRule="exact"/>
        <w:rPr>
          <w:sz w:val="10"/>
        </w:rPr>
      </w:pPr>
    </w:p>
    <w:p w14:paraId="4A5345E7" w14:textId="77777777" w:rsidR="00C20F3A" w:rsidRPr="00C20F3A" w:rsidRDefault="00C20F3A" w:rsidP="00BF14E0">
      <w:pPr>
        <w:pStyle w:val="SingleTxt"/>
        <w:keepNext/>
        <w:keepLines/>
        <w:spacing w:after="0" w:line="120" w:lineRule="exact"/>
        <w:rPr>
          <w:sz w:val="10"/>
        </w:rPr>
      </w:pPr>
    </w:p>
    <w:tbl>
      <w:tblPr>
        <w:tblStyle w:val="TableGrid5"/>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00"/>
        <w:gridCol w:w="2187"/>
        <w:gridCol w:w="2153"/>
        <w:gridCol w:w="2030"/>
      </w:tblGrid>
      <w:tr w:rsidR="00DE42B3" w:rsidRPr="00C27FCF" w14:paraId="5081B6E3" w14:textId="77777777" w:rsidTr="00D01797">
        <w:trPr>
          <w:tblHeader/>
        </w:trPr>
        <w:tc>
          <w:tcPr>
            <w:tcW w:w="1000" w:type="dxa"/>
            <w:tcBorders>
              <w:top w:val="single" w:sz="4" w:space="0" w:color="auto"/>
              <w:bottom w:val="single" w:sz="12" w:space="0" w:color="auto"/>
            </w:tcBorders>
            <w:vAlign w:val="bottom"/>
          </w:tcPr>
          <w:p w14:paraId="377E29B1" w14:textId="77777777" w:rsidR="00DE42B3" w:rsidRPr="00C27FCF" w:rsidRDefault="00DE42B3" w:rsidP="00BF14E0">
            <w:pPr>
              <w:keepNext/>
              <w:keepLines/>
              <w:tabs>
                <w:tab w:val="left" w:pos="288"/>
                <w:tab w:val="left" w:pos="576"/>
                <w:tab w:val="left" w:pos="864"/>
                <w:tab w:val="left" w:pos="1152"/>
              </w:tabs>
              <w:suppressAutoHyphens w:val="0"/>
              <w:spacing w:before="80" w:after="80" w:line="160" w:lineRule="exact"/>
              <w:ind w:right="43"/>
              <w:rPr>
                <w:rFonts w:eastAsia="Calibri"/>
                <w:bCs/>
                <w:i/>
                <w:sz w:val="14"/>
                <w:szCs w:val="14"/>
              </w:rPr>
            </w:pPr>
            <w:r w:rsidRPr="00C27FCF">
              <w:rPr>
                <w:i/>
                <w:iCs/>
                <w:color w:val="000000"/>
                <w:sz w:val="14"/>
                <w:szCs w:val="14"/>
              </w:rPr>
              <w:t>Número</w:t>
            </w:r>
          </w:p>
        </w:tc>
        <w:tc>
          <w:tcPr>
            <w:tcW w:w="2187" w:type="dxa"/>
            <w:tcBorders>
              <w:top w:val="single" w:sz="4" w:space="0" w:color="auto"/>
              <w:bottom w:val="single" w:sz="12" w:space="0" w:color="auto"/>
            </w:tcBorders>
            <w:vAlign w:val="bottom"/>
          </w:tcPr>
          <w:p w14:paraId="7E1239E6" w14:textId="77777777" w:rsidR="00DE42B3" w:rsidRPr="00C27FCF" w:rsidRDefault="00DE42B3" w:rsidP="00BF14E0">
            <w:pPr>
              <w:keepNext/>
              <w:keepLines/>
              <w:tabs>
                <w:tab w:val="left" w:pos="288"/>
                <w:tab w:val="left" w:pos="576"/>
                <w:tab w:val="left" w:pos="864"/>
                <w:tab w:val="left" w:pos="1152"/>
              </w:tabs>
              <w:suppressAutoHyphens w:val="0"/>
              <w:spacing w:before="80" w:after="80" w:line="160" w:lineRule="exact"/>
              <w:ind w:right="43"/>
              <w:rPr>
                <w:rFonts w:eastAsia="Calibri"/>
                <w:bCs/>
                <w:i/>
                <w:sz w:val="14"/>
                <w:szCs w:val="14"/>
              </w:rPr>
            </w:pPr>
            <w:r w:rsidRPr="00C27FCF">
              <w:rPr>
                <w:i/>
                <w:iCs/>
                <w:color w:val="000000"/>
                <w:sz w:val="14"/>
                <w:szCs w:val="14"/>
              </w:rPr>
              <w:t>Ejercicio económico</w:t>
            </w:r>
          </w:p>
        </w:tc>
        <w:tc>
          <w:tcPr>
            <w:tcW w:w="2153" w:type="dxa"/>
            <w:tcBorders>
              <w:top w:val="single" w:sz="4" w:space="0" w:color="auto"/>
              <w:bottom w:val="single" w:sz="12" w:space="0" w:color="auto"/>
            </w:tcBorders>
            <w:vAlign w:val="bottom"/>
          </w:tcPr>
          <w:p w14:paraId="1C441B27" w14:textId="77777777" w:rsidR="00DE42B3" w:rsidRPr="00C27FCF" w:rsidRDefault="00DE42B3" w:rsidP="00BF14E0">
            <w:pPr>
              <w:keepNext/>
              <w:keepLines/>
              <w:tabs>
                <w:tab w:val="left" w:pos="288"/>
                <w:tab w:val="left" w:pos="576"/>
                <w:tab w:val="left" w:pos="864"/>
                <w:tab w:val="left" w:pos="1152"/>
              </w:tabs>
              <w:suppressAutoHyphens w:val="0"/>
              <w:spacing w:before="80" w:after="80" w:line="160" w:lineRule="exact"/>
              <w:ind w:right="43"/>
              <w:jc w:val="right"/>
              <w:rPr>
                <w:rFonts w:eastAsia="Calibri"/>
                <w:bCs/>
                <w:i/>
                <w:sz w:val="14"/>
                <w:szCs w:val="14"/>
              </w:rPr>
            </w:pPr>
            <w:r w:rsidRPr="00C27FCF">
              <w:rPr>
                <w:i/>
                <w:iCs/>
                <w:color w:val="000000"/>
                <w:sz w:val="14"/>
                <w:szCs w:val="14"/>
              </w:rPr>
              <w:t>Asignación en takas</w:t>
            </w:r>
            <w:r w:rsidRPr="00C27FCF">
              <w:rPr>
                <w:color w:val="000000"/>
                <w:sz w:val="14"/>
                <w:szCs w:val="14"/>
              </w:rPr>
              <w:t xml:space="preserve"> </w:t>
            </w:r>
          </w:p>
        </w:tc>
        <w:tc>
          <w:tcPr>
            <w:tcW w:w="2030" w:type="dxa"/>
            <w:tcBorders>
              <w:top w:val="single" w:sz="4" w:space="0" w:color="auto"/>
              <w:bottom w:val="single" w:sz="12" w:space="0" w:color="auto"/>
            </w:tcBorders>
            <w:vAlign w:val="bottom"/>
          </w:tcPr>
          <w:p w14:paraId="7BD25E89" w14:textId="20D390E8" w:rsidR="00DE42B3" w:rsidRPr="00C27FCF" w:rsidRDefault="00DE42B3" w:rsidP="00BF14E0">
            <w:pPr>
              <w:keepNext/>
              <w:keepLines/>
              <w:tabs>
                <w:tab w:val="left" w:pos="288"/>
                <w:tab w:val="left" w:pos="576"/>
                <w:tab w:val="left" w:pos="864"/>
                <w:tab w:val="left" w:pos="1152"/>
              </w:tabs>
              <w:suppressAutoHyphens w:val="0"/>
              <w:spacing w:before="80" w:after="80" w:line="160" w:lineRule="exact"/>
              <w:ind w:right="43"/>
              <w:jc w:val="right"/>
              <w:rPr>
                <w:rFonts w:eastAsia="Calibri"/>
                <w:bCs/>
                <w:i/>
                <w:sz w:val="14"/>
                <w:szCs w:val="14"/>
              </w:rPr>
            </w:pPr>
            <w:r w:rsidRPr="00C27FCF">
              <w:rPr>
                <w:i/>
                <w:iCs/>
                <w:color w:val="000000"/>
                <w:sz w:val="14"/>
                <w:szCs w:val="14"/>
              </w:rPr>
              <w:t xml:space="preserve">Asignación en dólares </w:t>
            </w:r>
            <w:r>
              <w:rPr>
                <w:i/>
                <w:iCs/>
                <w:color w:val="000000"/>
                <w:sz w:val="14"/>
                <w:szCs w:val="14"/>
              </w:rPr>
              <w:br/>
            </w:r>
            <w:r w:rsidRPr="00C27FCF">
              <w:rPr>
                <w:i/>
                <w:iCs/>
                <w:color w:val="000000"/>
                <w:sz w:val="14"/>
                <w:szCs w:val="14"/>
              </w:rPr>
              <w:t>de los EE.</w:t>
            </w:r>
            <w:r w:rsidR="00AE4701">
              <w:rPr>
                <w:i/>
                <w:iCs/>
                <w:color w:val="000000"/>
                <w:sz w:val="14"/>
                <w:szCs w:val="14"/>
              </w:rPr>
              <w:t xml:space="preserve"> </w:t>
            </w:r>
            <w:r w:rsidRPr="00C27FCF">
              <w:rPr>
                <w:i/>
                <w:iCs/>
                <w:color w:val="000000"/>
                <w:sz w:val="14"/>
                <w:szCs w:val="14"/>
              </w:rPr>
              <w:t>UU.</w:t>
            </w:r>
            <w:r w:rsidRPr="00A77896">
              <w:rPr>
                <w:rFonts w:eastAsia="Calibri"/>
                <w:bCs/>
                <w:iCs/>
                <w:color w:val="000000"/>
                <w:sz w:val="14"/>
                <w:szCs w:val="14"/>
                <w:vertAlign w:val="superscript"/>
              </w:rPr>
              <w:footnoteReference w:id="11"/>
            </w:r>
          </w:p>
        </w:tc>
      </w:tr>
      <w:tr w:rsidR="00DE42B3" w:rsidRPr="00C27FCF" w14:paraId="4E35A921" w14:textId="77777777" w:rsidTr="00D01797">
        <w:trPr>
          <w:trHeight w:hRule="exact" w:val="115"/>
          <w:tblHeader/>
        </w:trPr>
        <w:tc>
          <w:tcPr>
            <w:tcW w:w="1000" w:type="dxa"/>
            <w:tcBorders>
              <w:top w:val="single" w:sz="12" w:space="0" w:color="auto"/>
            </w:tcBorders>
            <w:vAlign w:val="bottom"/>
          </w:tcPr>
          <w:p w14:paraId="1B520BE4" w14:textId="77777777"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rPr>
                <w:i/>
                <w:iCs/>
                <w:color w:val="000000"/>
                <w:sz w:val="17"/>
                <w:szCs w:val="17"/>
              </w:rPr>
            </w:pPr>
          </w:p>
        </w:tc>
        <w:tc>
          <w:tcPr>
            <w:tcW w:w="2187" w:type="dxa"/>
            <w:tcBorders>
              <w:top w:val="single" w:sz="12" w:space="0" w:color="auto"/>
            </w:tcBorders>
            <w:vAlign w:val="bottom"/>
          </w:tcPr>
          <w:p w14:paraId="359EF31C" w14:textId="77777777"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rPr>
                <w:i/>
                <w:iCs/>
                <w:color w:val="000000"/>
                <w:sz w:val="17"/>
                <w:szCs w:val="17"/>
              </w:rPr>
            </w:pPr>
          </w:p>
        </w:tc>
        <w:tc>
          <w:tcPr>
            <w:tcW w:w="2153" w:type="dxa"/>
            <w:tcBorders>
              <w:top w:val="single" w:sz="12" w:space="0" w:color="auto"/>
            </w:tcBorders>
            <w:vAlign w:val="bottom"/>
          </w:tcPr>
          <w:p w14:paraId="2DE14560" w14:textId="77777777"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jc w:val="right"/>
              <w:rPr>
                <w:i/>
                <w:iCs/>
                <w:color w:val="000000"/>
                <w:sz w:val="17"/>
                <w:szCs w:val="17"/>
              </w:rPr>
            </w:pPr>
          </w:p>
        </w:tc>
        <w:tc>
          <w:tcPr>
            <w:tcW w:w="2030" w:type="dxa"/>
            <w:tcBorders>
              <w:top w:val="single" w:sz="12" w:space="0" w:color="auto"/>
            </w:tcBorders>
            <w:vAlign w:val="bottom"/>
          </w:tcPr>
          <w:p w14:paraId="362F434D" w14:textId="77777777"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jc w:val="right"/>
              <w:rPr>
                <w:i/>
                <w:iCs/>
                <w:color w:val="000000"/>
                <w:sz w:val="17"/>
                <w:szCs w:val="17"/>
              </w:rPr>
            </w:pPr>
          </w:p>
        </w:tc>
      </w:tr>
      <w:tr w:rsidR="00DE42B3" w:rsidRPr="00C27FCF" w14:paraId="33AB638A" w14:textId="77777777" w:rsidTr="00D01797">
        <w:tc>
          <w:tcPr>
            <w:tcW w:w="1000" w:type="dxa"/>
          </w:tcPr>
          <w:p w14:paraId="7BA62DC0" w14:textId="77777777"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1</w:t>
            </w:r>
          </w:p>
        </w:tc>
        <w:tc>
          <w:tcPr>
            <w:tcW w:w="2187" w:type="dxa"/>
            <w:vAlign w:val="bottom"/>
          </w:tcPr>
          <w:p w14:paraId="31362BFE" w14:textId="77777777"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2018/19</w:t>
            </w:r>
          </w:p>
        </w:tc>
        <w:tc>
          <w:tcPr>
            <w:tcW w:w="2153" w:type="dxa"/>
            <w:vAlign w:val="bottom"/>
          </w:tcPr>
          <w:p w14:paraId="064271E3" w14:textId="75D50434"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34</w:t>
            </w:r>
            <w:r w:rsidR="000B4134">
              <w:rPr>
                <w:color w:val="000000"/>
                <w:sz w:val="17"/>
                <w:szCs w:val="17"/>
              </w:rPr>
              <w:t xml:space="preserve"> </w:t>
            </w:r>
            <w:r w:rsidRPr="00C27FCF">
              <w:rPr>
                <w:color w:val="000000"/>
                <w:sz w:val="17"/>
                <w:szCs w:val="17"/>
              </w:rPr>
              <w:t>901</w:t>
            </w:r>
            <w:r w:rsidR="000B4134">
              <w:rPr>
                <w:color w:val="000000"/>
                <w:sz w:val="17"/>
                <w:szCs w:val="17"/>
              </w:rPr>
              <w:t xml:space="preserve"> </w:t>
            </w:r>
            <w:r w:rsidRPr="00C27FCF">
              <w:rPr>
                <w:color w:val="000000"/>
                <w:sz w:val="17"/>
                <w:szCs w:val="17"/>
              </w:rPr>
              <w:t>618</w:t>
            </w:r>
            <w:r w:rsidR="000B4134">
              <w:rPr>
                <w:color w:val="000000"/>
                <w:sz w:val="17"/>
                <w:szCs w:val="17"/>
              </w:rPr>
              <w:t xml:space="preserve"> </w:t>
            </w:r>
            <w:r w:rsidRPr="00C27FCF">
              <w:rPr>
                <w:color w:val="000000"/>
                <w:sz w:val="17"/>
                <w:szCs w:val="17"/>
              </w:rPr>
              <w:t>000,00</w:t>
            </w:r>
          </w:p>
        </w:tc>
        <w:tc>
          <w:tcPr>
            <w:tcW w:w="2030" w:type="dxa"/>
            <w:vAlign w:val="bottom"/>
          </w:tcPr>
          <w:p w14:paraId="3E17D74C" w14:textId="3E21159B" w:rsidR="00DE42B3" w:rsidRPr="00C27FCF" w:rsidRDefault="00DE42B3" w:rsidP="00BF14E0">
            <w:pPr>
              <w:keepNext/>
              <w:keepLines/>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286</w:t>
            </w:r>
            <w:r w:rsidR="000B4134">
              <w:rPr>
                <w:color w:val="000000"/>
                <w:sz w:val="17"/>
                <w:szCs w:val="17"/>
              </w:rPr>
              <w:t xml:space="preserve"> </w:t>
            </w:r>
            <w:r w:rsidRPr="00C27FCF">
              <w:rPr>
                <w:color w:val="000000"/>
                <w:sz w:val="17"/>
                <w:szCs w:val="17"/>
              </w:rPr>
              <w:t>078</w:t>
            </w:r>
            <w:r w:rsidR="000B4134">
              <w:rPr>
                <w:color w:val="000000"/>
                <w:sz w:val="17"/>
                <w:szCs w:val="17"/>
              </w:rPr>
              <w:t xml:space="preserve"> </w:t>
            </w:r>
            <w:r w:rsidRPr="00C27FCF">
              <w:rPr>
                <w:color w:val="000000"/>
                <w:sz w:val="17"/>
                <w:szCs w:val="17"/>
              </w:rPr>
              <w:t>836,06</w:t>
            </w:r>
          </w:p>
        </w:tc>
      </w:tr>
      <w:tr w:rsidR="00DE42B3" w:rsidRPr="00C27FCF" w14:paraId="3439F9A0" w14:textId="77777777" w:rsidTr="00D01797">
        <w:tc>
          <w:tcPr>
            <w:tcW w:w="1000" w:type="dxa"/>
          </w:tcPr>
          <w:p w14:paraId="5116724F" w14:textId="77777777" w:rsidR="00DE42B3" w:rsidRPr="00C27FCF" w:rsidRDefault="00DE42B3" w:rsidP="00D01797">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2</w:t>
            </w:r>
          </w:p>
        </w:tc>
        <w:tc>
          <w:tcPr>
            <w:tcW w:w="2187" w:type="dxa"/>
            <w:vAlign w:val="bottom"/>
          </w:tcPr>
          <w:p w14:paraId="652C1DFC" w14:textId="77777777" w:rsidR="00DE42B3" w:rsidRPr="00C27FCF" w:rsidRDefault="00DE42B3" w:rsidP="000B4134">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2019/20</w:t>
            </w:r>
          </w:p>
        </w:tc>
        <w:tc>
          <w:tcPr>
            <w:tcW w:w="2153" w:type="dxa"/>
            <w:vAlign w:val="bottom"/>
          </w:tcPr>
          <w:p w14:paraId="68872BDA" w14:textId="4B568E92"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37</w:t>
            </w:r>
            <w:r w:rsidR="000B4134">
              <w:rPr>
                <w:color w:val="000000"/>
                <w:sz w:val="17"/>
                <w:szCs w:val="17"/>
              </w:rPr>
              <w:t xml:space="preserve"> </w:t>
            </w:r>
            <w:r w:rsidRPr="00C27FCF">
              <w:rPr>
                <w:color w:val="000000"/>
                <w:sz w:val="17"/>
                <w:szCs w:val="17"/>
              </w:rPr>
              <w:t>487</w:t>
            </w:r>
            <w:r w:rsidR="000B4134">
              <w:rPr>
                <w:color w:val="000000"/>
                <w:sz w:val="17"/>
                <w:szCs w:val="17"/>
              </w:rPr>
              <w:t xml:space="preserve"> </w:t>
            </w:r>
            <w:r w:rsidRPr="00C27FCF">
              <w:rPr>
                <w:color w:val="000000"/>
                <w:sz w:val="17"/>
                <w:szCs w:val="17"/>
              </w:rPr>
              <w:t>970</w:t>
            </w:r>
            <w:r w:rsidR="000B4134">
              <w:rPr>
                <w:color w:val="000000"/>
                <w:sz w:val="17"/>
                <w:szCs w:val="17"/>
              </w:rPr>
              <w:t xml:space="preserve"> </w:t>
            </w:r>
            <w:r w:rsidRPr="00C27FCF">
              <w:rPr>
                <w:color w:val="000000"/>
                <w:sz w:val="17"/>
                <w:szCs w:val="17"/>
              </w:rPr>
              <w:t>000,00</w:t>
            </w:r>
          </w:p>
        </w:tc>
        <w:tc>
          <w:tcPr>
            <w:tcW w:w="2030" w:type="dxa"/>
            <w:vAlign w:val="bottom"/>
          </w:tcPr>
          <w:p w14:paraId="24AA4C33" w14:textId="1907AF76"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307</w:t>
            </w:r>
            <w:r w:rsidR="000B4134">
              <w:rPr>
                <w:color w:val="000000"/>
                <w:sz w:val="17"/>
                <w:szCs w:val="17"/>
              </w:rPr>
              <w:t xml:space="preserve"> </w:t>
            </w:r>
            <w:r w:rsidRPr="00C27FCF">
              <w:rPr>
                <w:color w:val="000000"/>
                <w:sz w:val="17"/>
                <w:szCs w:val="17"/>
              </w:rPr>
              <w:t>278</w:t>
            </w:r>
            <w:r w:rsidR="000B4134">
              <w:rPr>
                <w:color w:val="000000"/>
                <w:sz w:val="17"/>
                <w:szCs w:val="17"/>
              </w:rPr>
              <w:t xml:space="preserve"> </w:t>
            </w:r>
            <w:r w:rsidRPr="00C27FCF">
              <w:rPr>
                <w:color w:val="000000"/>
                <w:sz w:val="17"/>
                <w:szCs w:val="17"/>
              </w:rPr>
              <w:t>442,62</w:t>
            </w:r>
          </w:p>
        </w:tc>
      </w:tr>
      <w:tr w:rsidR="00DE42B3" w:rsidRPr="00C27FCF" w14:paraId="15D73B61" w14:textId="77777777" w:rsidTr="00D01797">
        <w:tc>
          <w:tcPr>
            <w:tcW w:w="1000" w:type="dxa"/>
          </w:tcPr>
          <w:p w14:paraId="2F2A3256" w14:textId="77777777" w:rsidR="00DE42B3" w:rsidRPr="00C27FCF" w:rsidRDefault="00DE42B3" w:rsidP="00D01797">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3</w:t>
            </w:r>
          </w:p>
        </w:tc>
        <w:tc>
          <w:tcPr>
            <w:tcW w:w="2187" w:type="dxa"/>
            <w:vAlign w:val="bottom"/>
          </w:tcPr>
          <w:p w14:paraId="00D9E477" w14:textId="77777777" w:rsidR="00DE42B3" w:rsidRPr="00C27FCF" w:rsidRDefault="00DE42B3" w:rsidP="000B4134">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2020/21</w:t>
            </w:r>
          </w:p>
        </w:tc>
        <w:tc>
          <w:tcPr>
            <w:tcW w:w="2153" w:type="dxa"/>
            <w:vAlign w:val="bottom"/>
          </w:tcPr>
          <w:p w14:paraId="421E46D4" w14:textId="42DAC504"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37</w:t>
            </w:r>
            <w:r w:rsidR="000B4134">
              <w:rPr>
                <w:color w:val="000000"/>
                <w:sz w:val="17"/>
                <w:szCs w:val="17"/>
              </w:rPr>
              <w:t xml:space="preserve"> </w:t>
            </w:r>
            <w:r w:rsidRPr="00C27FCF">
              <w:rPr>
                <w:color w:val="000000"/>
                <w:sz w:val="17"/>
                <w:szCs w:val="17"/>
              </w:rPr>
              <w:t>420</w:t>
            </w:r>
            <w:r w:rsidR="000B4134">
              <w:rPr>
                <w:color w:val="000000"/>
                <w:sz w:val="17"/>
                <w:szCs w:val="17"/>
              </w:rPr>
              <w:t xml:space="preserve"> </w:t>
            </w:r>
            <w:r w:rsidRPr="00C27FCF">
              <w:rPr>
                <w:color w:val="000000"/>
                <w:sz w:val="17"/>
                <w:szCs w:val="17"/>
              </w:rPr>
              <w:t>430</w:t>
            </w:r>
            <w:r w:rsidR="000B4134">
              <w:rPr>
                <w:color w:val="000000"/>
                <w:sz w:val="17"/>
                <w:szCs w:val="17"/>
              </w:rPr>
              <w:t xml:space="preserve"> </w:t>
            </w:r>
            <w:r w:rsidRPr="00C27FCF">
              <w:rPr>
                <w:color w:val="000000"/>
                <w:sz w:val="17"/>
                <w:szCs w:val="17"/>
              </w:rPr>
              <w:t>000,00</w:t>
            </w:r>
          </w:p>
        </w:tc>
        <w:tc>
          <w:tcPr>
            <w:tcW w:w="2030" w:type="dxa"/>
            <w:vAlign w:val="bottom"/>
          </w:tcPr>
          <w:p w14:paraId="1E900331" w14:textId="17CC18D4"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306</w:t>
            </w:r>
            <w:r w:rsidR="000B4134">
              <w:rPr>
                <w:color w:val="000000"/>
                <w:sz w:val="17"/>
                <w:szCs w:val="17"/>
              </w:rPr>
              <w:t xml:space="preserve"> </w:t>
            </w:r>
            <w:r w:rsidRPr="00C27FCF">
              <w:rPr>
                <w:color w:val="000000"/>
                <w:sz w:val="17"/>
                <w:szCs w:val="17"/>
              </w:rPr>
              <w:t>724</w:t>
            </w:r>
            <w:r w:rsidR="000B4134">
              <w:rPr>
                <w:color w:val="000000"/>
                <w:sz w:val="17"/>
                <w:szCs w:val="17"/>
              </w:rPr>
              <w:t xml:space="preserve"> </w:t>
            </w:r>
            <w:r w:rsidRPr="00C27FCF">
              <w:rPr>
                <w:color w:val="000000"/>
                <w:sz w:val="17"/>
                <w:szCs w:val="17"/>
              </w:rPr>
              <w:t>836,06</w:t>
            </w:r>
          </w:p>
        </w:tc>
      </w:tr>
      <w:tr w:rsidR="00DE42B3" w:rsidRPr="00C27FCF" w14:paraId="23C66265" w14:textId="77777777" w:rsidTr="00D01797">
        <w:tc>
          <w:tcPr>
            <w:tcW w:w="1000" w:type="dxa"/>
          </w:tcPr>
          <w:p w14:paraId="7D0DC423" w14:textId="77777777" w:rsidR="00DE42B3" w:rsidRPr="00C27FCF" w:rsidRDefault="00DE42B3" w:rsidP="00D01797">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4</w:t>
            </w:r>
          </w:p>
        </w:tc>
        <w:tc>
          <w:tcPr>
            <w:tcW w:w="2187" w:type="dxa"/>
            <w:vAlign w:val="bottom"/>
          </w:tcPr>
          <w:p w14:paraId="142A72FF" w14:textId="77777777" w:rsidR="00DE42B3" w:rsidRPr="00C27FCF" w:rsidRDefault="00DE42B3" w:rsidP="000B4134">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2021/22</w:t>
            </w:r>
          </w:p>
        </w:tc>
        <w:tc>
          <w:tcPr>
            <w:tcW w:w="2153" w:type="dxa"/>
            <w:vAlign w:val="bottom"/>
          </w:tcPr>
          <w:p w14:paraId="3B8A52EA" w14:textId="46D5D594"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41</w:t>
            </w:r>
            <w:r w:rsidR="000B4134">
              <w:rPr>
                <w:color w:val="000000"/>
                <w:sz w:val="17"/>
                <w:szCs w:val="17"/>
              </w:rPr>
              <w:t xml:space="preserve"> </w:t>
            </w:r>
            <w:r w:rsidRPr="00C27FCF">
              <w:rPr>
                <w:color w:val="000000"/>
                <w:sz w:val="17"/>
                <w:szCs w:val="17"/>
              </w:rPr>
              <w:t>035</w:t>
            </w:r>
            <w:r w:rsidR="000B4134">
              <w:rPr>
                <w:color w:val="000000"/>
                <w:sz w:val="17"/>
                <w:szCs w:val="17"/>
              </w:rPr>
              <w:t xml:space="preserve"> </w:t>
            </w:r>
            <w:r w:rsidRPr="00C27FCF">
              <w:rPr>
                <w:color w:val="000000"/>
                <w:sz w:val="17"/>
                <w:szCs w:val="17"/>
              </w:rPr>
              <w:t>952</w:t>
            </w:r>
            <w:r w:rsidR="000B4134">
              <w:rPr>
                <w:color w:val="000000"/>
                <w:sz w:val="17"/>
                <w:szCs w:val="17"/>
              </w:rPr>
              <w:t xml:space="preserve"> </w:t>
            </w:r>
            <w:r w:rsidRPr="00C27FCF">
              <w:rPr>
                <w:color w:val="000000"/>
                <w:sz w:val="17"/>
                <w:szCs w:val="17"/>
              </w:rPr>
              <w:t>000,00</w:t>
            </w:r>
          </w:p>
        </w:tc>
        <w:tc>
          <w:tcPr>
            <w:tcW w:w="2030" w:type="dxa"/>
            <w:vAlign w:val="bottom"/>
          </w:tcPr>
          <w:p w14:paraId="449BB047" w14:textId="5DA288BA"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336</w:t>
            </w:r>
            <w:r w:rsidR="000B4134">
              <w:rPr>
                <w:color w:val="000000"/>
                <w:sz w:val="17"/>
                <w:szCs w:val="17"/>
              </w:rPr>
              <w:t xml:space="preserve"> </w:t>
            </w:r>
            <w:r w:rsidRPr="00C27FCF">
              <w:rPr>
                <w:color w:val="000000"/>
                <w:sz w:val="17"/>
                <w:szCs w:val="17"/>
              </w:rPr>
              <w:t>360</w:t>
            </w:r>
            <w:r w:rsidR="000B4134">
              <w:rPr>
                <w:color w:val="000000"/>
                <w:sz w:val="17"/>
                <w:szCs w:val="17"/>
              </w:rPr>
              <w:t xml:space="preserve"> </w:t>
            </w:r>
            <w:r w:rsidRPr="00C27FCF">
              <w:rPr>
                <w:color w:val="000000"/>
                <w:sz w:val="17"/>
                <w:szCs w:val="17"/>
              </w:rPr>
              <w:t>262,29</w:t>
            </w:r>
          </w:p>
        </w:tc>
      </w:tr>
      <w:tr w:rsidR="00DE42B3" w:rsidRPr="00C27FCF" w14:paraId="6EC33803" w14:textId="77777777" w:rsidTr="00D01797">
        <w:tc>
          <w:tcPr>
            <w:tcW w:w="1000" w:type="dxa"/>
          </w:tcPr>
          <w:p w14:paraId="0CB984ED" w14:textId="77777777" w:rsidR="00DE42B3" w:rsidRPr="00C27FCF" w:rsidRDefault="00DE42B3" w:rsidP="00D01797">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5</w:t>
            </w:r>
          </w:p>
        </w:tc>
        <w:tc>
          <w:tcPr>
            <w:tcW w:w="2187" w:type="dxa"/>
            <w:vAlign w:val="bottom"/>
          </w:tcPr>
          <w:p w14:paraId="442D2F78" w14:textId="77777777" w:rsidR="00DE42B3" w:rsidRPr="00C27FCF" w:rsidRDefault="00DE42B3" w:rsidP="000B4134">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2022/23</w:t>
            </w:r>
          </w:p>
        </w:tc>
        <w:tc>
          <w:tcPr>
            <w:tcW w:w="2153" w:type="dxa"/>
            <w:vAlign w:val="bottom"/>
          </w:tcPr>
          <w:p w14:paraId="1482F15A" w14:textId="2741A550"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42</w:t>
            </w:r>
            <w:r w:rsidR="000B4134">
              <w:rPr>
                <w:color w:val="000000"/>
                <w:sz w:val="17"/>
                <w:szCs w:val="17"/>
              </w:rPr>
              <w:t xml:space="preserve"> </w:t>
            </w:r>
            <w:r w:rsidRPr="00C27FCF">
              <w:rPr>
                <w:color w:val="000000"/>
                <w:sz w:val="17"/>
                <w:szCs w:val="17"/>
              </w:rPr>
              <w:t>907</w:t>
            </w:r>
            <w:r w:rsidR="000B4134">
              <w:rPr>
                <w:color w:val="000000"/>
                <w:sz w:val="17"/>
                <w:szCs w:val="17"/>
              </w:rPr>
              <w:t xml:space="preserve"> </w:t>
            </w:r>
            <w:r w:rsidRPr="00C27FCF">
              <w:rPr>
                <w:color w:val="000000"/>
                <w:sz w:val="17"/>
                <w:szCs w:val="17"/>
              </w:rPr>
              <w:t>941</w:t>
            </w:r>
            <w:r w:rsidR="000B4134">
              <w:rPr>
                <w:color w:val="000000"/>
                <w:sz w:val="17"/>
                <w:szCs w:val="17"/>
              </w:rPr>
              <w:t xml:space="preserve"> </w:t>
            </w:r>
            <w:r w:rsidRPr="00C27FCF">
              <w:rPr>
                <w:color w:val="000000"/>
                <w:sz w:val="17"/>
                <w:szCs w:val="17"/>
              </w:rPr>
              <w:t>000,00</w:t>
            </w:r>
          </w:p>
        </w:tc>
        <w:tc>
          <w:tcPr>
            <w:tcW w:w="2030" w:type="dxa"/>
            <w:vAlign w:val="bottom"/>
          </w:tcPr>
          <w:p w14:paraId="7E71CC9A" w14:textId="0025DE57"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351</w:t>
            </w:r>
            <w:r w:rsidR="000B4134">
              <w:rPr>
                <w:color w:val="000000"/>
                <w:sz w:val="17"/>
                <w:szCs w:val="17"/>
              </w:rPr>
              <w:t xml:space="preserve"> </w:t>
            </w:r>
            <w:r w:rsidRPr="00C27FCF">
              <w:rPr>
                <w:color w:val="000000"/>
                <w:sz w:val="17"/>
                <w:szCs w:val="17"/>
              </w:rPr>
              <w:t>704</w:t>
            </w:r>
            <w:r w:rsidR="000B4134">
              <w:rPr>
                <w:color w:val="000000"/>
                <w:sz w:val="17"/>
                <w:szCs w:val="17"/>
              </w:rPr>
              <w:t xml:space="preserve"> </w:t>
            </w:r>
            <w:r w:rsidRPr="00C27FCF">
              <w:rPr>
                <w:color w:val="000000"/>
                <w:sz w:val="17"/>
                <w:szCs w:val="17"/>
              </w:rPr>
              <w:t>434,42</w:t>
            </w:r>
          </w:p>
        </w:tc>
      </w:tr>
      <w:tr w:rsidR="00DE42B3" w:rsidRPr="00C27FCF" w14:paraId="547D3190" w14:textId="77777777" w:rsidTr="00DE42B3">
        <w:tc>
          <w:tcPr>
            <w:tcW w:w="1000" w:type="dxa"/>
          </w:tcPr>
          <w:p w14:paraId="5248C5E6" w14:textId="77777777" w:rsidR="00DE42B3" w:rsidRPr="00C27FCF" w:rsidRDefault="00DE42B3" w:rsidP="00D01797">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6</w:t>
            </w:r>
          </w:p>
        </w:tc>
        <w:tc>
          <w:tcPr>
            <w:tcW w:w="2187" w:type="dxa"/>
            <w:vAlign w:val="bottom"/>
          </w:tcPr>
          <w:p w14:paraId="4CDCD74E" w14:textId="77777777" w:rsidR="00DE42B3" w:rsidRPr="00C27FCF" w:rsidRDefault="00DE42B3" w:rsidP="000B4134">
            <w:pPr>
              <w:tabs>
                <w:tab w:val="left" w:pos="288"/>
                <w:tab w:val="left" w:pos="576"/>
                <w:tab w:val="left" w:pos="864"/>
                <w:tab w:val="left" w:pos="1152"/>
              </w:tabs>
              <w:suppressAutoHyphens w:val="0"/>
              <w:spacing w:before="40" w:after="40" w:line="210" w:lineRule="exact"/>
              <w:ind w:right="43"/>
              <w:rPr>
                <w:rFonts w:eastAsia="Calibri"/>
                <w:sz w:val="17"/>
                <w:szCs w:val="17"/>
              </w:rPr>
            </w:pPr>
            <w:r w:rsidRPr="00C27FCF">
              <w:rPr>
                <w:color w:val="000000"/>
                <w:sz w:val="17"/>
                <w:szCs w:val="17"/>
              </w:rPr>
              <w:t>2023/24</w:t>
            </w:r>
          </w:p>
        </w:tc>
        <w:tc>
          <w:tcPr>
            <w:tcW w:w="2153" w:type="dxa"/>
            <w:vAlign w:val="bottom"/>
          </w:tcPr>
          <w:p w14:paraId="4F3CA181" w14:textId="6542C13A"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47</w:t>
            </w:r>
            <w:r w:rsidR="000B4134">
              <w:rPr>
                <w:color w:val="000000"/>
                <w:sz w:val="17"/>
                <w:szCs w:val="17"/>
              </w:rPr>
              <w:t xml:space="preserve"> </w:t>
            </w:r>
            <w:r w:rsidRPr="00C27FCF">
              <w:rPr>
                <w:color w:val="000000"/>
                <w:sz w:val="17"/>
                <w:szCs w:val="17"/>
              </w:rPr>
              <w:t>550</w:t>
            </w:r>
            <w:r w:rsidR="000B4134">
              <w:rPr>
                <w:color w:val="000000"/>
                <w:sz w:val="17"/>
                <w:szCs w:val="17"/>
              </w:rPr>
              <w:t xml:space="preserve"> </w:t>
            </w:r>
            <w:r w:rsidRPr="00C27FCF">
              <w:rPr>
                <w:color w:val="000000"/>
                <w:sz w:val="17"/>
                <w:szCs w:val="17"/>
              </w:rPr>
              <w:t>339</w:t>
            </w:r>
            <w:r w:rsidR="000B4134">
              <w:rPr>
                <w:color w:val="000000"/>
                <w:sz w:val="17"/>
                <w:szCs w:val="17"/>
              </w:rPr>
              <w:t xml:space="preserve"> </w:t>
            </w:r>
            <w:r w:rsidRPr="00C27FCF">
              <w:rPr>
                <w:color w:val="000000"/>
                <w:sz w:val="17"/>
                <w:szCs w:val="17"/>
              </w:rPr>
              <w:t>000,00</w:t>
            </w:r>
          </w:p>
        </w:tc>
        <w:tc>
          <w:tcPr>
            <w:tcW w:w="2030" w:type="dxa"/>
            <w:vAlign w:val="bottom"/>
          </w:tcPr>
          <w:p w14:paraId="640CA75B" w14:textId="37A980E3" w:rsidR="00DE42B3" w:rsidRPr="00C27FCF" w:rsidRDefault="00DE42B3" w:rsidP="00D01797">
            <w:pPr>
              <w:tabs>
                <w:tab w:val="left" w:pos="288"/>
                <w:tab w:val="left" w:pos="576"/>
                <w:tab w:val="left" w:pos="864"/>
                <w:tab w:val="left" w:pos="1152"/>
              </w:tabs>
              <w:suppressAutoHyphens w:val="0"/>
              <w:spacing w:before="40" w:after="40" w:line="210" w:lineRule="exact"/>
              <w:ind w:right="43"/>
              <w:jc w:val="right"/>
              <w:rPr>
                <w:rFonts w:eastAsia="Calibri"/>
                <w:sz w:val="17"/>
                <w:szCs w:val="17"/>
              </w:rPr>
            </w:pPr>
            <w:r w:rsidRPr="00C27FCF">
              <w:rPr>
                <w:color w:val="000000"/>
                <w:sz w:val="17"/>
                <w:szCs w:val="17"/>
              </w:rPr>
              <w:t>389</w:t>
            </w:r>
            <w:r w:rsidR="000B4134">
              <w:rPr>
                <w:color w:val="000000"/>
                <w:sz w:val="17"/>
                <w:szCs w:val="17"/>
              </w:rPr>
              <w:t xml:space="preserve"> </w:t>
            </w:r>
            <w:r w:rsidRPr="00C27FCF">
              <w:rPr>
                <w:color w:val="000000"/>
                <w:sz w:val="17"/>
                <w:szCs w:val="17"/>
              </w:rPr>
              <w:t>756</w:t>
            </w:r>
            <w:r w:rsidR="000B4134">
              <w:rPr>
                <w:color w:val="000000"/>
                <w:sz w:val="17"/>
                <w:szCs w:val="17"/>
              </w:rPr>
              <w:t xml:space="preserve"> </w:t>
            </w:r>
            <w:r w:rsidRPr="00C27FCF">
              <w:rPr>
                <w:color w:val="000000"/>
                <w:sz w:val="17"/>
                <w:szCs w:val="17"/>
              </w:rPr>
              <w:t>877,04</w:t>
            </w:r>
          </w:p>
        </w:tc>
      </w:tr>
      <w:tr w:rsidR="00DE42B3" w:rsidRPr="00C27FCF" w14:paraId="7E6283DD" w14:textId="77777777" w:rsidTr="00DE42B3">
        <w:tc>
          <w:tcPr>
            <w:tcW w:w="1000" w:type="dxa"/>
            <w:tcBorders>
              <w:bottom w:val="single" w:sz="12" w:space="0" w:color="auto"/>
            </w:tcBorders>
          </w:tcPr>
          <w:p w14:paraId="61E3438B" w14:textId="77777777" w:rsidR="00DE42B3" w:rsidRPr="00C27FCF" w:rsidRDefault="00DE42B3" w:rsidP="00DE42B3">
            <w:pPr>
              <w:tabs>
                <w:tab w:val="left" w:pos="288"/>
                <w:tab w:val="left" w:pos="576"/>
                <w:tab w:val="left" w:pos="864"/>
                <w:tab w:val="left" w:pos="1152"/>
              </w:tabs>
              <w:suppressAutoHyphens w:val="0"/>
              <w:spacing w:before="40" w:after="80" w:line="210" w:lineRule="exact"/>
              <w:ind w:right="43"/>
              <w:rPr>
                <w:rFonts w:eastAsia="Calibri"/>
                <w:sz w:val="17"/>
                <w:szCs w:val="17"/>
              </w:rPr>
            </w:pPr>
            <w:r w:rsidRPr="00C27FCF">
              <w:rPr>
                <w:color w:val="000000"/>
                <w:sz w:val="17"/>
                <w:szCs w:val="17"/>
              </w:rPr>
              <w:t>7</w:t>
            </w:r>
          </w:p>
        </w:tc>
        <w:tc>
          <w:tcPr>
            <w:tcW w:w="2187" w:type="dxa"/>
            <w:tcBorders>
              <w:bottom w:val="single" w:sz="12" w:space="0" w:color="auto"/>
            </w:tcBorders>
            <w:vAlign w:val="bottom"/>
          </w:tcPr>
          <w:p w14:paraId="66A30A5A" w14:textId="77777777" w:rsidR="00DE42B3" w:rsidRPr="00C27FCF" w:rsidRDefault="00DE42B3" w:rsidP="000B4134">
            <w:pPr>
              <w:tabs>
                <w:tab w:val="left" w:pos="288"/>
                <w:tab w:val="left" w:pos="576"/>
                <w:tab w:val="left" w:pos="864"/>
                <w:tab w:val="left" w:pos="1152"/>
              </w:tabs>
              <w:suppressAutoHyphens w:val="0"/>
              <w:spacing w:before="40" w:after="80" w:line="210" w:lineRule="exact"/>
              <w:ind w:right="43"/>
              <w:rPr>
                <w:rFonts w:eastAsia="Calibri"/>
                <w:sz w:val="17"/>
                <w:szCs w:val="17"/>
              </w:rPr>
            </w:pPr>
            <w:r w:rsidRPr="00C27FCF">
              <w:rPr>
                <w:color w:val="000000"/>
                <w:sz w:val="17"/>
                <w:szCs w:val="17"/>
              </w:rPr>
              <w:t>2024/25</w:t>
            </w:r>
          </w:p>
        </w:tc>
        <w:tc>
          <w:tcPr>
            <w:tcW w:w="2153" w:type="dxa"/>
            <w:tcBorders>
              <w:bottom w:val="single" w:sz="12" w:space="0" w:color="auto"/>
            </w:tcBorders>
            <w:vAlign w:val="bottom"/>
          </w:tcPr>
          <w:p w14:paraId="17D11D41" w14:textId="5E11A423" w:rsidR="00DE42B3" w:rsidRPr="00C27FCF" w:rsidRDefault="00DE42B3" w:rsidP="00DE42B3">
            <w:pPr>
              <w:tabs>
                <w:tab w:val="left" w:pos="288"/>
                <w:tab w:val="left" w:pos="576"/>
                <w:tab w:val="left" w:pos="864"/>
                <w:tab w:val="left" w:pos="1152"/>
              </w:tabs>
              <w:suppressAutoHyphens w:val="0"/>
              <w:spacing w:before="40" w:after="80" w:line="210" w:lineRule="exact"/>
              <w:ind w:right="43"/>
              <w:jc w:val="right"/>
              <w:rPr>
                <w:rFonts w:eastAsia="Calibri"/>
                <w:sz w:val="17"/>
                <w:szCs w:val="17"/>
              </w:rPr>
            </w:pPr>
            <w:r w:rsidRPr="00C27FCF">
              <w:rPr>
                <w:color w:val="000000"/>
                <w:sz w:val="17"/>
                <w:szCs w:val="17"/>
              </w:rPr>
              <w:t>52</w:t>
            </w:r>
            <w:r w:rsidR="000B4134">
              <w:rPr>
                <w:color w:val="000000"/>
                <w:sz w:val="17"/>
                <w:szCs w:val="17"/>
              </w:rPr>
              <w:t xml:space="preserve"> </w:t>
            </w:r>
            <w:r w:rsidRPr="00C27FCF">
              <w:rPr>
                <w:color w:val="000000"/>
                <w:sz w:val="17"/>
                <w:szCs w:val="17"/>
              </w:rPr>
              <w:t>222</w:t>
            </w:r>
            <w:r w:rsidR="000B4134">
              <w:rPr>
                <w:color w:val="000000"/>
                <w:sz w:val="17"/>
                <w:szCs w:val="17"/>
              </w:rPr>
              <w:t xml:space="preserve"> </w:t>
            </w:r>
            <w:r w:rsidRPr="00C27FCF">
              <w:rPr>
                <w:color w:val="000000"/>
                <w:sz w:val="17"/>
                <w:szCs w:val="17"/>
              </w:rPr>
              <w:t>000</w:t>
            </w:r>
            <w:r w:rsidR="000B4134">
              <w:rPr>
                <w:color w:val="000000"/>
                <w:sz w:val="17"/>
                <w:szCs w:val="17"/>
              </w:rPr>
              <w:t xml:space="preserve"> </w:t>
            </w:r>
            <w:r w:rsidRPr="00C27FCF">
              <w:rPr>
                <w:color w:val="000000"/>
                <w:sz w:val="17"/>
                <w:szCs w:val="17"/>
              </w:rPr>
              <w:t>000,00</w:t>
            </w:r>
          </w:p>
        </w:tc>
        <w:tc>
          <w:tcPr>
            <w:tcW w:w="2030" w:type="dxa"/>
            <w:tcBorders>
              <w:bottom w:val="single" w:sz="12" w:space="0" w:color="auto"/>
            </w:tcBorders>
            <w:vAlign w:val="bottom"/>
          </w:tcPr>
          <w:p w14:paraId="4C5BF212" w14:textId="641A6384" w:rsidR="00DE42B3" w:rsidRPr="00C27FCF" w:rsidRDefault="00DE42B3" w:rsidP="00DE42B3">
            <w:pPr>
              <w:tabs>
                <w:tab w:val="left" w:pos="288"/>
                <w:tab w:val="left" w:pos="576"/>
                <w:tab w:val="left" w:pos="864"/>
                <w:tab w:val="left" w:pos="1152"/>
              </w:tabs>
              <w:suppressAutoHyphens w:val="0"/>
              <w:spacing w:before="40" w:after="80" w:line="210" w:lineRule="exact"/>
              <w:ind w:right="43"/>
              <w:jc w:val="right"/>
              <w:rPr>
                <w:rFonts w:eastAsia="Calibri"/>
                <w:sz w:val="17"/>
                <w:szCs w:val="17"/>
              </w:rPr>
            </w:pPr>
            <w:r w:rsidRPr="00C27FCF">
              <w:rPr>
                <w:color w:val="000000"/>
                <w:sz w:val="17"/>
                <w:szCs w:val="17"/>
              </w:rPr>
              <w:t>428</w:t>
            </w:r>
            <w:r w:rsidR="000B4134">
              <w:rPr>
                <w:color w:val="000000"/>
                <w:sz w:val="17"/>
                <w:szCs w:val="17"/>
              </w:rPr>
              <w:t xml:space="preserve"> </w:t>
            </w:r>
            <w:r w:rsidRPr="00C27FCF">
              <w:rPr>
                <w:color w:val="000000"/>
                <w:sz w:val="17"/>
                <w:szCs w:val="17"/>
              </w:rPr>
              <w:t>049</w:t>
            </w:r>
            <w:r w:rsidR="000B4134">
              <w:rPr>
                <w:color w:val="000000"/>
                <w:sz w:val="17"/>
                <w:szCs w:val="17"/>
              </w:rPr>
              <w:t xml:space="preserve"> </w:t>
            </w:r>
            <w:r w:rsidRPr="00C27FCF">
              <w:rPr>
                <w:color w:val="000000"/>
                <w:sz w:val="17"/>
                <w:szCs w:val="17"/>
              </w:rPr>
              <w:t>180,32</w:t>
            </w:r>
          </w:p>
        </w:tc>
      </w:tr>
    </w:tbl>
    <w:p w14:paraId="212D5743" w14:textId="77777777" w:rsidR="00DE42B3" w:rsidRPr="00DE42B3" w:rsidRDefault="00DE42B3" w:rsidP="00DE42B3">
      <w:pPr>
        <w:pStyle w:val="SingleTxt"/>
        <w:spacing w:after="0" w:line="120" w:lineRule="exact"/>
        <w:rPr>
          <w:color w:val="000000"/>
          <w:sz w:val="10"/>
          <w:szCs w:val="17"/>
        </w:rPr>
      </w:pPr>
    </w:p>
    <w:p w14:paraId="7E867D7E" w14:textId="229AA15E" w:rsidR="00DE42B3" w:rsidRDefault="00DE42B3" w:rsidP="00DE42B3">
      <w:pPr>
        <w:pStyle w:val="FootnoteText"/>
        <w:tabs>
          <w:tab w:val="clear" w:pos="418"/>
          <w:tab w:val="right" w:pos="1476"/>
          <w:tab w:val="left" w:pos="1548"/>
          <w:tab w:val="right" w:pos="1836"/>
          <w:tab w:val="left" w:pos="1908"/>
        </w:tabs>
        <w:ind w:left="1548" w:right="1267" w:hanging="288"/>
        <w:rPr>
          <w:w w:val="103"/>
        </w:rPr>
      </w:pPr>
      <w:r w:rsidRPr="00C27FCF">
        <w:rPr>
          <w:i/>
          <w:iCs/>
          <w:w w:val="103"/>
        </w:rPr>
        <w:t>Fuente</w:t>
      </w:r>
      <w:r w:rsidRPr="00C27FCF">
        <w:rPr>
          <w:w w:val="103"/>
        </w:rPr>
        <w:t>: Documentos oficiales del Ministerio de Finanzas y el Ministerio de Asuntos de la Mujer y la Infancia.</w:t>
      </w:r>
    </w:p>
    <w:p w14:paraId="34F20CF4" w14:textId="77777777" w:rsidR="00DE42B3" w:rsidRPr="00DE42B3" w:rsidRDefault="00DE42B3" w:rsidP="00DE42B3">
      <w:pPr>
        <w:pStyle w:val="SingleTxt"/>
        <w:spacing w:after="0" w:line="120" w:lineRule="exact"/>
        <w:rPr>
          <w:sz w:val="10"/>
        </w:rPr>
      </w:pPr>
    </w:p>
    <w:p w14:paraId="0B6E2615" w14:textId="77777777" w:rsidR="00DE42B3" w:rsidRPr="00DE42B3" w:rsidRDefault="00DE42B3" w:rsidP="00DE42B3">
      <w:pPr>
        <w:pStyle w:val="SingleTxt"/>
        <w:spacing w:after="0" w:line="120" w:lineRule="exact"/>
        <w:rPr>
          <w:sz w:val="10"/>
        </w:rPr>
      </w:pPr>
    </w:p>
    <w:p w14:paraId="703940FA" w14:textId="77777777" w:rsidR="00DE42B3" w:rsidRPr="00DE42B3" w:rsidRDefault="00DE42B3" w:rsidP="00DE42B3">
      <w:pPr>
        <w:pStyle w:val="SingleTxt"/>
        <w:spacing w:after="0" w:line="120" w:lineRule="exact"/>
        <w:rPr>
          <w:sz w:val="10"/>
        </w:rPr>
      </w:pPr>
    </w:p>
    <w:p w14:paraId="34E94DAF" w14:textId="15665347" w:rsidR="00DE42B3" w:rsidRPr="00DE42B3" w:rsidRDefault="00DE42B3" w:rsidP="00DE42B3">
      <w:pPr>
        <w:pStyle w:val="SingleTxt"/>
        <w:numPr>
          <w:ilvl w:val="0"/>
          <w:numId w:val="26"/>
        </w:numPr>
        <w:ind w:left="1267"/>
      </w:pPr>
      <w:r w:rsidRPr="00DE42B3">
        <w:t>El informe sobre el presupuesto que responde a las cuestiones de género se amplió y pasó de cubrir 44 a 62 Ministerios, Divisiones e instituciones que influyen directa e indirectamente en las cuestiones de género. El informe sobre el presupuesto que responde a las cuestiones de género da prioridad al bienestar de las mujeres y promueve la igualdad de género en todo el proceso de presupuestación. Desde el inicio del ejercicio económico 2018/2019, 336 funcionarios dedicados a la coordinación del presupuesto, la planificación y la cuestión de las mujeres en el desarrollo de 54 Ministerios, así como 89 representantes de la sociedad civil, han recibido capacitación sobre planificación y presupuestación que responden a las cuestiones de género en el marco del proyecto de refuerzo de la presupuestación que responde a las cuestiones de género (2017-2023), dirigido por el Ministerio de Asuntos de la Mujer y la Infancia.</w:t>
      </w:r>
    </w:p>
    <w:p w14:paraId="7555FF5F" w14:textId="3A0B4CA6" w:rsidR="00DE42B3" w:rsidRPr="00DE42B3" w:rsidRDefault="00DE42B3" w:rsidP="00DE42B3">
      <w:pPr>
        <w:pStyle w:val="SingleTxt"/>
        <w:numPr>
          <w:ilvl w:val="0"/>
          <w:numId w:val="26"/>
        </w:numPr>
        <w:ind w:left="1267"/>
      </w:pPr>
      <w:r w:rsidRPr="00DE42B3">
        <w:t xml:space="preserve">El Departamento de Asuntos de la Mujer (DAM) y </w:t>
      </w:r>
      <w:r w:rsidRPr="00DE42B3">
        <w:rPr>
          <w:i/>
          <w:iCs/>
        </w:rPr>
        <w:t xml:space="preserve">Jatiya Mahila Sanghshad </w:t>
      </w:r>
      <w:r w:rsidRPr="00DE42B3">
        <w:t xml:space="preserve">gestionan Células de Violencia contra la Mujer que facilitan apoyo jurídico a las mujeres y los niños víctimas de la violencia. El Departamento de Asuntos de la Mujer cuenta además con un centro de custodia segura y seis centros de apoyo a las mujeres donde las víctimas pueden permanecer hasta seis meses y recibir apoyo jurídico, asesoramiento psicológico y formación en competencias para la vida. El Ministerio de Asuntos de la Mujer y la Infancia ha creado comités dedicados a la violencia contra las mujeres en los distritos, </w:t>
      </w:r>
      <w:r w:rsidRPr="00DE42B3">
        <w:rPr>
          <w:i/>
          <w:iCs/>
        </w:rPr>
        <w:t>upazilas</w:t>
      </w:r>
      <w:r w:rsidRPr="00DE42B3">
        <w:t xml:space="preserve"> (subdistritos) y </w:t>
      </w:r>
      <w:r w:rsidRPr="00DE42B3">
        <w:rPr>
          <w:i/>
          <w:iCs/>
        </w:rPr>
        <w:t>unions</w:t>
      </w:r>
      <w:r w:rsidRPr="00DE42B3">
        <w:t xml:space="preserve"> (consejos rurales), bajo el liderazgo del Comisionado Adjunto, el Oficial Ejecutivo de </w:t>
      </w:r>
      <w:r w:rsidRPr="00DE42B3">
        <w:rPr>
          <w:i/>
          <w:iCs/>
        </w:rPr>
        <w:t>Upazila</w:t>
      </w:r>
      <w:r w:rsidRPr="00DE42B3">
        <w:t xml:space="preserve"> y el Presidente del </w:t>
      </w:r>
      <w:r w:rsidRPr="00DE42B3">
        <w:rPr>
          <w:i/>
          <w:iCs/>
        </w:rPr>
        <w:t>Union Parishad</w:t>
      </w:r>
      <w:r w:rsidRPr="00DE42B3">
        <w:t>, con el fin de combatir y gestionar los casos de violencia contra las mujeres. En la Dirección de Asuntos de la Mujer y la Organización Nacional para las Mujeres se creó una Célula de Prevención de los Malos Tratos contra las Mujeres con el objetivo de prevenir la tortura y la violencia contra las mujeres y los niños, así como de ejecutar programas de servicios a través de iniciativas coordinadas entre varios Ministerios y ONG.</w:t>
      </w:r>
    </w:p>
    <w:p w14:paraId="7F32E6AE" w14:textId="020CA262" w:rsidR="00DE42B3" w:rsidRPr="00DE42B3" w:rsidRDefault="00DE42B3" w:rsidP="00DE42B3">
      <w:pPr>
        <w:pStyle w:val="SingleTxt"/>
        <w:numPr>
          <w:ilvl w:val="0"/>
          <w:numId w:val="26"/>
        </w:numPr>
        <w:ind w:left="1267"/>
      </w:pPr>
      <w:r w:rsidRPr="00DE42B3">
        <w:t xml:space="preserve">Existe un Comité Parlamentario Permanente dedicado al Ministerio de Asuntos de la Mujer y la Infancia que escudriña las acciones del Gobierno para verificar que cumplen las obligaciones derivadas de los tratados internacionales, incluida la Convención sobre la Eliminación de Todas las Formas de Discriminación contra la Mujer. El Comité se encarga de examinar en detalle todas las leyes, políticas y </w:t>
      </w:r>
      <w:r w:rsidRPr="00DE42B3">
        <w:lastRenderedPageBreak/>
        <w:t>acciones administrativas y de vigilar que el sistema nacional existente para la promoción de la igualdad de género sea adecuado.</w:t>
      </w:r>
    </w:p>
    <w:p w14:paraId="5EC89520" w14:textId="3DC2370B" w:rsidR="00DE42B3" w:rsidRPr="00DE42B3" w:rsidRDefault="00DE42B3" w:rsidP="00DE42B3">
      <w:pPr>
        <w:pStyle w:val="SingleTxt"/>
        <w:numPr>
          <w:ilvl w:val="0"/>
          <w:numId w:val="26"/>
        </w:numPr>
        <w:ind w:left="1267"/>
      </w:pPr>
      <w:r w:rsidRPr="00DE42B3">
        <w:t>El Comité de Implementación y Evaluación para el Adelanto de la Mujeres está compuesto por 35 miembros que representan a diversos Ministerios y Divisiones y a la sociedad civil; tiene el cometido de supervisar la implementación del plan de acción relativo al adelanto de las mujeres. El Comité se reúne cada seis meses. La Secretaría del Ministerio de Asuntos de la Mujer y la Infancia actúa como secretaría para los miembros. En 2009, el</w:t>
      </w:r>
      <w:r w:rsidR="00AE4701">
        <w:t xml:space="preserve"> </w:t>
      </w:r>
      <w:r w:rsidRPr="00DE42B3">
        <w:t>Gobierno creó el Consejo Nacional para el Adelanto de las Mujeres y la Infancia, cuyo mandato consiste en supervisar y orientar las actividades del Ministerio de Asuntos de la Mujer y la Infancia y otras instituciones en materia de igualdad de género y desarrollo infantil.</w:t>
      </w:r>
    </w:p>
    <w:p w14:paraId="500DC677" w14:textId="04F163F1" w:rsidR="00DE42B3" w:rsidRPr="00DE42B3" w:rsidRDefault="00DE42B3" w:rsidP="00DE42B3">
      <w:pPr>
        <w:pStyle w:val="SingleTxt"/>
        <w:numPr>
          <w:ilvl w:val="0"/>
          <w:numId w:val="26"/>
        </w:numPr>
        <w:ind w:left="1267"/>
      </w:pPr>
      <w:r w:rsidRPr="00DE42B3">
        <w:t>Mecanismo de Puntos Focales para las Mujeres en el Desarrollo: El Gobierno estableció el mecanismo de puntos focales para las mujeres en el desarrollo con el fin de integrar y racionalizar las medidas emprendidas en aras del empoderamiento de las mujeres y la igualdad de género en los diversos programas ejecutados por todos los Ministerios y Divisiones del Gobierno. Los puntos focales para las mujeres en el desarrollo se encargan de que, en las políticas, planes y programas de sus respectivos Ministerios y Divisiones, se tengan en cuenta la igualdad de género y el empoderamiento de las mujeres. Actualmente hay 54 puntos focales para las mujeres en el desarrollo que representan a diversos organismos del Gobierno.</w:t>
      </w:r>
    </w:p>
    <w:p w14:paraId="3B8394E7" w14:textId="3582017B" w:rsidR="00DE42B3" w:rsidRPr="00DE42B3" w:rsidRDefault="00DE42B3" w:rsidP="00DE42B3">
      <w:pPr>
        <w:pStyle w:val="SingleTxt"/>
        <w:numPr>
          <w:ilvl w:val="0"/>
          <w:numId w:val="26"/>
        </w:numPr>
        <w:ind w:left="1267"/>
      </w:pPr>
      <w:r w:rsidRPr="00DE42B3">
        <w:t>El Gobierno ha creado el Grupo Consultivo Local para el Adelanto de las Mujeres y la Igualdad de Género, uno de los grupos de trabajo temáticos del mecanismo de Grupos Consultivos Locales, que facilita la coordinación entre el Gobierno de Bangladesh y los asociados para el desarrollo, incluidos los organismos donantes, las organizaciones internacionales y las ONG. El nuevo Grupo Consultivo Local está presidido por el Ministerio de Asuntos de la Mujer y la Infancia y se centra específicamente en promover la igualdad de género y el adelanto de las mujeres. Trabaja para integrar la perspectiva de género en diversos sectores e iniciativas de desarrollo, garantizando así que las políticas, programas y recursos contribuyan con eficacia al empoderamiento de las mujeres.</w:t>
      </w:r>
    </w:p>
    <w:p w14:paraId="52E7866D" w14:textId="77777777" w:rsidR="00DE42B3" w:rsidRPr="00E33C88" w:rsidRDefault="00DE42B3" w:rsidP="00DE42B3">
      <w:pPr>
        <w:pStyle w:val="SingleTxt"/>
        <w:spacing w:after="0" w:line="120" w:lineRule="exact"/>
        <w:rPr>
          <w:bCs/>
          <w:sz w:val="10"/>
        </w:rPr>
      </w:pPr>
      <w:bookmarkStart w:id="5" w:name="_Toc198161696"/>
    </w:p>
    <w:p w14:paraId="49EC1D69" w14:textId="77777777" w:rsidR="00DE42B3" w:rsidRPr="00E33C88" w:rsidRDefault="00DE42B3" w:rsidP="00DE42B3">
      <w:pPr>
        <w:pStyle w:val="SingleTxt"/>
        <w:spacing w:after="0" w:line="120" w:lineRule="exact"/>
        <w:rPr>
          <w:bCs/>
          <w:sz w:val="10"/>
        </w:rPr>
      </w:pPr>
    </w:p>
    <w:p w14:paraId="41F43B4F" w14:textId="171CE0E3" w:rsidR="00DE42B3" w:rsidRPr="00DE42B3" w:rsidRDefault="00DE42B3" w:rsidP="00DE42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42B3">
        <w:tab/>
      </w:r>
      <w:r w:rsidRPr="00DE42B3">
        <w:tab/>
        <w:t>Sección II: Respuestas a las observaciones finales</w:t>
      </w:r>
      <w:bookmarkEnd w:id="5"/>
    </w:p>
    <w:p w14:paraId="5474261D" w14:textId="77777777" w:rsidR="00DE42B3" w:rsidRPr="00DE42B3" w:rsidRDefault="00DE42B3" w:rsidP="00DE42B3">
      <w:pPr>
        <w:pStyle w:val="SingleTxt"/>
        <w:spacing w:after="0" w:line="120" w:lineRule="exact"/>
        <w:rPr>
          <w:sz w:val="10"/>
        </w:rPr>
      </w:pPr>
    </w:p>
    <w:p w14:paraId="6587E5BF" w14:textId="77777777" w:rsidR="00DE42B3" w:rsidRPr="00DE42B3" w:rsidRDefault="00DE42B3" w:rsidP="00DE42B3">
      <w:pPr>
        <w:pStyle w:val="SingleTxt"/>
        <w:spacing w:after="0" w:line="120" w:lineRule="exact"/>
        <w:rPr>
          <w:sz w:val="10"/>
        </w:rPr>
      </w:pPr>
    </w:p>
    <w:p w14:paraId="519413EC" w14:textId="482E4C34" w:rsidR="00DE42B3" w:rsidRPr="00DE42B3" w:rsidRDefault="00DE42B3" w:rsidP="00DE42B3">
      <w:pPr>
        <w:pStyle w:val="SingleTxt"/>
        <w:numPr>
          <w:ilvl w:val="0"/>
          <w:numId w:val="26"/>
        </w:numPr>
        <w:ind w:left="1267"/>
      </w:pPr>
      <w:r w:rsidRPr="00DE42B3">
        <w:t>Esta sección contiene la información relacionada específicamente con la Convención para el período comprendido entre 2016 y 2025, responde a las observaciones finales del Comité y proporciona la información necesaria sobre la implementación de la Convención.</w:t>
      </w:r>
    </w:p>
    <w:p w14:paraId="5F79FA03" w14:textId="77777777" w:rsidR="00DE42B3" w:rsidRPr="00DE42B3" w:rsidRDefault="00DE42B3" w:rsidP="00DE42B3">
      <w:pPr>
        <w:pStyle w:val="SingleTxt"/>
        <w:spacing w:after="0" w:line="120" w:lineRule="exact"/>
        <w:rPr>
          <w:sz w:val="10"/>
        </w:rPr>
      </w:pPr>
      <w:bookmarkStart w:id="6" w:name="_Toc196047977"/>
      <w:bookmarkStart w:id="7" w:name="_Toc198161697"/>
    </w:p>
    <w:p w14:paraId="737638B0" w14:textId="77777777" w:rsidR="00DE42B3" w:rsidRPr="00DE42B3" w:rsidRDefault="00DE42B3" w:rsidP="00DE42B3">
      <w:pPr>
        <w:pStyle w:val="SingleTxt"/>
        <w:spacing w:after="0" w:line="120" w:lineRule="exact"/>
        <w:rPr>
          <w:sz w:val="10"/>
        </w:rPr>
      </w:pPr>
    </w:p>
    <w:p w14:paraId="38CD36DA" w14:textId="3D52A326" w:rsidR="00DE42B3" w:rsidRPr="00DE42B3" w:rsidRDefault="00DE42B3" w:rsidP="00DE4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42B3">
        <w:tab/>
      </w:r>
      <w:r w:rsidRPr="00DE42B3">
        <w:tab/>
        <w:t>Reservas</w:t>
      </w:r>
      <w:bookmarkEnd w:id="6"/>
      <w:bookmarkEnd w:id="7"/>
    </w:p>
    <w:p w14:paraId="77527EE3" w14:textId="77777777" w:rsidR="00DE42B3" w:rsidRPr="00DE42B3" w:rsidRDefault="00DE42B3" w:rsidP="00DE42B3">
      <w:pPr>
        <w:pStyle w:val="SingleTxt"/>
        <w:spacing w:after="0" w:line="120" w:lineRule="exact"/>
        <w:rPr>
          <w:sz w:val="10"/>
        </w:rPr>
      </w:pPr>
      <w:bookmarkStart w:id="8" w:name="_Hlk116757663"/>
    </w:p>
    <w:p w14:paraId="0B2E3B72" w14:textId="77777777" w:rsidR="00DE42B3" w:rsidRPr="00DE42B3" w:rsidRDefault="00DE42B3" w:rsidP="00DE42B3">
      <w:pPr>
        <w:pStyle w:val="SingleTxt"/>
        <w:spacing w:after="0" w:line="120" w:lineRule="exact"/>
        <w:rPr>
          <w:sz w:val="10"/>
        </w:rPr>
      </w:pPr>
    </w:p>
    <w:p w14:paraId="33BE152C" w14:textId="7626B120" w:rsidR="00DE42B3" w:rsidRPr="00DE42B3" w:rsidRDefault="00DE42B3" w:rsidP="00DE42B3">
      <w:pPr>
        <w:pStyle w:val="SingleTxt"/>
        <w:numPr>
          <w:ilvl w:val="0"/>
          <w:numId w:val="26"/>
        </w:numPr>
        <w:ind w:left="1267"/>
      </w:pPr>
      <w:r w:rsidRPr="00DE42B3">
        <w:t>El Gobierno de la República Popular de Bangladesh ratificó la Convención sobre la Eliminación de Todas las Formas de Discriminación contra la Mujer en 1984, y el país mantiene su reserva sobre los artículos 2 y 16 l) c). En principio, Bangladesh ha avanzado considerablemente con respecto al artículo 2 al promover la igualdad de las mujeres en varios ámbitos, y los progresos del país en materia de empoderamiento político, social y económico de las mujeres han sido reconocidos en todo el mundo. Según el Informe mundial sobre la brecha de género de 2024 del Foro Económico Mundial, Bangladesh lleva diez años consecutivos ocupando el primer puesto en materia de paridad de género en Asia Meridional</w:t>
      </w:r>
      <w:r w:rsidRPr="00DE42B3">
        <w:rPr>
          <w:vertAlign w:val="superscript"/>
        </w:rPr>
        <w:footnoteReference w:id="12"/>
      </w:r>
      <w:r w:rsidRPr="00DE42B3">
        <w:t xml:space="preserve">. Las extensas iniciativas </w:t>
      </w:r>
      <w:r w:rsidRPr="00DE42B3">
        <w:lastRenderedPageBreak/>
        <w:t>legislativas y las oportunas reformas que se han descrito con anterioridad ponen de manifiesto que Bangladesh está completamente determinado a lograr la igualdad y la justicia de género, al tiempo que allanan gradualmente el camino hacia la retirada de las reservas.</w:t>
      </w:r>
    </w:p>
    <w:p w14:paraId="1E3F19DE" w14:textId="2378043F" w:rsidR="00DE42B3" w:rsidRPr="00DE42B3" w:rsidRDefault="00DE42B3" w:rsidP="00DE42B3">
      <w:pPr>
        <w:pStyle w:val="SingleTxt"/>
        <w:numPr>
          <w:ilvl w:val="0"/>
          <w:numId w:val="26"/>
        </w:numPr>
        <w:ind w:left="1267"/>
      </w:pPr>
      <w:r w:rsidRPr="00DE42B3">
        <w:t>Bangladesh ha realizado progresos sustanciales con respecto al matrimonio y su disolución, por lo que con el tiempo podrán retirarse gradualmente las reservas al artículo</w:t>
      </w:r>
      <w:r w:rsidR="00AE4701">
        <w:t xml:space="preserve"> </w:t>
      </w:r>
      <w:r w:rsidRPr="00DE42B3">
        <w:t>16</w:t>
      </w:r>
      <w:r w:rsidR="00AE4701">
        <w:t xml:space="preserve"> </w:t>
      </w:r>
      <w:r w:rsidRPr="00DE42B3">
        <w:t>1) c), que prevé la igualdad de derechos de las mujeres en cuestiones relativas al matrimonio y las relaciones familiares y declara que los hombres y las mujeres tienen los mismos derechos y responsabilidades durante el matrimonio y con ocasión de su disolución. Como parte de la reforma de las leyes del estatuto personal, el país derogó la Ordenanza de Tribunales de Familia de 1985 y aprobó una nueva ley, a saber, la Ley de Tribunales de Familia de 2023. A través de esa ley se faculta a los tribunales de familia para resolver asuntos relacionados con el divorcio, la restitución de los derechos conyugales, la dote, la pensión alimenticia, la tutela y la custodia. En la Ley de Tribunales de Familia de 2023 también se hace referencia a la creación de tribunales de apelación de familia que cuenten con un juez de distrito en cada tribunal.</w:t>
      </w:r>
    </w:p>
    <w:p w14:paraId="75D02E2A" w14:textId="26DD561E" w:rsidR="00DE42B3" w:rsidRPr="00DE42B3" w:rsidRDefault="00DE42B3" w:rsidP="00DE42B3">
      <w:pPr>
        <w:pStyle w:val="SingleTxt"/>
        <w:numPr>
          <w:ilvl w:val="0"/>
          <w:numId w:val="26"/>
        </w:numPr>
        <w:ind w:left="1267"/>
      </w:pPr>
      <w:r w:rsidRPr="00DE42B3">
        <w:t>El 24 de enero de 2023, la Sala Superior del Tribunal Supremo de Bangladesh dictó una sentencia histórica al reconocer a las madres como tutoras de sus hijos. En la sentencia se sostiene que las madres pueden ser ahora las tutoras únicas de sus hijos y se establece que ya no es obligatorio incluir el nombre de ambos progenitores en todos los documentos oficiales.</w:t>
      </w:r>
    </w:p>
    <w:p w14:paraId="4E87FD43" w14:textId="704C41E9" w:rsidR="00DE42B3" w:rsidRPr="00DE42B3" w:rsidRDefault="00DE42B3" w:rsidP="00DE42B3">
      <w:pPr>
        <w:pStyle w:val="SingleTxt"/>
        <w:numPr>
          <w:ilvl w:val="0"/>
          <w:numId w:val="26"/>
        </w:numPr>
        <w:ind w:left="1267"/>
      </w:pPr>
      <w:r w:rsidRPr="00DE42B3">
        <w:t xml:space="preserve">En agosto de 2019, la Sala Superior del Tribunal Supremo ordenó al Gobierno que se eliminara el término </w:t>
      </w:r>
      <w:r w:rsidRPr="00DE42B3">
        <w:rPr>
          <w:i/>
          <w:iCs/>
        </w:rPr>
        <w:t xml:space="preserve">Kumari </w:t>
      </w:r>
      <w:r w:rsidRPr="00DE42B3">
        <w:t xml:space="preserve">(doncella) del </w:t>
      </w:r>
      <w:r w:rsidRPr="00DE42B3">
        <w:rPr>
          <w:i/>
          <w:iCs/>
        </w:rPr>
        <w:t>Nikahnama</w:t>
      </w:r>
      <w:r w:rsidRPr="00DE42B3">
        <w:t xml:space="preserve"> (certificado de matrimonio musulmán) y en su lugar se utilizara la palabra </w:t>
      </w:r>
      <w:r w:rsidR="00ED40B4">
        <w:t>“</w:t>
      </w:r>
      <w:r w:rsidRPr="00DE42B3">
        <w:t>soltera</w:t>
      </w:r>
      <w:r w:rsidR="00ED40B4">
        <w:t>”</w:t>
      </w:r>
      <w:r w:rsidRPr="00DE42B3">
        <w:t xml:space="preserve">. El tribunal también ordenó a las autoridades que añadieran las opciones </w:t>
      </w:r>
      <w:r w:rsidR="00ED40B4">
        <w:t>“</w:t>
      </w:r>
      <w:r w:rsidRPr="00DE42B3">
        <w:t>soltero, viudo o divorciado</w:t>
      </w:r>
      <w:r w:rsidR="00ED40B4">
        <w:t>”</w:t>
      </w:r>
      <w:r w:rsidRPr="00DE42B3">
        <w:t xml:space="preserve"> para el novio mediante la inclusión de una cláusula adicional en el certificado de matrimonio.</w:t>
      </w:r>
    </w:p>
    <w:p w14:paraId="520BE4DB" w14:textId="31053BE6" w:rsidR="00DE42B3" w:rsidRPr="00DE42B3" w:rsidRDefault="00DE42B3" w:rsidP="00DE42B3">
      <w:pPr>
        <w:pStyle w:val="SingleTxt"/>
        <w:numPr>
          <w:ilvl w:val="0"/>
          <w:numId w:val="26"/>
        </w:numPr>
        <w:ind w:left="1267"/>
      </w:pPr>
      <w:r w:rsidRPr="00DE42B3">
        <w:t>En abril de 2025, el Gobierno modificó la Normativa sobre Matrimonio y Divorcio Musulmanes (Registro) de 2009. La nueva modificación introdujo la posibilidad de registrar el matrimonio y el divorcio en línea, además de mantener el sistema manual existente. El</w:t>
      </w:r>
      <w:r w:rsidR="00AE4701">
        <w:t xml:space="preserve"> </w:t>
      </w:r>
      <w:r w:rsidRPr="00DE42B3">
        <w:t>sistema digitalizado de registro pretende limitar la corrupción y el acoso público.</w:t>
      </w:r>
    </w:p>
    <w:p w14:paraId="2D578684" w14:textId="5F27FDEF" w:rsidR="00DE42B3" w:rsidRPr="00DE42B3" w:rsidRDefault="00DE42B3" w:rsidP="00DE42B3">
      <w:pPr>
        <w:pStyle w:val="SingleTxt"/>
        <w:numPr>
          <w:ilvl w:val="0"/>
          <w:numId w:val="26"/>
        </w:numPr>
        <w:ind w:left="1267"/>
      </w:pPr>
      <w:r w:rsidRPr="00DE42B3">
        <w:t>Desde el último informe del CEDAW, el Gobierno ha adoptado varias medidas para avanzar de forma gradual hacia la retirada de las reservas. Durante el 69º período de sesiones de la Comisión de la Condición Jurídica y Social de la Mujer en marzo de 2025, se celebró una reunión bilateral entre la Honorable Asesora del Ministerio de Asuntos de la Mujer y la Infancia y la Ministra de Asuntos de Género e Infancia de Túnez. Durante la reunión se examinaron posibles vías para eliminar las reservas de Bangladesh a la Convención, tomando como referencia la experiencia de Túnez en materia de eliminación de reservas como país musulmán. Desde el 69º</w:t>
      </w:r>
      <w:r w:rsidR="00AE4701">
        <w:t xml:space="preserve"> </w:t>
      </w:r>
      <w:r w:rsidRPr="00DE42B3">
        <w:t>período de sesiones de la Comisión, Bangladesh ha recibido valiosas aportaciones de otros países, en particular de Túnez y Marruecos, sobre las ventajas de retirar las reservas a la Convención. Bangladesh ha acogido con beneplácito esas aportaciones y ha reiterado su determinación de esforzarse por eliminar las reservas.</w:t>
      </w:r>
    </w:p>
    <w:p w14:paraId="485C3A40" w14:textId="77777777" w:rsidR="00DE42B3" w:rsidRPr="00DE42B3" w:rsidRDefault="00DE42B3" w:rsidP="00DE42B3">
      <w:pPr>
        <w:pStyle w:val="SingleTxt"/>
        <w:spacing w:after="0" w:line="120" w:lineRule="exact"/>
        <w:rPr>
          <w:sz w:val="10"/>
        </w:rPr>
      </w:pPr>
      <w:bookmarkStart w:id="9" w:name="_Toc196047978"/>
      <w:bookmarkStart w:id="10" w:name="_Toc198161698"/>
    </w:p>
    <w:p w14:paraId="730DE879" w14:textId="77777777" w:rsidR="00DE42B3" w:rsidRPr="00DE42B3" w:rsidRDefault="00DE42B3" w:rsidP="00DE42B3">
      <w:pPr>
        <w:pStyle w:val="SingleTxt"/>
        <w:spacing w:after="0" w:line="120" w:lineRule="exact"/>
        <w:rPr>
          <w:sz w:val="10"/>
        </w:rPr>
      </w:pPr>
    </w:p>
    <w:p w14:paraId="11D05172" w14:textId="548FB61C" w:rsidR="00DE42B3" w:rsidRPr="00DE42B3" w:rsidRDefault="00DE42B3" w:rsidP="00BF14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E42B3">
        <w:t>Marco legislativo</w:t>
      </w:r>
      <w:bookmarkEnd w:id="9"/>
      <w:bookmarkEnd w:id="10"/>
    </w:p>
    <w:p w14:paraId="4428997F" w14:textId="77777777" w:rsidR="00DE42B3" w:rsidRPr="00DE42B3" w:rsidRDefault="00DE42B3" w:rsidP="00BF14E0">
      <w:pPr>
        <w:pStyle w:val="SingleTxt"/>
        <w:keepNext/>
        <w:keepLines/>
        <w:spacing w:after="0" w:line="120" w:lineRule="exact"/>
        <w:rPr>
          <w:sz w:val="10"/>
        </w:rPr>
      </w:pPr>
    </w:p>
    <w:p w14:paraId="57410CA0" w14:textId="77777777" w:rsidR="00DE42B3" w:rsidRPr="00DE42B3" w:rsidRDefault="00DE42B3" w:rsidP="00DE42B3">
      <w:pPr>
        <w:pStyle w:val="SingleTxt"/>
        <w:spacing w:after="0" w:line="120" w:lineRule="exact"/>
        <w:rPr>
          <w:sz w:val="10"/>
        </w:rPr>
      </w:pPr>
    </w:p>
    <w:p w14:paraId="7FD12D92" w14:textId="031074EB" w:rsidR="00DE42B3" w:rsidRPr="00DE42B3" w:rsidRDefault="00DE42B3" w:rsidP="00DE42B3">
      <w:pPr>
        <w:pStyle w:val="SingleTxt"/>
        <w:numPr>
          <w:ilvl w:val="0"/>
          <w:numId w:val="26"/>
        </w:numPr>
        <w:ind w:left="1267"/>
      </w:pPr>
      <w:r w:rsidRPr="00DE42B3">
        <w:t xml:space="preserve">La Constitución de Bangladesh declara que todos los ciudadanos son iguales ante la ley y tienen derecho a igual protección legal (artículo 27). El país prohíbe la discriminación contra las mujeres al estipular que el Estado no discriminará por </w:t>
      </w:r>
      <w:r w:rsidRPr="00DE42B3">
        <w:lastRenderedPageBreak/>
        <w:t>motivos de sexo o de otro tipo y que las mujeres tendrán los mismos derechos que los hombres en todos los ámbitos del Estado y de la vida pública (artículo 28). La Política Nacional para el Adelanto de las Mujeres de 2011 y su Plan de Acción Nacional actualizado constituyen la base de la acción gubernamental encaminada a promover la igualdad de género, mientras que el Octavo Plan Quinquenal integra las cuestiones de igualdad de género en diferentes sectores.</w:t>
      </w:r>
    </w:p>
    <w:p w14:paraId="16CE2BDC" w14:textId="33E2B692" w:rsidR="00DE42B3" w:rsidRPr="00DE42B3" w:rsidRDefault="00DE42B3" w:rsidP="00DE42B3">
      <w:pPr>
        <w:pStyle w:val="SingleTxt"/>
        <w:numPr>
          <w:ilvl w:val="0"/>
          <w:numId w:val="26"/>
        </w:numPr>
        <w:ind w:left="1267"/>
      </w:pPr>
      <w:r w:rsidRPr="00DE42B3">
        <w:t>En Bangladesh, las cuestiones personales se rigen por las respectivas leyes religiosas de las comunidades afectadas. La nueva Ley de Tribunales de Familia promulgada en 2023 faculta a los tribunales de familia para resolver asuntos relacionados con el divorcio, la</w:t>
      </w:r>
      <w:r w:rsidR="00AE4701">
        <w:t xml:space="preserve"> </w:t>
      </w:r>
      <w:r w:rsidRPr="00DE42B3">
        <w:t>restitución de los derechos conyugales, la dote, la pensión alimenticia, la tutela y la custodia. Además, hace referencia a la creación de tribunales de apelación de familia que cuenten con un juez de distrito en cada tribunal.</w:t>
      </w:r>
    </w:p>
    <w:p w14:paraId="7E754719" w14:textId="0279E770" w:rsidR="00DE42B3" w:rsidRPr="00DE42B3" w:rsidRDefault="00DE42B3" w:rsidP="00DE42B3">
      <w:pPr>
        <w:pStyle w:val="SingleTxt"/>
        <w:numPr>
          <w:ilvl w:val="0"/>
          <w:numId w:val="26"/>
        </w:numPr>
        <w:ind w:left="1267"/>
      </w:pPr>
      <w:r w:rsidRPr="00DE42B3">
        <w:t>El Gobierno se ha comprometido a introducir los cambios necesarios en las leyes del estatuto personal para armonizarlas habida cuenta de las obligaciones internacionales, al</w:t>
      </w:r>
      <w:r w:rsidR="00AE4701">
        <w:t xml:space="preserve"> </w:t>
      </w:r>
      <w:r w:rsidRPr="00DE42B3">
        <w:t>tiempo que se allana el camino hacia la aprobación de un código civil uniforme. Para evitar el acoso relacionado con el registro de los matrimonios, el Gobierno estableció el registro en línea de matrimonios y divorcios, que se suma al sistema manual existente en virtud de la Ley de Matrimonio y Divorcio Musulmanes (Registro).</w:t>
      </w:r>
    </w:p>
    <w:p w14:paraId="7435826A" w14:textId="1CFA2463" w:rsidR="00DE42B3" w:rsidRPr="00DE42B3" w:rsidRDefault="00DE42B3" w:rsidP="00DE42B3">
      <w:pPr>
        <w:pStyle w:val="SingleTxt"/>
        <w:numPr>
          <w:ilvl w:val="0"/>
          <w:numId w:val="26"/>
        </w:numPr>
        <w:ind w:left="1267"/>
      </w:pPr>
      <w:r w:rsidRPr="00DE42B3">
        <w:t>El 24 de enero de 2023, la Sala Superior de Bangladesh dictó una sentencia histórica al reconocer a las madres como tutoras de sus hijos</w:t>
      </w:r>
      <w:r w:rsidRPr="00DE42B3">
        <w:rPr>
          <w:vertAlign w:val="superscript"/>
        </w:rPr>
        <w:footnoteReference w:id="13"/>
      </w:r>
      <w:r w:rsidRPr="00DE42B3">
        <w:t>. La sentencia permite reconocer a las madres como tutoras únicas y elimina la obligación de incluir el nombre de ambos progenitores en los documentos oficiales. Además, en 2024, en otra causa significativa, el</w:t>
      </w:r>
      <w:r w:rsidR="00AE4701">
        <w:t xml:space="preserve"> </w:t>
      </w:r>
      <w:r w:rsidRPr="00DE42B3">
        <w:t>Tribunal Superior de Bangladesh concedió a una madre la tutela total de su hija, lo que supuso un cambio significativo en el enfoque adoptado con respecto a las leyes de tutela en el país</w:t>
      </w:r>
      <w:r w:rsidRPr="00DE42B3">
        <w:rPr>
          <w:vertAlign w:val="superscript"/>
        </w:rPr>
        <w:footnoteReference w:id="14"/>
      </w:r>
      <w:r w:rsidRPr="00DE42B3">
        <w:t>.</w:t>
      </w:r>
    </w:p>
    <w:p w14:paraId="43D911EC" w14:textId="1456AD43" w:rsidR="00DE42B3" w:rsidRPr="00DE42B3" w:rsidRDefault="00DE42B3" w:rsidP="00DE42B3">
      <w:pPr>
        <w:pStyle w:val="SingleTxt"/>
        <w:numPr>
          <w:ilvl w:val="0"/>
          <w:numId w:val="26"/>
        </w:numPr>
        <w:ind w:left="1267"/>
      </w:pPr>
      <w:r w:rsidRPr="00DE42B3">
        <w:t>La Constitución de Bangladesh prevé un mecanismo eficaz para hacer cumplir y hacer efectivos los derechos fundamentales, incluida la igualdad ante la ley y la prohibición de discriminar a las mujeres</w:t>
      </w:r>
      <w:r w:rsidRPr="00DE42B3">
        <w:rPr>
          <w:vertAlign w:val="superscript"/>
        </w:rPr>
        <w:footnoteReference w:id="15"/>
      </w:r>
      <w:r w:rsidRPr="00DE42B3">
        <w:t>. El artículo 102 1) de la Constitución establece que el Tribunal Superior podrá dictar las resoluciones o directrices necesarias para hacer valer los derechos fundamentales consagrados en la Constitución. El poder judicial, a través de sus sentencias y directrices progresistas, ha venido desempeñando un papel eficaz en la promoción de los derechos de las mujeres y la justicia de género.</w:t>
      </w:r>
      <w:bookmarkEnd w:id="8"/>
    </w:p>
    <w:p w14:paraId="7991567C" w14:textId="03725014" w:rsidR="00DE42B3" w:rsidRPr="00DE42B3" w:rsidRDefault="00DE42B3" w:rsidP="00DE42B3">
      <w:pPr>
        <w:pStyle w:val="SingleTxt"/>
        <w:numPr>
          <w:ilvl w:val="0"/>
          <w:numId w:val="26"/>
        </w:numPr>
        <w:ind w:left="1267"/>
      </w:pPr>
      <w:r w:rsidRPr="00DE42B3">
        <w:t>El Gobierno dispone de varios mecanismos de rendición de cuentas para vigilar la aplicación de las leyes en materia de género y proteger los derechos de las mujeres y las niñas. El Consejo Nacional para el Adelanto de las Mujeres y la Infancia tiene el mandato de supervisar y orientar las actividades del Ministerio de Asuntos de la Mujer y la Infancia y otras instituciones en materia de igualdad de género y desarrollo infantil. Un Comité Parlamentario Permanente dedicado a los Asuntos de la Mujer y la Infancia examina las leyes y las políticas y formula sugerencias para el adelanto de las mujeres en consonancia con la Política Nacional para el Adelanto de las Mujeres.</w:t>
      </w:r>
    </w:p>
    <w:p w14:paraId="57AFC563" w14:textId="14950EEB" w:rsidR="00DE42B3" w:rsidRPr="00DE42B3" w:rsidRDefault="00DE42B3" w:rsidP="00DE42B3">
      <w:pPr>
        <w:pStyle w:val="SingleTxt"/>
        <w:numPr>
          <w:ilvl w:val="0"/>
          <w:numId w:val="26"/>
        </w:numPr>
        <w:ind w:left="1267"/>
      </w:pPr>
      <w:r w:rsidRPr="00F7241D">
        <w:t>La Comisión Nacional de Derechos</w:t>
      </w:r>
      <w:r w:rsidRPr="00DE42B3">
        <w:t xml:space="preserve"> Humanos (CNDH) puede investigar por iniciativa propia toda presunta violación de los derechos humanos; pedir explicaciones a los organismos encargados de hacer cumplir la ley y otras autoridades públicas; visitar las prisiones o centros correccionales; interponer recursos ante el Tribunal Superior en nombre de una parte agraviada; y ejercer las funciones de </w:t>
      </w:r>
      <w:r w:rsidRPr="00DE42B3">
        <w:lastRenderedPageBreak/>
        <w:t>tribunal civil mientras realiza una investigación. La CNDH creó un Comité de Investigación Nacional para llevar a cabo una investigación nacional sobre la violencia contra las mujeres y los niños, prestando especial atención a los casos de violación</w:t>
      </w:r>
      <w:r w:rsidRPr="00DE42B3">
        <w:rPr>
          <w:vertAlign w:val="superscript"/>
        </w:rPr>
        <w:footnoteReference w:id="16"/>
      </w:r>
      <w:r w:rsidRPr="00DE42B3">
        <w:t>. El Comité tiene por objeto aclarar las causas profundas, las tendencias, los obstáculos y las sugerencias para que las partes interesadas combatan las violaciones. En 2020, la CNDH puso en marcha una campaña relativa a la seguridad de las mujeres en lugares públicos con el fin de concienciar a los jóvenes y otros agentes clave sobre los problemas de seguridad de las mujeres y, de esa forma, promover un cambio positivo de percepción, actitud y conducta a favor de la igualdad de derechos de las mujeres y las niñas.</w:t>
      </w:r>
      <w:bookmarkStart w:id="11" w:name="_Toc198161699"/>
    </w:p>
    <w:p w14:paraId="426C8B70" w14:textId="77777777" w:rsidR="00DE42B3" w:rsidRPr="00A90EBA" w:rsidRDefault="00DE42B3" w:rsidP="00DE42B3">
      <w:pPr>
        <w:pStyle w:val="SingleTxt"/>
        <w:spacing w:after="0" w:line="120" w:lineRule="exact"/>
        <w:rPr>
          <w:bCs/>
          <w:sz w:val="10"/>
        </w:rPr>
      </w:pPr>
    </w:p>
    <w:p w14:paraId="5B081B5C" w14:textId="77777777" w:rsidR="00DE42B3" w:rsidRPr="00A90EBA" w:rsidRDefault="00DE42B3" w:rsidP="00DE42B3">
      <w:pPr>
        <w:pStyle w:val="SingleTxt"/>
        <w:spacing w:after="0" w:line="120" w:lineRule="exact"/>
        <w:rPr>
          <w:bCs/>
          <w:sz w:val="10"/>
        </w:rPr>
      </w:pPr>
    </w:p>
    <w:p w14:paraId="0D344800" w14:textId="592E29D8" w:rsidR="00DE42B3" w:rsidRPr="00DE42B3" w:rsidRDefault="00DE42B3" w:rsidP="00DE4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42B3">
        <w:tab/>
      </w:r>
      <w:r w:rsidRPr="00DE42B3">
        <w:tab/>
        <w:t>Acceso a la justicia</w:t>
      </w:r>
      <w:bookmarkEnd w:id="11"/>
    </w:p>
    <w:p w14:paraId="7B129A4F" w14:textId="77777777" w:rsidR="00DE42B3" w:rsidRPr="00DE42B3" w:rsidRDefault="00DE42B3" w:rsidP="00DE42B3">
      <w:pPr>
        <w:pStyle w:val="SingleTxt"/>
        <w:spacing w:after="0" w:line="120" w:lineRule="exact"/>
        <w:rPr>
          <w:sz w:val="10"/>
        </w:rPr>
      </w:pPr>
    </w:p>
    <w:p w14:paraId="62C26038" w14:textId="77777777" w:rsidR="00DE42B3" w:rsidRPr="00DE42B3" w:rsidRDefault="00DE42B3" w:rsidP="00DE42B3">
      <w:pPr>
        <w:pStyle w:val="SingleTxt"/>
        <w:spacing w:after="0" w:line="120" w:lineRule="exact"/>
        <w:rPr>
          <w:sz w:val="10"/>
        </w:rPr>
      </w:pPr>
    </w:p>
    <w:p w14:paraId="29BAE418" w14:textId="14B375AF" w:rsidR="00DE42B3" w:rsidRPr="00DE42B3" w:rsidRDefault="00DE42B3" w:rsidP="00DE42B3">
      <w:pPr>
        <w:pStyle w:val="SingleTxt"/>
        <w:numPr>
          <w:ilvl w:val="0"/>
          <w:numId w:val="26"/>
        </w:numPr>
        <w:ind w:left="1267"/>
      </w:pPr>
      <w:r w:rsidRPr="00DE42B3">
        <w:t>El Gobierno, en colaboración con diversas organizaciones, activistas, miembros de la sociedad civil y ONG, se esfuerza por lograr la justicia para todos, incluidas las mujeres y las niñas. Ha modificado disposiciones jurídicas discriminatorias con el fin de promover la inclusión de las mujeres y las niñas.</w:t>
      </w:r>
    </w:p>
    <w:p w14:paraId="01CD3A20" w14:textId="143A07C9" w:rsidR="00DE42B3" w:rsidRPr="00DE42B3" w:rsidRDefault="00DE42B3" w:rsidP="00DE42B3">
      <w:pPr>
        <w:pStyle w:val="SingleTxt"/>
        <w:numPr>
          <w:ilvl w:val="0"/>
          <w:numId w:val="26"/>
        </w:numPr>
        <w:ind w:left="1267"/>
      </w:pPr>
      <w:r w:rsidRPr="00DE42B3">
        <w:t>En 2024, el Gobierno modificó la Ley de Tribunales de Aldea de 2006 para reforzar su funcionalidad y garantizar un acceso a la justicia más rápido y sencillo para los grupos desfavorecidos, incluidas las mujeres. La nueva ley eleva la jurisdicción pecuniaria de 75.000</w:t>
      </w:r>
      <w:r w:rsidR="00AE4701">
        <w:t xml:space="preserve"> </w:t>
      </w:r>
      <w:r w:rsidRPr="00DE42B3">
        <w:t>takas (641 dólares de los Estados Unidos) a 300.000</w:t>
      </w:r>
      <w:r w:rsidR="000E2D81">
        <w:t> </w:t>
      </w:r>
      <w:r w:rsidRPr="00DE42B3">
        <w:t>takas (2.564 dólares de los Estados Unidos), lo que permite a los litigantes resolver las causas sin los costos y las complejidades de los tribunales de distrito. La ley modificada incluye una disposición que permite a las esposas interponer demandas en relación con la pensión alimenticia. Muchas mujeres casadas de las zonas rurales de Bangladesh son amas de casa, y sus maridos son los únicos miembros de la familia que obtienen ingresos. Si el marido abandona el matrimonio, eso tiene graves consecuencias para la seguridad económica de la mujer y sus hijos. Antes de que se incluyera esta disposición, los litigios familiares no se podían juzgar en el sistema de tribunales de aldea, pero ahora los tribunales de aldea pueden tratar cualquier causa relativa al cobro de la pensión alimenticia siempre que se no supere el límite de jurisdicción pecuniaria de 300.000 takas (2.564 dólares de los Estados Unidos). Esto aumentará el acceso a la justicia y, en consecuencia, el empoderamiento económico de las mujeres.</w:t>
      </w:r>
    </w:p>
    <w:p w14:paraId="393B8317" w14:textId="4BE2007B" w:rsidR="00DE42B3" w:rsidRPr="00DE42B3" w:rsidRDefault="00DE42B3" w:rsidP="00DE42B3">
      <w:pPr>
        <w:pStyle w:val="SingleTxt"/>
        <w:numPr>
          <w:ilvl w:val="0"/>
          <w:numId w:val="26"/>
        </w:numPr>
        <w:ind w:left="1267"/>
      </w:pPr>
      <w:r w:rsidRPr="00DE42B3">
        <w:t>Durante la pandemia de COVI</w:t>
      </w:r>
      <w:r w:rsidR="00ED40B4">
        <w:t>D</w:t>
      </w:r>
      <w:r w:rsidR="00ED40B4">
        <w:noBreakHyphen/>
        <w:t>1</w:t>
      </w:r>
      <w:r w:rsidRPr="00DE42B3">
        <w:t>9, se crearon tribunales virtuales a través de la Ley de Uso por parte de los Tribunales de la Tecnología de la Información y las Comunicaciones de 2020, lo que facilitó un mayor acceso de las mujeres a la justicia. Entre mayo de 2020 y agosto de 2022 se atendieron 314.842 peticiones de libertad bajo fianza por medio de los tribunales virtuales, y se concedió la libertad bajo fianza a 158.507 personas</w:t>
      </w:r>
      <w:r w:rsidRPr="00DE42B3">
        <w:rPr>
          <w:vertAlign w:val="superscript"/>
        </w:rPr>
        <w:footnoteReference w:id="17"/>
      </w:r>
      <w:r w:rsidRPr="00DE42B3">
        <w:t xml:space="preserve">. Se han introducido diversas soluciones digitales, como la notificación a los testigos por mensaje de texto, el listado de causas en línea, el tablero de vigilancia judicial y la aplicación móvil MyCourt, con el fin de mejorar el proceso judicial. Bangladesh ha adoptado una serie de herramientas digitales para agilizar los servicios judiciales en los tribunales subordinados, como el listado de causas en línea, el tablero de vigilancia judicial y la aplicación móvil MyCourt. Como resultado, la </w:t>
      </w:r>
      <w:r w:rsidRPr="00DE42B3">
        <w:lastRenderedPageBreak/>
        <w:t>eficiencia de la tramitación de las causas ha mejorado de manera significativa, y la tasa media nacional de resolución de causas se aproxima ahora al 95</w:t>
      </w:r>
      <w:r w:rsidR="00ED40B4">
        <w:t> %</w:t>
      </w:r>
      <w:r w:rsidRPr="00DE42B3">
        <w:rPr>
          <w:vertAlign w:val="superscript"/>
        </w:rPr>
        <w:footnoteReference w:id="18"/>
      </w:r>
      <w:r w:rsidRPr="00DE42B3">
        <w:t xml:space="preserve">. La aplicación del tribunal virtual ha incluido con carácter prioritario las causas de los tribunales </w:t>
      </w:r>
      <w:r w:rsidRPr="00DE42B3">
        <w:rPr>
          <w:i/>
          <w:iCs/>
        </w:rPr>
        <w:t>Nari</w:t>
      </w:r>
      <w:r w:rsidRPr="00DE42B3">
        <w:t xml:space="preserve"> o </w:t>
      </w:r>
      <w:r w:rsidRPr="00DE42B3">
        <w:rPr>
          <w:i/>
          <w:iCs/>
        </w:rPr>
        <w:t>Shishu Nirjatan Daman</w:t>
      </w:r>
      <w:r w:rsidRPr="00DE42B3">
        <w:t>.</w:t>
      </w:r>
    </w:p>
    <w:p w14:paraId="3B20DC4E" w14:textId="69A1B428" w:rsidR="00DE42B3" w:rsidRPr="00DE42B3" w:rsidRDefault="00DE42B3" w:rsidP="00DE42B3">
      <w:pPr>
        <w:pStyle w:val="SingleTxt"/>
        <w:numPr>
          <w:ilvl w:val="0"/>
          <w:numId w:val="26"/>
        </w:numPr>
        <w:ind w:left="1267"/>
      </w:pPr>
      <w:r w:rsidRPr="00DE42B3">
        <w:t>En 2020, el Gobierno abrió oficinas de servicio integral para las mujeres, los niños y las personas con discapacidad en 659 comisarías de policía</w:t>
      </w:r>
      <w:r w:rsidRPr="00DE42B3">
        <w:rPr>
          <w:vertAlign w:val="superscript"/>
        </w:rPr>
        <w:footnoteReference w:id="19"/>
      </w:r>
      <w:r w:rsidRPr="00DE42B3">
        <w:t>. Una subinspectora con capacitación especializada dirige cada oficina en colaboración con otras agentes cualificadas. En 2021, las oficinas atendieron a 3.444.000 personas</w:t>
      </w:r>
      <w:r w:rsidRPr="00DE42B3">
        <w:rPr>
          <w:vertAlign w:val="superscript"/>
        </w:rPr>
        <w:footnoteReference w:id="20"/>
      </w:r>
      <w:r w:rsidRPr="00DE42B3">
        <w:t>. Esta iniciativa de la Policía de Bangladesh ayuda a las mujeres a acceder a servicios de asistencia jurídica para combatir los prejuicios que afrontan en la sociedad.</w:t>
      </w:r>
    </w:p>
    <w:p w14:paraId="76B069BC" w14:textId="4D3A4058" w:rsidR="00DE42B3" w:rsidRPr="00DE42B3" w:rsidRDefault="00DE42B3" w:rsidP="00DE42B3">
      <w:pPr>
        <w:pStyle w:val="SingleTxt"/>
        <w:numPr>
          <w:ilvl w:val="0"/>
          <w:numId w:val="26"/>
        </w:numPr>
        <w:ind w:left="1267"/>
      </w:pPr>
      <w:r w:rsidRPr="00DE42B3">
        <w:t>El Gobierno de Bangladesh ha emprendido varias iniciativas para hacer frente a la violencia contra los desplazados forzosos nacionales de Myanmar, en colaboración con organizaciones internacionales y ONG. El Gobierno, consciente de la mayor vulnerabilidad a la violencia de género que experimentan las mujeres rohinyá, ha respaldado la creación de Espacios Adaptados a las Mujeres, donde las supervivientes de la violencia pueden acceder a atención de la salud, apoyo psicosocial y asistencia jurídica. Asimismo, el Gobierno ha tratado de reforzar las capacidades de los organismos encargados de hacer cumplir la ley y las autoridades de los campamentos para que los casos de violencia se denuncien y se gestionen con mayor eficacia. También se han emprendido medidas para prevenir la violencia mediante la implicación de los hombres y los niños a través de programas de sensibilización sobre las cuestiones de género, promoviendo así un entorno más solidario y protector para las mujeres y las niñas en los campamentos.</w:t>
      </w:r>
    </w:p>
    <w:p w14:paraId="68D5437C" w14:textId="7B321763" w:rsidR="00DE42B3" w:rsidRPr="00DE42B3" w:rsidRDefault="00DE42B3" w:rsidP="00DE42B3">
      <w:pPr>
        <w:pStyle w:val="SingleTxt"/>
        <w:numPr>
          <w:ilvl w:val="0"/>
          <w:numId w:val="26"/>
        </w:numPr>
        <w:ind w:left="1267"/>
      </w:pPr>
      <w:r w:rsidRPr="00DE42B3">
        <w:t>En 2020 se empezó a ofrecer un servicio de apoyo policial cibernético exclusivo para mujeres que garantiza la privacidad de la información de las víctimas, al tiempo que ofrece apoyo jurídico y tecnológico esencial a las mujeres víctimas de la ciberdelincuencia.</w:t>
      </w:r>
    </w:p>
    <w:p w14:paraId="588AE55B" w14:textId="0269DEF3" w:rsidR="00DE42B3" w:rsidRPr="00DE42B3" w:rsidRDefault="00DE42B3" w:rsidP="00DE42B3">
      <w:pPr>
        <w:pStyle w:val="SingleTxt"/>
        <w:numPr>
          <w:ilvl w:val="0"/>
          <w:numId w:val="26"/>
        </w:numPr>
        <w:ind w:left="1267"/>
      </w:pPr>
      <w:r w:rsidRPr="00DE42B3">
        <w:t>La Organización Nacional de Servicios de Asistencia Jurídica (ONSAJ), un</w:t>
      </w:r>
      <w:r w:rsidR="00AE4701">
        <w:t xml:space="preserve"> </w:t>
      </w:r>
      <w:r w:rsidRPr="00DE42B3">
        <w:t xml:space="preserve">organismo público especializado, presta servicios de asistencia jurídica en particular a los segmentos pobres y desfavorecidos de la sociedad, para que tengan acceso a la justicia. En el marco de la ONSAJ, el Comité de Asistencia Jurídica de Distrito, el Comité de Asistencia Jurídica de los </w:t>
      </w:r>
      <w:r w:rsidRPr="00DE42B3">
        <w:rPr>
          <w:i/>
          <w:iCs/>
        </w:rPr>
        <w:t>Upazilas</w:t>
      </w:r>
      <w:r w:rsidRPr="00DE42B3">
        <w:t xml:space="preserve"> y el Comité de Asistencia Jurídica de las </w:t>
      </w:r>
      <w:r w:rsidRPr="00DE42B3">
        <w:rPr>
          <w:i/>
          <w:iCs/>
        </w:rPr>
        <w:t>Unions</w:t>
      </w:r>
      <w:r w:rsidRPr="00DE42B3">
        <w:t xml:space="preserve"> facilitan asesoramiento y servicios jurídicos a la población. Entre 2009 y marzo de 2024, más de 1</w:t>
      </w:r>
      <w:r w:rsidR="00AE4701">
        <w:t xml:space="preserve"> </w:t>
      </w:r>
      <w:r w:rsidRPr="00DE42B3">
        <w:t>millón de personas se han beneficiado de los servicios jurídicos públicos gratuitos de la ONSAJ</w:t>
      </w:r>
      <w:r w:rsidRPr="00DE42B3">
        <w:rPr>
          <w:vertAlign w:val="superscript"/>
        </w:rPr>
        <w:footnoteReference w:id="21"/>
      </w:r>
      <w:r w:rsidRPr="00DE42B3">
        <w:t>. Esa cifra incluye 27.424 personas que recibieron asistencia jurídica a través de la Oficina de Asistencia Jurídica del Tribunal Supremo, 802.407 a través de las 64 Oficinas de Asistencia Jurídica de Distrito, 28.330 mediante las Células de Asistencia Jurídica Laboral de Daca y Chattogram, y 164.797 a través del Centro de Llamadas de Asistencia Jurídica. Además, 405.092</w:t>
      </w:r>
      <w:r w:rsidR="00FC0D3B">
        <w:t> </w:t>
      </w:r>
      <w:r w:rsidRPr="00DE42B3">
        <w:t>personas recibieron asesoramiento jurídico público, se prestó apoyo en 384.886 causas y se resolvieron 193.749 causas</w:t>
      </w:r>
      <w:r w:rsidRPr="00DE42B3">
        <w:rPr>
          <w:vertAlign w:val="superscript"/>
        </w:rPr>
        <w:footnoteReference w:id="22"/>
      </w:r>
      <w:r w:rsidRPr="00DE42B3">
        <w:t xml:space="preserve">. Los segmentos pobres, vulnerables </w:t>
      </w:r>
      <w:r w:rsidRPr="00DE42B3">
        <w:lastRenderedPageBreak/>
        <w:t>y marginados de la sociedad, incluidas las mujeres, son los principales beneficiarios de los servicios de asistencia jurídica.</w:t>
      </w:r>
    </w:p>
    <w:p w14:paraId="638DB0D1" w14:textId="581F5E35" w:rsidR="00DE42B3" w:rsidRPr="00DE42B3" w:rsidRDefault="00DE42B3" w:rsidP="00DE42B3">
      <w:pPr>
        <w:pStyle w:val="SingleTxt"/>
        <w:numPr>
          <w:ilvl w:val="0"/>
          <w:numId w:val="26"/>
        </w:numPr>
        <w:ind w:left="1267"/>
      </w:pPr>
      <w:r w:rsidRPr="00DE42B3">
        <w:t>El sistema de asistencia jurídica en el marco de la ONSAJ está contribuyendo con eficacia a promover la solución de controversias por vías alternativas para reducir la acumulación de casos y mejorar el acceso a la justicia para todos. Entre 2009 y 2024, se</w:t>
      </w:r>
      <w:r w:rsidR="00AE4701">
        <w:t xml:space="preserve"> </w:t>
      </w:r>
      <w:r w:rsidRPr="00DE42B3">
        <w:t>resolvieron a través de esas vías alternativas 117.999 de los 129.925 casos remitidos, con una tasa de éxito superior al 90</w:t>
      </w:r>
      <w:r w:rsidR="00ED40B4">
        <w:t> %</w:t>
      </w:r>
      <w:r w:rsidRPr="00DE42B3">
        <w:t>, lo que indica que la solución de controversias por vías alternativas es esencial para reducir el número de causas atrasadas</w:t>
      </w:r>
      <w:r w:rsidRPr="00DE42B3">
        <w:rPr>
          <w:vertAlign w:val="superscript"/>
        </w:rPr>
        <w:footnoteReference w:id="23"/>
      </w:r>
      <w:r w:rsidRPr="00DE42B3">
        <w:t>. En cuanto a sus beneficiarios, las mujeres constituyen alrededor del 50</w:t>
      </w:r>
      <w:r w:rsidR="00ED40B4">
        <w:t> %</w:t>
      </w:r>
      <w:r w:rsidRPr="00DE42B3">
        <w:t xml:space="preserve"> de ellos. El Gobierno ha adoptado varias medidas para poner en marcha una aplicación digital de asistencia jurídica y promover la solución de controversias en línea.</w:t>
      </w:r>
    </w:p>
    <w:p w14:paraId="4DC53D2F" w14:textId="11A11EEE" w:rsidR="00DE42B3" w:rsidRPr="00DE42B3" w:rsidRDefault="00DE42B3" w:rsidP="00DE42B3">
      <w:pPr>
        <w:pStyle w:val="SingleTxt"/>
        <w:numPr>
          <w:ilvl w:val="0"/>
          <w:numId w:val="26"/>
        </w:numPr>
        <w:ind w:left="1267"/>
      </w:pPr>
      <w:r w:rsidRPr="00DE42B3">
        <w:t>El Gobierno ha seguido emprendiendo diversos programas para aumentar la concienciación en el ámbito jurídico sobre los derechos de las mujeres. El Ministerio de Asuntos de las Chittagong Hill Tracts y diferentes ONG han emprendido numerosas iniciativas en los tres distritos de las colinas para concienciar sobre cuestiones jurídicas a todas las mujeres, incluidas las pertenecientes a minorías étnicas, para que conozcan sus derechos humanos y los medios que tienen a su disposición para hacer valer sus derechos.</w:t>
      </w:r>
    </w:p>
    <w:p w14:paraId="554E4A55" w14:textId="77777777" w:rsidR="00DE42B3" w:rsidRPr="00AE3C56" w:rsidRDefault="00DE42B3" w:rsidP="00DE42B3">
      <w:pPr>
        <w:pStyle w:val="SingleTxt"/>
        <w:spacing w:after="0" w:line="120" w:lineRule="exact"/>
        <w:rPr>
          <w:bCs/>
          <w:sz w:val="10"/>
        </w:rPr>
      </w:pPr>
      <w:bookmarkStart w:id="12" w:name="_Toc196047979"/>
      <w:bookmarkStart w:id="13" w:name="_Toc198161700"/>
    </w:p>
    <w:p w14:paraId="40CB8EBC" w14:textId="77777777" w:rsidR="00DE42B3" w:rsidRPr="00AE3C56" w:rsidRDefault="00DE42B3" w:rsidP="00DE42B3">
      <w:pPr>
        <w:pStyle w:val="SingleTxt"/>
        <w:spacing w:after="0" w:line="120" w:lineRule="exact"/>
        <w:rPr>
          <w:bCs/>
          <w:sz w:val="10"/>
        </w:rPr>
      </w:pPr>
    </w:p>
    <w:p w14:paraId="22C90633" w14:textId="3786933E" w:rsidR="00DE42B3" w:rsidRPr="00DE42B3" w:rsidRDefault="00DE42B3" w:rsidP="00DE4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42B3">
        <w:tab/>
      </w:r>
      <w:r w:rsidRPr="00DE42B3">
        <w:tab/>
        <w:t>Estereotipos y prácticas nocivas</w:t>
      </w:r>
      <w:bookmarkEnd w:id="12"/>
      <w:bookmarkEnd w:id="13"/>
    </w:p>
    <w:p w14:paraId="49670CCA" w14:textId="77777777" w:rsidR="00DE42B3" w:rsidRPr="00DE42B3" w:rsidRDefault="00DE42B3" w:rsidP="00DE42B3">
      <w:pPr>
        <w:pStyle w:val="SingleTxt"/>
        <w:spacing w:after="0" w:line="120" w:lineRule="exact"/>
        <w:rPr>
          <w:sz w:val="10"/>
        </w:rPr>
      </w:pPr>
    </w:p>
    <w:p w14:paraId="0B295F5B" w14:textId="77777777" w:rsidR="00DE42B3" w:rsidRPr="00DE42B3" w:rsidRDefault="00DE42B3" w:rsidP="00DE42B3">
      <w:pPr>
        <w:pStyle w:val="SingleTxt"/>
        <w:spacing w:after="0" w:line="120" w:lineRule="exact"/>
        <w:rPr>
          <w:sz w:val="10"/>
        </w:rPr>
      </w:pPr>
    </w:p>
    <w:p w14:paraId="14FF8901" w14:textId="4C6CAF21" w:rsidR="00DE42B3" w:rsidRPr="00DE42B3" w:rsidRDefault="00DE42B3" w:rsidP="00DE42B3">
      <w:pPr>
        <w:pStyle w:val="SingleTxt"/>
        <w:numPr>
          <w:ilvl w:val="0"/>
          <w:numId w:val="26"/>
        </w:numPr>
        <w:ind w:left="1267"/>
      </w:pPr>
      <w:r w:rsidRPr="00DE42B3">
        <w:t>Concienciación: El Estado es consciente de las diversas actitudes y normas basadas en estereotipos a las que se enfrentan las mujeres y, por tanto, está poniendo en marcha diversas medidas para combatir esos estereotipos. El Gobierno, en colaboración con ONG, asociados para el desarrollo y organizaciones de defensa de los derechos de las mujeres, está tratando de cambiar esas normas y estereotipos sociales.</w:t>
      </w:r>
    </w:p>
    <w:p w14:paraId="2A37A0DD" w14:textId="4B50481C" w:rsidR="00DE42B3" w:rsidRPr="00DE42B3" w:rsidRDefault="00DE42B3" w:rsidP="00DE42B3">
      <w:pPr>
        <w:pStyle w:val="SingleTxt"/>
        <w:numPr>
          <w:ilvl w:val="0"/>
          <w:numId w:val="26"/>
        </w:numPr>
        <w:ind w:left="1267"/>
      </w:pPr>
      <w:r w:rsidRPr="00DE42B3">
        <w:t>En el marco de la aplicación de un enfoque ascendente a la prevención de la violencia y la discriminación contra las mujeres, el Gobierno tiene previsto involucrar a las organizaciones comunitarias con una mayor participación de los hombres y los niños en las actividades de divulgación y concienciación pública.</w:t>
      </w:r>
    </w:p>
    <w:p w14:paraId="33230C49" w14:textId="6C441465" w:rsidR="00DE42B3" w:rsidRPr="00DE42B3" w:rsidRDefault="00DE42B3" w:rsidP="00DE42B3">
      <w:pPr>
        <w:pStyle w:val="SingleTxt"/>
        <w:numPr>
          <w:ilvl w:val="0"/>
          <w:numId w:val="26"/>
        </w:numPr>
        <w:ind w:left="1267"/>
      </w:pPr>
      <w:r w:rsidRPr="00DE42B3">
        <w:t xml:space="preserve">Bangladesh cuenta con un sólido marco jurídico y normativo pensado para combatir el contenido discriminatorio y el sesgo de género en el sector de los medios de comunicación. El país está aplicando la Política Nacional de Radiodifusión de 2014 con el fin de que los medios de comunicación fomenten y transmitan una imagen positiva de las funciones productivas que desempeñan las mujeres. </w:t>
      </w:r>
      <w:r w:rsidRPr="00D60D54">
        <w:t>La política</w:t>
      </w:r>
      <w:r w:rsidRPr="00DE42B3">
        <w:t xml:space="preserve"> insta a los medios de comunicación a que conciencien al público sobre el empoderamiento de las mujeres y otras comunidades subatendidas. Hay disposiciones específicas de la política que prohíben la representación negativa de las mujeres en los medios de comunicación, por ejemplo la emisión de cualquier programa que fomente la violencia o la discriminación contra las mujeres y los niños.</w:t>
      </w:r>
    </w:p>
    <w:p w14:paraId="629B29BB" w14:textId="51B84AFC" w:rsidR="00DE42B3" w:rsidRPr="00DE42B3" w:rsidRDefault="00DE42B3" w:rsidP="00DE42B3">
      <w:pPr>
        <w:pStyle w:val="SingleTxt"/>
        <w:numPr>
          <w:ilvl w:val="0"/>
          <w:numId w:val="26"/>
        </w:numPr>
        <w:ind w:left="1267"/>
      </w:pPr>
      <w:r w:rsidRPr="00DE42B3">
        <w:t xml:space="preserve">En el contexto de Bangladesh, donde los medios sociales a gran escala están repletos de noticias falseadas y rumores, la capacitación en materia de comprobación de hechos se considera esencial para evitar la difusión de información errónea y proteger a las víctimas de esta, generalmente mujeres. En 2022, el Instituto de Prensa de Bangladesh impartió capacitación sobre comprobación de hechos a 30 mujeres periodistas, incluidas algunas pertenecientes a la organización de mujeres periodistas </w:t>
      </w:r>
      <w:r w:rsidRPr="00DE42B3">
        <w:lastRenderedPageBreak/>
        <w:t>Bangladesh Nari Sangbadik Samity</w:t>
      </w:r>
      <w:r w:rsidRPr="00DE42B3">
        <w:rPr>
          <w:vertAlign w:val="superscript"/>
        </w:rPr>
        <w:footnoteReference w:id="24"/>
      </w:r>
      <w:r w:rsidRPr="00DE42B3">
        <w:t>. En la capacitación se pusieron de relieve las técnicas de redacción de informes mediante la comprobación de hechos, los métodos de comprobación de imágenes y videos falseados, el</w:t>
      </w:r>
      <w:r w:rsidR="00AE4701">
        <w:t xml:space="preserve"> </w:t>
      </w:r>
      <w:r w:rsidRPr="00DE42B3">
        <w:t>seguimiento de sitios de comprobación de hechos y la verificación de la autenticidad de las noticias. Además, varias ONG, organizaciones de la sociedad civil (OSC) y organizaciones internacionales respaldan también los esfuerzos por mejorar la imagen positiva de las mujeres y las niñas en los medios de comunicación mediante la capacitación de periodistas y profesionales de diversos periódicos, programas de televisión, emisoras de radio, agencias de noticias, portales de Internet, agencias de publicidad y organizaciones juveniles.</w:t>
      </w:r>
    </w:p>
    <w:p w14:paraId="759CC345" w14:textId="70908E92" w:rsidR="00DE42B3" w:rsidRPr="00DE42B3" w:rsidRDefault="00DE42B3" w:rsidP="00DE42B3">
      <w:pPr>
        <w:pStyle w:val="SingleTxt"/>
        <w:numPr>
          <w:ilvl w:val="0"/>
          <w:numId w:val="26"/>
        </w:numPr>
        <w:ind w:left="1267"/>
      </w:pPr>
      <w:r w:rsidRPr="00DE42B3">
        <w:t>Prevención de prácticas nocivas: Para prevenir las prácticas nocivas, el Gobierno ha emprendido diversas iniciativas. El levantamiento masivo liderado por los estudiantes en julio de 2024 ha allanado el camino para emprender una agenda de reformas encaminada a desafiar las desigualdades y los estereotipos sistemáticos, así como las normas de género arraigadas en la sociedad. Como se mencionó con anterioridad, el Gobierno formó una Comisión de Reforma para los Asuntos de la Mujer con el fin de eliminar los obstáculos sistemáticos y la discriminación arraigada que afrontan las mujeres. La agenda de reformas para el adelanto de las mujeres, además de respetar el principio de no dejar a nadie atrás, se</w:t>
      </w:r>
      <w:r w:rsidR="00AE4701">
        <w:t xml:space="preserve"> </w:t>
      </w:r>
      <w:r w:rsidRPr="00DE42B3">
        <w:t>centra en eliminar los obstáculos sistemáticos que afectan a la participación efectiva de las mujeres. El Gobierno está determinado a aplicar las recomendaciones de la Comisión que facilitan la prevención de las prácticas nocivas contra las mujeres.</w:t>
      </w:r>
    </w:p>
    <w:p w14:paraId="19FC3431" w14:textId="2EA30CAF" w:rsidR="00DE42B3" w:rsidRPr="00DE42B3" w:rsidRDefault="00DE42B3" w:rsidP="00DE42B3">
      <w:pPr>
        <w:pStyle w:val="SingleTxt"/>
        <w:numPr>
          <w:ilvl w:val="0"/>
          <w:numId w:val="26"/>
        </w:numPr>
        <w:ind w:left="1267"/>
      </w:pPr>
      <w:r w:rsidRPr="00DE42B3">
        <w:t>Bangladesh ha emprendido iniciativas para reforzar las medidas jurídicas y las políticas, así como para aplicar reformas jurídicas encaminadas a combatir la discriminación y el sesgo de género en los medios de comunicación, incluidos los medios sociales. El país prestó apoyo a la industria de los medios de comunicación proporcionando formación a los profesionales del ramo para fomentar la creación y el uso de imágenes no estereotipadas, equilibradas y diversas de las mujeres y las niñas en los medios de comunicación, incluidos los medios sociales. El</w:t>
      </w:r>
      <w:r w:rsidR="00AE4701">
        <w:t xml:space="preserve"> </w:t>
      </w:r>
      <w:r w:rsidRPr="00DE42B3">
        <w:t>Ministerio de Información y Radiodifusión y sus doce departamentos u organismos proporcionan el apoyo necesario y coordinan y supervisan las actividades para prevenir la discriminación y el sesgo de género en los medios de comunicación.</w:t>
      </w:r>
    </w:p>
    <w:p w14:paraId="7B6AF4AB" w14:textId="627D6665" w:rsidR="00DE42B3" w:rsidRPr="00DE42B3" w:rsidRDefault="00DE42B3" w:rsidP="00DE42B3">
      <w:pPr>
        <w:pStyle w:val="SingleTxt"/>
        <w:numPr>
          <w:ilvl w:val="0"/>
          <w:numId w:val="26"/>
        </w:numPr>
        <w:ind w:left="1267"/>
      </w:pPr>
      <w:r w:rsidRPr="00DE42B3">
        <w:t>La Comisión Reguladora de las Telecomunicaciones de Bangladesh es responsable de aplicar las mejores prácticas existentes para las plataformas de telecomunicaciones en línea y de abordar los problemas de seguridad relativos a la protección de los consumidores, la</w:t>
      </w:r>
      <w:r w:rsidR="00AE4701">
        <w:t xml:space="preserve"> </w:t>
      </w:r>
      <w:r w:rsidRPr="00DE42B3">
        <w:t>seguridad nacional y los contenidos en línea, como la discriminación, las representaciones de sustancias ilegales o nocivas, las conductas susceptibles de ser imitadas, la desnudez, el</w:t>
      </w:r>
      <w:r w:rsidR="00AE4701">
        <w:t xml:space="preserve"> </w:t>
      </w:r>
      <w:r w:rsidRPr="00DE42B3">
        <w:t>lenguaje, el sexo, la violencia, el miedo, las amenazas y otras cuestiones. En 2021, la</w:t>
      </w:r>
      <w:r w:rsidR="00AE4701">
        <w:t xml:space="preserve"> </w:t>
      </w:r>
      <w:r w:rsidRPr="00DE42B3">
        <w:t>Comisión Reguladora formuló un proyecto de Reglamento para Plataformas Digitales, de Medios Sociales y de Transmisión Libre con el fin de abordar y regular los contenidos nocivos y las actividades obscenas. El Reglamento es lo suficientemente amplio como para impedir la publicación en los medios sociales de contenidos discriminatorios que vulneren los derechos de las mujeres y los niños.</w:t>
      </w:r>
    </w:p>
    <w:p w14:paraId="51393F27" w14:textId="1F400C07" w:rsidR="00DE42B3" w:rsidRPr="00DE42B3" w:rsidRDefault="00DE42B3" w:rsidP="00DE42B3">
      <w:pPr>
        <w:pStyle w:val="SingleTxt"/>
        <w:numPr>
          <w:ilvl w:val="0"/>
          <w:numId w:val="26"/>
        </w:numPr>
        <w:ind w:left="1267"/>
      </w:pPr>
      <w:r w:rsidRPr="00DE42B3">
        <w:t>El Gobierno ha formulado y modificado las leyes y normas para eliminar el matrimonio infantil y concienciar sobre la estructura y los recursos judiciales que las niñas tienen a su disposición si ven sus derechos vulnerados a causa del matrimonio infantil. El</w:t>
      </w:r>
      <w:r w:rsidR="00AE4701">
        <w:t xml:space="preserve"> </w:t>
      </w:r>
      <w:r w:rsidRPr="00DE42B3">
        <w:t xml:space="preserve">país ha emprendido diversas medidas para concienciar sobre las consecuencias perjudiciales del matrimonio infantil y la violencia de género y, así, </w:t>
      </w:r>
      <w:r w:rsidRPr="00DE42B3">
        <w:lastRenderedPageBreak/>
        <w:t>utilizar la movilización comunitaria para cambiar la mentalidad social basada en estereotipos.</w:t>
      </w:r>
    </w:p>
    <w:p w14:paraId="1C389EE6" w14:textId="7F267D8D" w:rsidR="00DE42B3" w:rsidRPr="00DE42B3" w:rsidRDefault="00DE42B3" w:rsidP="00DE42B3">
      <w:pPr>
        <w:pStyle w:val="SingleTxt"/>
        <w:numPr>
          <w:ilvl w:val="0"/>
          <w:numId w:val="26"/>
        </w:numPr>
        <w:ind w:left="1267"/>
      </w:pPr>
      <w:r w:rsidRPr="00DE42B3">
        <w:t xml:space="preserve">La Ley de Restricción del Matrimonio Infantil y su Reglamento contemplaban la formación de comités de prevención del matrimonio infantil en el plano nacional y de distrito, </w:t>
      </w:r>
      <w:r w:rsidRPr="00DE42B3">
        <w:rPr>
          <w:i/>
          <w:iCs/>
        </w:rPr>
        <w:t>upazila</w:t>
      </w:r>
      <w:r w:rsidRPr="00DE42B3">
        <w:t xml:space="preserve"> y </w:t>
      </w:r>
      <w:r w:rsidRPr="00DE42B3">
        <w:rPr>
          <w:i/>
          <w:iCs/>
        </w:rPr>
        <w:t>union</w:t>
      </w:r>
      <w:r w:rsidRPr="00DE42B3">
        <w:t xml:space="preserve">. Entre los miembros de los comités hay funcionarios del Gobierno, representantes públicos locales, oficiales no gubernamentales y representantes de la sociedad civil. La Ley faculta a los funcionarios del Gobierno y los representantes locales para adoptar medidas contra el matrimonio infantil e impone penas más severas a los implicados. En la actualidad, se puede exigir responsabilidades legales a los progenitores, los tutores y los trabajadores del registro de matrimonios que faciliten el matrimonio infantil. </w:t>
      </w:r>
    </w:p>
    <w:p w14:paraId="4334AE54" w14:textId="3B7DBB4A" w:rsidR="00DE42B3" w:rsidRPr="00DE42B3" w:rsidRDefault="00DE42B3" w:rsidP="00DE42B3">
      <w:pPr>
        <w:pStyle w:val="SingleTxt"/>
        <w:numPr>
          <w:ilvl w:val="0"/>
          <w:numId w:val="26"/>
        </w:numPr>
        <w:ind w:left="1267"/>
      </w:pPr>
      <w:r w:rsidRPr="00DE42B3">
        <w:t xml:space="preserve">Plan International y el Gobierno de Bangladesh desarrollaron la aplicación móvil </w:t>
      </w:r>
      <w:r w:rsidR="00ED40B4">
        <w:t>“</w:t>
      </w:r>
      <w:r w:rsidRPr="00DE42B3">
        <w:t>Game Changer</w:t>
      </w:r>
      <w:r w:rsidR="00ED40B4">
        <w:t>”</w:t>
      </w:r>
      <w:r w:rsidRPr="00DE42B3">
        <w:t xml:space="preserve"> con el objetivo de prevenir el matrimonio infantil; para ello, permite a los casamenteros, los sacerdotes y los funcionarios que registran los matrimonios verificar la edad de los novios a través de una base de datos digital</w:t>
      </w:r>
      <w:r w:rsidRPr="00DE42B3">
        <w:rPr>
          <w:vertAlign w:val="superscript"/>
        </w:rPr>
        <w:footnoteReference w:id="25"/>
      </w:r>
      <w:r w:rsidRPr="00DE42B3">
        <w:t>. Durante el período de prueba de seis meses, la aplicación contribuyó a impedir 3.750</w:t>
      </w:r>
      <w:r w:rsidR="00476320">
        <w:t> </w:t>
      </w:r>
      <w:r w:rsidRPr="00DE42B3">
        <w:t>matrimonios de menores. La aplicación, que está disponible también en versión de mensajería de texto sin necesidad de conexión a Internet para las zonas rurales, facilita al usuario acceso a una base de datos que almacena un número de identificación único vinculado a los documentos pertinentes.</w:t>
      </w:r>
    </w:p>
    <w:p w14:paraId="155E9929" w14:textId="77777777" w:rsidR="00DE42B3" w:rsidRPr="00DE42B3" w:rsidRDefault="00DE42B3" w:rsidP="00DE42B3">
      <w:pPr>
        <w:pStyle w:val="SingleTxt"/>
        <w:spacing w:after="0" w:line="120" w:lineRule="exact"/>
        <w:rPr>
          <w:sz w:val="10"/>
        </w:rPr>
      </w:pPr>
      <w:bookmarkStart w:id="14" w:name="_Toc198161701"/>
    </w:p>
    <w:p w14:paraId="0197EEB0" w14:textId="77777777" w:rsidR="00DE42B3" w:rsidRPr="00DE42B3" w:rsidRDefault="00DE42B3" w:rsidP="00DE42B3">
      <w:pPr>
        <w:pStyle w:val="SingleTxt"/>
        <w:spacing w:after="0" w:line="120" w:lineRule="exact"/>
        <w:rPr>
          <w:sz w:val="10"/>
        </w:rPr>
      </w:pPr>
    </w:p>
    <w:p w14:paraId="57109F03" w14:textId="69266906" w:rsidR="00DE42B3" w:rsidRPr="00DE42B3" w:rsidRDefault="00DE42B3" w:rsidP="00DE4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42B3">
        <w:tab/>
      </w:r>
      <w:r w:rsidRPr="00DE42B3">
        <w:tab/>
        <w:t>Violencia de género contra la mujer</w:t>
      </w:r>
      <w:bookmarkEnd w:id="14"/>
    </w:p>
    <w:p w14:paraId="0B83EBD1" w14:textId="77777777" w:rsidR="00DE42B3" w:rsidRPr="00DE42B3" w:rsidRDefault="00DE42B3" w:rsidP="00DE42B3">
      <w:pPr>
        <w:pStyle w:val="SingleTxt"/>
        <w:spacing w:after="0" w:line="120" w:lineRule="exact"/>
        <w:rPr>
          <w:sz w:val="10"/>
        </w:rPr>
      </w:pPr>
    </w:p>
    <w:p w14:paraId="46499C55" w14:textId="77777777" w:rsidR="00DE42B3" w:rsidRPr="00DE42B3" w:rsidRDefault="00DE42B3" w:rsidP="00DE42B3">
      <w:pPr>
        <w:pStyle w:val="SingleTxt"/>
        <w:spacing w:after="0" w:line="120" w:lineRule="exact"/>
        <w:rPr>
          <w:sz w:val="10"/>
        </w:rPr>
      </w:pPr>
    </w:p>
    <w:p w14:paraId="33B10F68" w14:textId="42639E73" w:rsidR="00DE42B3" w:rsidRPr="00DE42B3" w:rsidRDefault="00DE42B3" w:rsidP="00DE42B3">
      <w:pPr>
        <w:pStyle w:val="SingleTxt"/>
        <w:numPr>
          <w:ilvl w:val="0"/>
          <w:numId w:val="26"/>
        </w:numPr>
        <w:ind w:left="1267"/>
      </w:pPr>
      <w:r w:rsidRPr="00DE42B3">
        <w:t>En marzo de 2025, el Gobierno interino de Bangladesh modificó la Ley de Prevención de la Opresión contra Mujeres y Niños de 2000 mediante una ordenanza. Entre los cambios se encuentran la creación de tribunales especiales para las causas por violación de menores, la</w:t>
      </w:r>
      <w:r w:rsidR="00AE4701">
        <w:t xml:space="preserve"> </w:t>
      </w:r>
      <w:r w:rsidRPr="00DE42B3">
        <w:t xml:space="preserve">disminución del tiempo de investigación a 15 días y de juicio a 90, y la ampliación de la definición de violación para incluir los delitos cometidos tanto por hombres como por mujeres. En la ley modificada, a la definición de violación se añadió una explicación que abarca el abuso sexual de niños varones, como la penetración oral o anal forzada, lo que se conoce como </w:t>
      </w:r>
      <w:r w:rsidRPr="00DE42B3">
        <w:rPr>
          <w:i/>
          <w:iCs/>
        </w:rPr>
        <w:t>balatkar</w:t>
      </w:r>
      <w:r w:rsidRPr="00DE42B3">
        <w:t>. Esta modificación corrige una antigua laguna jurídica y permite enjuiciar esos delitos como violación.</w:t>
      </w:r>
    </w:p>
    <w:p w14:paraId="2AA8D00A" w14:textId="03F90298" w:rsidR="00DE42B3" w:rsidRPr="00DE42B3" w:rsidRDefault="00DE42B3" w:rsidP="00DE42B3">
      <w:pPr>
        <w:pStyle w:val="SingleTxt"/>
        <w:numPr>
          <w:ilvl w:val="0"/>
          <w:numId w:val="26"/>
        </w:numPr>
        <w:ind w:left="1267"/>
      </w:pPr>
      <w:r w:rsidRPr="00DE42B3">
        <w:t>La Ley de Prevención de la Opresión contra Mujeres y Niños modificada incluye una nueva disposición (sección 9b) que contempla como delito independiente aquellos casos de violación en que se engaña a la víctima con una promesa de matrimonio o el señuelo del matrimonio. La Ley impone penas de hasta siete años de prisión a las personas que mantengan relaciones sexuales bajo falsas promesas de matrimonio e introduce penas más severas para quienes causen daño físico a las víctimas tras no haber logrado violarlas. La</w:t>
      </w:r>
      <w:r w:rsidR="00AE4701">
        <w:t xml:space="preserve"> </w:t>
      </w:r>
      <w:r w:rsidRPr="00DE42B3">
        <w:t>ley modificada prevé multas monetarias más elevadas. En la sección 4, la anterior multa mínima, de 100.000</w:t>
      </w:r>
      <w:r w:rsidR="00AE4701">
        <w:t xml:space="preserve"> </w:t>
      </w:r>
      <w:r w:rsidRPr="00DE42B3">
        <w:t>takas, se ha incrementado hasta 2 millones de takas. Estos cambios pretenden agilizar la justicia, reforzar la protección de las víctimas y aumentar la eficacia en la prevención de la violencia sexual.</w:t>
      </w:r>
    </w:p>
    <w:p w14:paraId="2941DF82" w14:textId="1E108C5B" w:rsidR="00DE42B3" w:rsidRPr="00DE42B3" w:rsidRDefault="00DE42B3" w:rsidP="00DE42B3">
      <w:pPr>
        <w:pStyle w:val="SingleTxt"/>
        <w:numPr>
          <w:ilvl w:val="0"/>
          <w:numId w:val="26"/>
        </w:numPr>
        <w:ind w:left="1267"/>
      </w:pPr>
      <w:r w:rsidRPr="00DE42B3">
        <w:t xml:space="preserve">La ley modificada exige la creación de Tribunales de Lucha contra los Delitos de Violación Infantil en todos los distritos y áreas metropolitanas. Se trata de un cambio institucional importante. Estos tribunales solo se encargan de las causas por violación infantil y están dotados de jueces de los tribunales de distrito y los tribunales </w:t>
      </w:r>
      <w:r w:rsidRPr="00DE42B3">
        <w:lastRenderedPageBreak/>
        <w:t>penales superiores de los distritos, lo que garantiza un proceso de resolución más eficiente y eficaz para las víctimas infantiles.</w:t>
      </w:r>
    </w:p>
    <w:p w14:paraId="5F2849D4" w14:textId="58297CBA" w:rsidR="00DE42B3" w:rsidRPr="00DE42B3" w:rsidRDefault="00DE42B3" w:rsidP="00DE42B3">
      <w:pPr>
        <w:pStyle w:val="SingleTxt"/>
        <w:numPr>
          <w:ilvl w:val="0"/>
          <w:numId w:val="26"/>
        </w:numPr>
        <w:ind w:left="1267"/>
      </w:pPr>
      <w:r w:rsidRPr="00DE42B3">
        <w:t>La ley modificada incluye además una nueva disposición por la que se habilita a los jueces dictar órdenes de protección para las víctimas y los testigos. Además, permite a las víctimas reclamar los gastos y las indemnizaciones en relación con la causa. La ley modificó las disposiciones procesales para agilizar el sistema jurídico y ofrecer una justicia rápida a las víctimas de violación.</w:t>
      </w:r>
    </w:p>
    <w:p w14:paraId="27A52E6C" w14:textId="2B2C847B" w:rsidR="00DE42B3" w:rsidRPr="00DE42B3" w:rsidRDefault="00DE42B3" w:rsidP="00DE42B3">
      <w:pPr>
        <w:pStyle w:val="SingleTxt"/>
        <w:numPr>
          <w:ilvl w:val="0"/>
          <w:numId w:val="26"/>
        </w:numPr>
        <w:ind w:left="1267"/>
      </w:pPr>
      <w:r w:rsidRPr="00DE42B3">
        <w:t>Para abordar los retrasos en los juicios que genera el requisito de presentar el certificado de una prueba de ADN, en la Ley modificada se establece que si el tribunal determina que un juicio puede proseguir sobre la base de certificados médicos y pruebas circunstanciales, no será necesario esperar por los resultados de la prueba de ADN (sección</w:t>
      </w:r>
      <w:r w:rsidR="00AE4701">
        <w:t xml:space="preserve"> </w:t>
      </w:r>
      <w:r w:rsidRPr="00DE42B3">
        <w:t>32). Así, los jueces pueden proseguir con el juicio sin exigir como prueba obligatoria esos resultados. El Gobierno también decidió abrir lo antes posible dos nuevos laboratorios de pruebas de ADN en Chittagong y Rajshahi. Anteriormente, el Gobierno había promulgado el Reglamento sobre ADN de 2018 con el fin de facilitar la aplicación de la Ley sobre ADN de 2014, garantizando así el uso de pruebas forenses de ADN en los tribunales.</w:t>
      </w:r>
    </w:p>
    <w:p w14:paraId="06F2A800" w14:textId="0A14C58B" w:rsidR="00DE42B3" w:rsidRPr="00DE42B3" w:rsidRDefault="00DE42B3" w:rsidP="00DE42B3">
      <w:pPr>
        <w:pStyle w:val="SingleTxt"/>
        <w:numPr>
          <w:ilvl w:val="0"/>
          <w:numId w:val="26"/>
        </w:numPr>
        <w:ind w:left="1267"/>
      </w:pPr>
      <w:r w:rsidRPr="00DE42B3">
        <w:t xml:space="preserve">En 2018, la Sala Superior del Tribunal Supremo de Bangladesh dictó dos sentencias históricas sobre violaciones y violencia sexual. En la primera prohibió la realización de la </w:t>
      </w:r>
      <w:r w:rsidR="00ED40B4">
        <w:t>“</w:t>
      </w:r>
      <w:r w:rsidRPr="00DE42B3">
        <w:t>prueba de los dos dedos</w:t>
      </w:r>
      <w:r w:rsidR="00ED40B4">
        <w:t>”</w:t>
      </w:r>
      <w:r w:rsidRPr="00DE42B3">
        <w:t xml:space="preserve"> a las supervivientes de violación para verificar que se había producido la violación, y en la segunda se avanzó hacia la justicia y la protección de los supervivientes de violaciones. A través de estas sentencias, dictadas en abril de 2018, el</w:t>
      </w:r>
      <w:r w:rsidR="00AE4701">
        <w:t xml:space="preserve"> </w:t>
      </w:r>
      <w:r w:rsidRPr="00DE42B3">
        <w:t>Tribunal fijó directrices sobre la realización de pruebas medicolegales a las víctimas de violación y las responsabilidades de la policía a la hora de registrar las denuncias de violación y violencia sexual y de prestar apoyo a las víctimas durante el proceso.</w:t>
      </w:r>
    </w:p>
    <w:p w14:paraId="2623B569" w14:textId="48D23EF3" w:rsidR="00DE42B3" w:rsidRPr="00DE42B3" w:rsidRDefault="00DE42B3" w:rsidP="00DE42B3">
      <w:pPr>
        <w:pStyle w:val="SingleTxt"/>
        <w:numPr>
          <w:ilvl w:val="0"/>
          <w:numId w:val="26"/>
        </w:numPr>
        <w:ind w:left="1267"/>
      </w:pPr>
      <w:r w:rsidRPr="00DE42B3">
        <w:t>Mediante una modificación de la Ley de Pruebas de 2022, el Gobierno impuso restricciones al cuestionamiento en los tribunales del carácter de las mujeres, sobre todo porque esa práctica puede disuadir a las víctimas de denunciar las violaciones. Ahora ya no se pueden utilizar como prueba las alegaciones relativas al carácter inmoral de una víctima de violación. Además, las pruebas digitales pasan a ser admisibles en los tribunales, y cualquier pregunta sobre el carácter de los testigos, si se considera necesaria para garantizar la justicia, requiere la autorización del tribunal.</w:t>
      </w:r>
    </w:p>
    <w:p w14:paraId="42F33378" w14:textId="2D51C616" w:rsidR="00DE42B3" w:rsidRPr="00DE42B3" w:rsidRDefault="00DE42B3" w:rsidP="00DE42B3">
      <w:pPr>
        <w:pStyle w:val="SingleTxt"/>
        <w:numPr>
          <w:ilvl w:val="0"/>
          <w:numId w:val="26"/>
        </w:numPr>
        <w:ind w:left="1267"/>
      </w:pPr>
      <w:r w:rsidRPr="00DE42B3">
        <w:t>El Gobierno interino promulgó la Ordenanza de Ciberseguridad de 2025, que hace punibles los ciberabusos y reconoce que el acceso a Internet es un derecho de los ciudadanos. La ley tipifica como delito el hecho de publicar o amenazar con publicar en espacios digitales, a través de un sitio web o por cualquier otro medio digital o electrónico, contenidos relativos a la explotación sexual de mujeres y niños.</w:t>
      </w:r>
    </w:p>
    <w:p w14:paraId="070A5086" w14:textId="39B64BE4" w:rsidR="00DE42B3" w:rsidRPr="00DE42B3" w:rsidRDefault="00DE42B3" w:rsidP="00DE42B3">
      <w:pPr>
        <w:pStyle w:val="SingleTxt"/>
        <w:numPr>
          <w:ilvl w:val="0"/>
          <w:numId w:val="26"/>
        </w:numPr>
        <w:ind w:left="1267"/>
      </w:pPr>
      <w:r w:rsidRPr="00DE42B3">
        <w:t>El Gobierno, en colaboración con organismos internacionales para el desarrollo y ONG, emprendió acciones concertadas para implementar las directrices del Tribunal Superior destinadas a prevenir el acoso sexual contra las mujeres y las niñas en el lugar de trabajo, los centros educativos y los espacios públicos. El Ministerio de Educación ha dado instrucciones a todos los centros y departamentos de educación secundaria y secundaria superior para que formen comités de cinco miembros que se encarguen de prevenir el acoso sexual. Además, el Ministerio ha conseguido que 46</w:t>
      </w:r>
      <w:r w:rsidR="00297DCC">
        <w:t> </w:t>
      </w:r>
      <w:r w:rsidRPr="00DE42B3">
        <w:t>de las 53 universidades públicas y 100</w:t>
      </w:r>
      <w:r w:rsidR="00AE4701">
        <w:t xml:space="preserve"> </w:t>
      </w:r>
      <w:r w:rsidRPr="00DE42B3">
        <w:t>de</w:t>
      </w:r>
      <w:r w:rsidR="00AE4701">
        <w:t xml:space="preserve"> </w:t>
      </w:r>
      <w:r w:rsidRPr="00DE42B3">
        <w:t>las 109 universidades privadas de Bangladesh cuenten con comités de denuncia que combatan el acoso sexual, en consonancia con las directrices del Tribunal Superior.</w:t>
      </w:r>
    </w:p>
    <w:p w14:paraId="31BFD48F" w14:textId="245BE3DE" w:rsidR="00DE42B3" w:rsidRPr="00DE42B3" w:rsidRDefault="00DE42B3" w:rsidP="00DE42B3">
      <w:pPr>
        <w:pStyle w:val="SingleTxt"/>
        <w:numPr>
          <w:ilvl w:val="0"/>
          <w:numId w:val="26"/>
        </w:numPr>
        <w:ind w:left="1267"/>
      </w:pPr>
      <w:r w:rsidRPr="00DE42B3">
        <w:t xml:space="preserve">El Gobierno redactó una nueva ley, el proyecto de ley de prevención y protección en materia de acoso sexual de 2024, para combatir el acoso sexual en espacios públicos, lugares de trabajo y centros educativos. El proyecto de ley define </w:t>
      </w:r>
      <w:r w:rsidRPr="00DE42B3">
        <w:lastRenderedPageBreak/>
        <w:t>el acoso sexual, reseña los pasos necesarios para denunciarlo e incluye sanciones, como multas, suspensión o despido del puesto de trabajo.</w:t>
      </w:r>
    </w:p>
    <w:p w14:paraId="274A4E6A" w14:textId="3BBE176A" w:rsidR="00DE42B3" w:rsidRPr="00DE42B3" w:rsidRDefault="00DE42B3" w:rsidP="00DE42B3">
      <w:pPr>
        <w:pStyle w:val="SingleTxt"/>
        <w:numPr>
          <w:ilvl w:val="0"/>
          <w:numId w:val="26"/>
        </w:numPr>
        <w:ind w:left="1267"/>
      </w:pPr>
      <w:r w:rsidRPr="00DE42B3">
        <w:t>El Plan de Acción Nacional actualizado para Prevenir la Violencia contra las Mujeres y los Niños 2018-2030 tiene por objetivo establecer una sociedad libre de violencia contra las mujeres y los niños para 2030 mediante una mejor aplicación del derecho y las políticas que combaten la violencia contra las mujeres y las niñas, la concienciación social, unas mejores condiciones socioeconómicas para las mujeres y servicios de protección, así como a través de la prevención y la rehabilitación.</w:t>
      </w:r>
    </w:p>
    <w:p w14:paraId="68AEF187" w14:textId="19F23FC3" w:rsidR="00DE42B3" w:rsidRPr="00DE42B3" w:rsidRDefault="00DE42B3" w:rsidP="00DE42B3">
      <w:pPr>
        <w:pStyle w:val="SingleTxt"/>
        <w:numPr>
          <w:ilvl w:val="0"/>
          <w:numId w:val="26"/>
        </w:numPr>
        <w:ind w:left="1267"/>
      </w:pPr>
      <w:r w:rsidRPr="00DE42B3">
        <w:t xml:space="preserve">El Plan de Acción Nacional para Poner Fin al Matrimonio Infantil 2018-2030 tiene por objetivo erradicar el matrimonio infantil para 2041, reducir en un tercio la cantidad de niñas de entre 15 y 18 años que contraen matrimonio (con respecto a la cifra de 2021) y eliminar el matrimonio de las niñas menores de 15 años. Las prioridades básicas del Plan incluyen lo siguiente: el empoderamiento de las adolescentes mediante el refuerzo de su participación, sus competencias para la vida, su acceso a instalaciones modernas y su participación en la toma de decisiones en su familia y su comunidad; la concienciación sobre las consecuencias perjudiciales del matrimonio infantil y la violencia de género con el fin de cambiar la mentalidad social basada en estereotipos a través de la movilización comunitaria; y la formulación o modificación de leyes y normas con el fin de eliminar el matrimonio infantil y concienciar sobre la estructura y los recursos judiciales que las niñas tienen a su disposición si ven sus derechos vulnerados a causa del matrimonio infantil. </w:t>
      </w:r>
    </w:p>
    <w:p w14:paraId="1A74AAA7" w14:textId="666A97B1" w:rsidR="00DE42B3" w:rsidRPr="00DE42B3" w:rsidRDefault="00DE42B3" w:rsidP="00DE42B3">
      <w:pPr>
        <w:pStyle w:val="SingleTxt"/>
        <w:numPr>
          <w:ilvl w:val="0"/>
          <w:numId w:val="26"/>
        </w:numPr>
        <w:ind w:left="1267"/>
      </w:pPr>
      <w:r w:rsidRPr="00DE42B3">
        <w:t>Se aprobaron las Reglas sobre la Restricción del Matrimonio Infantil de 2018 con el fin de aclarar los procedimientos para aplicar las disposiciones especiales de la Ley de Restricción del Matrimonio Infantil de 2017 y evitar que se haga un uso indebido de ella. El</w:t>
      </w:r>
      <w:r w:rsidR="00AE4701">
        <w:t xml:space="preserve"> </w:t>
      </w:r>
      <w:r w:rsidRPr="00DE42B3">
        <w:t>Gobierno está desarrollando un sistema informático para verificar la edad de los novios mediante un certificado de nacimiento, un documento nacional de identidad, un certificado de educación secundaria o un certificado de educación secundaria superior, lo que contribuye a prevenir el matrimonio infantil.</w:t>
      </w:r>
    </w:p>
    <w:p w14:paraId="08C37DA5" w14:textId="0005D34D" w:rsidR="00DE42B3" w:rsidRPr="00DE42B3" w:rsidRDefault="00DE42B3" w:rsidP="00DE42B3">
      <w:pPr>
        <w:pStyle w:val="SingleTxt"/>
        <w:numPr>
          <w:ilvl w:val="0"/>
          <w:numId w:val="26"/>
        </w:numPr>
        <w:ind w:left="1267"/>
      </w:pPr>
      <w:r w:rsidRPr="00DE42B3">
        <w:t xml:space="preserve">El Ministerio de Asuntos de la Mujer y la Infancia, el UNFPA y el Fondo de las Naciones Unidas para la Infancia (UNICEF) están ejecutando el emblemático </w:t>
      </w:r>
      <w:r w:rsidR="00ED40B4">
        <w:t>“</w:t>
      </w:r>
      <w:r w:rsidRPr="00DE42B3">
        <w:t>Programa Mundial para Poner Fin al Matrimonio Infantil</w:t>
      </w:r>
      <w:r w:rsidR="00ED40B4">
        <w:t>”</w:t>
      </w:r>
      <w:r w:rsidRPr="00DE42B3">
        <w:t xml:space="preserve">. Las intervenciones de la Fase II (2020-2023) en Bangladesh han dado lugar a la creación de espacios seguros de acogida para niñas en todo el país. Hasta el momento, más de 25.000 adolescentes han utilizado estos espacios, normalmente denominados </w:t>
      </w:r>
      <w:r w:rsidR="00ED40B4">
        <w:t>“</w:t>
      </w:r>
      <w:r w:rsidRPr="00DE42B3">
        <w:t>Centros de Recursos Kishori</w:t>
      </w:r>
      <w:r w:rsidR="00ED40B4">
        <w:t>”</w:t>
      </w:r>
      <w:r w:rsidRPr="00DE42B3">
        <w:t>, que también ofrecen formación en competencias para la vida, educación sobre salud sexual y reproductiva, y opciones positivas</w:t>
      </w:r>
      <w:r w:rsidRPr="00DE42B3">
        <w:rPr>
          <w:vertAlign w:val="superscript"/>
        </w:rPr>
        <w:footnoteReference w:id="26"/>
      </w:r>
      <w:r w:rsidRPr="00DE42B3">
        <w:t>.</w:t>
      </w:r>
    </w:p>
    <w:p w14:paraId="4EB7E687" w14:textId="775EDA55" w:rsidR="00DE42B3" w:rsidRPr="00DE42B3" w:rsidRDefault="00DE42B3" w:rsidP="00DE42B3">
      <w:pPr>
        <w:pStyle w:val="SingleTxt"/>
        <w:numPr>
          <w:ilvl w:val="0"/>
          <w:numId w:val="26"/>
        </w:numPr>
        <w:ind w:left="1267"/>
      </w:pPr>
      <w:r w:rsidRPr="00DE42B3">
        <w:t>En 2024, el Ministerio de Asuntos de la Mujer y la Infancia, el UNFPA y el UNICEF pusieron en marcha la Fase III (2024-2030) del programa, orientada a las comunidades más marginadas del país, que se centrará en reforzar el marco jurídico contra el matrimonio infantil, aumentar las tasas de finalización de la educación y cambiar las normas sociales aprovechando los planes de protección social del Gobierno y colaborando con las comunidades.</w:t>
      </w:r>
    </w:p>
    <w:p w14:paraId="00139CBE" w14:textId="7DB57D1F" w:rsidR="00DE42B3" w:rsidRPr="00DE42B3" w:rsidRDefault="00DE42B3" w:rsidP="00DE42B3">
      <w:pPr>
        <w:pStyle w:val="SingleTxt"/>
        <w:numPr>
          <w:ilvl w:val="0"/>
          <w:numId w:val="26"/>
        </w:numPr>
        <w:ind w:left="1267"/>
      </w:pPr>
      <w:r w:rsidRPr="00DE42B3">
        <w:t xml:space="preserve">En 2024, el Ministerio de Asuntos de la Mujer y la Infancia puso en marcha la </w:t>
      </w:r>
      <w:r w:rsidR="00ED40B4">
        <w:t>“</w:t>
      </w:r>
      <w:r w:rsidRPr="00DE42B3">
        <w:t>Campaña Nacional Multimedia para la Prevención de la Violencia contra la Infancia y el Matrimonio Infantil</w:t>
      </w:r>
      <w:r w:rsidR="00ED40B4">
        <w:t>”</w:t>
      </w:r>
      <w:r w:rsidRPr="00DE42B3">
        <w:t xml:space="preserve"> con la asistencia técnica del UNICEF. La Campaña forma parte del proyecto </w:t>
      </w:r>
      <w:r w:rsidR="00ED40B4">
        <w:t>“</w:t>
      </w:r>
      <w:r w:rsidRPr="00DE42B3">
        <w:t>Acelerar la protección infantil</w:t>
      </w:r>
      <w:r w:rsidR="00ED40B4">
        <w:t>”</w:t>
      </w:r>
      <w:r w:rsidRPr="00DE42B3">
        <w:t xml:space="preserve">, gestionado por ese mismo Ministerio con el apoyo del UNICEF. El objetivo del proyecto es hacer frente a la elevada tasa de matrimonio infantil y violencia contra la infancia que se registra en </w:t>
      </w:r>
      <w:r w:rsidRPr="00DE42B3">
        <w:lastRenderedPageBreak/>
        <w:t>Bangladesh mediante la creación de un sistema nacional y subnacional de protección infantil y el aumento de la capacidad institucional.</w:t>
      </w:r>
    </w:p>
    <w:p w14:paraId="0B70D462" w14:textId="23B45D84" w:rsidR="00DE42B3" w:rsidRPr="00DE42B3" w:rsidRDefault="00DE42B3" w:rsidP="00DE42B3">
      <w:pPr>
        <w:pStyle w:val="SingleTxt"/>
        <w:numPr>
          <w:ilvl w:val="0"/>
          <w:numId w:val="26"/>
        </w:numPr>
        <w:ind w:left="1267"/>
      </w:pPr>
      <w:r w:rsidRPr="00DE42B3">
        <w:t xml:space="preserve">El Ministerio de Asuntos de la Mujer y la Infancia ha creado un centro nacional de asistencia telefónica que presta servicios a las víctimas de acoso sexual en coordinación con la administración local, el Gobierno y ONG. Está disponible marcando el 109 y es un servicio gratuito disponible las 24 horas del día, los 7 días de la semana. Entre el año 2018 y abril de 2023, el teléfono de asistencia </w:t>
      </w:r>
      <w:r w:rsidR="00ED40B4">
        <w:t>“</w:t>
      </w:r>
      <w:r w:rsidRPr="00DE42B3">
        <w:t>109</w:t>
      </w:r>
      <w:r w:rsidR="00ED40B4">
        <w:t>”</w:t>
      </w:r>
      <w:r w:rsidRPr="00DE42B3">
        <w:t xml:space="preserve"> atendió a 4.795.836 mujeres y niños</w:t>
      </w:r>
      <w:r w:rsidRPr="00DE42B3">
        <w:rPr>
          <w:vertAlign w:val="superscript"/>
        </w:rPr>
        <w:footnoteReference w:id="27"/>
      </w:r>
      <w:r w:rsidRPr="00DE42B3">
        <w:t>. Se han creado un laboratorio nacional forense de perfiles de ADN y un laboratorio de análisis de ADN en hospitales de las facultades de medicina de siete divisiones con el fin de agilizar y garantizar la justicia para las mujeres afectadas</w:t>
      </w:r>
      <w:r w:rsidRPr="00DE42B3">
        <w:rPr>
          <w:vertAlign w:val="superscript"/>
        </w:rPr>
        <w:footnoteReference w:id="28"/>
      </w:r>
      <w:r w:rsidRPr="00DE42B3">
        <w:t>.</w:t>
      </w:r>
    </w:p>
    <w:p w14:paraId="02905F4A" w14:textId="0F0AF156" w:rsidR="00DE42B3" w:rsidRPr="00645478" w:rsidRDefault="00DE42B3" w:rsidP="00DE42B3">
      <w:pPr>
        <w:pStyle w:val="SingleTxt"/>
        <w:numPr>
          <w:ilvl w:val="0"/>
          <w:numId w:val="26"/>
        </w:numPr>
        <w:ind w:left="1267"/>
      </w:pPr>
      <w:r w:rsidRPr="00645478">
        <w:t>Para prevenir el acoso sexual en el lugar de trabajo, Bangladesh ha adoptado varias medidas. El Departamento de Inspección de Fábricas y Establecimientos, dependiente del Ministerio de Trabajo y Empleo, abrió una línea de asistencia telefónica gratuita, disponible a través del número 16357, que permite a los trabajadores denunciar cualquier incidente laboral, incluido el acoso sexual y la violencia de género en el lugar de trabajo. Entre julio de 2022 y junio de 2024, se recibió un total de 10.218 denuncias, 9.321 de ellas a través del sitio web, el teléfono</w:t>
      </w:r>
      <w:r w:rsidR="00645478">
        <w:t> </w:t>
      </w:r>
      <w:r w:rsidRPr="00645478">
        <w:t>de asistencia y correos electrónicos</w:t>
      </w:r>
      <w:r w:rsidRPr="00645478">
        <w:rPr>
          <w:vertAlign w:val="superscript"/>
        </w:rPr>
        <w:footnoteReference w:id="29"/>
      </w:r>
      <w:r w:rsidRPr="00645478">
        <w:t>. Durante ese período se resolvieron 9.969 reclamaciones.</w:t>
      </w:r>
    </w:p>
    <w:p w14:paraId="77A4570A" w14:textId="19B6AD1C" w:rsidR="00DE42B3" w:rsidRPr="00DE42B3" w:rsidRDefault="00DE42B3" w:rsidP="00DE42B3">
      <w:pPr>
        <w:pStyle w:val="SingleTxt"/>
        <w:numPr>
          <w:ilvl w:val="0"/>
          <w:numId w:val="26"/>
        </w:numPr>
        <w:ind w:left="1267"/>
      </w:pPr>
      <w:r w:rsidRPr="00DE42B3">
        <w:t>El mayor proyecto público para la prevención de la violencia contra las mujeres, el</w:t>
      </w:r>
      <w:r w:rsidR="00AE4701">
        <w:t xml:space="preserve"> </w:t>
      </w:r>
      <w:r w:rsidRPr="00DE42B3">
        <w:t>Programa Multisectorial sobre la Violencia contra las Mujeres (Cuarta Fase), desempeñó un papel crucial a la hora de mantener el apoyo y los servicios encaminados a prevenir y combatir la violencia contra las mujeres y las niñas. El Programa Multisectorial proporciona apoyo para reforzar el aspecto de gestión de la labor de prevención y protección relacionada con la opresión de las mujeres mediante la creación de centros de servicios, incluidos los centros y las células de atención integral en caso de crisis. Además, en la Dirección de Asuntos de la Mujer hay un centro nacional y 8 centros regionales de asesoramiento psicológico postraumático que se crearon con el fin de prestar servicios de asesoramiento psicosocial a mujeres y niños maltratados.</w:t>
      </w:r>
    </w:p>
    <w:p w14:paraId="76AC1B61" w14:textId="26738AA5" w:rsidR="00DE42B3" w:rsidRPr="00DE42B3" w:rsidRDefault="00DE42B3" w:rsidP="00DE42B3">
      <w:pPr>
        <w:pStyle w:val="SingleTxt"/>
        <w:numPr>
          <w:ilvl w:val="0"/>
          <w:numId w:val="26"/>
        </w:numPr>
        <w:ind w:left="1267"/>
      </w:pPr>
      <w:r w:rsidRPr="00042BCA">
        <w:t>El Gobierno gestiona</w:t>
      </w:r>
      <w:r w:rsidRPr="00DE42B3">
        <w:t xml:space="preserve"> centros de atención integral en caso de crisis en 14</w:t>
      </w:r>
      <w:r w:rsidR="00AE3360">
        <w:t> </w:t>
      </w:r>
      <w:r w:rsidRPr="00DE42B3">
        <w:t>hospitales de facultades públicas de medicina para atender a las mujeres y los niños que han sido víctimas de violencia y ofrecerles atención de la salud, apoyo policial, pruebas de ADN, servicios sociales, asistencia jurídica, asesoramiento psicosocial y refugio. Además, hay 67</w:t>
      </w:r>
      <w:r w:rsidR="00AE4701">
        <w:t xml:space="preserve"> </w:t>
      </w:r>
      <w:r w:rsidRPr="00DE42B3">
        <w:t xml:space="preserve">células de atención integral en caso de crisis operativas en 47 hospitales centrales de distrito y 20 establecimientos de salud de </w:t>
      </w:r>
      <w:r w:rsidRPr="00DE42B3">
        <w:rPr>
          <w:i/>
          <w:iCs/>
        </w:rPr>
        <w:t>upazila</w:t>
      </w:r>
      <w:r w:rsidRPr="00DE42B3">
        <w:t xml:space="preserve"> de todo el país que coordinan diferentes servicios, tanto dentro como fuera de los hospitales, para mujeres y niños víctimas de malos tratos. El laboratorio nacional forense de perfiles de ADN proporciona el apoyo necesario para agilizar los juicios por abusos cometidos contra mujeres y niños. En 2022, el Gobierno abrió una Oficina de Apoyo a la Mujer en las 659 comisarías de policía para prestar todo tipo de asistencia jurídica a mujeres de cualquier condición social. La Oficina está encabezada por una subinspectora de policía.</w:t>
      </w:r>
    </w:p>
    <w:p w14:paraId="43A3439C" w14:textId="57ECB8CB" w:rsidR="00DE42B3" w:rsidRPr="00DE42B3" w:rsidRDefault="00DE42B3" w:rsidP="00DE42B3">
      <w:pPr>
        <w:pStyle w:val="SingleTxt"/>
        <w:numPr>
          <w:ilvl w:val="0"/>
          <w:numId w:val="26"/>
        </w:numPr>
        <w:ind w:left="1267"/>
      </w:pPr>
      <w:r w:rsidRPr="00DE42B3">
        <w:lastRenderedPageBreak/>
        <w:t xml:space="preserve">El Gobierno tiene previsto crear equipos de respuesta rápida a nivel central y de distrito, </w:t>
      </w:r>
      <w:r w:rsidRPr="00DE42B3">
        <w:rPr>
          <w:i/>
          <w:iCs/>
        </w:rPr>
        <w:t>upazila</w:t>
      </w:r>
      <w:r w:rsidRPr="00DE42B3">
        <w:t xml:space="preserve"> y </w:t>
      </w:r>
      <w:r w:rsidRPr="00DE42B3">
        <w:rPr>
          <w:i/>
          <w:iCs/>
        </w:rPr>
        <w:t>union</w:t>
      </w:r>
      <w:r w:rsidRPr="00DE42B3">
        <w:t>, bajo la égida del Ministerio de Asuntos de la Mujer y la Infancia, que presten de forma inmediata servicios integrados a los supervivientes con el fin de poner fin a los malos tratos contra mujeres y niños. Los equipos de respuesta rápida hacen lo posible por garantizar el rescate inmediato de los supervivientes y por ofrecerles atención médica, servicios de asesoramiento psicosocial, servicios jurídicos, refugio, espacios seguros, seguridad y otros servicios que necesiten. Se formará un comité compuesto por representantes de ONG, abogados, representantes de las estudiantes, representantes de los foros infantiles y otros Ministerios, departamentos y organizaciones pertinentes para llevar a cabo el seguimiento de los casos relacionados con la violencia contra las mujeres y los niños. El Gobierno está planeando formar un grupo de expertos, incluido un grupo de abogados, que proporcionen asistencia jurídica con el fin de facilitar una prestación de servicios rápida y eficaz a las mujeres y los niños maltratados. De modo similar, se creará un grupo de psicólogos clínicos y otros expertos (médicos, expertos en género y proveedores de servicios de asistencia telefónica) para facilitar servicios de asesoramiento psicosocial a las víctimas.</w:t>
      </w:r>
    </w:p>
    <w:p w14:paraId="69659CBF" w14:textId="08043261" w:rsidR="00DE42B3" w:rsidRPr="00DE42B3" w:rsidRDefault="00DE42B3" w:rsidP="00DE42B3">
      <w:pPr>
        <w:pStyle w:val="SingleTxt"/>
        <w:numPr>
          <w:ilvl w:val="0"/>
          <w:numId w:val="26"/>
        </w:numPr>
        <w:ind w:left="1267"/>
      </w:pPr>
      <w:r w:rsidRPr="00DE42B3">
        <w:t>En 2020, la Policía de Bangladesh inauguró de manera oficial el servicio de apoyo policial cibernético, un programa de ciberasistencia destinado únicamente a mujeres para ayudarlas a emprender las acciones legales oportunas. El programa proporciona apoyo tecnológico esencial a las mujeres víctimas de la ciberdelincuencia, además de concienciar y divulgar información sobre cuestiones relacionadas con la ciberseguridad. El programa presta el apoyo y los servicios sin dejar de proteger la privacidad de la información de las víctimas. Además, comprende labores de concienciación y difusión de información sobre la ciberseguridad. Desde el ejercicio económico 2016/2017 al 2021/2022, un total de 1.325</w:t>
      </w:r>
      <w:r w:rsidR="00AE4701">
        <w:t xml:space="preserve"> </w:t>
      </w:r>
      <w:r w:rsidRPr="00DE42B3">
        <w:t xml:space="preserve">instituciones educativas capacitaron a 89.085 alumnas en materia de </w:t>
      </w:r>
      <w:r w:rsidR="00ED40B4">
        <w:t>“</w:t>
      </w:r>
      <w:r w:rsidRPr="00DE42B3">
        <w:t>Concienciación de las niñas con respecto a la seguridad digital</w:t>
      </w:r>
      <w:r w:rsidR="00ED40B4">
        <w:t>”</w:t>
      </w:r>
      <w:r w:rsidRPr="00DE42B3">
        <w:t xml:space="preserve"> con el fin de concienciarlas sobre la ciberdelincuencia.</w:t>
      </w:r>
    </w:p>
    <w:p w14:paraId="7A3B4CDC" w14:textId="514D0D03" w:rsidR="00DE42B3" w:rsidRPr="00DE42B3" w:rsidRDefault="00DE42B3" w:rsidP="00DE42B3">
      <w:pPr>
        <w:pStyle w:val="SingleTxt"/>
        <w:numPr>
          <w:ilvl w:val="0"/>
          <w:numId w:val="26"/>
        </w:numPr>
        <w:ind w:left="1267"/>
      </w:pPr>
      <w:r w:rsidRPr="00DE42B3">
        <w:t>En septiembre de 2021, la Red de Mujeres Policía de Bangladesh lanzó su Plan Estratégico 2021-2023, cuyo objetivo era reforzar la igualdad de género en el cuerpo de policía aumentando la participación, la representación y el empoderamiento de las mujeres policía, al tiempo que se garantizaba la seguridad de las mujeres y las niñas en todas las comunidades. El Plan Estratégico está armonizado con el Plan de Acción Nacional sobre las Mujeres, la Paz y la Seguridad 2019-</w:t>
      </w:r>
      <w:r w:rsidRPr="00075407">
        <w:t xml:space="preserve">2025 y la </w:t>
      </w:r>
      <w:r w:rsidR="00D0425E" w:rsidRPr="00075407">
        <w:t>r</w:t>
      </w:r>
      <w:r w:rsidRPr="00075407">
        <w:t>esolución 1325</w:t>
      </w:r>
      <w:r w:rsidRPr="00DE42B3">
        <w:t xml:space="preserve"> del Consejo de Seguridad de las Naciones Unidas. Bangladesh sigue siendo uno de los principales contribuyentes a las operaciones de mantenimiento de la paz de las Naciones Unidas: en 2024 desplegó un total de 5.866 efectivos uniformados, incluido un número creciente de personal femenino de mantenimiento de la paz, lo que refleja que el país está volcado con la igualdad de género y la agenda de las mujeres, la paz y la seguridad. </w:t>
      </w:r>
    </w:p>
    <w:p w14:paraId="50008F54" w14:textId="7835C087" w:rsidR="00DE42B3" w:rsidRPr="00DE42B3" w:rsidRDefault="00DE42B3" w:rsidP="00D14B5F">
      <w:pPr>
        <w:pStyle w:val="SingleTxt"/>
        <w:numPr>
          <w:ilvl w:val="0"/>
          <w:numId w:val="26"/>
        </w:numPr>
        <w:tabs>
          <w:tab w:val="num" w:pos="2804"/>
        </w:tabs>
        <w:ind w:left="1267"/>
      </w:pPr>
      <w:r w:rsidRPr="00DE42B3">
        <w:t xml:space="preserve">El Ministerio de Asuntos de la Mujer y la Infancia ha formado múltiples comités a varios niveles, entre ellos el Comité Central de Prevención de la Opresión contra las Mujeres y los Niños, así como comités de prevención nacionales o en las divisiones, distritos, </w:t>
      </w:r>
      <w:r w:rsidRPr="00DE42B3">
        <w:rPr>
          <w:i/>
          <w:iCs/>
        </w:rPr>
        <w:t>upazilas</w:t>
      </w:r>
      <w:r w:rsidRPr="00DE42B3">
        <w:t xml:space="preserve"> y </w:t>
      </w:r>
      <w:r w:rsidRPr="00DE42B3">
        <w:rPr>
          <w:i/>
          <w:iCs/>
        </w:rPr>
        <w:t>unions</w:t>
      </w:r>
      <w:r w:rsidRPr="00DE42B3">
        <w:t xml:space="preserve">. En marzo de 2025, el Gobierno puso en marcha un servicio específico de mensajes de texto en el número de código abreviado </w:t>
      </w:r>
      <w:r w:rsidR="00ED40B4">
        <w:t>“</w:t>
      </w:r>
      <w:r w:rsidRPr="00DE42B3">
        <w:t>3333</w:t>
      </w:r>
      <w:r w:rsidR="00ED40B4">
        <w:t>”</w:t>
      </w:r>
      <w:r w:rsidRPr="00DE42B3">
        <w:t>, que se suma al teléfono de asistencia que ya ofrecía la policía, con el fin de facilitar la denuncia directa de la violencia de género contra las mujeres. Este nuevo servicio permite a las víctimas denunciar directamente cualquier caso de violencia</w:t>
      </w:r>
      <w:r w:rsidRPr="00DE42B3">
        <w:rPr>
          <w:vertAlign w:val="superscript"/>
        </w:rPr>
        <w:footnoteReference w:id="30"/>
      </w:r>
      <w:r w:rsidRPr="00DE42B3">
        <w:t>.</w:t>
      </w:r>
    </w:p>
    <w:p w14:paraId="408769A6" w14:textId="02219133" w:rsidR="00DE42B3" w:rsidRPr="00DE42B3" w:rsidRDefault="00DE42B3" w:rsidP="00D14B5F">
      <w:pPr>
        <w:pStyle w:val="SingleTxt"/>
        <w:numPr>
          <w:ilvl w:val="0"/>
          <w:numId w:val="26"/>
        </w:numPr>
        <w:ind w:left="1267"/>
      </w:pPr>
      <w:r w:rsidRPr="00DE42B3">
        <w:lastRenderedPageBreak/>
        <w:t>El Gobierno de Bangladesh ha adoptado diversas medidas para respaldar y dotar de recursos a las organizaciones de mujeres que se encargan de prevenir y combatir la violencia de género. El Gobierno ha concedido subvenciones económicas y apoyo a la creación de capacidad a organizaciones locales de mujeres, lo que les ha permitido ampliar los servicios que ofrecen a las supervivientes de la violencia. Por ejemplo, el programa Amrai Pari (WE CAN) de Bangladesh pretende transformar la actitud que existe en el país hacia la violencia contra las mujeres</w:t>
      </w:r>
      <w:r w:rsidRPr="00DE42B3">
        <w:rPr>
          <w:vertAlign w:val="superscript"/>
        </w:rPr>
        <w:footnoteReference w:id="31"/>
      </w:r>
      <w:r w:rsidRPr="00DE42B3">
        <w:t>. Al eliminar los tabúes, el estigma, la vergüenza y la negación que rodean al maltrato doméstico y otras formas de violencia contra las mujeres, el programa pretende concienciar y lograr que los agresores rindan cuentas.</w:t>
      </w:r>
    </w:p>
    <w:p w14:paraId="25ECE0DE" w14:textId="5292DDD0" w:rsidR="00DE42B3" w:rsidRPr="00DE42B3" w:rsidRDefault="00DE42B3" w:rsidP="00D14B5F">
      <w:pPr>
        <w:pStyle w:val="SingleTxt"/>
        <w:numPr>
          <w:ilvl w:val="0"/>
          <w:numId w:val="26"/>
        </w:numPr>
        <w:ind w:left="1267"/>
      </w:pPr>
      <w:r w:rsidRPr="00DE42B3">
        <w:t>La Oficina de Estadística de Bangladesh llevó a cabo la primera y segunda rondas de la encuesta sobre violencia contra las mujeres en 2011 y 2015, respectivamente, con el objetivo de generar estadísticas oficiales sobre la prevalencia de las diferentes formas de violencia contra las mujeres. La tercera ronda de la encuesta concluyó el 27 de febrero de 2025 y sus principales conclusiones indican que la violencia de pareja sigue siendo generalizada en Bangladesh y afecta a millones de mujeres de todo el país</w:t>
      </w:r>
      <w:r w:rsidRPr="00DE42B3">
        <w:rPr>
          <w:vertAlign w:val="superscript"/>
        </w:rPr>
        <w:footnoteReference w:id="32"/>
      </w:r>
      <w:r w:rsidRPr="00DE42B3">
        <w:t>.</w:t>
      </w:r>
    </w:p>
    <w:p w14:paraId="0B7B7D24" w14:textId="49937B5B" w:rsidR="00DE42B3" w:rsidRPr="00DE42B3" w:rsidRDefault="00DE42B3" w:rsidP="00D14B5F">
      <w:pPr>
        <w:pStyle w:val="SingleTxt"/>
        <w:numPr>
          <w:ilvl w:val="0"/>
          <w:numId w:val="26"/>
        </w:numPr>
        <w:ind w:left="1267"/>
      </w:pPr>
      <w:r w:rsidRPr="00DE42B3">
        <w:t>Según el informe de la Oficina de Estadística de Bangladesh, en Bangladesh el 69,6</w:t>
      </w:r>
      <w:r w:rsidR="00ED40B4">
        <w:t> %</w:t>
      </w:r>
      <w:r w:rsidRPr="00DE42B3">
        <w:t xml:space="preserve"> de las mujeres alguna vez casadas ha sufrido alguna forma de violencia de pareja a lo largo de su vida, lo que refleja un ligero descenso respecto al 72,6</w:t>
      </w:r>
      <w:r w:rsidR="00ED40B4">
        <w:t> %</w:t>
      </w:r>
      <w:r w:rsidRPr="00DE42B3">
        <w:t xml:space="preserve"> de 2015</w:t>
      </w:r>
      <w:r w:rsidRPr="00DE42B3">
        <w:rPr>
          <w:vertAlign w:val="superscript"/>
        </w:rPr>
        <w:footnoteReference w:id="33"/>
      </w:r>
      <w:r w:rsidRPr="00DE42B3">
        <w:t>. Más de cuatro de cada diez (41,2</w:t>
      </w:r>
      <w:r w:rsidR="00ED40B4">
        <w:t> %</w:t>
      </w:r>
      <w:r w:rsidRPr="00DE42B3">
        <w:t>) sufrieron este tipo de violencia en 2024. La forma más común de violencia sigue siendo el comportamiento controlador, que afecta al 50,1</w:t>
      </w:r>
      <w:r w:rsidR="00ED40B4">
        <w:t> %</w:t>
      </w:r>
      <w:r w:rsidRPr="00DE42B3">
        <w:t xml:space="preserve"> de las mujeres alguna vez casadas, seguido por la violencia física con un 46,7</w:t>
      </w:r>
      <w:r w:rsidR="00ED40B4">
        <w:t> %</w:t>
      </w:r>
      <w:r w:rsidRPr="00DE42B3">
        <w:rPr>
          <w:vertAlign w:val="superscript"/>
        </w:rPr>
        <w:footnoteReference w:id="34"/>
      </w:r>
      <w:r w:rsidRPr="00DE42B3">
        <w:t>. La violencia emocional ha ido en aumento con los años: el 32,7</w:t>
      </w:r>
      <w:r w:rsidR="00ED40B4">
        <w:t> %</w:t>
      </w:r>
      <w:r w:rsidRPr="00DE42B3">
        <w:t xml:space="preserve"> de las mujeres la ha sufrido en algún momento de su vida. La prevalencia de la violencia sexual también ha aumentado ligeramente hasta alcanzar el</w:t>
      </w:r>
      <w:r w:rsidR="00AE4701">
        <w:t xml:space="preserve"> </w:t>
      </w:r>
      <w:r w:rsidRPr="00DE42B3">
        <w:t>28,5</w:t>
      </w:r>
      <w:r w:rsidR="00ED40B4">
        <w:t> %</w:t>
      </w:r>
      <w:r w:rsidRPr="00DE42B3">
        <w:t>. La violencia económica ha disminuido: el 9,7</w:t>
      </w:r>
      <w:r w:rsidR="00ED40B4">
        <w:t> %</w:t>
      </w:r>
      <w:r w:rsidRPr="00DE42B3">
        <w:t xml:space="preserve"> de las mujeres alguna vez casadas declara haberla experimentado en algún momento de su vida y el 4,2</w:t>
      </w:r>
      <w:r w:rsidR="00ED40B4">
        <w:t> %</w:t>
      </w:r>
      <w:r w:rsidRPr="00DE42B3">
        <w:t xml:space="preserve"> en los 12 meses anteriores. En cuanto a la violencia sexual ejercida por la pareja, el 28,5</w:t>
      </w:r>
      <w:r w:rsidR="00ED40B4">
        <w:t> %</w:t>
      </w:r>
      <w:r w:rsidRPr="00DE42B3">
        <w:t xml:space="preserve"> de las mujeres alguna vez casadas la ha experimentado y el 9,3</w:t>
      </w:r>
      <w:r w:rsidR="00ED40B4">
        <w:t> %</w:t>
      </w:r>
      <w:r w:rsidRPr="00DE42B3">
        <w:t xml:space="preserve"> en los 12 meses anteriores, lo que supone un descenso respecto al 13,3</w:t>
      </w:r>
      <w:r w:rsidR="00ED40B4">
        <w:t> %</w:t>
      </w:r>
      <w:r w:rsidRPr="00DE42B3">
        <w:t xml:space="preserve"> en 2015. Los índices de violencia sexual en algún momento de la vida son más elevados en las zonas rurales (29,0</w:t>
      </w:r>
      <w:r w:rsidR="00ED40B4">
        <w:t> %</w:t>
      </w:r>
      <w:r w:rsidRPr="00DE42B3">
        <w:t>) que en las urbanas (23,5</w:t>
      </w:r>
      <w:r w:rsidR="00ED40B4">
        <w:t> %</w:t>
      </w:r>
      <w:r w:rsidRPr="00DE42B3">
        <w:t>). La</w:t>
      </w:r>
      <w:r w:rsidR="00AE4701">
        <w:t xml:space="preserve"> </w:t>
      </w:r>
      <w:r w:rsidRPr="00DE42B3">
        <w:t>prevalencia varía en función de la región y es del 8,9</w:t>
      </w:r>
      <w:r w:rsidR="00ED40B4">
        <w:t> %</w:t>
      </w:r>
      <w:r w:rsidRPr="00DE42B3">
        <w:t xml:space="preserve"> en zonas rurales, 10,5</w:t>
      </w:r>
      <w:r w:rsidR="00ED40B4">
        <w:t> %</w:t>
      </w:r>
      <w:r w:rsidRPr="00DE42B3">
        <w:t xml:space="preserve"> en zonas urbanas y 10,95</w:t>
      </w:r>
      <w:r w:rsidR="00ED40B4">
        <w:t> %</w:t>
      </w:r>
      <w:r w:rsidRPr="00DE42B3">
        <w:t xml:space="preserve"> (de media) en las zonas de las corporaciones municipales (</w:t>
      </w:r>
      <w:r w:rsidRPr="00DE42B3">
        <w:rPr>
          <w:i/>
          <w:iCs/>
        </w:rPr>
        <w:t>city corporations</w:t>
      </w:r>
      <w:r w:rsidRPr="00DE42B3">
        <w:t>)</w:t>
      </w:r>
      <w:r w:rsidRPr="00DE42B3">
        <w:rPr>
          <w:vertAlign w:val="superscript"/>
        </w:rPr>
        <w:footnoteReference w:id="35"/>
      </w:r>
      <w:r w:rsidRPr="00DE42B3">
        <w:t>.</w:t>
      </w:r>
    </w:p>
    <w:p w14:paraId="1B7C956A" w14:textId="3987E80D" w:rsidR="00DE42B3" w:rsidRPr="006B5235" w:rsidRDefault="00DE42B3" w:rsidP="00D14B5F">
      <w:pPr>
        <w:pStyle w:val="SingleTxt"/>
        <w:numPr>
          <w:ilvl w:val="0"/>
          <w:numId w:val="26"/>
        </w:numPr>
        <w:ind w:left="1267"/>
        <w:rPr>
          <w:spacing w:val="3"/>
        </w:rPr>
      </w:pPr>
      <w:r w:rsidRPr="006B5235">
        <w:rPr>
          <w:spacing w:val="3"/>
        </w:rPr>
        <w:t>La Oficina de Estadística de Bangladesh llevó a cabo su primera encuesta sobre el uso del tiempo en 2021. Ese tipo de encuesta proporciona información valiosa sobre cómo hombres y mujeres se reparten el trabajo en función de diversos factores demográficos distintos del género, tales como la edad, la ubicación, el estado civil, el nivel de educación y la ocupación. La encuesta arrojó luz sobre el trabajo doméstico y de cuidados no remunerado. Según el informe resultante, las mujeres dedican 7,3</w:t>
      </w:r>
      <w:r w:rsidR="006B5235">
        <w:rPr>
          <w:spacing w:val="3"/>
        </w:rPr>
        <w:t xml:space="preserve"> </w:t>
      </w:r>
      <w:r w:rsidRPr="006B5235">
        <w:rPr>
          <w:spacing w:val="3"/>
        </w:rPr>
        <w:t>veces más tiempo que los hombres al trabajo doméstico y de cuidados no remunerado, lo que incluye cocinar, limpiar, lavar o cuidar de los niños y los ancianos, entre otros</w:t>
      </w:r>
      <w:r w:rsidRPr="006B5235">
        <w:rPr>
          <w:spacing w:val="3"/>
          <w:vertAlign w:val="superscript"/>
        </w:rPr>
        <w:footnoteReference w:id="36"/>
      </w:r>
      <w:r w:rsidRPr="006B5235">
        <w:rPr>
          <w:spacing w:val="3"/>
        </w:rPr>
        <w:t>.</w:t>
      </w:r>
    </w:p>
    <w:p w14:paraId="157CB3FD" w14:textId="13C7F665" w:rsidR="00DE42B3" w:rsidRPr="00DE42B3" w:rsidRDefault="00DE42B3" w:rsidP="00D14B5F">
      <w:pPr>
        <w:pStyle w:val="SingleTxt"/>
        <w:numPr>
          <w:ilvl w:val="0"/>
          <w:numId w:val="26"/>
        </w:numPr>
        <w:ind w:left="1267"/>
      </w:pPr>
      <w:r w:rsidRPr="00DE42B3">
        <w:lastRenderedPageBreak/>
        <w:t>Casos denunciados de violencia contra las mujeres y los niños: En el cuadro</w:t>
      </w:r>
      <w:r w:rsidR="00AE4701">
        <w:t xml:space="preserve"> </w:t>
      </w:r>
      <w:r w:rsidRPr="00DE42B3">
        <w:t>2 se recoge la información sobre esos casos, organizada por categorías. Solo se muestran los casos de violencia denunciados, normalmente registrados en el Departamento de Policía. Del</w:t>
      </w:r>
      <w:r w:rsidR="00AE4701">
        <w:t xml:space="preserve"> </w:t>
      </w:r>
      <w:r w:rsidRPr="00DE42B3">
        <w:t>cuadro se desprende con claridad que la cantidad de casos de violación denunciados fluctuó a lo largo de los años y alcanzó su máximo en 2017 (3.979) y su mínimo en 2013 (3.650). Se observa que los casos de lanzamiento de ácido han disminuido con el tiempo. Aunque la cantidad de casos de dote denunciados ha fluctuado, a lo largo de los años ha disminuido. Por lo que respecta a la opresión infantil, esta ha aumentado con el tiempo.</w:t>
      </w:r>
    </w:p>
    <w:p w14:paraId="302401E0" w14:textId="77777777" w:rsidR="00D14B5F" w:rsidRPr="00D14B5F" w:rsidRDefault="00D14B5F" w:rsidP="00D14B5F">
      <w:pPr>
        <w:pStyle w:val="SingleTxt"/>
        <w:spacing w:after="0" w:line="120" w:lineRule="exact"/>
        <w:rPr>
          <w:sz w:val="10"/>
        </w:rPr>
      </w:pPr>
    </w:p>
    <w:p w14:paraId="384B757E" w14:textId="77777777" w:rsidR="00D14B5F" w:rsidRDefault="00D14B5F" w:rsidP="00D14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E42B3" w:rsidRPr="00D14B5F">
        <w:rPr>
          <w:b w:val="0"/>
          <w:bCs/>
        </w:rPr>
        <w:t>Cuadro 2</w:t>
      </w:r>
    </w:p>
    <w:p w14:paraId="19DBC2F7" w14:textId="47EB6ECB" w:rsidR="00DE42B3" w:rsidRDefault="00D14B5F" w:rsidP="00D14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pPr>
      <w:r>
        <w:tab/>
      </w:r>
      <w:r>
        <w:tab/>
      </w:r>
      <w:r w:rsidR="00DE42B3" w:rsidRPr="00DE42B3">
        <w:t>Casos relacionados con la Ley de Prevención de la Opresión contra Mujeres y Niños de 2000, sin incluir la Ley de Control de Delitos Cometidos con Ácido de 2002 (enero de 2009 a</w:t>
      </w:r>
      <w:r w:rsidR="00AE4701">
        <w:t xml:space="preserve"> </w:t>
      </w:r>
      <w:r w:rsidR="00DE42B3" w:rsidRPr="00DE42B3">
        <w:t>septiembre de 2023)</w:t>
      </w:r>
    </w:p>
    <w:p w14:paraId="3AAEA483" w14:textId="77777777" w:rsidR="00D14B5F" w:rsidRPr="00D14B5F" w:rsidRDefault="00D14B5F" w:rsidP="00D14B5F">
      <w:pPr>
        <w:pStyle w:val="SingleTxt"/>
        <w:spacing w:after="0" w:line="120" w:lineRule="exact"/>
        <w:rPr>
          <w:sz w:val="10"/>
        </w:rPr>
      </w:pPr>
    </w:p>
    <w:p w14:paraId="23CF5E1F" w14:textId="77777777" w:rsidR="00D14B5F" w:rsidRPr="00D14B5F" w:rsidRDefault="00D14B5F" w:rsidP="00D14B5F">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860"/>
        <w:gridCol w:w="882"/>
        <w:gridCol w:w="967"/>
        <w:gridCol w:w="898"/>
        <w:gridCol w:w="957"/>
        <w:gridCol w:w="891"/>
        <w:gridCol w:w="911"/>
        <w:gridCol w:w="1004"/>
      </w:tblGrid>
      <w:tr w:rsidR="00B151FD" w:rsidRPr="00222312" w14:paraId="2644D3C6" w14:textId="77777777" w:rsidTr="00B151FD">
        <w:trPr>
          <w:tblHeader/>
        </w:trPr>
        <w:tc>
          <w:tcPr>
            <w:tcW w:w="860" w:type="dxa"/>
            <w:vMerge w:val="restart"/>
            <w:tcBorders>
              <w:top w:val="single" w:sz="4" w:space="0" w:color="auto"/>
              <w:bottom w:val="single" w:sz="12" w:space="0" w:color="auto"/>
            </w:tcBorders>
            <w:vAlign w:val="bottom"/>
          </w:tcPr>
          <w:p w14:paraId="7689CE4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i/>
                <w:spacing w:val="4"/>
                <w:w w:val="103"/>
                <w:sz w:val="14"/>
                <w:szCs w:val="14"/>
              </w:rPr>
            </w:pPr>
            <w:r w:rsidRPr="00222312">
              <w:rPr>
                <w:i/>
                <w:iCs/>
                <w:color w:val="000000"/>
                <w:spacing w:val="4"/>
                <w:w w:val="103"/>
                <w:sz w:val="14"/>
                <w:szCs w:val="14"/>
              </w:rPr>
              <w:t>Año</w:t>
            </w:r>
          </w:p>
        </w:tc>
        <w:tc>
          <w:tcPr>
            <w:tcW w:w="5506" w:type="dxa"/>
            <w:gridSpan w:val="6"/>
            <w:tcBorders>
              <w:top w:val="single" w:sz="4" w:space="0" w:color="auto"/>
              <w:bottom w:val="single" w:sz="4" w:space="0" w:color="auto"/>
            </w:tcBorders>
            <w:vAlign w:val="bottom"/>
          </w:tcPr>
          <w:p w14:paraId="1FBC446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center"/>
              <w:rPr>
                <w:i/>
                <w:spacing w:val="4"/>
                <w:w w:val="103"/>
                <w:sz w:val="14"/>
                <w:szCs w:val="14"/>
              </w:rPr>
            </w:pPr>
            <w:r w:rsidRPr="00222312">
              <w:rPr>
                <w:i/>
                <w:iCs/>
                <w:color w:val="000000"/>
                <w:spacing w:val="4"/>
                <w:w w:val="103"/>
                <w:sz w:val="14"/>
                <w:szCs w:val="14"/>
              </w:rPr>
              <w:t>Opresión de las mujeres</w:t>
            </w:r>
          </w:p>
        </w:tc>
        <w:tc>
          <w:tcPr>
            <w:tcW w:w="1004" w:type="dxa"/>
            <w:vMerge w:val="restart"/>
            <w:tcBorders>
              <w:top w:val="single" w:sz="4" w:space="0" w:color="auto"/>
              <w:bottom w:val="single" w:sz="12" w:space="0" w:color="auto"/>
            </w:tcBorders>
            <w:vAlign w:val="bottom"/>
          </w:tcPr>
          <w:p w14:paraId="1498000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spacing w:val="4"/>
                <w:w w:val="103"/>
                <w:sz w:val="14"/>
                <w:szCs w:val="14"/>
              </w:rPr>
            </w:pPr>
            <w:r w:rsidRPr="00222312">
              <w:rPr>
                <w:i/>
                <w:iCs/>
                <w:color w:val="000000"/>
                <w:spacing w:val="4"/>
                <w:w w:val="103"/>
                <w:sz w:val="14"/>
                <w:szCs w:val="14"/>
              </w:rPr>
              <w:t>Opresión infantil</w:t>
            </w:r>
          </w:p>
        </w:tc>
      </w:tr>
      <w:tr w:rsidR="00B151FD" w:rsidRPr="00222312" w14:paraId="104756E4" w14:textId="77777777" w:rsidTr="00B151FD">
        <w:trPr>
          <w:tblHeader/>
        </w:trPr>
        <w:tc>
          <w:tcPr>
            <w:tcW w:w="860" w:type="dxa"/>
            <w:vMerge/>
            <w:tcBorders>
              <w:top w:val="single" w:sz="12" w:space="0" w:color="auto"/>
              <w:bottom w:val="single" w:sz="12" w:space="0" w:color="auto"/>
            </w:tcBorders>
            <w:vAlign w:val="bottom"/>
          </w:tcPr>
          <w:p w14:paraId="397D094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sz w:val="14"/>
                <w:szCs w:val="14"/>
              </w:rPr>
            </w:pPr>
          </w:p>
        </w:tc>
        <w:tc>
          <w:tcPr>
            <w:tcW w:w="882" w:type="dxa"/>
            <w:tcBorders>
              <w:top w:val="single" w:sz="4" w:space="0" w:color="auto"/>
              <w:bottom w:val="single" w:sz="12" w:space="0" w:color="auto"/>
            </w:tcBorders>
            <w:vAlign w:val="bottom"/>
          </w:tcPr>
          <w:p w14:paraId="0CD8D08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222312">
              <w:rPr>
                <w:i/>
                <w:iCs/>
                <w:color w:val="000000"/>
                <w:spacing w:val="4"/>
                <w:w w:val="103"/>
                <w:sz w:val="14"/>
                <w:szCs w:val="14"/>
              </w:rPr>
              <w:t>Violación</w:t>
            </w:r>
          </w:p>
        </w:tc>
        <w:tc>
          <w:tcPr>
            <w:tcW w:w="967" w:type="dxa"/>
            <w:tcBorders>
              <w:top w:val="single" w:sz="4" w:space="0" w:color="auto"/>
              <w:bottom w:val="single" w:sz="12" w:space="0" w:color="auto"/>
            </w:tcBorders>
            <w:vAlign w:val="bottom"/>
          </w:tcPr>
          <w:p w14:paraId="74C5145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222312">
              <w:rPr>
                <w:i/>
                <w:iCs/>
                <w:color w:val="000000"/>
                <w:spacing w:val="4"/>
                <w:w w:val="103"/>
                <w:sz w:val="14"/>
                <w:szCs w:val="14"/>
              </w:rPr>
              <w:t>Lanzamiento de ácido</w:t>
            </w:r>
          </w:p>
        </w:tc>
        <w:tc>
          <w:tcPr>
            <w:tcW w:w="898" w:type="dxa"/>
            <w:tcBorders>
              <w:top w:val="single" w:sz="4" w:space="0" w:color="auto"/>
              <w:bottom w:val="single" w:sz="12" w:space="0" w:color="auto"/>
            </w:tcBorders>
            <w:vAlign w:val="bottom"/>
          </w:tcPr>
          <w:p w14:paraId="47AB835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222312">
              <w:rPr>
                <w:i/>
                <w:iCs/>
                <w:color w:val="000000"/>
                <w:spacing w:val="4"/>
                <w:w w:val="103"/>
                <w:sz w:val="14"/>
                <w:szCs w:val="14"/>
              </w:rPr>
              <w:t>Dote</w:t>
            </w:r>
          </w:p>
        </w:tc>
        <w:tc>
          <w:tcPr>
            <w:tcW w:w="957" w:type="dxa"/>
            <w:tcBorders>
              <w:top w:val="single" w:sz="4" w:space="0" w:color="auto"/>
              <w:bottom w:val="single" w:sz="12" w:space="0" w:color="auto"/>
            </w:tcBorders>
            <w:vAlign w:val="bottom"/>
          </w:tcPr>
          <w:p w14:paraId="19DA59C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222312">
              <w:rPr>
                <w:i/>
                <w:iCs/>
                <w:color w:val="000000"/>
                <w:spacing w:val="4"/>
                <w:w w:val="103"/>
                <w:sz w:val="14"/>
                <w:szCs w:val="14"/>
              </w:rPr>
              <w:t>Lesiones graves</w:t>
            </w:r>
          </w:p>
        </w:tc>
        <w:tc>
          <w:tcPr>
            <w:tcW w:w="891" w:type="dxa"/>
            <w:tcBorders>
              <w:top w:val="single" w:sz="4" w:space="0" w:color="auto"/>
              <w:bottom w:val="single" w:sz="12" w:space="0" w:color="auto"/>
            </w:tcBorders>
            <w:vAlign w:val="bottom"/>
          </w:tcPr>
          <w:p w14:paraId="68B2F17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222312">
              <w:rPr>
                <w:i/>
                <w:iCs/>
                <w:color w:val="000000"/>
                <w:spacing w:val="4"/>
                <w:w w:val="103"/>
                <w:sz w:val="14"/>
                <w:szCs w:val="14"/>
              </w:rPr>
              <w:t>Otros</w:t>
            </w:r>
          </w:p>
        </w:tc>
        <w:tc>
          <w:tcPr>
            <w:tcW w:w="911" w:type="dxa"/>
            <w:tcBorders>
              <w:top w:val="single" w:sz="4" w:space="0" w:color="auto"/>
              <w:bottom w:val="single" w:sz="12" w:space="0" w:color="auto"/>
            </w:tcBorders>
            <w:vAlign w:val="bottom"/>
          </w:tcPr>
          <w:p w14:paraId="33E6820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222312">
              <w:rPr>
                <w:i/>
                <w:iCs/>
                <w:color w:val="000000"/>
                <w:spacing w:val="4"/>
                <w:w w:val="103"/>
                <w:sz w:val="14"/>
                <w:szCs w:val="14"/>
              </w:rPr>
              <w:t>Total</w:t>
            </w:r>
          </w:p>
        </w:tc>
        <w:tc>
          <w:tcPr>
            <w:tcW w:w="1004" w:type="dxa"/>
            <w:vMerge/>
            <w:tcBorders>
              <w:top w:val="single" w:sz="12" w:space="0" w:color="auto"/>
              <w:bottom w:val="single" w:sz="12" w:space="0" w:color="auto"/>
            </w:tcBorders>
            <w:vAlign w:val="bottom"/>
          </w:tcPr>
          <w:p w14:paraId="2D18176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sz w:val="14"/>
                <w:szCs w:val="14"/>
              </w:rPr>
            </w:pPr>
          </w:p>
        </w:tc>
      </w:tr>
      <w:tr w:rsidR="00B151FD" w:rsidRPr="00222312" w14:paraId="61A0502B" w14:textId="77777777" w:rsidTr="00B151FD">
        <w:trPr>
          <w:trHeight w:hRule="exact" w:val="115"/>
        </w:trPr>
        <w:tc>
          <w:tcPr>
            <w:tcW w:w="860" w:type="dxa"/>
            <w:tcBorders>
              <w:top w:val="single" w:sz="12" w:space="0" w:color="auto"/>
            </w:tcBorders>
          </w:tcPr>
          <w:p w14:paraId="1BDD155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color w:val="000000"/>
                <w:spacing w:val="4"/>
                <w:w w:val="103"/>
                <w:sz w:val="17"/>
                <w:szCs w:val="17"/>
              </w:rPr>
            </w:pPr>
          </w:p>
        </w:tc>
        <w:tc>
          <w:tcPr>
            <w:tcW w:w="882" w:type="dxa"/>
            <w:tcBorders>
              <w:top w:val="single" w:sz="12" w:space="0" w:color="auto"/>
            </w:tcBorders>
            <w:vAlign w:val="bottom"/>
          </w:tcPr>
          <w:p w14:paraId="0B885A0A"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color w:val="000000"/>
                <w:spacing w:val="4"/>
                <w:w w:val="103"/>
                <w:sz w:val="17"/>
                <w:szCs w:val="17"/>
              </w:rPr>
            </w:pPr>
          </w:p>
        </w:tc>
        <w:tc>
          <w:tcPr>
            <w:tcW w:w="967" w:type="dxa"/>
            <w:tcBorders>
              <w:top w:val="single" w:sz="12" w:space="0" w:color="auto"/>
            </w:tcBorders>
            <w:vAlign w:val="bottom"/>
          </w:tcPr>
          <w:p w14:paraId="08F2E44A"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color w:val="000000"/>
                <w:spacing w:val="4"/>
                <w:w w:val="103"/>
                <w:sz w:val="17"/>
                <w:szCs w:val="17"/>
              </w:rPr>
            </w:pPr>
          </w:p>
        </w:tc>
        <w:tc>
          <w:tcPr>
            <w:tcW w:w="898" w:type="dxa"/>
            <w:tcBorders>
              <w:top w:val="single" w:sz="12" w:space="0" w:color="auto"/>
            </w:tcBorders>
            <w:vAlign w:val="bottom"/>
          </w:tcPr>
          <w:p w14:paraId="692C964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color w:val="000000"/>
                <w:spacing w:val="4"/>
                <w:w w:val="103"/>
                <w:sz w:val="17"/>
                <w:szCs w:val="17"/>
              </w:rPr>
            </w:pPr>
          </w:p>
        </w:tc>
        <w:tc>
          <w:tcPr>
            <w:tcW w:w="957" w:type="dxa"/>
            <w:tcBorders>
              <w:top w:val="single" w:sz="12" w:space="0" w:color="auto"/>
            </w:tcBorders>
            <w:vAlign w:val="bottom"/>
          </w:tcPr>
          <w:p w14:paraId="6E8D8F0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color w:val="000000"/>
                <w:spacing w:val="4"/>
                <w:w w:val="103"/>
                <w:sz w:val="17"/>
                <w:szCs w:val="17"/>
              </w:rPr>
            </w:pPr>
          </w:p>
        </w:tc>
        <w:tc>
          <w:tcPr>
            <w:tcW w:w="891" w:type="dxa"/>
            <w:tcBorders>
              <w:top w:val="single" w:sz="12" w:space="0" w:color="auto"/>
            </w:tcBorders>
            <w:vAlign w:val="bottom"/>
          </w:tcPr>
          <w:p w14:paraId="47B622E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color w:val="000000"/>
                <w:spacing w:val="4"/>
                <w:w w:val="103"/>
                <w:sz w:val="17"/>
                <w:szCs w:val="17"/>
              </w:rPr>
            </w:pPr>
          </w:p>
        </w:tc>
        <w:tc>
          <w:tcPr>
            <w:tcW w:w="911" w:type="dxa"/>
            <w:tcBorders>
              <w:top w:val="single" w:sz="12" w:space="0" w:color="auto"/>
            </w:tcBorders>
            <w:vAlign w:val="bottom"/>
          </w:tcPr>
          <w:p w14:paraId="31665D93"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color w:val="000000"/>
                <w:spacing w:val="4"/>
                <w:w w:val="103"/>
                <w:sz w:val="17"/>
                <w:szCs w:val="17"/>
              </w:rPr>
            </w:pPr>
          </w:p>
        </w:tc>
        <w:tc>
          <w:tcPr>
            <w:tcW w:w="1004" w:type="dxa"/>
            <w:tcBorders>
              <w:top w:val="single" w:sz="12" w:space="0" w:color="auto"/>
            </w:tcBorders>
            <w:vAlign w:val="bottom"/>
          </w:tcPr>
          <w:p w14:paraId="3F209FD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color w:val="000000"/>
                <w:spacing w:val="4"/>
                <w:w w:val="103"/>
                <w:sz w:val="17"/>
                <w:szCs w:val="17"/>
              </w:rPr>
            </w:pPr>
          </w:p>
        </w:tc>
      </w:tr>
      <w:tr w:rsidR="00B151FD" w:rsidRPr="00222312" w14:paraId="6A7DCBFB" w14:textId="77777777" w:rsidTr="00B151FD">
        <w:tc>
          <w:tcPr>
            <w:tcW w:w="860" w:type="dxa"/>
          </w:tcPr>
          <w:p w14:paraId="5E307EC0"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2009</w:t>
            </w:r>
          </w:p>
        </w:tc>
        <w:tc>
          <w:tcPr>
            <w:tcW w:w="882" w:type="dxa"/>
            <w:vAlign w:val="bottom"/>
          </w:tcPr>
          <w:p w14:paraId="057B72A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2 900</w:t>
            </w:r>
          </w:p>
        </w:tc>
        <w:tc>
          <w:tcPr>
            <w:tcW w:w="967" w:type="dxa"/>
            <w:vAlign w:val="bottom"/>
          </w:tcPr>
          <w:p w14:paraId="6BE94D0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129</w:t>
            </w:r>
          </w:p>
        </w:tc>
        <w:tc>
          <w:tcPr>
            <w:tcW w:w="898" w:type="dxa"/>
            <w:vAlign w:val="bottom"/>
          </w:tcPr>
          <w:p w14:paraId="703CC46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4 061</w:t>
            </w:r>
          </w:p>
        </w:tc>
        <w:tc>
          <w:tcPr>
            <w:tcW w:w="957" w:type="dxa"/>
            <w:vAlign w:val="bottom"/>
          </w:tcPr>
          <w:p w14:paraId="6647B2E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94</w:t>
            </w:r>
          </w:p>
        </w:tc>
        <w:tc>
          <w:tcPr>
            <w:tcW w:w="891" w:type="dxa"/>
            <w:vAlign w:val="bottom"/>
          </w:tcPr>
          <w:p w14:paraId="67A74220"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2 693</w:t>
            </w:r>
          </w:p>
        </w:tc>
        <w:tc>
          <w:tcPr>
            <w:tcW w:w="911" w:type="dxa"/>
            <w:vAlign w:val="bottom"/>
          </w:tcPr>
          <w:p w14:paraId="16A0A94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9 877</w:t>
            </w:r>
          </w:p>
        </w:tc>
        <w:tc>
          <w:tcPr>
            <w:tcW w:w="1004" w:type="dxa"/>
            <w:vAlign w:val="bottom"/>
          </w:tcPr>
          <w:p w14:paraId="2C8AF8F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1 235</w:t>
            </w:r>
          </w:p>
        </w:tc>
      </w:tr>
      <w:tr w:rsidR="00B151FD" w:rsidRPr="00222312" w14:paraId="3BE31B91" w14:textId="77777777" w:rsidTr="00B151FD">
        <w:tc>
          <w:tcPr>
            <w:tcW w:w="860" w:type="dxa"/>
          </w:tcPr>
          <w:p w14:paraId="77075B7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2010</w:t>
            </w:r>
          </w:p>
        </w:tc>
        <w:tc>
          <w:tcPr>
            <w:tcW w:w="882" w:type="dxa"/>
            <w:vAlign w:val="bottom"/>
          </w:tcPr>
          <w:p w14:paraId="704D9530"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3 328</w:t>
            </w:r>
          </w:p>
        </w:tc>
        <w:tc>
          <w:tcPr>
            <w:tcW w:w="967" w:type="dxa"/>
            <w:vAlign w:val="bottom"/>
          </w:tcPr>
          <w:p w14:paraId="6B613710"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97</w:t>
            </w:r>
          </w:p>
        </w:tc>
        <w:tc>
          <w:tcPr>
            <w:tcW w:w="898" w:type="dxa"/>
            <w:vAlign w:val="bottom"/>
          </w:tcPr>
          <w:p w14:paraId="0B8A5EE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5 331</w:t>
            </w:r>
          </w:p>
        </w:tc>
        <w:tc>
          <w:tcPr>
            <w:tcW w:w="957" w:type="dxa"/>
            <w:vAlign w:val="bottom"/>
          </w:tcPr>
          <w:p w14:paraId="56682BD2"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120</w:t>
            </w:r>
          </w:p>
        </w:tc>
        <w:tc>
          <w:tcPr>
            <w:tcW w:w="891" w:type="dxa"/>
            <w:vAlign w:val="bottom"/>
          </w:tcPr>
          <w:p w14:paraId="7565F7F2"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3 768</w:t>
            </w:r>
          </w:p>
        </w:tc>
        <w:tc>
          <w:tcPr>
            <w:tcW w:w="911" w:type="dxa"/>
            <w:vAlign w:val="bottom"/>
          </w:tcPr>
          <w:p w14:paraId="63E5E4E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12 644</w:t>
            </w:r>
          </w:p>
        </w:tc>
        <w:tc>
          <w:tcPr>
            <w:tcW w:w="1004" w:type="dxa"/>
            <w:vAlign w:val="bottom"/>
          </w:tcPr>
          <w:p w14:paraId="058AE0EA"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1 600</w:t>
            </w:r>
          </w:p>
        </w:tc>
      </w:tr>
      <w:tr w:rsidR="00B151FD" w:rsidRPr="00222312" w14:paraId="713EFB8D" w14:textId="77777777" w:rsidTr="00B151FD">
        <w:tc>
          <w:tcPr>
            <w:tcW w:w="860" w:type="dxa"/>
          </w:tcPr>
          <w:p w14:paraId="12A56A1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2011</w:t>
            </w:r>
          </w:p>
        </w:tc>
        <w:tc>
          <w:tcPr>
            <w:tcW w:w="882" w:type="dxa"/>
            <w:vAlign w:val="bottom"/>
          </w:tcPr>
          <w:p w14:paraId="6EE4853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3 638</w:t>
            </w:r>
          </w:p>
        </w:tc>
        <w:tc>
          <w:tcPr>
            <w:tcW w:w="967" w:type="dxa"/>
            <w:vAlign w:val="bottom"/>
          </w:tcPr>
          <w:p w14:paraId="4FD889E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100</w:t>
            </w:r>
          </w:p>
        </w:tc>
        <w:tc>
          <w:tcPr>
            <w:tcW w:w="898" w:type="dxa"/>
            <w:vAlign w:val="bottom"/>
          </w:tcPr>
          <w:p w14:paraId="412EDF1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7 079</w:t>
            </w:r>
          </w:p>
        </w:tc>
        <w:tc>
          <w:tcPr>
            <w:tcW w:w="957" w:type="dxa"/>
            <w:vAlign w:val="bottom"/>
          </w:tcPr>
          <w:p w14:paraId="3E3191C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139</w:t>
            </w:r>
          </w:p>
        </w:tc>
        <w:tc>
          <w:tcPr>
            <w:tcW w:w="891" w:type="dxa"/>
            <w:vAlign w:val="bottom"/>
          </w:tcPr>
          <w:p w14:paraId="0EB36FD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4 528</w:t>
            </w:r>
          </w:p>
        </w:tc>
        <w:tc>
          <w:tcPr>
            <w:tcW w:w="911" w:type="dxa"/>
            <w:vAlign w:val="bottom"/>
          </w:tcPr>
          <w:p w14:paraId="14D75DE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15 484</w:t>
            </w:r>
          </w:p>
        </w:tc>
        <w:tc>
          <w:tcPr>
            <w:tcW w:w="1004" w:type="dxa"/>
            <w:vAlign w:val="bottom"/>
          </w:tcPr>
          <w:p w14:paraId="253B5BD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1 719</w:t>
            </w:r>
          </w:p>
        </w:tc>
      </w:tr>
      <w:tr w:rsidR="00B151FD" w:rsidRPr="00222312" w14:paraId="63A80DE6" w14:textId="77777777" w:rsidTr="00B151FD">
        <w:tc>
          <w:tcPr>
            <w:tcW w:w="860" w:type="dxa"/>
          </w:tcPr>
          <w:p w14:paraId="1845561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2012</w:t>
            </w:r>
          </w:p>
        </w:tc>
        <w:tc>
          <w:tcPr>
            <w:tcW w:w="882" w:type="dxa"/>
            <w:vAlign w:val="bottom"/>
          </w:tcPr>
          <w:p w14:paraId="3705AD8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3 648</w:t>
            </w:r>
          </w:p>
        </w:tc>
        <w:tc>
          <w:tcPr>
            <w:tcW w:w="967" w:type="dxa"/>
            <w:vAlign w:val="bottom"/>
          </w:tcPr>
          <w:p w14:paraId="6FDE7B0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101</w:t>
            </w:r>
          </w:p>
        </w:tc>
        <w:tc>
          <w:tcPr>
            <w:tcW w:w="898" w:type="dxa"/>
            <w:vAlign w:val="bottom"/>
          </w:tcPr>
          <w:p w14:paraId="45222F0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6 704</w:t>
            </w:r>
          </w:p>
        </w:tc>
        <w:tc>
          <w:tcPr>
            <w:tcW w:w="957" w:type="dxa"/>
            <w:vAlign w:val="bottom"/>
          </w:tcPr>
          <w:p w14:paraId="4B731302"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132</w:t>
            </w:r>
          </w:p>
        </w:tc>
        <w:tc>
          <w:tcPr>
            <w:tcW w:w="891" w:type="dxa"/>
            <w:vAlign w:val="bottom"/>
          </w:tcPr>
          <w:p w14:paraId="18AD0A0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4 551</w:t>
            </w:r>
          </w:p>
        </w:tc>
        <w:tc>
          <w:tcPr>
            <w:tcW w:w="911" w:type="dxa"/>
            <w:vAlign w:val="bottom"/>
          </w:tcPr>
          <w:p w14:paraId="41672B6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15 136</w:t>
            </w:r>
          </w:p>
        </w:tc>
        <w:tc>
          <w:tcPr>
            <w:tcW w:w="1004" w:type="dxa"/>
            <w:vAlign w:val="bottom"/>
          </w:tcPr>
          <w:p w14:paraId="2DF9CFD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1 628</w:t>
            </w:r>
          </w:p>
        </w:tc>
      </w:tr>
      <w:tr w:rsidR="00B151FD" w:rsidRPr="00222312" w14:paraId="4A750B08" w14:textId="77777777" w:rsidTr="00B151FD">
        <w:tc>
          <w:tcPr>
            <w:tcW w:w="860" w:type="dxa"/>
          </w:tcPr>
          <w:p w14:paraId="412A2EB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2013</w:t>
            </w:r>
          </w:p>
        </w:tc>
        <w:tc>
          <w:tcPr>
            <w:tcW w:w="882" w:type="dxa"/>
            <w:vAlign w:val="bottom"/>
          </w:tcPr>
          <w:p w14:paraId="0A4FB7A5"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3 622</w:t>
            </w:r>
          </w:p>
        </w:tc>
        <w:tc>
          <w:tcPr>
            <w:tcW w:w="967" w:type="dxa"/>
            <w:vAlign w:val="bottom"/>
          </w:tcPr>
          <w:p w14:paraId="2F44E42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93</w:t>
            </w:r>
          </w:p>
        </w:tc>
        <w:tc>
          <w:tcPr>
            <w:tcW w:w="898" w:type="dxa"/>
            <w:vAlign w:val="bottom"/>
          </w:tcPr>
          <w:p w14:paraId="00F149E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5 716</w:t>
            </w:r>
          </w:p>
        </w:tc>
        <w:tc>
          <w:tcPr>
            <w:tcW w:w="957" w:type="dxa"/>
            <w:vAlign w:val="bottom"/>
          </w:tcPr>
          <w:p w14:paraId="43AD741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183</w:t>
            </w:r>
          </w:p>
        </w:tc>
        <w:tc>
          <w:tcPr>
            <w:tcW w:w="891" w:type="dxa"/>
            <w:vAlign w:val="bottom"/>
          </w:tcPr>
          <w:p w14:paraId="704C822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3 968</w:t>
            </w:r>
          </w:p>
        </w:tc>
        <w:tc>
          <w:tcPr>
            <w:tcW w:w="911" w:type="dxa"/>
            <w:vAlign w:val="bottom"/>
          </w:tcPr>
          <w:p w14:paraId="4229327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13 582</w:t>
            </w:r>
          </w:p>
        </w:tc>
        <w:tc>
          <w:tcPr>
            <w:tcW w:w="1004" w:type="dxa"/>
            <w:vAlign w:val="bottom"/>
          </w:tcPr>
          <w:p w14:paraId="41829AA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1 529</w:t>
            </w:r>
          </w:p>
        </w:tc>
      </w:tr>
      <w:tr w:rsidR="00B151FD" w:rsidRPr="00222312" w14:paraId="6AEBD116" w14:textId="77777777" w:rsidTr="00B151FD">
        <w:tc>
          <w:tcPr>
            <w:tcW w:w="860" w:type="dxa"/>
          </w:tcPr>
          <w:p w14:paraId="07351B7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2014</w:t>
            </w:r>
          </w:p>
        </w:tc>
        <w:tc>
          <w:tcPr>
            <w:tcW w:w="882" w:type="dxa"/>
            <w:vAlign w:val="bottom"/>
          </w:tcPr>
          <w:p w14:paraId="1B6C14E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3 647</w:t>
            </w:r>
          </w:p>
        </w:tc>
        <w:tc>
          <w:tcPr>
            <w:tcW w:w="967" w:type="dxa"/>
            <w:vAlign w:val="bottom"/>
          </w:tcPr>
          <w:p w14:paraId="1C6AA5E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73</w:t>
            </w:r>
          </w:p>
        </w:tc>
        <w:tc>
          <w:tcPr>
            <w:tcW w:w="898" w:type="dxa"/>
            <w:vAlign w:val="bottom"/>
          </w:tcPr>
          <w:p w14:paraId="426A78E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6 867</w:t>
            </w:r>
          </w:p>
        </w:tc>
        <w:tc>
          <w:tcPr>
            <w:tcW w:w="957" w:type="dxa"/>
            <w:vAlign w:val="bottom"/>
          </w:tcPr>
          <w:p w14:paraId="09AD6A20"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184</w:t>
            </w:r>
          </w:p>
        </w:tc>
        <w:tc>
          <w:tcPr>
            <w:tcW w:w="891" w:type="dxa"/>
            <w:vAlign w:val="bottom"/>
          </w:tcPr>
          <w:p w14:paraId="5CCCFB2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4 166</w:t>
            </w:r>
          </w:p>
        </w:tc>
        <w:tc>
          <w:tcPr>
            <w:tcW w:w="911" w:type="dxa"/>
            <w:vAlign w:val="bottom"/>
          </w:tcPr>
          <w:p w14:paraId="3ECCFE5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14 937</w:t>
            </w:r>
          </w:p>
        </w:tc>
        <w:tc>
          <w:tcPr>
            <w:tcW w:w="1004" w:type="dxa"/>
            <w:vAlign w:val="bottom"/>
          </w:tcPr>
          <w:p w14:paraId="5945EEE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1 752</w:t>
            </w:r>
          </w:p>
        </w:tc>
      </w:tr>
      <w:tr w:rsidR="00B151FD" w:rsidRPr="00222312" w14:paraId="10DFB6F5" w14:textId="77777777" w:rsidTr="00B151FD">
        <w:tc>
          <w:tcPr>
            <w:tcW w:w="860" w:type="dxa"/>
          </w:tcPr>
          <w:p w14:paraId="73C134C5"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2015</w:t>
            </w:r>
          </w:p>
        </w:tc>
        <w:tc>
          <w:tcPr>
            <w:tcW w:w="882" w:type="dxa"/>
            <w:vAlign w:val="bottom"/>
          </w:tcPr>
          <w:p w14:paraId="56126C7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3 891</w:t>
            </w:r>
          </w:p>
        </w:tc>
        <w:tc>
          <w:tcPr>
            <w:tcW w:w="967" w:type="dxa"/>
            <w:vAlign w:val="bottom"/>
          </w:tcPr>
          <w:p w14:paraId="1BD7F7A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71</w:t>
            </w:r>
          </w:p>
        </w:tc>
        <w:tc>
          <w:tcPr>
            <w:tcW w:w="898" w:type="dxa"/>
            <w:vAlign w:val="bottom"/>
          </w:tcPr>
          <w:p w14:paraId="4744CD7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6 595</w:t>
            </w:r>
          </w:p>
        </w:tc>
        <w:tc>
          <w:tcPr>
            <w:tcW w:w="957" w:type="dxa"/>
            <w:vAlign w:val="bottom"/>
          </w:tcPr>
          <w:p w14:paraId="358BE5A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277</w:t>
            </w:r>
          </w:p>
        </w:tc>
        <w:tc>
          <w:tcPr>
            <w:tcW w:w="891" w:type="dxa"/>
            <w:vAlign w:val="bottom"/>
          </w:tcPr>
          <w:p w14:paraId="52F5850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4 388</w:t>
            </w:r>
          </w:p>
        </w:tc>
        <w:tc>
          <w:tcPr>
            <w:tcW w:w="911" w:type="dxa"/>
            <w:vAlign w:val="bottom"/>
          </w:tcPr>
          <w:p w14:paraId="2FFCCC63"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15 222</w:t>
            </w:r>
          </w:p>
        </w:tc>
        <w:tc>
          <w:tcPr>
            <w:tcW w:w="1004" w:type="dxa"/>
            <w:vAlign w:val="bottom"/>
          </w:tcPr>
          <w:p w14:paraId="1039B4F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1 740</w:t>
            </w:r>
          </w:p>
        </w:tc>
      </w:tr>
      <w:tr w:rsidR="00B151FD" w:rsidRPr="00222312" w14:paraId="7948B037" w14:textId="77777777" w:rsidTr="00B151FD">
        <w:tc>
          <w:tcPr>
            <w:tcW w:w="860" w:type="dxa"/>
          </w:tcPr>
          <w:p w14:paraId="717A7EF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2016</w:t>
            </w:r>
          </w:p>
        </w:tc>
        <w:tc>
          <w:tcPr>
            <w:tcW w:w="882" w:type="dxa"/>
            <w:vAlign w:val="bottom"/>
          </w:tcPr>
          <w:p w14:paraId="036598C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3 700</w:t>
            </w:r>
          </w:p>
        </w:tc>
        <w:tc>
          <w:tcPr>
            <w:tcW w:w="967" w:type="dxa"/>
            <w:vAlign w:val="bottom"/>
          </w:tcPr>
          <w:p w14:paraId="6BA2FC6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45</w:t>
            </w:r>
          </w:p>
        </w:tc>
        <w:tc>
          <w:tcPr>
            <w:tcW w:w="898" w:type="dxa"/>
            <w:vAlign w:val="bottom"/>
          </w:tcPr>
          <w:p w14:paraId="66BA141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5 278</w:t>
            </w:r>
          </w:p>
        </w:tc>
        <w:tc>
          <w:tcPr>
            <w:tcW w:w="957" w:type="dxa"/>
            <w:vAlign w:val="bottom"/>
          </w:tcPr>
          <w:p w14:paraId="0BA2CA4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145</w:t>
            </w:r>
          </w:p>
        </w:tc>
        <w:tc>
          <w:tcPr>
            <w:tcW w:w="891" w:type="dxa"/>
            <w:vAlign w:val="bottom"/>
          </w:tcPr>
          <w:p w14:paraId="7F3781B3"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3 614</w:t>
            </w:r>
          </w:p>
        </w:tc>
        <w:tc>
          <w:tcPr>
            <w:tcW w:w="911" w:type="dxa"/>
            <w:vAlign w:val="bottom"/>
          </w:tcPr>
          <w:p w14:paraId="0F77A3C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12 782</w:t>
            </w:r>
          </w:p>
        </w:tc>
        <w:tc>
          <w:tcPr>
            <w:tcW w:w="1004" w:type="dxa"/>
            <w:vAlign w:val="bottom"/>
          </w:tcPr>
          <w:p w14:paraId="7BD36EA5"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1 721</w:t>
            </w:r>
          </w:p>
        </w:tc>
      </w:tr>
      <w:tr w:rsidR="00B151FD" w:rsidRPr="00222312" w14:paraId="70CB3708" w14:textId="77777777" w:rsidTr="00B151FD">
        <w:tc>
          <w:tcPr>
            <w:tcW w:w="860" w:type="dxa"/>
          </w:tcPr>
          <w:p w14:paraId="749D2CF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2017</w:t>
            </w:r>
          </w:p>
        </w:tc>
        <w:tc>
          <w:tcPr>
            <w:tcW w:w="882" w:type="dxa"/>
            <w:vAlign w:val="bottom"/>
          </w:tcPr>
          <w:p w14:paraId="4CD394E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3 961</w:t>
            </w:r>
          </w:p>
        </w:tc>
        <w:tc>
          <w:tcPr>
            <w:tcW w:w="967" w:type="dxa"/>
            <w:vAlign w:val="bottom"/>
          </w:tcPr>
          <w:p w14:paraId="6C03C47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53</w:t>
            </w:r>
          </w:p>
        </w:tc>
        <w:tc>
          <w:tcPr>
            <w:tcW w:w="898" w:type="dxa"/>
            <w:vAlign w:val="bottom"/>
          </w:tcPr>
          <w:p w14:paraId="6795210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4 125</w:t>
            </w:r>
          </w:p>
        </w:tc>
        <w:tc>
          <w:tcPr>
            <w:tcW w:w="957" w:type="dxa"/>
            <w:vAlign w:val="bottom"/>
          </w:tcPr>
          <w:p w14:paraId="5F21306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85</w:t>
            </w:r>
          </w:p>
        </w:tc>
        <w:tc>
          <w:tcPr>
            <w:tcW w:w="891" w:type="dxa"/>
            <w:vAlign w:val="bottom"/>
          </w:tcPr>
          <w:p w14:paraId="174AF35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3 334</w:t>
            </w:r>
          </w:p>
        </w:tc>
        <w:tc>
          <w:tcPr>
            <w:tcW w:w="911" w:type="dxa"/>
            <w:vAlign w:val="bottom"/>
          </w:tcPr>
          <w:p w14:paraId="3165A66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11 558</w:t>
            </w:r>
          </w:p>
        </w:tc>
        <w:tc>
          <w:tcPr>
            <w:tcW w:w="1004" w:type="dxa"/>
            <w:vAlign w:val="bottom"/>
          </w:tcPr>
          <w:p w14:paraId="23AE4CF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1 871</w:t>
            </w:r>
          </w:p>
        </w:tc>
      </w:tr>
      <w:tr w:rsidR="00B151FD" w:rsidRPr="00222312" w14:paraId="2E1F74A6" w14:textId="77777777" w:rsidTr="00B151FD">
        <w:tc>
          <w:tcPr>
            <w:tcW w:w="860" w:type="dxa"/>
          </w:tcPr>
          <w:p w14:paraId="3F0B1A8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2018</w:t>
            </w:r>
          </w:p>
        </w:tc>
        <w:tc>
          <w:tcPr>
            <w:tcW w:w="882" w:type="dxa"/>
            <w:vAlign w:val="bottom"/>
          </w:tcPr>
          <w:p w14:paraId="28067BC0"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3 927</w:t>
            </w:r>
          </w:p>
        </w:tc>
        <w:tc>
          <w:tcPr>
            <w:tcW w:w="967" w:type="dxa"/>
            <w:vAlign w:val="bottom"/>
          </w:tcPr>
          <w:p w14:paraId="1BC6372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44</w:t>
            </w:r>
          </w:p>
        </w:tc>
        <w:tc>
          <w:tcPr>
            <w:tcW w:w="898" w:type="dxa"/>
            <w:vAlign w:val="bottom"/>
          </w:tcPr>
          <w:p w14:paraId="1E3E1102"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3 798</w:t>
            </w:r>
          </w:p>
        </w:tc>
        <w:tc>
          <w:tcPr>
            <w:tcW w:w="957" w:type="dxa"/>
            <w:vAlign w:val="bottom"/>
          </w:tcPr>
          <w:p w14:paraId="4E1F44A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134</w:t>
            </w:r>
          </w:p>
        </w:tc>
        <w:tc>
          <w:tcPr>
            <w:tcW w:w="891" w:type="dxa"/>
            <w:vAlign w:val="bottom"/>
          </w:tcPr>
          <w:p w14:paraId="2099AD1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2 953</w:t>
            </w:r>
          </w:p>
        </w:tc>
        <w:tc>
          <w:tcPr>
            <w:tcW w:w="911" w:type="dxa"/>
            <w:vAlign w:val="bottom"/>
          </w:tcPr>
          <w:p w14:paraId="4291E67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10 856</w:t>
            </w:r>
          </w:p>
        </w:tc>
        <w:tc>
          <w:tcPr>
            <w:tcW w:w="1004" w:type="dxa"/>
            <w:vAlign w:val="bottom"/>
          </w:tcPr>
          <w:p w14:paraId="7243CD1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1 898</w:t>
            </w:r>
          </w:p>
        </w:tc>
      </w:tr>
      <w:tr w:rsidR="00B151FD" w:rsidRPr="00222312" w14:paraId="7D648AE4" w14:textId="77777777" w:rsidTr="00B151FD">
        <w:tc>
          <w:tcPr>
            <w:tcW w:w="860" w:type="dxa"/>
          </w:tcPr>
          <w:p w14:paraId="07CACBD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2019</w:t>
            </w:r>
          </w:p>
        </w:tc>
        <w:tc>
          <w:tcPr>
            <w:tcW w:w="882" w:type="dxa"/>
            <w:vAlign w:val="bottom"/>
          </w:tcPr>
          <w:p w14:paraId="09FBA2A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5 838</w:t>
            </w:r>
          </w:p>
        </w:tc>
        <w:tc>
          <w:tcPr>
            <w:tcW w:w="967" w:type="dxa"/>
            <w:vAlign w:val="bottom"/>
          </w:tcPr>
          <w:p w14:paraId="159C5B9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36</w:t>
            </w:r>
          </w:p>
        </w:tc>
        <w:tc>
          <w:tcPr>
            <w:tcW w:w="898" w:type="dxa"/>
            <w:vAlign w:val="bottom"/>
          </w:tcPr>
          <w:p w14:paraId="2A7308D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4 786</w:t>
            </w:r>
          </w:p>
        </w:tc>
        <w:tc>
          <w:tcPr>
            <w:tcW w:w="957" w:type="dxa"/>
            <w:vAlign w:val="bottom"/>
          </w:tcPr>
          <w:p w14:paraId="1A2747D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199</w:t>
            </w:r>
          </w:p>
        </w:tc>
        <w:tc>
          <w:tcPr>
            <w:tcW w:w="891" w:type="dxa"/>
            <w:vAlign w:val="bottom"/>
          </w:tcPr>
          <w:p w14:paraId="6FFD041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4 183</w:t>
            </w:r>
          </w:p>
        </w:tc>
        <w:tc>
          <w:tcPr>
            <w:tcW w:w="911" w:type="dxa"/>
            <w:vAlign w:val="bottom"/>
          </w:tcPr>
          <w:p w14:paraId="5892A42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15 042</w:t>
            </w:r>
          </w:p>
        </w:tc>
        <w:tc>
          <w:tcPr>
            <w:tcW w:w="1004" w:type="dxa"/>
            <w:vAlign w:val="bottom"/>
          </w:tcPr>
          <w:p w14:paraId="0CB10048"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2 360</w:t>
            </w:r>
          </w:p>
        </w:tc>
      </w:tr>
      <w:tr w:rsidR="00B151FD" w:rsidRPr="00222312" w14:paraId="5A45E9D9" w14:textId="77777777" w:rsidTr="00B151FD">
        <w:tc>
          <w:tcPr>
            <w:tcW w:w="860" w:type="dxa"/>
          </w:tcPr>
          <w:p w14:paraId="15314AA3"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2020</w:t>
            </w:r>
          </w:p>
        </w:tc>
        <w:tc>
          <w:tcPr>
            <w:tcW w:w="882" w:type="dxa"/>
            <w:vAlign w:val="bottom"/>
          </w:tcPr>
          <w:p w14:paraId="1F0901C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6 505</w:t>
            </w:r>
          </w:p>
        </w:tc>
        <w:tc>
          <w:tcPr>
            <w:tcW w:w="967" w:type="dxa"/>
            <w:vAlign w:val="bottom"/>
          </w:tcPr>
          <w:p w14:paraId="3796938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36</w:t>
            </w:r>
          </w:p>
        </w:tc>
        <w:tc>
          <w:tcPr>
            <w:tcW w:w="898" w:type="dxa"/>
            <w:vAlign w:val="bottom"/>
          </w:tcPr>
          <w:p w14:paraId="26A6602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4 943</w:t>
            </w:r>
          </w:p>
        </w:tc>
        <w:tc>
          <w:tcPr>
            <w:tcW w:w="957" w:type="dxa"/>
            <w:vAlign w:val="bottom"/>
          </w:tcPr>
          <w:p w14:paraId="57C3CE9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68</w:t>
            </w:r>
          </w:p>
        </w:tc>
        <w:tc>
          <w:tcPr>
            <w:tcW w:w="891" w:type="dxa"/>
            <w:vAlign w:val="bottom"/>
          </w:tcPr>
          <w:p w14:paraId="0DDA9FC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4 265</w:t>
            </w:r>
          </w:p>
        </w:tc>
        <w:tc>
          <w:tcPr>
            <w:tcW w:w="911" w:type="dxa"/>
            <w:vAlign w:val="bottom"/>
          </w:tcPr>
          <w:p w14:paraId="17304BF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15 817</w:t>
            </w:r>
          </w:p>
        </w:tc>
        <w:tc>
          <w:tcPr>
            <w:tcW w:w="1004" w:type="dxa"/>
            <w:vAlign w:val="bottom"/>
          </w:tcPr>
          <w:p w14:paraId="32E019A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2 550</w:t>
            </w:r>
          </w:p>
        </w:tc>
      </w:tr>
      <w:tr w:rsidR="00B151FD" w:rsidRPr="00222312" w14:paraId="1A83EF57" w14:textId="77777777" w:rsidTr="00B151FD">
        <w:tc>
          <w:tcPr>
            <w:tcW w:w="860" w:type="dxa"/>
          </w:tcPr>
          <w:p w14:paraId="4729082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2021</w:t>
            </w:r>
          </w:p>
        </w:tc>
        <w:tc>
          <w:tcPr>
            <w:tcW w:w="882" w:type="dxa"/>
            <w:vAlign w:val="bottom"/>
          </w:tcPr>
          <w:p w14:paraId="0C2B276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6 313</w:t>
            </w:r>
          </w:p>
        </w:tc>
        <w:tc>
          <w:tcPr>
            <w:tcW w:w="967" w:type="dxa"/>
            <w:vAlign w:val="bottom"/>
          </w:tcPr>
          <w:p w14:paraId="6E933C5C"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30</w:t>
            </w:r>
          </w:p>
        </w:tc>
        <w:tc>
          <w:tcPr>
            <w:tcW w:w="898" w:type="dxa"/>
            <w:vAlign w:val="bottom"/>
          </w:tcPr>
          <w:p w14:paraId="217F7A2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4 926</w:t>
            </w:r>
          </w:p>
        </w:tc>
        <w:tc>
          <w:tcPr>
            <w:tcW w:w="957" w:type="dxa"/>
            <w:vAlign w:val="bottom"/>
          </w:tcPr>
          <w:p w14:paraId="327CFC43"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47</w:t>
            </w:r>
          </w:p>
        </w:tc>
        <w:tc>
          <w:tcPr>
            <w:tcW w:w="891" w:type="dxa"/>
            <w:vAlign w:val="bottom"/>
          </w:tcPr>
          <w:p w14:paraId="7FE6599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3 564</w:t>
            </w:r>
          </w:p>
        </w:tc>
        <w:tc>
          <w:tcPr>
            <w:tcW w:w="911" w:type="dxa"/>
            <w:vAlign w:val="bottom"/>
          </w:tcPr>
          <w:p w14:paraId="43092D4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14 880</w:t>
            </w:r>
          </w:p>
        </w:tc>
        <w:tc>
          <w:tcPr>
            <w:tcW w:w="1004" w:type="dxa"/>
            <w:vAlign w:val="bottom"/>
          </w:tcPr>
          <w:p w14:paraId="521C15FA"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2 914</w:t>
            </w:r>
          </w:p>
        </w:tc>
      </w:tr>
      <w:tr w:rsidR="00B151FD" w:rsidRPr="00222312" w14:paraId="65B939A9" w14:textId="77777777" w:rsidTr="00B151FD">
        <w:tc>
          <w:tcPr>
            <w:tcW w:w="860" w:type="dxa"/>
          </w:tcPr>
          <w:p w14:paraId="52819613"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left"/>
              <w:rPr>
                <w:spacing w:val="4"/>
                <w:w w:val="103"/>
                <w:sz w:val="17"/>
                <w:szCs w:val="17"/>
              </w:rPr>
            </w:pPr>
            <w:r w:rsidRPr="00222312">
              <w:rPr>
                <w:color w:val="000000"/>
                <w:spacing w:val="4"/>
                <w:w w:val="103"/>
                <w:sz w:val="17"/>
                <w:szCs w:val="17"/>
              </w:rPr>
              <w:t>2022</w:t>
            </w:r>
          </w:p>
        </w:tc>
        <w:tc>
          <w:tcPr>
            <w:tcW w:w="882" w:type="dxa"/>
            <w:vAlign w:val="bottom"/>
          </w:tcPr>
          <w:p w14:paraId="50673CF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6 979</w:t>
            </w:r>
          </w:p>
        </w:tc>
        <w:tc>
          <w:tcPr>
            <w:tcW w:w="967" w:type="dxa"/>
            <w:vAlign w:val="bottom"/>
          </w:tcPr>
          <w:p w14:paraId="239A459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31</w:t>
            </w:r>
          </w:p>
        </w:tc>
        <w:tc>
          <w:tcPr>
            <w:tcW w:w="898" w:type="dxa"/>
            <w:vAlign w:val="bottom"/>
          </w:tcPr>
          <w:p w14:paraId="706D843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4 826</w:t>
            </w:r>
          </w:p>
        </w:tc>
        <w:tc>
          <w:tcPr>
            <w:tcW w:w="957" w:type="dxa"/>
            <w:vAlign w:val="bottom"/>
          </w:tcPr>
          <w:p w14:paraId="3476B05D"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59</w:t>
            </w:r>
          </w:p>
        </w:tc>
        <w:tc>
          <w:tcPr>
            <w:tcW w:w="891" w:type="dxa"/>
            <w:vAlign w:val="bottom"/>
          </w:tcPr>
          <w:p w14:paraId="4858AD0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3 370</w:t>
            </w:r>
          </w:p>
        </w:tc>
        <w:tc>
          <w:tcPr>
            <w:tcW w:w="911" w:type="dxa"/>
            <w:vAlign w:val="bottom"/>
          </w:tcPr>
          <w:p w14:paraId="0CF3168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15 265</w:t>
            </w:r>
          </w:p>
        </w:tc>
        <w:tc>
          <w:tcPr>
            <w:tcW w:w="1004" w:type="dxa"/>
            <w:vAlign w:val="bottom"/>
          </w:tcPr>
          <w:p w14:paraId="64B3EDD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40" w:line="210" w:lineRule="exact"/>
              <w:ind w:left="0" w:right="43"/>
              <w:jc w:val="right"/>
              <w:rPr>
                <w:spacing w:val="4"/>
                <w:w w:val="103"/>
                <w:sz w:val="17"/>
                <w:szCs w:val="17"/>
              </w:rPr>
            </w:pPr>
            <w:r w:rsidRPr="00222312">
              <w:rPr>
                <w:color w:val="000000"/>
                <w:spacing w:val="4"/>
                <w:w w:val="103"/>
                <w:sz w:val="17"/>
                <w:szCs w:val="17"/>
              </w:rPr>
              <w:t>3 201</w:t>
            </w:r>
          </w:p>
        </w:tc>
      </w:tr>
      <w:tr w:rsidR="00B151FD" w:rsidRPr="00222312" w14:paraId="3788AE5F" w14:textId="77777777" w:rsidTr="00B151FD">
        <w:tc>
          <w:tcPr>
            <w:tcW w:w="860" w:type="dxa"/>
            <w:tcBorders>
              <w:bottom w:val="single" w:sz="4" w:space="0" w:color="auto"/>
            </w:tcBorders>
          </w:tcPr>
          <w:p w14:paraId="0DE5E45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left"/>
              <w:rPr>
                <w:spacing w:val="4"/>
                <w:w w:val="103"/>
                <w:sz w:val="17"/>
                <w:szCs w:val="17"/>
              </w:rPr>
            </w:pPr>
            <w:r w:rsidRPr="00222312">
              <w:rPr>
                <w:color w:val="000000"/>
                <w:spacing w:val="4"/>
                <w:w w:val="103"/>
                <w:sz w:val="17"/>
                <w:szCs w:val="17"/>
              </w:rPr>
              <w:t>2023</w:t>
            </w:r>
          </w:p>
        </w:tc>
        <w:tc>
          <w:tcPr>
            <w:tcW w:w="882" w:type="dxa"/>
            <w:tcBorders>
              <w:bottom w:val="single" w:sz="4" w:space="0" w:color="auto"/>
            </w:tcBorders>
            <w:vAlign w:val="bottom"/>
          </w:tcPr>
          <w:p w14:paraId="477565D9"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right"/>
              <w:rPr>
                <w:spacing w:val="4"/>
                <w:w w:val="103"/>
                <w:sz w:val="17"/>
                <w:szCs w:val="17"/>
              </w:rPr>
            </w:pPr>
            <w:r w:rsidRPr="00222312">
              <w:rPr>
                <w:color w:val="000000"/>
                <w:spacing w:val="4"/>
                <w:w w:val="103"/>
                <w:sz w:val="17"/>
                <w:szCs w:val="17"/>
              </w:rPr>
              <w:t>4 061</w:t>
            </w:r>
          </w:p>
        </w:tc>
        <w:tc>
          <w:tcPr>
            <w:tcW w:w="967" w:type="dxa"/>
            <w:tcBorders>
              <w:bottom w:val="single" w:sz="4" w:space="0" w:color="auto"/>
            </w:tcBorders>
            <w:vAlign w:val="bottom"/>
          </w:tcPr>
          <w:p w14:paraId="7DD10EEB"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right"/>
              <w:rPr>
                <w:spacing w:val="4"/>
                <w:w w:val="103"/>
                <w:sz w:val="17"/>
                <w:szCs w:val="17"/>
              </w:rPr>
            </w:pPr>
            <w:r w:rsidRPr="00222312">
              <w:rPr>
                <w:color w:val="000000"/>
                <w:spacing w:val="4"/>
                <w:w w:val="103"/>
                <w:sz w:val="17"/>
                <w:szCs w:val="17"/>
              </w:rPr>
              <w:t>15</w:t>
            </w:r>
          </w:p>
        </w:tc>
        <w:tc>
          <w:tcPr>
            <w:tcW w:w="898" w:type="dxa"/>
            <w:tcBorders>
              <w:bottom w:val="single" w:sz="4" w:space="0" w:color="auto"/>
            </w:tcBorders>
            <w:vAlign w:val="bottom"/>
          </w:tcPr>
          <w:p w14:paraId="58364C73"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right"/>
              <w:rPr>
                <w:spacing w:val="4"/>
                <w:w w:val="103"/>
                <w:sz w:val="17"/>
                <w:szCs w:val="17"/>
              </w:rPr>
            </w:pPr>
            <w:r w:rsidRPr="00222312">
              <w:rPr>
                <w:color w:val="000000"/>
                <w:spacing w:val="4"/>
                <w:w w:val="103"/>
                <w:sz w:val="17"/>
                <w:szCs w:val="17"/>
              </w:rPr>
              <w:t>3 171</w:t>
            </w:r>
          </w:p>
        </w:tc>
        <w:tc>
          <w:tcPr>
            <w:tcW w:w="957" w:type="dxa"/>
            <w:tcBorders>
              <w:bottom w:val="single" w:sz="4" w:space="0" w:color="auto"/>
            </w:tcBorders>
            <w:vAlign w:val="bottom"/>
          </w:tcPr>
          <w:p w14:paraId="361FB404"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right"/>
              <w:rPr>
                <w:spacing w:val="4"/>
                <w:w w:val="103"/>
                <w:sz w:val="17"/>
                <w:szCs w:val="17"/>
              </w:rPr>
            </w:pPr>
            <w:r w:rsidRPr="00222312">
              <w:rPr>
                <w:color w:val="000000"/>
                <w:spacing w:val="4"/>
                <w:w w:val="103"/>
                <w:sz w:val="17"/>
                <w:szCs w:val="17"/>
              </w:rPr>
              <w:t>36</w:t>
            </w:r>
          </w:p>
        </w:tc>
        <w:tc>
          <w:tcPr>
            <w:tcW w:w="891" w:type="dxa"/>
            <w:tcBorders>
              <w:bottom w:val="single" w:sz="4" w:space="0" w:color="auto"/>
            </w:tcBorders>
            <w:vAlign w:val="bottom"/>
          </w:tcPr>
          <w:p w14:paraId="7949C7E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right"/>
              <w:rPr>
                <w:spacing w:val="4"/>
                <w:w w:val="103"/>
                <w:sz w:val="17"/>
                <w:szCs w:val="17"/>
              </w:rPr>
            </w:pPr>
            <w:r w:rsidRPr="00222312">
              <w:rPr>
                <w:color w:val="000000"/>
                <w:spacing w:val="4"/>
                <w:w w:val="103"/>
                <w:sz w:val="17"/>
                <w:szCs w:val="17"/>
              </w:rPr>
              <w:t>2 384</w:t>
            </w:r>
          </w:p>
        </w:tc>
        <w:tc>
          <w:tcPr>
            <w:tcW w:w="911" w:type="dxa"/>
            <w:tcBorders>
              <w:bottom w:val="single" w:sz="4" w:space="0" w:color="auto"/>
            </w:tcBorders>
            <w:vAlign w:val="bottom"/>
          </w:tcPr>
          <w:p w14:paraId="1E87E46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right"/>
              <w:rPr>
                <w:spacing w:val="4"/>
                <w:w w:val="103"/>
                <w:sz w:val="17"/>
                <w:szCs w:val="17"/>
              </w:rPr>
            </w:pPr>
            <w:r w:rsidRPr="00222312">
              <w:rPr>
                <w:color w:val="000000"/>
                <w:spacing w:val="4"/>
                <w:w w:val="103"/>
                <w:sz w:val="17"/>
                <w:szCs w:val="17"/>
              </w:rPr>
              <w:t>9 667</w:t>
            </w:r>
          </w:p>
        </w:tc>
        <w:tc>
          <w:tcPr>
            <w:tcW w:w="1004" w:type="dxa"/>
            <w:tcBorders>
              <w:bottom w:val="single" w:sz="4" w:space="0" w:color="auto"/>
            </w:tcBorders>
            <w:vAlign w:val="bottom"/>
          </w:tcPr>
          <w:p w14:paraId="5E532A3F"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40" w:after="81" w:line="210" w:lineRule="exact"/>
              <w:ind w:left="0" w:right="43"/>
              <w:jc w:val="right"/>
              <w:rPr>
                <w:spacing w:val="4"/>
                <w:w w:val="103"/>
                <w:sz w:val="17"/>
                <w:szCs w:val="17"/>
              </w:rPr>
            </w:pPr>
            <w:r w:rsidRPr="00222312">
              <w:rPr>
                <w:color w:val="000000"/>
                <w:spacing w:val="4"/>
                <w:w w:val="103"/>
                <w:sz w:val="17"/>
                <w:szCs w:val="17"/>
              </w:rPr>
              <w:t>2 067</w:t>
            </w:r>
          </w:p>
        </w:tc>
      </w:tr>
      <w:tr w:rsidR="00B151FD" w:rsidRPr="00222312" w14:paraId="48A56D28" w14:textId="77777777" w:rsidTr="00B151FD">
        <w:tc>
          <w:tcPr>
            <w:tcW w:w="860" w:type="dxa"/>
            <w:tcBorders>
              <w:top w:val="single" w:sz="4" w:space="0" w:color="auto"/>
              <w:bottom w:val="single" w:sz="12" w:space="0" w:color="auto"/>
            </w:tcBorders>
          </w:tcPr>
          <w:p w14:paraId="1196332E"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left"/>
              <w:rPr>
                <w:b/>
                <w:spacing w:val="4"/>
                <w:w w:val="103"/>
                <w:sz w:val="17"/>
                <w:szCs w:val="17"/>
              </w:rPr>
            </w:pPr>
            <w:r w:rsidRPr="00222312">
              <w:rPr>
                <w:b/>
                <w:color w:val="000000"/>
                <w:spacing w:val="4"/>
                <w:w w:val="103"/>
                <w:sz w:val="17"/>
                <w:szCs w:val="17"/>
              </w:rPr>
              <w:tab/>
              <w:t>Total</w:t>
            </w:r>
          </w:p>
        </w:tc>
        <w:tc>
          <w:tcPr>
            <w:tcW w:w="882" w:type="dxa"/>
            <w:tcBorders>
              <w:top w:val="single" w:sz="4" w:space="0" w:color="auto"/>
              <w:bottom w:val="single" w:sz="12" w:space="0" w:color="auto"/>
            </w:tcBorders>
            <w:vAlign w:val="bottom"/>
          </w:tcPr>
          <w:p w14:paraId="4A3615D2"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right"/>
              <w:rPr>
                <w:b/>
                <w:spacing w:val="4"/>
                <w:w w:val="103"/>
                <w:sz w:val="17"/>
                <w:szCs w:val="17"/>
              </w:rPr>
            </w:pPr>
            <w:r w:rsidRPr="00222312">
              <w:rPr>
                <w:b/>
                <w:color w:val="000000"/>
                <w:spacing w:val="4"/>
                <w:w w:val="103"/>
                <w:sz w:val="17"/>
                <w:szCs w:val="17"/>
              </w:rPr>
              <w:t>65 958</w:t>
            </w:r>
          </w:p>
        </w:tc>
        <w:tc>
          <w:tcPr>
            <w:tcW w:w="967" w:type="dxa"/>
            <w:tcBorders>
              <w:top w:val="single" w:sz="4" w:space="0" w:color="auto"/>
              <w:bottom w:val="single" w:sz="12" w:space="0" w:color="auto"/>
            </w:tcBorders>
            <w:vAlign w:val="bottom"/>
          </w:tcPr>
          <w:p w14:paraId="17EFF647"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right"/>
              <w:rPr>
                <w:b/>
                <w:spacing w:val="4"/>
                <w:w w:val="103"/>
                <w:sz w:val="17"/>
                <w:szCs w:val="17"/>
              </w:rPr>
            </w:pPr>
            <w:r w:rsidRPr="00222312">
              <w:rPr>
                <w:b/>
                <w:color w:val="000000"/>
                <w:spacing w:val="4"/>
                <w:w w:val="103"/>
                <w:sz w:val="17"/>
                <w:szCs w:val="17"/>
              </w:rPr>
              <w:t>954</w:t>
            </w:r>
          </w:p>
        </w:tc>
        <w:tc>
          <w:tcPr>
            <w:tcW w:w="898" w:type="dxa"/>
            <w:tcBorders>
              <w:top w:val="single" w:sz="4" w:space="0" w:color="auto"/>
              <w:bottom w:val="single" w:sz="12" w:space="0" w:color="auto"/>
            </w:tcBorders>
            <w:vAlign w:val="bottom"/>
          </w:tcPr>
          <w:p w14:paraId="6BC7C53A"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right"/>
              <w:rPr>
                <w:b/>
                <w:spacing w:val="4"/>
                <w:w w:val="103"/>
                <w:sz w:val="17"/>
                <w:szCs w:val="17"/>
              </w:rPr>
            </w:pPr>
            <w:r w:rsidRPr="00222312">
              <w:rPr>
                <w:b/>
                <w:color w:val="000000"/>
                <w:spacing w:val="4"/>
                <w:w w:val="103"/>
                <w:sz w:val="17"/>
                <w:szCs w:val="17"/>
              </w:rPr>
              <w:t>78 206</w:t>
            </w:r>
          </w:p>
        </w:tc>
        <w:tc>
          <w:tcPr>
            <w:tcW w:w="957" w:type="dxa"/>
            <w:tcBorders>
              <w:top w:val="single" w:sz="4" w:space="0" w:color="auto"/>
              <w:bottom w:val="single" w:sz="12" w:space="0" w:color="auto"/>
            </w:tcBorders>
            <w:vAlign w:val="bottom"/>
          </w:tcPr>
          <w:p w14:paraId="69E62E31"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right"/>
              <w:rPr>
                <w:b/>
                <w:spacing w:val="4"/>
                <w:w w:val="103"/>
                <w:sz w:val="17"/>
                <w:szCs w:val="17"/>
              </w:rPr>
            </w:pPr>
            <w:r w:rsidRPr="00222312">
              <w:rPr>
                <w:b/>
                <w:color w:val="000000"/>
                <w:spacing w:val="4"/>
                <w:w w:val="103"/>
                <w:sz w:val="17"/>
                <w:szCs w:val="17"/>
              </w:rPr>
              <w:t>1 902</w:t>
            </w:r>
          </w:p>
        </w:tc>
        <w:tc>
          <w:tcPr>
            <w:tcW w:w="891" w:type="dxa"/>
            <w:tcBorders>
              <w:top w:val="single" w:sz="4" w:space="0" w:color="auto"/>
              <w:bottom w:val="single" w:sz="12" w:space="0" w:color="auto"/>
            </w:tcBorders>
            <w:vAlign w:val="bottom"/>
          </w:tcPr>
          <w:p w14:paraId="3E86EBD6"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right"/>
              <w:rPr>
                <w:b/>
                <w:spacing w:val="4"/>
                <w:w w:val="103"/>
                <w:sz w:val="17"/>
                <w:szCs w:val="17"/>
              </w:rPr>
            </w:pPr>
            <w:r w:rsidRPr="00222312">
              <w:rPr>
                <w:b/>
                <w:color w:val="000000"/>
                <w:spacing w:val="4"/>
                <w:w w:val="103"/>
                <w:sz w:val="17"/>
                <w:szCs w:val="17"/>
              </w:rPr>
              <w:t>55 729</w:t>
            </w:r>
          </w:p>
        </w:tc>
        <w:tc>
          <w:tcPr>
            <w:tcW w:w="911" w:type="dxa"/>
            <w:tcBorders>
              <w:top w:val="single" w:sz="4" w:space="0" w:color="auto"/>
              <w:bottom w:val="single" w:sz="12" w:space="0" w:color="auto"/>
            </w:tcBorders>
            <w:vAlign w:val="bottom"/>
          </w:tcPr>
          <w:p w14:paraId="59124902"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right"/>
              <w:rPr>
                <w:b/>
                <w:spacing w:val="4"/>
                <w:w w:val="103"/>
                <w:sz w:val="17"/>
                <w:szCs w:val="17"/>
              </w:rPr>
            </w:pPr>
            <w:r w:rsidRPr="00222312">
              <w:rPr>
                <w:b/>
                <w:color w:val="000000"/>
                <w:spacing w:val="4"/>
                <w:w w:val="103"/>
                <w:sz w:val="17"/>
                <w:szCs w:val="17"/>
              </w:rPr>
              <w:t>202 749</w:t>
            </w:r>
          </w:p>
        </w:tc>
        <w:tc>
          <w:tcPr>
            <w:tcW w:w="1004" w:type="dxa"/>
            <w:tcBorders>
              <w:top w:val="single" w:sz="4" w:space="0" w:color="auto"/>
              <w:bottom w:val="single" w:sz="12" w:space="0" w:color="auto"/>
            </w:tcBorders>
            <w:vAlign w:val="bottom"/>
          </w:tcPr>
          <w:p w14:paraId="2D87AA85" w14:textId="77777777" w:rsidR="00B151FD" w:rsidRPr="00222312" w:rsidRDefault="00B151FD" w:rsidP="00D01797">
            <w:pPr>
              <w:pStyle w:val="SingleTxtG"/>
              <w:tabs>
                <w:tab w:val="clear" w:pos="1701"/>
                <w:tab w:val="clear" w:pos="2268"/>
                <w:tab w:val="clear" w:pos="2835"/>
                <w:tab w:val="left" w:pos="288"/>
                <w:tab w:val="left" w:pos="576"/>
                <w:tab w:val="left" w:pos="864"/>
                <w:tab w:val="left" w:pos="1152"/>
              </w:tabs>
              <w:suppressAutoHyphens w:val="0"/>
              <w:adjustRightInd/>
              <w:snapToGrid/>
              <w:spacing w:before="81" w:after="81" w:line="210" w:lineRule="exact"/>
              <w:ind w:left="0" w:right="43"/>
              <w:jc w:val="right"/>
              <w:rPr>
                <w:b/>
                <w:spacing w:val="4"/>
                <w:w w:val="103"/>
                <w:sz w:val="17"/>
                <w:szCs w:val="17"/>
              </w:rPr>
            </w:pPr>
            <w:r w:rsidRPr="00222312">
              <w:rPr>
                <w:b/>
                <w:color w:val="000000"/>
                <w:spacing w:val="4"/>
                <w:w w:val="103"/>
                <w:sz w:val="17"/>
                <w:szCs w:val="17"/>
              </w:rPr>
              <w:t>29 785</w:t>
            </w:r>
          </w:p>
        </w:tc>
      </w:tr>
    </w:tbl>
    <w:p w14:paraId="5E800A84" w14:textId="77777777" w:rsidR="00D14B5F" w:rsidRPr="00B151FD" w:rsidRDefault="00D14B5F" w:rsidP="00B151FD">
      <w:pPr>
        <w:pStyle w:val="SingleTxt"/>
        <w:spacing w:after="0" w:line="120" w:lineRule="exact"/>
        <w:rPr>
          <w:sz w:val="10"/>
        </w:rPr>
      </w:pPr>
    </w:p>
    <w:p w14:paraId="0FD0AAE6" w14:textId="77777777" w:rsidR="00B151FD" w:rsidRPr="00B151FD" w:rsidRDefault="00B151FD" w:rsidP="00B151FD">
      <w:pPr>
        <w:pStyle w:val="FootnoteText"/>
        <w:tabs>
          <w:tab w:val="clear" w:pos="418"/>
          <w:tab w:val="right" w:pos="1476"/>
          <w:tab w:val="left" w:pos="1548"/>
          <w:tab w:val="right" w:pos="1836"/>
          <w:tab w:val="left" w:pos="1908"/>
        </w:tabs>
        <w:ind w:left="1548" w:right="1267" w:hanging="288"/>
        <w:rPr>
          <w:lang w:val="es-ES"/>
        </w:rPr>
      </w:pPr>
      <w:r w:rsidRPr="00B151FD">
        <w:rPr>
          <w:i/>
          <w:iCs/>
          <w:lang w:val="es-ES"/>
        </w:rPr>
        <w:t>Fuente</w:t>
      </w:r>
      <w:r w:rsidRPr="00B151FD">
        <w:rPr>
          <w:lang w:val="es-ES"/>
        </w:rPr>
        <w:t>: Jefatura de Policía.</w:t>
      </w:r>
    </w:p>
    <w:p w14:paraId="5E38DCA3" w14:textId="77777777" w:rsidR="00B151FD" w:rsidRPr="00BF14E0" w:rsidRDefault="00B151FD" w:rsidP="00B151FD">
      <w:pPr>
        <w:pStyle w:val="SingleTxt"/>
        <w:spacing w:after="0" w:line="120" w:lineRule="exact"/>
        <w:rPr>
          <w:bCs/>
          <w:sz w:val="10"/>
          <w:lang w:val="es-ES"/>
        </w:rPr>
      </w:pPr>
      <w:bookmarkStart w:id="15" w:name="_Toc196047980"/>
      <w:bookmarkStart w:id="16" w:name="_Toc198161702"/>
    </w:p>
    <w:p w14:paraId="1E2258FC" w14:textId="77777777" w:rsidR="00B151FD" w:rsidRPr="00BF14E0" w:rsidRDefault="00B151FD" w:rsidP="00B151FD">
      <w:pPr>
        <w:pStyle w:val="SingleTxt"/>
        <w:spacing w:after="0" w:line="120" w:lineRule="exact"/>
        <w:rPr>
          <w:bCs/>
          <w:sz w:val="10"/>
          <w:lang w:val="es-ES"/>
        </w:rPr>
      </w:pPr>
    </w:p>
    <w:p w14:paraId="2AC1B3E4" w14:textId="77777777" w:rsidR="00B151FD" w:rsidRPr="00BF14E0" w:rsidRDefault="00B151FD" w:rsidP="00B151FD">
      <w:pPr>
        <w:pStyle w:val="SingleTxt"/>
        <w:spacing w:after="0" w:line="120" w:lineRule="exact"/>
        <w:rPr>
          <w:bCs/>
          <w:sz w:val="10"/>
          <w:lang w:val="es-ES"/>
        </w:rPr>
      </w:pPr>
    </w:p>
    <w:p w14:paraId="5338EC0E" w14:textId="26BC8EDE" w:rsidR="00B151FD" w:rsidRPr="00B151FD" w:rsidRDefault="00B151FD" w:rsidP="005744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B151FD">
        <w:rPr>
          <w:lang w:val="es-ES"/>
        </w:rPr>
        <w:tab/>
      </w:r>
      <w:r w:rsidRPr="00B151FD">
        <w:rPr>
          <w:lang w:val="es-ES"/>
        </w:rPr>
        <w:tab/>
        <w:t>Trata y explotación de la prostitución</w:t>
      </w:r>
      <w:bookmarkEnd w:id="15"/>
      <w:bookmarkEnd w:id="16"/>
    </w:p>
    <w:p w14:paraId="3AB58B56" w14:textId="77777777" w:rsidR="00B151FD" w:rsidRPr="00B151FD" w:rsidRDefault="00B151FD" w:rsidP="00E13B58">
      <w:pPr>
        <w:pStyle w:val="SingleTxt"/>
        <w:spacing w:after="0" w:line="120" w:lineRule="exact"/>
        <w:rPr>
          <w:sz w:val="10"/>
          <w:lang w:val="es-ES"/>
        </w:rPr>
      </w:pPr>
    </w:p>
    <w:p w14:paraId="19956F55" w14:textId="77777777" w:rsidR="00B151FD" w:rsidRPr="00B151FD" w:rsidRDefault="00B151FD" w:rsidP="00E13B58">
      <w:pPr>
        <w:pStyle w:val="SingleTxt"/>
        <w:spacing w:after="0" w:line="120" w:lineRule="exact"/>
        <w:rPr>
          <w:sz w:val="10"/>
          <w:lang w:val="es-ES"/>
        </w:rPr>
      </w:pPr>
    </w:p>
    <w:p w14:paraId="49C4BF42" w14:textId="2018BBF2" w:rsidR="00B151FD" w:rsidRPr="00B151FD" w:rsidRDefault="00B151FD" w:rsidP="00B151FD">
      <w:pPr>
        <w:pStyle w:val="SingleTxt"/>
        <w:numPr>
          <w:ilvl w:val="0"/>
          <w:numId w:val="26"/>
        </w:numPr>
        <w:ind w:left="1267"/>
        <w:rPr>
          <w:lang w:val="es-ES"/>
        </w:rPr>
      </w:pPr>
      <w:r w:rsidRPr="00B151FD">
        <w:rPr>
          <w:lang w:val="es-ES"/>
        </w:rPr>
        <w:t xml:space="preserve">Medidas legislativas: Bangladesh ha establecido un sólido marco nacional para combatir la trata de personas. Un amplio abanico de organismos públicos, incluidas las fuerzas del orden y Ministerios clave como el Ministerio del Interior y el Ministerio de Derecho, Justicia y Asuntos Parlamentarios, participan activamente en la lucha contra la trata de personas. La apertura en 2020 de siete tribunales especializados en combatir la trata de personas en el país reforzó aún más la capacidad del sistema de justicia penal para responder a la trata. Para reforzar la aplicación de la Ley de Prevención y Eliminación de la Trata de Personas de 2012, el Gobierno </w:t>
      </w:r>
      <w:r w:rsidRPr="00B151FD">
        <w:rPr>
          <w:lang w:val="es-ES"/>
        </w:rPr>
        <w:lastRenderedPageBreak/>
        <w:t>colabora con la sociedad civil para hacer cumplir las Normas de Prevención y Eliminación de la Trata de Personas de 2017.</w:t>
      </w:r>
    </w:p>
    <w:p w14:paraId="1BEA2F94" w14:textId="416AACAE" w:rsidR="00B151FD" w:rsidRPr="00B151FD" w:rsidRDefault="00B151FD" w:rsidP="00B151FD">
      <w:pPr>
        <w:pStyle w:val="SingleTxt"/>
        <w:numPr>
          <w:ilvl w:val="0"/>
          <w:numId w:val="26"/>
        </w:numPr>
        <w:ind w:left="1267"/>
        <w:rPr>
          <w:lang w:val="es-ES"/>
        </w:rPr>
      </w:pPr>
      <w:r w:rsidRPr="00B151FD">
        <w:rPr>
          <w:lang w:val="es-ES"/>
        </w:rPr>
        <w:t>La División de Seguridad Pública del Ministerio del Interior dirige un equipo de tareas sobre rescate, repatriación y reintegración de las víctimas de la trata de personas en el que participan el Gobierno, ONG y organizaciones internacionales. Las actividades del equipo de tareas incluyen el mantenimiento de una base de datos, la formación de la policía, la</w:t>
      </w:r>
      <w:r w:rsidR="00AE4701">
        <w:rPr>
          <w:lang w:val="es-ES"/>
        </w:rPr>
        <w:t xml:space="preserve"> </w:t>
      </w:r>
      <w:r w:rsidRPr="00B151FD">
        <w:rPr>
          <w:lang w:val="es-ES"/>
        </w:rPr>
        <w:t>guardia costera y la Border Guard Bangladesh (BGB), el rescate, la repatriación y la reintegración de las víctimas, y el apoyo a la subsistencia de las víctimas. Existe un Comité de Lucha contra la Trata en cada distrito.</w:t>
      </w:r>
    </w:p>
    <w:p w14:paraId="02300A20" w14:textId="7E695AB8" w:rsidR="00B151FD" w:rsidRPr="00B151FD" w:rsidRDefault="00B151FD" w:rsidP="00B151FD">
      <w:pPr>
        <w:pStyle w:val="SingleTxt"/>
        <w:numPr>
          <w:ilvl w:val="0"/>
          <w:numId w:val="26"/>
        </w:numPr>
        <w:ind w:left="1267"/>
        <w:rPr>
          <w:lang w:val="es-ES"/>
        </w:rPr>
      </w:pPr>
      <w:r w:rsidRPr="00B151FD">
        <w:rPr>
          <w:lang w:val="es-ES"/>
        </w:rPr>
        <w:t xml:space="preserve">Concienciación y capacitación: En 2022, Bangladesh llevó a cabo su primer </w:t>
      </w:r>
      <w:r w:rsidR="00ED40B4">
        <w:rPr>
          <w:lang w:val="es-ES"/>
        </w:rPr>
        <w:t>“</w:t>
      </w:r>
      <w:r w:rsidRPr="00B151FD">
        <w:rPr>
          <w:lang w:val="es-ES"/>
        </w:rPr>
        <w:t>Estudio nacional sobre la trata de personas</w:t>
      </w:r>
      <w:r w:rsidR="00ED40B4">
        <w:rPr>
          <w:lang w:val="es-ES"/>
        </w:rPr>
        <w:t>”</w:t>
      </w:r>
      <w:r w:rsidRPr="00B151FD">
        <w:rPr>
          <w:lang w:val="es-ES"/>
        </w:rPr>
        <w:t xml:space="preserve">, que estuvo dirigido por el Ministerio del Interior y fue un esfuerzo de colaboración emprendido en el marco del proyecto </w:t>
      </w:r>
      <w:r w:rsidR="00ED40B4">
        <w:rPr>
          <w:lang w:val="es-ES"/>
        </w:rPr>
        <w:t>“</w:t>
      </w:r>
      <w:r w:rsidRPr="00B151FD">
        <w:rPr>
          <w:lang w:val="es-ES"/>
        </w:rPr>
        <w:t>Acción Global contra la Trata de Personas y el Tráfico Ilícito de Migrantes – Bangladesh</w:t>
      </w:r>
      <w:r w:rsidR="00ED40B4">
        <w:rPr>
          <w:lang w:val="es-ES"/>
        </w:rPr>
        <w:t>”</w:t>
      </w:r>
      <w:r w:rsidRPr="00B151FD">
        <w:rPr>
          <w:lang w:val="es-ES"/>
        </w:rPr>
        <w:t xml:space="preserve"> (GLO.ACT). El proyecto lo encabezó la División de Seguridad Pública y lo ejecutaron en conjunto la Oficina de las Naciones Unidas contra la Droga y el Delito y la Organización Internacional para las Migraciones. El estudio ofrece un análisis de las tendencias, pautas y flujos de la trata hacia Bangladesh y dentro del país, así como de los movimientos de las víctimas de la trata desde Bangladesh a otras partes del mundo.</w:t>
      </w:r>
    </w:p>
    <w:p w14:paraId="08011A70" w14:textId="4F4E7C49" w:rsidR="00B151FD" w:rsidRPr="00B151FD" w:rsidRDefault="00B151FD" w:rsidP="00B151FD">
      <w:pPr>
        <w:pStyle w:val="SingleTxt"/>
        <w:numPr>
          <w:ilvl w:val="0"/>
          <w:numId w:val="26"/>
        </w:numPr>
        <w:ind w:left="1267"/>
        <w:rPr>
          <w:lang w:val="es-ES"/>
        </w:rPr>
      </w:pPr>
      <w:r w:rsidRPr="00B151FD">
        <w:rPr>
          <w:lang w:val="es-ES"/>
        </w:rPr>
        <w:t>El Gobierno ha seguido implementando, en colaboración con sus asociados, el Plan de Acción Nacional para la Prevención y Eliminación de la Trata de Personas (2018-2022), que se ha prorrogado hasta 2025</w:t>
      </w:r>
      <w:r w:rsidRPr="00B151FD">
        <w:rPr>
          <w:vertAlign w:val="superscript"/>
          <w:lang w:val="es-ES"/>
        </w:rPr>
        <w:footnoteReference w:id="37"/>
      </w:r>
      <w:r w:rsidRPr="00B151FD">
        <w:rPr>
          <w:lang w:val="es-ES"/>
        </w:rPr>
        <w:t>. El Plan incluye, por primera vez, una referencia a la trata nacional. Además, el Gobierno destinó 2 millones de takas (17.094 dólares de los Estados Unidos) a respaldar los esfuerzos para prevenir la trata, incluida la ejecución del Plan de Acción Nacional.</w:t>
      </w:r>
    </w:p>
    <w:p w14:paraId="2D5FDFA2" w14:textId="30DEAC3E" w:rsidR="00B151FD" w:rsidRPr="00B151FD" w:rsidRDefault="00B151FD" w:rsidP="00B151FD">
      <w:pPr>
        <w:pStyle w:val="SingleTxt"/>
        <w:numPr>
          <w:ilvl w:val="0"/>
          <w:numId w:val="26"/>
        </w:numPr>
        <w:ind w:left="1267"/>
        <w:rPr>
          <w:lang w:val="es-ES"/>
        </w:rPr>
      </w:pPr>
      <w:r w:rsidRPr="00B151FD">
        <w:rPr>
          <w:lang w:val="es-ES"/>
        </w:rPr>
        <w:t>El Gobierno ha seguido organizando campañas nacionales de concienciación en colaboración con ONG en medios impresos, la televisión y reuniones comunitarias. Además, los agentes de policía siguen recibiendo formación especializada a través de un módulo sobre la lucha contra la trata que se incorporó al plan de estudios de la academia de policía. En</w:t>
      </w:r>
      <w:r w:rsidR="00AE4701">
        <w:rPr>
          <w:lang w:val="es-ES"/>
        </w:rPr>
        <w:t xml:space="preserve"> </w:t>
      </w:r>
      <w:r w:rsidRPr="00B151FD">
        <w:rPr>
          <w:lang w:val="es-ES"/>
        </w:rPr>
        <w:t>2017, un total de 50.780 agentes de policía participaron en 148 programas de formación sobre la trata de personas.</w:t>
      </w:r>
    </w:p>
    <w:p w14:paraId="52130303" w14:textId="1765F703" w:rsidR="00B151FD" w:rsidRPr="00B151FD" w:rsidRDefault="00B151FD" w:rsidP="00B151FD">
      <w:pPr>
        <w:pStyle w:val="SingleTxt"/>
        <w:numPr>
          <w:ilvl w:val="0"/>
          <w:numId w:val="26"/>
        </w:numPr>
        <w:ind w:left="1267"/>
        <w:rPr>
          <w:lang w:val="es-ES"/>
        </w:rPr>
      </w:pPr>
      <w:r w:rsidRPr="00B151FD">
        <w:rPr>
          <w:lang w:val="es-ES"/>
        </w:rPr>
        <w:t>El Gobierno ha colaborado con el Grupo de Coordinación Intersectorial para divulgar mensajes de concienciación sobre la trata de personas entre los desplazados forzosos nacionales de Myanmar y las comunidades de acogida, y facilitar el acceso de las organizaciones internacionales y la sociedad civil para que lleven a cabo actividades de concienciación contra la trata en los campamentos de rohinyás. Se formuló un plan de respuesta conjunta a la crisis humanitaria de los rohinyás para 2025-2026 que articula la visión compartida de la forma en que la comunidad humanitaria responderá a las necesidades evaluadas y expresadas de los desplazados forzosos nacionales de Myanmar y de las comunidades de acogida afectadas, introduciendo al mismo tiempo enfoques más sostenibles</w:t>
      </w:r>
      <w:r w:rsidRPr="00B151FD">
        <w:rPr>
          <w:vertAlign w:val="superscript"/>
          <w:lang w:val="es-ES"/>
        </w:rPr>
        <w:footnoteReference w:id="38"/>
      </w:r>
      <w:r w:rsidRPr="00B151FD">
        <w:rPr>
          <w:lang w:val="es-ES"/>
        </w:rPr>
        <w:t>.</w:t>
      </w:r>
    </w:p>
    <w:p w14:paraId="3E676B62" w14:textId="5BB2A6FE" w:rsidR="00B151FD" w:rsidRPr="00B151FD" w:rsidRDefault="00B151FD" w:rsidP="00B151FD">
      <w:pPr>
        <w:pStyle w:val="SingleTxt"/>
        <w:numPr>
          <w:ilvl w:val="0"/>
          <w:numId w:val="26"/>
        </w:numPr>
        <w:ind w:left="1267"/>
        <w:rPr>
          <w:lang w:val="es-ES"/>
        </w:rPr>
      </w:pPr>
      <w:r w:rsidRPr="00B151FD">
        <w:rPr>
          <w:lang w:val="es-ES"/>
        </w:rPr>
        <w:t xml:space="preserve">En el cuartel general de la policía se ha creado la Célula de Vigilancia para la Prevención de la Trata de Personas con el fin de monitorear sobre el terreno las actividades emprendidas por la Policía de Bangladesh para combatir la trata. Desde esta Célula se dan instrucciones para prevenir la trata de personas. Además, la Policía de Bangladesh está llevando a cabo actividades de concienciación conexas a escala </w:t>
      </w:r>
      <w:r w:rsidRPr="00B151FD">
        <w:rPr>
          <w:lang w:val="es-ES"/>
        </w:rPr>
        <w:lastRenderedPageBreak/>
        <w:t>local a través de la policía de proximidad y de rondas de policía. Por otra parte, la BGB ha seguido trabajando por reducir la trata de personas a través de la frontera.</w:t>
      </w:r>
    </w:p>
    <w:p w14:paraId="208F764E" w14:textId="4BF499FA" w:rsidR="00B151FD" w:rsidRPr="00B151FD" w:rsidRDefault="00B151FD" w:rsidP="00B151FD">
      <w:pPr>
        <w:pStyle w:val="SingleTxt"/>
        <w:numPr>
          <w:ilvl w:val="0"/>
          <w:numId w:val="26"/>
        </w:numPr>
        <w:ind w:left="1267"/>
        <w:rPr>
          <w:lang w:val="es-ES"/>
        </w:rPr>
      </w:pPr>
      <w:bookmarkStart w:id="17" w:name="_Hlk124982266"/>
      <w:r w:rsidRPr="00B151FD">
        <w:rPr>
          <w:lang w:val="es-ES"/>
        </w:rPr>
        <w:t>El objetivo principal de la Oficina de Asuntos de las ONG es proporcionar un servicio integral a las ONG que funcionan con asistencia exterior y están registradas en virtud de la Ley de Regulación de las Donaciones (Actividades Voluntarias) Extranjeras de 2016. Además, la Oficina apoya las actividades de las ONG en el país y garantiza que rindan cuentas ante el Estado y, en última instancia, la población. La Oficina aprobó varios proyectos de ONG que se ocupan de la rehabilitación y la prevención de la violencia contra las prostitutas y sus hijos.</w:t>
      </w:r>
      <w:bookmarkEnd w:id="17"/>
    </w:p>
    <w:p w14:paraId="54C40541" w14:textId="77777777" w:rsidR="00B151FD" w:rsidRPr="00B151FD" w:rsidRDefault="00B151FD" w:rsidP="00B151FD">
      <w:pPr>
        <w:pStyle w:val="SingleTxt"/>
        <w:spacing w:after="0" w:line="120" w:lineRule="exact"/>
        <w:rPr>
          <w:sz w:val="10"/>
          <w:lang w:val="es-ES"/>
        </w:rPr>
      </w:pPr>
      <w:bookmarkStart w:id="18" w:name="_Toc196047981"/>
      <w:bookmarkStart w:id="19" w:name="_Toc198161703"/>
    </w:p>
    <w:p w14:paraId="4D789143" w14:textId="77777777" w:rsidR="00B151FD" w:rsidRPr="00B151FD" w:rsidRDefault="00B151FD" w:rsidP="00B151FD">
      <w:pPr>
        <w:pStyle w:val="SingleTxt"/>
        <w:spacing w:after="0" w:line="120" w:lineRule="exact"/>
        <w:rPr>
          <w:sz w:val="10"/>
          <w:lang w:val="es-ES"/>
        </w:rPr>
      </w:pPr>
    </w:p>
    <w:p w14:paraId="3ABA50CC" w14:textId="7F0A695A" w:rsidR="00B151FD" w:rsidRPr="00B151FD" w:rsidRDefault="00B151FD" w:rsidP="00B15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B151FD">
        <w:rPr>
          <w:lang w:val="es-ES"/>
        </w:rPr>
        <w:tab/>
      </w:r>
      <w:r w:rsidRPr="00B151FD">
        <w:rPr>
          <w:lang w:val="es-ES"/>
        </w:rPr>
        <w:tab/>
        <w:t>Participación en la vida política y pública</w:t>
      </w:r>
      <w:bookmarkEnd w:id="18"/>
      <w:bookmarkEnd w:id="19"/>
    </w:p>
    <w:p w14:paraId="19A0747F" w14:textId="77777777" w:rsidR="00B151FD" w:rsidRPr="00B151FD" w:rsidRDefault="00B151FD" w:rsidP="00B151FD">
      <w:pPr>
        <w:pStyle w:val="SingleTxt"/>
        <w:spacing w:after="0" w:line="120" w:lineRule="exact"/>
        <w:rPr>
          <w:sz w:val="10"/>
          <w:lang w:val="es-ES"/>
        </w:rPr>
      </w:pPr>
    </w:p>
    <w:p w14:paraId="4AFCB7EE" w14:textId="77777777" w:rsidR="00B151FD" w:rsidRPr="00B151FD" w:rsidRDefault="00B151FD" w:rsidP="00B151FD">
      <w:pPr>
        <w:pStyle w:val="SingleTxt"/>
        <w:spacing w:after="0" w:line="120" w:lineRule="exact"/>
        <w:rPr>
          <w:sz w:val="10"/>
          <w:lang w:val="es-ES"/>
        </w:rPr>
      </w:pPr>
    </w:p>
    <w:p w14:paraId="18BA805F" w14:textId="4C9D5610" w:rsidR="00B151FD" w:rsidRPr="00B151FD" w:rsidRDefault="00B151FD" w:rsidP="00B151FD">
      <w:pPr>
        <w:pStyle w:val="SingleTxt"/>
        <w:numPr>
          <w:ilvl w:val="0"/>
          <w:numId w:val="26"/>
        </w:numPr>
        <w:ind w:left="1267"/>
        <w:rPr>
          <w:lang w:val="es-ES"/>
        </w:rPr>
      </w:pPr>
      <w:r w:rsidRPr="00B151FD">
        <w:rPr>
          <w:lang w:val="es-ES"/>
        </w:rPr>
        <w:t>En 2018, a través de la 17ª Enmienda de la Constitución, Bangladesh amplió la medida de reservar 50 escaños parlamentarios exclusivamente para mujeres durante otros 25 años. Según la Constitución, el Parlamento consta de 300 miembros elegidos directamente, junto con 50 escaños reservados para mujeres que se asignan a los partidos políticos en función de su representación proporcional en la Cámara. La Política Nacional para el Adelanto de las Mujeres de 2011 pretende aumentar la representación de las mujeres hasta el 33</w:t>
      </w:r>
      <w:r w:rsidR="00ED40B4">
        <w:rPr>
          <w:lang w:val="es-ES"/>
        </w:rPr>
        <w:t> %</w:t>
      </w:r>
      <w:r w:rsidRPr="00B151FD">
        <w:rPr>
          <w:lang w:val="es-ES"/>
        </w:rPr>
        <w:t xml:space="preserve"> e</w:t>
      </w:r>
      <w:r w:rsidR="00AE4701">
        <w:rPr>
          <w:lang w:val="es-ES"/>
        </w:rPr>
        <w:t xml:space="preserve"> </w:t>
      </w:r>
      <w:r w:rsidRPr="00B151FD">
        <w:rPr>
          <w:lang w:val="es-ES"/>
        </w:rPr>
        <w:t>introducir la elección por sufragio directo para los escaños ampliados.</w:t>
      </w:r>
    </w:p>
    <w:p w14:paraId="45DB8352" w14:textId="7A28ACEB" w:rsidR="00B151FD" w:rsidRPr="00B151FD" w:rsidRDefault="00B151FD" w:rsidP="00B151FD">
      <w:pPr>
        <w:pStyle w:val="SingleTxt"/>
        <w:numPr>
          <w:ilvl w:val="0"/>
          <w:numId w:val="26"/>
        </w:numPr>
        <w:ind w:left="1267"/>
        <w:rPr>
          <w:lang w:val="es-ES"/>
        </w:rPr>
      </w:pPr>
      <w:r w:rsidRPr="00B151FD">
        <w:rPr>
          <w:lang w:val="es-ES"/>
        </w:rPr>
        <w:t>El índice de paridad de género en el ámbito del empoderamiento político de Bangladesh es el más alto de la región de Asia Meridional (54,3</w:t>
      </w:r>
      <w:r w:rsidR="00ED40B4">
        <w:rPr>
          <w:lang w:val="es-ES"/>
        </w:rPr>
        <w:t> %</w:t>
      </w:r>
      <w:r w:rsidRPr="00B151FD">
        <w:rPr>
          <w:lang w:val="es-ES"/>
        </w:rPr>
        <w:t>) y el séptimo del mundo. Bangladesh ha avanzado de forma considerable hacia el aumento de la representación de las mujeres en puestos políticos y de liderazgo al reservar 50</w:t>
      </w:r>
      <w:r w:rsidR="005C0307">
        <w:rPr>
          <w:lang w:val="es-ES"/>
        </w:rPr>
        <w:t> </w:t>
      </w:r>
      <w:r w:rsidRPr="00B151FD">
        <w:rPr>
          <w:lang w:val="es-ES"/>
        </w:rPr>
        <w:t>escaños en el Parlamento para mujeres y apoyar de forma activa su participación en los procesos de toma de decisiones. El</w:t>
      </w:r>
      <w:r w:rsidR="00AE4701">
        <w:rPr>
          <w:lang w:val="es-ES"/>
        </w:rPr>
        <w:t xml:space="preserve"> </w:t>
      </w:r>
      <w:r w:rsidRPr="00B151FD">
        <w:rPr>
          <w:lang w:val="es-ES"/>
        </w:rPr>
        <w:t xml:space="preserve">Gobierno interino actual cuenta con cuatro asesoras. En la Administración local se ha creado un puesto de Vicepresidenta en el </w:t>
      </w:r>
      <w:r w:rsidRPr="00B151FD">
        <w:rPr>
          <w:i/>
          <w:iCs/>
          <w:lang w:val="es-ES"/>
        </w:rPr>
        <w:t>upazila Parished Parishad</w:t>
      </w:r>
      <w:r w:rsidRPr="00B151FD">
        <w:rPr>
          <w:lang w:val="es-ES"/>
        </w:rPr>
        <w:t xml:space="preserve"> (Consejo de Subdistrito), el </w:t>
      </w:r>
      <w:r w:rsidRPr="00B151FD">
        <w:rPr>
          <w:i/>
          <w:iCs/>
          <w:lang w:val="es-ES"/>
        </w:rPr>
        <w:t>union Parishad</w:t>
      </w:r>
      <w:r w:rsidRPr="00B151FD">
        <w:rPr>
          <w:lang w:val="es-ES"/>
        </w:rPr>
        <w:t>, el municipio y la corporación municipal. Además, se reserva un tercio de los puestos de miembro o concejal a las mujeres, lo cual supone una modificación respecto a la Ley de la Administración local de 2009.</w:t>
      </w:r>
    </w:p>
    <w:p w14:paraId="1149AD38" w14:textId="671B12F9" w:rsidR="00B151FD" w:rsidRPr="00B151FD" w:rsidRDefault="00B151FD" w:rsidP="00B151FD">
      <w:pPr>
        <w:pStyle w:val="SingleTxt"/>
        <w:numPr>
          <w:ilvl w:val="0"/>
          <w:numId w:val="26"/>
        </w:numPr>
        <w:ind w:left="1267"/>
        <w:rPr>
          <w:lang w:val="es-ES"/>
        </w:rPr>
      </w:pPr>
      <w:r w:rsidRPr="00B151FD">
        <w:rPr>
          <w:lang w:val="es-ES"/>
        </w:rPr>
        <w:t>Se ha producido un aumento constante de la participación y la representación de las mujeres en la vida pública y en los puestos decisorios en todos los sectores. En 2022, el</w:t>
      </w:r>
      <w:r w:rsidR="00AE4701">
        <w:rPr>
          <w:lang w:val="es-ES"/>
        </w:rPr>
        <w:t xml:space="preserve"> </w:t>
      </w:r>
      <w:r w:rsidRPr="00B151FD">
        <w:rPr>
          <w:lang w:val="es-ES"/>
        </w:rPr>
        <w:t>porcentaje de mujeres que trabajaban en los bancos oficiales era del 16,29</w:t>
      </w:r>
      <w:r w:rsidR="00ED40B4">
        <w:rPr>
          <w:lang w:val="es-ES"/>
        </w:rPr>
        <w:t> %</w:t>
      </w:r>
      <w:r w:rsidRPr="00B151FD">
        <w:rPr>
          <w:lang w:val="es-ES"/>
        </w:rPr>
        <w:t xml:space="preserve"> del total de empleados, una cifra que aumentó hasta el 16,35</w:t>
      </w:r>
      <w:r w:rsidR="00ED40B4">
        <w:rPr>
          <w:lang w:val="es-ES"/>
        </w:rPr>
        <w:t> %</w:t>
      </w:r>
      <w:r w:rsidRPr="00B151FD">
        <w:rPr>
          <w:lang w:val="es-ES"/>
        </w:rPr>
        <w:t xml:space="preserve"> en 2023 gracias a que el Banco de Bangladesh ha estado vigilando la situación de cerca</w:t>
      </w:r>
      <w:r w:rsidRPr="00B151FD">
        <w:rPr>
          <w:vertAlign w:val="superscript"/>
          <w:lang w:val="es-ES"/>
        </w:rPr>
        <w:footnoteReference w:id="39"/>
      </w:r>
      <w:r w:rsidRPr="00B151FD">
        <w:rPr>
          <w:lang w:val="es-ES"/>
        </w:rPr>
        <w:t>. Tanto en el sector militar como en el civil, se están asignando a mujeres oficiales para puestos de responsabilidad, por ejemplo como Generales de División. Además, las mujeres ocupan en la actualidad cargos de secretarias, juezas de tribunales superiores y vicerrectoras de universidades. El número de mujeres que ingresan en el servicio exterior es mayor que nunca. En 2024, había 8</w:t>
      </w:r>
      <w:r w:rsidR="00AE4701">
        <w:rPr>
          <w:lang w:val="es-ES"/>
        </w:rPr>
        <w:t xml:space="preserve"> </w:t>
      </w:r>
      <w:r w:rsidRPr="00B151FD">
        <w:rPr>
          <w:lang w:val="es-ES"/>
        </w:rPr>
        <w:t>Embajadoras prestando servicio fuera de Bangladesh, en diferentes países, lo que supone un aumento respecto a 5</w:t>
      </w:r>
      <w:r w:rsidR="005C0307">
        <w:rPr>
          <w:lang w:val="es-ES"/>
        </w:rPr>
        <w:t> </w:t>
      </w:r>
      <w:r w:rsidRPr="00B151FD">
        <w:rPr>
          <w:lang w:val="es-ES"/>
        </w:rPr>
        <w:t>Embajadoras en 2017.</w:t>
      </w:r>
    </w:p>
    <w:p w14:paraId="5286FB4F" w14:textId="298D5796" w:rsidR="00B151FD" w:rsidRPr="00B151FD" w:rsidRDefault="00B151FD" w:rsidP="00B151FD">
      <w:pPr>
        <w:pStyle w:val="SingleTxt"/>
        <w:numPr>
          <w:ilvl w:val="0"/>
          <w:numId w:val="26"/>
        </w:numPr>
        <w:ind w:left="1267"/>
        <w:rPr>
          <w:lang w:val="es-ES"/>
        </w:rPr>
      </w:pPr>
      <w:r w:rsidRPr="00B151FD">
        <w:rPr>
          <w:lang w:val="es-ES"/>
        </w:rPr>
        <w:t>Bangladesh ha aumentado las oportunidades de empleo para mujeres en ámbitos que suelen estar dominados por los hombres, como las fuerzas armadas y la aviación civil. La</w:t>
      </w:r>
      <w:r w:rsidR="00AE4701">
        <w:rPr>
          <w:lang w:val="es-ES"/>
        </w:rPr>
        <w:t xml:space="preserve"> </w:t>
      </w:r>
      <w:r w:rsidRPr="00B151FD">
        <w:rPr>
          <w:lang w:val="es-ES"/>
        </w:rPr>
        <w:t>Empresa de Transporte por Carretera ha impartido formación sobre reparaciones de carrocería, pintura, soldadura y conducción. Hasta el 2018, un total de 2.741 mujeres habían recibido formación a través de 4</w:t>
      </w:r>
      <w:r w:rsidR="00AE4701">
        <w:rPr>
          <w:lang w:val="es-ES"/>
        </w:rPr>
        <w:t xml:space="preserve"> </w:t>
      </w:r>
      <w:r w:rsidRPr="00B151FD">
        <w:rPr>
          <w:lang w:val="es-ES"/>
        </w:rPr>
        <w:t>centros de capacitación y 15 academias de formación de conductores de la Empresa. En el ejercicio económico</w:t>
      </w:r>
      <w:r w:rsidR="00B85EEB">
        <w:rPr>
          <w:lang w:val="es-ES"/>
        </w:rPr>
        <w:t> </w:t>
      </w:r>
      <w:r w:rsidRPr="00B151FD">
        <w:rPr>
          <w:lang w:val="es-ES"/>
        </w:rPr>
        <w:t>2022/2023, un total de 98.581</w:t>
      </w:r>
      <w:r w:rsidR="00AE4701">
        <w:rPr>
          <w:lang w:val="es-ES"/>
        </w:rPr>
        <w:t xml:space="preserve"> </w:t>
      </w:r>
      <w:r w:rsidRPr="00B151FD">
        <w:rPr>
          <w:lang w:val="es-ES"/>
        </w:rPr>
        <w:t xml:space="preserve">personas, entre ellas, 8.289 mujeres, </w:t>
      </w:r>
      <w:r w:rsidRPr="00B151FD">
        <w:rPr>
          <w:lang w:val="es-ES"/>
        </w:rPr>
        <w:lastRenderedPageBreak/>
        <w:t>recibieron formación en conducción a través de diversos institutos y centros gestionados por la Empresa</w:t>
      </w:r>
      <w:r w:rsidRPr="00B151FD">
        <w:rPr>
          <w:vertAlign w:val="superscript"/>
          <w:lang w:val="es-ES"/>
        </w:rPr>
        <w:footnoteReference w:id="40"/>
      </w:r>
      <w:r w:rsidRPr="00B151FD">
        <w:rPr>
          <w:lang w:val="es-ES"/>
        </w:rPr>
        <w:t>. En 2021, el Gobierno tomó la iniciativa de impartir formación sobre conducción a 1.440 mujeres de siete ciudades de distintas divisiones para que consiguieran solvencia económica</w:t>
      </w:r>
      <w:r w:rsidRPr="00B151FD">
        <w:rPr>
          <w:vertAlign w:val="superscript"/>
          <w:lang w:val="es-ES"/>
        </w:rPr>
        <w:footnoteReference w:id="41"/>
      </w:r>
      <w:r w:rsidRPr="00B151FD">
        <w:rPr>
          <w:lang w:val="es-ES"/>
        </w:rPr>
        <w:t>.</w:t>
      </w:r>
    </w:p>
    <w:p w14:paraId="1F63E7DC" w14:textId="042DA2FA" w:rsidR="00B151FD" w:rsidRPr="00B151FD" w:rsidRDefault="00B151FD" w:rsidP="00B151FD">
      <w:pPr>
        <w:pStyle w:val="SingleTxt"/>
        <w:numPr>
          <w:ilvl w:val="0"/>
          <w:numId w:val="26"/>
        </w:numPr>
        <w:ind w:left="1267"/>
        <w:rPr>
          <w:lang w:val="es-ES"/>
        </w:rPr>
      </w:pPr>
      <w:r w:rsidRPr="00B151FD">
        <w:rPr>
          <w:lang w:val="es-ES"/>
        </w:rPr>
        <w:t>Bangladesh ha emprendido cuantiosas medidas para aumentar la expresión y la participación de las mujeres en la toma de decisiones en los medios de comunicación, entre otras cosas mediante las TIC. El</w:t>
      </w:r>
      <w:r w:rsidR="00AE4701">
        <w:rPr>
          <w:lang w:val="es-ES"/>
        </w:rPr>
        <w:t xml:space="preserve"> </w:t>
      </w:r>
      <w:r w:rsidRPr="00B151FD">
        <w:rPr>
          <w:lang w:val="es-ES"/>
        </w:rPr>
        <w:t xml:space="preserve">Gobierno ha hecho especial hincapié en el uso de la tecnología de la información en muchos ámbitos, como los negocios, la educación, la agricultura, las actividades sociales y políticas, y el empoderamiento de las mujeres en los medios de comunicación. El país ha llevado a cabo varias iniciativas para mejorar el acceso, la asequibilidad y el uso de las TIC por parte de las mujeres y las niñas. El proyecto </w:t>
      </w:r>
      <w:r w:rsidR="00ED40B4">
        <w:rPr>
          <w:lang w:val="es-ES"/>
        </w:rPr>
        <w:t>“</w:t>
      </w:r>
      <w:r w:rsidRPr="00B151FD">
        <w:rPr>
          <w:lang w:val="es-ES"/>
        </w:rPr>
        <w:t>Her Power</w:t>
      </w:r>
      <w:r w:rsidR="00ED40B4">
        <w:rPr>
          <w:lang w:val="es-ES"/>
        </w:rPr>
        <w:t>”</w:t>
      </w:r>
      <w:r w:rsidRPr="00B151FD">
        <w:rPr>
          <w:lang w:val="es-ES"/>
        </w:rPr>
        <w:t>, que abarcó de julio de 2022 a junio de 2025, dio prioridad al trabajo autónomo en todo el país en cuatro categorías: mujeres autónomas, mujeres proveedoras de servicios informáticos, mujeres profesionales del comercio electrónico y mujeres agentes en centros de llamadas.</w:t>
      </w:r>
    </w:p>
    <w:p w14:paraId="56C29473" w14:textId="526DFBDA" w:rsidR="00B151FD" w:rsidRPr="00B151FD" w:rsidRDefault="00B151FD" w:rsidP="00B151FD">
      <w:pPr>
        <w:pStyle w:val="SingleTxt"/>
        <w:numPr>
          <w:ilvl w:val="0"/>
          <w:numId w:val="26"/>
        </w:numPr>
        <w:ind w:left="1267"/>
        <w:rPr>
          <w:lang w:val="es-ES"/>
        </w:rPr>
      </w:pPr>
      <w:bookmarkStart w:id="20" w:name="_Hlk208144756"/>
      <w:r w:rsidRPr="00B151FD">
        <w:rPr>
          <w:lang w:val="es-ES"/>
        </w:rPr>
        <w:t>El Gobierno reconoce que, pese a haber emprendido múltiples iniciativas, las mujeres siguen teniendo dificultades para adquirir experiencia de liderazgo debido a los roles tradicionales de género, que dificultan su participación en las esferas públicas. El informe de la encuesta sobre el uso del tiempo de 2021 destaca la carga desproporcionada de trabajo doméstico y de cuidados no remunerado que soportan las mujeres. Estas dedican 4,6 horas al trabajo doméstico no remunerado, frente a 0,6</w:t>
      </w:r>
      <w:r w:rsidR="005C0307">
        <w:rPr>
          <w:lang w:val="es-ES"/>
        </w:rPr>
        <w:t> </w:t>
      </w:r>
      <w:r w:rsidRPr="00B151FD">
        <w:rPr>
          <w:lang w:val="es-ES"/>
        </w:rPr>
        <w:t>horas en el caso de los hombres, y 1,2 horas al trabajo de cuidados no remunerado, frente a 0,2 horas que dedican los hombres. En total, las mujeres se encargan de estas responsabilidades durante 5,9 horas diarias, una cifra más de siete veces superior a las 0,8 horas que acumulan los hombres.</w:t>
      </w:r>
    </w:p>
    <w:p w14:paraId="7653D7EB" w14:textId="77777777" w:rsidR="00B151FD" w:rsidRPr="00B151FD" w:rsidRDefault="00B151FD" w:rsidP="00B151FD">
      <w:pPr>
        <w:pStyle w:val="SingleTxt"/>
        <w:spacing w:after="0" w:line="120" w:lineRule="exact"/>
        <w:rPr>
          <w:sz w:val="10"/>
          <w:lang w:val="es-ES"/>
        </w:rPr>
      </w:pPr>
      <w:bookmarkStart w:id="21" w:name="_Toc196047982"/>
      <w:bookmarkStart w:id="22" w:name="_Toc198161704"/>
      <w:bookmarkEnd w:id="20"/>
    </w:p>
    <w:p w14:paraId="57B0A1FB" w14:textId="77777777" w:rsidR="00B151FD" w:rsidRPr="00B151FD" w:rsidRDefault="00B151FD" w:rsidP="00B151FD">
      <w:pPr>
        <w:pStyle w:val="SingleTxt"/>
        <w:spacing w:after="0" w:line="120" w:lineRule="exact"/>
        <w:rPr>
          <w:sz w:val="10"/>
          <w:lang w:val="es-ES"/>
        </w:rPr>
      </w:pPr>
    </w:p>
    <w:p w14:paraId="01C5DC18" w14:textId="424FF826" w:rsidR="00B151FD" w:rsidRPr="00B151FD" w:rsidRDefault="00B151FD" w:rsidP="00B151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tab/>
      </w:r>
      <w:r>
        <w:rPr>
          <w:lang w:val="es-ES"/>
        </w:rPr>
        <w:tab/>
      </w:r>
      <w:r w:rsidRPr="00B151FD">
        <w:rPr>
          <w:lang w:val="es-ES"/>
        </w:rPr>
        <w:t>Educación</w:t>
      </w:r>
      <w:bookmarkEnd w:id="21"/>
      <w:bookmarkEnd w:id="22"/>
    </w:p>
    <w:p w14:paraId="547701D6" w14:textId="77777777" w:rsidR="00B151FD" w:rsidRPr="00B151FD" w:rsidRDefault="00B151FD" w:rsidP="00B151FD">
      <w:pPr>
        <w:pStyle w:val="SingleTxt"/>
        <w:spacing w:after="0" w:line="120" w:lineRule="exact"/>
        <w:rPr>
          <w:sz w:val="10"/>
          <w:lang w:val="es-ES"/>
        </w:rPr>
      </w:pPr>
    </w:p>
    <w:p w14:paraId="137D370B" w14:textId="77777777" w:rsidR="00B151FD" w:rsidRPr="00B151FD" w:rsidRDefault="00B151FD" w:rsidP="00B151FD">
      <w:pPr>
        <w:pStyle w:val="SingleTxt"/>
        <w:spacing w:after="0" w:line="120" w:lineRule="exact"/>
        <w:rPr>
          <w:sz w:val="10"/>
          <w:lang w:val="es-ES"/>
        </w:rPr>
      </w:pPr>
    </w:p>
    <w:p w14:paraId="1E992FCE" w14:textId="429CBD3B" w:rsidR="00B151FD" w:rsidRPr="00B151FD" w:rsidRDefault="00B151FD" w:rsidP="00B151FD">
      <w:pPr>
        <w:pStyle w:val="SingleTxt"/>
        <w:numPr>
          <w:ilvl w:val="0"/>
          <w:numId w:val="26"/>
        </w:numPr>
        <w:ind w:left="1267"/>
        <w:rPr>
          <w:lang w:val="es-ES"/>
        </w:rPr>
      </w:pPr>
      <w:r w:rsidRPr="00B151FD">
        <w:rPr>
          <w:lang w:val="es-ES"/>
        </w:rPr>
        <w:t xml:space="preserve">La Constitución de Bangladesh garantiza la educación gratuita y obligatoria para todos los niños (artículo 17). Para impulsar la educación de las niñas, la Política Nacional de Educación introdujo la iniciativa </w:t>
      </w:r>
      <w:r w:rsidR="00ED40B4">
        <w:rPr>
          <w:lang w:val="es-ES"/>
        </w:rPr>
        <w:t>“</w:t>
      </w:r>
      <w:r w:rsidRPr="00B151FD">
        <w:rPr>
          <w:lang w:val="es-ES"/>
        </w:rPr>
        <w:t>Educación para Todos</w:t>
      </w:r>
      <w:r w:rsidR="00ED40B4">
        <w:rPr>
          <w:lang w:val="es-ES"/>
        </w:rPr>
        <w:t>”</w:t>
      </w:r>
      <w:r w:rsidRPr="00B151FD">
        <w:rPr>
          <w:lang w:val="es-ES"/>
        </w:rPr>
        <w:t>, según la cual se fijó la obligatoriedad de la educación primaria, se distribuyeron de forma gratuita libros de texto y se estableció la educación gratuita para las niñas hasta la clase XII en los centros públicos.</w:t>
      </w:r>
    </w:p>
    <w:p w14:paraId="75CBB652" w14:textId="523091C1" w:rsidR="00B151FD" w:rsidRPr="00B151FD" w:rsidRDefault="00B151FD" w:rsidP="00B151FD">
      <w:pPr>
        <w:pStyle w:val="SingleTxt"/>
        <w:numPr>
          <w:ilvl w:val="0"/>
          <w:numId w:val="26"/>
        </w:numPr>
        <w:ind w:left="1267"/>
        <w:rPr>
          <w:lang w:val="es-ES"/>
        </w:rPr>
      </w:pPr>
      <w:r w:rsidRPr="00B151FD">
        <w:rPr>
          <w:lang w:val="es-ES"/>
        </w:rPr>
        <w:t>Bangladesh sigue aplicando la Política de Educación de 2010, que pretende mejorar el logro educativo de las niñas, reducir la brecha entre las oportunidades y los índices educativos de las niñas y los niños, e integrar a las mujeres en la trayectoria principal de desarrollo. Además, el país está implementando la Política Nacional sobre la Tecnología de la Información y las Comunicaciones de 2018, cuyo propósito es ofrecer a las estudiantes un conocimiento profundo sobre la TIC en el marco de los esfuerzos en materia de adelanto de las mujeres.</w:t>
      </w:r>
    </w:p>
    <w:p w14:paraId="231E5962" w14:textId="1A6EE676" w:rsidR="00B151FD" w:rsidRPr="00B151FD" w:rsidRDefault="00B151FD" w:rsidP="00B151FD">
      <w:pPr>
        <w:pStyle w:val="SingleTxt"/>
        <w:numPr>
          <w:ilvl w:val="0"/>
          <w:numId w:val="26"/>
        </w:numPr>
        <w:ind w:left="1267"/>
        <w:rPr>
          <w:lang w:val="es-ES"/>
        </w:rPr>
      </w:pPr>
      <w:r w:rsidRPr="00B151FD">
        <w:rPr>
          <w:lang w:val="es-ES"/>
        </w:rPr>
        <w:t>El Gobierno creó el Fondo Fiduciario de Asistencia Educativa para proporcionar ayuda financiera a los estudiantes meritorios pobres. Además, puso en marcha el Cuarto Programa de Desarrollo de la Educación Primaria (2019-2023) para ofrecer educación de calidad a todas las personas.</w:t>
      </w:r>
    </w:p>
    <w:p w14:paraId="5E57C62A" w14:textId="087D8FE8" w:rsidR="00B151FD" w:rsidRPr="00B151FD" w:rsidRDefault="00B151FD" w:rsidP="00B151FD">
      <w:pPr>
        <w:pStyle w:val="SingleTxt"/>
        <w:numPr>
          <w:ilvl w:val="0"/>
          <w:numId w:val="26"/>
        </w:numPr>
        <w:ind w:left="1267"/>
        <w:rPr>
          <w:lang w:val="es-ES"/>
        </w:rPr>
      </w:pPr>
      <w:r w:rsidRPr="00B151FD">
        <w:rPr>
          <w:lang w:val="es-ES"/>
        </w:rPr>
        <w:t xml:space="preserve">El Gobierno ha puesto en marcha diversos programas para la distribución equitativa de la educación primaria, entre ellos un programa de becas para 13 millones de estudiantes con el fin de construir instalaciones de saneamiento adecuadas y </w:t>
      </w:r>
      <w:r w:rsidRPr="00B151FD">
        <w:rPr>
          <w:lang w:val="es-ES"/>
        </w:rPr>
        <w:lastRenderedPageBreak/>
        <w:t>estructuras de apoyo para los niños con necesidades especiales</w:t>
      </w:r>
      <w:r w:rsidRPr="00B151FD">
        <w:rPr>
          <w:vertAlign w:val="superscript"/>
          <w:lang w:val="es-ES"/>
        </w:rPr>
        <w:footnoteReference w:id="42"/>
      </w:r>
      <w:r w:rsidRPr="00B151FD">
        <w:rPr>
          <w:lang w:val="es-ES"/>
        </w:rPr>
        <w:t>. Entre 2013 y 2023, el Fondo Fiduciario de Asistencia Educativa concedió 8.329.838.860 becas a 15.529.799 estudiantes de grado (aprobado) y niveles comparables, de los cuales un 75</w:t>
      </w:r>
      <w:r w:rsidR="00ED40B4">
        <w:rPr>
          <w:lang w:val="es-ES"/>
        </w:rPr>
        <w:t> %</w:t>
      </w:r>
      <w:r w:rsidRPr="00B151FD">
        <w:rPr>
          <w:lang w:val="es-ES"/>
        </w:rPr>
        <w:t xml:space="preserve"> eran mujeres. En respuesta a la pandemia de COVI</w:t>
      </w:r>
      <w:r w:rsidR="00ED40B4">
        <w:rPr>
          <w:lang w:val="es-ES"/>
        </w:rPr>
        <w:t>D</w:t>
      </w:r>
      <w:r w:rsidR="00ED40B4">
        <w:rPr>
          <w:lang w:val="es-ES"/>
        </w:rPr>
        <w:noBreakHyphen/>
        <w:t>1</w:t>
      </w:r>
      <w:r w:rsidRPr="00B151FD">
        <w:rPr>
          <w:lang w:val="es-ES"/>
        </w:rPr>
        <w:t>9, se introdujeron sistemas de aprendizaje combinado y se televisaron las clases del plan de estudios nacional.</w:t>
      </w:r>
    </w:p>
    <w:p w14:paraId="685A109F" w14:textId="52E802F1" w:rsidR="00B151FD" w:rsidRPr="00B151FD" w:rsidRDefault="00B151FD" w:rsidP="00B151FD">
      <w:pPr>
        <w:pStyle w:val="SingleTxt"/>
        <w:numPr>
          <w:ilvl w:val="0"/>
          <w:numId w:val="26"/>
        </w:numPr>
        <w:ind w:left="1267"/>
        <w:rPr>
          <w:lang w:val="es-ES"/>
        </w:rPr>
      </w:pPr>
      <w:r w:rsidRPr="00B151FD">
        <w:rPr>
          <w:lang w:val="es-ES"/>
        </w:rPr>
        <w:t>En 2017, el Gobierno introdujo en el plan de estudios nacional libros de texto especializados atendiendo a las necesidades de los niños con discapacidad. Además, publicó y distribuyó libros en braille para alumnos con deficiencia visual y, para ayudar a los estudiantes de comunidades étnicas, libros de texto multilingües, en cinco lenguas: chakma, marma, garo, sadri y tripura.</w:t>
      </w:r>
    </w:p>
    <w:p w14:paraId="623C9C05" w14:textId="09080085" w:rsidR="00B151FD" w:rsidRPr="00B151FD" w:rsidRDefault="00B151FD" w:rsidP="00B151FD">
      <w:pPr>
        <w:pStyle w:val="SingleTxt"/>
        <w:numPr>
          <w:ilvl w:val="0"/>
          <w:numId w:val="26"/>
        </w:numPr>
        <w:ind w:left="1267"/>
        <w:rPr>
          <w:lang w:val="es-ES"/>
        </w:rPr>
      </w:pPr>
      <w:r w:rsidRPr="00B151FD">
        <w:rPr>
          <w:lang w:val="es-ES"/>
        </w:rPr>
        <w:t>El Gobierno ha puesto en marcha varias políticas para la participación activa de las mujeres en los procesos de contratación de profesores, como la obligatoriedad de contratar a un 60</w:t>
      </w:r>
      <w:r w:rsidR="00ED40B4">
        <w:rPr>
          <w:lang w:val="es-ES"/>
        </w:rPr>
        <w:t> %</w:t>
      </w:r>
      <w:r w:rsidRPr="00B151FD">
        <w:rPr>
          <w:lang w:val="es-ES"/>
        </w:rPr>
        <w:t xml:space="preserve"> de profesoras. El Gobierno ha dado prioridad a la formación de las profesoras con el fin de reforzar su participación y su crecimiento profesional. </w:t>
      </w:r>
    </w:p>
    <w:p w14:paraId="4A3A5A1C" w14:textId="4FAF27BC" w:rsidR="00B151FD" w:rsidRPr="00B151FD" w:rsidRDefault="00B151FD" w:rsidP="00B151FD">
      <w:pPr>
        <w:pStyle w:val="SingleTxt"/>
        <w:numPr>
          <w:ilvl w:val="0"/>
          <w:numId w:val="26"/>
        </w:numPr>
        <w:ind w:left="1267"/>
        <w:rPr>
          <w:lang w:val="es-ES"/>
        </w:rPr>
      </w:pPr>
      <w:r w:rsidRPr="00B151FD">
        <w:rPr>
          <w:lang w:val="es-ES"/>
        </w:rPr>
        <w:t>Encuesta y base de datos: Bangladesh es uno de los 54 países donde se incentiva la participación de las niñas en la educación secundaria. Las tasas neta y bruta de matriculación de las niñas han aumentado gradualmente a lo largo de los años, como se observa en el cuadro</w:t>
      </w:r>
      <w:r w:rsidR="00AE4701">
        <w:rPr>
          <w:lang w:val="es-ES"/>
        </w:rPr>
        <w:t xml:space="preserve"> </w:t>
      </w:r>
      <w:r w:rsidRPr="00B151FD">
        <w:rPr>
          <w:lang w:val="es-ES"/>
        </w:rPr>
        <w:t>3.</w:t>
      </w:r>
    </w:p>
    <w:p w14:paraId="2119634B" w14:textId="77777777" w:rsidR="00B151FD" w:rsidRPr="00B151FD" w:rsidRDefault="00B151FD" w:rsidP="00B151FD">
      <w:pPr>
        <w:pStyle w:val="SingleTxt"/>
        <w:spacing w:after="0" w:line="120" w:lineRule="exact"/>
        <w:rPr>
          <w:sz w:val="10"/>
          <w:lang w:val="es-ES"/>
        </w:rPr>
      </w:pPr>
    </w:p>
    <w:p w14:paraId="0C3433C8" w14:textId="77777777" w:rsidR="00B151FD" w:rsidRDefault="00B151FD" w:rsidP="00B15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tab/>
      </w:r>
      <w:r>
        <w:rPr>
          <w:lang w:val="es-ES"/>
        </w:rPr>
        <w:tab/>
      </w:r>
      <w:r w:rsidRPr="00B151FD">
        <w:rPr>
          <w:b w:val="0"/>
          <w:bCs/>
          <w:lang w:val="es-ES"/>
        </w:rPr>
        <w:t>Cuadro</w:t>
      </w:r>
      <w:r>
        <w:rPr>
          <w:b w:val="0"/>
          <w:bCs/>
          <w:lang w:val="es-ES"/>
        </w:rPr>
        <w:t xml:space="preserve"> </w:t>
      </w:r>
      <w:r w:rsidRPr="00B151FD">
        <w:rPr>
          <w:b w:val="0"/>
          <w:bCs/>
          <w:lang w:val="es-ES"/>
        </w:rPr>
        <w:t>3</w:t>
      </w:r>
    </w:p>
    <w:p w14:paraId="573DC2E5" w14:textId="7A0E18E9" w:rsidR="00B151FD" w:rsidRDefault="00B151FD" w:rsidP="00B15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pPr>
      <w:r>
        <w:rPr>
          <w:lang w:val="es-ES"/>
        </w:rPr>
        <w:tab/>
      </w:r>
      <w:r>
        <w:rPr>
          <w:lang w:val="es-ES"/>
        </w:rPr>
        <w:tab/>
      </w:r>
      <w:r w:rsidRPr="00B151FD">
        <w:rPr>
          <w:lang w:val="es-ES"/>
        </w:rPr>
        <w:t>Matriculación neta y tasa de abandono escolar en educación secundaria (2017-2023)</w:t>
      </w:r>
    </w:p>
    <w:p w14:paraId="01116F2D" w14:textId="77777777" w:rsidR="00D14B5F" w:rsidRPr="00B151FD" w:rsidRDefault="00D14B5F" w:rsidP="00B151FD">
      <w:pPr>
        <w:pStyle w:val="SingleTxt"/>
        <w:spacing w:after="0" w:line="120" w:lineRule="exact"/>
        <w:rPr>
          <w:sz w:val="10"/>
        </w:rPr>
      </w:pPr>
    </w:p>
    <w:p w14:paraId="3A76AEE5" w14:textId="77777777" w:rsidR="00B151FD" w:rsidRDefault="00B151FD" w:rsidP="00B151FD">
      <w:pPr>
        <w:pStyle w:val="SingleTxt"/>
        <w:spacing w:after="0" w:line="120" w:lineRule="exact"/>
        <w:rPr>
          <w:sz w:val="10"/>
        </w:rPr>
      </w:pPr>
    </w:p>
    <w:tbl>
      <w:tblPr>
        <w:tblW w:w="7370" w:type="dxa"/>
        <w:tblInd w:w="1267" w:type="dxa"/>
        <w:tblLayout w:type="fixed"/>
        <w:tblCellMar>
          <w:left w:w="0" w:type="dxa"/>
          <w:right w:w="0" w:type="dxa"/>
        </w:tblCellMar>
        <w:tblLook w:val="0600" w:firstRow="0" w:lastRow="0" w:firstColumn="0" w:lastColumn="0" w:noHBand="1" w:noVBand="1"/>
      </w:tblPr>
      <w:tblGrid>
        <w:gridCol w:w="2042"/>
        <w:gridCol w:w="1423"/>
        <w:gridCol w:w="1423"/>
        <w:gridCol w:w="89"/>
        <w:gridCol w:w="1152"/>
        <w:gridCol w:w="1241"/>
      </w:tblGrid>
      <w:tr w:rsidR="00600DEF" w:rsidRPr="00A3228E" w14:paraId="2F0C74EA" w14:textId="77777777" w:rsidTr="00600DEF">
        <w:trPr>
          <w:tblHeader/>
        </w:trPr>
        <w:tc>
          <w:tcPr>
            <w:tcW w:w="2042" w:type="dxa"/>
            <w:vMerge w:val="restart"/>
            <w:tcBorders>
              <w:top w:val="single" w:sz="4" w:space="0" w:color="auto"/>
              <w:bottom w:val="single" w:sz="12" w:space="0" w:color="auto"/>
            </w:tcBorders>
            <w:vAlign w:val="bottom"/>
          </w:tcPr>
          <w:p w14:paraId="507648E7"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bCs/>
                <w:i/>
                <w:spacing w:val="4"/>
                <w:w w:val="103"/>
                <w:sz w:val="14"/>
                <w:szCs w:val="14"/>
              </w:rPr>
            </w:pPr>
            <w:r w:rsidRPr="00A3228E">
              <w:rPr>
                <w:i/>
                <w:iCs/>
                <w:color w:val="000000"/>
                <w:spacing w:val="4"/>
                <w:w w:val="103"/>
                <w:sz w:val="14"/>
                <w:szCs w:val="14"/>
              </w:rPr>
              <w:t>Año</w:t>
            </w:r>
          </w:p>
        </w:tc>
        <w:tc>
          <w:tcPr>
            <w:tcW w:w="2846" w:type="dxa"/>
            <w:gridSpan w:val="2"/>
            <w:tcBorders>
              <w:top w:val="single" w:sz="4" w:space="0" w:color="auto"/>
              <w:bottom w:val="single" w:sz="4" w:space="0" w:color="auto"/>
            </w:tcBorders>
            <w:vAlign w:val="bottom"/>
          </w:tcPr>
          <w:p w14:paraId="64D79DBB"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center"/>
              <w:rPr>
                <w:bCs/>
                <w:i/>
                <w:spacing w:val="4"/>
                <w:w w:val="103"/>
                <w:sz w:val="14"/>
                <w:szCs w:val="14"/>
              </w:rPr>
            </w:pPr>
            <w:r w:rsidRPr="00A3228E">
              <w:rPr>
                <w:i/>
                <w:iCs/>
                <w:color w:val="000000"/>
                <w:spacing w:val="4"/>
                <w:w w:val="103"/>
                <w:sz w:val="14"/>
                <w:szCs w:val="14"/>
              </w:rPr>
              <w:t>Tasa de matriculación</w:t>
            </w:r>
          </w:p>
        </w:tc>
        <w:tc>
          <w:tcPr>
            <w:tcW w:w="89" w:type="dxa"/>
            <w:tcBorders>
              <w:top w:val="single" w:sz="4" w:space="0" w:color="auto"/>
            </w:tcBorders>
            <w:vAlign w:val="bottom"/>
          </w:tcPr>
          <w:p w14:paraId="3ECB0AA4"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bCs/>
                <w:i/>
                <w:spacing w:val="4"/>
                <w:w w:val="103"/>
                <w:sz w:val="14"/>
                <w:szCs w:val="14"/>
              </w:rPr>
            </w:pPr>
          </w:p>
        </w:tc>
        <w:tc>
          <w:tcPr>
            <w:tcW w:w="2393" w:type="dxa"/>
            <w:gridSpan w:val="2"/>
            <w:tcBorders>
              <w:top w:val="single" w:sz="4" w:space="0" w:color="auto"/>
              <w:bottom w:val="single" w:sz="4" w:space="0" w:color="auto"/>
            </w:tcBorders>
            <w:vAlign w:val="bottom"/>
          </w:tcPr>
          <w:p w14:paraId="0E640B26"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center"/>
              <w:rPr>
                <w:bCs/>
                <w:i/>
                <w:spacing w:val="4"/>
                <w:w w:val="103"/>
                <w:sz w:val="14"/>
                <w:szCs w:val="14"/>
              </w:rPr>
            </w:pPr>
            <w:r w:rsidRPr="00A3228E">
              <w:rPr>
                <w:i/>
                <w:iCs/>
                <w:color w:val="000000"/>
                <w:spacing w:val="4"/>
                <w:w w:val="103"/>
                <w:sz w:val="14"/>
                <w:szCs w:val="14"/>
              </w:rPr>
              <w:t>Tasa de abandono escolar</w:t>
            </w:r>
          </w:p>
        </w:tc>
      </w:tr>
      <w:tr w:rsidR="00600DEF" w:rsidRPr="00A3228E" w14:paraId="0AE9F592" w14:textId="77777777" w:rsidTr="00600DEF">
        <w:trPr>
          <w:tblHeader/>
        </w:trPr>
        <w:tc>
          <w:tcPr>
            <w:tcW w:w="2042" w:type="dxa"/>
            <w:vMerge/>
            <w:tcBorders>
              <w:top w:val="single" w:sz="12" w:space="0" w:color="auto"/>
              <w:bottom w:val="single" w:sz="12" w:space="0" w:color="auto"/>
            </w:tcBorders>
            <w:vAlign w:val="bottom"/>
          </w:tcPr>
          <w:p w14:paraId="0BEE131F"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b/>
                <w:bCs/>
                <w:sz w:val="14"/>
                <w:szCs w:val="14"/>
              </w:rPr>
            </w:pPr>
          </w:p>
        </w:tc>
        <w:tc>
          <w:tcPr>
            <w:tcW w:w="1423" w:type="dxa"/>
            <w:tcBorders>
              <w:top w:val="single" w:sz="4" w:space="0" w:color="auto"/>
              <w:bottom w:val="single" w:sz="12" w:space="0" w:color="auto"/>
            </w:tcBorders>
            <w:vAlign w:val="bottom"/>
          </w:tcPr>
          <w:p w14:paraId="47604522"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A3228E">
              <w:rPr>
                <w:i/>
                <w:iCs/>
                <w:color w:val="000000"/>
                <w:spacing w:val="4"/>
                <w:w w:val="103"/>
                <w:sz w:val="14"/>
                <w:szCs w:val="14"/>
              </w:rPr>
              <w:t>Niñas</w:t>
            </w:r>
          </w:p>
        </w:tc>
        <w:tc>
          <w:tcPr>
            <w:tcW w:w="1423" w:type="dxa"/>
            <w:tcBorders>
              <w:top w:val="single" w:sz="4" w:space="0" w:color="auto"/>
              <w:bottom w:val="single" w:sz="12" w:space="0" w:color="auto"/>
            </w:tcBorders>
            <w:vAlign w:val="bottom"/>
          </w:tcPr>
          <w:p w14:paraId="5348FE05"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A3228E">
              <w:rPr>
                <w:i/>
                <w:iCs/>
                <w:color w:val="000000"/>
                <w:spacing w:val="4"/>
                <w:w w:val="103"/>
                <w:sz w:val="14"/>
                <w:szCs w:val="14"/>
              </w:rPr>
              <w:t>Niños</w:t>
            </w:r>
          </w:p>
        </w:tc>
        <w:tc>
          <w:tcPr>
            <w:tcW w:w="1241" w:type="dxa"/>
            <w:gridSpan w:val="2"/>
            <w:tcBorders>
              <w:bottom w:val="single" w:sz="12" w:space="0" w:color="auto"/>
            </w:tcBorders>
            <w:vAlign w:val="bottom"/>
          </w:tcPr>
          <w:p w14:paraId="3245E966"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A3228E">
              <w:rPr>
                <w:i/>
                <w:iCs/>
                <w:color w:val="000000"/>
                <w:spacing w:val="4"/>
                <w:w w:val="103"/>
                <w:sz w:val="14"/>
                <w:szCs w:val="14"/>
              </w:rPr>
              <w:t>Niñas</w:t>
            </w:r>
          </w:p>
        </w:tc>
        <w:tc>
          <w:tcPr>
            <w:tcW w:w="1241" w:type="dxa"/>
            <w:tcBorders>
              <w:top w:val="single" w:sz="4" w:space="0" w:color="auto"/>
              <w:bottom w:val="single" w:sz="12" w:space="0" w:color="auto"/>
            </w:tcBorders>
            <w:vAlign w:val="bottom"/>
          </w:tcPr>
          <w:p w14:paraId="3F17B0E4" w14:textId="77777777" w:rsidR="00600DEF" w:rsidRPr="00A3228E" w:rsidRDefault="00600DEF"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A3228E">
              <w:rPr>
                <w:i/>
                <w:iCs/>
                <w:color w:val="000000"/>
                <w:spacing w:val="4"/>
                <w:w w:val="103"/>
                <w:sz w:val="14"/>
                <w:szCs w:val="14"/>
              </w:rPr>
              <w:t>Niños</w:t>
            </w:r>
          </w:p>
        </w:tc>
      </w:tr>
      <w:tr w:rsidR="00600DEF" w:rsidRPr="00222312" w14:paraId="7946DEF2" w14:textId="77777777" w:rsidTr="00600DEF">
        <w:trPr>
          <w:trHeight w:hRule="exact" w:val="115"/>
          <w:tblHeader/>
        </w:trPr>
        <w:tc>
          <w:tcPr>
            <w:tcW w:w="2042" w:type="dxa"/>
            <w:tcBorders>
              <w:top w:val="single" w:sz="12" w:space="0" w:color="auto"/>
            </w:tcBorders>
          </w:tcPr>
          <w:p w14:paraId="4C7E943E"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color w:val="000000"/>
                <w:spacing w:val="4"/>
                <w:w w:val="103"/>
                <w:sz w:val="17"/>
                <w:szCs w:val="17"/>
              </w:rPr>
            </w:pPr>
          </w:p>
        </w:tc>
        <w:tc>
          <w:tcPr>
            <w:tcW w:w="1423" w:type="dxa"/>
            <w:tcBorders>
              <w:top w:val="single" w:sz="12" w:space="0" w:color="auto"/>
            </w:tcBorders>
            <w:vAlign w:val="bottom"/>
          </w:tcPr>
          <w:p w14:paraId="2F09DCD3"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c>
          <w:tcPr>
            <w:tcW w:w="1423" w:type="dxa"/>
            <w:tcBorders>
              <w:top w:val="single" w:sz="12" w:space="0" w:color="auto"/>
            </w:tcBorders>
            <w:vAlign w:val="bottom"/>
          </w:tcPr>
          <w:p w14:paraId="28695D60"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c>
          <w:tcPr>
            <w:tcW w:w="1241" w:type="dxa"/>
            <w:gridSpan w:val="2"/>
            <w:tcBorders>
              <w:top w:val="single" w:sz="12" w:space="0" w:color="auto"/>
            </w:tcBorders>
            <w:vAlign w:val="bottom"/>
          </w:tcPr>
          <w:p w14:paraId="6D2FF3BB"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c>
          <w:tcPr>
            <w:tcW w:w="1241" w:type="dxa"/>
            <w:tcBorders>
              <w:top w:val="single" w:sz="12" w:space="0" w:color="auto"/>
            </w:tcBorders>
            <w:vAlign w:val="bottom"/>
          </w:tcPr>
          <w:p w14:paraId="63A62E30"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r>
      <w:tr w:rsidR="00600DEF" w:rsidRPr="00222312" w14:paraId="4C9057DD" w14:textId="77777777" w:rsidTr="00600DEF">
        <w:tc>
          <w:tcPr>
            <w:tcW w:w="2042" w:type="dxa"/>
          </w:tcPr>
          <w:p w14:paraId="2EE3DF41"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sz w:val="17"/>
                <w:szCs w:val="17"/>
              </w:rPr>
            </w:pPr>
            <w:r w:rsidRPr="00600DEF">
              <w:rPr>
                <w:color w:val="000000"/>
                <w:spacing w:val="4"/>
                <w:w w:val="103"/>
                <w:sz w:val="17"/>
                <w:szCs w:val="17"/>
              </w:rPr>
              <w:t>2017</w:t>
            </w:r>
          </w:p>
        </w:tc>
        <w:tc>
          <w:tcPr>
            <w:tcW w:w="1423" w:type="dxa"/>
            <w:vAlign w:val="bottom"/>
          </w:tcPr>
          <w:p w14:paraId="76F88578"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74,38</w:t>
            </w:r>
          </w:p>
        </w:tc>
        <w:tc>
          <w:tcPr>
            <w:tcW w:w="1423" w:type="dxa"/>
            <w:vAlign w:val="bottom"/>
          </w:tcPr>
          <w:p w14:paraId="37254A06"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63,59</w:t>
            </w:r>
          </w:p>
        </w:tc>
        <w:tc>
          <w:tcPr>
            <w:tcW w:w="1241" w:type="dxa"/>
            <w:gridSpan w:val="2"/>
            <w:vAlign w:val="bottom"/>
          </w:tcPr>
          <w:p w14:paraId="2C95A4B8"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41,52</w:t>
            </w:r>
          </w:p>
        </w:tc>
        <w:tc>
          <w:tcPr>
            <w:tcW w:w="1241" w:type="dxa"/>
            <w:vAlign w:val="bottom"/>
          </w:tcPr>
          <w:p w14:paraId="03DCE6D6"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33,43</w:t>
            </w:r>
          </w:p>
        </w:tc>
      </w:tr>
      <w:tr w:rsidR="00600DEF" w:rsidRPr="00222312" w14:paraId="14A7324B" w14:textId="77777777" w:rsidTr="00600DEF">
        <w:tc>
          <w:tcPr>
            <w:tcW w:w="2042" w:type="dxa"/>
          </w:tcPr>
          <w:p w14:paraId="588794FF"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sz w:val="17"/>
                <w:szCs w:val="17"/>
              </w:rPr>
            </w:pPr>
            <w:r w:rsidRPr="00600DEF">
              <w:rPr>
                <w:color w:val="000000"/>
                <w:spacing w:val="4"/>
                <w:w w:val="103"/>
                <w:sz w:val="17"/>
                <w:szCs w:val="17"/>
              </w:rPr>
              <w:t>2018</w:t>
            </w:r>
          </w:p>
        </w:tc>
        <w:tc>
          <w:tcPr>
            <w:tcW w:w="1423" w:type="dxa"/>
            <w:vAlign w:val="bottom"/>
          </w:tcPr>
          <w:p w14:paraId="646BE110"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74,68</w:t>
            </w:r>
          </w:p>
        </w:tc>
        <w:tc>
          <w:tcPr>
            <w:tcW w:w="1423" w:type="dxa"/>
            <w:vAlign w:val="bottom"/>
          </w:tcPr>
          <w:p w14:paraId="19A60845"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64,47</w:t>
            </w:r>
          </w:p>
        </w:tc>
        <w:tc>
          <w:tcPr>
            <w:tcW w:w="1241" w:type="dxa"/>
            <w:gridSpan w:val="2"/>
            <w:vAlign w:val="bottom"/>
          </w:tcPr>
          <w:p w14:paraId="1197F04C"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40,19</w:t>
            </w:r>
          </w:p>
        </w:tc>
        <w:tc>
          <w:tcPr>
            <w:tcW w:w="1241" w:type="dxa"/>
            <w:vAlign w:val="bottom"/>
          </w:tcPr>
          <w:p w14:paraId="0CEA540D"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36,01</w:t>
            </w:r>
          </w:p>
        </w:tc>
      </w:tr>
      <w:tr w:rsidR="00600DEF" w:rsidRPr="00222312" w14:paraId="71426200" w14:textId="77777777" w:rsidTr="00600DEF">
        <w:tc>
          <w:tcPr>
            <w:tcW w:w="2042" w:type="dxa"/>
          </w:tcPr>
          <w:p w14:paraId="6D412A3B"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sz w:val="17"/>
                <w:szCs w:val="17"/>
              </w:rPr>
            </w:pPr>
            <w:r w:rsidRPr="00600DEF">
              <w:rPr>
                <w:color w:val="000000"/>
                <w:spacing w:val="4"/>
                <w:w w:val="103"/>
                <w:sz w:val="17"/>
                <w:szCs w:val="17"/>
              </w:rPr>
              <w:t>2019</w:t>
            </w:r>
          </w:p>
        </w:tc>
        <w:tc>
          <w:tcPr>
            <w:tcW w:w="1423" w:type="dxa"/>
            <w:vAlign w:val="bottom"/>
          </w:tcPr>
          <w:p w14:paraId="77FE021B"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74,47</w:t>
            </w:r>
          </w:p>
        </w:tc>
        <w:tc>
          <w:tcPr>
            <w:tcW w:w="1423" w:type="dxa"/>
            <w:vAlign w:val="bottom"/>
          </w:tcPr>
          <w:p w14:paraId="66A3BC91"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60,11</w:t>
            </w:r>
          </w:p>
        </w:tc>
        <w:tc>
          <w:tcPr>
            <w:tcW w:w="1241" w:type="dxa"/>
            <w:gridSpan w:val="2"/>
            <w:vAlign w:val="bottom"/>
          </w:tcPr>
          <w:p w14:paraId="32860322"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37,67</w:t>
            </w:r>
          </w:p>
        </w:tc>
        <w:tc>
          <w:tcPr>
            <w:tcW w:w="1241" w:type="dxa"/>
            <w:vAlign w:val="bottom"/>
          </w:tcPr>
          <w:p w14:paraId="5A32FDE0"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35,52</w:t>
            </w:r>
          </w:p>
        </w:tc>
      </w:tr>
      <w:tr w:rsidR="00600DEF" w:rsidRPr="00222312" w14:paraId="3878BCC7" w14:textId="77777777" w:rsidTr="00600DEF">
        <w:tc>
          <w:tcPr>
            <w:tcW w:w="2042" w:type="dxa"/>
          </w:tcPr>
          <w:p w14:paraId="1AB67BDC"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sz w:val="17"/>
                <w:szCs w:val="17"/>
              </w:rPr>
            </w:pPr>
            <w:r w:rsidRPr="00600DEF">
              <w:rPr>
                <w:color w:val="000000"/>
                <w:spacing w:val="4"/>
                <w:w w:val="103"/>
                <w:sz w:val="17"/>
                <w:szCs w:val="17"/>
              </w:rPr>
              <w:t>2020</w:t>
            </w:r>
          </w:p>
        </w:tc>
        <w:tc>
          <w:tcPr>
            <w:tcW w:w="1423" w:type="dxa"/>
            <w:vAlign w:val="bottom"/>
          </w:tcPr>
          <w:p w14:paraId="65BA6316"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80,62</w:t>
            </w:r>
          </w:p>
        </w:tc>
        <w:tc>
          <w:tcPr>
            <w:tcW w:w="1423" w:type="dxa"/>
            <w:vAlign w:val="bottom"/>
          </w:tcPr>
          <w:p w14:paraId="3A783DBA"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62,89</w:t>
            </w:r>
          </w:p>
        </w:tc>
        <w:tc>
          <w:tcPr>
            <w:tcW w:w="1241" w:type="dxa"/>
            <w:gridSpan w:val="2"/>
            <w:vAlign w:val="bottom"/>
          </w:tcPr>
          <w:p w14:paraId="31E4D047"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34,86</w:t>
            </w:r>
          </w:p>
        </w:tc>
        <w:tc>
          <w:tcPr>
            <w:tcW w:w="1241" w:type="dxa"/>
            <w:vAlign w:val="bottom"/>
          </w:tcPr>
          <w:p w14:paraId="3217071D"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36,80</w:t>
            </w:r>
          </w:p>
        </w:tc>
      </w:tr>
      <w:tr w:rsidR="00600DEF" w:rsidRPr="00222312" w14:paraId="53B58589" w14:textId="77777777" w:rsidTr="00600DEF">
        <w:tc>
          <w:tcPr>
            <w:tcW w:w="2042" w:type="dxa"/>
          </w:tcPr>
          <w:p w14:paraId="0AEEDE96"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sz w:val="17"/>
                <w:szCs w:val="17"/>
              </w:rPr>
            </w:pPr>
            <w:r w:rsidRPr="00600DEF">
              <w:rPr>
                <w:color w:val="000000"/>
                <w:spacing w:val="4"/>
                <w:w w:val="103"/>
                <w:sz w:val="17"/>
                <w:szCs w:val="17"/>
              </w:rPr>
              <w:t>2021</w:t>
            </w:r>
          </w:p>
        </w:tc>
        <w:tc>
          <w:tcPr>
            <w:tcW w:w="1423" w:type="dxa"/>
            <w:vAlign w:val="bottom"/>
          </w:tcPr>
          <w:p w14:paraId="08DDCE21"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79,09</w:t>
            </w:r>
          </w:p>
        </w:tc>
        <w:tc>
          <w:tcPr>
            <w:tcW w:w="1423" w:type="dxa"/>
            <w:vAlign w:val="bottom"/>
          </w:tcPr>
          <w:p w14:paraId="40396CDA"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63,29</w:t>
            </w:r>
          </w:p>
        </w:tc>
        <w:tc>
          <w:tcPr>
            <w:tcW w:w="1241" w:type="dxa"/>
            <w:gridSpan w:val="2"/>
            <w:vAlign w:val="bottom"/>
          </w:tcPr>
          <w:p w14:paraId="7611CF1E"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40,29</w:t>
            </w:r>
          </w:p>
        </w:tc>
        <w:tc>
          <w:tcPr>
            <w:tcW w:w="1241" w:type="dxa"/>
            <w:vAlign w:val="bottom"/>
          </w:tcPr>
          <w:p w14:paraId="2443AFA1"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32,50</w:t>
            </w:r>
          </w:p>
        </w:tc>
      </w:tr>
      <w:tr w:rsidR="00600DEF" w:rsidRPr="00222312" w14:paraId="3AE45597" w14:textId="77777777" w:rsidTr="00600DEF">
        <w:tc>
          <w:tcPr>
            <w:tcW w:w="2042" w:type="dxa"/>
          </w:tcPr>
          <w:p w14:paraId="75D0AEA2"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sz w:val="17"/>
                <w:szCs w:val="17"/>
              </w:rPr>
            </w:pPr>
            <w:r w:rsidRPr="00600DEF">
              <w:rPr>
                <w:color w:val="000000"/>
                <w:spacing w:val="4"/>
                <w:w w:val="103"/>
                <w:sz w:val="17"/>
                <w:szCs w:val="17"/>
              </w:rPr>
              <w:t>2022</w:t>
            </w:r>
          </w:p>
        </w:tc>
        <w:tc>
          <w:tcPr>
            <w:tcW w:w="1423" w:type="dxa"/>
            <w:vAlign w:val="bottom"/>
          </w:tcPr>
          <w:p w14:paraId="61C88332"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80,02</w:t>
            </w:r>
          </w:p>
        </w:tc>
        <w:tc>
          <w:tcPr>
            <w:tcW w:w="1423" w:type="dxa"/>
            <w:vAlign w:val="bottom"/>
          </w:tcPr>
          <w:p w14:paraId="645E093A"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67,60</w:t>
            </w:r>
          </w:p>
        </w:tc>
        <w:tc>
          <w:tcPr>
            <w:tcW w:w="1241" w:type="dxa"/>
            <w:gridSpan w:val="2"/>
            <w:vAlign w:val="bottom"/>
          </w:tcPr>
          <w:p w14:paraId="0694DDC6"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40,78</w:t>
            </w:r>
          </w:p>
        </w:tc>
        <w:tc>
          <w:tcPr>
            <w:tcW w:w="1241" w:type="dxa"/>
            <w:vAlign w:val="bottom"/>
          </w:tcPr>
          <w:p w14:paraId="180CB765"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600DEF">
              <w:rPr>
                <w:color w:val="000000"/>
                <w:spacing w:val="4"/>
                <w:w w:val="103"/>
                <w:sz w:val="17"/>
                <w:szCs w:val="17"/>
              </w:rPr>
              <w:t>33,25</w:t>
            </w:r>
          </w:p>
        </w:tc>
      </w:tr>
      <w:tr w:rsidR="00600DEF" w:rsidRPr="00222312" w14:paraId="29779873" w14:textId="77777777" w:rsidTr="00600DEF">
        <w:tc>
          <w:tcPr>
            <w:tcW w:w="2042" w:type="dxa"/>
            <w:tcBorders>
              <w:bottom w:val="single" w:sz="12" w:space="0" w:color="auto"/>
            </w:tcBorders>
          </w:tcPr>
          <w:p w14:paraId="64B448A9"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left"/>
              <w:rPr>
                <w:spacing w:val="4"/>
                <w:w w:val="103"/>
                <w:sz w:val="17"/>
                <w:szCs w:val="17"/>
              </w:rPr>
            </w:pPr>
            <w:r w:rsidRPr="00600DEF">
              <w:rPr>
                <w:color w:val="000000"/>
                <w:spacing w:val="4"/>
                <w:w w:val="103"/>
                <w:sz w:val="17"/>
                <w:szCs w:val="17"/>
              </w:rPr>
              <w:t>2023</w:t>
            </w:r>
          </w:p>
        </w:tc>
        <w:tc>
          <w:tcPr>
            <w:tcW w:w="1423" w:type="dxa"/>
            <w:tcBorders>
              <w:bottom w:val="single" w:sz="12" w:space="0" w:color="auto"/>
            </w:tcBorders>
            <w:vAlign w:val="bottom"/>
          </w:tcPr>
          <w:p w14:paraId="73546E2F"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spacing w:val="4"/>
                <w:w w:val="103"/>
                <w:sz w:val="17"/>
                <w:szCs w:val="17"/>
              </w:rPr>
            </w:pPr>
            <w:r w:rsidRPr="00600DEF">
              <w:rPr>
                <w:color w:val="000000"/>
                <w:spacing w:val="4"/>
                <w:w w:val="103"/>
                <w:sz w:val="17"/>
                <w:szCs w:val="17"/>
              </w:rPr>
              <w:t>80,62</w:t>
            </w:r>
          </w:p>
        </w:tc>
        <w:tc>
          <w:tcPr>
            <w:tcW w:w="1423" w:type="dxa"/>
            <w:tcBorders>
              <w:bottom w:val="single" w:sz="12" w:space="0" w:color="auto"/>
            </w:tcBorders>
            <w:vAlign w:val="bottom"/>
          </w:tcPr>
          <w:p w14:paraId="0913E568"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spacing w:val="4"/>
                <w:w w:val="103"/>
                <w:sz w:val="17"/>
                <w:szCs w:val="17"/>
              </w:rPr>
            </w:pPr>
            <w:r w:rsidRPr="00600DEF">
              <w:rPr>
                <w:color w:val="000000"/>
                <w:spacing w:val="4"/>
                <w:w w:val="103"/>
                <w:sz w:val="17"/>
                <w:szCs w:val="17"/>
              </w:rPr>
              <w:t>64,37</w:t>
            </w:r>
          </w:p>
        </w:tc>
        <w:tc>
          <w:tcPr>
            <w:tcW w:w="1241" w:type="dxa"/>
            <w:gridSpan w:val="2"/>
            <w:tcBorders>
              <w:bottom w:val="single" w:sz="12" w:space="0" w:color="auto"/>
            </w:tcBorders>
            <w:vAlign w:val="bottom"/>
          </w:tcPr>
          <w:p w14:paraId="5B5482A6"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spacing w:val="4"/>
                <w:w w:val="103"/>
                <w:sz w:val="17"/>
                <w:szCs w:val="17"/>
              </w:rPr>
            </w:pPr>
            <w:r w:rsidRPr="00600DEF">
              <w:rPr>
                <w:color w:val="000000"/>
                <w:spacing w:val="4"/>
                <w:w w:val="103"/>
                <w:sz w:val="17"/>
                <w:szCs w:val="17"/>
              </w:rPr>
              <w:t>34,87</w:t>
            </w:r>
          </w:p>
        </w:tc>
        <w:tc>
          <w:tcPr>
            <w:tcW w:w="1241" w:type="dxa"/>
            <w:tcBorders>
              <w:bottom w:val="single" w:sz="12" w:space="0" w:color="auto"/>
            </w:tcBorders>
            <w:vAlign w:val="bottom"/>
          </w:tcPr>
          <w:p w14:paraId="5424F92A" w14:textId="77777777" w:rsidR="00600DEF" w:rsidRPr="00600DEF" w:rsidRDefault="00600DEF" w:rsidP="00600DEF">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spacing w:val="4"/>
                <w:w w:val="103"/>
                <w:sz w:val="17"/>
                <w:szCs w:val="17"/>
              </w:rPr>
            </w:pPr>
            <w:r w:rsidRPr="00600DEF">
              <w:rPr>
                <w:color w:val="000000"/>
                <w:spacing w:val="4"/>
                <w:w w:val="103"/>
                <w:sz w:val="17"/>
                <w:szCs w:val="17"/>
              </w:rPr>
              <w:t>30,46</w:t>
            </w:r>
          </w:p>
        </w:tc>
      </w:tr>
    </w:tbl>
    <w:p w14:paraId="52B188C1" w14:textId="77777777" w:rsidR="00B151FD" w:rsidRPr="00600DEF" w:rsidRDefault="00B151FD" w:rsidP="00600DEF">
      <w:pPr>
        <w:pStyle w:val="SingleTxt"/>
        <w:spacing w:after="0" w:line="120" w:lineRule="exact"/>
        <w:rPr>
          <w:sz w:val="10"/>
        </w:rPr>
      </w:pPr>
    </w:p>
    <w:p w14:paraId="584AF393" w14:textId="4E6F4457" w:rsidR="00600DEF" w:rsidRDefault="00600DEF" w:rsidP="00600DEF">
      <w:pPr>
        <w:pStyle w:val="FootnoteText"/>
        <w:tabs>
          <w:tab w:val="clear" w:pos="418"/>
          <w:tab w:val="right" w:pos="1476"/>
          <w:tab w:val="left" w:pos="1548"/>
          <w:tab w:val="right" w:pos="1836"/>
          <w:tab w:val="left" w:pos="1908"/>
        </w:tabs>
        <w:ind w:left="1548" w:right="1267" w:hanging="288"/>
        <w:rPr>
          <w:lang w:val="es-ES"/>
        </w:rPr>
      </w:pPr>
      <w:r w:rsidRPr="00600DEF">
        <w:rPr>
          <w:i/>
          <w:iCs/>
          <w:lang w:val="es-ES"/>
        </w:rPr>
        <w:t>Fuente</w:t>
      </w:r>
      <w:r w:rsidRPr="00600DEF">
        <w:rPr>
          <w:lang w:val="es-ES"/>
        </w:rPr>
        <w:t>: Informe BANBEIS, 2023.</w:t>
      </w:r>
    </w:p>
    <w:p w14:paraId="1F1BAF68" w14:textId="77777777" w:rsidR="00600DEF" w:rsidRPr="00600DEF" w:rsidRDefault="00600DEF" w:rsidP="00600DEF">
      <w:pPr>
        <w:pStyle w:val="SingleTxt"/>
        <w:spacing w:after="0" w:line="120" w:lineRule="exact"/>
        <w:rPr>
          <w:sz w:val="10"/>
        </w:rPr>
      </w:pPr>
    </w:p>
    <w:p w14:paraId="19FF49A7" w14:textId="77777777" w:rsidR="00600DEF" w:rsidRPr="00220B51" w:rsidRDefault="00600DEF" w:rsidP="00220B51">
      <w:pPr>
        <w:pStyle w:val="SingleTxt"/>
        <w:spacing w:after="0" w:line="120" w:lineRule="exact"/>
        <w:rPr>
          <w:sz w:val="10"/>
        </w:rPr>
      </w:pPr>
    </w:p>
    <w:p w14:paraId="13793F1A" w14:textId="77777777" w:rsidR="00220B51" w:rsidRPr="00600DEF" w:rsidRDefault="00220B51" w:rsidP="00600DEF">
      <w:pPr>
        <w:pStyle w:val="SingleTxt"/>
        <w:spacing w:after="0" w:line="120" w:lineRule="exact"/>
        <w:rPr>
          <w:sz w:val="10"/>
        </w:rPr>
      </w:pPr>
    </w:p>
    <w:p w14:paraId="113CC235" w14:textId="77777777" w:rsidR="00691679" w:rsidRDefault="00691679" w:rsidP="00691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tab/>
      </w:r>
      <w:r>
        <w:rPr>
          <w:lang w:val="es-ES"/>
        </w:rPr>
        <w:tab/>
      </w:r>
      <w:r w:rsidRPr="00691679">
        <w:rPr>
          <w:b w:val="0"/>
          <w:bCs/>
          <w:lang w:val="es-ES"/>
        </w:rPr>
        <w:t>Cuadro 4</w:t>
      </w:r>
    </w:p>
    <w:p w14:paraId="3112608B" w14:textId="26A65E4F" w:rsidR="00600DEF" w:rsidRDefault="00691679" w:rsidP="00691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tab/>
      </w:r>
      <w:r>
        <w:rPr>
          <w:lang w:val="es-ES"/>
        </w:rPr>
        <w:tab/>
      </w:r>
      <w:r w:rsidRPr="00691679">
        <w:rPr>
          <w:lang w:val="es-ES"/>
        </w:rPr>
        <w:t>Matriculación neta y tasa de abandono escolar en educación secundaria superior</w:t>
      </w:r>
    </w:p>
    <w:p w14:paraId="6B33BE52" w14:textId="77777777" w:rsidR="00691679" w:rsidRPr="00691679" w:rsidRDefault="00691679" w:rsidP="00691679">
      <w:pPr>
        <w:pStyle w:val="SingleTxt"/>
        <w:spacing w:after="0" w:line="120" w:lineRule="exact"/>
        <w:rPr>
          <w:sz w:val="10"/>
          <w:lang w:val="es-ES"/>
        </w:rPr>
      </w:pPr>
    </w:p>
    <w:p w14:paraId="51C5FB8F" w14:textId="77777777" w:rsidR="00691679" w:rsidRPr="00691679" w:rsidRDefault="00691679" w:rsidP="00691679">
      <w:pPr>
        <w:pStyle w:val="SingleTxt"/>
        <w:spacing w:after="0" w:line="120" w:lineRule="exact"/>
        <w:rPr>
          <w:sz w:val="10"/>
          <w:lang w:val="es-ES"/>
        </w:rPr>
      </w:pPr>
    </w:p>
    <w:tbl>
      <w:tblPr>
        <w:tblW w:w="7370" w:type="dxa"/>
        <w:tblInd w:w="1267" w:type="dxa"/>
        <w:tblLayout w:type="fixed"/>
        <w:tblCellMar>
          <w:left w:w="0" w:type="dxa"/>
          <w:right w:w="0" w:type="dxa"/>
        </w:tblCellMar>
        <w:tblLook w:val="0600" w:firstRow="0" w:lastRow="0" w:firstColumn="0" w:lastColumn="0" w:noHBand="1" w:noVBand="1"/>
      </w:tblPr>
      <w:tblGrid>
        <w:gridCol w:w="2042"/>
        <w:gridCol w:w="1423"/>
        <w:gridCol w:w="1423"/>
        <w:gridCol w:w="89"/>
        <w:gridCol w:w="1152"/>
        <w:gridCol w:w="1241"/>
      </w:tblGrid>
      <w:tr w:rsidR="004B14A1" w:rsidRPr="00A3228E" w14:paraId="007F281E" w14:textId="77777777" w:rsidTr="00D01797">
        <w:trPr>
          <w:tblHeader/>
        </w:trPr>
        <w:tc>
          <w:tcPr>
            <w:tcW w:w="2042" w:type="dxa"/>
            <w:vMerge w:val="restart"/>
            <w:tcBorders>
              <w:top w:val="single" w:sz="4" w:space="0" w:color="auto"/>
              <w:bottom w:val="single" w:sz="12" w:space="0" w:color="auto"/>
            </w:tcBorders>
            <w:vAlign w:val="bottom"/>
          </w:tcPr>
          <w:p w14:paraId="7E117E20"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bCs/>
                <w:i/>
                <w:spacing w:val="4"/>
                <w:w w:val="103"/>
                <w:sz w:val="14"/>
                <w:szCs w:val="14"/>
              </w:rPr>
            </w:pPr>
            <w:r w:rsidRPr="00F26E58">
              <w:rPr>
                <w:i/>
                <w:iCs/>
                <w:color w:val="000000"/>
                <w:spacing w:val="4"/>
                <w:w w:val="103"/>
                <w:sz w:val="14"/>
                <w:szCs w:val="14"/>
              </w:rPr>
              <w:t>Año</w:t>
            </w:r>
          </w:p>
        </w:tc>
        <w:tc>
          <w:tcPr>
            <w:tcW w:w="2846" w:type="dxa"/>
            <w:gridSpan w:val="2"/>
            <w:tcBorders>
              <w:top w:val="single" w:sz="4" w:space="0" w:color="auto"/>
              <w:bottom w:val="single" w:sz="4" w:space="0" w:color="auto"/>
            </w:tcBorders>
            <w:vAlign w:val="bottom"/>
          </w:tcPr>
          <w:p w14:paraId="00208432"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center"/>
              <w:rPr>
                <w:bCs/>
                <w:i/>
                <w:spacing w:val="4"/>
                <w:w w:val="103"/>
                <w:sz w:val="14"/>
                <w:szCs w:val="14"/>
              </w:rPr>
            </w:pPr>
            <w:r w:rsidRPr="00F26E58">
              <w:rPr>
                <w:i/>
                <w:iCs/>
                <w:color w:val="000000"/>
                <w:spacing w:val="4"/>
                <w:w w:val="103"/>
                <w:sz w:val="14"/>
                <w:szCs w:val="14"/>
              </w:rPr>
              <w:t>Tasa de matriculación</w:t>
            </w:r>
          </w:p>
        </w:tc>
        <w:tc>
          <w:tcPr>
            <w:tcW w:w="89" w:type="dxa"/>
            <w:tcBorders>
              <w:top w:val="single" w:sz="4" w:space="0" w:color="auto"/>
            </w:tcBorders>
            <w:vAlign w:val="bottom"/>
          </w:tcPr>
          <w:p w14:paraId="7A7C1B4C"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bCs/>
                <w:i/>
                <w:spacing w:val="4"/>
                <w:w w:val="103"/>
                <w:sz w:val="14"/>
                <w:szCs w:val="14"/>
              </w:rPr>
            </w:pPr>
          </w:p>
        </w:tc>
        <w:tc>
          <w:tcPr>
            <w:tcW w:w="2393" w:type="dxa"/>
            <w:gridSpan w:val="2"/>
            <w:tcBorders>
              <w:top w:val="single" w:sz="4" w:space="0" w:color="auto"/>
              <w:bottom w:val="single" w:sz="4" w:space="0" w:color="auto"/>
            </w:tcBorders>
            <w:vAlign w:val="bottom"/>
          </w:tcPr>
          <w:p w14:paraId="0630281A"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center"/>
              <w:rPr>
                <w:bCs/>
                <w:i/>
                <w:spacing w:val="4"/>
                <w:w w:val="103"/>
                <w:sz w:val="14"/>
                <w:szCs w:val="14"/>
              </w:rPr>
            </w:pPr>
            <w:r w:rsidRPr="00F26E58">
              <w:rPr>
                <w:i/>
                <w:iCs/>
                <w:color w:val="000000"/>
                <w:spacing w:val="4"/>
                <w:w w:val="103"/>
                <w:sz w:val="14"/>
                <w:szCs w:val="14"/>
              </w:rPr>
              <w:t>Tasa de abandono escolar</w:t>
            </w:r>
          </w:p>
        </w:tc>
      </w:tr>
      <w:tr w:rsidR="004B14A1" w:rsidRPr="00A3228E" w14:paraId="0FA32536" w14:textId="77777777" w:rsidTr="00D01797">
        <w:trPr>
          <w:tblHeader/>
        </w:trPr>
        <w:tc>
          <w:tcPr>
            <w:tcW w:w="2042" w:type="dxa"/>
            <w:vMerge/>
            <w:tcBorders>
              <w:top w:val="single" w:sz="12" w:space="0" w:color="auto"/>
              <w:bottom w:val="single" w:sz="12" w:space="0" w:color="auto"/>
            </w:tcBorders>
            <w:vAlign w:val="bottom"/>
          </w:tcPr>
          <w:p w14:paraId="2932C2FE"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b/>
                <w:bCs/>
                <w:spacing w:val="4"/>
                <w:w w:val="103"/>
                <w:sz w:val="14"/>
                <w:szCs w:val="14"/>
              </w:rPr>
            </w:pPr>
          </w:p>
        </w:tc>
        <w:tc>
          <w:tcPr>
            <w:tcW w:w="1423" w:type="dxa"/>
            <w:tcBorders>
              <w:top w:val="single" w:sz="4" w:space="0" w:color="auto"/>
              <w:bottom w:val="single" w:sz="12" w:space="0" w:color="auto"/>
            </w:tcBorders>
            <w:vAlign w:val="bottom"/>
          </w:tcPr>
          <w:p w14:paraId="1B6F57AE"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F26E58">
              <w:rPr>
                <w:i/>
                <w:iCs/>
                <w:color w:val="000000"/>
                <w:spacing w:val="4"/>
                <w:w w:val="103"/>
                <w:sz w:val="14"/>
                <w:szCs w:val="14"/>
              </w:rPr>
              <w:t>Niñas</w:t>
            </w:r>
          </w:p>
        </w:tc>
        <w:tc>
          <w:tcPr>
            <w:tcW w:w="1423" w:type="dxa"/>
            <w:tcBorders>
              <w:top w:val="single" w:sz="4" w:space="0" w:color="auto"/>
              <w:bottom w:val="single" w:sz="12" w:space="0" w:color="auto"/>
            </w:tcBorders>
            <w:vAlign w:val="bottom"/>
          </w:tcPr>
          <w:p w14:paraId="19835F2E"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F26E58">
              <w:rPr>
                <w:i/>
                <w:iCs/>
                <w:color w:val="000000"/>
                <w:spacing w:val="4"/>
                <w:w w:val="103"/>
                <w:sz w:val="14"/>
                <w:szCs w:val="14"/>
              </w:rPr>
              <w:t>Niños</w:t>
            </w:r>
          </w:p>
        </w:tc>
        <w:tc>
          <w:tcPr>
            <w:tcW w:w="1241" w:type="dxa"/>
            <w:gridSpan w:val="2"/>
            <w:tcBorders>
              <w:bottom w:val="single" w:sz="12" w:space="0" w:color="auto"/>
            </w:tcBorders>
            <w:vAlign w:val="bottom"/>
          </w:tcPr>
          <w:p w14:paraId="5FE722F1"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F26E58">
              <w:rPr>
                <w:i/>
                <w:iCs/>
                <w:color w:val="000000"/>
                <w:spacing w:val="4"/>
                <w:w w:val="103"/>
                <w:sz w:val="14"/>
                <w:szCs w:val="14"/>
              </w:rPr>
              <w:t>Niñas</w:t>
            </w:r>
          </w:p>
        </w:tc>
        <w:tc>
          <w:tcPr>
            <w:tcW w:w="1241" w:type="dxa"/>
            <w:tcBorders>
              <w:top w:val="single" w:sz="4" w:space="0" w:color="auto"/>
              <w:bottom w:val="single" w:sz="12" w:space="0" w:color="auto"/>
            </w:tcBorders>
            <w:vAlign w:val="bottom"/>
          </w:tcPr>
          <w:p w14:paraId="413454B9"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iCs/>
                <w:spacing w:val="4"/>
                <w:w w:val="103"/>
                <w:sz w:val="14"/>
                <w:szCs w:val="14"/>
              </w:rPr>
            </w:pPr>
            <w:r w:rsidRPr="00F26E58">
              <w:rPr>
                <w:i/>
                <w:iCs/>
                <w:color w:val="000000"/>
                <w:spacing w:val="4"/>
                <w:w w:val="103"/>
                <w:sz w:val="14"/>
                <w:szCs w:val="14"/>
              </w:rPr>
              <w:t>Niños</w:t>
            </w:r>
          </w:p>
        </w:tc>
      </w:tr>
      <w:tr w:rsidR="004B14A1" w:rsidRPr="00600DEF" w14:paraId="051D2EE3" w14:textId="77777777" w:rsidTr="00D01797">
        <w:trPr>
          <w:trHeight w:hRule="exact" w:val="115"/>
          <w:tblHeader/>
        </w:trPr>
        <w:tc>
          <w:tcPr>
            <w:tcW w:w="2042" w:type="dxa"/>
            <w:tcBorders>
              <w:top w:val="single" w:sz="12" w:space="0" w:color="auto"/>
            </w:tcBorders>
          </w:tcPr>
          <w:p w14:paraId="00D74098"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color w:val="000000"/>
                <w:spacing w:val="4"/>
                <w:w w:val="103"/>
                <w:sz w:val="17"/>
                <w:szCs w:val="17"/>
              </w:rPr>
            </w:pPr>
          </w:p>
        </w:tc>
        <w:tc>
          <w:tcPr>
            <w:tcW w:w="1423" w:type="dxa"/>
            <w:tcBorders>
              <w:top w:val="single" w:sz="12" w:space="0" w:color="auto"/>
            </w:tcBorders>
            <w:vAlign w:val="bottom"/>
          </w:tcPr>
          <w:p w14:paraId="5CD5AEA1"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c>
          <w:tcPr>
            <w:tcW w:w="1423" w:type="dxa"/>
            <w:tcBorders>
              <w:top w:val="single" w:sz="12" w:space="0" w:color="auto"/>
            </w:tcBorders>
            <w:vAlign w:val="bottom"/>
          </w:tcPr>
          <w:p w14:paraId="0C994529"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c>
          <w:tcPr>
            <w:tcW w:w="1241" w:type="dxa"/>
            <w:gridSpan w:val="2"/>
            <w:tcBorders>
              <w:top w:val="single" w:sz="12" w:space="0" w:color="auto"/>
            </w:tcBorders>
            <w:vAlign w:val="bottom"/>
          </w:tcPr>
          <w:p w14:paraId="6EFEFFB2"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c>
          <w:tcPr>
            <w:tcW w:w="1241" w:type="dxa"/>
            <w:tcBorders>
              <w:top w:val="single" w:sz="12" w:space="0" w:color="auto"/>
            </w:tcBorders>
            <w:vAlign w:val="bottom"/>
          </w:tcPr>
          <w:p w14:paraId="47A44CA5" w14:textId="77777777" w:rsidR="004B14A1" w:rsidRPr="00F26E58" w:rsidRDefault="004B14A1"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p>
        </w:tc>
      </w:tr>
      <w:tr w:rsidR="00E41E89" w:rsidRPr="00600DEF" w14:paraId="506E30EC" w14:textId="77777777" w:rsidTr="00D01797">
        <w:tc>
          <w:tcPr>
            <w:tcW w:w="2042" w:type="dxa"/>
          </w:tcPr>
          <w:p w14:paraId="4B9C5EE1" w14:textId="6AFBEC47"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spacing w:val="4"/>
                <w:w w:val="103"/>
                <w:sz w:val="17"/>
                <w:szCs w:val="17"/>
              </w:rPr>
            </w:pPr>
            <w:r w:rsidRPr="00F26E58">
              <w:rPr>
                <w:color w:val="000000"/>
                <w:spacing w:val="4"/>
                <w:w w:val="103"/>
                <w:sz w:val="17"/>
                <w:szCs w:val="17"/>
              </w:rPr>
              <w:t>2017</w:t>
            </w:r>
          </w:p>
        </w:tc>
        <w:tc>
          <w:tcPr>
            <w:tcW w:w="1423" w:type="dxa"/>
            <w:vAlign w:val="bottom"/>
          </w:tcPr>
          <w:p w14:paraId="48F0C238" w14:textId="5DA4561A"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F26E58">
              <w:rPr>
                <w:color w:val="000000"/>
                <w:spacing w:val="4"/>
                <w:w w:val="103"/>
                <w:sz w:val="17"/>
                <w:szCs w:val="17"/>
              </w:rPr>
              <w:t>36,37</w:t>
            </w:r>
          </w:p>
        </w:tc>
        <w:tc>
          <w:tcPr>
            <w:tcW w:w="1423" w:type="dxa"/>
            <w:vAlign w:val="bottom"/>
          </w:tcPr>
          <w:p w14:paraId="5757A812" w14:textId="04881C75"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F26E58">
              <w:rPr>
                <w:color w:val="000000"/>
                <w:spacing w:val="4"/>
                <w:w w:val="103"/>
                <w:sz w:val="17"/>
                <w:szCs w:val="17"/>
              </w:rPr>
              <w:t>38,11</w:t>
            </w:r>
          </w:p>
        </w:tc>
        <w:tc>
          <w:tcPr>
            <w:tcW w:w="1241" w:type="dxa"/>
            <w:gridSpan w:val="2"/>
            <w:vAlign w:val="bottom"/>
          </w:tcPr>
          <w:p w14:paraId="58D7B08D" w14:textId="74B87564"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F26E58">
              <w:rPr>
                <w:color w:val="000000"/>
                <w:spacing w:val="4"/>
                <w:w w:val="103"/>
                <w:sz w:val="17"/>
                <w:szCs w:val="17"/>
              </w:rPr>
              <w:t>22,99</w:t>
            </w:r>
          </w:p>
        </w:tc>
        <w:tc>
          <w:tcPr>
            <w:tcW w:w="1241" w:type="dxa"/>
            <w:vAlign w:val="bottom"/>
          </w:tcPr>
          <w:p w14:paraId="659CEE48" w14:textId="637C62B4"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spacing w:val="4"/>
                <w:w w:val="103"/>
                <w:sz w:val="17"/>
                <w:szCs w:val="17"/>
              </w:rPr>
            </w:pPr>
            <w:r w:rsidRPr="00F26E58">
              <w:rPr>
                <w:color w:val="000000"/>
                <w:spacing w:val="4"/>
                <w:w w:val="103"/>
                <w:sz w:val="17"/>
                <w:szCs w:val="17"/>
              </w:rPr>
              <w:t>16,44</w:t>
            </w:r>
          </w:p>
        </w:tc>
      </w:tr>
      <w:tr w:rsidR="00E41E89" w:rsidRPr="00600DEF" w14:paraId="65134586" w14:textId="77777777" w:rsidTr="00D01797">
        <w:tc>
          <w:tcPr>
            <w:tcW w:w="2042" w:type="dxa"/>
          </w:tcPr>
          <w:p w14:paraId="3849C007" w14:textId="2F5F006B"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color w:val="000000"/>
                <w:spacing w:val="4"/>
                <w:w w:val="103"/>
                <w:sz w:val="17"/>
                <w:szCs w:val="17"/>
              </w:rPr>
            </w:pPr>
            <w:r w:rsidRPr="00F26E58">
              <w:rPr>
                <w:color w:val="000000"/>
                <w:spacing w:val="4"/>
                <w:w w:val="103"/>
                <w:sz w:val="17"/>
                <w:szCs w:val="17"/>
              </w:rPr>
              <w:t>2018</w:t>
            </w:r>
          </w:p>
        </w:tc>
        <w:tc>
          <w:tcPr>
            <w:tcW w:w="1423" w:type="dxa"/>
            <w:vAlign w:val="bottom"/>
          </w:tcPr>
          <w:p w14:paraId="0058AF74" w14:textId="6A9FE16F"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33,90</w:t>
            </w:r>
          </w:p>
        </w:tc>
        <w:tc>
          <w:tcPr>
            <w:tcW w:w="1423" w:type="dxa"/>
            <w:vAlign w:val="bottom"/>
          </w:tcPr>
          <w:p w14:paraId="654F9F9F" w14:textId="129853FE"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36,88</w:t>
            </w:r>
          </w:p>
        </w:tc>
        <w:tc>
          <w:tcPr>
            <w:tcW w:w="1241" w:type="dxa"/>
            <w:gridSpan w:val="2"/>
            <w:vAlign w:val="bottom"/>
          </w:tcPr>
          <w:p w14:paraId="3AAB9697" w14:textId="78DAE3A1"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21,21</w:t>
            </w:r>
          </w:p>
        </w:tc>
        <w:tc>
          <w:tcPr>
            <w:tcW w:w="1241" w:type="dxa"/>
            <w:vAlign w:val="bottom"/>
          </w:tcPr>
          <w:p w14:paraId="63BD026F" w14:textId="005B85B6"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18,02</w:t>
            </w:r>
          </w:p>
        </w:tc>
      </w:tr>
      <w:tr w:rsidR="00E41E89" w:rsidRPr="00600DEF" w14:paraId="350E5FCB" w14:textId="77777777" w:rsidTr="00D01797">
        <w:tc>
          <w:tcPr>
            <w:tcW w:w="2042" w:type="dxa"/>
          </w:tcPr>
          <w:p w14:paraId="476E5730" w14:textId="037DC3CB"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color w:val="000000"/>
                <w:spacing w:val="4"/>
                <w:w w:val="103"/>
                <w:sz w:val="17"/>
                <w:szCs w:val="17"/>
              </w:rPr>
            </w:pPr>
            <w:r w:rsidRPr="00F26E58">
              <w:rPr>
                <w:color w:val="000000"/>
                <w:spacing w:val="4"/>
                <w:w w:val="103"/>
                <w:sz w:val="17"/>
                <w:szCs w:val="17"/>
              </w:rPr>
              <w:lastRenderedPageBreak/>
              <w:t>2019</w:t>
            </w:r>
          </w:p>
        </w:tc>
        <w:tc>
          <w:tcPr>
            <w:tcW w:w="1423" w:type="dxa"/>
            <w:vAlign w:val="bottom"/>
          </w:tcPr>
          <w:p w14:paraId="6F13B795" w14:textId="0ACCFC72"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36,99</w:t>
            </w:r>
          </w:p>
        </w:tc>
        <w:tc>
          <w:tcPr>
            <w:tcW w:w="1423" w:type="dxa"/>
            <w:vAlign w:val="bottom"/>
          </w:tcPr>
          <w:p w14:paraId="6276C597" w14:textId="74FD4FA4"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31,72</w:t>
            </w:r>
          </w:p>
        </w:tc>
        <w:tc>
          <w:tcPr>
            <w:tcW w:w="1241" w:type="dxa"/>
            <w:gridSpan w:val="2"/>
            <w:vAlign w:val="bottom"/>
          </w:tcPr>
          <w:p w14:paraId="01871271" w14:textId="34E5498E"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19,66</w:t>
            </w:r>
          </w:p>
        </w:tc>
        <w:tc>
          <w:tcPr>
            <w:tcW w:w="1241" w:type="dxa"/>
            <w:vAlign w:val="bottom"/>
          </w:tcPr>
          <w:p w14:paraId="35DB31B3" w14:textId="5B43938B"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17,28</w:t>
            </w:r>
          </w:p>
        </w:tc>
      </w:tr>
      <w:tr w:rsidR="00E41E89" w:rsidRPr="00600DEF" w14:paraId="60484E56" w14:textId="77777777" w:rsidTr="00D01797">
        <w:tc>
          <w:tcPr>
            <w:tcW w:w="2042" w:type="dxa"/>
          </w:tcPr>
          <w:p w14:paraId="36DABD78" w14:textId="50F22E48"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color w:val="000000"/>
                <w:spacing w:val="4"/>
                <w:w w:val="103"/>
                <w:sz w:val="17"/>
                <w:szCs w:val="17"/>
              </w:rPr>
            </w:pPr>
            <w:r w:rsidRPr="00F26E58">
              <w:rPr>
                <w:color w:val="000000"/>
                <w:spacing w:val="4"/>
                <w:w w:val="103"/>
                <w:sz w:val="17"/>
                <w:szCs w:val="17"/>
              </w:rPr>
              <w:t>2020</w:t>
            </w:r>
          </w:p>
        </w:tc>
        <w:tc>
          <w:tcPr>
            <w:tcW w:w="1423" w:type="dxa"/>
            <w:vAlign w:val="bottom"/>
          </w:tcPr>
          <w:p w14:paraId="00A37AE1" w14:textId="75E64F5A"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36,97</w:t>
            </w:r>
          </w:p>
        </w:tc>
        <w:tc>
          <w:tcPr>
            <w:tcW w:w="1423" w:type="dxa"/>
            <w:vAlign w:val="bottom"/>
          </w:tcPr>
          <w:p w14:paraId="1AADB01B" w14:textId="1F7F2FAD"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36,53</w:t>
            </w:r>
          </w:p>
        </w:tc>
        <w:tc>
          <w:tcPr>
            <w:tcW w:w="1241" w:type="dxa"/>
            <w:gridSpan w:val="2"/>
            <w:vAlign w:val="bottom"/>
          </w:tcPr>
          <w:p w14:paraId="1449AF4A" w14:textId="6D54BC9D"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22,02</w:t>
            </w:r>
          </w:p>
        </w:tc>
        <w:tc>
          <w:tcPr>
            <w:tcW w:w="1241" w:type="dxa"/>
            <w:vAlign w:val="bottom"/>
          </w:tcPr>
          <w:p w14:paraId="69D660B1" w14:textId="66D4B8C9"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20,57</w:t>
            </w:r>
          </w:p>
        </w:tc>
      </w:tr>
      <w:tr w:rsidR="00E41E89" w:rsidRPr="00600DEF" w14:paraId="1512101C" w14:textId="77777777" w:rsidTr="00D01797">
        <w:tc>
          <w:tcPr>
            <w:tcW w:w="2042" w:type="dxa"/>
          </w:tcPr>
          <w:p w14:paraId="44643262" w14:textId="7100C215"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color w:val="000000"/>
                <w:spacing w:val="4"/>
                <w:w w:val="103"/>
                <w:sz w:val="17"/>
                <w:szCs w:val="17"/>
              </w:rPr>
            </w:pPr>
            <w:r w:rsidRPr="00F26E58">
              <w:rPr>
                <w:color w:val="000000"/>
                <w:spacing w:val="4"/>
                <w:w w:val="103"/>
                <w:sz w:val="17"/>
                <w:szCs w:val="17"/>
              </w:rPr>
              <w:t>2021</w:t>
            </w:r>
          </w:p>
        </w:tc>
        <w:tc>
          <w:tcPr>
            <w:tcW w:w="1423" w:type="dxa"/>
            <w:vAlign w:val="bottom"/>
          </w:tcPr>
          <w:p w14:paraId="52EDB311" w14:textId="45229D82"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40,49</w:t>
            </w:r>
          </w:p>
        </w:tc>
        <w:tc>
          <w:tcPr>
            <w:tcW w:w="1423" w:type="dxa"/>
            <w:vAlign w:val="bottom"/>
          </w:tcPr>
          <w:p w14:paraId="03FB6860" w14:textId="5C01640F"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41,88</w:t>
            </w:r>
          </w:p>
        </w:tc>
        <w:tc>
          <w:tcPr>
            <w:tcW w:w="1241" w:type="dxa"/>
            <w:gridSpan w:val="2"/>
            <w:vAlign w:val="bottom"/>
          </w:tcPr>
          <w:p w14:paraId="5EDFCC24" w14:textId="3C687981"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21,56</w:t>
            </w:r>
          </w:p>
        </w:tc>
        <w:tc>
          <w:tcPr>
            <w:tcW w:w="1241" w:type="dxa"/>
            <w:vAlign w:val="bottom"/>
          </w:tcPr>
          <w:p w14:paraId="4AA773CB" w14:textId="0F0A0C7A"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20,74</w:t>
            </w:r>
          </w:p>
        </w:tc>
      </w:tr>
      <w:tr w:rsidR="00E41E89" w:rsidRPr="00600DEF" w14:paraId="38D8B3F3" w14:textId="77777777" w:rsidTr="00E41E89">
        <w:tc>
          <w:tcPr>
            <w:tcW w:w="2042" w:type="dxa"/>
          </w:tcPr>
          <w:p w14:paraId="5238F4D0" w14:textId="6C7C47E4"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left"/>
              <w:rPr>
                <w:color w:val="000000"/>
                <w:spacing w:val="4"/>
                <w:w w:val="103"/>
                <w:sz w:val="17"/>
                <w:szCs w:val="17"/>
              </w:rPr>
            </w:pPr>
            <w:r w:rsidRPr="00F26E58">
              <w:rPr>
                <w:color w:val="000000"/>
                <w:spacing w:val="4"/>
                <w:w w:val="103"/>
                <w:sz w:val="17"/>
                <w:szCs w:val="17"/>
              </w:rPr>
              <w:t>2022</w:t>
            </w:r>
          </w:p>
        </w:tc>
        <w:tc>
          <w:tcPr>
            <w:tcW w:w="1423" w:type="dxa"/>
            <w:vAlign w:val="bottom"/>
          </w:tcPr>
          <w:p w14:paraId="6E14AAE6" w14:textId="76DEF521"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44,61</w:t>
            </w:r>
          </w:p>
        </w:tc>
        <w:tc>
          <w:tcPr>
            <w:tcW w:w="1423" w:type="dxa"/>
            <w:vAlign w:val="bottom"/>
          </w:tcPr>
          <w:p w14:paraId="29ED2381" w14:textId="626EE434"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44,26</w:t>
            </w:r>
          </w:p>
        </w:tc>
        <w:tc>
          <w:tcPr>
            <w:tcW w:w="1241" w:type="dxa"/>
            <w:gridSpan w:val="2"/>
            <w:vAlign w:val="bottom"/>
          </w:tcPr>
          <w:p w14:paraId="0977DFB6" w14:textId="53358A69"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22,60</w:t>
            </w:r>
          </w:p>
        </w:tc>
        <w:tc>
          <w:tcPr>
            <w:tcW w:w="1241" w:type="dxa"/>
            <w:vAlign w:val="bottom"/>
          </w:tcPr>
          <w:p w14:paraId="56CE0668" w14:textId="480BD116"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0"/>
              <w:jc w:val="right"/>
              <w:rPr>
                <w:color w:val="000000"/>
                <w:spacing w:val="4"/>
                <w:w w:val="103"/>
                <w:sz w:val="17"/>
                <w:szCs w:val="17"/>
              </w:rPr>
            </w:pPr>
            <w:r w:rsidRPr="00F26E58">
              <w:rPr>
                <w:color w:val="000000"/>
                <w:spacing w:val="4"/>
                <w:w w:val="103"/>
                <w:sz w:val="17"/>
                <w:szCs w:val="17"/>
              </w:rPr>
              <w:t>21,59</w:t>
            </w:r>
          </w:p>
        </w:tc>
      </w:tr>
      <w:tr w:rsidR="00E41E89" w:rsidRPr="00600DEF" w14:paraId="36878234" w14:textId="77777777" w:rsidTr="00E41E89">
        <w:tc>
          <w:tcPr>
            <w:tcW w:w="2042" w:type="dxa"/>
            <w:tcBorders>
              <w:bottom w:val="single" w:sz="12" w:space="0" w:color="auto"/>
            </w:tcBorders>
          </w:tcPr>
          <w:p w14:paraId="308833AD" w14:textId="079AE314"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left"/>
              <w:rPr>
                <w:color w:val="000000"/>
                <w:spacing w:val="4"/>
                <w:w w:val="103"/>
                <w:sz w:val="17"/>
                <w:szCs w:val="17"/>
              </w:rPr>
            </w:pPr>
            <w:r w:rsidRPr="00F26E58">
              <w:rPr>
                <w:color w:val="000000"/>
                <w:spacing w:val="4"/>
                <w:w w:val="103"/>
                <w:sz w:val="17"/>
                <w:szCs w:val="17"/>
              </w:rPr>
              <w:t>2023</w:t>
            </w:r>
          </w:p>
        </w:tc>
        <w:tc>
          <w:tcPr>
            <w:tcW w:w="1423" w:type="dxa"/>
            <w:tcBorders>
              <w:bottom w:val="single" w:sz="12" w:space="0" w:color="auto"/>
            </w:tcBorders>
            <w:vAlign w:val="bottom"/>
          </w:tcPr>
          <w:p w14:paraId="74333243" w14:textId="5C06361A"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color w:val="000000"/>
                <w:spacing w:val="4"/>
                <w:w w:val="103"/>
                <w:sz w:val="17"/>
                <w:szCs w:val="17"/>
              </w:rPr>
            </w:pPr>
            <w:r w:rsidRPr="00F26E58">
              <w:rPr>
                <w:color w:val="000000"/>
                <w:spacing w:val="4"/>
                <w:w w:val="103"/>
                <w:sz w:val="17"/>
                <w:szCs w:val="17"/>
              </w:rPr>
              <w:t>52,74</w:t>
            </w:r>
          </w:p>
        </w:tc>
        <w:tc>
          <w:tcPr>
            <w:tcW w:w="1423" w:type="dxa"/>
            <w:tcBorders>
              <w:bottom w:val="single" w:sz="12" w:space="0" w:color="auto"/>
            </w:tcBorders>
            <w:vAlign w:val="bottom"/>
          </w:tcPr>
          <w:p w14:paraId="6B1C19F1" w14:textId="75567A5B"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color w:val="000000"/>
                <w:spacing w:val="4"/>
                <w:w w:val="103"/>
                <w:sz w:val="17"/>
                <w:szCs w:val="17"/>
              </w:rPr>
            </w:pPr>
            <w:r w:rsidRPr="00F26E58">
              <w:rPr>
                <w:color w:val="000000"/>
                <w:spacing w:val="4"/>
                <w:w w:val="103"/>
                <w:sz w:val="17"/>
                <w:szCs w:val="17"/>
              </w:rPr>
              <w:t>51,14</w:t>
            </w:r>
          </w:p>
        </w:tc>
        <w:tc>
          <w:tcPr>
            <w:tcW w:w="1241" w:type="dxa"/>
            <w:gridSpan w:val="2"/>
            <w:tcBorders>
              <w:bottom w:val="single" w:sz="12" w:space="0" w:color="auto"/>
            </w:tcBorders>
            <w:vAlign w:val="bottom"/>
          </w:tcPr>
          <w:p w14:paraId="301C1814" w14:textId="11A0D904"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color w:val="000000"/>
                <w:spacing w:val="4"/>
                <w:w w:val="103"/>
                <w:sz w:val="17"/>
                <w:szCs w:val="17"/>
              </w:rPr>
            </w:pPr>
            <w:r w:rsidRPr="00F26E58">
              <w:rPr>
                <w:color w:val="000000"/>
                <w:spacing w:val="4"/>
                <w:w w:val="103"/>
                <w:sz w:val="17"/>
                <w:szCs w:val="17"/>
              </w:rPr>
              <w:t>22,45</w:t>
            </w:r>
          </w:p>
        </w:tc>
        <w:tc>
          <w:tcPr>
            <w:tcW w:w="1241" w:type="dxa"/>
            <w:tcBorders>
              <w:bottom w:val="single" w:sz="12" w:space="0" w:color="auto"/>
            </w:tcBorders>
            <w:vAlign w:val="bottom"/>
          </w:tcPr>
          <w:p w14:paraId="40D495E6" w14:textId="62B22DEA" w:rsidR="00E41E89" w:rsidRPr="00F26E58" w:rsidRDefault="00E41E89" w:rsidP="00E41E89">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0"/>
              <w:jc w:val="right"/>
              <w:rPr>
                <w:color w:val="000000"/>
                <w:spacing w:val="4"/>
                <w:w w:val="103"/>
                <w:sz w:val="17"/>
                <w:szCs w:val="17"/>
              </w:rPr>
            </w:pPr>
            <w:r w:rsidRPr="00F26E58">
              <w:rPr>
                <w:color w:val="000000"/>
                <w:spacing w:val="4"/>
                <w:w w:val="103"/>
                <w:sz w:val="17"/>
                <w:szCs w:val="17"/>
              </w:rPr>
              <w:t>20,51</w:t>
            </w:r>
          </w:p>
        </w:tc>
      </w:tr>
    </w:tbl>
    <w:p w14:paraId="31F54907" w14:textId="77777777" w:rsidR="00691679" w:rsidRPr="00E41E89" w:rsidRDefault="00691679" w:rsidP="00E41E89">
      <w:pPr>
        <w:pStyle w:val="SingleTxt"/>
        <w:spacing w:after="0" w:line="120" w:lineRule="exact"/>
        <w:rPr>
          <w:sz w:val="10"/>
          <w:lang w:val="es-ES"/>
        </w:rPr>
      </w:pPr>
    </w:p>
    <w:p w14:paraId="449F39E7" w14:textId="082DD248" w:rsidR="00E41E89" w:rsidRPr="00E41E89" w:rsidRDefault="00311E13" w:rsidP="00311E13">
      <w:pPr>
        <w:pStyle w:val="FootnoteText"/>
        <w:tabs>
          <w:tab w:val="clear" w:pos="418"/>
          <w:tab w:val="right" w:pos="1476"/>
          <w:tab w:val="left" w:pos="1548"/>
          <w:tab w:val="right" w:pos="1836"/>
          <w:tab w:val="left" w:pos="1908"/>
        </w:tabs>
        <w:ind w:left="1548" w:right="1267" w:hanging="288"/>
        <w:rPr>
          <w:lang w:val="es-ES"/>
        </w:rPr>
      </w:pPr>
      <w:r w:rsidRPr="00311E13">
        <w:rPr>
          <w:i/>
          <w:iCs/>
          <w:lang w:val="es-ES"/>
        </w:rPr>
        <w:t>Fuente</w:t>
      </w:r>
      <w:r w:rsidRPr="00311E13">
        <w:rPr>
          <w:lang w:val="es-ES"/>
        </w:rPr>
        <w:t>: Informe BANBEIS, 2023.</w:t>
      </w:r>
    </w:p>
    <w:p w14:paraId="7D61522E" w14:textId="77777777" w:rsidR="00E41E89" w:rsidRPr="00311E13" w:rsidRDefault="00E41E89" w:rsidP="00311E13">
      <w:pPr>
        <w:pStyle w:val="SingleTxt"/>
        <w:spacing w:after="0" w:line="120" w:lineRule="exact"/>
        <w:rPr>
          <w:sz w:val="10"/>
          <w:lang w:val="es-ES"/>
        </w:rPr>
      </w:pPr>
    </w:p>
    <w:p w14:paraId="7F9834DC" w14:textId="77777777" w:rsidR="00311E13" w:rsidRPr="00311E13" w:rsidRDefault="00311E13" w:rsidP="00311E13">
      <w:pPr>
        <w:pStyle w:val="SingleTxt"/>
        <w:spacing w:after="0" w:line="120" w:lineRule="exact"/>
        <w:rPr>
          <w:sz w:val="10"/>
          <w:lang w:val="es-ES"/>
        </w:rPr>
      </w:pPr>
    </w:p>
    <w:p w14:paraId="28B58FB6" w14:textId="77777777" w:rsidR="00311E13" w:rsidRPr="00311E13" w:rsidRDefault="00311E13" w:rsidP="00311E13">
      <w:pPr>
        <w:pStyle w:val="SingleTxt"/>
        <w:spacing w:after="0" w:line="120" w:lineRule="exact"/>
        <w:rPr>
          <w:sz w:val="10"/>
          <w:lang w:val="es-ES"/>
        </w:rPr>
      </w:pPr>
    </w:p>
    <w:p w14:paraId="12E844B3" w14:textId="1BAAA810" w:rsidR="00311E13" w:rsidRPr="00311E13" w:rsidRDefault="00311E13" w:rsidP="00311E13">
      <w:pPr>
        <w:pStyle w:val="SingleTxt"/>
        <w:numPr>
          <w:ilvl w:val="0"/>
          <w:numId w:val="26"/>
        </w:numPr>
        <w:ind w:left="1267"/>
        <w:rPr>
          <w:lang w:val="es-ES"/>
        </w:rPr>
      </w:pPr>
      <w:r w:rsidRPr="00311E13">
        <w:rPr>
          <w:lang w:val="es-ES"/>
        </w:rPr>
        <w:t>Los informes indican que la matriculación neta de niñas ha ido en aumento a lo largo de los años, y su tasa de abandono en la educación secundaria y secundaria superior ha disminuido de forma notable. Aunque la tasa de abandono escolar de las niñas sigue siendo ligeramente superior a la de los niños, se ha avanzado en esa materia. Según las estadísticas de 2023, el número de profesoras aumentó de 123.739 en 2017 a 182.288 en 2023. En 2023, el 59,28</w:t>
      </w:r>
      <w:r w:rsidR="00ED40B4">
        <w:rPr>
          <w:lang w:val="es-ES"/>
        </w:rPr>
        <w:t> %</w:t>
      </w:r>
      <w:r w:rsidRPr="00311E13">
        <w:rPr>
          <w:lang w:val="es-ES"/>
        </w:rPr>
        <w:t xml:space="preserve"> de la población con una edad comprendida entre los 5 y los 24 años era estudiante, lo</w:t>
      </w:r>
      <w:r w:rsidR="00AE4701">
        <w:rPr>
          <w:lang w:val="es-ES"/>
        </w:rPr>
        <w:t xml:space="preserve"> </w:t>
      </w:r>
      <w:r w:rsidRPr="00311E13">
        <w:rPr>
          <w:lang w:val="es-ES"/>
        </w:rPr>
        <w:t>que supone un ligero aumento respecto a 2022 (59,09</w:t>
      </w:r>
      <w:r w:rsidR="00ED40B4">
        <w:rPr>
          <w:lang w:val="es-ES"/>
        </w:rPr>
        <w:t> %</w:t>
      </w:r>
      <w:r w:rsidRPr="00311E13">
        <w:rPr>
          <w:lang w:val="es-ES"/>
        </w:rPr>
        <w:t>). Además, la tasa de abandono escolar disminuyó del 10,58</w:t>
      </w:r>
      <w:r w:rsidR="00ED40B4">
        <w:rPr>
          <w:lang w:val="es-ES"/>
        </w:rPr>
        <w:t> %</w:t>
      </w:r>
      <w:r w:rsidRPr="00311E13">
        <w:rPr>
          <w:lang w:val="es-ES"/>
        </w:rPr>
        <w:t xml:space="preserve"> en 2022 al 9,36</w:t>
      </w:r>
      <w:r w:rsidR="00ED40B4">
        <w:rPr>
          <w:lang w:val="es-ES"/>
        </w:rPr>
        <w:t> %</w:t>
      </w:r>
      <w:r w:rsidRPr="00311E13">
        <w:rPr>
          <w:lang w:val="es-ES"/>
        </w:rPr>
        <w:t xml:space="preserve"> en 2023</w:t>
      </w:r>
      <w:r w:rsidRPr="00311E13">
        <w:rPr>
          <w:vertAlign w:val="superscript"/>
          <w:lang w:val="es-ES"/>
        </w:rPr>
        <w:footnoteReference w:id="43"/>
      </w:r>
      <w:r w:rsidRPr="00311E13">
        <w:rPr>
          <w:lang w:val="es-ES"/>
        </w:rPr>
        <w:t>.</w:t>
      </w:r>
    </w:p>
    <w:p w14:paraId="73A03328" w14:textId="13E27767" w:rsidR="00311E13" w:rsidRPr="00311E13" w:rsidRDefault="00311E13" w:rsidP="00311E13">
      <w:pPr>
        <w:pStyle w:val="SingleTxt"/>
        <w:numPr>
          <w:ilvl w:val="0"/>
          <w:numId w:val="26"/>
        </w:numPr>
        <w:ind w:left="1267"/>
        <w:rPr>
          <w:lang w:val="es-ES"/>
        </w:rPr>
      </w:pPr>
      <w:r w:rsidRPr="00311E13">
        <w:rPr>
          <w:lang w:val="es-ES"/>
        </w:rPr>
        <w:t>El Gobierno ha creado becas y programas de alimentación escolar que han contribuido a aumentar la matriculación. Por ejemplo, la tasa de escolarización de las niñas procedentes de grupos étnicos minoritarios de las llanuras ha subido gracias a la distribución de becas educativas y bicicletas en el marco del Programa de Asistencia para el Desarrollo para Zonas Especiales</w:t>
      </w:r>
      <w:r w:rsidRPr="00311E13">
        <w:rPr>
          <w:vertAlign w:val="superscript"/>
          <w:lang w:val="es-ES"/>
        </w:rPr>
        <w:footnoteReference w:id="44"/>
      </w:r>
      <w:r w:rsidRPr="00311E13">
        <w:rPr>
          <w:lang w:val="es-ES"/>
        </w:rPr>
        <w:t>.</w:t>
      </w:r>
    </w:p>
    <w:p w14:paraId="63D78535" w14:textId="7508C865" w:rsidR="00311E13" w:rsidRPr="00311E13" w:rsidRDefault="00311E13" w:rsidP="00311E13">
      <w:pPr>
        <w:pStyle w:val="SingleTxt"/>
        <w:numPr>
          <w:ilvl w:val="0"/>
          <w:numId w:val="26"/>
        </w:numPr>
        <w:ind w:left="1267"/>
        <w:rPr>
          <w:lang w:val="es-ES"/>
        </w:rPr>
      </w:pPr>
      <w:r w:rsidRPr="00311E13">
        <w:rPr>
          <w:lang w:val="es-ES"/>
        </w:rPr>
        <w:t>Los esfuerzos del Gobierno se han traducido en un aumento significativo de la matriculación de mujeres en la educación técnica. En 2010, el porcentaje de matriculados en la enseñanza técnica era [</w:t>
      </w:r>
      <w:r w:rsidRPr="00311E13">
        <w:rPr>
          <w:i/>
          <w:iCs/>
          <w:lang w:val="es-ES"/>
        </w:rPr>
        <w:t>sic</w:t>
      </w:r>
      <w:r w:rsidRPr="00311E13">
        <w:rPr>
          <w:lang w:val="es-ES"/>
        </w:rPr>
        <w:t>] 01; en 2022, aumentó al 15,79</w:t>
      </w:r>
      <w:r w:rsidR="00ED40B4">
        <w:rPr>
          <w:lang w:val="es-ES"/>
        </w:rPr>
        <w:t> %</w:t>
      </w:r>
      <w:r w:rsidRPr="00311E13">
        <w:rPr>
          <w:lang w:val="es-ES"/>
        </w:rPr>
        <w:t>, de los cuales un 27,01</w:t>
      </w:r>
      <w:r w:rsidR="00ED40B4">
        <w:rPr>
          <w:lang w:val="es-ES"/>
        </w:rPr>
        <w:t> %</w:t>
      </w:r>
      <w:r w:rsidRPr="00311E13">
        <w:rPr>
          <w:lang w:val="es-ES"/>
        </w:rPr>
        <w:t xml:space="preserve"> eran mujeres</w:t>
      </w:r>
      <w:r w:rsidRPr="00311E13">
        <w:rPr>
          <w:vertAlign w:val="superscript"/>
          <w:lang w:val="es-ES"/>
        </w:rPr>
        <w:footnoteReference w:id="45"/>
      </w:r>
      <w:r w:rsidRPr="00311E13">
        <w:rPr>
          <w:lang w:val="es-ES"/>
        </w:rPr>
        <w:t xml:space="preserve">. A través de la formación en tecnología de la información en los distritos y los </w:t>
      </w:r>
      <w:r w:rsidRPr="00311E13">
        <w:rPr>
          <w:i/>
          <w:iCs/>
          <w:lang w:val="es-ES"/>
        </w:rPr>
        <w:t>upazilas</w:t>
      </w:r>
      <w:r w:rsidRPr="00311E13">
        <w:rPr>
          <w:lang w:val="es-ES"/>
        </w:rPr>
        <w:t xml:space="preserve"> se está sensibilizando al público y, así, se persigue desarrollar los recursos humanos e impulsar la educación en TIC a nivel comunitario.</w:t>
      </w:r>
    </w:p>
    <w:p w14:paraId="22CC89F0" w14:textId="77777777" w:rsidR="00311E13" w:rsidRPr="00311E13" w:rsidRDefault="00311E13" w:rsidP="00311E13">
      <w:pPr>
        <w:pStyle w:val="SingleTxt"/>
        <w:spacing w:after="0" w:line="120" w:lineRule="exact"/>
        <w:rPr>
          <w:sz w:val="10"/>
          <w:lang w:val="es-ES"/>
        </w:rPr>
      </w:pPr>
      <w:bookmarkStart w:id="23" w:name="_Toc196047983"/>
      <w:bookmarkStart w:id="24" w:name="_Toc198161705"/>
    </w:p>
    <w:p w14:paraId="41452D7D" w14:textId="77777777" w:rsidR="00311E13" w:rsidRPr="00311E13" w:rsidRDefault="00311E13" w:rsidP="00311E13">
      <w:pPr>
        <w:pStyle w:val="SingleTxt"/>
        <w:spacing w:after="0" w:line="120" w:lineRule="exact"/>
        <w:rPr>
          <w:sz w:val="10"/>
          <w:lang w:val="es-ES"/>
        </w:rPr>
      </w:pPr>
    </w:p>
    <w:p w14:paraId="5E1E2FDF" w14:textId="1BD4797B" w:rsidR="00311E13" w:rsidRPr="00311E13" w:rsidRDefault="00311E13" w:rsidP="00311E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311E13">
        <w:rPr>
          <w:lang w:val="es-ES"/>
        </w:rPr>
        <w:tab/>
      </w:r>
      <w:r w:rsidRPr="00311E13">
        <w:rPr>
          <w:lang w:val="es-ES"/>
        </w:rPr>
        <w:tab/>
        <w:t>Salud</w:t>
      </w:r>
      <w:bookmarkEnd w:id="23"/>
      <w:bookmarkEnd w:id="24"/>
    </w:p>
    <w:p w14:paraId="5B554BEF" w14:textId="77777777" w:rsidR="00311E13" w:rsidRPr="00311E13" w:rsidRDefault="00311E13" w:rsidP="00311E13">
      <w:pPr>
        <w:pStyle w:val="SingleTxt"/>
        <w:spacing w:after="0" w:line="120" w:lineRule="exact"/>
        <w:rPr>
          <w:sz w:val="10"/>
          <w:lang w:val="es-ES"/>
        </w:rPr>
      </w:pPr>
    </w:p>
    <w:p w14:paraId="5B07922B" w14:textId="77777777" w:rsidR="00311E13" w:rsidRPr="00311E13" w:rsidRDefault="00311E13" w:rsidP="00311E13">
      <w:pPr>
        <w:pStyle w:val="SingleTxt"/>
        <w:spacing w:after="0" w:line="120" w:lineRule="exact"/>
        <w:rPr>
          <w:sz w:val="10"/>
          <w:lang w:val="es-ES"/>
        </w:rPr>
      </w:pPr>
    </w:p>
    <w:p w14:paraId="471F7440" w14:textId="3A3D1D0E" w:rsidR="00311E13" w:rsidRPr="00311E13" w:rsidRDefault="00311E13" w:rsidP="00311E13">
      <w:pPr>
        <w:pStyle w:val="SingleTxt"/>
        <w:numPr>
          <w:ilvl w:val="0"/>
          <w:numId w:val="26"/>
        </w:numPr>
        <w:ind w:left="1267"/>
        <w:rPr>
          <w:lang w:val="es-ES"/>
        </w:rPr>
      </w:pPr>
      <w:r w:rsidRPr="00311E13">
        <w:rPr>
          <w:lang w:val="es-ES"/>
        </w:rPr>
        <w:t xml:space="preserve">Salud sexual y reproductiva: En los últimos años, Bangladesh ha logrado mejoras significativas en el sector de la salud mediante diversas políticas y la disminución de la tasa de mortalidad materna. La Política de Salud de 2011 se centra en velar por que todas las personas tengan acceso a atención de urgencia. Bangladesh también colaboró con varios asociados para el desarrollo en el ámbito del desarrollo de la salud y la nutrición. El Programa de Desarrollo del Sector de la Salud, la Población y la Nutrición (2011-2016) tiene como objetivo promover mejoras en esos ámbitos. Se actualizó entre 2017 y 2022 para que todos los ciudadanos de Bangladesh </w:t>
      </w:r>
      <w:r w:rsidRPr="00311E13">
        <w:rPr>
          <w:lang w:val="es-ES"/>
        </w:rPr>
        <w:lastRenderedPageBreak/>
        <w:t>disfrutaran de salud y bienestar, para lo cual se amplió el acceso a una atención de la salud equitativa y de calidad en un entorno saludable.</w:t>
      </w:r>
    </w:p>
    <w:p w14:paraId="1CBB86DB" w14:textId="46BE5E55" w:rsidR="00311E13" w:rsidRPr="00311E13" w:rsidRDefault="00311E13" w:rsidP="00311E13">
      <w:pPr>
        <w:pStyle w:val="SingleTxt"/>
        <w:numPr>
          <w:ilvl w:val="0"/>
          <w:numId w:val="26"/>
        </w:numPr>
        <w:ind w:left="1267"/>
        <w:rPr>
          <w:lang w:val="es-ES"/>
        </w:rPr>
      </w:pPr>
      <w:r w:rsidRPr="00311E13">
        <w:rPr>
          <w:lang w:val="es-ES"/>
        </w:rPr>
        <w:t>La Estrategia Nacional de Salud de los Adolescentes 2017-2030 definió cuatro ámbitos temáticos prioritarios: salud sexual y reproductiva de los adolescentes, violencia contra los adolescentes, nutrición de los adolescentes y salud mental de los adolescentes.</w:t>
      </w:r>
    </w:p>
    <w:p w14:paraId="61313D99" w14:textId="59F6902D" w:rsidR="00311E13" w:rsidRPr="00311E13" w:rsidRDefault="00311E13" w:rsidP="00311E13">
      <w:pPr>
        <w:pStyle w:val="SingleTxt"/>
        <w:numPr>
          <w:ilvl w:val="0"/>
          <w:numId w:val="26"/>
        </w:numPr>
        <w:ind w:left="1267"/>
        <w:rPr>
          <w:lang w:val="es-ES"/>
        </w:rPr>
      </w:pPr>
      <w:r w:rsidRPr="00311E13">
        <w:rPr>
          <w:lang w:val="es-ES"/>
        </w:rPr>
        <w:t xml:space="preserve">El Gobierno está implementando la Estrategia de Financiación de la Atención de la Salud 2012-2032 para lograr la cobertura universal de salud. La Estrategia hace referencia a cubrir los gastos de atención de la salud de la población empobrecida. </w:t>
      </w:r>
    </w:p>
    <w:p w14:paraId="3914FFB5" w14:textId="5D261AB7" w:rsidR="00311E13" w:rsidRPr="00311E13" w:rsidRDefault="00311E13" w:rsidP="00311E13">
      <w:pPr>
        <w:pStyle w:val="SingleTxt"/>
        <w:numPr>
          <w:ilvl w:val="0"/>
          <w:numId w:val="26"/>
        </w:numPr>
        <w:ind w:left="1267"/>
        <w:rPr>
          <w:lang w:val="es-ES"/>
        </w:rPr>
      </w:pPr>
      <w:r w:rsidRPr="00311E13">
        <w:rPr>
          <w:lang w:val="es-ES"/>
        </w:rPr>
        <w:t>El Gobierno creó en 2020 el Consejo de Enfermería y Partería de Bangladesh, cuyo objetivo es mejorar las normas de enfermería y partería, al tiempo que se promueven los derechos de las mujeres en el sector de la sanidad. Esta iniciativa refleja la voluntad de crear un entorno más seguro y equitativo para las mujeres y los niños en Bangladesh.</w:t>
      </w:r>
    </w:p>
    <w:p w14:paraId="75A29685" w14:textId="5778E9E4" w:rsidR="00311E13" w:rsidRPr="00311E13" w:rsidRDefault="00311E13" w:rsidP="00311E13">
      <w:pPr>
        <w:pStyle w:val="SingleTxt"/>
        <w:numPr>
          <w:ilvl w:val="0"/>
          <w:numId w:val="26"/>
        </w:numPr>
        <w:ind w:left="1267"/>
        <w:rPr>
          <w:lang w:val="es-ES"/>
        </w:rPr>
      </w:pPr>
      <w:r w:rsidRPr="00311E13">
        <w:rPr>
          <w:lang w:val="es-ES"/>
        </w:rPr>
        <w:t xml:space="preserve">El Gobierno ha adoptado un enfoque sectorial en colaboración con múltiples asociados. Además, el programa comunitario de formación de profesionales cualificados para atender partos siguió capacitando a los trabajadores de bienestar familiar. El Gobierno puso en marcha cursos de partería y creó 2.994 puestos de parteros. Además, en 2017, el Ministerio de Salud y Bienestar de la Familia, en colaboración con el UNFPA, estableció un protocolo para el sector de la salud con el fin de dotar a los proveedores de atención de salud de directrices para responder a la violencia de género. </w:t>
      </w:r>
    </w:p>
    <w:p w14:paraId="79756F5D" w14:textId="5512CFAC" w:rsidR="00311E13" w:rsidRPr="00311E13" w:rsidRDefault="00311E13" w:rsidP="00311E13">
      <w:pPr>
        <w:pStyle w:val="SingleTxt"/>
        <w:numPr>
          <w:ilvl w:val="0"/>
          <w:numId w:val="26"/>
        </w:numPr>
        <w:ind w:left="1267"/>
        <w:rPr>
          <w:lang w:val="es-ES"/>
        </w:rPr>
      </w:pPr>
      <w:r w:rsidRPr="00311E13">
        <w:rPr>
          <w:lang w:val="es-ES"/>
        </w:rPr>
        <w:t>El Gobierno ofrece formación periódica a médicos, enfermeros y parteros con el objetivo de mejorar los servicios de atención de la salud que se prestan a los supervivientes de la violencia de género. Para proteger la salud materna, el Gobierno ha emprendido algunas iniciativas bajo la égida del Ministerio de Salud y Bienestar de la Familia (2016-2020), como garantizar la licencia de maternidad durante seis meses o preparar espacios de lactancia en todos los lugares de trabajo.</w:t>
      </w:r>
    </w:p>
    <w:p w14:paraId="293E3727" w14:textId="5F4BD35B" w:rsidR="00311E13" w:rsidRPr="00311E13" w:rsidRDefault="00311E13" w:rsidP="00311E13">
      <w:pPr>
        <w:pStyle w:val="SingleTxt"/>
        <w:numPr>
          <w:ilvl w:val="0"/>
          <w:numId w:val="26"/>
        </w:numPr>
        <w:ind w:left="1267"/>
        <w:rPr>
          <w:lang w:val="es-ES"/>
        </w:rPr>
      </w:pPr>
      <w:r w:rsidRPr="00311E13">
        <w:rPr>
          <w:lang w:val="es-ES"/>
        </w:rPr>
        <w:t xml:space="preserve">El Gobierno ha introducido el Plan de Vales de Salud Materna en 53 </w:t>
      </w:r>
      <w:r w:rsidRPr="00311E13">
        <w:rPr>
          <w:i/>
          <w:iCs/>
          <w:lang w:val="es-ES"/>
        </w:rPr>
        <w:t>upazilas</w:t>
      </w:r>
      <w:r w:rsidRPr="00311E13">
        <w:rPr>
          <w:lang w:val="es-ES"/>
        </w:rPr>
        <w:t xml:space="preserve"> de 41</w:t>
      </w:r>
      <w:r w:rsidR="00AE4701">
        <w:rPr>
          <w:lang w:val="es-ES"/>
        </w:rPr>
        <w:t xml:space="preserve"> </w:t>
      </w:r>
      <w:r w:rsidRPr="00311E13">
        <w:rPr>
          <w:lang w:val="es-ES"/>
        </w:rPr>
        <w:t>distritos con el fin de velar por que las mujeres embarazadas dispongan de instalaciones donde recibir atención. El plan prevé atención prenatal de urgencia para unos 2,79</w:t>
      </w:r>
      <w:r w:rsidR="00AE4701">
        <w:rPr>
          <w:lang w:val="es-ES"/>
        </w:rPr>
        <w:t xml:space="preserve"> </w:t>
      </w:r>
      <w:r w:rsidRPr="00311E13">
        <w:rPr>
          <w:lang w:val="es-ES"/>
        </w:rPr>
        <w:t>millones de mujeres embarazadas. Estas importantes iniciativas coinciden también con el artículo</w:t>
      </w:r>
      <w:r w:rsidR="00AE4701">
        <w:rPr>
          <w:lang w:val="es-ES"/>
        </w:rPr>
        <w:t xml:space="preserve"> </w:t>
      </w:r>
      <w:r w:rsidRPr="00311E13">
        <w:rPr>
          <w:lang w:val="es-ES"/>
        </w:rPr>
        <w:t>12</w:t>
      </w:r>
      <w:r w:rsidR="00AE4701">
        <w:rPr>
          <w:lang w:val="es-ES"/>
        </w:rPr>
        <w:t xml:space="preserve"> </w:t>
      </w:r>
      <w:r w:rsidRPr="00311E13">
        <w:rPr>
          <w:lang w:val="es-ES"/>
        </w:rPr>
        <w:t>2) de la Convención sobre la Eliminación de Todas las Formas de Discriminación contra la Mujer, que establece que se garantizarán los servicios de salud apropiados durante el embarazo y el período prenatal y se asegurará una nutrición adecuada durante el embarazo.</w:t>
      </w:r>
    </w:p>
    <w:p w14:paraId="52D68A17" w14:textId="3402C825" w:rsidR="00311E13" w:rsidRPr="00311E13" w:rsidRDefault="00311E13" w:rsidP="00A5731D">
      <w:pPr>
        <w:pStyle w:val="SingleTxt"/>
        <w:numPr>
          <w:ilvl w:val="0"/>
          <w:numId w:val="26"/>
        </w:numPr>
        <w:ind w:left="1267"/>
        <w:rPr>
          <w:lang w:val="es-ES"/>
        </w:rPr>
      </w:pPr>
      <w:r w:rsidRPr="00311E13">
        <w:rPr>
          <w:lang w:val="es-ES"/>
        </w:rPr>
        <w:t>Durante la pandemia de COVI</w:t>
      </w:r>
      <w:r w:rsidR="00ED40B4">
        <w:rPr>
          <w:lang w:val="es-ES"/>
        </w:rPr>
        <w:t>D</w:t>
      </w:r>
      <w:r w:rsidR="00ED40B4">
        <w:rPr>
          <w:lang w:val="es-ES"/>
        </w:rPr>
        <w:noBreakHyphen/>
        <w:t>1</w:t>
      </w:r>
      <w:r w:rsidRPr="00311E13">
        <w:rPr>
          <w:lang w:val="es-ES"/>
        </w:rPr>
        <w:t>9, la Family Planning Association of Bangladesh (FPAB), una organización perteneciente a la International Planned Parenthood Federation, se adaptó para prestar servicios, tanto a domicilio como a través de un teléfono de asistencia, a las mujeres y niñas del país que necesitaban atención esencial en materia de salud sexual y reproductiva y violencia sexual y de género. Desde 21 sucursales de la FPAB, funcionarios médicos y asesores ofrecieron apoyo en materia de salud sexual y reproductiva, así como ayuda especializada para problemas relacionados con la violencia de género que afectan a mujeres y niñas. La FPAB también atendió casos de violencia de género a través del teléfono de asistencia del Gobierno y remitió a los supervivientes a hospitales públicos para la realización de pruebas y la recogida de muestras.</w:t>
      </w:r>
    </w:p>
    <w:p w14:paraId="0B7C73AB" w14:textId="4590579D" w:rsidR="00311E13" w:rsidRPr="00311E13" w:rsidRDefault="00311E13" w:rsidP="00311E13">
      <w:pPr>
        <w:pStyle w:val="SingleTxt"/>
        <w:numPr>
          <w:ilvl w:val="0"/>
          <w:numId w:val="26"/>
        </w:numPr>
        <w:ind w:left="1267"/>
        <w:rPr>
          <w:lang w:val="es-ES"/>
        </w:rPr>
      </w:pPr>
      <w:r w:rsidRPr="00311E13">
        <w:rPr>
          <w:lang w:val="es-ES"/>
        </w:rPr>
        <w:t xml:space="preserve">El Gobierno de Bangladesh ha creado y puesto en práctica el Protocolo Nacional de Respuesta del Sector de la Salud a la Violencia de Género mediante la capacitación de los proveedores de servicios de salud, garantizando así que los establecimientos </w:t>
      </w:r>
      <w:r w:rsidRPr="00311E13">
        <w:rPr>
          <w:lang w:val="es-ES"/>
        </w:rPr>
        <w:lastRenderedPageBreak/>
        <w:t>de salud locales y los planes operacionales ofrezcan el apoyo necesario en el marco del Quinto Programa Sectorial de Salud, Población y Nutrición del país (de julio de 2024 a junio de 2029). Se ha formado a los proveedores de servicios de salud de primera línea, incluidos los parteros, para que presten servicios y apoyo psicosocial y para la salud mental. El Gobierno de Bangladesh ha acordado incorporar ese apoyo en el plan de formación de los proveedores de servicios de salud comunitarios y de los parteros del Ministerio de Salud y Bienestar de la Familia.</w:t>
      </w:r>
    </w:p>
    <w:p w14:paraId="406E1C65" w14:textId="3CF40155" w:rsidR="00311E13" w:rsidRPr="00311E13" w:rsidRDefault="00311E13" w:rsidP="00311E13">
      <w:pPr>
        <w:pStyle w:val="SingleTxt"/>
        <w:numPr>
          <w:ilvl w:val="0"/>
          <w:numId w:val="26"/>
        </w:numPr>
        <w:ind w:left="1267"/>
        <w:rPr>
          <w:lang w:val="es-ES"/>
        </w:rPr>
      </w:pPr>
      <w:r w:rsidRPr="00311E13">
        <w:rPr>
          <w:lang w:val="es-ES"/>
        </w:rPr>
        <w:t>La pionera iniciativa de clínicas comunitarias (</w:t>
      </w:r>
      <w:r w:rsidRPr="00311E13">
        <w:rPr>
          <w:i/>
          <w:iCs/>
          <w:lang w:val="es-ES"/>
        </w:rPr>
        <w:t>Community Clinic</w:t>
      </w:r>
      <w:r w:rsidRPr="00311E13">
        <w:rPr>
          <w:lang w:val="es-ES"/>
        </w:rPr>
        <w:t>) de Bangladesh pretende prestar servicios médicos básicos a las comunidades rurales. El Gobierno abrió esas clínicas de atención primaria en cooperación con la comunidad local y tiene previsto que haya una clínica comunitaria por cada 6.000 habitantes. En la actualidad existen 14.878</w:t>
      </w:r>
      <w:r w:rsidR="00AE4701">
        <w:rPr>
          <w:lang w:val="es-ES"/>
        </w:rPr>
        <w:t xml:space="preserve"> </w:t>
      </w:r>
      <w:r w:rsidRPr="00311E13">
        <w:rPr>
          <w:lang w:val="es-ES"/>
        </w:rPr>
        <w:t>clínicas comunitarias, y el 80</w:t>
      </w:r>
      <w:r w:rsidR="00ED40B4">
        <w:rPr>
          <w:lang w:val="es-ES"/>
        </w:rPr>
        <w:t> %</w:t>
      </w:r>
      <w:r w:rsidRPr="00311E13">
        <w:rPr>
          <w:lang w:val="es-ES"/>
        </w:rPr>
        <w:t xml:space="preserve"> de sus pacientes son mujeres y niños. A iniciativa de Bangladesh, la Asamblea General de las Naciones Unidas aprobó en 2023 una resolución titulada </w:t>
      </w:r>
      <w:r w:rsidR="00ED40B4">
        <w:rPr>
          <w:lang w:val="es-ES"/>
        </w:rPr>
        <w:t>“</w:t>
      </w:r>
      <w:r w:rsidRPr="00311E13">
        <w:rPr>
          <w:lang w:val="es-ES"/>
        </w:rPr>
        <w:t>Servicios comunitarios de atención primaria de salud: un enfoque participativo e inclusivo para lograr la cobertura sanitaria universal</w:t>
      </w:r>
      <w:r w:rsidR="00ED40B4">
        <w:rPr>
          <w:lang w:val="es-ES"/>
        </w:rPr>
        <w:t>”</w:t>
      </w:r>
      <w:r w:rsidRPr="00311E13">
        <w:rPr>
          <w:lang w:val="es-ES"/>
        </w:rPr>
        <w:t>.</w:t>
      </w:r>
    </w:p>
    <w:p w14:paraId="5B442E26" w14:textId="3CDD6DCA" w:rsidR="00311E13" w:rsidRPr="00311E13" w:rsidRDefault="00311E13" w:rsidP="00311E13">
      <w:pPr>
        <w:pStyle w:val="SingleTxt"/>
        <w:numPr>
          <w:ilvl w:val="0"/>
          <w:numId w:val="26"/>
        </w:numPr>
        <w:ind w:left="1267"/>
        <w:rPr>
          <w:lang w:val="es-ES"/>
        </w:rPr>
      </w:pPr>
      <w:r w:rsidRPr="00311E13">
        <w:rPr>
          <w:lang w:val="es-ES"/>
        </w:rPr>
        <w:t>Bangladesh ha emprendido diversas iniciativas digitales para que las mujeres puedan obtener servicios de atención de la salud de inmediato. En 2015, el Sistema de Información de Gestión de la Dirección General de Servicios de Salud abrió un centro de llamadas polivalente sobre atención de la salud con el fin de ofrecer asesoramiento sobre salud las 24</w:t>
      </w:r>
      <w:r w:rsidR="00AE4701">
        <w:rPr>
          <w:lang w:val="es-ES"/>
        </w:rPr>
        <w:t xml:space="preserve"> </w:t>
      </w:r>
      <w:r w:rsidRPr="00311E13">
        <w:rPr>
          <w:lang w:val="es-ES"/>
        </w:rPr>
        <w:t xml:space="preserve">horas del día, los 7 días de la semana, a través del código de llamada </w:t>
      </w:r>
      <w:r w:rsidR="00ED40B4">
        <w:rPr>
          <w:lang w:val="es-ES"/>
        </w:rPr>
        <w:t>“</w:t>
      </w:r>
      <w:r w:rsidRPr="00311E13">
        <w:rPr>
          <w:lang w:val="es-ES"/>
        </w:rPr>
        <w:t>16263</w:t>
      </w:r>
      <w:r w:rsidR="00ED40B4">
        <w:rPr>
          <w:lang w:val="es-ES"/>
        </w:rPr>
        <w:t>”</w:t>
      </w:r>
      <w:r w:rsidRPr="00311E13">
        <w:rPr>
          <w:lang w:val="es-ES"/>
        </w:rPr>
        <w:t>. El centro de llamadas ofrece asesoramiento sobre salud en directo, gestiona reclamaciones y provee contenidos. En 2020, el Gobierno puso en marcha el centro de telesalud Ma-Telehealth que ofrece a las mujeres embarazadas y las mujeres lactantes con recién nacidos acceso a consultas con médicos certificados, servicios de asesoramiento, recetas electrónicas y servicios de salud de seguimiento.</w:t>
      </w:r>
    </w:p>
    <w:p w14:paraId="61AB5160" w14:textId="7A2AFA81" w:rsidR="00311E13" w:rsidRPr="00311E13" w:rsidRDefault="00311E13" w:rsidP="00311E13">
      <w:pPr>
        <w:pStyle w:val="SingleTxt"/>
        <w:numPr>
          <w:ilvl w:val="0"/>
          <w:numId w:val="26"/>
        </w:numPr>
        <w:ind w:left="1267"/>
        <w:rPr>
          <w:lang w:val="es-ES"/>
        </w:rPr>
      </w:pPr>
      <w:r w:rsidRPr="00311E13">
        <w:rPr>
          <w:lang w:val="es-ES"/>
        </w:rPr>
        <w:t>El Gobierno ha comenzado a ofrecer servicios de telemedicina, bajo la égida de la Dirección General de Servicios de Salud y con la supervisión de la dependencia del Sistema de Información de Gestión. Hay 84 centros de telemedicina, incluida la Dependencia de Seguimiento de Telemedicina del Sistema de Información de Gestión; en 2017 se añadieron 10</w:t>
      </w:r>
      <w:r w:rsidR="00AE4701">
        <w:rPr>
          <w:lang w:val="es-ES"/>
        </w:rPr>
        <w:t xml:space="preserve"> </w:t>
      </w:r>
      <w:r w:rsidRPr="00311E13">
        <w:rPr>
          <w:lang w:val="es-ES"/>
        </w:rPr>
        <w:t>centros.</w:t>
      </w:r>
    </w:p>
    <w:p w14:paraId="045DCD75" w14:textId="339F5128" w:rsidR="00311E13" w:rsidRPr="00311E13" w:rsidRDefault="00311E13" w:rsidP="00311E13">
      <w:pPr>
        <w:pStyle w:val="SingleTxt"/>
        <w:numPr>
          <w:ilvl w:val="0"/>
          <w:numId w:val="26"/>
        </w:numPr>
        <w:ind w:left="1267"/>
        <w:rPr>
          <w:lang w:val="es-ES"/>
        </w:rPr>
      </w:pPr>
      <w:r w:rsidRPr="00311E13">
        <w:rPr>
          <w:lang w:val="es-ES"/>
        </w:rPr>
        <w:t>Iniciativas en materia de higiene menstrual: El Gobierno ordenó que en todas las escuelas de educación primaria hubiera aseos separados (bloques de agua, saneamiento e higiene (ASH)) para profesoras y alumnas, y fijó una norma nacional sobre ASH en las escuelas. El Gobierno mejoró las instalaciones de saneamiento existentes en las escuelas construyendo aseos separados por género y garantizando el acceso a productos de higiene menstrual con el objetivo de reducir el absentismo entre las niñas durante la menstruación. En</w:t>
      </w:r>
      <w:r w:rsidR="00AE4701">
        <w:rPr>
          <w:lang w:val="es-ES"/>
        </w:rPr>
        <w:t xml:space="preserve"> </w:t>
      </w:r>
      <w:r w:rsidRPr="00311E13">
        <w:rPr>
          <w:lang w:val="es-ES"/>
        </w:rPr>
        <w:t>el marco del Cuarto Programa de Desarrollo de la Educación Primaria (2018-2025), se</w:t>
      </w:r>
      <w:r w:rsidR="00AE4701">
        <w:rPr>
          <w:lang w:val="es-ES"/>
        </w:rPr>
        <w:t xml:space="preserve"> </w:t>
      </w:r>
      <w:r w:rsidRPr="00311E13">
        <w:rPr>
          <w:lang w:val="es-ES"/>
        </w:rPr>
        <w:t>han construido alrededor de 9.134 aulas y 13.212 bloques de ASH separados por género, y se han instalado 9.068 puntos de abastecimiento de agua</w:t>
      </w:r>
      <w:r w:rsidRPr="00311E13">
        <w:rPr>
          <w:vertAlign w:val="superscript"/>
          <w:lang w:val="es-ES"/>
        </w:rPr>
        <w:footnoteReference w:id="46"/>
      </w:r>
      <w:r w:rsidRPr="00311E13">
        <w:rPr>
          <w:lang w:val="es-ES"/>
        </w:rPr>
        <w:t>.</w:t>
      </w:r>
    </w:p>
    <w:p w14:paraId="1D9FC577" w14:textId="2813019D" w:rsidR="00311E13" w:rsidRPr="00311E13" w:rsidRDefault="00311E13" w:rsidP="00311E13">
      <w:pPr>
        <w:pStyle w:val="SingleTxt"/>
        <w:numPr>
          <w:ilvl w:val="0"/>
          <w:numId w:val="26"/>
        </w:numPr>
        <w:ind w:left="1267"/>
        <w:rPr>
          <w:lang w:val="es-ES"/>
        </w:rPr>
      </w:pPr>
      <w:r w:rsidRPr="00311E13">
        <w:rPr>
          <w:lang w:val="es-ES"/>
        </w:rPr>
        <w:t xml:space="preserve">El 28 de noviembre de 2024, Grameen Digital Healthcare Solutions inauguró una plataforma digital de atención integral de la salud llamada Shukhee. La plataforma ofrece servicios de atención de la salud completos que abarcan desde teleconsultas con médicos de múltiples especialidades, análisis de laboratorio con recogida de muestras a domicilio y la entrega de medicamentos con amplia cobertura a través de la mayor red del país. Shukhee está disponible a través de la aplicación </w:t>
      </w:r>
      <w:r w:rsidRPr="00311E13">
        <w:rPr>
          <w:lang w:val="es-ES"/>
        </w:rPr>
        <w:lastRenderedPageBreak/>
        <w:t xml:space="preserve">Shukhee en Google Play Store, del sitio web </w:t>
      </w:r>
      <w:hyperlink r:id="rId20" w:history="1">
        <w:r w:rsidRPr="00311E13">
          <w:rPr>
            <w:rStyle w:val="Hyperlink"/>
            <w:lang w:val="es-ES"/>
          </w:rPr>
          <w:t>www.shukhee.com</w:t>
        </w:r>
      </w:hyperlink>
      <w:r w:rsidRPr="00311E13">
        <w:rPr>
          <w:lang w:val="es-ES"/>
        </w:rPr>
        <w:t xml:space="preserve"> y del número de teléfono 10657</w:t>
      </w:r>
      <w:r w:rsidRPr="00311E13">
        <w:rPr>
          <w:vertAlign w:val="superscript"/>
          <w:lang w:val="es-ES"/>
        </w:rPr>
        <w:footnoteReference w:id="47"/>
      </w:r>
      <w:r w:rsidRPr="00311E13">
        <w:rPr>
          <w:lang w:val="es-ES"/>
        </w:rPr>
        <w:t>.</w:t>
      </w:r>
    </w:p>
    <w:p w14:paraId="15673668" w14:textId="15692ADC" w:rsidR="00311E13" w:rsidRPr="00311E13" w:rsidRDefault="00311E13" w:rsidP="00311E13">
      <w:pPr>
        <w:pStyle w:val="SingleTxt"/>
        <w:numPr>
          <w:ilvl w:val="0"/>
          <w:numId w:val="26"/>
        </w:numPr>
        <w:ind w:left="1267"/>
        <w:rPr>
          <w:lang w:val="es-ES"/>
        </w:rPr>
      </w:pPr>
      <w:r w:rsidRPr="00311E13">
        <w:rPr>
          <w:lang w:val="es-ES"/>
        </w:rPr>
        <w:t>Encuesta y base de datos: A lo largo de los años, Bangladesh ha conseguido reducir la tasa de mortalidad materna, uno de los principales indicadores del desarrollo humano.</w:t>
      </w:r>
    </w:p>
    <w:p w14:paraId="0DD9BA83" w14:textId="77777777" w:rsidR="00311E13" w:rsidRPr="00311E13" w:rsidRDefault="00311E13" w:rsidP="00311E13">
      <w:pPr>
        <w:pStyle w:val="SingleTxt"/>
        <w:spacing w:after="0" w:line="120" w:lineRule="exact"/>
        <w:rPr>
          <w:sz w:val="10"/>
          <w:lang w:val="es-ES"/>
        </w:rPr>
      </w:pPr>
    </w:p>
    <w:p w14:paraId="682D8332" w14:textId="77777777" w:rsidR="00311E13" w:rsidRDefault="00311E13" w:rsidP="00311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tab/>
      </w:r>
      <w:r>
        <w:rPr>
          <w:lang w:val="es-ES"/>
        </w:rPr>
        <w:tab/>
      </w:r>
      <w:r w:rsidRPr="00311E13">
        <w:rPr>
          <w:b w:val="0"/>
          <w:bCs/>
          <w:lang w:val="es-ES"/>
        </w:rPr>
        <w:t>Cuadro 5</w:t>
      </w:r>
    </w:p>
    <w:p w14:paraId="1F59B45C" w14:textId="1A01FEE2" w:rsidR="00311E13" w:rsidRDefault="00311E13" w:rsidP="00311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tab/>
      </w:r>
      <w:r>
        <w:rPr>
          <w:lang w:val="es-ES"/>
        </w:rPr>
        <w:tab/>
      </w:r>
      <w:r w:rsidRPr="00311E13">
        <w:rPr>
          <w:lang w:val="es-ES"/>
        </w:rPr>
        <w:t>Tendencias del cociente de mortalidad materna por cada 100.000 nacidos vivos</w:t>
      </w:r>
    </w:p>
    <w:p w14:paraId="4A0921AE" w14:textId="77777777" w:rsidR="00311E13" w:rsidRPr="00311E13" w:rsidRDefault="00311E13" w:rsidP="00311E13">
      <w:pPr>
        <w:pStyle w:val="SingleTxt"/>
        <w:spacing w:after="0" w:line="120" w:lineRule="exact"/>
        <w:rPr>
          <w:sz w:val="10"/>
          <w:lang w:val="es-ES"/>
        </w:rPr>
      </w:pPr>
    </w:p>
    <w:p w14:paraId="3CEE8623" w14:textId="77777777" w:rsidR="00311E13" w:rsidRPr="00311E13" w:rsidRDefault="00311E13" w:rsidP="00311E13">
      <w:pPr>
        <w:pStyle w:val="SingleTxt"/>
        <w:spacing w:after="0" w:line="120" w:lineRule="exact"/>
        <w:rPr>
          <w:sz w:val="10"/>
          <w:lang w:val="es-ES"/>
        </w:rPr>
      </w:pPr>
    </w:p>
    <w:tbl>
      <w:tblPr>
        <w:tblW w:w="7370" w:type="dxa"/>
        <w:tblInd w:w="1267" w:type="dxa"/>
        <w:tblLayout w:type="fixed"/>
        <w:tblCellMar>
          <w:left w:w="0" w:type="dxa"/>
          <w:right w:w="0" w:type="dxa"/>
        </w:tblCellMar>
        <w:tblLook w:val="0600" w:firstRow="0" w:lastRow="0" w:firstColumn="0" w:lastColumn="0" w:noHBand="1" w:noVBand="1"/>
      </w:tblPr>
      <w:tblGrid>
        <w:gridCol w:w="3602"/>
        <w:gridCol w:w="3768"/>
      </w:tblGrid>
      <w:tr w:rsidR="00E14755" w:rsidRPr="007215BE" w14:paraId="2AE020E2" w14:textId="77777777" w:rsidTr="00E14755">
        <w:trPr>
          <w:tblHeader/>
        </w:trPr>
        <w:tc>
          <w:tcPr>
            <w:tcW w:w="3602" w:type="dxa"/>
            <w:tcBorders>
              <w:top w:val="single" w:sz="4" w:space="0" w:color="auto"/>
              <w:bottom w:val="single" w:sz="12" w:space="0" w:color="auto"/>
            </w:tcBorders>
            <w:vAlign w:val="bottom"/>
          </w:tcPr>
          <w:p w14:paraId="6448EC77"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left"/>
              <w:rPr>
                <w:i/>
                <w:spacing w:val="4"/>
                <w:w w:val="103"/>
                <w:sz w:val="14"/>
                <w:szCs w:val="14"/>
              </w:rPr>
            </w:pPr>
            <w:r w:rsidRPr="007215BE">
              <w:rPr>
                <w:i/>
                <w:iCs/>
                <w:color w:val="000000"/>
                <w:spacing w:val="4"/>
                <w:w w:val="103"/>
                <w:sz w:val="14"/>
                <w:szCs w:val="14"/>
              </w:rPr>
              <w:t>Año</w:t>
            </w:r>
          </w:p>
        </w:tc>
        <w:tc>
          <w:tcPr>
            <w:tcW w:w="3768" w:type="dxa"/>
            <w:tcBorders>
              <w:top w:val="single" w:sz="4" w:space="0" w:color="auto"/>
              <w:bottom w:val="single" w:sz="12" w:space="0" w:color="auto"/>
            </w:tcBorders>
            <w:vAlign w:val="bottom"/>
          </w:tcPr>
          <w:p w14:paraId="5CA46C6B"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80" w:after="80" w:line="160" w:lineRule="exact"/>
              <w:ind w:left="0" w:right="43"/>
              <w:jc w:val="right"/>
              <w:rPr>
                <w:i/>
                <w:spacing w:val="4"/>
                <w:w w:val="103"/>
                <w:sz w:val="14"/>
                <w:szCs w:val="14"/>
              </w:rPr>
            </w:pPr>
            <w:r w:rsidRPr="007215BE">
              <w:rPr>
                <w:i/>
                <w:iCs/>
                <w:color w:val="000000"/>
                <w:spacing w:val="4"/>
                <w:w w:val="103"/>
                <w:sz w:val="14"/>
                <w:szCs w:val="14"/>
              </w:rPr>
              <w:t>Cociente de mortalidad materna</w:t>
            </w:r>
          </w:p>
        </w:tc>
      </w:tr>
      <w:tr w:rsidR="00E14755" w:rsidRPr="007215BE" w14:paraId="7C331B2E" w14:textId="77777777" w:rsidTr="00E14755">
        <w:trPr>
          <w:trHeight w:hRule="exact" w:val="115"/>
          <w:tblHeader/>
        </w:trPr>
        <w:tc>
          <w:tcPr>
            <w:tcW w:w="3602" w:type="dxa"/>
            <w:tcBorders>
              <w:top w:val="single" w:sz="12" w:space="0" w:color="auto"/>
            </w:tcBorders>
            <w:vAlign w:val="bottom"/>
          </w:tcPr>
          <w:p w14:paraId="735A5A09"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i/>
                <w:iCs/>
                <w:color w:val="000000"/>
                <w:spacing w:val="4"/>
                <w:w w:val="103"/>
                <w:sz w:val="17"/>
                <w:szCs w:val="17"/>
              </w:rPr>
            </w:pPr>
          </w:p>
        </w:tc>
        <w:tc>
          <w:tcPr>
            <w:tcW w:w="3768" w:type="dxa"/>
            <w:tcBorders>
              <w:top w:val="single" w:sz="12" w:space="0" w:color="auto"/>
            </w:tcBorders>
            <w:vAlign w:val="bottom"/>
          </w:tcPr>
          <w:p w14:paraId="6C3D0699"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i/>
                <w:iCs/>
                <w:color w:val="000000"/>
                <w:spacing w:val="4"/>
                <w:w w:val="103"/>
                <w:sz w:val="17"/>
                <w:szCs w:val="17"/>
              </w:rPr>
            </w:pPr>
          </w:p>
        </w:tc>
      </w:tr>
      <w:tr w:rsidR="00E14755" w:rsidRPr="007215BE" w14:paraId="577396AA" w14:textId="77777777" w:rsidTr="00E14755">
        <w:tc>
          <w:tcPr>
            <w:tcW w:w="3602" w:type="dxa"/>
          </w:tcPr>
          <w:p w14:paraId="4FA6C0CD"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2014</w:t>
            </w:r>
          </w:p>
        </w:tc>
        <w:tc>
          <w:tcPr>
            <w:tcW w:w="3768" w:type="dxa"/>
            <w:vAlign w:val="bottom"/>
          </w:tcPr>
          <w:p w14:paraId="4B3F5383"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193</w:t>
            </w:r>
          </w:p>
        </w:tc>
      </w:tr>
      <w:tr w:rsidR="00E14755" w:rsidRPr="007215BE" w14:paraId="653227EA" w14:textId="77777777" w:rsidTr="00E14755">
        <w:tc>
          <w:tcPr>
            <w:tcW w:w="3602" w:type="dxa"/>
          </w:tcPr>
          <w:p w14:paraId="0867DBF1"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2015</w:t>
            </w:r>
          </w:p>
        </w:tc>
        <w:tc>
          <w:tcPr>
            <w:tcW w:w="3768" w:type="dxa"/>
            <w:vAlign w:val="bottom"/>
          </w:tcPr>
          <w:p w14:paraId="136D5A69"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181</w:t>
            </w:r>
          </w:p>
        </w:tc>
      </w:tr>
      <w:tr w:rsidR="00E14755" w:rsidRPr="007215BE" w14:paraId="39836CBD" w14:textId="77777777" w:rsidTr="00E14755">
        <w:tc>
          <w:tcPr>
            <w:tcW w:w="3602" w:type="dxa"/>
          </w:tcPr>
          <w:p w14:paraId="50321792"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2016</w:t>
            </w:r>
          </w:p>
        </w:tc>
        <w:tc>
          <w:tcPr>
            <w:tcW w:w="3768" w:type="dxa"/>
            <w:vAlign w:val="bottom"/>
          </w:tcPr>
          <w:p w14:paraId="2CBF1488"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178</w:t>
            </w:r>
          </w:p>
        </w:tc>
      </w:tr>
      <w:tr w:rsidR="00E14755" w:rsidRPr="007215BE" w14:paraId="57738DC0" w14:textId="77777777" w:rsidTr="00E14755">
        <w:tc>
          <w:tcPr>
            <w:tcW w:w="3602" w:type="dxa"/>
          </w:tcPr>
          <w:p w14:paraId="01EF6582"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2017</w:t>
            </w:r>
          </w:p>
        </w:tc>
        <w:tc>
          <w:tcPr>
            <w:tcW w:w="3768" w:type="dxa"/>
            <w:vAlign w:val="bottom"/>
          </w:tcPr>
          <w:p w14:paraId="5815CD58"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172</w:t>
            </w:r>
          </w:p>
        </w:tc>
      </w:tr>
      <w:tr w:rsidR="00E14755" w:rsidRPr="007215BE" w14:paraId="6E343BAE" w14:textId="77777777" w:rsidTr="00E14755">
        <w:tc>
          <w:tcPr>
            <w:tcW w:w="3602" w:type="dxa"/>
          </w:tcPr>
          <w:p w14:paraId="0711D4FF"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2018</w:t>
            </w:r>
          </w:p>
        </w:tc>
        <w:tc>
          <w:tcPr>
            <w:tcW w:w="3768" w:type="dxa"/>
            <w:vAlign w:val="bottom"/>
          </w:tcPr>
          <w:p w14:paraId="5224F0BC"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169</w:t>
            </w:r>
          </w:p>
        </w:tc>
      </w:tr>
      <w:tr w:rsidR="00E14755" w:rsidRPr="007215BE" w14:paraId="7E65D149" w14:textId="77777777" w:rsidTr="00E14755">
        <w:tc>
          <w:tcPr>
            <w:tcW w:w="3602" w:type="dxa"/>
          </w:tcPr>
          <w:p w14:paraId="64E264D1"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2019</w:t>
            </w:r>
          </w:p>
        </w:tc>
        <w:tc>
          <w:tcPr>
            <w:tcW w:w="3768" w:type="dxa"/>
            <w:vAlign w:val="bottom"/>
          </w:tcPr>
          <w:p w14:paraId="5C428143"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165</w:t>
            </w:r>
          </w:p>
        </w:tc>
      </w:tr>
      <w:tr w:rsidR="00E14755" w:rsidRPr="007215BE" w14:paraId="731A2CF6" w14:textId="77777777" w:rsidTr="00E14755">
        <w:tc>
          <w:tcPr>
            <w:tcW w:w="3602" w:type="dxa"/>
          </w:tcPr>
          <w:p w14:paraId="231AD794"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2020</w:t>
            </w:r>
          </w:p>
        </w:tc>
        <w:tc>
          <w:tcPr>
            <w:tcW w:w="3768" w:type="dxa"/>
            <w:vAlign w:val="bottom"/>
          </w:tcPr>
          <w:p w14:paraId="57CD1E8F"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163</w:t>
            </w:r>
          </w:p>
        </w:tc>
      </w:tr>
      <w:tr w:rsidR="00E14755" w:rsidRPr="007215BE" w14:paraId="1AAF5E30" w14:textId="77777777" w:rsidTr="00E14755">
        <w:tc>
          <w:tcPr>
            <w:tcW w:w="3602" w:type="dxa"/>
          </w:tcPr>
          <w:p w14:paraId="4E3BD17A"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2021</w:t>
            </w:r>
          </w:p>
        </w:tc>
        <w:tc>
          <w:tcPr>
            <w:tcW w:w="3768" w:type="dxa"/>
            <w:vAlign w:val="bottom"/>
          </w:tcPr>
          <w:p w14:paraId="67E015C0"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168</w:t>
            </w:r>
          </w:p>
        </w:tc>
      </w:tr>
      <w:tr w:rsidR="00E14755" w:rsidRPr="007215BE" w14:paraId="2D4436A5" w14:textId="77777777" w:rsidTr="00E14755">
        <w:tc>
          <w:tcPr>
            <w:tcW w:w="3602" w:type="dxa"/>
          </w:tcPr>
          <w:p w14:paraId="54BD1F71"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left"/>
              <w:rPr>
                <w:spacing w:val="4"/>
                <w:w w:val="103"/>
                <w:sz w:val="17"/>
                <w:szCs w:val="17"/>
              </w:rPr>
            </w:pPr>
            <w:r w:rsidRPr="007215BE">
              <w:rPr>
                <w:color w:val="000000"/>
                <w:spacing w:val="4"/>
                <w:w w:val="103"/>
                <w:sz w:val="17"/>
                <w:szCs w:val="17"/>
              </w:rPr>
              <w:t>2022</w:t>
            </w:r>
          </w:p>
        </w:tc>
        <w:tc>
          <w:tcPr>
            <w:tcW w:w="3768" w:type="dxa"/>
            <w:vAlign w:val="bottom"/>
          </w:tcPr>
          <w:p w14:paraId="766C213E" w14:textId="77777777" w:rsidR="00E14755" w:rsidRPr="007215BE" w:rsidRDefault="00E14755" w:rsidP="00D01797">
            <w:pPr>
              <w:pStyle w:val="SingleTxtG"/>
              <w:tabs>
                <w:tab w:val="clear" w:pos="1701"/>
                <w:tab w:val="clear" w:pos="2268"/>
                <w:tab w:val="clear" w:pos="2835"/>
                <w:tab w:val="left" w:pos="288"/>
                <w:tab w:val="left" w:pos="576"/>
                <w:tab w:val="left" w:pos="864"/>
                <w:tab w:val="left" w:pos="1152"/>
              </w:tabs>
              <w:suppressAutoHyphens w:val="0"/>
              <w:spacing w:before="40" w:after="40" w:line="210" w:lineRule="exact"/>
              <w:ind w:left="0" w:right="43"/>
              <w:jc w:val="right"/>
              <w:rPr>
                <w:spacing w:val="4"/>
                <w:w w:val="103"/>
                <w:sz w:val="17"/>
                <w:szCs w:val="17"/>
              </w:rPr>
            </w:pPr>
            <w:r w:rsidRPr="007215BE">
              <w:rPr>
                <w:color w:val="000000"/>
                <w:spacing w:val="4"/>
                <w:w w:val="103"/>
                <w:sz w:val="17"/>
                <w:szCs w:val="17"/>
              </w:rPr>
              <w:t>153</w:t>
            </w:r>
          </w:p>
        </w:tc>
      </w:tr>
      <w:tr w:rsidR="00E14755" w:rsidRPr="007215BE" w14:paraId="6528EDE4" w14:textId="77777777" w:rsidTr="00E14755">
        <w:tc>
          <w:tcPr>
            <w:tcW w:w="3602" w:type="dxa"/>
            <w:tcBorders>
              <w:bottom w:val="single" w:sz="12" w:space="0" w:color="auto"/>
            </w:tcBorders>
          </w:tcPr>
          <w:p w14:paraId="2CF119CE" w14:textId="77777777" w:rsidR="00E14755" w:rsidRPr="007215BE" w:rsidRDefault="00E14755" w:rsidP="00E14755">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43"/>
              <w:jc w:val="left"/>
              <w:rPr>
                <w:spacing w:val="4"/>
                <w:w w:val="103"/>
                <w:sz w:val="17"/>
                <w:szCs w:val="17"/>
              </w:rPr>
            </w:pPr>
            <w:r w:rsidRPr="007215BE">
              <w:rPr>
                <w:color w:val="000000"/>
                <w:spacing w:val="4"/>
                <w:w w:val="103"/>
                <w:sz w:val="17"/>
                <w:szCs w:val="17"/>
              </w:rPr>
              <w:t>2023</w:t>
            </w:r>
          </w:p>
        </w:tc>
        <w:tc>
          <w:tcPr>
            <w:tcW w:w="3768" w:type="dxa"/>
            <w:tcBorders>
              <w:bottom w:val="single" w:sz="12" w:space="0" w:color="auto"/>
            </w:tcBorders>
            <w:vAlign w:val="bottom"/>
          </w:tcPr>
          <w:p w14:paraId="3877C0B7" w14:textId="77777777" w:rsidR="00E14755" w:rsidRPr="007215BE" w:rsidRDefault="00E14755" w:rsidP="00E14755">
            <w:pPr>
              <w:pStyle w:val="SingleTxtG"/>
              <w:tabs>
                <w:tab w:val="clear" w:pos="1701"/>
                <w:tab w:val="clear" w:pos="2268"/>
                <w:tab w:val="clear" w:pos="2835"/>
                <w:tab w:val="left" w:pos="288"/>
                <w:tab w:val="left" w:pos="576"/>
                <w:tab w:val="left" w:pos="864"/>
                <w:tab w:val="left" w:pos="1152"/>
              </w:tabs>
              <w:suppressAutoHyphens w:val="0"/>
              <w:spacing w:before="40" w:after="80" w:line="210" w:lineRule="exact"/>
              <w:ind w:left="0" w:right="43"/>
              <w:jc w:val="right"/>
              <w:rPr>
                <w:spacing w:val="4"/>
                <w:w w:val="103"/>
                <w:sz w:val="17"/>
                <w:szCs w:val="17"/>
              </w:rPr>
            </w:pPr>
            <w:r w:rsidRPr="007215BE">
              <w:rPr>
                <w:color w:val="000000"/>
                <w:spacing w:val="4"/>
                <w:w w:val="103"/>
                <w:sz w:val="17"/>
                <w:szCs w:val="17"/>
              </w:rPr>
              <w:t>136</w:t>
            </w:r>
          </w:p>
        </w:tc>
      </w:tr>
    </w:tbl>
    <w:p w14:paraId="092C9643" w14:textId="77777777" w:rsidR="00311E13" w:rsidRPr="00E14755" w:rsidRDefault="00311E13" w:rsidP="00E14755">
      <w:pPr>
        <w:pStyle w:val="SingleTxt"/>
        <w:spacing w:after="0" w:line="120" w:lineRule="exact"/>
        <w:rPr>
          <w:sz w:val="10"/>
          <w:lang w:val="es-ES"/>
        </w:rPr>
      </w:pPr>
    </w:p>
    <w:p w14:paraId="07C6DE94" w14:textId="0EE20791" w:rsidR="00E14755" w:rsidRDefault="00E14755" w:rsidP="00E14755">
      <w:pPr>
        <w:pStyle w:val="FootnoteText"/>
        <w:tabs>
          <w:tab w:val="clear" w:pos="418"/>
          <w:tab w:val="right" w:pos="1476"/>
          <w:tab w:val="left" w:pos="1548"/>
          <w:tab w:val="right" w:pos="1836"/>
          <w:tab w:val="left" w:pos="1908"/>
        </w:tabs>
        <w:ind w:left="1548" w:right="1267" w:hanging="288"/>
        <w:rPr>
          <w:lang w:val="es-ES"/>
        </w:rPr>
      </w:pPr>
      <w:r w:rsidRPr="00E14755">
        <w:rPr>
          <w:i/>
          <w:iCs/>
          <w:lang w:val="es-ES"/>
        </w:rPr>
        <w:t>Fuente</w:t>
      </w:r>
      <w:r w:rsidRPr="00E14755">
        <w:rPr>
          <w:lang w:val="es-ES"/>
        </w:rPr>
        <w:t>: Informe de la Oficina de Estadística de Bangladesh, 20</w:t>
      </w:r>
      <w:r w:rsidR="009720CA">
        <w:rPr>
          <w:lang w:val="es-ES"/>
        </w:rPr>
        <w:t>23</w:t>
      </w:r>
      <w:r w:rsidRPr="00E14755">
        <w:rPr>
          <w:lang w:val="es-ES"/>
        </w:rPr>
        <w:t>.</w:t>
      </w:r>
    </w:p>
    <w:p w14:paraId="0704A1A0" w14:textId="77777777" w:rsidR="00E14755" w:rsidRPr="00E14755" w:rsidRDefault="00E14755" w:rsidP="00E14755">
      <w:pPr>
        <w:pStyle w:val="SingleTxt"/>
        <w:spacing w:after="0" w:line="120" w:lineRule="exact"/>
        <w:rPr>
          <w:sz w:val="10"/>
          <w:lang w:val="es-ES"/>
        </w:rPr>
      </w:pPr>
    </w:p>
    <w:p w14:paraId="77BACF8F" w14:textId="77777777" w:rsidR="00E14755" w:rsidRPr="00E14755" w:rsidRDefault="00E14755" w:rsidP="00E14755">
      <w:pPr>
        <w:pStyle w:val="SingleTxt"/>
        <w:spacing w:after="0" w:line="120" w:lineRule="exact"/>
        <w:rPr>
          <w:sz w:val="10"/>
          <w:lang w:val="es-ES"/>
        </w:rPr>
      </w:pPr>
    </w:p>
    <w:p w14:paraId="7073A665" w14:textId="77777777" w:rsidR="00E14755" w:rsidRPr="00E14755" w:rsidRDefault="00E14755" w:rsidP="00E14755">
      <w:pPr>
        <w:pStyle w:val="SingleTxt"/>
        <w:spacing w:after="0" w:line="120" w:lineRule="exact"/>
        <w:rPr>
          <w:sz w:val="10"/>
          <w:lang w:val="es-ES"/>
        </w:rPr>
      </w:pPr>
    </w:p>
    <w:p w14:paraId="04EF6A2F" w14:textId="23873E48" w:rsidR="00E14755" w:rsidRPr="00E14755" w:rsidRDefault="00E14755" w:rsidP="00E14755">
      <w:pPr>
        <w:pStyle w:val="SingleTxt"/>
        <w:numPr>
          <w:ilvl w:val="0"/>
          <w:numId w:val="26"/>
        </w:numPr>
        <w:ind w:left="1267"/>
        <w:rPr>
          <w:lang w:val="es-ES"/>
        </w:rPr>
      </w:pPr>
      <w:r w:rsidRPr="00E14755">
        <w:rPr>
          <w:lang w:val="es-ES"/>
        </w:rPr>
        <w:t>Según la Oficina de Estadística de Bangladesh, en 2023 la tasa de mortalidad de menores de 1</w:t>
      </w:r>
      <w:r w:rsidR="00AE4701">
        <w:rPr>
          <w:lang w:val="es-ES"/>
        </w:rPr>
        <w:t xml:space="preserve"> </w:t>
      </w:r>
      <w:r w:rsidRPr="00E14755">
        <w:rPr>
          <w:lang w:val="es-ES"/>
        </w:rPr>
        <w:t>año en Bangladesh era de 26,9 por cada 1.000 nacidos vivos, frente a 21 en</w:t>
      </w:r>
      <w:r w:rsidR="00AE4701">
        <w:rPr>
          <w:lang w:val="es-ES"/>
        </w:rPr>
        <w:t xml:space="preserve"> </w:t>
      </w:r>
      <w:r w:rsidRPr="00E14755">
        <w:rPr>
          <w:lang w:val="es-ES"/>
        </w:rPr>
        <w:t>2020. La tasa de mortalidad neonatal aumentó de 15 por cada 1.000 nacidos vivos a 19,5 en 2023. La tasa de mortalidad materna disminuyó de 163 a 136 por cada 100.000 nacidos vivos en 2023. Además, el porcentaje de partos atendidos por profesionales médicos formados aumentó de manera significativa, del 53</w:t>
      </w:r>
      <w:r w:rsidR="00ED40B4">
        <w:rPr>
          <w:lang w:val="es-ES"/>
        </w:rPr>
        <w:t> %</w:t>
      </w:r>
      <w:r w:rsidRPr="00E14755">
        <w:rPr>
          <w:lang w:val="es-ES"/>
        </w:rPr>
        <w:t xml:space="preserve"> en 2017</w:t>
      </w:r>
      <w:r w:rsidR="00F26E58">
        <w:rPr>
          <w:lang w:val="es-ES"/>
        </w:rPr>
        <w:noBreakHyphen/>
      </w:r>
      <w:r w:rsidRPr="00E14755">
        <w:rPr>
          <w:lang w:val="es-ES"/>
        </w:rPr>
        <w:t>2018 al 89,75</w:t>
      </w:r>
      <w:r w:rsidR="00ED40B4">
        <w:rPr>
          <w:lang w:val="es-ES"/>
        </w:rPr>
        <w:t> %</w:t>
      </w:r>
      <w:r w:rsidRPr="00E14755">
        <w:rPr>
          <w:lang w:val="es-ES"/>
        </w:rPr>
        <w:t xml:space="preserve"> en 2023</w:t>
      </w:r>
      <w:r w:rsidRPr="00E14755">
        <w:rPr>
          <w:vertAlign w:val="superscript"/>
          <w:lang w:val="es-ES"/>
        </w:rPr>
        <w:footnoteReference w:id="48"/>
      </w:r>
      <w:r w:rsidRPr="00E14755">
        <w:rPr>
          <w:lang w:val="es-ES"/>
        </w:rPr>
        <w:t>. La</w:t>
      </w:r>
      <w:r w:rsidR="00AE4701">
        <w:rPr>
          <w:lang w:val="es-ES"/>
        </w:rPr>
        <w:t xml:space="preserve"> </w:t>
      </w:r>
      <w:r w:rsidRPr="00E14755">
        <w:rPr>
          <w:lang w:val="es-ES"/>
        </w:rPr>
        <w:t>tasa de crecimiento de la población se redujo del 1,37</w:t>
      </w:r>
      <w:r w:rsidR="00ED40B4">
        <w:rPr>
          <w:lang w:val="es-ES"/>
        </w:rPr>
        <w:t> %</w:t>
      </w:r>
      <w:r w:rsidRPr="00E14755">
        <w:rPr>
          <w:lang w:val="es-ES"/>
        </w:rPr>
        <w:t xml:space="preserve"> en 2015 al 1,33</w:t>
      </w:r>
      <w:r w:rsidR="00ED40B4">
        <w:rPr>
          <w:lang w:val="es-ES"/>
        </w:rPr>
        <w:t> %</w:t>
      </w:r>
      <w:r w:rsidRPr="00E14755">
        <w:rPr>
          <w:lang w:val="es-ES"/>
        </w:rPr>
        <w:t xml:space="preserve"> en 2023. Además, la tasa de abandono escolar disminuyó del 10,58</w:t>
      </w:r>
      <w:r w:rsidR="00ED40B4">
        <w:rPr>
          <w:lang w:val="es-ES"/>
        </w:rPr>
        <w:t> %</w:t>
      </w:r>
      <w:r w:rsidRPr="00E14755">
        <w:rPr>
          <w:lang w:val="es-ES"/>
        </w:rPr>
        <w:t xml:space="preserve"> en 2022 al 9,36</w:t>
      </w:r>
      <w:r w:rsidR="00ED40B4">
        <w:rPr>
          <w:lang w:val="es-ES"/>
        </w:rPr>
        <w:t> %</w:t>
      </w:r>
      <w:r w:rsidRPr="00E14755">
        <w:rPr>
          <w:lang w:val="es-ES"/>
        </w:rPr>
        <w:t xml:space="preserve"> en 2023</w:t>
      </w:r>
      <w:r w:rsidRPr="00E14755">
        <w:rPr>
          <w:vertAlign w:val="superscript"/>
          <w:lang w:val="es-ES"/>
        </w:rPr>
        <w:footnoteReference w:id="49"/>
      </w:r>
      <w:r w:rsidRPr="00E14755">
        <w:rPr>
          <w:lang w:val="es-ES"/>
        </w:rPr>
        <w:t>.</w:t>
      </w:r>
    </w:p>
    <w:p w14:paraId="6FC9433F" w14:textId="6C8D08C7" w:rsidR="00E14755" w:rsidRPr="00E14755" w:rsidRDefault="00E14755" w:rsidP="00E14755">
      <w:pPr>
        <w:pStyle w:val="SingleTxt"/>
        <w:numPr>
          <w:ilvl w:val="0"/>
          <w:numId w:val="26"/>
        </w:numPr>
        <w:ind w:left="1267"/>
        <w:rPr>
          <w:lang w:val="es-ES"/>
        </w:rPr>
      </w:pPr>
      <w:r w:rsidRPr="00E14755">
        <w:rPr>
          <w:lang w:val="es-ES"/>
        </w:rPr>
        <w:t>En 2023, el Ministerio de Asuntos de la Mujer y la Infancia emprendió un programa de protección social de respuesta ante perturbaciones ampliado, más inclusivo y que tiene en cuenta la nutrición para el período 2023-2028. El programa contempla la modificación del Programa de Prestaciones para Madres e Hijos y del Programa de Prestaciones para Mujeres Vulnerables.</w:t>
      </w:r>
    </w:p>
    <w:p w14:paraId="1725AE3E" w14:textId="429364FA" w:rsidR="00E14755" w:rsidRPr="00E14755" w:rsidRDefault="00E14755" w:rsidP="00E14755">
      <w:pPr>
        <w:pStyle w:val="SingleTxt"/>
        <w:numPr>
          <w:ilvl w:val="0"/>
          <w:numId w:val="26"/>
        </w:numPr>
        <w:ind w:left="1267"/>
        <w:rPr>
          <w:lang w:val="es-ES"/>
        </w:rPr>
      </w:pPr>
      <w:r w:rsidRPr="00E14755">
        <w:rPr>
          <w:lang w:val="es-ES"/>
        </w:rPr>
        <w:t>Uso de anticonceptivos: El Gobierno adoptó una Estrategia de Planificación Familiar plurianual para el período 2022-2025, bajo la égida del Ministerio de Salud y Bienestar de la Familia, que tiene por objetivo aumentar la demanda de métodos anticonceptivos modernos a través de servicios de planificación familiar para mujeres y niñas basados en las comunidades y en instalaciones, tanto en las comunidades rohinyá como en las de acogida. La tasa de uso de anticonceptivos era del 62,1</w:t>
      </w:r>
      <w:r w:rsidR="00ED40B4">
        <w:rPr>
          <w:lang w:val="es-ES"/>
        </w:rPr>
        <w:t> %</w:t>
      </w:r>
      <w:r w:rsidRPr="00E14755">
        <w:rPr>
          <w:lang w:val="es-ES"/>
        </w:rPr>
        <w:t xml:space="preserve"> en 2023, lo que supone una reducción con respecto al año anterior (63,3</w:t>
      </w:r>
      <w:r w:rsidR="00ED40B4">
        <w:rPr>
          <w:lang w:val="es-ES"/>
        </w:rPr>
        <w:t> %</w:t>
      </w:r>
      <w:r w:rsidRPr="00E14755">
        <w:rPr>
          <w:lang w:val="es-ES"/>
        </w:rPr>
        <w:t xml:space="preserve">). Las mujeres </w:t>
      </w:r>
      <w:r w:rsidRPr="00E14755">
        <w:rPr>
          <w:lang w:val="es-ES"/>
        </w:rPr>
        <w:lastRenderedPageBreak/>
        <w:t>casadas en edad de procrear de las zonas urbanas utilizan anticonceptivos con más frecuencia (63,9</w:t>
      </w:r>
      <w:r w:rsidR="00ED40B4">
        <w:rPr>
          <w:lang w:val="es-ES"/>
        </w:rPr>
        <w:t> %</w:t>
      </w:r>
      <w:r w:rsidRPr="00E14755">
        <w:rPr>
          <w:lang w:val="es-ES"/>
        </w:rPr>
        <w:t>) que las de zonas rurales (61,6</w:t>
      </w:r>
      <w:r w:rsidR="00ED40B4">
        <w:rPr>
          <w:lang w:val="es-ES"/>
        </w:rPr>
        <w:t> %</w:t>
      </w:r>
      <w:r w:rsidRPr="00E14755">
        <w:rPr>
          <w:lang w:val="es-ES"/>
        </w:rPr>
        <w:t>), aunque la diferencia no es significativa. La tasa de uso de métodos anticonceptivos modernos disminuyó ligeramente en 2023 (61,0</w:t>
      </w:r>
      <w:r w:rsidR="00ED40B4">
        <w:rPr>
          <w:lang w:val="es-ES"/>
        </w:rPr>
        <w:t> %</w:t>
      </w:r>
      <w:r w:rsidRPr="00E14755">
        <w:rPr>
          <w:lang w:val="es-ES"/>
        </w:rPr>
        <w:t>) con respecto al año anterior, a 2022 (62,3</w:t>
      </w:r>
      <w:r w:rsidR="00ED40B4">
        <w:rPr>
          <w:lang w:val="es-ES"/>
        </w:rPr>
        <w:t> %</w:t>
      </w:r>
      <w:r w:rsidRPr="00E14755">
        <w:rPr>
          <w:lang w:val="es-ES"/>
        </w:rPr>
        <w:t>)</w:t>
      </w:r>
      <w:r w:rsidRPr="00E14755">
        <w:rPr>
          <w:vertAlign w:val="superscript"/>
          <w:lang w:val="es-ES"/>
        </w:rPr>
        <w:footnoteReference w:id="50"/>
      </w:r>
      <w:r w:rsidRPr="00E14755">
        <w:rPr>
          <w:lang w:val="es-ES"/>
        </w:rPr>
        <w:t>.</w:t>
      </w:r>
    </w:p>
    <w:p w14:paraId="02306148" w14:textId="77777777" w:rsidR="00E14755" w:rsidRPr="00E14755" w:rsidRDefault="00E14755" w:rsidP="00E14755">
      <w:pPr>
        <w:pStyle w:val="SingleTxt"/>
        <w:spacing w:after="0" w:line="120" w:lineRule="exact"/>
        <w:rPr>
          <w:sz w:val="10"/>
          <w:lang w:val="es-ES"/>
        </w:rPr>
      </w:pPr>
      <w:bookmarkStart w:id="25" w:name="_Toc196047984"/>
      <w:bookmarkStart w:id="26" w:name="_Toc198161706"/>
    </w:p>
    <w:p w14:paraId="404A2E34" w14:textId="77777777" w:rsidR="00E14755" w:rsidRPr="00E14755" w:rsidRDefault="00E14755" w:rsidP="00E14755">
      <w:pPr>
        <w:pStyle w:val="SingleTxt"/>
        <w:spacing w:after="0" w:line="120" w:lineRule="exact"/>
        <w:rPr>
          <w:sz w:val="10"/>
          <w:lang w:val="es-ES"/>
        </w:rPr>
      </w:pPr>
    </w:p>
    <w:p w14:paraId="1B9A38CC" w14:textId="1510CB0B" w:rsidR="00E14755" w:rsidRPr="00E14755" w:rsidRDefault="00E14755" w:rsidP="00E147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Empoderamiento económico de las mujeres</w:t>
      </w:r>
      <w:bookmarkEnd w:id="25"/>
      <w:bookmarkEnd w:id="26"/>
    </w:p>
    <w:p w14:paraId="28774BCE" w14:textId="77777777" w:rsidR="00E14755" w:rsidRPr="00E14755" w:rsidRDefault="00E14755" w:rsidP="00E14755">
      <w:pPr>
        <w:pStyle w:val="SingleTxt"/>
        <w:spacing w:after="0" w:line="120" w:lineRule="exact"/>
        <w:rPr>
          <w:sz w:val="10"/>
          <w:lang w:val="es-ES"/>
        </w:rPr>
      </w:pPr>
    </w:p>
    <w:p w14:paraId="3FD26E07" w14:textId="77777777" w:rsidR="00E14755" w:rsidRPr="00E14755" w:rsidRDefault="00E14755" w:rsidP="00E14755">
      <w:pPr>
        <w:pStyle w:val="SingleTxt"/>
        <w:spacing w:after="0" w:line="120" w:lineRule="exact"/>
        <w:rPr>
          <w:sz w:val="10"/>
          <w:lang w:val="es-ES"/>
        </w:rPr>
      </w:pPr>
    </w:p>
    <w:p w14:paraId="0681AD66" w14:textId="440EADE1" w:rsidR="00E14755" w:rsidRPr="00E14755" w:rsidRDefault="00E14755" w:rsidP="00E14755">
      <w:pPr>
        <w:pStyle w:val="SingleTxt"/>
        <w:numPr>
          <w:ilvl w:val="0"/>
          <w:numId w:val="26"/>
        </w:numPr>
        <w:ind w:left="1267"/>
        <w:rPr>
          <w:lang w:val="es-ES"/>
        </w:rPr>
      </w:pPr>
      <w:r w:rsidRPr="00E14755">
        <w:rPr>
          <w:lang w:val="es-ES"/>
        </w:rPr>
        <w:t>Las mujeres desempeñan un papel crucial en nuestra economía, en particular en el</w:t>
      </w:r>
      <w:r w:rsidR="00AE4701">
        <w:rPr>
          <w:lang w:val="es-ES"/>
        </w:rPr>
        <w:t xml:space="preserve"> </w:t>
      </w:r>
      <w:r w:rsidRPr="00E14755">
        <w:rPr>
          <w:lang w:val="es-ES"/>
        </w:rPr>
        <w:t>sector de la confección, las pequeñas y medianas empresas y las economías rurales. Mediante la microfinanciación, la formación y el acceso a recursos, el Gobierno apoya a las emprendedoras y refuerza su independencia económica. Además, ha emprendido otras iniciativas encaminadas a crear o reforzar los mecanismos nacionales de promoción y protección de los derechos de las mujeres, como la presupuestación que responde a las cuestiones de género, el plan de acción nacional para la implementación de la Política Nacional para el Adelanto de las Mujeres y el Plan de Acción para los ODS.</w:t>
      </w:r>
    </w:p>
    <w:p w14:paraId="37E5D9E1" w14:textId="5F923E9B" w:rsidR="00E14755" w:rsidRPr="00E14755" w:rsidRDefault="00E14755" w:rsidP="00E14755">
      <w:pPr>
        <w:pStyle w:val="SingleTxt"/>
        <w:numPr>
          <w:ilvl w:val="0"/>
          <w:numId w:val="26"/>
        </w:numPr>
        <w:ind w:left="1267"/>
        <w:rPr>
          <w:lang w:val="es-ES"/>
        </w:rPr>
      </w:pPr>
      <w:r w:rsidRPr="00E14755">
        <w:rPr>
          <w:lang w:val="es-ES"/>
        </w:rPr>
        <w:t>Empleo: Según la encuesta de población activa de 2022, la tasa de participación de las mujeres en la fuerza de trabajo aumentó del 36</w:t>
      </w:r>
      <w:r w:rsidR="00ED40B4">
        <w:rPr>
          <w:lang w:val="es-ES"/>
        </w:rPr>
        <w:t> %</w:t>
      </w:r>
      <w:r w:rsidRPr="00E14755">
        <w:rPr>
          <w:lang w:val="es-ES"/>
        </w:rPr>
        <w:t xml:space="preserve"> en 2010 al 42,77</w:t>
      </w:r>
      <w:r w:rsidR="00ED40B4">
        <w:rPr>
          <w:lang w:val="es-ES"/>
        </w:rPr>
        <w:t> %</w:t>
      </w:r>
      <w:r w:rsidRPr="00E14755">
        <w:rPr>
          <w:lang w:val="es-ES"/>
        </w:rPr>
        <w:t xml:space="preserve"> en 2022. Además, en el plano nacional, la tasa de participación en la fuerza de trabajo también creció y alcanzó el 61,2</w:t>
      </w:r>
      <w:r w:rsidR="00ED40B4">
        <w:rPr>
          <w:lang w:val="es-ES"/>
        </w:rPr>
        <w:t> %</w:t>
      </w:r>
      <w:r w:rsidRPr="00E14755">
        <w:rPr>
          <w:lang w:val="es-ES"/>
        </w:rPr>
        <w:t xml:space="preserve"> en 2022. El Gobierno está determinado a alcanzar una tasa de participación de las mujeres en la fuerza de trabajo del 50</w:t>
      </w:r>
      <w:r w:rsidR="00ED40B4">
        <w:rPr>
          <w:lang w:val="es-ES"/>
        </w:rPr>
        <w:t> %</w:t>
      </w:r>
      <w:r w:rsidRPr="00E14755">
        <w:rPr>
          <w:lang w:val="es-ES"/>
        </w:rPr>
        <w:t xml:space="preserve"> para 2030, así como la paridad de género en el sector de las TIC para 2041. Cabe mencionar que un gran número de mujeres trabajan en el sector nacional del </w:t>
      </w:r>
      <w:r w:rsidRPr="00CB5A7E">
        <w:rPr>
          <w:i/>
          <w:iCs/>
          <w:lang w:val="es-ES"/>
        </w:rPr>
        <w:t>prêt-à-porter</w:t>
      </w:r>
      <w:r w:rsidRPr="00E14755">
        <w:rPr>
          <w:lang w:val="es-ES"/>
        </w:rPr>
        <w:t>, que realiza una contribución notable a la economía de Bangladesh. En 2021, el porcentaje de trabajadoras en ese sector era del 53,65</w:t>
      </w:r>
      <w:r w:rsidR="00ED40B4">
        <w:rPr>
          <w:lang w:val="es-ES"/>
        </w:rPr>
        <w:t> %</w:t>
      </w:r>
      <w:r w:rsidRPr="00E14755">
        <w:rPr>
          <w:lang w:val="es-ES"/>
        </w:rPr>
        <w:t>.</w:t>
      </w:r>
    </w:p>
    <w:p w14:paraId="07E44C95" w14:textId="223D0FEB" w:rsidR="00E14755" w:rsidRPr="00E14755" w:rsidRDefault="00E14755" w:rsidP="00E14755">
      <w:pPr>
        <w:pStyle w:val="SingleTxt"/>
        <w:numPr>
          <w:ilvl w:val="0"/>
          <w:numId w:val="26"/>
        </w:numPr>
        <w:ind w:left="1267"/>
        <w:rPr>
          <w:lang w:val="es-ES"/>
        </w:rPr>
      </w:pPr>
      <w:r w:rsidRPr="00E14755">
        <w:rPr>
          <w:lang w:val="es-ES"/>
        </w:rPr>
        <w:t>En la Ley del Trabajo de Bangladesh (Modificación) de 2023 se incrementó la duración de la licencia de maternidad de 112 a 120 días. Ahora las trabajadoras pueden disfrutar de esos 120 días antes o después del parto, mientras que anteriormente tenían que dividir el tiempo por partes iguales entre ambos períodos. Entre otras modificaciones notables se encuentra la disposición de que la Célula de Apoyo al Derecho Laboral preste también servicios jurídicos a las mujeres que realizan ciertas tareas manuales, por ejemplo a las que trabajan en el sector de la confección. En el ejercicio económico 2023/2024, el número total de trabajadoras que recibieron prestaciones por maternidad fue de 8.855 y el importe total de las prestaciones ascendió a 333,72 millones de takas</w:t>
      </w:r>
      <w:r w:rsidRPr="00E14755">
        <w:rPr>
          <w:vertAlign w:val="superscript"/>
          <w:lang w:val="es-ES"/>
        </w:rPr>
        <w:footnoteReference w:id="51"/>
      </w:r>
      <w:r w:rsidRPr="00E14755">
        <w:rPr>
          <w:lang w:val="es-ES"/>
        </w:rPr>
        <w:t>.</w:t>
      </w:r>
    </w:p>
    <w:p w14:paraId="5C5A9A50" w14:textId="0F9F0441" w:rsidR="00E14755" w:rsidRPr="00E14755" w:rsidRDefault="00E14755" w:rsidP="00E14755">
      <w:pPr>
        <w:pStyle w:val="SingleTxt"/>
        <w:numPr>
          <w:ilvl w:val="0"/>
          <w:numId w:val="26"/>
        </w:numPr>
        <w:ind w:left="1267"/>
        <w:rPr>
          <w:lang w:val="es-ES"/>
        </w:rPr>
      </w:pPr>
      <w:r w:rsidRPr="00E14755">
        <w:rPr>
          <w:lang w:val="es-ES"/>
        </w:rPr>
        <w:t>El Gobierno ha creado la Hoja de Ruta de Género (2020-2030) para el Departamento de Inspección de Fábricas y Establecimientos con el fin de incorporar la perspectiva de género, haciendo especial énfasis en el trabajo decente, la atención de la salud y la protección frente a la violencia y el acoso. En el período 2023-2024, ese Departamento realizó 48.472</w:t>
      </w:r>
      <w:r w:rsidR="00AE4701">
        <w:rPr>
          <w:lang w:val="es-ES"/>
        </w:rPr>
        <w:t xml:space="preserve"> </w:t>
      </w:r>
      <w:r w:rsidRPr="00E14755">
        <w:rPr>
          <w:lang w:val="es-ES"/>
        </w:rPr>
        <w:t>inspecciones para velar por que tanto hombres como mujeres disfrutaran de condiciones laborales decentes. A través de esas inspecciones se detectaron 290.832</w:t>
      </w:r>
      <w:r w:rsidR="00AE4701">
        <w:rPr>
          <w:lang w:val="es-ES"/>
        </w:rPr>
        <w:t xml:space="preserve"> </w:t>
      </w:r>
      <w:r w:rsidRPr="00E14755">
        <w:rPr>
          <w:lang w:val="es-ES"/>
        </w:rPr>
        <w:t>infracciones y se incoaron 1.386 causas ante el tribunal laboral. Actualmente hay 440 inspectores laborales, de los cuales 82 son mujeres</w:t>
      </w:r>
      <w:r w:rsidRPr="00E14755">
        <w:rPr>
          <w:vertAlign w:val="superscript"/>
          <w:lang w:val="es-ES"/>
        </w:rPr>
        <w:footnoteReference w:id="52"/>
      </w:r>
      <w:r w:rsidRPr="00E14755">
        <w:rPr>
          <w:lang w:val="es-ES"/>
        </w:rPr>
        <w:t>.</w:t>
      </w:r>
    </w:p>
    <w:p w14:paraId="1ADED305" w14:textId="6C051DF3" w:rsidR="00E14755" w:rsidRPr="00E14755" w:rsidRDefault="00E14755" w:rsidP="00E14755">
      <w:pPr>
        <w:pStyle w:val="SingleTxt"/>
        <w:numPr>
          <w:ilvl w:val="0"/>
          <w:numId w:val="26"/>
        </w:numPr>
        <w:ind w:left="1267"/>
        <w:rPr>
          <w:lang w:val="es-ES"/>
        </w:rPr>
      </w:pPr>
      <w:bookmarkStart w:id="27" w:name="_Hlk208144859"/>
      <w:r w:rsidRPr="009B091E">
        <w:rPr>
          <w:lang w:val="es-ES"/>
        </w:rPr>
        <w:t>El Gobierno ha aprobado</w:t>
      </w:r>
      <w:r w:rsidRPr="00E14755">
        <w:rPr>
          <w:lang w:val="es-ES"/>
        </w:rPr>
        <w:t xml:space="preserve"> la Ley de Guarderías de 2021 para establecer normas y reglamentos que rijan el funcionamiento de las guarderías. El Gobierno ha creado y gestiona 63</w:t>
      </w:r>
      <w:r w:rsidR="00AE4701">
        <w:rPr>
          <w:lang w:val="es-ES"/>
        </w:rPr>
        <w:t xml:space="preserve"> </w:t>
      </w:r>
      <w:r w:rsidRPr="00E14755">
        <w:rPr>
          <w:lang w:val="es-ES"/>
        </w:rPr>
        <w:t xml:space="preserve">guarderías en diferentes puntos del país. Las guarderías prestan apoyo a los progenitores que trabajan, en particular a las madres, al facilitar acceso a cuidados regulados, lo que promueve una mayor participación de las mujeres en la </w:t>
      </w:r>
      <w:r w:rsidRPr="00E14755">
        <w:rPr>
          <w:lang w:val="es-ES"/>
        </w:rPr>
        <w:lastRenderedPageBreak/>
        <w:t>fuerza de trabajo y su empoderamiento económico, además de formalizar el sector de los cuidados infantiles para ofrecer a los niños cuidados de alta calidad y en condiciones de seguridad. Entre 2014 y 2024, se crearon 6.726 guarderías y se celebraron en total 6.057 reuniones de motivación</w:t>
      </w:r>
      <w:r w:rsidRPr="00E14755">
        <w:rPr>
          <w:vertAlign w:val="superscript"/>
          <w:lang w:val="es-ES"/>
        </w:rPr>
        <w:footnoteReference w:id="53"/>
      </w:r>
      <w:r w:rsidRPr="00E14755">
        <w:rPr>
          <w:lang w:val="es-ES"/>
        </w:rPr>
        <w:t>.</w:t>
      </w:r>
      <w:bookmarkEnd w:id="27"/>
    </w:p>
    <w:p w14:paraId="71522621" w14:textId="4AA0D2D8" w:rsidR="00E14755" w:rsidRPr="00E14755" w:rsidRDefault="00E14755" w:rsidP="00E14755">
      <w:pPr>
        <w:pStyle w:val="SingleTxt"/>
        <w:numPr>
          <w:ilvl w:val="0"/>
          <w:numId w:val="26"/>
        </w:numPr>
        <w:ind w:left="1267"/>
        <w:rPr>
          <w:lang w:val="es-ES"/>
        </w:rPr>
      </w:pPr>
      <w:r w:rsidRPr="00E14755">
        <w:rPr>
          <w:lang w:val="es-ES"/>
        </w:rPr>
        <w:t>La Oficina de Estadística de Bangladesh llevó a cabo su primera encuesta sobre el uso del tiempo en 2021. Según el informe de resultante, las mujeres dedican 7,3</w:t>
      </w:r>
      <w:r w:rsidR="00466AE9">
        <w:rPr>
          <w:lang w:val="es-ES"/>
        </w:rPr>
        <w:t> </w:t>
      </w:r>
      <w:r w:rsidRPr="00E14755">
        <w:rPr>
          <w:lang w:val="es-ES"/>
        </w:rPr>
        <w:t>veces más tiempo que los hombres al trabajo doméstico y de cuidados no remunerado, lo que incluye cocinar, limpiar, lavar y cuidar de los niños y los ancianos, entre otros. Los resultados del informe han permitido a Bangladesh establecer una base de referencia para vigilar los progresos en relación con el indicador 5.4.1 de los ODS (Proporción de tiempo dedicado al trabajo doméstico y asistencial no remunerado, desglosada por sexo, edad y ubicación).</w:t>
      </w:r>
    </w:p>
    <w:p w14:paraId="778DAC7B" w14:textId="042AE685" w:rsidR="00E14755" w:rsidRPr="00E14755" w:rsidRDefault="00E14755" w:rsidP="00E14755">
      <w:pPr>
        <w:pStyle w:val="SingleTxt"/>
        <w:numPr>
          <w:ilvl w:val="0"/>
          <w:numId w:val="26"/>
        </w:numPr>
        <w:ind w:left="1267"/>
        <w:rPr>
          <w:lang w:val="es-ES"/>
        </w:rPr>
      </w:pPr>
      <w:r w:rsidRPr="00E14755">
        <w:rPr>
          <w:lang w:val="es-ES"/>
        </w:rPr>
        <w:t>El Banco de Bangladesh ha creado el Panel de Datos sobre la Inclusión Financiera de las Mujeres, un panel específico para los datos sobre la inclusión financiera centrados en las mujeres que ofrece información valiosa sobre diversos programas e iniciativas orientados al empoderamiento económico de las mujeres</w:t>
      </w:r>
      <w:r w:rsidRPr="00E14755">
        <w:rPr>
          <w:vertAlign w:val="superscript"/>
          <w:lang w:val="es-ES"/>
        </w:rPr>
        <w:footnoteReference w:id="54"/>
      </w:r>
      <w:r w:rsidRPr="00E14755">
        <w:rPr>
          <w:lang w:val="es-ES"/>
        </w:rPr>
        <w:t>. El Panel pretende arrojar luz sobre el estado de la inclusión financiera de las mujeres en Bangladesh mediante una representación exhaustiva de datos. Al agrupar la información de los proveedores de servicios financieros, presenta un análisis matizado y desglosado por género. El Panel es un instrumento estratégico que, al proporcionarles información, permite a las partes interesadas encontrar opciones para mejorar la inclusión financiera de las mujeres.</w:t>
      </w:r>
    </w:p>
    <w:p w14:paraId="111EEB7D" w14:textId="7E6046D4" w:rsidR="00E14755" w:rsidRPr="00E14755" w:rsidRDefault="00E14755" w:rsidP="00E14755">
      <w:pPr>
        <w:pStyle w:val="SingleTxt"/>
        <w:numPr>
          <w:ilvl w:val="0"/>
          <w:numId w:val="26"/>
        </w:numPr>
        <w:ind w:left="1267"/>
        <w:rPr>
          <w:lang w:val="es-ES"/>
        </w:rPr>
      </w:pPr>
      <w:r w:rsidRPr="00E14755">
        <w:rPr>
          <w:lang w:val="es-ES"/>
        </w:rPr>
        <w:t xml:space="preserve">El Gobierno, en el marco de su programa </w:t>
      </w:r>
      <w:r w:rsidR="00ED40B4">
        <w:rPr>
          <w:lang w:val="es-ES"/>
        </w:rPr>
        <w:t>“</w:t>
      </w:r>
      <w:r w:rsidRPr="00E14755">
        <w:rPr>
          <w:lang w:val="es-ES"/>
        </w:rPr>
        <w:t>Aspire to Innovate (a2i)</w:t>
      </w:r>
      <w:r w:rsidR="00ED40B4">
        <w:rPr>
          <w:lang w:val="es-ES"/>
        </w:rPr>
        <w:t>”</w:t>
      </w:r>
      <w:r w:rsidRPr="00E14755">
        <w:rPr>
          <w:lang w:val="es-ES"/>
        </w:rPr>
        <w:t>, creó en 2022 la Red Sathi, una red de agentes dirigida por mujeres cuyo objetivo es acelerar la inclusión financiera de las mujeres rurales y marginadas mediante la promoción del emprendimiento entre las mujeres, la mejora de sus conocimientos financieros y, lo que es más importante, el</w:t>
      </w:r>
      <w:r w:rsidR="00AE4701">
        <w:rPr>
          <w:lang w:val="es-ES"/>
        </w:rPr>
        <w:t xml:space="preserve"> </w:t>
      </w:r>
      <w:r w:rsidRPr="00E14755">
        <w:rPr>
          <w:lang w:val="es-ES"/>
        </w:rPr>
        <w:t>acceso a servicios financieros. Desde su lanzamiento, más de 160.000 mujeres marginadas han abierto cuentas bancarias con ayuda de las agentes de la Red Sathi.</w:t>
      </w:r>
    </w:p>
    <w:p w14:paraId="1DCFC571" w14:textId="77777777" w:rsidR="00E14755" w:rsidRPr="00E14755" w:rsidRDefault="00E14755" w:rsidP="00E14755">
      <w:pPr>
        <w:pStyle w:val="SingleTxt"/>
        <w:spacing w:after="0" w:line="120" w:lineRule="exact"/>
        <w:rPr>
          <w:sz w:val="10"/>
          <w:lang w:val="es-ES"/>
        </w:rPr>
      </w:pPr>
      <w:bookmarkStart w:id="28" w:name="_Toc196047985"/>
      <w:bookmarkStart w:id="29" w:name="_Toc198161707"/>
    </w:p>
    <w:p w14:paraId="273ADD66" w14:textId="77777777" w:rsidR="00E14755" w:rsidRPr="00E14755" w:rsidRDefault="00E14755" w:rsidP="00E14755">
      <w:pPr>
        <w:pStyle w:val="SingleTxt"/>
        <w:spacing w:after="0" w:line="120" w:lineRule="exact"/>
        <w:rPr>
          <w:sz w:val="10"/>
          <w:lang w:val="es-ES"/>
        </w:rPr>
      </w:pPr>
    </w:p>
    <w:p w14:paraId="6A3CD72D" w14:textId="46D652FF" w:rsidR="00E14755" w:rsidRPr="00E14755" w:rsidRDefault="00E14755" w:rsidP="00E147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 xml:space="preserve">Fomento del emprendimiento entre las mujeres </w:t>
      </w:r>
      <w:bookmarkEnd w:id="28"/>
      <w:bookmarkEnd w:id="29"/>
    </w:p>
    <w:p w14:paraId="0D5BE699" w14:textId="77777777" w:rsidR="00E14755" w:rsidRPr="00E14755" w:rsidRDefault="00E14755" w:rsidP="00E14755">
      <w:pPr>
        <w:pStyle w:val="SingleTxt"/>
        <w:spacing w:after="0" w:line="120" w:lineRule="exact"/>
        <w:rPr>
          <w:sz w:val="10"/>
          <w:lang w:val="es-ES"/>
        </w:rPr>
      </w:pPr>
    </w:p>
    <w:p w14:paraId="3168FDC9" w14:textId="77777777" w:rsidR="00E14755" w:rsidRPr="00E14755" w:rsidRDefault="00E14755" w:rsidP="00E14755">
      <w:pPr>
        <w:pStyle w:val="SingleTxt"/>
        <w:spacing w:after="0" w:line="120" w:lineRule="exact"/>
        <w:rPr>
          <w:sz w:val="10"/>
          <w:lang w:val="es-ES"/>
        </w:rPr>
      </w:pPr>
    </w:p>
    <w:p w14:paraId="3B17BF1A" w14:textId="14EA4CF6" w:rsidR="00E14755" w:rsidRPr="00E14755" w:rsidRDefault="00E14755" w:rsidP="00E14755">
      <w:pPr>
        <w:pStyle w:val="SingleTxt"/>
        <w:numPr>
          <w:ilvl w:val="0"/>
          <w:numId w:val="26"/>
        </w:numPr>
        <w:ind w:left="1267"/>
        <w:rPr>
          <w:lang w:val="es-ES"/>
        </w:rPr>
      </w:pPr>
      <w:r w:rsidRPr="00E14755">
        <w:rPr>
          <w:lang w:val="es-ES"/>
        </w:rPr>
        <w:t xml:space="preserve">Bangladesh ha dado prioridad a las políticas y programas de inclusión financiera y fomento del emprendimiento, lo que ha contribuido a empoderar a las mujeres y ha allanado el camino hacia un crecimiento económico inclusivo, equitativo y sostenible. </w:t>
      </w:r>
    </w:p>
    <w:p w14:paraId="190B158D" w14:textId="11A20468" w:rsidR="00E14755" w:rsidRPr="00391A8F" w:rsidRDefault="00E14755" w:rsidP="00E14755">
      <w:pPr>
        <w:pStyle w:val="SingleTxt"/>
        <w:numPr>
          <w:ilvl w:val="0"/>
          <w:numId w:val="26"/>
        </w:numPr>
        <w:ind w:left="1267"/>
        <w:rPr>
          <w:spacing w:val="6"/>
          <w:lang w:val="es-ES"/>
        </w:rPr>
      </w:pPr>
      <w:r w:rsidRPr="00391A8F">
        <w:rPr>
          <w:spacing w:val="6"/>
          <w:lang w:val="es-ES"/>
        </w:rPr>
        <w:t xml:space="preserve">En 2014, el Banco de Bangladesh estableció la </w:t>
      </w:r>
      <w:r w:rsidR="00ED40B4" w:rsidRPr="00391A8F">
        <w:rPr>
          <w:spacing w:val="6"/>
          <w:lang w:val="es-ES"/>
        </w:rPr>
        <w:t>“</w:t>
      </w:r>
      <w:r w:rsidRPr="00391A8F">
        <w:rPr>
          <w:spacing w:val="6"/>
          <w:lang w:val="es-ES"/>
        </w:rPr>
        <w:t>Dependencia de Fomento del Emprendimiento de las Mujeres</w:t>
      </w:r>
      <w:r w:rsidR="00ED40B4" w:rsidRPr="00391A8F">
        <w:rPr>
          <w:spacing w:val="6"/>
          <w:lang w:val="es-ES"/>
        </w:rPr>
        <w:t>”</w:t>
      </w:r>
      <w:r w:rsidRPr="00391A8F">
        <w:rPr>
          <w:spacing w:val="6"/>
          <w:lang w:val="es-ES"/>
        </w:rPr>
        <w:t xml:space="preserve">, que sigue funcionando para mejorar los esfuerzos de vigilancia en aras del crecimiento de las emprendedoras en la sede y las sucursales del Banco de Bangladesh y las oficinas regionales, incluidas las oficinas centrales de todos los bancos e instituciones financieras. Las emprendedoras pueden dirigirse directamente al centro de solución de problemas del Departamento de Pequeñas y Medianas Empresas y Programas Especiales si experimentan cualquier tipo de acoso al intentar acceder a instituciones de crédito o para obtener información y asesoramiento sobre servicios financieros. Existe también un teléfono de asistencia (16236) para hablar directamente con el funcionario correspondiente del Banco de Bangladesh y obtener ayuda para presentar denuncias. Además, se ha creado un Servicio de Asistencia/Oficina de Emprendedoras en todas </w:t>
      </w:r>
      <w:r w:rsidRPr="00391A8F">
        <w:rPr>
          <w:spacing w:val="6"/>
          <w:lang w:val="es-ES"/>
        </w:rPr>
        <w:lastRenderedPageBreak/>
        <w:t>las sucursales de todos los bancos e instituciones financieras para ofrecer servicios de apoyo financiero a las emprendedoras y atender y resolver sus dudas. Durante el ejercicio económico 2022/2023 se prestaron servicios financieros a un total de 1.466.814 personas: 881.563</w:t>
      </w:r>
      <w:r w:rsidR="00AE4701" w:rsidRPr="00391A8F">
        <w:rPr>
          <w:spacing w:val="6"/>
          <w:lang w:val="es-ES"/>
        </w:rPr>
        <w:t xml:space="preserve"> </w:t>
      </w:r>
      <w:r w:rsidRPr="00391A8F">
        <w:rPr>
          <w:spacing w:val="6"/>
          <w:lang w:val="es-ES"/>
        </w:rPr>
        <w:t>mujeres y 585.251 hombres</w:t>
      </w:r>
      <w:r w:rsidRPr="00391A8F">
        <w:rPr>
          <w:spacing w:val="6"/>
          <w:vertAlign w:val="superscript"/>
          <w:lang w:val="es-ES"/>
        </w:rPr>
        <w:footnoteReference w:id="55"/>
      </w:r>
      <w:r w:rsidRPr="00391A8F">
        <w:rPr>
          <w:spacing w:val="6"/>
          <w:lang w:val="es-ES"/>
        </w:rPr>
        <w:t>.</w:t>
      </w:r>
    </w:p>
    <w:p w14:paraId="5946722D" w14:textId="64A57A8B" w:rsidR="00E14755" w:rsidRPr="002B0807" w:rsidRDefault="00E14755" w:rsidP="00E14755">
      <w:pPr>
        <w:pStyle w:val="SingleTxt"/>
        <w:numPr>
          <w:ilvl w:val="0"/>
          <w:numId w:val="26"/>
        </w:numPr>
        <w:ind w:left="1267"/>
        <w:rPr>
          <w:spacing w:val="3"/>
          <w:lang w:val="es-ES"/>
        </w:rPr>
      </w:pPr>
      <w:r w:rsidRPr="00E14755">
        <w:rPr>
          <w:lang w:val="es-ES"/>
        </w:rPr>
        <w:t>El Banco de Bangladesh también apoya a las emprendedoras del sector artesanal y de las mipymes. El Plan de Refinanciación de Pequeñas Empresas del banco ofrece el 100</w:t>
      </w:r>
      <w:r w:rsidR="00ED40B4">
        <w:rPr>
          <w:lang w:val="es-ES"/>
        </w:rPr>
        <w:t> %</w:t>
      </w:r>
      <w:r w:rsidRPr="00E14755">
        <w:rPr>
          <w:lang w:val="es-ES"/>
        </w:rPr>
        <w:t xml:space="preserve"> de refinanciación con tipos de interés bajos a las emprendedoras de pequeñas y medianas empresas (pymes), y recientemente aumentó el volumen de los fondos de 1.500 a 3.000</w:t>
      </w:r>
      <w:r w:rsidR="00AE4701">
        <w:rPr>
          <w:lang w:val="es-ES"/>
        </w:rPr>
        <w:t xml:space="preserve"> </w:t>
      </w:r>
      <w:r w:rsidRPr="00E14755">
        <w:rPr>
          <w:lang w:val="es-ES"/>
        </w:rPr>
        <w:t xml:space="preserve">millones de takas. Desde 2004, se han concedido 8.490 millones de takas en concepto de refinanciación a 61.924 emprendedoras. Además, el Gobierno ha destinado 2 billones de takas a fondos de estímulo para el sector artesanal y de las mipymes, de los cuales </w:t>
      </w:r>
      <w:r w:rsidRPr="00D4309B">
        <w:rPr>
          <w:lang w:val="es-ES"/>
        </w:rPr>
        <w:t>10.000</w:t>
      </w:r>
      <w:r w:rsidR="00AE4701" w:rsidRPr="00D4309B">
        <w:rPr>
          <w:lang w:val="es-ES"/>
        </w:rPr>
        <w:t xml:space="preserve"> </w:t>
      </w:r>
      <w:r w:rsidRPr="00D4309B">
        <w:rPr>
          <w:lang w:val="es-ES"/>
        </w:rPr>
        <w:t>millones específicamente</w:t>
      </w:r>
      <w:r w:rsidRPr="00E14755">
        <w:rPr>
          <w:lang w:val="es-ES"/>
        </w:rPr>
        <w:t xml:space="preserve"> a emprendedoras. Al 31 de </w:t>
      </w:r>
      <w:r w:rsidRPr="002B0807">
        <w:rPr>
          <w:spacing w:val="3"/>
          <w:lang w:val="es-ES"/>
        </w:rPr>
        <w:t>diciembre de 2023, el total de préstamos y anticipos pendientes en ese sector, concedidos por todos los bancos e instituciones financieras, ascendía a</w:t>
      </w:r>
      <w:r w:rsidR="00AE4701" w:rsidRPr="002B0807">
        <w:rPr>
          <w:spacing w:val="3"/>
          <w:lang w:val="es-ES"/>
        </w:rPr>
        <w:t xml:space="preserve"> </w:t>
      </w:r>
      <w:r w:rsidRPr="002B0807">
        <w:rPr>
          <w:spacing w:val="3"/>
          <w:lang w:val="es-ES"/>
        </w:rPr>
        <w:t>3,0424145</w:t>
      </w:r>
      <w:r w:rsidR="00EC18A7" w:rsidRPr="002B0807">
        <w:rPr>
          <w:spacing w:val="3"/>
          <w:lang w:val="es-ES"/>
        </w:rPr>
        <w:t> </w:t>
      </w:r>
      <w:r w:rsidRPr="002B0807">
        <w:rPr>
          <w:spacing w:val="3"/>
          <w:lang w:val="es-ES"/>
        </w:rPr>
        <w:t>billones de takas. Entre enero y diciembre de 2023, los bancos e instituciones financieras proporcionaron destinaron 2,2931235 billones de takas a préstamos para 1.319.159 emprendedores del sector artesanal y de las mipymes. Durante ese mismo período, se concedieron 148.532 millones de takas específicamente a 236.172 mujeres emprendedoras de ese sector</w:t>
      </w:r>
      <w:r w:rsidRPr="002B0807">
        <w:rPr>
          <w:spacing w:val="3"/>
          <w:vertAlign w:val="superscript"/>
          <w:lang w:val="es-ES"/>
        </w:rPr>
        <w:footnoteReference w:id="56"/>
      </w:r>
      <w:r w:rsidRPr="002B0807">
        <w:rPr>
          <w:spacing w:val="3"/>
          <w:lang w:val="es-ES"/>
        </w:rPr>
        <w:t>.</w:t>
      </w:r>
    </w:p>
    <w:p w14:paraId="7E970BC6" w14:textId="4D0306A7" w:rsidR="00E14755" w:rsidRPr="00E14755" w:rsidRDefault="00E14755" w:rsidP="00E14755">
      <w:pPr>
        <w:pStyle w:val="SingleTxt"/>
        <w:numPr>
          <w:ilvl w:val="0"/>
          <w:numId w:val="26"/>
        </w:numPr>
        <w:ind w:left="1267"/>
        <w:rPr>
          <w:lang w:val="es-ES"/>
        </w:rPr>
      </w:pPr>
      <w:r w:rsidRPr="00E14755">
        <w:rPr>
          <w:lang w:val="es-ES"/>
        </w:rPr>
        <w:t>En 2022, unas 1.000 emprendedoras recibieron una subvención de 50.000 takas (427,35 dólares de los Estados Unidos) en el marco del proyecto de la Academia de Emprendimiento y Diseño de Innovación (iDEA, por sus siglas en inglés) del Bangladesh Computer Council</w:t>
      </w:r>
      <w:r w:rsidRPr="00D4309B">
        <w:rPr>
          <w:lang w:val="es-ES"/>
        </w:rPr>
        <w:t>. Además, se impartió formación</w:t>
      </w:r>
      <w:r w:rsidRPr="00E14755">
        <w:rPr>
          <w:lang w:val="es-ES"/>
        </w:rPr>
        <w:t xml:space="preserve"> en tecnología de la información a unas 250.000 mujeres. El Gobierno ha realizado grandes inversiones en infraestructura digital y ha puesto en marcha varias iniciativas emblemáticas a fin de reducir la brecha digital de género.</w:t>
      </w:r>
    </w:p>
    <w:p w14:paraId="03ABAC8F" w14:textId="5C77892E" w:rsidR="00E14755" w:rsidRPr="00E14755" w:rsidRDefault="00E14755" w:rsidP="00E14755">
      <w:pPr>
        <w:pStyle w:val="SingleTxt"/>
        <w:numPr>
          <w:ilvl w:val="0"/>
          <w:numId w:val="26"/>
        </w:numPr>
        <w:ind w:left="1267"/>
        <w:rPr>
          <w:lang w:val="es-ES"/>
        </w:rPr>
      </w:pPr>
      <w:r w:rsidRPr="00E14755">
        <w:rPr>
          <w:lang w:val="es-ES"/>
        </w:rPr>
        <w:t>La Palli Karma-Sahayak Foundation (PKSF), una fundación del Gobierno, realiza una función primordial en materia de concesión de préstamos y actividades de desarrollo, y las mujeres representan alrededor del 60</w:t>
      </w:r>
      <w:r w:rsidR="00ED40B4">
        <w:rPr>
          <w:lang w:val="es-ES"/>
        </w:rPr>
        <w:t> %</w:t>
      </w:r>
      <w:r w:rsidRPr="00E14755">
        <w:rPr>
          <w:lang w:val="es-ES"/>
        </w:rPr>
        <w:t xml:space="preserve"> de sus beneficiarios. El reciente Proyecto de Gobernanza y Servicios Municipales, ejecutado por el Fondo de Desarrollo Municipal de Bangladesh, ha atendido a un total de 3.984.400</w:t>
      </w:r>
      <w:r w:rsidR="002B0807">
        <w:rPr>
          <w:lang w:val="es-ES"/>
        </w:rPr>
        <w:t> </w:t>
      </w:r>
      <w:r w:rsidRPr="00E14755">
        <w:rPr>
          <w:lang w:val="es-ES"/>
        </w:rPr>
        <w:t>beneficiarios, de los cuales 1.872.668 eran mujeres y 2.111.732, hombres, lo que significa que las mujeres representaban el 47</w:t>
      </w:r>
      <w:r w:rsidR="00ED40B4">
        <w:rPr>
          <w:lang w:val="es-ES"/>
        </w:rPr>
        <w:t> %</w:t>
      </w:r>
      <w:r w:rsidRPr="00E14755">
        <w:rPr>
          <w:lang w:val="es-ES"/>
        </w:rPr>
        <w:t xml:space="preserve"> del total. Además, el Fondo ha destinado importantes sumas a mejorar la calidad de vida de las mujeres: 8.000</w:t>
      </w:r>
      <w:r w:rsidR="002B0807">
        <w:rPr>
          <w:lang w:val="es-ES"/>
        </w:rPr>
        <w:t> </w:t>
      </w:r>
      <w:r w:rsidRPr="00E14755">
        <w:rPr>
          <w:lang w:val="es-ES"/>
        </w:rPr>
        <w:t>millones de takas en el ejercicio económico 2021/2022, 11.460 millones de takas en el ejercicio 2020/2021 y 6.080 millones de takas en el ejercicio 2019/2020</w:t>
      </w:r>
      <w:r w:rsidRPr="00E14755">
        <w:rPr>
          <w:vertAlign w:val="superscript"/>
          <w:lang w:val="es-ES"/>
        </w:rPr>
        <w:footnoteReference w:id="57"/>
      </w:r>
      <w:r w:rsidRPr="00E14755">
        <w:rPr>
          <w:lang w:val="es-ES"/>
        </w:rPr>
        <w:t>.</w:t>
      </w:r>
    </w:p>
    <w:p w14:paraId="6C07A6B7" w14:textId="39948157" w:rsidR="00E14755" w:rsidRPr="00E14755" w:rsidRDefault="00E14755" w:rsidP="00E14755">
      <w:pPr>
        <w:pStyle w:val="SingleTxt"/>
        <w:numPr>
          <w:ilvl w:val="0"/>
          <w:numId w:val="26"/>
        </w:numPr>
        <w:ind w:left="1267"/>
        <w:rPr>
          <w:lang w:val="es-ES"/>
        </w:rPr>
      </w:pPr>
      <w:r w:rsidRPr="00E14755">
        <w:rPr>
          <w:lang w:val="es-ES"/>
        </w:rPr>
        <w:t xml:space="preserve">El Ministerio de Asuntos de la Mujer y la Infancia, a través de la Fundación Joyeeta, una asociación autónoma sin ánimo de lucro, proporciona financiación y apoyo a las emprendedoras con el objeto de impulsar las redes de </w:t>
      </w:r>
      <w:r w:rsidRPr="00E14755">
        <w:rPr>
          <w:i/>
          <w:iCs/>
          <w:lang w:val="es-ES"/>
        </w:rPr>
        <w:t>marketing</w:t>
      </w:r>
      <w:r w:rsidRPr="00E14755">
        <w:rPr>
          <w:lang w:val="es-ES"/>
        </w:rPr>
        <w:t xml:space="preserve"> y las cadenas de valor favorables a las mujeres y, así, promover su empoderamiento económico. En 2023, Bangladesh puso en marcha el proyecto de construcción de la Torre Joyeeta, cuyo objetivo era mejorar las instalaciones accesibles de </w:t>
      </w:r>
      <w:r w:rsidRPr="00E14755">
        <w:rPr>
          <w:i/>
          <w:iCs/>
          <w:lang w:val="es-ES"/>
        </w:rPr>
        <w:t>marketing</w:t>
      </w:r>
      <w:r w:rsidRPr="00E14755">
        <w:rPr>
          <w:lang w:val="es-ES"/>
        </w:rPr>
        <w:t xml:space="preserve"> para las emprendedoras. Este edificio cuenta con la infraestructura física necesaria </w:t>
      </w:r>
      <w:r w:rsidRPr="00E14755">
        <w:rPr>
          <w:lang w:val="es-ES"/>
        </w:rPr>
        <w:lastRenderedPageBreak/>
        <w:t>para formar a las emprendedoras en gestión empresarial y estrategias de desarrollo y dotarlas de conocimientos y aptitudes.</w:t>
      </w:r>
    </w:p>
    <w:p w14:paraId="7C93A03B" w14:textId="2FBF83AD" w:rsidR="00E14755" w:rsidRPr="00E14755" w:rsidRDefault="00E14755" w:rsidP="00E14755">
      <w:pPr>
        <w:pStyle w:val="SingleTxt"/>
        <w:numPr>
          <w:ilvl w:val="0"/>
          <w:numId w:val="26"/>
        </w:numPr>
        <w:ind w:left="1267"/>
        <w:rPr>
          <w:lang w:val="es-ES"/>
        </w:rPr>
      </w:pPr>
      <w:r w:rsidRPr="00E14755">
        <w:rPr>
          <w:lang w:val="es-ES"/>
        </w:rPr>
        <w:t xml:space="preserve">En 2018, Bangladesh emprendió el proyecto emblemático </w:t>
      </w:r>
      <w:r w:rsidR="00ED40B4">
        <w:rPr>
          <w:lang w:val="es-ES"/>
        </w:rPr>
        <w:t>“</w:t>
      </w:r>
      <w:r w:rsidRPr="00E14755">
        <w:rPr>
          <w:lang w:val="es-ES"/>
        </w:rPr>
        <w:t>She Power Project –Sustainable Development for Women through ICT Frontline Initiative</w:t>
      </w:r>
      <w:r w:rsidR="00ED40B4">
        <w:rPr>
          <w:lang w:val="es-ES"/>
        </w:rPr>
        <w:t>”</w:t>
      </w:r>
      <w:r w:rsidRPr="00E14755">
        <w:rPr>
          <w:lang w:val="es-ES"/>
        </w:rPr>
        <w:t xml:space="preserve"> con el objetivo de crear una fuerza de trabajo femenina competente y empoderar a las emprendedoras, las</w:t>
      </w:r>
      <w:r w:rsidR="00AE4701">
        <w:rPr>
          <w:lang w:val="es-ES"/>
        </w:rPr>
        <w:t xml:space="preserve"> </w:t>
      </w:r>
      <w:r w:rsidRPr="00E14755">
        <w:rPr>
          <w:lang w:val="es-ES"/>
        </w:rPr>
        <w:t>empresas emergentes y las mujeres que trabajan en tecnología en Bangladesh. Los</w:t>
      </w:r>
      <w:r w:rsidR="00AE4701">
        <w:rPr>
          <w:lang w:val="es-ES"/>
        </w:rPr>
        <w:t xml:space="preserve"> </w:t>
      </w:r>
      <w:r w:rsidRPr="00E14755">
        <w:rPr>
          <w:lang w:val="es-ES"/>
        </w:rPr>
        <w:t>proyectos She Power y Her Power han logrado que 10.000</w:t>
      </w:r>
      <w:r w:rsidR="00AE4701">
        <w:rPr>
          <w:lang w:val="es-ES"/>
        </w:rPr>
        <w:t xml:space="preserve"> </w:t>
      </w:r>
      <w:r w:rsidRPr="00E14755">
        <w:rPr>
          <w:lang w:val="es-ES"/>
        </w:rPr>
        <w:t>mujeres se establecieran como emprendedoras. Alrededor de 6.700 participantes completaron con éxito el proyecto y tuvieron la oportunidad de realizar prácticas remuneradas durante cuatro meses; de ellos, 3.000</w:t>
      </w:r>
      <w:r w:rsidR="00AE4701">
        <w:rPr>
          <w:lang w:val="es-ES"/>
        </w:rPr>
        <w:t xml:space="preserve"> </w:t>
      </w:r>
      <w:r w:rsidRPr="00E14755">
        <w:rPr>
          <w:lang w:val="es-ES"/>
        </w:rPr>
        <w:t>mujeres se han establecido como trabajadoras autónomas</w:t>
      </w:r>
      <w:r w:rsidRPr="00E14755">
        <w:rPr>
          <w:vertAlign w:val="superscript"/>
          <w:lang w:val="es-ES"/>
        </w:rPr>
        <w:footnoteReference w:id="58"/>
      </w:r>
      <w:r w:rsidRPr="00E14755">
        <w:rPr>
          <w:lang w:val="es-ES"/>
        </w:rPr>
        <w:t xml:space="preserve">. Además, el proyecto </w:t>
      </w:r>
      <w:r w:rsidR="00ED40B4">
        <w:rPr>
          <w:lang w:val="es-ES"/>
        </w:rPr>
        <w:t>“</w:t>
      </w:r>
      <w:r w:rsidRPr="00E14755">
        <w:rPr>
          <w:lang w:val="es-ES"/>
        </w:rPr>
        <w:t>Transform Backward Youth into Industrial Workers</w:t>
      </w:r>
      <w:r w:rsidR="00ED40B4">
        <w:rPr>
          <w:lang w:val="es-ES"/>
        </w:rPr>
        <w:t>”</w:t>
      </w:r>
      <w:r w:rsidRPr="00E14755">
        <w:rPr>
          <w:lang w:val="es-ES"/>
        </w:rPr>
        <w:t>, que comenzó en 2023, pretende crear alianzas con industrias para crear empleo, en particular para las mujeres, y tiene la meta de que 4.800 mujeres jóvenes consigan un puesto de trabajo para 2026.</w:t>
      </w:r>
    </w:p>
    <w:p w14:paraId="761ED847" w14:textId="77777777" w:rsidR="00E14755" w:rsidRPr="00E14755" w:rsidRDefault="00E14755" w:rsidP="00E14755">
      <w:pPr>
        <w:pStyle w:val="SingleTxt"/>
        <w:spacing w:after="0" w:line="120" w:lineRule="exact"/>
        <w:rPr>
          <w:bCs/>
          <w:sz w:val="10"/>
          <w:lang w:val="es-ES"/>
        </w:rPr>
      </w:pPr>
      <w:bookmarkStart w:id="30" w:name="_Toc198161708"/>
    </w:p>
    <w:p w14:paraId="2034FCC3" w14:textId="77777777" w:rsidR="00E14755" w:rsidRPr="00E14755" w:rsidRDefault="00E14755" w:rsidP="00E14755">
      <w:pPr>
        <w:pStyle w:val="SingleTxt"/>
        <w:spacing w:after="0" w:line="120" w:lineRule="exact"/>
        <w:rPr>
          <w:bCs/>
          <w:sz w:val="10"/>
          <w:lang w:val="es-ES"/>
        </w:rPr>
      </w:pPr>
    </w:p>
    <w:p w14:paraId="4676EB0C" w14:textId="185C18ED" w:rsidR="00E14755" w:rsidRPr="00E14755" w:rsidRDefault="00E14755" w:rsidP="00E147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Medidas para mujeres rurales y grupos desfavorecidos de mujeres</w:t>
      </w:r>
      <w:bookmarkEnd w:id="30"/>
    </w:p>
    <w:p w14:paraId="1B768EC0" w14:textId="77777777" w:rsidR="00E14755" w:rsidRPr="00E14755" w:rsidRDefault="00E14755" w:rsidP="00E14755">
      <w:pPr>
        <w:pStyle w:val="SingleTxt"/>
        <w:spacing w:after="0" w:line="120" w:lineRule="exact"/>
        <w:rPr>
          <w:sz w:val="10"/>
          <w:lang w:val="es-ES"/>
        </w:rPr>
      </w:pPr>
    </w:p>
    <w:p w14:paraId="2B470763" w14:textId="77777777" w:rsidR="00E14755" w:rsidRPr="00E14755" w:rsidRDefault="00E14755" w:rsidP="00E14755">
      <w:pPr>
        <w:pStyle w:val="SingleTxt"/>
        <w:spacing w:after="0" w:line="120" w:lineRule="exact"/>
        <w:rPr>
          <w:sz w:val="10"/>
          <w:lang w:val="es-ES"/>
        </w:rPr>
      </w:pPr>
    </w:p>
    <w:p w14:paraId="5B240FB0" w14:textId="4738E992" w:rsidR="00E14755" w:rsidRPr="00294D13" w:rsidRDefault="00E14755" w:rsidP="00E14755">
      <w:pPr>
        <w:pStyle w:val="SingleTxt"/>
        <w:numPr>
          <w:ilvl w:val="0"/>
          <w:numId w:val="26"/>
        </w:numPr>
        <w:ind w:left="1267"/>
        <w:rPr>
          <w:spacing w:val="3"/>
          <w:lang w:val="es-ES"/>
        </w:rPr>
      </w:pPr>
      <w:r w:rsidRPr="00294D13">
        <w:rPr>
          <w:spacing w:val="3"/>
          <w:lang w:val="es-ES"/>
        </w:rPr>
        <w:t>El Gobierno sigue redoblando sus esfuerzos para apoyar a los grupos vulnerables y marginados socialmente, haciendo hincapié en la mitigación de la pobreza, la protección social, el empoderamiento económico y el acceso a los servicios básicos. El presupuesto y el alcance del programa de prestaciones para la vejez han aumentado de forma constante; el</w:t>
      </w:r>
      <w:r w:rsidR="00AE4701" w:rsidRPr="00294D13">
        <w:rPr>
          <w:spacing w:val="3"/>
          <w:lang w:val="es-ES"/>
        </w:rPr>
        <w:t xml:space="preserve"> </w:t>
      </w:r>
      <w:r w:rsidRPr="00294D13">
        <w:rPr>
          <w:spacing w:val="3"/>
          <w:lang w:val="es-ES"/>
        </w:rPr>
        <w:t>programa pasó de 4,4 millones de beneficiarios en el ejercicio económico 2019/2020 a 6</w:t>
      </w:r>
      <w:r w:rsidR="00AE4701" w:rsidRPr="00294D13">
        <w:rPr>
          <w:spacing w:val="3"/>
          <w:lang w:val="es-ES"/>
        </w:rPr>
        <w:t xml:space="preserve"> </w:t>
      </w:r>
      <w:r w:rsidRPr="00294D13">
        <w:rPr>
          <w:spacing w:val="3"/>
          <w:lang w:val="es-ES"/>
        </w:rPr>
        <w:t>millones en el ejercicio económico 2024/2025</w:t>
      </w:r>
      <w:r w:rsidRPr="00294D13">
        <w:rPr>
          <w:spacing w:val="3"/>
          <w:vertAlign w:val="superscript"/>
          <w:lang w:val="es-ES"/>
        </w:rPr>
        <w:footnoteReference w:id="59"/>
      </w:r>
      <w:r w:rsidRPr="00294D13">
        <w:rPr>
          <w:spacing w:val="3"/>
          <w:lang w:val="es-ES"/>
        </w:rPr>
        <w:t>. De modo similar, aumentó el apoyo a las viudas y las indigentes. Además, los programas de protección social prestan apoyo a las comunidades hijra, bede y otras comunidades marginadas, como los trabajadores de plantaciones de té, las</w:t>
      </w:r>
      <w:r w:rsidR="00AE4701" w:rsidRPr="00294D13">
        <w:rPr>
          <w:spacing w:val="3"/>
          <w:lang w:val="es-ES"/>
        </w:rPr>
        <w:t xml:space="preserve"> </w:t>
      </w:r>
      <w:r w:rsidRPr="00294D13">
        <w:rPr>
          <w:spacing w:val="3"/>
          <w:lang w:val="es-ES"/>
        </w:rPr>
        <w:t>comunidades costeras y los residentes en zonas vulnerables al clima</w:t>
      </w:r>
      <w:r w:rsidRPr="00294D13">
        <w:rPr>
          <w:spacing w:val="3"/>
          <w:vertAlign w:val="superscript"/>
          <w:lang w:val="es-ES"/>
        </w:rPr>
        <w:footnoteReference w:id="60"/>
      </w:r>
      <w:r w:rsidRPr="00294D13">
        <w:rPr>
          <w:spacing w:val="3"/>
          <w:lang w:val="es-ES"/>
        </w:rPr>
        <w:t>.</w:t>
      </w:r>
    </w:p>
    <w:p w14:paraId="117AB519" w14:textId="67F06BD1" w:rsidR="00E14755" w:rsidRPr="00E14755" w:rsidRDefault="00E14755" w:rsidP="00E14755">
      <w:pPr>
        <w:pStyle w:val="SingleTxt"/>
        <w:numPr>
          <w:ilvl w:val="0"/>
          <w:numId w:val="26"/>
        </w:numPr>
        <w:ind w:left="1267"/>
        <w:rPr>
          <w:lang w:val="es-ES"/>
        </w:rPr>
      </w:pPr>
      <w:r w:rsidRPr="00E14755">
        <w:rPr>
          <w:lang w:val="es-ES"/>
        </w:rPr>
        <w:t>Bangladesh emprendió iniciativas de transferencias sociales, como un proyecto de fortalecimiento de la capacidad de las mujeres para nuevas oportunidades productivas que están ayudando a mujeres muy empobrecidas de zonas rurales a encontrar trabajo y contribuir a los servicios comunitarios. Dependiente de la División de Administración Local, el</w:t>
      </w:r>
      <w:r w:rsidR="00AE4701">
        <w:rPr>
          <w:lang w:val="es-ES"/>
        </w:rPr>
        <w:t xml:space="preserve"> </w:t>
      </w:r>
      <w:r w:rsidRPr="00E14755">
        <w:rPr>
          <w:lang w:val="es-ES"/>
        </w:rPr>
        <w:t>proyecto es un programa de transferencias sociales que permite a las mujeres extremadamente empobrecidas prestar servicios comunitarios vitales para el bienestar social y económico de las zonas rurales. Ayuda a esas mujeres a encontrar trabajo y aprovechar las oportunidades laborales, y es la estrategia más eficaz para el crecimiento inclusivo y la mitigación de la pobreza. Entre julio de 2014 y junio de 2022, gracias al proyecto, un total de 12.492 hogares de los distritos de Bangladesh empobrecidos y propensos a experimentar desastres experimentaron una notable mejora en su nivel de vida</w:t>
      </w:r>
      <w:r w:rsidRPr="00E14755">
        <w:rPr>
          <w:vertAlign w:val="superscript"/>
          <w:lang w:val="es-ES"/>
        </w:rPr>
        <w:footnoteReference w:id="61"/>
      </w:r>
      <w:r w:rsidRPr="00E14755">
        <w:rPr>
          <w:lang w:val="es-ES"/>
        </w:rPr>
        <w:t>.</w:t>
      </w:r>
    </w:p>
    <w:p w14:paraId="2B82319C" w14:textId="5FE254E2" w:rsidR="00E14755" w:rsidRPr="00E14755" w:rsidRDefault="00E14755" w:rsidP="00E14755">
      <w:pPr>
        <w:pStyle w:val="SingleTxt"/>
        <w:numPr>
          <w:ilvl w:val="0"/>
          <w:numId w:val="26"/>
        </w:numPr>
        <w:ind w:left="1267"/>
        <w:rPr>
          <w:lang w:val="es-ES"/>
        </w:rPr>
      </w:pPr>
      <w:r w:rsidRPr="00E14755">
        <w:rPr>
          <w:lang w:val="es-ES"/>
        </w:rPr>
        <w:t xml:space="preserve">Bangladesh introdujo un régimen universal de pensiones que allanó el camino para la inclusión de los trabajadores del sector informal, de los cuales un gran número son mujeres. Se ha creado un plan especial, denominado </w:t>
      </w:r>
      <w:r w:rsidR="00ED40B4">
        <w:rPr>
          <w:lang w:val="es-ES"/>
        </w:rPr>
        <w:t>“</w:t>
      </w:r>
      <w:r w:rsidRPr="00E14755">
        <w:rPr>
          <w:lang w:val="es-ES"/>
        </w:rPr>
        <w:t>Suraksha</w:t>
      </w:r>
      <w:r w:rsidR="00ED40B4">
        <w:rPr>
          <w:lang w:val="es-ES"/>
        </w:rPr>
        <w:t>”</w:t>
      </w:r>
      <w:r w:rsidRPr="00E14755">
        <w:rPr>
          <w:lang w:val="es-ES"/>
        </w:rPr>
        <w:t xml:space="preserve">, para que los trabajadores informales puedan acogerse al régimen universal de pensiones. </w:t>
      </w:r>
    </w:p>
    <w:p w14:paraId="3CB609FC" w14:textId="0FFD73CD" w:rsidR="00E14755" w:rsidRPr="00E14755" w:rsidRDefault="00E14755" w:rsidP="00E14755">
      <w:pPr>
        <w:pStyle w:val="SingleTxt"/>
        <w:numPr>
          <w:ilvl w:val="0"/>
          <w:numId w:val="26"/>
        </w:numPr>
        <w:ind w:left="1267"/>
        <w:rPr>
          <w:lang w:val="es-ES"/>
        </w:rPr>
      </w:pPr>
      <w:r w:rsidRPr="00E14755">
        <w:rPr>
          <w:lang w:val="es-ES"/>
        </w:rPr>
        <w:lastRenderedPageBreak/>
        <w:t>Además de afrontar los aspectos multidimensionales de la pobreza, Bangladesh se centra en el empoderamiento social y la resiliencia ante los desastres de sus ciudadanos. La Fase II de la Estrategia Nacional de Seguridad Social para el período</w:t>
      </w:r>
      <w:r w:rsidR="00DD6F0A">
        <w:rPr>
          <w:lang w:val="es-ES"/>
        </w:rPr>
        <w:t> </w:t>
      </w:r>
      <w:r w:rsidRPr="00E14755">
        <w:rPr>
          <w:lang w:val="es-ES"/>
        </w:rPr>
        <w:t>2021-2026 utiliza un enfoque basado en el ciclo vital (infancia, edad escolar, edad de trabajar, edad de procrear, vejez y discapacidad) y hace especial énfasis en las mujeres vulnerables.</w:t>
      </w:r>
    </w:p>
    <w:p w14:paraId="2EA9D9FF" w14:textId="62823237" w:rsidR="00E14755" w:rsidRPr="00E14755" w:rsidRDefault="00E14755" w:rsidP="00E14755">
      <w:pPr>
        <w:pStyle w:val="SingleTxt"/>
        <w:numPr>
          <w:ilvl w:val="0"/>
          <w:numId w:val="26"/>
        </w:numPr>
        <w:ind w:left="1267"/>
        <w:rPr>
          <w:lang w:val="es-ES"/>
        </w:rPr>
      </w:pPr>
      <w:r w:rsidRPr="00E14755">
        <w:rPr>
          <w:lang w:val="es-ES"/>
        </w:rPr>
        <w:t xml:space="preserve">Bangladesh puso en marcha un proyecto emblemático denominado </w:t>
      </w:r>
      <w:r w:rsidR="00ED40B4">
        <w:rPr>
          <w:lang w:val="es-ES"/>
        </w:rPr>
        <w:t>“</w:t>
      </w:r>
      <w:r w:rsidRPr="00E14755">
        <w:rPr>
          <w:lang w:val="es-ES"/>
        </w:rPr>
        <w:t>Tottho Apa: Empowering Women Through ICT Towards Digital Bangladesh</w:t>
      </w:r>
      <w:r w:rsidR="00ED40B4">
        <w:rPr>
          <w:lang w:val="es-ES"/>
        </w:rPr>
        <w:t>”</w:t>
      </w:r>
      <w:r w:rsidRPr="00E14755">
        <w:rPr>
          <w:lang w:val="es-ES"/>
        </w:rPr>
        <w:t xml:space="preserve"> (la Fase I en 2011</w:t>
      </w:r>
      <w:r w:rsidR="00294D13">
        <w:rPr>
          <w:lang w:val="es-ES"/>
        </w:rPr>
        <w:noBreakHyphen/>
      </w:r>
      <w:r w:rsidRPr="00E14755">
        <w:rPr>
          <w:lang w:val="es-ES"/>
        </w:rPr>
        <w:t xml:space="preserve">2016 y la Fase II en 2017-2024), implementado por el Ministerio de Asuntos de la Mujer y la Infancia en 490 </w:t>
      </w:r>
      <w:r w:rsidRPr="00E14755">
        <w:rPr>
          <w:i/>
          <w:iCs/>
          <w:lang w:val="es-ES"/>
        </w:rPr>
        <w:t>upazilas</w:t>
      </w:r>
      <w:r w:rsidRPr="00E14755">
        <w:rPr>
          <w:lang w:val="es-ES"/>
        </w:rPr>
        <w:t xml:space="preserve"> con el objetivo de mejorar la disponibilidad de tecnologías de la información y el acceso a ellas por parte de las mujeres desfavorecidas de las zonas rurales, así como de empoderarlas mediante servicios basados en esas tecnologías. Se han creado centros de información en cada uno de los 490 </w:t>
      </w:r>
      <w:r w:rsidRPr="00E14755">
        <w:rPr>
          <w:i/>
          <w:iCs/>
          <w:lang w:val="es-ES"/>
        </w:rPr>
        <w:t>upazilas</w:t>
      </w:r>
      <w:r w:rsidRPr="00E14755">
        <w:rPr>
          <w:lang w:val="es-ES"/>
        </w:rPr>
        <w:t xml:space="preserve"> de Bangladesh, atendidos por un Oficial del Servicio de Información y dos Auxiliares del Servicio de Información, conocidos colectivamente como </w:t>
      </w:r>
      <w:r w:rsidRPr="00E14755">
        <w:rPr>
          <w:i/>
          <w:iCs/>
          <w:lang w:val="es-ES"/>
        </w:rPr>
        <w:t>Tottho Apas</w:t>
      </w:r>
      <w:r w:rsidRPr="00E14755">
        <w:rPr>
          <w:lang w:val="es-ES"/>
        </w:rPr>
        <w:t xml:space="preserve"> en el proyecto.</w:t>
      </w:r>
    </w:p>
    <w:p w14:paraId="451CD01F" w14:textId="5979B901" w:rsidR="00E14755" w:rsidRPr="00E14755" w:rsidRDefault="00E14755" w:rsidP="00E14755">
      <w:pPr>
        <w:pStyle w:val="SingleTxt"/>
        <w:numPr>
          <w:ilvl w:val="0"/>
          <w:numId w:val="26"/>
        </w:numPr>
        <w:ind w:left="1267"/>
        <w:rPr>
          <w:lang w:val="es-ES"/>
        </w:rPr>
      </w:pPr>
      <w:r w:rsidRPr="00E14755">
        <w:rPr>
          <w:lang w:val="es-ES"/>
        </w:rPr>
        <w:t>Bangladesh creó el Programa de Prestaciones para Madres e Hijos, una iniciativa emblemática de protección social para niños desfavorecidos en sus primeros años de vida. El</w:t>
      </w:r>
      <w:r w:rsidR="0015493A">
        <w:rPr>
          <w:lang w:val="es-ES"/>
        </w:rPr>
        <w:t xml:space="preserve"> </w:t>
      </w:r>
      <w:r w:rsidRPr="00E14755">
        <w:rPr>
          <w:lang w:val="es-ES"/>
        </w:rPr>
        <w:t>Programa inició su andadura en 2019 a través de la consolidación de los programas de prestaciones maternales de base rural y de prestaciones para madres lactantes de base urbana con el fin de velar por que tanto madres como niños tuvieran acceso a una nutrición adecuada, respaldando así el desarrollo de los niños durante el embarazo y la primera infancia (de 0 a</w:t>
      </w:r>
      <w:r w:rsidR="00AE4701">
        <w:rPr>
          <w:lang w:val="es-ES"/>
        </w:rPr>
        <w:t xml:space="preserve"> </w:t>
      </w:r>
      <w:r w:rsidRPr="00E14755">
        <w:rPr>
          <w:lang w:val="es-ES"/>
        </w:rPr>
        <w:t>4</w:t>
      </w:r>
      <w:r w:rsidR="00AE4701">
        <w:rPr>
          <w:lang w:val="es-ES"/>
        </w:rPr>
        <w:t xml:space="preserve"> </w:t>
      </w:r>
      <w:r w:rsidRPr="00E14755">
        <w:rPr>
          <w:lang w:val="es-ES"/>
        </w:rPr>
        <w:t>años). El Programa ayudó a 1.254.000</w:t>
      </w:r>
      <w:r w:rsidR="00CF0929">
        <w:rPr>
          <w:lang w:val="es-ES"/>
        </w:rPr>
        <w:t> </w:t>
      </w:r>
      <w:r w:rsidRPr="00E14755">
        <w:rPr>
          <w:lang w:val="es-ES"/>
        </w:rPr>
        <w:t>personas en el ejercicio económico 2022/2023, cifra que aumentó a 1.304.000 personas en el ejercicio 2023/2024, con la meta final de alcanzar los 6</w:t>
      </w:r>
      <w:r w:rsidR="00AD5F7C">
        <w:rPr>
          <w:lang w:val="es-ES"/>
        </w:rPr>
        <w:t> </w:t>
      </w:r>
      <w:r w:rsidRPr="00E14755">
        <w:rPr>
          <w:lang w:val="es-ES"/>
        </w:rPr>
        <w:t>millones de beneficiarios en 2026</w:t>
      </w:r>
      <w:r w:rsidRPr="00E14755">
        <w:rPr>
          <w:vertAlign w:val="superscript"/>
          <w:lang w:val="es-ES"/>
        </w:rPr>
        <w:footnoteReference w:id="62"/>
      </w:r>
      <w:r w:rsidRPr="00E14755">
        <w:rPr>
          <w:lang w:val="es-ES"/>
        </w:rPr>
        <w:t>. Cabe mencionar que en el ejercicio 2024/2025, se prevé que el Programa llegue a 1.836.200</w:t>
      </w:r>
      <w:r w:rsidR="00AE4701">
        <w:rPr>
          <w:lang w:val="es-ES"/>
        </w:rPr>
        <w:t xml:space="preserve"> </w:t>
      </w:r>
      <w:r w:rsidRPr="00E14755">
        <w:rPr>
          <w:lang w:val="es-ES"/>
        </w:rPr>
        <w:t>personas.</w:t>
      </w:r>
    </w:p>
    <w:p w14:paraId="32D50D8D" w14:textId="77777777" w:rsidR="00E14755" w:rsidRPr="00D844C7" w:rsidRDefault="00E14755" w:rsidP="00E14755">
      <w:pPr>
        <w:pStyle w:val="SingleTxt"/>
        <w:spacing w:after="0" w:line="120" w:lineRule="exact"/>
        <w:rPr>
          <w:bCs/>
          <w:sz w:val="10"/>
          <w:lang w:val="es-ES"/>
        </w:rPr>
      </w:pPr>
      <w:bookmarkStart w:id="31" w:name="_Toc196047986"/>
      <w:bookmarkStart w:id="32" w:name="_Toc198161709"/>
    </w:p>
    <w:p w14:paraId="648489C8" w14:textId="77777777" w:rsidR="00E14755" w:rsidRPr="00D844C7" w:rsidRDefault="00E14755" w:rsidP="00E14755">
      <w:pPr>
        <w:pStyle w:val="SingleTxt"/>
        <w:spacing w:after="0" w:line="120" w:lineRule="exact"/>
        <w:rPr>
          <w:bCs/>
          <w:sz w:val="10"/>
          <w:lang w:val="es-ES"/>
        </w:rPr>
      </w:pPr>
    </w:p>
    <w:p w14:paraId="7D690FD9" w14:textId="5A413DC1" w:rsidR="00E14755" w:rsidRPr="00E14755" w:rsidRDefault="00E14755" w:rsidP="00E147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Matrimonio y relaciones familiares</w:t>
      </w:r>
      <w:bookmarkEnd w:id="31"/>
      <w:bookmarkEnd w:id="32"/>
    </w:p>
    <w:p w14:paraId="3A16D332" w14:textId="77777777" w:rsidR="00E14755" w:rsidRPr="00E14755" w:rsidRDefault="00E14755" w:rsidP="00E14755">
      <w:pPr>
        <w:pStyle w:val="SingleTxt"/>
        <w:spacing w:after="0" w:line="120" w:lineRule="exact"/>
        <w:rPr>
          <w:sz w:val="10"/>
          <w:lang w:val="es-ES"/>
        </w:rPr>
      </w:pPr>
    </w:p>
    <w:p w14:paraId="5A1C708F" w14:textId="77777777" w:rsidR="00E14755" w:rsidRPr="00E14755" w:rsidRDefault="00E14755" w:rsidP="00E14755">
      <w:pPr>
        <w:pStyle w:val="SingleTxt"/>
        <w:spacing w:after="0" w:line="120" w:lineRule="exact"/>
        <w:rPr>
          <w:sz w:val="10"/>
          <w:lang w:val="es-ES"/>
        </w:rPr>
      </w:pPr>
    </w:p>
    <w:p w14:paraId="4291E8D3" w14:textId="59278AB5" w:rsidR="00E14755" w:rsidRPr="00E14755" w:rsidRDefault="00E14755" w:rsidP="00E14755">
      <w:pPr>
        <w:pStyle w:val="SingleTxt"/>
        <w:numPr>
          <w:ilvl w:val="0"/>
          <w:numId w:val="26"/>
        </w:numPr>
        <w:ind w:left="1267"/>
        <w:rPr>
          <w:lang w:val="es-ES"/>
        </w:rPr>
      </w:pPr>
      <w:r w:rsidRPr="00E14755">
        <w:rPr>
          <w:lang w:val="es-ES"/>
        </w:rPr>
        <w:t>De acuerdo con el mandato constitucional y sus obligaciones internacionales, Bangladesh está determinado a proteger los derechos de las mujeres en el ámbito personal. Los derechos del ámbito privado se rigen por el derecho de familia de cada comunidad. Para atender los asuntos jurídicos relacionados con la familia, el Gobierno creó en 1985 los Tribunales de Familia y les otorgó competencia sobre cinco materias: disolución del matrimonio, restitución de los derechos conyugales, dote, pensión alimenticia, y tutela y custodia de los hijos. En 2023, el Gobierno promulgó la Ley de Tribunales de Familia, por la que se sustituyó la Ordenanza de 1985. La nueva ley mantiene el mismo ámbito jurisdiccional, pero introduce cambios como el aumento de las tasas judiciales de 25 a 200</w:t>
      </w:r>
      <w:r w:rsidR="00AE4701">
        <w:rPr>
          <w:lang w:val="es-ES"/>
        </w:rPr>
        <w:t xml:space="preserve"> </w:t>
      </w:r>
      <w:r w:rsidRPr="00E14755">
        <w:rPr>
          <w:lang w:val="es-ES"/>
        </w:rPr>
        <w:t>takas y la creación de tribunales de apelación de familia con jueces de distrito</w:t>
      </w:r>
      <w:r w:rsidRPr="00E14755">
        <w:rPr>
          <w:vertAlign w:val="superscript"/>
          <w:lang w:val="es-ES"/>
        </w:rPr>
        <w:footnoteReference w:id="63"/>
      </w:r>
      <w:r w:rsidRPr="00E14755">
        <w:rPr>
          <w:lang w:val="es-ES"/>
        </w:rPr>
        <w:t>.</w:t>
      </w:r>
    </w:p>
    <w:p w14:paraId="729DBD31" w14:textId="10A02FF8" w:rsidR="00E14755" w:rsidRPr="00E14755" w:rsidRDefault="00E14755" w:rsidP="00E14755">
      <w:pPr>
        <w:pStyle w:val="SingleTxt"/>
        <w:numPr>
          <w:ilvl w:val="0"/>
          <w:numId w:val="26"/>
        </w:numPr>
        <w:ind w:left="1267"/>
        <w:rPr>
          <w:lang w:val="es-ES"/>
        </w:rPr>
      </w:pPr>
      <w:r w:rsidRPr="00E14755">
        <w:rPr>
          <w:lang w:val="es-ES"/>
        </w:rPr>
        <w:t>El proyecto de ley de lucha contra la discriminación recoge una lista de acciones discriminatorias, inclusive en cuestiones familiares. Considera discriminatoria cualquier acción emprendida directa o indirecta bajo el pretexto de la religión, la casta, la etnia, la</w:t>
      </w:r>
      <w:r w:rsidR="00AE4701">
        <w:rPr>
          <w:lang w:val="es-ES"/>
        </w:rPr>
        <w:t xml:space="preserve"> </w:t>
      </w:r>
      <w:r w:rsidRPr="00E14755">
        <w:rPr>
          <w:lang w:val="es-ES"/>
        </w:rPr>
        <w:t>lengua, la edad, el género, el estado físico y mental, el lugar de nacimiento, el nacimiento, la ocupación y la posición social.</w:t>
      </w:r>
    </w:p>
    <w:p w14:paraId="286FF923" w14:textId="72DF5A48" w:rsidR="00E14755" w:rsidRPr="00E14755" w:rsidRDefault="00E14755" w:rsidP="00E14755">
      <w:pPr>
        <w:pStyle w:val="SingleTxt"/>
        <w:numPr>
          <w:ilvl w:val="0"/>
          <w:numId w:val="26"/>
        </w:numPr>
        <w:ind w:left="1267"/>
        <w:rPr>
          <w:lang w:val="es-ES"/>
        </w:rPr>
      </w:pPr>
      <w:r w:rsidRPr="00E14755">
        <w:rPr>
          <w:lang w:val="es-ES"/>
        </w:rPr>
        <w:lastRenderedPageBreak/>
        <w:t xml:space="preserve">En Bangladesh, es obligatorio tanto para musulmanes como para cristianos registrar el matrimonio. </w:t>
      </w:r>
      <w:r w:rsidRPr="00AA5637">
        <w:rPr>
          <w:lang w:val="es-ES"/>
        </w:rPr>
        <w:t>Según la Ley de Matrimonio</w:t>
      </w:r>
      <w:r w:rsidRPr="00E14755">
        <w:rPr>
          <w:lang w:val="es-ES"/>
        </w:rPr>
        <w:t xml:space="preserve"> y Divorcio Musulmanes (Registro) de 1974, los</w:t>
      </w:r>
      <w:r w:rsidR="00AE4701">
        <w:rPr>
          <w:lang w:val="es-ES"/>
        </w:rPr>
        <w:t xml:space="preserve"> </w:t>
      </w:r>
      <w:r w:rsidRPr="00E14755">
        <w:rPr>
          <w:lang w:val="es-ES"/>
        </w:rPr>
        <w:t>matrimonios musulmanes deben registrarse, y no hacerlo es un delito punible. Para los hindúes, la Ley de Registro del Matrimonio Hindú de 2012 prevé el registro voluntario. El</w:t>
      </w:r>
      <w:r w:rsidR="00AE4701">
        <w:rPr>
          <w:lang w:val="es-ES"/>
        </w:rPr>
        <w:t xml:space="preserve"> </w:t>
      </w:r>
      <w:r w:rsidRPr="00E14755">
        <w:rPr>
          <w:lang w:val="es-ES"/>
        </w:rPr>
        <w:t>derecho al divorcio está legalmente reconocido para los musulmanes y, salvo para los católicos, también figura en el código de familia cristiano. Aunque en ciertas comunidades hindúes el divorcio carece de reconocimiento legal y se desalienta socialmente, siguen produciéndose divorcios y segundas nupcias de manera informal.</w:t>
      </w:r>
    </w:p>
    <w:p w14:paraId="6AB582C3" w14:textId="585E0E46" w:rsidR="00E14755" w:rsidRPr="00E14755" w:rsidRDefault="00E14755" w:rsidP="00E14755">
      <w:pPr>
        <w:pStyle w:val="SingleTxt"/>
        <w:numPr>
          <w:ilvl w:val="0"/>
          <w:numId w:val="26"/>
        </w:numPr>
        <w:ind w:left="1267"/>
        <w:rPr>
          <w:lang w:val="es-ES"/>
        </w:rPr>
      </w:pPr>
      <w:r w:rsidRPr="00E14755">
        <w:rPr>
          <w:lang w:val="es-ES"/>
        </w:rPr>
        <w:t xml:space="preserve">En agosto de 2019, el Tribunal Superior ordenó al Gobierno, en una sentencia muy esperada, que eliminara el término </w:t>
      </w:r>
      <w:r w:rsidRPr="00E14755">
        <w:rPr>
          <w:i/>
          <w:iCs/>
          <w:lang w:val="es-ES"/>
        </w:rPr>
        <w:t>Kumari</w:t>
      </w:r>
      <w:r w:rsidRPr="00E14755">
        <w:rPr>
          <w:lang w:val="es-ES"/>
        </w:rPr>
        <w:t xml:space="preserve"> (virgen o doncella) del </w:t>
      </w:r>
      <w:r w:rsidRPr="00E14755">
        <w:rPr>
          <w:i/>
          <w:iCs/>
          <w:lang w:val="es-ES"/>
        </w:rPr>
        <w:t>Nikahnama</w:t>
      </w:r>
      <w:r w:rsidRPr="00E14755">
        <w:rPr>
          <w:lang w:val="es-ES"/>
        </w:rPr>
        <w:t xml:space="preserve"> (certificado de matrimonio musulmán) y lo sustituyera por la palabra adecuada, es decir, </w:t>
      </w:r>
      <w:r w:rsidR="00ED40B4">
        <w:rPr>
          <w:lang w:val="es-ES"/>
        </w:rPr>
        <w:t>“</w:t>
      </w:r>
      <w:r w:rsidRPr="00E14755">
        <w:rPr>
          <w:lang w:val="es-ES"/>
        </w:rPr>
        <w:t>soltera</w:t>
      </w:r>
      <w:r w:rsidR="00ED40B4">
        <w:rPr>
          <w:lang w:val="es-ES"/>
        </w:rPr>
        <w:t>”</w:t>
      </w:r>
      <w:r w:rsidRPr="00E14755">
        <w:rPr>
          <w:lang w:val="es-ES"/>
        </w:rPr>
        <w:t xml:space="preserve">. Según la sentencia, en los matrimonios musulmanes, la palabra </w:t>
      </w:r>
      <w:r w:rsidRPr="00E14755">
        <w:rPr>
          <w:i/>
          <w:iCs/>
          <w:lang w:val="es-ES"/>
        </w:rPr>
        <w:t>Kumari</w:t>
      </w:r>
      <w:r w:rsidRPr="00E14755">
        <w:rPr>
          <w:lang w:val="es-ES"/>
        </w:rPr>
        <w:t xml:space="preserve"> que figura en la columna núm.</w:t>
      </w:r>
      <w:r w:rsidR="00AE4701">
        <w:rPr>
          <w:lang w:val="es-ES"/>
        </w:rPr>
        <w:t xml:space="preserve"> </w:t>
      </w:r>
      <w:r w:rsidRPr="00E14755">
        <w:rPr>
          <w:lang w:val="es-ES"/>
        </w:rPr>
        <w:t xml:space="preserve">5 del </w:t>
      </w:r>
      <w:r w:rsidRPr="00E14755">
        <w:rPr>
          <w:i/>
          <w:iCs/>
          <w:lang w:val="es-ES"/>
        </w:rPr>
        <w:t>Nikahnama</w:t>
      </w:r>
      <w:r w:rsidRPr="00E14755">
        <w:rPr>
          <w:lang w:val="es-ES"/>
        </w:rPr>
        <w:t xml:space="preserve"> o </w:t>
      </w:r>
      <w:r w:rsidRPr="00E14755">
        <w:rPr>
          <w:i/>
          <w:iCs/>
          <w:lang w:val="es-ES"/>
        </w:rPr>
        <w:t>Kabinnama</w:t>
      </w:r>
      <w:r w:rsidRPr="00E14755">
        <w:rPr>
          <w:lang w:val="es-ES"/>
        </w:rPr>
        <w:t xml:space="preserve"> es inconstitucional. El Tribunal afirma que </w:t>
      </w:r>
      <w:r w:rsidR="00ED40B4">
        <w:rPr>
          <w:lang w:val="es-ES"/>
        </w:rPr>
        <w:t>“</w:t>
      </w:r>
      <w:r w:rsidRPr="00E14755">
        <w:rPr>
          <w:lang w:val="es-ES"/>
        </w:rPr>
        <w:t xml:space="preserve">la palabra </w:t>
      </w:r>
      <w:r w:rsidRPr="00E14755">
        <w:rPr>
          <w:i/>
          <w:iCs/>
          <w:lang w:val="es-ES"/>
        </w:rPr>
        <w:t>Kumari</w:t>
      </w:r>
      <w:r w:rsidRPr="00E14755">
        <w:rPr>
          <w:lang w:val="es-ES"/>
        </w:rPr>
        <w:t xml:space="preserve"> en el </w:t>
      </w:r>
      <w:r w:rsidRPr="00E14755">
        <w:rPr>
          <w:i/>
          <w:iCs/>
          <w:lang w:val="es-ES"/>
        </w:rPr>
        <w:t>Kabinnama</w:t>
      </w:r>
      <w:r w:rsidRPr="00E14755">
        <w:rPr>
          <w:lang w:val="es-ES"/>
        </w:rPr>
        <w:t xml:space="preserve"> es insultante, discriminatoria, perjudicial para las mujeres y contraria a la Constitución y a la carta del CEDAW</w:t>
      </w:r>
      <w:r w:rsidR="00ED40B4">
        <w:rPr>
          <w:lang w:val="es-ES"/>
        </w:rPr>
        <w:t>”</w:t>
      </w:r>
      <w:r w:rsidRPr="00E14755">
        <w:rPr>
          <w:lang w:val="es-ES"/>
        </w:rPr>
        <w:t xml:space="preserve">. A raíz de esa sentencia, el </w:t>
      </w:r>
      <w:r w:rsidRPr="00E14755">
        <w:rPr>
          <w:i/>
          <w:iCs/>
          <w:lang w:val="es-ES"/>
        </w:rPr>
        <w:t>Nikahnama</w:t>
      </w:r>
      <w:r w:rsidRPr="00E14755">
        <w:rPr>
          <w:lang w:val="es-ES"/>
        </w:rPr>
        <w:t xml:space="preserve"> comenzó a utilizar la expresión </w:t>
      </w:r>
      <w:r w:rsidR="00ED40B4">
        <w:rPr>
          <w:lang w:val="es-ES"/>
        </w:rPr>
        <w:t>“</w:t>
      </w:r>
      <w:r w:rsidRPr="00E14755">
        <w:rPr>
          <w:lang w:val="es-ES"/>
        </w:rPr>
        <w:t>nunca casada</w:t>
      </w:r>
      <w:r w:rsidR="00ED40B4">
        <w:rPr>
          <w:lang w:val="es-ES"/>
        </w:rPr>
        <w:t>”</w:t>
      </w:r>
      <w:r w:rsidRPr="00E14755">
        <w:rPr>
          <w:lang w:val="es-ES"/>
        </w:rPr>
        <w:t xml:space="preserve"> en lugar de </w:t>
      </w:r>
      <w:r w:rsidR="00ED40B4">
        <w:rPr>
          <w:lang w:val="es-ES"/>
        </w:rPr>
        <w:t>“</w:t>
      </w:r>
      <w:r w:rsidRPr="00E14755">
        <w:rPr>
          <w:lang w:val="es-ES"/>
        </w:rPr>
        <w:t>doncella</w:t>
      </w:r>
      <w:r w:rsidR="00ED40B4">
        <w:rPr>
          <w:lang w:val="es-ES"/>
        </w:rPr>
        <w:t>”</w:t>
      </w:r>
      <w:r w:rsidRPr="00E14755">
        <w:rPr>
          <w:lang w:val="es-ES"/>
        </w:rPr>
        <w:t>.</w:t>
      </w:r>
    </w:p>
    <w:p w14:paraId="506664E1" w14:textId="1E362E63" w:rsidR="00E14755" w:rsidRPr="00E14755" w:rsidRDefault="00E14755" w:rsidP="00E14755">
      <w:pPr>
        <w:pStyle w:val="SingleTxt"/>
        <w:numPr>
          <w:ilvl w:val="0"/>
          <w:numId w:val="26"/>
        </w:numPr>
        <w:ind w:left="1267"/>
        <w:rPr>
          <w:lang w:val="es-ES"/>
        </w:rPr>
      </w:pPr>
      <w:r w:rsidRPr="00E14755">
        <w:rPr>
          <w:lang w:val="es-ES"/>
        </w:rPr>
        <w:t>Las reformas jurídicas y de las políticas, así como las intervenciones judiciales, facilitan la armonización de las leyes del estatuto personal del país en consonancia con los instrumentos internacionales, incluida la Convención sobre la Eliminación de Todas las Formas de Discriminación contra la Mujer.</w:t>
      </w:r>
    </w:p>
    <w:p w14:paraId="186FBBA2" w14:textId="77777777" w:rsidR="00E14755" w:rsidRPr="00E14755" w:rsidRDefault="00E14755" w:rsidP="00E14755">
      <w:pPr>
        <w:pStyle w:val="SingleTxt"/>
        <w:spacing w:after="0" w:line="120" w:lineRule="exact"/>
        <w:rPr>
          <w:sz w:val="10"/>
          <w:lang w:val="es-ES"/>
        </w:rPr>
      </w:pPr>
      <w:bookmarkStart w:id="33" w:name="_Toc198161710"/>
    </w:p>
    <w:p w14:paraId="2A60DFAB" w14:textId="77777777" w:rsidR="00E14755" w:rsidRPr="00E14755" w:rsidRDefault="00E14755" w:rsidP="00E14755">
      <w:pPr>
        <w:pStyle w:val="SingleTxt"/>
        <w:spacing w:after="0" w:line="120" w:lineRule="exact"/>
        <w:rPr>
          <w:sz w:val="10"/>
          <w:lang w:val="es-ES"/>
        </w:rPr>
      </w:pPr>
    </w:p>
    <w:p w14:paraId="0338F71D" w14:textId="117E03B5" w:rsidR="00E14755" w:rsidRPr="00E14755" w:rsidRDefault="00E14755" w:rsidP="00E147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Reunión y análisis de datos</w:t>
      </w:r>
      <w:bookmarkEnd w:id="33"/>
    </w:p>
    <w:p w14:paraId="3C0A8151" w14:textId="77777777" w:rsidR="00E14755" w:rsidRPr="00E14755" w:rsidRDefault="00E14755" w:rsidP="00E14755">
      <w:pPr>
        <w:pStyle w:val="SingleTxt"/>
        <w:spacing w:after="0" w:line="120" w:lineRule="exact"/>
        <w:rPr>
          <w:sz w:val="10"/>
          <w:lang w:val="es-ES"/>
        </w:rPr>
      </w:pPr>
    </w:p>
    <w:p w14:paraId="4C777CE9" w14:textId="77777777" w:rsidR="00E14755" w:rsidRPr="00E14755" w:rsidRDefault="00E14755" w:rsidP="00E14755">
      <w:pPr>
        <w:pStyle w:val="SingleTxt"/>
        <w:spacing w:after="0" w:line="120" w:lineRule="exact"/>
        <w:rPr>
          <w:sz w:val="10"/>
          <w:lang w:val="es-ES"/>
        </w:rPr>
      </w:pPr>
    </w:p>
    <w:p w14:paraId="3B6CD22D" w14:textId="1A195E84" w:rsidR="00E14755" w:rsidRPr="00E14755" w:rsidRDefault="00E14755" w:rsidP="00E14755">
      <w:pPr>
        <w:pStyle w:val="SingleTxt"/>
        <w:numPr>
          <w:ilvl w:val="0"/>
          <w:numId w:val="26"/>
        </w:numPr>
        <w:ind w:left="1267"/>
        <w:rPr>
          <w:lang w:val="es-ES"/>
        </w:rPr>
      </w:pPr>
      <w:r w:rsidRPr="00E14755">
        <w:rPr>
          <w:lang w:val="es-ES"/>
        </w:rPr>
        <w:t>En Bangladesh, se producen datos de forma rutinaria a través de grandes encuestas en que la información se desglosa por ubicación geográfica, sexo/género, edad, discapacidad, estado civil, educación, raza/etnia y otras categorías relevantes. Por ejemplo, el Censo de Población y Vivienda de 2022 se basó en características demográficas que incluyen la población y la tasa de crecimiento, la composición por edad y sexo, el estado civil, la</w:t>
      </w:r>
      <w:r w:rsidR="00AE4701">
        <w:rPr>
          <w:lang w:val="es-ES"/>
        </w:rPr>
        <w:t xml:space="preserve"> </w:t>
      </w:r>
      <w:r w:rsidRPr="00E14755">
        <w:rPr>
          <w:lang w:val="es-ES"/>
        </w:rPr>
        <w:t>población por religión, la discapacidad, la educación, la situación laboral, el uso del teléfono móvil e Internet, la inclusión financiera, la etnia y los migrantes retornados. El Censo proporciona datos desglosados por sexo masculino, femenino e hijra. El hecho de que se incluya por primera vez a la comunidad hijra en un censo nacional es muestra de la voluntad de Bangladesh de impulsar la inclusividad de las sociedades.</w:t>
      </w:r>
    </w:p>
    <w:p w14:paraId="58C7DC7E" w14:textId="2B366069" w:rsidR="00E14755" w:rsidRPr="00E14755" w:rsidRDefault="00E14755" w:rsidP="00E14755">
      <w:pPr>
        <w:pStyle w:val="SingleTxt"/>
        <w:numPr>
          <w:ilvl w:val="0"/>
          <w:numId w:val="26"/>
        </w:numPr>
        <w:ind w:left="1267"/>
        <w:rPr>
          <w:lang w:val="es-ES"/>
        </w:rPr>
      </w:pPr>
      <w:r w:rsidRPr="00E14755">
        <w:rPr>
          <w:lang w:val="es-ES"/>
        </w:rPr>
        <w:t xml:space="preserve">La Encuesta Demográfica y de Salud de Bangladesh de 2022 es la novena encuesta nacional que proporciona información sobre las condiciones demográficas y de salud de las mujeres y sus familias en Bangladesh. La encuesta incluye un extenso </w:t>
      </w:r>
      <w:r w:rsidR="00ED40B4">
        <w:rPr>
          <w:lang w:val="es-ES"/>
        </w:rPr>
        <w:t>“</w:t>
      </w:r>
      <w:r w:rsidRPr="00E14755">
        <w:rPr>
          <w:lang w:val="es-ES"/>
        </w:rPr>
        <w:t>Cuestionario para mujeres</w:t>
      </w:r>
      <w:r w:rsidR="00ED40B4">
        <w:rPr>
          <w:lang w:val="es-ES"/>
        </w:rPr>
        <w:t>”</w:t>
      </w:r>
      <w:r w:rsidRPr="00E14755">
        <w:rPr>
          <w:lang w:val="es-ES"/>
        </w:rPr>
        <w:t xml:space="preserve"> en el que se recogen preguntas variables relativas a la salud mental o el empleo, entre otros.</w:t>
      </w:r>
    </w:p>
    <w:p w14:paraId="0662BDF2" w14:textId="7966A806" w:rsidR="00E14755" w:rsidRDefault="00E14755" w:rsidP="00E14755">
      <w:pPr>
        <w:pStyle w:val="SingleTxt"/>
        <w:numPr>
          <w:ilvl w:val="0"/>
          <w:numId w:val="26"/>
        </w:numPr>
        <w:ind w:left="1267"/>
        <w:rPr>
          <w:lang w:val="es-ES"/>
        </w:rPr>
      </w:pPr>
      <w:r w:rsidRPr="00E14755">
        <w:rPr>
          <w:lang w:val="es-ES"/>
        </w:rPr>
        <w:t>El Sistema de Muestreo y Registro de Estadísticas Vitales es una encuesta anual continua de reunión de datos que incluye las características de los hogares, la composición demográfica, el cabeza de familia en función del sexo, la división administrativa y la religión. El Sistema reúne de manera periódica datos sobre nacimientos, defunciones, matrimonios, migración, discapacidad y otros indicadores demográficos clave, y publica informes anuales. Para describir las tendencias globales en la fuerza de trabajo, los datos de la Encuesta de la Fuerza de Trabajo de 2022 se desglosan por sexo, edad, educación y ubicación geográfica, entre otros.</w:t>
      </w:r>
    </w:p>
    <w:p w14:paraId="33009A29" w14:textId="77777777" w:rsidR="005E345D" w:rsidRPr="005E345D" w:rsidRDefault="005E345D" w:rsidP="005E345D">
      <w:pPr>
        <w:pStyle w:val="SingleTxt"/>
        <w:spacing w:after="0" w:line="120" w:lineRule="exact"/>
        <w:rPr>
          <w:sz w:val="10"/>
          <w:lang w:val="es-ES"/>
        </w:rPr>
      </w:pPr>
    </w:p>
    <w:p w14:paraId="2721C022" w14:textId="77777777" w:rsidR="005E345D" w:rsidRPr="005E345D" w:rsidRDefault="005E345D" w:rsidP="005E345D">
      <w:pPr>
        <w:pStyle w:val="SingleTxt"/>
        <w:spacing w:after="0" w:line="120" w:lineRule="exact"/>
        <w:rPr>
          <w:sz w:val="10"/>
          <w:lang w:val="es-ES"/>
        </w:rPr>
      </w:pPr>
    </w:p>
    <w:p w14:paraId="151D9D2C" w14:textId="32A32B4C" w:rsidR="00E14755" w:rsidRPr="00E14755" w:rsidRDefault="00E14755" w:rsidP="00BF14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34" w:name="_Toc198161711"/>
      <w:r w:rsidRPr="00E14755">
        <w:rPr>
          <w:lang w:val="es-ES"/>
        </w:rPr>
        <w:lastRenderedPageBreak/>
        <w:tab/>
      </w:r>
      <w:r w:rsidRPr="00E14755">
        <w:rPr>
          <w:lang w:val="es-ES"/>
        </w:rPr>
        <w:tab/>
        <w:t xml:space="preserve">Declaración y Plataforma de Acción de Beijing </w:t>
      </w:r>
      <w:bookmarkEnd w:id="34"/>
    </w:p>
    <w:p w14:paraId="23F939CE" w14:textId="77777777" w:rsidR="00025196" w:rsidRPr="00025196" w:rsidRDefault="00025196" w:rsidP="00BF14E0">
      <w:pPr>
        <w:pStyle w:val="SingleTxt"/>
        <w:keepNext/>
        <w:keepLines/>
        <w:spacing w:after="0" w:line="120" w:lineRule="exact"/>
        <w:rPr>
          <w:sz w:val="10"/>
          <w:lang w:val="es-ES"/>
        </w:rPr>
      </w:pPr>
    </w:p>
    <w:p w14:paraId="3B4F40B4" w14:textId="77777777" w:rsidR="00025196" w:rsidRPr="00025196" w:rsidRDefault="00025196" w:rsidP="00BF14E0">
      <w:pPr>
        <w:pStyle w:val="SingleTxt"/>
        <w:keepNext/>
        <w:keepLines/>
        <w:spacing w:after="0" w:line="120" w:lineRule="exact"/>
        <w:rPr>
          <w:sz w:val="10"/>
          <w:lang w:val="es-ES"/>
        </w:rPr>
      </w:pPr>
    </w:p>
    <w:p w14:paraId="2C235390" w14:textId="2D3E5651" w:rsidR="00E14755" w:rsidRPr="00E14755" w:rsidRDefault="00E14755" w:rsidP="00025196">
      <w:pPr>
        <w:pStyle w:val="SingleTxt"/>
        <w:numPr>
          <w:ilvl w:val="0"/>
          <w:numId w:val="26"/>
        </w:numPr>
        <w:ind w:left="1267"/>
        <w:rPr>
          <w:lang w:val="es-ES"/>
        </w:rPr>
      </w:pPr>
      <w:r w:rsidRPr="00E14755">
        <w:rPr>
          <w:lang w:val="es-ES"/>
        </w:rPr>
        <w:t>Bangladesh presentó el informe nacional del examen de Beijing+30 a la Comisión de la Condición Jurídica y Social de la Mujer de las Naciones Unidas en 2024. Ese informe expone a grandes rasgos los esfuerzos, las iniciativas y los avances del país en la implementación de la Declaración y la Plataforma de Acción de Beijing</w:t>
      </w:r>
      <w:r w:rsidR="00035C03">
        <w:rPr>
          <w:lang w:val="es-ES"/>
        </w:rPr>
        <w:t>.</w:t>
      </w:r>
      <w:r w:rsidRPr="00E14755">
        <w:rPr>
          <w:lang w:val="es-ES"/>
        </w:rPr>
        <w:t xml:space="preserve"> Las iniciativas del país para la implementación y el seguimiento de la Declaración de Beijing están estrechamente interconectadas con los mandatos y los objetivos del CEDAW.</w:t>
      </w:r>
    </w:p>
    <w:p w14:paraId="4C7433F0" w14:textId="77777777" w:rsidR="00025196" w:rsidRPr="00025196" w:rsidRDefault="00025196" w:rsidP="00025196">
      <w:pPr>
        <w:pStyle w:val="SingleTxt"/>
        <w:spacing w:after="0" w:line="120" w:lineRule="exact"/>
        <w:rPr>
          <w:sz w:val="10"/>
          <w:lang w:val="es-ES"/>
        </w:rPr>
      </w:pPr>
      <w:bookmarkStart w:id="35" w:name="_Toc198161712"/>
    </w:p>
    <w:p w14:paraId="1ABB1ECF" w14:textId="77777777" w:rsidR="00025196" w:rsidRPr="00025196" w:rsidRDefault="00025196" w:rsidP="00025196">
      <w:pPr>
        <w:pStyle w:val="SingleTxt"/>
        <w:spacing w:after="0" w:line="120" w:lineRule="exact"/>
        <w:rPr>
          <w:sz w:val="10"/>
          <w:lang w:val="es-ES"/>
        </w:rPr>
      </w:pPr>
    </w:p>
    <w:p w14:paraId="62498617" w14:textId="20F96597"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Agenda 2030 para el Desarrollo Sostenible</w:t>
      </w:r>
      <w:bookmarkEnd w:id="35"/>
    </w:p>
    <w:p w14:paraId="4BF4182B" w14:textId="77777777" w:rsidR="00025196" w:rsidRPr="00025196" w:rsidRDefault="00025196" w:rsidP="00025196">
      <w:pPr>
        <w:pStyle w:val="SingleTxt"/>
        <w:spacing w:after="0" w:line="120" w:lineRule="exact"/>
        <w:rPr>
          <w:sz w:val="10"/>
          <w:lang w:val="es-ES"/>
        </w:rPr>
      </w:pPr>
    </w:p>
    <w:p w14:paraId="0D3767D6" w14:textId="77777777" w:rsidR="00025196" w:rsidRPr="00025196" w:rsidRDefault="00025196" w:rsidP="00025196">
      <w:pPr>
        <w:pStyle w:val="SingleTxt"/>
        <w:spacing w:after="0" w:line="120" w:lineRule="exact"/>
        <w:rPr>
          <w:sz w:val="10"/>
          <w:lang w:val="es-ES"/>
        </w:rPr>
      </w:pPr>
    </w:p>
    <w:p w14:paraId="39AA04D6" w14:textId="3DCCDF49" w:rsidR="00E14755" w:rsidRPr="00E14755" w:rsidRDefault="00E14755" w:rsidP="00025196">
      <w:pPr>
        <w:pStyle w:val="SingleTxt"/>
        <w:numPr>
          <w:ilvl w:val="0"/>
          <w:numId w:val="26"/>
        </w:numPr>
        <w:ind w:left="1267"/>
        <w:rPr>
          <w:lang w:val="es-ES"/>
        </w:rPr>
      </w:pPr>
      <w:r w:rsidRPr="00E14755">
        <w:rPr>
          <w:lang w:val="es-ES"/>
        </w:rPr>
        <w:t xml:space="preserve">Bangladesh está implementando una hoja de ruta para la adaptación al contexto local de la Agenda 2030 para el Desarrollo Sostenible mediante un enfoque ascendente. El país está volcado en integrar las metas y los indicadores del objetivo de igualdad de género de los ODS en sus políticas y trayectorias de desarrollo. </w:t>
      </w:r>
    </w:p>
    <w:p w14:paraId="4A884F79" w14:textId="46A5C68C" w:rsidR="00E14755" w:rsidRPr="00E14755" w:rsidRDefault="00E14755" w:rsidP="00025196">
      <w:pPr>
        <w:pStyle w:val="SingleTxt"/>
        <w:numPr>
          <w:ilvl w:val="0"/>
          <w:numId w:val="26"/>
        </w:numPr>
        <w:ind w:left="1267"/>
        <w:rPr>
          <w:lang w:val="es-ES"/>
        </w:rPr>
      </w:pPr>
      <w:r w:rsidRPr="00E14755">
        <w:rPr>
          <w:lang w:val="es-ES"/>
        </w:rPr>
        <w:t xml:space="preserve">Como parte de la implementación de los ODS relacionados con el género, el Gobierno hace especial hincapié en la aportación de las ONG, las OSC y las organizaciones de mujeres a las iniciativas nacionales de desarrollo destinadas a reducir la pobreza e impulsar la igualdad de género. </w:t>
      </w:r>
    </w:p>
    <w:p w14:paraId="6A5DA49B" w14:textId="08F3F063" w:rsidR="00E14755" w:rsidRPr="00E14755" w:rsidRDefault="00E14755" w:rsidP="00025196">
      <w:pPr>
        <w:pStyle w:val="SingleTxt"/>
        <w:numPr>
          <w:ilvl w:val="0"/>
          <w:numId w:val="26"/>
        </w:numPr>
        <w:ind w:left="1267"/>
        <w:rPr>
          <w:lang w:val="es-ES"/>
        </w:rPr>
      </w:pPr>
      <w:r w:rsidRPr="00E14755">
        <w:rPr>
          <w:lang w:val="es-ES"/>
        </w:rPr>
        <w:t>Bangladesh creó su propio Rastreador de ODS, el cual incluye un repositorio de datos en línea para realizar un seguimiento preciso de la implementación de diversas iniciativas en consonancia con los ODS; esto permite asignar de forma eficiente los recursos y formular políticas eficaces para un desarrollo inclusivo, equitativo y sostenible. En 2023, Bangladesh formuló el Segundo Plan de Acción Nacional por Metas de los Ministerios/Divisiones para la Implementación de los ODS, que prevé la puesta en marcha de programas y proyectos específicos por todos los Ministerios y organismos públicos, priorizando los indicadores relativos en concreto al género, entre otros, a la luz del ODS 5 y de la agenda nacional para el desarrollo.</w:t>
      </w:r>
    </w:p>
    <w:p w14:paraId="2580AB5F" w14:textId="0122509D" w:rsidR="00E14755" w:rsidRPr="00E14755" w:rsidRDefault="00E14755" w:rsidP="00025196">
      <w:pPr>
        <w:pStyle w:val="SingleTxt"/>
        <w:numPr>
          <w:ilvl w:val="0"/>
          <w:numId w:val="26"/>
        </w:numPr>
        <w:ind w:left="1267"/>
        <w:rPr>
          <w:lang w:val="es-ES"/>
        </w:rPr>
      </w:pPr>
      <w:r w:rsidRPr="00E14755">
        <w:rPr>
          <w:lang w:val="es-ES"/>
        </w:rPr>
        <w:t>Bangladesh elaboró en 2020 su examen nacional voluntario (ENV), donde se destacaron los avances alcanzados en el país, las soluciones innovadoras, las medidas creativas y los retos críticos para alcanzar los ODS. En el informe del ENV se reflejaron en particular las intervenciones, programas y proyectos dirigidos por el Gobierno que contribuyeron al progreso hacia el ODS 5 (</w:t>
      </w:r>
      <w:r w:rsidR="0007733B">
        <w:rPr>
          <w:lang w:val="es-ES"/>
        </w:rPr>
        <w:t>I</w:t>
      </w:r>
      <w:r w:rsidRPr="00E14755">
        <w:rPr>
          <w:lang w:val="es-ES"/>
        </w:rPr>
        <w:t>gualdad de género). Además de abordar los obstáculos para alcanzar por completo la igualdad de género en el marco de los ODS, en el informe también se reseñaron las principales vías que el Gobierno debe seguir para continuar impulsando la igualdad de género. El Gobierno examinó el marco de seguimiento y evaluación de los ODS en 2020, estableció la concordancia entre los nuevos datos generados e indicadores concretos, incluidos los indicadores específicos de género, y adoptó un enfoque sensible al género.</w:t>
      </w:r>
    </w:p>
    <w:p w14:paraId="543B25EA" w14:textId="6CB79A3D" w:rsidR="00E14755" w:rsidRPr="00E14755" w:rsidRDefault="00E14755" w:rsidP="00025196">
      <w:pPr>
        <w:pStyle w:val="SingleTxt"/>
        <w:numPr>
          <w:ilvl w:val="0"/>
          <w:numId w:val="26"/>
        </w:numPr>
        <w:ind w:left="1267"/>
        <w:rPr>
          <w:lang w:val="es-ES"/>
        </w:rPr>
      </w:pPr>
      <w:r w:rsidRPr="00E14755">
        <w:rPr>
          <w:lang w:val="es-ES"/>
        </w:rPr>
        <w:t>Bangladesh expresó interés en preparar su tercer ENV para el foro político de alto nivel de 2025</w:t>
      </w:r>
      <w:r w:rsidRPr="00E14755">
        <w:rPr>
          <w:vertAlign w:val="superscript"/>
          <w:lang w:val="es-ES"/>
        </w:rPr>
        <w:footnoteReference w:id="64"/>
      </w:r>
      <w:r w:rsidRPr="00E14755">
        <w:rPr>
          <w:lang w:val="es-ES"/>
        </w:rPr>
        <w:t>. El examen tiene como objetivo reforzar las políticas, movilizar el apoyo multipartito y establecer alianzas con el fin de acelerar el progreso hacia el logro de los ODS para 2030. Está previsto que Bangladesh presente el siguiente ENV en julio de 2025; en él, ofrecerá una evaluación actualizada de los avances hacia los ODS, incluidos los relacionados con la igualdad de género.</w:t>
      </w:r>
    </w:p>
    <w:p w14:paraId="09498BB1" w14:textId="77777777" w:rsidR="00025196" w:rsidRPr="00025196" w:rsidRDefault="00025196" w:rsidP="00025196">
      <w:pPr>
        <w:pStyle w:val="SingleTxt"/>
        <w:spacing w:after="0" w:line="120" w:lineRule="exact"/>
        <w:rPr>
          <w:sz w:val="10"/>
          <w:lang w:val="es-ES"/>
        </w:rPr>
      </w:pPr>
      <w:bookmarkStart w:id="36" w:name="_Toc198161713"/>
    </w:p>
    <w:p w14:paraId="17C74A40" w14:textId="77777777" w:rsidR="00025196" w:rsidRPr="00025196" w:rsidRDefault="00025196" w:rsidP="00025196">
      <w:pPr>
        <w:pStyle w:val="SingleTxt"/>
        <w:spacing w:after="0" w:line="120" w:lineRule="exact"/>
        <w:rPr>
          <w:sz w:val="10"/>
          <w:lang w:val="es-ES"/>
        </w:rPr>
      </w:pPr>
    </w:p>
    <w:p w14:paraId="7C2A6A01" w14:textId="6580C30A" w:rsidR="00E14755" w:rsidRPr="00E14755" w:rsidRDefault="00E14755" w:rsidP="00BF14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lastRenderedPageBreak/>
        <w:tab/>
      </w:r>
      <w:r w:rsidRPr="00E14755">
        <w:rPr>
          <w:lang w:val="es-ES"/>
        </w:rPr>
        <w:tab/>
        <w:t>Ratificación de otros tratados</w:t>
      </w:r>
      <w:bookmarkEnd w:id="36"/>
    </w:p>
    <w:p w14:paraId="7E5AC9F7" w14:textId="77777777" w:rsidR="00025196" w:rsidRPr="00025196" w:rsidRDefault="00025196" w:rsidP="00BF14E0">
      <w:pPr>
        <w:pStyle w:val="SingleTxt"/>
        <w:keepNext/>
        <w:keepLines/>
        <w:spacing w:after="0" w:line="120" w:lineRule="exact"/>
        <w:rPr>
          <w:sz w:val="10"/>
          <w:lang w:val="es-ES"/>
        </w:rPr>
      </w:pPr>
    </w:p>
    <w:p w14:paraId="1B1BC5D8" w14:textId="77777777" w:rsidR="00025196" w:rsidRPr="00025196" w:rsidRDefault="00025196" w:rsidP="005E345D">
      <w:pPr>
        <w:pStyle w:val="SingleTxt"/>
        <w:spacing w:after="0" w:line="120" w:lineRule="exact"/>
        <w:rPr>
          <w:sz w:val="10"/>
          <w:lang w:val="es-ES"/>
        </w:rPr>
      </w:pPr>
    </w:p>
    <w:p w14:paraId="0231AD11" w14:textId="5D08738B" w:rsidR="00E14755" w:rsidRPr="00E14755" w:rsidRDefault="00E14755" w:rsidP="00025196">
      <w:pPr>
        <w:pStyle w:val="SingleTxt"/>
        <w:numPr>
          <w:ilvl w:val="0"/>
          <w:numId w:val="26"/>
        </w:numPr>
        <w:ind w:left="1267"/>
        <w:rPr>
          <w:lang w:val="es-ES"/>
        </w:rPr>
      </w:pPr>
      <w:r w:rsidRPr="00E14755">
        <w:rPr>
          <w:lang w:val="es-ES"/>
        </w:rPr>
        <w:t>En agosto de 2024, el Gobierno interino de Bangladesh firmó el instrumento de adhesión a la Convención Internacional para la Protección de Todas las Personas contra las Desapariciones Forzadas, demostrando así su determinación de investigar todos los casos de desapariciones forzadas. Con ello, Bangladesh es ahora parte en los nueve tratados fundamentales de derechos humanos, lo que pone de manifiesto la aspiración del pueblo a defender la libertad y la justicia para todos. En los últimos años, el país se ha esforzado por recoger sus compromisos con la igualdad de género y el empoderamiento de las mujeres en documentos de política clave, reforzando así su adaptación a las convenciones internacionales ratificadas. Estos marcos de políticas y planes de acción subrayan la dedicación de Bangladesh a la igualdad de género y los derechos de las mujeres a través de enfoques sistemáticos y globales.</w:t>
      </w:r>
    </w:p>
    <w:p w14:paraId="3CC4A739" w14:textId="77777777" w:rsidR="00025196" w:rsidRPr="00612017" w:rsidRDefault="00025196" w:rsidP="00025196">
      <w:pPr>
        <w:pStyle w:val="SingleTxt"/>
        <w:spacing w:after="0" w:line="120" w:lineRule="exact"/>
        <w:rPr>
          <w:bCs/>
          <w:sz w:val="10"/>
          <w:lang w:val="es-ES"/>
        </w:rPr>
      </w:pPr>
      <w:bookmarkStart w:id="37" w:name="_Toc196047987"/>
      <w:bookmarkStart w:id="38" w:name="_Toc198161714"/>
    </w:p>
    <w:p w14:paraId="1B23FA0C" w14:textId="77777777" w:rsidR="00025196" w:rsidRPr="00612017" w:rsidRDefault="00025196" w:rsidP="00025196">
      <w:pPr>
        <w:pStyle w:val="SingleTxt"/>
        <w:spacing w:after="0" w:line="120" w:lineRule="exact"/>
        <w:rPr>
          <w:bCs/>
          <w:sz w:val="10"/>
          <w:lang w:val="es-ES"/>
        </w:rPr>
      </w:pPr>
    </w:p>
    <w:p w14:paraId="46C90CAA" w14:textId="53DBED32" w:rsidR="00E14755" w:rsidRPr="00E14755" w:rsidRDefault="00E14755" w:rsidP="000251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Sección III: Medidas adicionales para alcanzar progresos con</w:t>
      </w:r>
      <w:r w:rsidR="00025196">
        <w:rPr>
          <w:lang w:val="es-ES"/>
        </w:rPr>
        <w:t xml:space="preserve"> </w:t>
      </w:r>
      <w:r w:rsidRPr="00E14755">
        <w:rPr>
          <w:lang w:val="es-ES"/>
        </w:rPr>
        <w:t>respecto a artículos específicos de la Convención sobre la</w:t>
      </w:r>
      <w:r w:rsidR="00025196">
        <w:rPr>
          <w:lang w:val="es-ES"/>
        </w:rPr>
        <w:t xml:space="preserve"> </w:t>
      </w:r>
      <w:r w:rsidRPr="00E14755">
        <w:rPr>
          <w:lang w:val="es-ES"/>
        </w:rPr>
        <w:t>Eliminación de Todas las Formas de Discriminación contra la Mujer</w:t>
      </w:r>
      <w:bookmarkEnd w:id="37"/>
      <w:bookmarkEnd w:id="38"/>
    </w:p>
    <w:p w14:paraId="013DACFC" w14:textId="77777777" w:rsidR="00025196" w:rsidRPr="00025196" w:rsidRDefault="00025196" w:rsidP="00025196">
      <w:pPr>
        <w:pStyle w:val="SingleTxt"/>
        <w:spacing w:after="0" w:line="120" w:lineRule="exact"/>
        <w:rPr>
          <w:sz w:val="10"/>
          <w:lang w:val="es-ES"/>
        </w:rPr>
      </w:pPr>
    </w:p>
    <w:p w14:paraId="4F807E56" w14:textId="77777777" w:rsidR="00025196" w:rsidRPr="00025196" w:rsidRDefault="00025196" w:rsidP="00025196">
      <w:pPr>
        <w:pStyle w:val="SingleTxt"/>
        <w:spacing w:after="0" w:line="120" w:lineRule="exact"/>
        <w:rPr>
          <w:sz w:val="10"/>
          <w:lang w:val="es-ES"/>
        </w:rPr>
      </w:pPr>
    </w:p>
    <w:p w14:paraId="29F7A509" w14:textId="7EDA0F40" w:rsidR="00E14755" w:rsidRPr="00E14755" w:rsidRDefault="00E14755" w:rsidP="00025196">
      <w:pPr>
        <w:pStyle w:val="SingleTxt"/>
        <w:numPr>
          <w:ilvl w:val="0"/>
          <w:numId w:val="26"/>
        </w:numPr>
        <w:ind w:left="1267"/>
        <w:rPr>
          <w:lang w:val="es-ES"/>
        </w:rPr>
      </w:pPr>
      <w:r w:rsidRPr="00E14755">
        <w:rPr>
          <w:lang w:val="es-ES"/>
        </w:rPr>
        <w:t xml:space="preserve">En esta subsección del informe se exponen a grandes rasgos las disposiciones y medidas adicionales, jurídicas o de otro tipo, que se han adoptado para aplicar artículos específicos de la Convención. </w:t>
      </w:r>
    </w:p>
    <w:p w14:paraId="14CF0CD6" w14:textId="77777777" w:rsidR="00025196" w:rsidRPr="00025196" w:rsidRDefault="00025196" w:rsidP="00025196">
      <w:pPr>
        <w:pStyle w:val="SingleTxt"/>
        <w:spacing w:after="0" w:line="120" w:lineRule="exact"/>
        <w:rPr>
          <w:b/>
          <w:sz w:val="10"/>
          <w:lang w:val="es-ES"/>
        </w:rPr>
      </w:pPr>
      <w:bookmarkStart w:id="39" w:name="_Toc196047990"/>
      <w:bookmarkStart w:id="40" w:name="_Toc198161715"/>
    </w:p>
    <w:p w14:paraId="49C067F3" w14:textId="77777777" w:rsidR="00025196" w:rsidRPr="00025196" w:rsidRDefault="00025196" w:rsidP="00025196">
      <w:pPr>
        <w:pStyle w:val="SingleTxt"/>
        <w:spacing w:after="0" w:line="120" w:lineRule="exact"/>
        <w:rPr>
          <w:b/>
          <w:sz w:val="10"/>
          <w:lang w:val="es-ES"/>
        </w:rPr>
      </w:pPr>
    </w:p>
    <w:p w14:paraId="1C831B7F" w14:textId="06CE9E23"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Artículo 2: Eliminación de todas las formas de discriminación contra la</w:t>
      </w:r>
      <w:r w:rsidR="00025196">
        <w:rPr>
          <w:lang w:val="es-ES"/>
        </w:rPr>
        <w:t xml:space="preserve"> </w:t>
      </w:r>
      <w:r w:rsidRPr="00E14755">
        <w:rPr>
          <w:lang w:val="es-ES"/>
        </w:rPr>
        <w:t>mujer</w:t>
      </w:r>
      <w:bookmarkEnd w:id="39"/>
      <w:bookmarkEnd w:id="40"/>
    </w:p>
    <w:p w14:paraId="5D1ABBDB" w14:textId="77777777" w:rsidR="00025196" w:rsidRPr="00025196" w:rsidRDefault="00025196" w:rsidP="00025196">
      <w:pPr>
        <w:pStyle w:val="SingleTxt"/>
        <w:spacing w:after="0" w:line="120" w:lineRule="exact"/>
        <w:rPr>
          <w:sz w:val="10"/>
          <w:lang w:val="es-ES"/>
        </w:rPr>
      </w:pPr>
    </w:p>
    <w:p w14:paraId="1C915332" w14:textId="77777777" w:rsidR="00025196" w:rsidRPr="00025196" w:rsidRDefault="00025196" w:rsidP="00025196">
      <w:pPr>
        <w:pStyle w:val="SingleTxt"/>
        <w:spacing w:after="0" w:line="120" w:lineRule="exact"/>
        <w:rPr>
          <w:sz w:val="10"/>
          <w:lang w:val="es-ES"/>
        </w:rPr>
      </w:pPr>
    </w:p>
    <w:p w14:paraId="6CC286B7" w14:textId="0D73ADF6" w:rsidR="00E14755" w:rsidRPr="00E14755" w:rsidRDefault="00E14755" w:rsidP="00025196">
      <w:pPr>
        <w:pStyle w:val="SingleTxt"/>
        <w:numPr>
          <w:ilvl w:val="0"/>
          <w:numId w:val="26"/>
        </w:numPr>
        <w:ind w:left="1267"/>
        <w:rPr>
          <w:lang w:val="es-ES"/>
        </w:rPr>
      </w:pPr>
      <w:r w:rsidRPr="00E14755">
        <w:rPr>
          <w:lang w:val="es-ES"/>
        </w:rPr>
        <w:t>La Constitución de Bangladesh garantiza la igualdad y la igual protección de la ley para todos los ciudadanos y prohíbe la discriminación contra cualquier ciudadano por motivos de religión, raza, casta, género o lugar de nacimiento. La Constitución también contiene disposiciones especiales para respaldar a las mujeres que se hayan visto perjudicadas por barreras patriarcales sociales e institucionales, por ejemplo la concesión de becas o estipendios educativos y la igualdad de oportunidades laborales.</w:t>
      </w:r>
    </w:p>
    <w:p w14:paraId="7DB7016E" w14:textId="24C73041" w:rsidR="00E14755" w:rsidRPr="00E14755" w:rsidRDefault="00E14755" w:rsidP="00025196">
      <w:pPr>
        <w:pStyle w:val="SingleTxt"/>
        <w:numPr>
          <w:ilvl w:val="0"/>
          <w:numId w:val="26"/>
        </w:numPr>
        <w:ind w:left="1267"/>
        <w:rPr>
          <w:lang w:val="es-ES"/>
        </w:rPr>
      </w:pPr>
      <w:r w:rsidRPr="00E14755">
        <w:rPr>
          <w:lang w:val="es-ES"/>
        </w:rPr>
        <w:t>La Constitución estipula además que el Estado debe adoptar medidas eficaces para eliminar la desigualdad social y económica entre hombres y mujeres, así como para velar por una distribución equitativa de la riqueza entre sus ciudadanos. En consonancia con lo estipulado en la Constitución, Bangladesh ha progresado de forma notable en la promoción de la igualdad de género en diversos sectores, como la educación, la atención de la salud, la</w:t>
      </w:r>
      <w:r w:rsidR="00AE4701">
        <w:rPr>
          <w:lang w:val="es-ES"/>
        </w:rPr>
        <w:t xml:space="preserve"> </w:t>
      </w:r>
      <w:r w:rsidRPr="00E14755">
        <w:rPr>
          <w:lang w:val="es-ES"/>
        </w:rPr>
        <w:t xml:space="preserve">política y la participación económica. </w:t>
      </w:r>
    </w:p>
    <w:p w14:paraId="70BEC8FA" w14:textId="54637799" w:rsidR="00E14755" w:rsidRPr="00E14755" w:rsidRDefault="00E14755" w:rsidP="00025196">
      <w:pPr>
        <w:pStyle w:val="SingleTxt"/>
        <w:numPr>
          <w:ilvl w:val="0"/>
          <w:numId w:val="26"/>
        </w:numPr>
        <w:ind w:left="1267"/>
        <w:rPr>
          <w:lang w:val="es-ES"/>
        </w:rPr>
      </w:pPr>
      <w:r w:rsidRPr="00E14755">
        <w:rPr>
          <w:lang w:val="es-ES"/>
        </w:rPr>
        <w:t xml:space="preserve">El Gobierno ha emprendido numerosas medidas jurídicas y administrativas para eliminar la discriminación y la violencia contra las mujeres. En el Anexo A se recoge una lista de las principales leyes y políticas promulgadas o modificadas entre 2016 y 2025. Cabe mencionar que el Gobierno actualizó el Plan de acción nacional para eliminar la violencia contra las mujeres y los niños (2018-2030), que contempla una sociedad libre de violencia contra las mujeres y los niños para 2030. </w:t>
      </w:r>
    </w:p>
    <w:p w14:paraId="36DB0C39" w14:textId="77777777" w:rsidR="00025196" w:rsidRPr="00025196" w:rsidRDefault="00025196" w:rsidP="00025196">
      <w:pPr>
        <w:pStyle w:val="SingleTxt"/>
        <w:spacing w:after="0" w:line="120" w:lineRule="exact"/>
        <w:rPr>
          <w:sz w:val="10"/>
          <w:lang w:val="es-ES"/>
        </w:rPr>
      </w:pPr>
    </w:p>
    <w:p w14:paraId="5DD97E0C" w14:textId="77777777" w:rsidR="00025196" w:rsidRPr="00025196" w:rsidRDefault="00025196" w:rsidP="00025196">
      <w:pPr>
        <w:pStyle w:val="SingleTxt"/>
        <w:spacing w:after="0" w:line="120" w:lineRule="exact"/>
        <w:rPr>
          <w:sz w:val="10"/>
          <w:lang w:val="es-ES"/>
        </w:rPr>
      </w:pPr>
    </w:p>
    <w:p w14:paraId="62310DF0" w14:textId="0C70C8F1" w:rsidR="00E14755" w:rsidRPr="00E14755" w:rsidRDefault="00E14755" w:rsidP="006C15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 xml:space="preserve">Reserva </w:t>
      </w:r>
    </w:p>
    <w:p w14:paraId="3FC631A6" w14:textId="77777777" w:rsidR="00025196" w:rsidRPr="00025196" w:rsidRDefault="00025196" w:rsidP="006C156C">
      <w:pPr>
        <w:pStyle w:val="SingleTxt"/>
        <w:keepNext/>
        <w:keepLines/>
        <w:spacing w:after="0" w:line="120" w:lineRule="exact"/>
        <w:rPr>
          <w:sz w:val="10"/>
          <w:lang w:val="es-ES"/>
        </w:rPr>
      </w:pPr>
    </w:p>
    <w:p w14:paraId="04211425" w14:textId="77777777" w:rsidR="00025196" w:rsidRPr="00025196" w:rsidRDefault="00025196" w:rsidP="006C156C">
      <w:pPr>
        <w:pStyle w:val="SingleTxt"/>
        <w:keepNext/>
        <w:keepLines/>
        <w:spacing w:after="0" w:line="120" w:lineRule="exact"/>
        <w:rPr>
          <w:sz w:val="10"/>
          <w:lang w:val="es-ES"/>
        </w:rPr>
      </w:pPr>
    </w:p>
    <w:p w14:paraId="0EF0986B" w14:textId="42A3534B" w:rsidR="00E14755" w:rsidRPr="00E14755" w:rsidRDefault="00E14755" w:rsidP="00025196">
      <w:pPr>
        <w:pStyle w:val="SingleTxt"/>
        <w:numPr>
          <w:ilvl w:val="0"/>
          <w:numId w:val="26"/>
        </w:numPr>
        <w:ind w:left="1267"/>
        <w:rPr>
          <w:lang w:val="es-ES"/>
        </w:rPr>
      </w:pPr>
      <w:r w:rsidRPr="00E14755">
        <w:rPr>
          <w:lang w:val="es-ES"/>
        </w:rPr>
        <w:t xml:space="preserve">Esta cuestión se ha abordado al inicio de la Sección II. </w:t>
      </w:r>
    </w:p>
    <w:p w14:paraId="5939699D" w14:textId="77777777" w:rsidR="00025196" w:rsidRPr="00025196" w:rsidRDefault="00025196" w:rsidP="00025196">
      <w:pPr>
        <w:pStyle w:val="SingleTxt"/>
        <w:spacing w:after="0" w:line="120" w:lineRule="exact"/>
        <w:rPr>
          <w:b/>
          <w:sz w:val="10"/>
          <w:lang w:val="es-ES"/>
        </w:rPr>
      </w:pPr>
      <w:bookmarkStart w:id="41" w:name="_Toc196047991"/>
      <w:bookmarkStart w:id="42" w:name="_Toc198161716"/>
    </w:p>
    <w:p w14:paraId="24D638B4" w14:textId="77777777" w:rsidR="00025196" w:rsidRPr="00025196" w:rsidRDefault="00025196" w:rsidP="00025196">
      <w:pPr>
        <w:pStyle w:val="SingleTxt"/>
        <w:spacing w:after="0" w:line="120" w:lineRule="exact"/>
        <w:rPr>
          <w:b/>
          <w:sz w:val="10"/>
          <w:lang w:val="es-ES"/>
        </w:rPr>
      </w:pPr>
    </w:p>
    <w:p w14:paraId="3F13E762" w14:textId="0A95832E"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lastRenderedPageBreak/>
        <w:tab/>
      </w:r>
      <w:r w:rsidRPr="00E14755">
        <w:rPr>
          <w:lang w:val="es-ES"/>
        </w:rPr>
        <w:tab/>
        <w:t>Artículo 3: Todas las medidas apropiadas para asegurar el pleno desarrollo y adelanto de la mujer</w:t>
      </w:r>
      <w:bookmarkEnd w:id="41"/>
      <w:bookmarkEnd w:id="42"/>
    </w:p>
    <w:p w14:paraId="2F8C2928" w14:textId="77777777" w:rsidR="00025196" w:rsidRPr="00025196" w:rsidRDefault="00025196" w:rsidP="00025196">
      <w:pPr>
        <w:pStyle w:val="SingleTxt"/>
        <w:spacing w:after="0" w:line="120" w:lineRule="exact"/>
        <w:rPr>
          <w:sz w:val="10"/>
          <w:lang w:val="es-ES"/>
        </w:rPr>
      </w:pPr>
    </w:p>
    <w:p w14:paraId="23043ACF" w14:textId="77777777" w:rsidR="00025196" w:rsidRPr="00025196" w:rsidRDefault="00025196" w:rsidP="00025196">
      <w:pPr>
        <w:pStyle w:val="SingleTxt"/>
        <w:spacing w:after="0" w:line="120" w:lineRule="exact"/>
        <w:rPr>
          <w:sz w:val="10"/>
          <w:lang w:val="es-ES"/>
        </w:rPr>
      </w:pPr>
    </w:p>
    <w:p w14:paraId="79A08260" w14:textId="53C2BD8E" w:rsidR="00E14755" w:rsidRPr="00E14755" w:rsidRDefault="00E14755" w:rsidP="00025196">
      <w:pPr>
        <w:pStyle w:val="SingleTxt"/>
        <w:numPr>
          <w:ilvl w:val="0"/>
          <w:numId w:val="26"/>
        </w:numPr>
        <w:ind w:left="1267"/>
        <w:rPr>
          <w:lang w:val="es-ES"/>
        </w:rPr>
      </w:pPr>
      <w:r w:rsidRPr="00E14755">
        <w:rPr>
          <w:lang w:val="es-ES"/>
        </w:rPr>
        <w:t xml:space="preserve">El Gobierno ha adoptado numerosas políticas y medidas jurídicas para el pleno desarrollo y adelanto de las mujeres, como se explica en la Sección II. </w:t>
      </w:r>
    </w:p>
    <w:p w14:paraId="1DB68CAC" w14:textId="5E3FE439" w:rsidR="00E14755" w:rsidRPr="00E14755" w:rsidRDefault="00E14755" w:rsidP="00025196">
      <w:pPr>
        <w:pStyle w:val="SingleTxt"/>
        <w:numPr>
          <w:ilvl w:val="0"/>
          <w:numId w:val="26"/>
        </w:numPr>
        <w:ind w:left="1267"/>
        <w:rPr>
          <w:lang w:val="es-ES"/>
        </w:rPr>
      </w:pPr>
      <w:r w:rsidRPr="00E14755">
        <w:rPr>
          <w:lang w:val="es-ES"/>
        </w:rPr>
        <w:t>Según el artículo 15 de la Constitución de Bangladesh, el Gobierno se compromete a garantizar el acceso a una seguridad social sostenible a las personas que afrontan dificultades a causa del desempleo, una discapacidad mental o física, la viudedad, la orfandad, la vejez u otras circunstancias similares ajenas a su control.</w:t>
      </w:r>
    </w:p>
    <w:p w14:paraId="7F3F5642" w14:textId="23AAEF94" w:rsidR="00E14755" w:rsidRPr="00E14755" w:rsidRDefault="00E14755" w:rsidP="00025196">
      <w:pPr>
        <w:pStyle w:val="SingleTxt"/>
        <w:numPr>
          <w:ilvl w:val="0"/>
          <w:numId w:val="26"/>
        </w:numPr>
        <w:ind w:left="1267"/>
        <w:rPr>
          <w:lang w:val="es-ES"/>
        </w:rPr>
      </w:pPr>
      <w:r w:rsidRPr="00E14755">
        <w:rPr>
          <w:lang w:val="es-ES"/>
        </w:rPr>
        <w:t>El Gobierno promulgó la Ley de Gestión de la Pensión Universal de 2023 para proporcionar una red de seguridad social sostenible y bien estructurada a todos los segmentos de la población, en particular a las personas mayores debido al aumento de la esperanza media de vida. La Ley amplía la cobertura de las pensiones a un segmento más amplio de la población, incluidos los trabajadores del sector informal, que solían carecer de acceso a los regímenes formales de pensiones. Esto se aplica a un número significativo de mujeres con empleos informales y a tiempo parcial.</w:t>
      </w:r>
    </w:p>
    <w:p w14:paraId="3BDD0F86" w14:textId="6C083407" w:rsidR="00E14755" w:rsidRPr="00E14755" w:rsidRDefault="00E14755" w:rsidP="00025196">
      <w:pPr>
        <w:pStyle w:val="SingleTxt"/>
        <w:numPr>
          <w:ilvl w:val="0"/>
          <w:numId w:val="26"/>
        </w:numPr>
        <w:ind w:left="1267"/>
        <w:rPr>
          <w:lang w:val="es-ES"/>
        </w:rPr>
      </w:pPr>
      <w:r w:rsidRPr="00E14755">
        <w:rPr>
          <w:lang w:val="es-ES"/>
        </w:rPr>
        <w:t xml:space="preserve">El Gobierno presentó la Fase II del Plan de Acción de la Estrategia Nacional de Seguridad Social para el período 2021-2026, que expone a grandes rasgos la adopción por el Ministerio de Bienestar Social de un enfoque de la seguridad social basado en el ciclo vital. La estrategia del </w:t>
      </w:r>
      <w:r w:rsidR="00ED40B4">
        <w:rPr>
          <w:lang w:val="es-ES"/>
        </w:rPr>
        <w:t>“</w:t>
      </w:r>
      <w:r w:rsidRPr="00E14755">
        <w:rPr>
          <w:lang w:val="es-ES"/>
        </w:rPr>
        <w:t>ciclo vital</w:t>
      </w:r>
      <w:r w:rsidR="00ED40B4">
        <w:rPr>
          <w:lang w:val="es-ES"/>
        </w:rPr>
        <w:t>”</w:t>
      </w:r>
      <w:r w:rsidRPr="00E14755">
        <w:rPr>
          <w:lang w:val="es-ES"/>
        </w:rPr>
        <w:t xml:space="preserve"> está desempeñando un papel crucial en la trayectoria de Bangladesh hacia el logro de la condición de país de ingreso mediano para 2026 y la</w:t>
      </w:r>
      <w:r w:rsidR="00AE4701">
        <w:rPr>
          <w:lang w:val="es-ES"/>
        </w:rPr>
        <w:t xml:space="preserve"> </w:t>
      </w:r>
      <w:r w:rsidRPr="00E14755">
        <w:rPr>
          <w:lang w:val="es-ES"/>
        </w:rPr>
        <w:t>implementación de los ODS para 2030.</w:t>
      </w:r>
    </w:p>
    <w:p w14:paraId="2AA950BD" w14:textId="6653AE35" w:rsidR="00E14755" w:rsidRPr="00E14755" w:rsidRDefault="00E14755" w:rsidP="00025196">
      <w:pPr>
        <w:pStyle w:val="SingleTxt"/>
        <w:numPr>
          <w:ilvl w:val="0"/>
          <w:numId w:val="26"/>
        </w:numPr>
        <w:ind w:left="1267"/>
        <w:rPr>
          <w:lang w:val="es-ES"/>
        </w:rPr>
      </w:pPr>
      <w:r w:rsidRPr="00E14755">
        <w:rPr>
          <w:lang w:val="es-ES"/>
        </w:rPr>
        <w:t>El Ministerio de Bienestar Social ha adoptado medidas para crear una red de seguridad social eficiente mediante la concesión de prestaciones de vejez a 5,701</w:t>
      </w:r>
      <w:r w:rsidR="006D2663">
        <w:rPr>
          <w:lang w:val="es-ES"/>
        </w:rPr>
        <w:t> </w:t>
      </w:r>
      <w:r w:rsidRPr="00E14755">
        <w:rPr>
          <w:lang w:val="es-ES"/>
        </w:rPr>
        <w:t>millones de personas, prestaciones de viudedad y para mujeres que experimenten abandono conyugal a 2,475</w:t>
      </w:r>
      <w:r w:rsidR="00AE4701">
        <w:rPr>
          <w:lang w:val="es-ES"/>
        </w:rPr>
        <w:t xml:space="preserve"> </w:t>
      </w:r>
      <w:r w:rsidRPr="00E14755">
        <w:rPr>
          <w:lang w:val="es-ES"/>
        </w:rPr>
        <w:t>millones de personas y prestaciones de discapacidad a 2,365 millones de personas con discapacidad</w:t>
      </w:r>
      <w:r w:rsidRPr="00E14755">
        <w:rPr>
          <w:vertAlign w:val="superscript"/>
          <w:lang w:val="es-ES"/>
        </w:rPr>
        <w:footnoteReference w:id="65"/>
      </w:r>
      <w:r w:rsidRPr="00E14755">
        <w:rPr>
          <w:lang w:val="es-ES"/>
        </w:rPr>
        <w:t>. Ahora se exige que las mujeres reciban el 100</w:t>
      </w:r>
      <w:r w:rsidR="00ED40B4">
        <w:rPr>
          <w:lang w:val="es-ES"/>
        </w:rPr>
        <w:t> %</w:t>
      </w:r>
      <w:r w:rsidRPr="00E14755">
        <w:rPr>
          <w:lang w:val="es-ES"/>
        </w:rPr>
        <w:t xml:space="preserve"> de la prestación de viudedad y al menos el 50</w:t>
      </w:r>
      <w:r w:rsidR="00ED40B4">
        <w:rPr>
          <w:lang w:val="es-ES"/>
        </w:rPr>
        <w:t> %</w:t>
      </w:r>
      <w:r w:rsidRPr="00E14755">
        <w:rPr>
          <w:lang w:val="es-ES"/>
        </w:rPr>
        <w:t xml:space="preserve"> de las prestaciones de vejez y discapacidad. Además, las oficinas del Departamento de Cooperativas de </w:t>
      </w:r>
      <w:r w:rsidRPr="00E14755">
        <w:rPr>
          <w:i/>
          <w:iCs/>
          <w:lang w:val="es-ES"/>
        </w:rPr>
        <w:t>Upazilas</w:t>
      </w:r>
      <w:r w:rsidRPr="00E14755">
        <w:rPr>
          <w:lang w:val="es-ES"/>
        </w:rPr>
        <w:t xml:space="preserve"> gestionan una serie de centros de capacitación que imparten formación profesional en diversos oficios con el fin de respaldar el crecimiento socioeconómico de las mujeres. Durante el ejercicio económico 2021/2022, los 81</w:t>
      </w:r>
      <w:r w:rsidR="00EB7C85">
        <w:rPr>
          <w:lang w:val="es-ES"/>
        </w:rPr>
        <w:t> </w:t>
      </w:r>
      <w:r w:rsidRPr="00E14755">
        <w:rPr>
          <w:lang w:val="es-ES"/>
        </w:rPr>
        <w:t>centros cualificados de capacitación sobre desarrollo que existen, dependientes del Ministerio, capacitaron a 17.118 alumnos, de los cuales 7.648 eran mujeres (44,68</w:t>
      </w:r>
      <w:r w:rsidR="00ED40B4">
        <w:rPr>
          <w:lang w:val="es-ES"/>
        </w:rPr>
        <w:t> %</w:t>
      </w:r>
      <w:r w:rsidRPr="00E14755">
        <w:rPr>
          <w:lang w:val="es-ES"/>
        </w:rPr>
        <w:t xml:space="preserve">). </w:t>
      </w:r>
    </w:p>
    <w:p w14:paraId="16208E2A" w14:textId="77777777" w:rsidR="00025196" w:rsidRPr="00025196" w:rsidRDefault="00025196" w:rsidP="00025196">
      <w:pPr>
        <w:pStyle w:val="SingleTxt"/>
        <w:spacing w:after="0" w:line="120" w:lineRule="exact"/>
        <w:rPr>
          <w:sz w:val="10"/>
          <w:lang w:val="es-ES"/>
        </w:rPr>
      </w:pPr>
      <w:bookmarkStart w:id="43" w:name="_Toc196047992"/>
      <w:bookmarkStart w:id="44" w:name="_Toc198161717"/>
    </w:p>
    <w:p w14:paraId="1F9B65C7" w14:textId="77777777" w:rsidR="00025196" w:rsidRPr="00025196" w:rsidRDefault="00025196" w:rsidP="00025196">
      <w:pPr>
        <w:pStyle w:val="SingleTxt"/>
        <w:spacing w:after="0" w:line="120" w:lineRule="exact"/>
        <w:rPr>
          <w:sz w:val="10"/>
          <w:lang w:val="es-ES"/>
        </w:rPr>
      </w:pPr>
    </w:p>
    <w:p w14:paraId="3C8B19F5" w14:textId="79FAA511"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 xml:space="preserve">Artículo 4: Adopción de medidas especiales </w:t>
      </w:r>
      <w:bookmarkEnd w:id="43"/>
      <w:bookmarkEnd w:id="44"/>
    </w:p>
    <w:p w14:paraId="2773434F" w14:textId="77777777" w:rsidR="00025196" w:rsidRPr="00025196" w:rsidRDefault="00025196" w:rsidP="006D2663">
      <w:pPr>
        <w:pStyle w:val="SingleTxt"/>
        <w:spacing w:after="0" w:line="120" w:lineRule="exact"/>
        <w:rPr>
          <w:sz w:val="10"/>
          <w:lang w:val="es-ES"/>
        </w:rPr>
      </w:pPr>
    </w:p>
    <w:p w14:paraId="2B3BB5CD" w14:textId="77777777" w:rsidR="00025196" w:rsidRPr="00025196" w:rsidRDefault="00025196" w:rsidP="006D2663">
      <w:pPr>
        <w:pStyle w:val="SingleTxt"/>
        <w:spacing w:after="0" w:line="120" w:lineRule="exact"/>
        <w:rPr>
          <w:sz w:val="10"/>
          <w:lang w:val="es-ES"/>
        </w:rPr>
      </w:pPr>
    </w:p>
    <w:p w14:paraId="3F6FA7CB" w14:textId="7A0D5C97" w:rsidR="00E14755" w:rsidRPr="00E14755" w:rsidRDefault="00E14755" w:rsidP="00025196">
      <w:pPr>
        <w:pStyle w:val="SingleTxt"/>
        <w:numPr>
          <w:ilvl w:val="0"/>
          <w:numId w:val="26"/>
        </w:numPr>
        <w:ind w:left="1267"/>
        <w:rPr>
          <w:lang w:val="es-ES"/>
        </w:rPr>
      </w:pPr>
      <w:r w:rsidRPr="00E14755">
        <w:rPr>
          <w:lang w:val="es-ES"/>
        </w:rPr>
        <w:t>La Constitución de Bangladesh incluye disposiciones sobre medidas especiales en forma de acción afirmativa para apoyar a las mujeres de los segmentos subdesarrollados y desfavorecidos de la sociedad.</w:t>
      </w:r>
    </w:p>
    <w:p w14:paraId="3984DDC7" w14:textId="29DF37DE" w:rsidR="00E14755" w:rsidRPr="00E14755" w:rsidRDefault="00E14755" w:rsidP="00025196">
      <w:pPr>
        <w:pStyle w:val="SingleTxt"/>
        <w:numPr>
          <w:ilvl w:val="0"/>
          <w:numId w:val="26"/>
        </w:numPr>
        <w:ind w:left="1267"/>
        <w:rPr>
          <w:lang w:val="es-ES"/>
        </w:rPr>
      </w:pPr>
      <w:r w:rsidRPr="00E14755">
        <w:rPr>
          <w:lang w:val="es-ES"/>
        </w:rPr>
        <w:t xml:space="preserve">Según el artículo 65 3) de la Constitución de Bangladesh, de los 350 escaños del Parlamento, 50 están reservados a mujeres. Para aumentar la participación de las mujeres en la Administración local, se reserva un tercio de los escaños en los consejos de las </w:t>
      </w:r>
      <w:r w:rsidRPr="00E14755">
        <w:rPr>
          <w:i/>
          <w:iCs/>
          <w:lang w:val="es-ES"/>
        </w:rPr>
        <w:t>unions</w:t>
      </w:r>
      <w:r w:rsidRPr="00E14755">
        <w:rPr>
          <w:lang w:val="es-ES"/>
        </w:rPr>
        <w:t xml:space="preserve"> y los </w:t>
      </w:r>
      <w:r w:rsidRPr="00E14755">
        <w:rPr>
          <w:i/>
          <w:iCs/>
          <w:lang w:val="es-ES"/>
        </w:rPr>
        <w:t>Upazila Parishads</w:t>
      </w:r>
      <w:r w:rsidRPr="00E14755">
        <w:rPr>
          <w:lang w:val="es-ES"/>
        </w:rPr>
        <w:t xml:space="preserve"> a las mujeres.</w:t>
      </w:r>
    </w:p>
    <w:p w14:paraId="393CFCA0" w14:textId="469AEABF" w:rsidR="00E14755" w:rsidRPr="00E14755" w:rsidRDefault="00E14755" w:rsidP="00025196">
      <w:pPr>
        <w:pStyle w:val="SingleTxt"/>
        <w:numPr>
          <w:ilvl w:val="0"/>
          <w:numId w:val="26"/>
        </w:numPr>
        <w:ind w:left="1267"/>
        <w:rPr>
          <w:lang w:val="es-ES"/>
        </w:rPr>
      </w:pPr>
      <w:r w:rsidRPr="00E14755">
        <w:rPr>
          <w:lang w:val="es-ES"/>
        </w:rPr>
        <w:t xml:space="preserve">En 2020, el Gobierno abrió oficinas de servicio integral para las mujeres, los niños y las personas con discapacidad en 659 comisarías de policía. Una subinspectora con capacitación especializada dirige el servicio junto con otras agentes cualificadas. Esta iniciativa de la Policía de Bangladesh ayuda a las mujeres a acceder </w:t>
      </w:r>
      <w:r w:rsidRPr="00E14755">
        <w:rPr>
          <w:lang w:val="es-ES"/>
        </w:rPr>
        <w:lastRenderedPageBreak/>
        <w:t xml:space="preserve">a servicios de asistencia jurídica para luchar contra los prejuicios que afrontan en la sociedad. </w:t>
      </w:r>
    </w:p>
    <w:p w14:paraId="73B45E17" w14:textId="57B51224" w:rsidR="00E14755" w:rsidRPr="00E14755" w:rsidRDefault="00E14755" w:rsidP="00025196">
      <w:pPr>
        <w:pStyle w:val="SingleTxt"/>
        <w:numPr>
          <w:ilvl w:val="0"/>
          <w:numId w:val="26"/>
        </w:numPr>
        <w:ind w:left="1267"/>
        <w:rPr>
          <w:lang w:val="es-ES"/>
        </w:rPr>
      </w:pPr>
      <w:r w:rsidRPr="00E14755">
        <w:rPr>
          <w:lang w:val="es-ES"/>
        </w:rPr>
        <w:t xml:space="preserve">El Gobierno ha reforzado la distribución equitativa de la educación primaria a través de diversos programas, entre ellos uno de becas para 13 millones de estudiantes con el fin de construir instalaciones de saneamiento adecuadas y estructuras de apoyo para niños con necesidades especiales. Entre 2013 y 2023, el Fondo Fiduciario de Asistencia Educativa </w:t>
      </w:r>
      <w:r w:rsidRPr="00A83354">
        <w:rPr>
          <w:lang w:val="es-ES"/>
        </w:rPr>
        <w:t>concedió</w:t>
      </w:r>
      <w:r w:rsidRPr="00E14755">
        <w:rPr>
          <w:lang w:val="es-ES"/>
        </w:rPr>
        <w:t xml:space="preserve"> 8.329.838.860 becas a 15.529.799 estudiantes de grado (aprobado) y niveles comparables, de los cuales el 75</w:t>
      </w:r>
      <w:r w:rsidR="00ED40B4">
        <w:rPr>
          <w:lang w:val="es-ES"/>
        </w:rPr>
        <w:t> %</w:t>
      </w:r>
      <w:r w:rsidRPr="00E14755">
        <w:rPr>
          <w:lang w:val="es-ES"/>
        </w:rPr>
        <w:t xml:space="preserve"> eran mujeres</w:t>
      </w:r>
      <w:r w:rsidRPr="00E14755">
        <w:rPr>
          <w:vertAlign w:val="superscript"/>
          <w:lang w:val="es-ES"/>
        </w:rPr>
        <w:footnoteReference w:id="66"/>
      </w:r>
      <w:r w:rsidRPr="00E14755">
        <w:rPr>
          <w:lang w:val="es-ES"/>
        </w:rPr>
        <w:t>.</w:t>
      </w:r>
    </w:p>
    <w:p w14:paraId="75EA1CF1" w14:textId="77777777" w:rsidR="00025196" w:rsidRPr="00025196" w:rsidRDefault="00025196" w:rsidP="00025196">
      <w:pPr>
        <w:pStyle w:val="SingleTxt"/>
        <w:spacing w:after="0" w:line="120" w:lineRule="exact"/>
        <w:rPr>
          <w:sz w:val="10"/>
          <w:lang w:val="es-ES"/>
        </w:rPr>
      </w:pPr>
      <w:bookmarkStart w:id="45" w:name="_Toc196047993"/>
      <w:bookmarkStart w:id="46" w:name="_Toc198161718"/>
    </w:p>
    <w:p w14:paraId="13FC77C2" w14:textId="77777777" w:rsidR="00025196" w:rsidRPr="00025196" w:rsidRDefault="00025196" w:rsidP="00025196">
      <w:pPr>
        <w:pStyle w:val="SingleTxt"/>
        <w:spacing w:after="0" w:line="120" w:lineRule="exact"/>
        <w:rPr>
          <w:sz w:val="10"/>
          <w:lang w:val="es-ES"/>
        </w:rPr>
      </w:pPr>
    </w:p>
    <w:p w14:paraId="698A7BA2" w14:textId="31653DB1"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28" w:hanging="1267"/>
        <w:rPr>
          <w:lang w:val="es-ES"/>
        </w:rPr>
      </w:pPr>
      <w:r w:rsidRPr="00E14755">
        <w:rPr>
          <w:lang w:val="es-ES"/>
        </w:rPr>
        <w:tab/>
      </w:r>
      <w:r w:rsidRPr="00E14755">
        <w:rPr>
          <w:lang w:val="es-ES"/>
        </w:rPr>
        <w:tab/>
        <w:t>Artículo 5: Abordar las funciones características de cada sexo y los estereotipos</w:t>
      </w:r>
      <w:bookmarkEnd w:id="45"/>
      <w:bookmarkEnd w:id="46"/>
    </w:p>
    <w:p w14:paraId="501BCA4E" w14:textId="77777777" w:rsidR="00025196" w:rsidRPr="00025196" w:rsidRDefault="00025196" w:rsidP="00025196">
      <w:pPr>
        <w:pStyle w:val="SingleTxt"/>
        <w:spacing w:after="0" w:line="120" w:lineRule="exact"/>
        <w:rPr>
          <w:sz w:val="10"/>
          <w:lang w:val="es-ES"/>
        </w:rPr>
      </w:pPr>
    </w:p>
    <w:p w14:paraId="39A95249" w14:textId="77777777" w:rsidR="00025196" w:rsidRPr="00025196" w:rsidRDefault="00025196" w:rsidP="00025196">
      <w:pPr>
        <w:pStyle w:val="SingleTxt"/>
        <w:spacing w:after="0" w:line="120" w:lineRule="exact"/>
        <w:rPr>
          <w:sz w:val="10"/>
          <w:lang w:val="es-ES"/>
        </w:rPr>
      </w:pPr>
    </w:p>
    <w:p w14:paraId="00B5E99F" w14:textId="26997A30" w:rsidR="00E14755" w:rsidRPr="00E14755" w:rsidRDefault="00E14755" w:rsidP="00025196">
      <w:pPr>
        <w:pStyle w:val="SingleTxt"/>
        <w:numPr>
          <w:ilvl w:val="0"/>
          <w:numId w:val="26"/>
        </w:numPr>
        <w:ind w:left="1267"/>
        <w:rPr>
          <w:lang w:val="es-ES"/>
        </w:rPr>
      </w:pPr>
      <w:r w:rsidRPr="00E14755">
        <w:rPr>
          <w:lang w:val="es-ES"/>
        </w:rPr>
        <w:t>El Gobierno ha previsto una licencia de maternidad de seis meses que se puede disfrutar dos veces en toda la vida laboral. El Departamento de Inspección de Fábricas y Establecimientos se encarga de garantizar la prestación y la licencia de maternidad de las trabajadoras, según lo previsto en la Ley Laboral de Bangladesh de 2006 y la Normativa Laboral de Bangladesh de 2015. En 2023 se modificó la Ley del Trabajo de Bangladesh de 2006 y se aproximó así la normativa laboral al cumplimiento de las normas internacionales del trabajo. En la Ley del Trabajo de Bangladesh (Modificación) de 2023 se incrementó la duración de la licencia de maternidad de 112 a 120 días. En el ejercicio económico 2023/2024, el número total de trabajadoras que recibieron prestaciones por maternidad fue de 8.855 y el importe total de las prestaciones ascendió a 333,72 millones de takas</w:t>
      </w:r>
      <w:r w:rsidRPr="00E14755">
        <w:rPr>
          <w:vertAlign w:val="superscript"/>
          <w:lang w:val="es-ES"/>
        </w:rPr>
        <w:footnoteReference w:id="67"/>
      </w:r>
      <w:r w:rsidRPr="00E14755">
        <w:rPr>
          <w:lang w:val="es-ES"/>
        </w:rPr>
        <w:t>.</w:t>
      </w:r>
    </w:p>
    <w:p w14:paraId="5DD01E39" w14:textId="4046685F" w:rsidR="00E14755" w:rsidRPr="00E14755" w:rsidRDefault="00E14755" w:rsidP="00025196">
      <w:pPr>
        <w:pStyle w:val="SingleTxt"/>
        <w:numPr>
          <w:ilvl w:val="0"/>
          <w:numId w:val="26"/>
        </w:numPr>
        <w:ind w:left="1267"/>
        <w:rPr>
          <w:lang w:val="es-ES"/>
        </w:rPr>
      </w:pPr>
      <w:r w:rsidRPr="00E14755">
        <w:rPr>
          <w:lang w:val="es-ES"/>
        </w:rPr>
        <w:t>El Gobierno está instando a las niñas a que cursen estudios de educación terciaria. Como parte de esta iniciativa, la Junta Nacional de Programas y Libros de Estudio ha examinado los libros de texto para propiciar que las niñas cursen formación en agricultura y ciencias, mientras que a los niños se les enseña que cocinar es una habilidad necesaria para todos. Además, el Gobierno imparte periódicamente cursos de formación sobre género a los profesores con el fin de concienciarlos sobre los roles de género determinados socialmente. Las mujeres ocupan cada vez más puestos no tradicionales, como en la función pública, la</w:t>
      </w:r>
      <w:r w:rsidR="00AE4701">
        <w:rPr>
          <w:lang w:val="es-ES"/>
        </w:rPr>
        <w:t xml:space="preserve"> </w:t>
      </w:r>
      <w:r w:rsidRPr="00E14755">
        <w:rPr>
          <w:lang w:val="es-ES"/>
        </w:rPr>
        <w:t>judicatura o el servicio de defensa, o trabajando de pilotos en aerolíneas, futbolistas, jugadoras de críquet, alpinistas, conductoras y oficiales de policía.</w:t>
      </w:r>
    </w:p>
    <w:p w14:paraId="14246A05" w14:textId="210BE625" w:rsidR="00E14755" w:rsidRPr="00E14755" w:rsidRDefault="00E14755" w:rsidP="00025196">
      <w:pPr>
        <w:pStyle w:val="SingleTxt"/>
        <w:numPr>
          <w:ilvl w:val="0"/>
          <w:numId w:val="26"/>
        </w:numPr>
        <w:ind w:left="1267"/>
        <w:rPr>
          <w:lang w:val="es-ES"/>
        </w:rPr>
      </w:pPr>
      <w:r w:rsidRPr="00E14755">
        <w:rPr>
          <w:lang w:val="es-ES"/>
        </w:rPr>
        <w:t>El Gobierno aprobó el Plan de Acción Nacional para Poner Fin al Matrimonio Infantil 2018-2030, que da prioridad a acciones como el empoderamiento de las adolescentes mediante el aumento de su participación, sus competencias para la vida, su acceso a instalaciones modernas y su participación en la toma de decisiones en su familia y su comunidad; la concienciación sobre las consecuencias perjudiciales del matrimonio infantil y la violencia de género con el fin de cambiar la mentalidad social basada en estereotipos a través de la movilización comunitaria; y la formulación y modificación de leyes y normas para eliminar el matrimonio infantil y concienciar sobre la estructura y los recursos judiciales que las niñas tienen a su disposición si ven sus derechos vulnerados a causa del matrimonio infantil.</w:t>
      </w:r>
    </w:p>
    <w:p w14:paraId="540403AD" w14:textId="56AC607F" w:rsidR="00E14755" w:rsidRPr="00E14755" w:rsidRDefault="00E14755" w:rsidP="00025196">
      <w:pPr>
        <w:pStyle w:val="SingleTxt"/>
        <w:numPr>
          <w:ilvl w:val="0"/>
          <w:numId w:val="26"/>
        </w:numPr>
        <w:ind w:left="1267"/>
        <w:rPr>
          <w:lang w:val="es-ES"/>
        </w:rPr>
      </w:pPr>
      <w:r w:rsidRPr="00E14755">
        <w:rPr>
          <w:lang w:val="es-ES"/>
        </w:rPr>
        <w:t xml:space="preserve">El Gobierno impulsó la industria de los medios de comunicación proporcionando formación a los profesionales del ramo para fomentar la creación y el uso de imágenes no estereotipadas, equilibradas y diversas de las mujeres y las niñas en los medios de comunicación, incluidos los medios sociales. El Ministerio de Información y Radiodifusión y sus doce departamentos u organismos proporcionan el </w:t>
      </w:r>
      <w:r w:rsidRPr="00E14755">
        <w:rPr>
          <w:lang w:val="es-ES"/>
        </w:rPr>
        <w:lastRenderedPageBreak/>
        <w:t>apoyo necesario y coordinan y supervisan las actividades para prevenir la discriminación y el sesgo de género en los medios de comunicación.</w:t>
      </w:r>
    </w:p>
    <w:p w14:paraId="4AD2D5CA" w14:textId="77777777" w:rsidR="00025196" w:rsidRPr="00025196" w:rsidRDefault="00025196" w:rsidP="00025196">
      <w:pPr>
        <w:pStyle w:val="SingleTxt"/>
        <w:spacing w:after="0" w:line="120" w:lineRule="exact"/>
        <w:rPr>
          <w:sz w:val="10"/>
          <w:lang w:val="es-ES"/>
        </w:rPr>
      </w:pPr>
      <w:bookmarkStart w:id="47" w:name="_Toc196047994"/>
      <w:bookmarkStart w:id="48" w:name="_Toc198161719"/>
    </w:p>
    <w:p w14:paraId="3368ADC4" w14:textId="77777777" w:rsidR="00025196" w:rsidRPr="00025196" w:rsidRDefault="00025196" w:rsidP="00025196">
      <w:pPr>
        <w:pStyle w:val="SingleTxt"/>
        <w:spacing w:after="0" w:line="120" w:lineRule="exact"/>
        <w:rPr>
          <w:sz w:val="10"/>
          <w:lang w:val="es-ES"/>
        </w:rPr>
      </w:pPr>
    </w:p>
    <w:p w14:paraId="390DF717" w14:textId="02593EFA" w:rsidR="00E14755" w:rsidRPr="00E14755" w:rsidRDefault="00025196"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Pr>
          <w:lang w:val="es-ES"/>
        </w:rPr>
        <w:tab/>
      </w:r>
      <w:r>
        <w:rPr>
          <w:lang w:val="es-ES"/>
        </w:rPr>
        <w:tab/>
      </w:r>
      <w:r w:rsidR="00E14755" w:rsidRPr="00E14755">
        <w:rPr>
          <w:lang w:val="es-ES"/>
        </w:rPr>
        <w:t>Artículo</w:t>
      </w:r>
      <w:r w:rsidR="00AE4701">
        <w:rPr>
          <w:lang w:val="es-ES"/>
        </w:rPr>
        <w:t xml:space="preserve"> </w:t>
      </w:r>
      <w:r w:rsidR="00E14755" w:rsidRPr="00E14755">
        <w:rPr>
          <w:lang w:val="es-ES"/>
        </w:rPr>
        <w:t>6: trata y explotación de la prostitución</w:t>
      </w:r>
      <w:bookmarkEnd w:id="47"/>
      <w:bookmarkEnd w:id="48"/>
    </w:p>
    <w:p w14:paraId="3AD6724E" w14:textId="77777777" w:rsidR="00025196" w:rsidRPr="00025196" w:rsidRDefault="00025196" w:rsidP="00025196">
      <w:pPr>
        <w:pStyle w:val="SingleTxt"/>
        <w:spacing w:after="0" w:line="120" w:lineRule="exact"/>
        <w:rPr>
          <w:sz w:val="10"/>
          <w:lang w:val="es-ES"/>
        </w:rPr>
      </w:pPr>
    </w:p>
    <w:p w14:paraId="2A3CB16F" w14:textId="77777777" w:rsidR="00025196" w:rsidRPr="00025196" w:rsidRDefault="00025196" w:rsidP="00025196">
      <w:pPr>
        <w:pStyle w:val="SingleTxt"/>
        <w:spacing w:after="0" w:line="120" w:lineRule="exact"/>
        <w:rPr>
          <w:sz w:val="10"/>
          <w:lang w:val="es-ES"/>
        </w:rPr>
      </w:pPr>
    </w:p>
    <w:p w14:paraId="67CCEEC4" w14:textId="4FEBF5AC" w:rsidR="00E14755" w:rsidRPr="00E14755" w:rsidRDefault="00E14755" w:rsidP="00025196">
      <w:pPr>
        <w:pStyle w:val="SingleTxt"/>
        <w:numPr>
          <w:ilvl w:val="0"/>
          <w:numId w:val="26"/>
        </w:numPr>
        <w:tabs>
          <w:tab w:val="num" w:pos="2804"/>
        </w:tabs>
        <w:ind w:left="1267"/>
        <w:rPr>
          <w:lang w:val="es-ES"/>
        </w:rPr>
      </w:pPr>
      <w:r w:rsidRPr="00E14755">
        <w:rPr>
          <w:lang w:val="es-ES"/>
        </w:rPr>
        <w:t xml:space="preserve">El Gobierno ha emprendido medidas jurídicas e institucionales, junto con diversos programas de concienciación, para prevenir la trata y la explotación sexual. Bangladesh ha formulado una respuesta nacional integral para la trata de personas mediante el fortalecimiento de los agentes de justicia penal y la creación de tribunales independientes para procesar a los delincuentes y garantizar la celeridad de la justicia para las víctimas de la trata. </w:t>
      </w:r>
    </w:p>
    <w:p w14:paraId="3BF0C4FF" w14:textId="2F05AA2C" w:rsidR="00E14755" w:rsidRPr="00E14755" w:rsidRDefault="00E14755" w:rsidP="00025196">
      <w:pPr>
        <w:pStyle w:val="SingleTxt"/>
        <w:numPr>
          <w:ilvl w:val="0"/>
          <w:numId w:val="26"/>
        </w:numPr>
        <w:ind w:left="1267"/>
        <w:rPr>
          <w:lang w:val="es-ES"/>
        </w:rPr>
      </w:pPr>
      <w:r w:rsidRPr="00E14755">
        <w:rPr>
          <w:lang w:val="es-ES"/>
        </w:rPr>
        <w:t>Bangladesh ha creado una Autoridad Nacional de Lucha contra la Trata de Personas que se encarga de emprender y aplicar las medidas adecuadas para prevenir y eliminar la trata de personas y encontrar a las víctimas y ofrecerles rehabilitación, protección y servicios; la</w:t>
      </w:r>
      <w:r w:rsidR="00AE4701">
        <w:rPr>
          <w:lang w:val="es-ES"/>
        </w:rPr>
        <w:t xml:space="preserve"> </w:t>
      </w:r>
      <w:r w:rsidRPr="00E14755">
        <w:rPr>
          <w:lang w:val="es-ES"/>
        </w:rPr>
        <w:t>Autoridad también supervisa y gestiona esas medidas. Además, el Ministerio del Interior dirige el comité interministerial para la lucha contra la trata de personas mediante la ejecución del Plan de Acción Nacional para la Prevención y Eliminación de la Trata de Personas 2018-2022 (actualizado a 2023</w:t>
      </w:r>
      <w:r w:rsidR="00283929">
        <w:rPr>
          <w:lang w:val="es-ES"/>
        </w:rPr>
        <w:noBreakHyphen/>
      </w:r>
      <w:r w:rsidRPr="00E14755">
        <w:rPr>
          <w:lang w:val="es-ES"/>
        </w:rPr>
        <w:t>2025). El comité se reúne cada dos meses para coordinar las actividades públicas. El Ministerio del Interior también gestiona un equipo de tareas sobre rescate, repatriación y reintegración de las víctimas de la trata con el apoyo de ONG y organizaciones internacionales.</w:t>
      </w:r>
    </w:p>
    <w:p w14:paraId="50375248" w14:textId="77777777" w:rsidR="00025196" w:rsidRPr="002F25A1" w:rsidRDefault="00025196" w:rsidP="00025196">
      <w:pPr>
        <w:pStyle w:val="SingleTxt"/>
        <w:spacing w:after="0" w:line="120" w:lineRule="exact"/>
        <w:rPr>
          <w:bCs/>
          <w:sz w:val="10"/>
          <w:lang w:val="es-ES"/>
        </w:rPr>
      </w:pPr>
      <w:bookmarkStart w:id="49" w:name="_Toc196047996"/>
      <w:bookmarkStart w:id="50" w:name="_Toc198161720"/>
    </w:p>
    <w:p w14:paraId="7581A67B" w14:textId="77777777" w:rsidR="00025196" w:rsidRPr="002F25A1" w:rsidRDefault="00025196" w:rsidP="00025196">
      <w:pPr>
        <w:pStyle w:val="SingleTxt"/>
        <w:spacing w:after="0" w:line="120" w:lineRule="exact"/>
        <w:rPr>
          <w:bCs/>
          <w:sz w:val="10"/>
          <w:lang w:val="es-ES"/>
        </w:rPr>
      </w:pPr>
    </w:p>
    <w:p w14:paraId="1EC244C7" w14:textId="3B16F04B"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Artículo</w:t>
      </w:r>
      <w:r w:rsidR="00AE4701">
        <w:rPr>
          <w:lang w:val="es-ES"/>
        </w:rPr>
        <w:t xml:space="preserve"> </w:t>
      </w:r>
      <w:r w:rsidRPr="00E14755">
        <w:rPr>
          <w:lang w:val="es-ES"/>
        </w:rPr>
        <w:t>7: Participación en la vida política y pública</w:t>
      </w:r>
      <w:bookmarkEnd w:id="49"/>
      <w:bookmarkEnd w:id="50"/>
    </w:p>
    <w:p w14:paraId="7F8D04AD" w14:textId="77777777" w:rsidR="00025196" w:rsidRPr="00025196" w:rsidRDefault="00025196" w:rsidP="00025196">
      <w:pPr>
        <w:pStyle w:val="SingleTxt"/>
        <w:spacing w:after="0" w:line="120" w:lineRule="exact"/>
        <w:rPr>
          <w:sz w:val="10"/>
          <w:lang w:val="es-ES"/>
        </w:rPr>
      </w:pPr>
    </w:p>
    <w:p w14:paraId="7ABCDC1B" w14:textId="77777777" w:rsidR="00025196" w:rsidRPr="00025196" w:rsidRDefault="00025196" w:rsidP="00025196">
      <w:pPr>
        <w:pStyle w:val="SingleTxt"/>
        <w:spacing w:after="0" w:line="120" w:lineRule="exact"/>
        <w:rPr>
          <w:sz w:val="10"/>
          <w:lang w:val="es-ES"/>
        </w:rPr>
      </w:pPr>
    </w:p>
    <w:p w14:paraId="1DD54D7A" w14:textId="56A1A355" w:rsidR="00E14755" w:rsidRPr="00E14755" w:rsidRDefault="00E14755" w:rsidP="00025196">
      <w:pPr>
        <w:pStyle w:val="SingleTxt"/>
        <w:numPr>
          <w:ilvl w:val="0"/>
          <w:numId w:val="26"/>
        </w:numPr>
        <w:ind w:left="1267"/>
        <w:rPr>
          <w:lang w:val="es-ES"/>
        </w:rPr>
      </w:pPr>
      <w:r w:rsidRPr="00E14755">
        <w:rPr>
          <w:lang w:val="es-ES"/>
        </w:rPr>
        <w:t xml:space="preserve">Bangladesh es un ejemplo de nación en que las mujeres ocupan puestos destacados en la vida pública y los foros de toma de decisiones, incluidos el órgano legislativo nacional y el Gobierno. La Constitución y el sistema jurídico del país crean un entorno propicio para aumentar y promover la participación de las mujeres en la vida pública y la toma de decisiones. </w:t>
      </w:r>
    </w:p>
    <w:p w14:paraId="1B0A0A3A" w14:textId="3104901A" w:rsidR="00E14755" w:rsidRPr="00E14755" w:rsidRDefault="00E14755" w:rsidP="00025196">
      <w:pPr>
        <w:pStyle w:val="SingleTxt"/>
        <w:numPr>
          <w:ilvl w:val="0"/>
          <w:numId w:val="26"/>
        </w:numPr>
        <w:ind w:left="1267"/>
        <w:rPr>
          <w:lang w:val="es-ES"/>
        </w:rPr>
      </w:pPr>
      <w:r w:rsidRPr="00E14755">
        <w:rPr>
          <w:lang w:val="es-ES"/>
        </w:rPr>
        <w:t>El índice de paridad de género en el ámbito del empoderamiento político de Bangladesh es el más alto de la región de Asia Meridional (54,3</w:t>
      </w:r>
      <w:r w:rsidR="00ED40B4">
        <w:rPr>
          <w:lang w:val="es-ES"/>
        </w:rPr>
        <w:t> %</w:t>
      </w:r>
      <w:r w:rsidRPr="00E14755">
        <w:rPr>
          <w:lang w:val="es-ES"/>
        </w:rPr>
        <w:t>) y el séptimo del mundo. Cada vez más mujeres participan en la toma de decisiones administrativas. Por ejemplo, en la actualidad hay seis decanas de facultades privadas de medicina y tres de facultades públicas de medicina; estas cifras aumentaron un 8</w:t>
      </w:r>
      <w:r w:rsidR="00ED40B4">
        <w:rPr>
          <w:lang w:val="es-ES"/>
        </w:rPr>
        <w:t> %</w:t>
      </w:r>
      <w:r w:rsidRPr="00E14755">
        <w:rPr>
          <w:lang w:val="es-ES"/>
        </w:rPr>
        <w:t xml:space="preserve"> y un 9</w:t>
      </w:r>
      <w:r w:rsidR="00ED40B4">
        <w:rPr>
          <w:lang w:val="es-ES"/>
        </w:rPr>
        <w:t> %</w:t>
      </w:r>
      <w:r w:rsidRPr="00E14755">
        <w:rPr>
          <w:lang w:val="es-ES"/>
        </w:rPr>
        <w:t>, respectivamente, entre los años 2016 y 2025</w:t>
      </w:r>
      <w:r w:rsidRPr="00E14755">
        <w:rPr>
          <w:vertAlign w:val="superscript"/>
          <w:lang w:val="es-ES"/>
        </w:rPr>
        <w:footnoteReference w:id="68"/>
      </w:r>
      <w:r w:rsidRPr="00E14755">
        <w:rPr>
          <w:lang w:val="es-ES"/>
        </w:rPr>
        <w:t xml:space="preserve">. </w:t>
      </w:r>
    </w:p>
    <w:p w14:paraId="2203AB4A" w14:textId="77777777" w:rsidR="00025196" w:rsidRPr="00025196" w:rsidRDefault="00025196" w:rsidP="00025196">
      <w:pPr>
        <w:pStyle w:val="SingleTxt"/>
        <w:spacing w:after="0" w:line="120" w:lineRule="exact"/>
        <w:rPr>
          <w:sz w:val="10"/>
          <w:lang w:val="es-ES"/>
        </w:rPr>
      </w:pPr>
      <w:bookmarkStart w:id="51" w:name="_Toc198161721"/>
    </w:p>
    <w:p w14:paraId="79C720FF" w14:textId="77777777" w:rsidR="00025196" w:rsidRPr="00025196" w:rsidRDefault="00025196" w:rsidP="00025196">
      <w:pPr>
        <w:pStyle w:val="SingleTxt"/>
        <w:spacing w:after="0" w:line="120" w:lineRule="exact"/>
        <w:rPr>
          <w:sz w:val="10"/>
          <w:lang w:val="es-ES"/>
        </w:rPr>
      </w:pPr>
    </w:p>
    <w:p w14:paraId="6B3722CB" w14:textId="01CEE8D7" w:rsid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24" w:hanging="1267"/>
        <w:rPr>
          <w:lang w:val="es-ES"/>
        </w:rPr>
      </w:pPr>
      <w:r w:rsidRPr="00E14755">
        <w:rPr>
          <w:lang w:val="es-ES"/>
        </w:rPr>
        <w:tab/>
      </w:r>
      <w:r w:rsidRPr="00E14755">
        <w:rPr>
          <w:lang w:val="es-ES"/>
        </w:rPr>
        <w:tab/>
        <w:t>Artículo 8: Igualdad de oportunidades en materia de representación en el plano internacional</w:t>
      </w:r>
      <w:bookmarkEnd w:id="51"/>
    </w:p>
    <w:p w14:paraId="180275DE" w14:textId="77777777" w:rsidR="00025196" w:rsidRPr="00025196" w:rsidRDefault="00025196" w:rsidP="00025196">
      <w:pPr>
        <w:pStyle w:val="SingleTxt"/>
        <w:spacing w:after="0" w:line="120" w:lineRule="exact"/>
        <w:rPr>
          <w:sz w:val="10"/>
          <w:lang w:val="es-ES"/>
        </w:rPr>
      </w:pPr>
    </w:p>
    <w:p w14:paraId="466A29B0" w14:textId="77777777" w:rsidR="00025196" w:rsidRPr="00025196" w:rsidRDefault="00025196" w:rsidP="00025196">
      <w:pPr>
        <w:pStyle w:val="SingleTxt"/>
        <w:spacing w:after="0" w:line="120" w:lineRule="exact"/>
        <w:rPr>
          <w:sz w:val="10"/>
          <w:lang w:val="es-ES"/>
        </w:rPr>
      </w:pPr>
    </w:p>
    <w:p w14:paraId="3D3EA9C7" w14:textId="4130F745" w:rsidR="00E14755" w:rsidRPr="00E14755" w:rsidRDefault="00E14755" w:rsidP="00025196">
      <w:pPr>
        <w:pStyle w:val="SingleTxt"/>
        <w:numPr>
          <w:ilvl w:val="0"/>
          <w:numId w:val="26"/>
        </w:numPr>
        <w:ind w:left="1267"/>
        <w:rPr>
          <w:lang w:val="es-ES"/>
        </w:rPr>
      </w:pPr>
      <w:r w:rsidRPr="00E14755">
        <w:rPr>
          <w:lang w:val="es-ES"/>
        </w:rPr>
        <w:t>La representación de las mujeres en el plano internacional se está incrementando. Altas funcionarias del Ministerio de Asuntos de la Mujer y la Infancia y otros Ministerios, así como de Embajadas y altas comisiones, asisten a importantes foros y reuniones internacionales. El número de mujeres que ingresan en el servicio exterior es mayor que nunca. En 2024, había 8</w:t>
      </w:r>
      <w:r w:rsidR="00AE4701">
        <w:rPr>
          <w:lang w:val="es-ES"/>
        </w:rPr>
        <w:t xml:space="preserve"> </w:t>
      </w:r>
      <w:r w:rsidRPr="00E14755">
        <w:rPr>
          <w:lang w:val="es-ES"/>
        </w:rPr>
        <w:t>Embajadoras prestando servicio fuera de Bangladesh en diferentes países, lo que supone un aumento respecto a 5</w:t>
      </w:r>
      <w:r w:rsidR="00283929">
        <w:rPr>
          <w:lang w:val="es-ES"/>
        </w:rPr>
        <w:t> </w:t>
      </w:r>
      <w:r w:rsidRPr="00E14755">
        <w:rPr>
          <w:lang w:val="es-ES"/>
        </w:rPr>
        <w:t>Embajadoras en 2017.</w:t>
      </w:r>
    </w:p>
    <w:p w14:paraId="2803FDA7" w14:textId="4F605574" w:rsidR="00E14755" w:rsidRPr="00283929" w:rsidRDefault="00E14755" w:rsidP="00025196">
      <w:pPr>
        <w:pStyle w:val="SingleTxt"/>
        <w:numPr>
          <w:ilvl w:val="0"/>
          <w:numId w:val="26"/>
        </w:numPr>
        <w:ind w:left="1267"/>
        <w:rPr>
          <w:spacing w:val="3"/>
          <w:lang w:val="es-ES"/>
        </w:rPr>
      </w:pPr>
      <w:r w:rsidRPr="00283929">
        <w:rPr>
          <w:spacing w:val="3"/>
          <w:lang w:val="es-ES"/>
        </w:rPr>
        <w:t xml:space="preserve">Bangladesh, que es el país que más mujeres policía aporta a las operaciones de mantenimiento de la paz de las Naciones Unidas como unidad de policía constituida, </w:t>
      </w:r>
      <w:r w:rsidRPr="00283929">
        <w:rPr>
          <w:spacing w:val="3"/>
          <w:lang w:val="es-ES"/>
        </w:rPr>
        <w:lastRenderedPageBreak/>
        <w:t>se ha convertido en un asociado crucial en las transiciones de la guerra a la paz. Las mujeres del personal de mantenimiento de la paz de Bangladesh se han posicionado como fuerzas motrices clave para reducir la violencia de género, los conflictos y los enfrentamientos, proporcionando una sensación de seguridad, en particular a las mujeres y los niños, sirviendo de mentoras para las mujeres que pertenecen a la policía de la zona donde están desplegadas y, de este modo, empoderando a las mujeres del país anfitrión y fomentando la cohesión social. En la actualidad, 123</w:t>
      </w:r>
      <w:r w:rsidR="00283929">
        <w:rPr>
          <w:spacing w:val="3"/>
          <w:lang w:val="es-ES"/>
        </w:rPr>
        <w:t xml:space="preserve"> </w:t>
      </w:r>
      <w:r w:rsidRPr="00283929">
        <w:rPr>
          <w:spacing w:val="3"/>
          <w:lang w:val="es-ES"/>
        </w:rPr>
        <w:t>mujeres oficiales de Bangladesh trabajan en diferentes misiones de mantenimiento de la paz y contribuyen así a que las Naciones Unidas alcancen el objetivo de contar con un 20</w:t>
      </w:r>
      <w:r w:rsidR="00ED40B4" w:rsidRPr="00283929">
        <w:rPr>
          <w:spacing w:val="3"/>
          <w:lang w:val="es-ES"/>
        </w:rPr>
        <w:t> %</w:t>
      </w:r>
      <w:r w:rsidRPr="00283929">
        <w:rPr>
          <w:spacing w:val="3"/>
          <w:lang w:val="es-ES"/>
        </w:rPr>
        <w:t xml:space="preserve"> de empleadas en el sistema de contratación.</w:t>
      </w:r>
    </w:p>
    <w:p w14:paraId="3C26B8A6" w14:textId="0A8E7E79" w:rsidR="00E14755" w:rsidRPr="00E14755" w:rsidRDefault="00E14755" w:rsidP="00025196">
      <w:pPr>
        <w:pStyle w:val="SingleTxt"/>
        <w:numPr>
          <w:ilvl w:val="0"/>
          <w:numId w:val="26"/>
        </w:numPr>
        <w:ind w:left="1267"/>
        <w:rPr>
          <w:lang w:val="es-ES"/>
        </w:rPr>
      </w:pPr>
      <w:r w:rsidRPr="00E14755">
        <w:rPr>
          <w:lang w:val="es-ES"/>
        </w:rPr>
        <w:t>Las Fuerzas Armadas de Bangladesh han desempeñado un papel importante en el empoderamiento de las mujeres al contratarlas como parte del personal de mantenimiento de la paz en misiones sobre el terreno. Hasta la fecha, un total de 962</w:t>
      </w:r>
      <w:r w:rsidR="005F7C77">
        <w:rPr>
          <w:lang w:val="es-ES"/>
        </w:rPr>
        <w:t> </w:t>
      </w:r>
      <w:r w:rsidRPr="00E14755">
        <w:rPr>
          <w:lang w:val="es-ES"/>
        </w:rPr>
        <w:t>mujeres de las Fuerzas Armadas de Bangladesh han participado en operaciones de paz de las Naciones Unidas</w:t>
      </w:r>
      <w:r w:rsidRPr="00E14755">
        <w:rPr>
          <w:vertAlign w:val="superscript"/>
          <w:lang w:val="es-ES"/>
        </w:rPr>
        <w:footnoteReference w:id="69"/>
      </w:r>
      <w:r w:rsidRPr="00E14755">
        <w:rPr>
          <w:lang w:val="es-ES"/>
        </w:rPr>
        <w:t>. En la actualidad, hay 415</w:t>
      </w:r>
      <w:r w:rsidR="00AE4701">
        <w:rPr>
          <w:lang w:val="es-ES"/>
        </w:rPr>
        <w:t xml:space="preserve"> </w:t>
      </w:r>
      <w:r w:rsidRPr="00E14755">
        <w:rPr>
          <w:lang w:val="es-ES"/>
        </w:rPr>
        <w:t>mujeres de las Fuerzas Armadas de Bangladesh desplegadas en diferentes misiones de mantenimiento de la</w:t>
      </w:r>
      <w:r w:rsidR="005F7C77">
        <w:rPr>
          <w:lang w:val="es-ES"/>
        </w:rPr>
        <w:t> </w:t>
      </w:r>
      <w:r w:rsidRPr="00E14755">
        <w:rPr>
          <w:lang w:val="es-ES"/>
        </w:rPr>
        <w:t>paz</w:t>
      </w:r>
      <w:r w:rsidRPr="00E14755">
        <w:rPr>
          <w:vertAlign w:val="superscript"/>
          <w:lang w:val="es-ES"/>
        </w:rPr>
        <w:footnoteReference w:id="70"/>
      </w:r>
      <w:r w:rsidRPr="00E14755">
        <w:rPr>
          <w:lang w:val="es-ES"/>
        </w:rPr>
        <w:t>.</w:t>
      </w:r>
    </w:p>
    <w:p w14:paraId="34868EFF" w14:textId="078C6F20" w:rsidR="00E14755" w:rsidRPr="00E14755" w:rsidRDefault="00E14755" w:rsidP="00025196">
      <w:pPr>
        <w:pStyle w:val="SingleTxt"/>
        <w:numPr>
          <w:ilvl w:val="0"/>
          <w:numId w:val="26"/>
        </w:numPr>
        <w:ind w:left="1267"/>
        <w:rPr>
          <w:lang w:val="es-ES"/>
        </w:rPr>
      </w:pPr>
      <w:r w:rsidRPr="00E14755">
        <w:rPr>
          <w:lang w:val="es-ES"/>
        </w:rPr>
        <w:t xml:space="preserve">En 2023, la lista de las </w:t>
      </w:r>
      <w:r w:rsidR="00ED40B4">
        <w:rPr>
          <w:lang w:val="es-ES"/>
        </w:rPr>
        <w:t>“</w:t>
      </w:r>
      <w:r w:rsidRPr="00E14755">
        <w:rPr>
          <w:lang w:val="es-ES"/>
        </w:rPr>
        <w:t>100 mejores y más brillantes científicas asiáticas</w:t>
      </w:r>
      <w:r w:rsidR="00ED40B4">
        <w:rPr>
          <w:lang w:val="es-ES"/>
        </w:rPr>
        <w:t>”</w:t>
      </w:r>
      <w:r w:rsidRPr="00E14755">
        <w:rPr>
          <w:lang w:val="es-ES"/>
        </w:rPr>
        <w:t xml:space="preserve"> incluía a dos científicas bangladesíes, la doctora Gawsia Wahidunnessa Chowdhury y la doctora Senjuti Saha, por su aportación a la investigación</w:t>
      </w:r>
      <w:r w:rsidRPr="00E14755">
        <w:rPr>
          <w:vertAlign w:val="superscript"/>
          <w:lang w:val="es-ES"/>
        </w:rPr>
        <w:footnoteReference w:id="71"/>
      </w:r>
      <w:r w:rsidRPr="00E14755">
        <w:rPr>
          <w:lang w:val="es-ES"/>
        </w:rPr>
        <w:t>.</w:t>
      </w:r>
    </w:p>
    <w:p w14:paraId="2928AC8C" w14:textId="2FEE34D8" w:rsidR="00E14755" w:rsidRPr="00E14755" w:rsidRDefault="00E14755" w:rsidP="00025196">
      <w:pPr>
        <w:pStyle w:val="SingleTxt"/>
        <w:numPr>
          <w:ilvl w:val="0"/>
          <w:numId w:val="26"/>
        </w:numPr>
        <w:ind w:left="1267"/>
        <w:rPr>
          <w:lang w:val="es-ES"/>
        </w:rPr>
      </w:pPr>
      <w:r w:rsidRPr="00E14755">
        <w:rPr>
          <w:lang w:val="es-ES"/>
        </w:rPr>
        <w:t>En el deporte internacional, las mujeres de Bangladesh cada vez reciben mayor reconocimiento por su exitosa participación. En 2018, el equipo nacional ganó la Copa de Asia T20 organizada por el Consejo Asiático de Críquet en Malasia. El título femenino trajo orgullo, gloria, aclamación internacional y esperanza para las mujeres.</w:t>
      </w:r>
      <w:bookmarkStart w:id="52" w:name="_Hlk125364216"/>
      <w:bookmarkStart w:id="53" w:name="_Hlk208145158"/>
      <w:bookmarkEnd w:id="52"/>
    </w:p>
    <w:p w14:paraId="78D3F04D" w14:textId="77777777" w:rsidR="00025196" w:rsidRPr="00025196" w:rsidRDefault="00025196" w:rsidP="00025196">
      <w:pPr>
        <w:pStyle w:val="SingleTxt"/>
        <w:spacing w:after="0" w:line="120" w:lineRule="exact"/>
        <w:rPr>
          <w:sz w:val="10"/>
          <w:lang w:val="es-ES"/>
        </w:rPr>
      </w:pPr>
      <w:bookmarkStart w:id="54" w:name="_Toc196047997"/>
      <w:bookmarkStart w:id="55" w:name="_Toc198161722"/>
      <w:bookmarkEnd w:id="53"/>
    </w:p>
    <w:p w14:paraId="7F2AD56B" w14:textId="77777777" w:rsidR="00025196" w:rsidRPr="00025196" w:rsidRDefault="00025196" w:rsidP="00025196">
      <w:pPr>
        <w:pStyle w:val="SingleTxt"/>
        <w:spacing w:after="0" w:line="120" w:lineRule="exact"/>
        <w:rPr>
          <w:sz w:val="10"/>
          <w:lang w:val="es-ES"/>
        </w:rPr>
      </w:pPr>
    </w:p>
    <w:p w14:paraId="18703D85" w14:textId="75B6C184"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40" w:hanging="1267"/>
        <w:rPr>
          <w:lang w:val="es-ES"/>
        </w:rPr>
      </w:pPr>
      <w:r w:rsidRPr="00E14755">
        <w:rPr>
          <w:lang w:val="es-ES"/>
        </w:rPr>
        <w:tab/>
      </w:r>
      <w:r w:rsidRPr="00E14755">
        <w:rPr>
          <w:lang w:val="es-ES"/>
        </w:rPr>
        <w:tab/>
        <w:t>Artículo 9: Iguales derechos para adquirir, cambiar o conservar la nacionalidad</w:t>
      </w:r>
      <w:bookmarkEnd w:id="54"/>
      <w:bookmarkEnd w:id="55"/>
    </w:p>
    <w:p w14:paraId="48B06ED6" w14:textId="77777777" w:rsidR="00025196" w:rsidRPr="00025196" w:rsidRDefault="00025196" w:rsidP="00025196">
      <w:pPr>
        <w:pStyle w:val="SingleTxt"/>
        <w:spacing w:after="0" w:line="120" w:lineRule="exact"/>
        <w:rPr>
          <w:sz w:val="10"/>
          <w:lang w:val="es-ES"/>
        </w:rPr>
      </w:pPr>
    </w:p>
    <w:p w14:paraId="0C6BD349" w14:textId="77777777" w:rsidR="00025196" w:rsidRPr="00025196" w:rsidRDefault="00025196" w:rsidP="00025196">
      <w:pPr>
        <w:pStyle w:val="SingleTxt"/>
        <w:spacing w:after="0" w:line="120" w:lineRule="exact"/>
        <w:rPr>
          <w:sz w:val="10"/>
          <w:lang w:val="es-ES"/>
        </w:rPr>
      </w:pPr>
    </w:p>
    <w:p w14:paraId="24F4D5CF" w14:textId="1358DAAD" w:rsidR="00E14755" w:rsidRPr="00E14755" w:rsidRDefault="00E14755" w:rsidP="00025196">
      <w:pPr>
        <w:pStyle w:val="SingleTxt"/>
        <w:numPr>
          <w:ilvl w:val="0"/>
          <w:numId w:val="26"/>
        </w:numPr>
        <w:ind w:left="1267"/>
        <w:rPr>
          <w:lang w:val="es-ES"/>
        </w:rPr>
      </w:pPr>
      <w:r w:rsidRPr="00E14755">
        <w:rPr>
          <w:lang w:val="es-ES"/>
        </w:rPr>
        <w:t>La situación no ha experimentado cambios.</w:t>
      </w:r>
    </w:p>
    <w:p w14:paraId="31E7C3CD" w14:textId="77777777" w:rsidR="00025196" w:rsidRPr="00025196" w:rsidRDefault="00025196" w:rsidP="00025196">
      <w:pPr>
        <w:pStyle w:val="SingleTxt"/>
        <w:spacing w:after="0" w:line="120" w:lineRule="exact"/>
        <w:rPr>
          <w:b/>
          <w:sz w:val="10"/>
          <w:lang w:val="es-ES"/>
        </w:rPr>
      </w:pPr>
      <w:bookmarkStart w:id="56" w:name="_Toc196047999"/>
      <w:bookmarkStart w:id="57" w:name="_Toc198161723"/>
    </w:p>
    <w:p w14:paraId="352C7A67" w14:textId="77777777" w:rsidR="00025196" w:rsidRPr="00025196" w:rsidRDefault="00025196" w:rsidP="00025196">
      <w:pPr>
        <w:pStyle w:val="SingleTxt"/>
        <w:spacing w:after="0" w:line="120" w:lineRule="exact"/>
        <w:rPr>
          <w:b/>
          <w:sz w:val="10"/>
          <w:lang w:val="es-ES"/>
        </w:rPr>
      </w:pPr>
    </w:p>
    <w:p w14:paraId="5FBB2C68" w14:textId="234F52E9"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Artículo 10: Igualdad de derechos en la esfera de la educación</w:t>
      </w:r>
      <w:bookmarkEnd w:id="56"/>
      <w:bookmarkEnd w:id="57"/>
    </w:p>
    <w:p w14:paraId="76987E60" w14:textId="77777777" w:rsidR="00025196" w:rsidRPr="00025196" w:rsidRDefault="00025196" w:rsidP="00025196">
      <w:pPr>
        <w:pStyle w:val="SingleTxt"/>
        <w:spacing w:after="0" w:line="120" w:lineRule="exact"/>
        <w:rPr>
          <w:sz w:val="10"/>
          <w:lang w:val="es-ES"/>
        </w:rPr>
      </w:pPr>
    </w:p>
    <w:p w14:paraId="384DA342" w14:textId="77777777" w:rsidR="00025196" w:rsidRPr="00025196" w:rsidRDefault="00025196" w:rsidP="00025196">
      <w:pPr>
        <w:pStyle w:val="SingleTxt"/>
        <w:spacing w:after="0" w:line="120" w:lineRule="exact"/>
        <w:rPr>
          <w:sz w:val="10"/>
          <w:lang w:val="es-ES"/>
        </w:rPr>
      </w:pPr>
    </w:p>
    <w:p w14:paraId="2AA37331" w14:textId="3F45B0CD" w:rsidR="00E14755" w:rsidRPr="00E14755" w:rsidRDefault="00E14755" w:rsidP="00025196">
      <w:pPr>
        <w:pStyle w:val="SingleTxt"/>
        <w:numPr>
          <w:ilvl w:val="0"/>
          <w:numId w:val="26"/>
        </w:numPr>
        <w:ind w:left="1267"/>
        <w:rPr>
          <w:lang w:val="es-ES"/>
        </w:rPr>
      </w:pPr>
      <w:r w:rsidRPr="00E14755">
        <w:rPr>
          <w:lang w:val="es-ES"/>
        </w:rPr>
        <w:t>Bangladesh sigue aplicando la Política de Educación de 2010, que pretende mejorar el logro educativo de las niñas, reducir la brecha entre las oportunidades y los índices educativos de las niñas y los niños, e integrar a las mujeres en las principales actividades de desarrollo. El país formuló la Política Nacional sobre la Tecnología de la Información y las Comunicaciones de 2018 con el propósito de ofrecer a las estudiantes un conocimiento profundo sobre la TIC, en el marco de los esfuerzos por impulsar el adelanto de las mujeres.</w:t>
      </w:r>
    </w:p>
    <w:p w14:paraId="5B86D75F" w14:textId="094C7992" w:rsidR="00E14755" w:rsidRPr="00E14755" w:rsidRDefault="00E14755" w:rsidP="00025196">
      <w:pPr>
        <w:pStyle w:val="SingleTxt"/>
        <w:numPr>
          <w:ilvl w:val="0"/>
          <w:numId w:val="26"/>
        </w:numPr>
        <w:ind w:left="1267"/>
        <w:rPr>
          <w:lang w:val="es-ES"/>
        </w:rPr>
      </w:pPr>
      <w:r w:rsidRPr="00E14755">
        <w:rPr>
          <w:lang w:val="es-ES"/>
        </w:rPr>
        <w:t>En 2025 se observaba un considerable aumento en el número de directoras de centros de educación técnica en Bangladesh. En las escuelas y facultades técnicas públicas, el número de directoras y decanas aumentó a 13, frente a ninguna en 2016. Por otra parte, el número de directoras en instituciones técnicas privadas y no gubernamentales alcanzó las 35, frente a 24</w:t>
      </w:r>
      <w:r w:rsidR="00AE4701">
        <w:rPr>
          <w:lang w:val="es-ES"/>
        </w:rPr>
        <w:t xml:space="preserve"> </w:t>
      </w:r>
      <w:r w:rsidRPr="00E14755">
        <w:rPr>
          <w:lang w:val="es-ES"/>
        </w:rPr>
        <w:t xml:space="preserve">en 2016. Este crecimiento refleja la </w:t>
      </w:r>
      <w:r w:rsidRPr="00E14755">
        <w:rPr>
          <w:lang w:val="es-ES"/>
        </w:rPr>
        <w:lastRenderedPageBreak/>
        <w:t>tendencia hacia el aumento del liderazgo femenino en el sector de la educación técnica</w:t>
      </w:r>
      <w:r w:rsidRPr="00E14755">
        <w:rPr>
          <w:vertAlign w:val="superscript"/>
          <w:lang w:val="es-ES"/>
        </w:rPr>
        <w:footnoteReference w:id="72"/>
      </w:r>
      <w:r w:rsidRPr="00E14755">
        <w:rPr>
          <w:lang w:val="es-ES"/>
        </w:rPr>
        <w:t>.</w:t>
      </w:r>
    </w:p>
    <w:p w14:paraId="5F0136AB" w14:textId="27537BEF" w:rsidR="00E14755" w:rsidRPr="00E14755" w:rsidRDefault="00E14755" w:rsidP="00025196">
      <w:pPr>
        <w:pStyle w:val="SingleTxt"/>
        <w:numPr>
          <w:ilvl w:val="0"/>
          <w:numId w:val="26"/>
        </w:numPr>
        <w:ind w:left="1267"/>
        <w:rPr>
          <w:lang w:val="es-ES"/>
        </w:rPr>
      </w:pPr>
      <w:r w:rsidRPr="00E14755">
        <w:rPr>
          <w:lang w:val="es-ES"/>
        </w:rPr>
        <w:t xml:space="preserve">Bangladesh ha emprendido iniciativas para crear centros de atención infantil en los institutos de enseñanza y formación técnica y profesional (EFTP) con el fin de facilitar la reincorporación o readmisión en la EFTP. En todos los institutos públicos de EFTP hay aseos, instalaciones de saneamiento y salas comunes separadas que ofrecen a las estudiantes y las madres jóvenes un entorno reconfortante. Todos los institutos públicos de EFTP disponen también de alojamiento independiente para mujeres. </w:t>
      </w:r>
    </w:p>
    <w:p w14:paraId="7AB5B415" w14:textId="77777777" w:rsidR="00025196" w:rsidRPr="00025196" w:rsidRDefault="00025196" w:rsidP="00025196">
      <w:pPr>
        <w:pStyle w:val="SingleTxt"/>
        <w:spacing w:after="0" w:line="120" w:lineRule="exact"/>
        <w:rPr>
          <w:b/>
          <w:sz w:val="10"/>
          <w:lang w:val="es-ES"/>
        </w:rPr>
      </w:pPr>
      <w:bookmarkStart w:id="58" w:name="_Toc196048000"/>
      <w:bookmarkStart w:id="59" w:name="_Toc198161724"/>
    </w:p>
    <w:p w14:paraId="21E82D2D" w14:textId="77777777" w:rsidR="00025196" w:rsidRPr="00025196" w:rsidRDefault="00025196" w:rsidP="00025196">
      <w:pPr>
        <w:pStyle w:val="SingleTxt"/>
        <w:spacing w:after="0" w:line="120" w:lineRule="exact"/>
        <w:rPr>
          <w:b/>
          <w:sz w:val="10"/>
          <w:lang w:val="es-ES"/>
        </w:rPr>
      </w:pPr>
    </w:p>
    <w:p w14:paraId="4C9B322F" w14:textId="27CA95F9"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Artículo 11: Igualdad de oportunidades en el empleo</w:t>
      </w:r>
      <w:bookmarkEnd w:id="58"/>
      <w:bookmarkEnd w:id="59"/>
    </w:p>
    <w:p w14:paraId="45D21B15" w14:textId="77777777" w:rsidR="00025196" w:rsidRPr="00025196" w:rsidRDefault="00025196" w:rsidP="00025196">
      <w:pPr>
        <w:pStyle w:val="SingleTxt"/>
        <w:spacing w:after="0" w:line="120" w:lineRule="exact"/>
        <w:rPr>
          <w:sz w:val="10"/>
          <w:lang w:val="es-ES"/>
        </w:rPr>
      </w:pPr>
    </w:p>
    <w:p w14:paraId="643028F4" w14:textId="77777777" w:rsidR="00025196" w:rsidRPr="00025196" w:rsidRDefault="00025196" w:rsidP="00025196">
      <w:pPr>
        <w:pStyle w:val="SingleTxt"/>
        <w:spacing w:after="0" w:line="120" w:lineRule="exact"/>
        <w:rPr>
          <w:sz w:val="10"/>
          <w:lang w:val="es-ES"/>
        </w:rPr>
      </w:pPr>
    </w:p>
    <w:p w14:paraId="78E11CC6" w14:textId="001E7D4E" w:rsidR="00E14755" w:rsidRPr="00E14755" w:rsidRDefault="00E14755" w:rsidP="00025196">
      <w:pPr>
        <w:pStyle w:val="SingleTxt"/>
        <w:numPr>
          <w:ilvl w:val="0"/>
          <w:numId w:val="26"/>
        </w:numPr>
        <w:ind w:left="1267"/>
        <w:rPr>
          <w:lang w:val="es-ES"/>
        </w:rPr>
      </w:pPr>
      <w:r w:rsidRPr="00E14755">
        <w:rPr>
          <w:lang w:val="es-ES"/>
        </w:rPr>
        <w:t>La Constitución de Bangladesh garantiza la igualdad de oportunidades en el trabajo y el empleo. La Ley del Trabajo de Bangladesh de 2006 garantiza el derecho de los trabajadores a la seguridad y el bienestar y contiene disposiciones relativas a la protección de los derechos de las mujeres en el lugar de trabajo.</w:t>
      </w:r>
    </w:p>
    <w:p w14:paraId="6F19C0C0" w14:textId="3DB3CFDB" w:rsidR="00E14755" w:rsidRPr="00E14755" w:rsidRDefault="00E14755" w:rsidP="00025196">
      <w:pPr>
        <w:pStyle w:val="SingleTxt"/>
        <w:numPr>
          <w:ilvl w:val="0"/>
          <w:numId w:val="26"/>
        </w:numPr>
        <w:ind w:left="1267"/>
        <w:rPr>
          <w:lang w:val="es-ES"/>
        </w:rPr>
      </w:pPr>
      <w:r w:rsidRPr="00E14755">
        <w:rPr>
          <w:lang w:val="es-ES"/>
        </w:rPr>
        <w:t>Según la Ley del Trabajo de Bangladesh de 2006, los hombres y las mujeres deben percibir el mismo salario. El Departamento de Inspección de Fábricas y Establecimientos trabaja activamente para garantizar la implementación de esta disposición y abordar cualquier disparidad salarial entre géneros. En 2022, la Normativa Laboral de 2015 se modificó y se introdujeron disposiciones para prevenir la conducta indebida y el acoso sexual contra las trabajadoras.</w:t>
      </w:r>
    </w:p>
    <w:p w14:paraId="4A048A73" w14:textId="48A06EFC" w:rsidR="00E14755" w:rsidRPr="00E14755" w:rsidRDefault="00E14755" w:rsidP="00025196">
      <w:pPr>
        <w:pStyle w:val="SingleTxt"/>
        <w:numPr>
          <w:ilvl w:val="0"/>
          <w:numId w:val="26"/>
        </w:numPr>
        <w:ind w:left="1267"/>
        <w:rPr>
          <w:lang w:val="es-ES"/>
        </w:rPr>
      </w:pPr>
      <w:r w:rsidRPr="00E14755">
        <w:rPr>
          <w:lang w:val="es-ES"/>
        </w:rPr>
        <w:t>En Bangladesh, la tasa de participación de las mujeres en la fuerza de trabajo ha aumentado en los últimos cinco años. Según la Oficina de Estadística de Bangladesh, la</w:t>
      </w:r>
      <w:r w:rsidR="00AE4701">
        <w:rPr>
          <w:lang w:val="es-ES"/>
        </w:rPr>
        <w:t xml:space="preserve"> </w:t>
      </w:r>
      <w:r w:rsidRPr="00E14755">
        <w:rPr>
          <w:lang w:val="es-ES"/>
        </w:rPr>
        <w:t>presencia de mujeres en la fuerza de trabajo aumentó hasta el 42,68</w:t>
      </w:r>
      <w:r w:rsidR="00ED40B4">
        <w:rPr>
          <w:lang w:val="es-ES"/>
        </w:rPr>
        <w:t> %</w:t>
      </w:r>
      <w:r w:rsidRPr="00E14755">
        <w:rPr>
          <w:lang w:val="es-ES"/>
        </w:rPr>
        <w:t xml:space="preserve"> en 2022, frente al 36,3</w:t>
      </w:r>
      <w:r w:rsidR="00ED40B4">
        <w:rPr>
          <w:lang w:val="es-ES"/>
        </w:rPr>
        <w:t> %</w:t>
      </w:r>
      <w:r w:rsidRPr="00E14755">
        <w:rPr>
          <w:lang w:val="es-ES"/>
        </w:rPr>
        <w:t xml:space="preserve"> hace cinco años. </w:t>
      </w:r>
    </w:p>
    <w:p w14:paraId="2B402BA1" w14:textId="709E0558" w:rsidR="00E14755" w:rsidRPr="00E14755" w:rsidRDefault="00E14755" w:rsidP="00025196">
      <w:pPr>
        <w:pStyle w:val="SingleTxt"/>
        <w:numPr>
          <w:ilvl w:val="0"/>
          <w:numId w:val="26"/>
        </w:numPr>
        <w:ind w:left="1267"/>
        <w:rPr>
          <w:lang w:val="es-ES"/>
        </w:rPr>
      </w:pPr>
      <w:r w:rsidRPr="00E14755">
        <w:rPr>
          <w:lang w:val="es-ES"/>
        </w:rPr>
        <w:t>El Gobierno formuló la Política Nacional de Empleo de 2022 con el objetivo de conseguir una fuerza de trabajo capacitada que pueda competir en el plano mundial, librar a la sociedad de la pobreza y el desempleo, e instar tanto a hombres como a mujeres a que persigan carreras profesionales gratificantes.</w:t>
      </w:r>
    </w:p>
    <w:p w14:paraId="57D68EC3" w14:textId="4354261A" w:rsidR="00E14755" w:rsidRPr="00E14755" w:rsidRDefault="00E14755" w:rsidP="00025196">
      <w:pPr>
        <w:pStyle w:val="SingleTxt"/>
        <w:numPr>
          <w:ilvl w:val="0"/>
          <w:numId w:val="26"/>
        </w:numPr>
        <w:ind w:left="1267"/>
        <w:rPr>
          <w:lang w:val="es-ES"/>
        </w:rPr>
      </w:pPr>
      <w:r w:rsidRPr="00E14755">
        <w:rPr>
          <w:lang w:val="es-ES"/>
        </w:rPr>
        <w:t>En 2023, Bangladesh modificó la Ley de Empleo en el Extranjero y Migración y reavivó el énfasis en las oportunidades laborales para las mujeres, que han aumentado en los últimos diez años, si bien con ligeras perturbaciones durante la pandemia de COVI</w:t>
      </w:r>
      <w:r w:rsidR="00ED40B4">
        <w:rPr>
          <w:lang w:val="es-ES"/>
        </w:rPr>
        <w:t>D</w:t>
      </w:r>
      <w:r w:rsidR="00ED40B4">
        <w:rPr>
          <w:lang w:val="es-ES"/>
        </w:rPr>
        <w:noBreakHyphen/>
        <w:t>1</w:t>
      </w:r>
      <w:r w:rsidRPr="00E14755">
        <w:rPr>
          <w:lang w:val="es-ES"/>
        </w:rPr>
        <w:t>9. Entre 2014 y 2024, el 11,8</w:t>
      </w:r>
      <w:r w:rsidR="00ED40B4">
        <w:rPr>
          <w:lang w:val="es-ES"/>
        </w:rPr>
        <w:t> %</w:t>
      </w:r>
      <w:r w:rsidRPr="00E14755">
        <w:rPr>
          <w:lang w:val="es-ES"/>
        </w:rPr>
        <w:t xml:space="preserve"> de los trabajadores migratorios bangladesíes eran mujeres y el 88,2</w:t>
      </w:r>
      <w:r w:rsidR="00ED40B4">
        <w:rPr>
          <w:lang w:val="es-ES"/>
        </w:rPr>
        <w:t> %</w:t>
      </w:r>
      <w:r w:rsidRPr="00E14755">
        <w:rPr>
          <w:lang w:val="es-ES"/>
        </w:rPr>
        <w:t>, hombres</w:t>
      </w:r>
      <w:r w:rsidRPr="00E14755">
        <w:rPr>
          <w:vertAlign w:val="superscript"/>
          <w:lang w:val="es-ES"/>
        </w:rPr>
        <w:footnoteReference w:id="73"/>
      </w:r>
      <w:r w:rsidRPr="00E14755">
        <w:rPr>
          <w:lang w:val="es-ES"/>
        </w:rPr>
        <w:t>.</w:t>
      </w:r>
    </w:p>
    <w:p w14:paraId="1AD1ABE9" w14:textId="77777777" w:rsidR="00025196" w:rsidRPr="006D790E" w:rsidRDefault="00025196" w:rsidP="00025196">
      <w:pPr>
        <w:pStyle w:val="SingleTxt"/>
        <w:spacing w:after="0" w:line="120" w:lineRule="exact"/>
        <w:rPr>
          <w:bCs/>
          <w:sz w:val="10"/>
          <w:lang w:val="es-ES"/>
        </w:rPr>
      </w:pPr>
      <w:bookmarkStart w:id="60" w:name="_Toc196048001"/>
      <w:bookmarkStart w:id="61" w:name="_Toc198161725"/>
    </w:p>
    <w:p w14:paraId="7B68432A" w14:textId="77777777" w:rsidR="00025196" w:rsidRPr="006D790E" w:rsidRDefault="00025196" w:rsidP="00025196">
      <w:pPr>
        <w:pStyle w:val="SingleTxt"/>
        <w:spacing w:after="0" w:line="120" w:lineRule="exact"/>
        <w:rPr>
          <w:bCs/>
          <w:sz w:val="10"/>
          <w:lang w:val="es-ES"/>
        </w:rPr>
      </w:pPr>
    </w:p>
    <w:p w14:paraId="5D2FAF6C" w14:textId="15E5857C" w:rsidR="00E14755" w:rsidRPr="00E14755" w:rsidRDefault="00E14755" w:rsidP="005F7C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4" w:hanging="1267"/>
        <w:rPr>
          <w:lang w:val="es-ES"/>
        </w:rPr>
      </w:pPr>
      <w:r w:rsidRPr="00E14755">
        <w:rPr>
          <w:lang w:val="es-ES"/>
        </w:rPr>
        <w:tab/>
      </w:r>
      <w:r w:rsidRPr="00E14755">
        <w:rPr>
          <w:lang w:val="es-ES"/>
        </w:rPr>
        <w:tab/>
        <w:t>Artículo 12: Igualdad de acceso a la atención de la salud y la</w:t>
      </w:r>
      <w:r w:rsidR="00AE4701">
        <w:rPr>
          <w:lang w:val="es-ES"/>
        </w:rPr>
        <w:t xml:space="preserve"> </w:t>
      </w:r>
      <w:r w:rsidRPr="00E14755">
        <w:rPr>
          <w:lang w:val="es-ES"/>
        </w:rPr>
        <w:t>planificación familiar</w:t>
      </w:r>
      <w:bookmarkEnd w:id="60"/>
      <w:bookmarkEnd w:id="61"/>
    </w:p>
    <w:p w14:paraId="3BB92D88" w14:textId="77777777" w:rsidR="00025196" w:rsidRPr="006D790E" w:rsidRDefault="00025196" w:rsidP="006D790E">
      <w:pPr>
        <w:pStyle w:val="SingleTxt"/>
        <w:spacing w:after="0" w:line="120" w:lineRule="exact"/>
        <w:rPr>
          <w:bCs/>
          <w:sz w:val="10"/>
          <w:lang w:val="es-ES"/>
        </w:rPr>
      </w:pPr>
      <w:bookmarkStart w:id="62" w:name="_Hlk125369958"/>
    </w:p>
    <w:p w14:paraId="0F1E2DE0" w14:textId="77777777" w:rsidR="00025196" w:rsidRPr="006D790E" w:rsidRDefault="00025196" w:rsidP="006D790E">
      <w:pPr>
        <w:pStyle w:val="SingleTxt"/>
        <w:spacing w:after="0" w:line="120" w:lineRule="exact"/>
        <w:rPr>
          <w:bCs/>
          <w:sz w:val="10"/>
          <w:lang w:val="es-ES"/>
        </w:rPr>
      </w:pPr>
    </w:p>
    <w:p w14:paraId="0969A13F" w14:textId="60781C62" w:rsidR="00E14755" w:rsidRPr="00E14755" w:rsidRDefault="00E14755" w:rsidP="00025196">
      <w:pPr>
        <w:pStyle w:val="SingleTxt"/>
        <w:numPr>
          <w:ilvl w:val="0"/>
          <w:numId w:val="26"/>
        </w:numPr>
        <w:ind w:left="1267"/>
        <w:rPr>
          <w:lang w:val="es-ES"/>
        </w:rPr>
      </w:pPr>
      <w:r w:rsidRPr="00E14755">
        <w:rPr>
          <w:lang w:val="es-ES"/>
        </w:rPr>
        <w:t xml:space="preserve">Bangladesh está volcado en garantizar que todas las personas disfruten de una vida saludable y en promover su bienestar y se propone alcanzar la cobertura universal de salud para 2030. Esta cuestión se ha abordado en detalle en la Sección II. </w:t>
      </w:r>
    </w:p>
    <w:p w14:paraId="467D5D47" w14:textId="77777777" w:rsidR="00025196" w:rsidRPr="00BC3093" w:rsidRDefault="00025196" w:rsidP="00025196">
      <w:pPr>
        <w:pStyle w:val="SingleTxt"/>
        <w:spacing w:after="0" w:line="120" w:lineRule="exact"/>
        <w:rPr>
          <w:bCs/>
          <w:sz w:val="10"/>
          <w:lang w:val="es-ES"/>
        </w:rPr>
      </w:pPr>
      <w:bookmarkStart w:id="63" w:name="_Toc196048002"/>
      <w:bookmarkStart w:id="64" w:name="_Toc198161726"/>
      <w:bookmarkEnd w:id="62"/>
    </w:p>
    <w:p w14:paraId="373E92F1" w14:textId="77777777" w:rsidR="00025196" w:rsidRPr="00BC3093" w:rsidRDefault="00025196" w:rsidP="00025196">
      <w:pPr>
        <w:pStyle w:val="SingleTxt"/>
        <w:spacing w:after="0" w:line="120" w:lineRule="exact"/>
        <w:rPr>
          <w:bCs/>
          <w:sz w:val="10"/>
          <w:lang w:val="es-ES"/>
        </w:rPr>
      </w:pPr>
    </w:p>
    <w:p w14:paraId="345BADA7" w14:textId="52703F70"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lastRenderedPageBreak/>
        <w:tab/>
      </w:r>
      <w:r w:rsidRPr="00E14755">
        <w:rPr>
          <w:lang w:val="es-ES"/>
        </w:rPr>
        <w:tab/>
        <w:t>Artículo 13: Igualdad de derechos en materia de prestaciones económicas, sociales y familiares</w:t>
      </w:r>
      <w:bookmarkEnd w:id="63"/>
      <w:bookmarkEnd w:id="64"/>
    </w:p>
    <w:p w14:paraId="39336D5B" w14:textId="77777777" w:rsidR="00025196" w:rsidRPr="00025196" w:rsidRDefault="00025196" w:rsidP="00D37FAF">
      <w:pPr>
        <w:pStyle w:val="SingleTxt"/>
        <w:keepNext/>
        <w:keepLines/>
        <w:spacing w:after="0" w:line="120" w:lineRule="exact"/>
        <w:rPr>
          <w:sz w:val="10"/>
          <w:lang w:val="es-ES"/>
        </w:rPr>
      </w:pPr>
    </w:p>
    <w:p w14:paraId="14A5BA86" w14:textId="77777777" w:rsidR="00025196" w:rsidRPr="00025196" w:rsidRDefault="00025196" w:rsidP="00025196">
      <w:pPr>
        <w:pStyle w:val="SingleTxt"/>
        <w:spacing w:after="0" w:line="120" w:lineRule="exact"/>
        <w:rPr>
          <w:sz w:val="10"/>
          <w:lang w:val="es-ES"/>
        </w:rPr>
      </w:pPr>
    </w:p>
    <w:p w14:paraId="3C21A940" w14:textId="1230DDB6" w:rsidR="00E14755" w:rsidRPr="00E14755" w:rsidRDefault="00E14755" w:rsidP="00025196">
      <w:pPr>
        <w:pStyle w:val="SingleTxt"/>
        <w:numPr>
          <w:ilvl w:val="0"/>
          <w:numId w:val="26"/>
        </w:numPr>
        <w:ind w:left="1267"/>
        <w:rPr>
          <w:lang w:val="es-ES"/>
        </w:rPr>
      </w:pPr>
      <w:r w:rsidRPr="00E14755">
        <w:rPr>
          <w:lang w:val="es-ES"/>
        </w:rPr>
        <w:t>El marco jurídico y normativo de Bangladesh prevé la igualdad de derechos en cuanto a prestaciones económicas, sociales y familiares. En la Ley del Trabajo de Bangladesh (Modificación) de 2023 se incrementó la duración de la licencia de maternidad de 112 a 120</w:t>
      </w:r>
      <w:r w:rsidR="00AE4701">
        <w:rPr>
          <w:lang w:val="es-ES"/>
        </w:rPr>
        <w:t xml:space="preserve"> </w:t>
      </w:r>
      <w:r w:rsidRPr="00E14755">
        <w:rPr>
          <w:lang w:val="es-ES"/>
        </w:rPr>
        <w:t>días. Ahora las trabajadoras pueden disfrutar de esos 120</w:t>
      </w:r>
      <w:r w:rsidR="005F7C77">
        <w:rPr>
          <w:lang w:val="es-ES"/>
        </w:rPr>
        <w:t> </w:t>
      </w:r>
      <w:r w:rsidRPr="00E14755">
        <w:rPr>
          <w:lang w:val="es-ES"/>
        </w:rPr>
        <w:t>días antes o después del parto, mientras que anteriormente tenían que dividir el tiempo por partes iguales entre ambos períodos. La Célula de Apoyo al Derecho Laboral contempla también la prestación de servicios jurídicos a las mujeres que realizan ciertas tareas manuales, por ejemplo a las que trabajan en el sector de la confección. En el ejercicio económico 2023/2024, el número total de trabajadoras que recibieron prestaciones por maternidad fue de 8.855 y el importe total de las prestaciones ascendió a 333,72 millones de takas</w:t>
      </w:r>
      <w:r w:rsidRPr="00E14755">
        <w:rPr>
          <w:vertAlign w:val="superscript"/>
          <w:lang w:val="es-ES"/>
        </w:rPr>
        <w:footnoteReference w:id="74"/>
      </w:r>
      <w:r w:rsidRPr="00E14755">
        <w:rPr>
          <w:lang w:val="es-ES"/>
        </w:rPr>
        <w:t>.</w:t>
      </w:r>
    </w:p>
    <w:p w14:paraId="7266BDF6" w14:textId="363DEA9D" w:rsidR="00E14755" w:rsidRPr="00E14755" w:rsidRDefault="00E14755" w:rsidP="00025196">
      <w:pPr>
        <w:pStyle w:val="SingleTxt"/>
        <w:numPr>
          <w:ilvl w:val="0"/>
          <w:numId w:val="26"/>
        </w:numPr>
        <w:ind w:left="1267"/>
        <w:rPr>
          <w:lang w:val="es-ES"/>
        </w:rPr>
      </w:pPr>
      <w:r w:rsidRPr="00E14755">
        <w:rPr>
          <w:lang w:val="es-ES"/>
        </w:rPr>
        <w:t xml:space="preserve">Bangladesh puso en marcha en 2022, con el apoyo de la Organización Internacional del Trabajo, el piloto del Régimen de Accidentes Laborales en el sector del </w:t>
      </w:r>
      <w:r w:rsidRPr="00E66447">
        <w:rPr>
          <w:i/>
          <w:iCs/>
          <w:lang w:val="es-ES"/>
        </w:rPr>
        <w:t>prêt-à-porter</w:t>
      </w:r>
      <w:r w:rsidRPr="00E14755">
        <w:rPr>
          <w:lang w:val="es-ES"/>
        </w:rPr>
        <w:t>. En</w:t>
      </w:r>
      <w:r w:rsidR="00AE4701">
        <w:rPr>
          <w:lang w:val="es-ES"/>
        </w:rPr>
        <w:t xml:space="preserve"> </w:t>
      </w:r>
      <w:r w:rsidRPr="00E14755">
        <w:rPr>
          <w:lang w:val="es-ES"/>
        </w:rPr>
        <w:t xml:space="preserve">junio de 2023, los trabajadores comenzaron a percibir prestaciones compensatorias complementarias a largo plazo en el marco del plan piloto. </w:t>
      </w:r>
    </w:p>
    <w:p w14:paraId="6C45567A" w14:textId="77777777" w:rsidR="00025196" w:rsidRPr="00025196" w:rsidRDefault="00025196" w:rsidP="00025196">
      <w:pPr>
        <w:pStyle w:val="SingleTxt"/>
        <w:spacing w:after="0" w:line="120" w:lineRule="exact"/>
        <w:rPr>
          <w:sz w:val="10"/>
          <w:lang w:val="es-ES"/>
        </w:rPr>
      </w:pPr>
      <w:bookmarkStart w:id="65" w:name="_Toc196048003"/>
      <w:bookmarkStart w:id="66" w:name="_Toc198161727"/>
    </w:p>
    <w:p w14:paraId="7342A0B5" w14:textId="77777777" w:rsidR="00025196" w:rsidRPr="00025196" w:rsidRDefault="00025196" w:rsidP="00025196">
      <w:pPr>
        <w:pStyle w:val="SingleTxt"/>
        <w:spacing w:after="0" w:line="120" w:lineRule="exact"/>
        <w:rPr>
          <w:sz w:val="10"/>
          <w:lang w:val="es-ES"/>
        </w:rPr>
      </w:pPr>
    </w:p>
    <w:p w14:paraId="6A926BAB" w14:textId="31A0D2BE"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Artículo 14: Eliminación de la discriminación contra las mujeres en las</w:t>
      </w:r>
      <w:r w:rsidR="00313B17">
        <w:rPr>
          <w:lang w:val="es-ES"/>
        </w:rPr>
        <w:t xml:space="preserve"> </w:t>
      </w:r>
      <w:r w:rsidRPr="00E14755">
        <w:rPr>
          <w:lang w:val="es-ES"/>
        </w:rPr>
        <w:t>zonas rurales</w:t>
      </w:r>
      <w:bookmarkEnd w:id="65"/>
      <w:bookmarkEnd w:id="66"/>
    </w:p>
    <w:p w14:paraId="0C3C0494" w14:textId="77777777" w:rsidR="00025196" w:rsidRPr="00025196" w:rsidRDefault="00025196" w:rsidP="00025196">
      <w:pPr>
        <w:pStyle w:val="SingleTxt"/>
        <w:spacing w:after="0" w:line="120" w:lineRule="exact"/>
        <w:rPr>
          <w:sz w:val="10"/>
          <w:lang w:val="es-ES"/>
        </w:rPr>
      </w:pPr>
    </w:p>
    <w:p w14:paraId="08B12EEB" w14:textId="77777777" w:rsidR="00025196" w:rsidRPr="00025196" w:rsidRDefault="00025196" w:rsidP="00025196">
      <w:pPr>
        <w:pStyle w:val="SingleTxt"/>
        <w:spacing w:after="0" w:line="120" w:lineRule="exact"/>
        <w:rPr>
          <w:sz w:val="10"/>
          <w:lang w:val="es-ES"/>
        </w:rPr>
      </w:pPr>
    </w:p>
    <w:p w14:paraId="0E396F24" w14:textId="5F294C0E" w:rsidR="00E14755" w:rsidRPr="00E14755" w:rsidRDefault="00E14755" w:rsidP="00025196">
      <w:pPr>
        <w:pStyle w:val="SingleTxt"/>
        <w:numPr>
          <w:ilvl w:val="0"/>
          <w:numId w:val="26"/>
        </w:numPr>
        <w:ind w:left="1267"/>
        <w:rPr>
          <w:lang w:val="es-ES"/>
        </w:rPr>
      </w:pPr>
      <w:r w:rsidRPr="00E14755">
        <w:rPr>
          <w:lang w:val="es-ES"/>
        </w:rPr>
        <w:t xml:space="preserve">Esta cuestión se ha abordado en detalle en la Sección II. </w:t>
      </w:r>
      <w:bookmarkStart w:id="67" w:name="_Toc196048005"/>
    </w:p>
    <w:p w14:paraId="0FF06D53" w14:textId="77777777" w:rsidR="00025196" w:rsidRPr="00025196" w:rsidRDefault="00025196" w:rsidP="00025196">
      <w:pPr>
        <w:pStyle w:val="SingleTxt"/>
        <w:spacing w:after="0" w:line="120" w:lineRule="exact"/>
        <w:rPr>
          <w:b/>
          <w:sz w:val="10"/>
          <w:lang w:val="es-ES"/>
        </w:rPr>
      </w:pPr>
      <w:bookmarkStart w:id="68" w:name="_Toc198161728"/>
    </w:p>
    <w:p w14:paraId="074F6BCD" w14:textId="77777777" w:rsidR="00025196" w:rsidRPr="00025196" w:rsidRDefault="00025196" w:rsidP="00025196">
      <w:pPr>
        <w:pStyle w:val="SingleTxt"/>
        <w:spacing w:after="0" w:line="120" w:lineRule="exact"/>
        <w:rPr>
          <w:b/>
          <w:sz w:val="10"/>
          <w:lang w:val="es-ES"/>
        </w:rPr>
      </w:pPr>
    </w:p>
    <w:p w14:paraId="4C6980C2" w14:textId="159EC745"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 xml:space="preserve">Artículo 15: Igualdad ante la ley en materia de derecho civil </w:t>
      </w:r>
      <w:bookmarkEnd w:id="67"/>
      <w:bookmarkEnd w:id="68"/>
    </w:p>
    <w:p w14:paraId="4D98824D" w14:textId="77777777" w:rsidR="00025196" w:rsidRPr="00025196" w:rsidRDefault="00025196" w:rsidP="00025196">
      <w:pPr>
        <w:pStyle w:val="SingleTxt"/>
        <w:spacing w:after="0" w:line="120" w:lineRule="exact"/>
        <w:rPr>
          <w:sz w:val="10"/>
          <w:lang w:val="es-ES"/>
        </w:rPr>
      </w:pPr>
      <w:bookmarkStart w:id="69" w:name="_Toc196048006"/>
    </w:p>
    <w:p w14:paraId="12514EB5" w14:textId="77777777" w:rsidR="00025196" w:rsidRPr="00025196" w:rsidRDefault="00025196" w:rsidP="00025196">
      <w:pPr>
        <w:pStyle w:val="SingleTxt"/>
        <w:spacing w:after="0" w:line="120" w:lineRule="exact"/>
        <w:rPr>
          <w:sz w:val="10"/>
          <w:lang w:val="es-ES"/>
        </w:rPr>
      </w:pPr>
    </w:p>
    <w:p w14:paraId="067D73AA" w14:textId="3B4BDBC0" w:rsidR="00E14755" w:rsidRPr="00E14755" w:rsidRDefault="00E14755" w:rsidP="00025196">
      <w:pPr>
        <w:pStyle w:val="SingleTxt"/>
        <w:numPr>
          <w:ilvl w:val="0"/>
          <w:numId w:val="26"/>
        </w:numPr>
        <w:ind w:left="1267"/>
        <w:rPr>
          <w:lang w:val="es-ES"/>
        </w:rPr>
      </w:pPr>
      <w:r w:rsidRPr="00E14755">
        <w:rPr>
          <w:lang w:val="es-ES"/>
        </w:rPr>
        <w:t xml:space="preserve">Esta cuestión se ha abordado en detalle en la Sección II. </w:t>
      </w:r>
    </w:p>
    <w:p w14:paraId="200E297F" w14:textId="77777777" w:rsidR="00025196" w:rsidRPr="00910E9D" w:rsidRDefault="00025196" w:rsidP="00025196">
      <w:pPr>
        <w:pStyle w:val="SingleTxt"/>
        <w:spacing w:after="0" w:line="120" w:lineRule="exact"/>
        <w:rPr>
          <w:bCs/>
          <w:sz w:val="10"/>
          <w:lang w:val="es-ES"/>
        </w:rPr>
      </w:pPr>
      <w:bookmarkStart w:id="70" w:name="_Toc198161729"/>
    </w:p>
    <w:p w14:paraId="61C7D918" w14:textId="77777777" w:rsidR="00025196" w:rsidRPr="00910E9D" w:rsidRDefault="00025196" w:rsidP="00025196">
      <w:pPr>
        <w:pStyle w:val="SingleTxt"/>
        <w:spacing w:after="0" w:line="120" w:lineRule="exact"/>
        <w:rPr>
          <w:bCs/>
          <w:sz w:val="10"/>
          <w:lang w:val="es-ES"/>
        </w:rPr>
      </w:pPr>
    </w:p>
    <w:p w14:paraId="15CAE46D" w14:textId="5A5AA063" w:rsidR="00E14755" w:rsidRPr="00E14755" w:rsidRDefault="00E14755" w:rsidP="00025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14755">
        <w:rPr>
          <w:lang w:val="es-ES"/>
        </w:rPr>
        <w:tab/>
      </w:r>
      <w:r w:rsidRPr="00E14755">
        <w:rPr>
          <w:lang w:val="es-ES"/>
        </w:rPr>
        <w:tab/>
        <w:t>Artículo 16: Igualdad en el matrimonio y el derecho de familia</w:t>
      </w:r>
      <w:bookmarkEnd w:id="69"/>
      <w:bookmarkEnd w:id="70"/>
    </w:p>
    <w:p w14:paraId="4E4BAB91" w14:textId="77777777" w:rsidR="00025196" w:rsidRPr="00025196" w:rsidRDefault="00025196" w:rsidP="00025196">
      <w:pPr>
        <w:pStyle w:val="SingleTxt"/>
        <w:spacing w:after="0" w:line="120" w:lineRule="exact"/>
        <w:rPr>
          <w:sz w:val="10"/>
          <w:lang w:val="es-ES"/>
        </w:rPr>
      </w:pPr>
    </w:p>
    <w:p w14:paraId="03BB275B" w14:textId="77777777" w:rsidR="00025196" w:rsidRPr="00025196" w:rsidRDefault="00025196" w:rsidP="00025196">
      <w:pPr>
        <w:pStyle w:val="SingleTxt"/>
        <w:spacing w:after="0" w:line="120" w:lineRule="exact"/>
        <w:rPr>
          <w:sz w:val="10"/>
          <w:lang w:val="es-ES"/>
        </w:rPr>
      </w:pPr>
    </w:p>
    <w:p w14:paraId="26508437" w14:textId="710E513B" w:rsidR="00E14755" w:rsidRDefault="00E14755" w:rsidP="00025196">
      <w:pPr>
        <w:pStyle w:val="SingleTxt"/>
        <w:numPr>
          <w:ilvl w:val="0"/>
          <w:numId w:val="26"/>
        </w:numPr>
        <w:ind w:left="1267"/>
        <w:rPr>
          <w:lang w:val="es-ES"/>
        </w:rPr>
      </w:pPr>
      <w:r w:rsidRPr="00E14755">
        <w:rPr>
          <w:lang w:val="es-ES"/>
        </w:rPr>
        <w:t>Esta cuestión se ha abordado en detalle en la Sección II.</w:t>
      </w:r>
    </w:p>
    <w:p w14:paraId="61DED4A3" w14:textId="28D15B71" w:rsidR="00025196" w:rsidRPr="00311E13" w:rsidRDefault="00313B17" w:rsidP="00313B17">
      <w:pPr>
        <w:pStyle w:val="SingleTxt"/>
        <w:rPr>
          <w:lang w:val="es-ES"/>
        </w:rPr>
      </w:pPr>
      <w:r>
        <w:rPr>
          <w:noProof/>
          <w:w w:val="100"/>
          <w:lang w:val="es-ES"/>
        </w:rPr>
        <mc:AlternateContent>
          <mc:Choice Requires="wps">
            <w:drawing>
              <wp:anchor distT="0" distB="0" distL="114300" distR="114300" simplePos="0" relativeHeight="251659264" behindDoc="0" locked="0" layoutInCell="1" allowOverlap="1" wp14:anchorId="02ADBD25" wp14:editId="73D85FEA">
                <wp:simplePos x="0" y="0"/>
                <wp:positionH relativeFrom="column">
                  <wp:posOffset>2669540</wp:posOffset>
                </wp:positionH>
                <wp:positionV relativeFrom="paragraph">
                  <wp:posOffset>304800</wp:posOffset>
                </wp:positionV>
                <wp:extent cx="914400" cy="0"/>
                <wp:effectExtent l="0" t="0" r="0" b="0"/>
                <wp:wrapNone/>
                <wp:docPr id="81552927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C78FB"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25196" w:rsidRPr="00311E13" w:rsidSect="00A2609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06T13:50:00Z" w:initials="Start">
    <w:p w14:paraId="439AFC24" w14:textId="77777777" w:rsidR="005461FC" w:rsidRDefault="005461FC">
      <w:pPr>
        <w:pStyle w:val="CommentText"/>
      </w:pPr>
      <w:r>
        <w:rPr>
          <w:rStyle w:val="CommentReference"/>
        </w:rPr>
        <w:annotationRef/>
      </w:r>
      <w:r>
        <w:t>&lt;&lt;ODS JOB NO&gt;&gt;N2525591S&lt;&lt;ODS JOB NO&gt;&gt;</w:t>
      </w:r>
    </w:p>
    <w:p w14:paraId="27C98D30" w14:textId="77777777" w:rsidR="005461FC" w:rsidRDefault="005461FC">
      <w:pPr>
        <w:pStyle w:val="CommentText"/>
      </w:pPr>
      <w:r>
        <w:t>&lt;&lt;ODS DOC SYMBOL1&gt;&gt;CEDAW/C/BGD/9-10&lt;&lt;ODS DOC SYMBOL1&gt;&gt;</w:t>
      </w:r>
    </w:p>
    <w:p w14:paraId="40A5134B" w14:textId="7A3A2B3F" w:rsidR="005461FC" w:rsidRDefault="005461F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0A513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C5C912" w16cex:dateUtc="2025-11-06T18: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A5134B" w16cid:durableId="1AC5C9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F199D" w14:textId="77777777" w:rsidR="00B3631A" w:rsidRDefault="00B3631A" w:rsidP="00331D20">
      <w:r>
        <w:separator/>
      </w:r>
    </w:p>
  </w:endnote>
  <w:endnote w:type="continuationSeparator" w:id="0">
    <w:p w14:paraId="368130C7" w14:textId="77777777" w:rsidR="00B3631A" w:rsidRDefault="00B3631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461FC" w14:paraId="364FCE37" w14:textId="77777777" w:rsidTr="005461FC">
      <w:tc>
        <w:tcPr>
          <w:tcW w:w="4920" w:type="dxa"/>
          <w:vAlign w:val="bottom"/>
        </w:tcPr>
        <w:p w14:paraId="020DDD07" w14:textId="15441173" w:rsidR="005461FC" w:rsidRPr="005461FC" w:rsidRDefault="005461FC" w:rsidP="005461F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8E50DD0" w14:textId="66042CC9" w:rsidR="005461FC" w:rsidRPr="005461FC" w:rsidRDefault="005461FC" w:rsidP="005461F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53035">
            <w:rPr>
              <w:b w:val="0"/>
              <w:color w:val="000000"/>
              <w:sz w:val="14"/>
            </w:rPr>
            <w:t>25-15790</w:t>
          </w:r>
          <w:r>
            <w:rPr>
              <w:b w:val="0"/>
              <w:color w:val="000000"/>
              <w:sz w:val="14"/>
            </w:rPr>
            <w:fldChar w:fldCharType="end"/>
          </w:r>
        </w:p>
      </w:tc>
    </w:tr>
  </w:tbl>
  <w:p w14:paraId="108B1E0D" w14:textId="77777777" w:rsidR="005461FC" w:rsidRPr="005461FC" w:rsidRDefault="005461FC" w:rsidP="005461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5461FC" w14:paraId="231A177E" w14:textId="77777777" w:rsidTr="005461FC">
      <w:tc>
        <w:tcPr>
          <w:tcW w:w="4920" w:type="dxa"/>
          <w:vAlign w:val="bottom"/>
        </w:tcPr>
        <w:p w14:paraId="51340A76" w14:textId="60C61AC4" w:rsidR="005461FC" w:rsidRPr="005461FC" w:rsidRDefault="005461FC" w:rsidP="005461F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53035">
            <w:rPr>
              <w:b w:val="0"/>
              <w:color w:val="000000"/>
              <w:sz w:val="14"/>
            </w:rPr>
            <w:t>25-15790</w:t>
          </w:r>
          <w:r>
            <w:rPr>
              <w:b w:val="0"/>
              <w:color w:val="000000"/>
              <w:sz w:val="14"/>
            </w:rPr>
            <w:fldChar w:fldCharType="end"/>
          </w:r>
        </w:p>
      </w:tc>
      <w:tc>
        <w:tcPr>
          <w:tcW w:w="4920" w:type="dxa"/>
          <w:vAlign w:val="bottom"/>
        </w:tcPr>
        <w:p w14:paraId="54823AE4" w14:textId="3E252CE6" w:rsidR="005461FC" w:rsidRPr="005461FC" w:rsidRDefault="005461FC" w:rsidP="005461F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B9BAF4C" w14:textId="77777777" w:rsidR="005461FC" w:rsidRPr="005461FC" w:rsidRDefault="005461FC" w:rsidP="00546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19B5" w14:textId="6A9DFA39" w:rsidR="005461FC" w:rsidRPr="005461FC" w:rsidRDefault="005461FC" w:rsidP="005461FC">
    <w:pPr>
      <w:pStyle w:val="Footer"/>
      <w:spacing w:line="120" w:lineRule="exact"/>
      <w:rPr>
        <w:b w:val="0"/>
        <w:sz w:val="10"/>
      </w:rPr>
    </w:pPr>
    <w:r>
      <w:rPr>
        <w:b w:val="0"/>
        <w:sz w:val="10"/>
      </w:rPr>
      <w:drawing>
        <wp:anchor distT="0" distB="0" distL="114300" distR="114300" simplePos="0" relativeHeight="251658240" behindDoc="0" locked="0" layoutInCell="1" allowOverlap="1" wp14:anchorId="240F245D" wp14:editId="1B12F09A">
          <wp:simplePos x="0" y="0"/>
          <wp:positionH relativeFrom="column">
            <wp:posOffset>5568315</wp:posOffset>
          </wp:positionH>
          <wp:positionV relativeFrom="paragraph">
            <wp:posOffset>-283210</wp:posOffset>
          </wp:positionV>
          <wp:extent cx="694690" cy="694690"/>
          <wp:effectExtent l="0" t="0" r="0" b="0"/>
          <wp:wrapNone/>
          <wp:docPr id="1157928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461FC" w14:paraId="6721C4B0" w14:textId="77777777" w:rsidTr="005461FC">
      <w:tc>
        <w:tcPr>
          <w:tcW w:w="3830" w:type="dxa"/>
        </w:tcPr>
        <w:p w14:paraId="116FACE1" w14:textId="3CF50FEE" w:rsidR="005461FC" w:rsidRDefault="005461FC" w:rsidP="005461FC">
          <w:pPr>
            <w:pStyle w:val="ReleaseDate"/>
          </w:pPr>
          <w:r>
            <w:t>25-15790 (S)    061</w:t>
          </w:r>
          <w:r w:rsidR="00646A12">
            <w:t>0</w:t>
          </w:r>
          <w:r>
            <w:t>25    0</w:t>
          </w:r>
          <w:r w:rsidR="00646A12">
            <w:t>312</w:t>
          </w:r>
          <w:r>
            <w:t>25</w:t>
          </w:r>
        </w:p>
        <w:p w14:paraId="10AE5910" w14:textId="0447EC3D" w:rsidR="005461FC" w:rsidRPr="005461FC" w:rsidRDefault="005461FC" w:rsidP="005461F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*2515790*</w:t>
          </w:r>
        </w:p>
      </w:tc>
      <w:tc>
        <w:tcPr>
          <w:tcW w:w="4920" w:type="dxa"/>
          <w:vAlign w:val="bottom"/>
        </w:tcPr>
        <w:p w14:paraId="0B9B7D47" w14:textId="397368BC" w:rsidR="005461FC" w:rsidRDefault="005461FC" w:rsidP="005461FC">
          <w:pPr>
            <w:pStyle w:val="Footer"/>
            <w:ind w:right="115"/>
            <w:jc w:val="right"/>
            <w:rPr>
              <w:b w:val="0"/>
              <w:sz w:val="20"/>
            </w:rPr>
          </w:pPr>
          <w:r>
            <w:rPr>
              <w:b w:val="0"/>
              <w:sz w:val="20"/>
            </w:rPr>
            <w:drawing>
              <wp:inline distT="0" distB="0" distL="0" distR="0" wp14:anchorId="1B85B543" wp14:editId="2CB6970B">
                <wp:extent cx="1082042" cy="231648"/>
                <wp:effectExtent l="0" t="0" r="3810" b="0"/>
                <wp:docPr id="2059879121" name="Picture 2"/>
                <wp:cNvGraphicFramePr/>
                <a:graphic xmlns:a="http://schemas.openxmlformats.org/drawingml/2006/main">
                  <a:graphicData uri="http://schemas.openxmlformats.org/drawingml/2006/picture">
                    <pic:pic xmlns:pic="http://schemas.openxmlformats.org/drawingml/2006/picture">
                      <pic:nvPicPr>
                        <pic:cNvPr id="205987912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79101D5" w14:textId="77777777" w:rsidR="005461FC" w:rsidRPr="005461FC" w:rsidRDefault="005461FC" w:rsidP="005461F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C0AC1" w14:textId="77777777" w:rsidR="00B3631A" w:rsidRPr="00D056EA" w:rsidRDefault="00B3631A" w:rsidP="00D056EA">
      <w:pPr>
        <w:pStyle w:val="Footer"/>
        <w:spacing w:after="80"/>
        <w:ind w:left="792"/>
        <w:rPr>
          <w:sz w:val="16"/>
        </w:rPr>
      </w:pPr>
      <w:r w:rsidRPr="00D056EA">
        <w:rPr>
          <w:sz w:val="16"/>
        </w:rPr>
        <w:t>__________________</w:t>
      </w:r>
    </w:p>
  </w:footnote>
  <w:footnote w:type="continuationSeparator" w:id="0">
    <w:p w14:paraId="44B4BDBD" w14:textId="77777777" w:rsidR="00B3631A" w:rsidRPr="00D056EA" w:rsidRDefault="00B3631A" w:rsidP="00D056EA">
      <w:pPr>
        <w:pStyle w:val="Footer"/>
        <w:spacing w:after="80"/>
        <w:ind w:left="792"/>
        <w:rPr>
          <w:sz w:val="16"/>
        </w:rPr>
      </w:pPr>
      <w:r w:rsidRPr="00D056EA">
        <w:rPr>
          <w:sz w:val="16"/>
        </w:rPr>
        <w:t>__________________</w:t>
      </w:r>
    </w:p>
  </w:footnote>
  <w:footnote w:id="1">
    <w:p w14:paraId="28B94483" w14:textId="77777777" w:rsidR="00A2609B" w:rsidRPr="008C2C65" w:rsidRDefault="00A2609B"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t>*</w:t>
      </w:r>
      <w:r w:rsidRPr="008C2C65">
        <w:rPr>
          <w:szCs w:val="17"/>
        </w:rPr>
        <w:tab/>
        <w:t xml:space="preserve">La versión original del presente documento no fue objeto de revisión editorial oficial. </w:t>
      </w:r>
    </w:p>
  </w:footnote>
  <w:footnote w:id="2">
    <w:p w14:paraId="668630B3" w14:textId="77777777" w:rsidR="00A2609B" w:rsidRPr="008C2C65" w:rsidRDefault="00A2609B"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t>**</w:t>
      </w:r>
      <w:r w:rsidRPr="008C2C65">
        <w:rPr>
          <w:szCs w:val="17"/>
        </w:rPr>
        <w:tab/>
        <w:t>El anexo del presente documento puede consultarse en la página web del Comité.</w:t>
      </w:r>
    </w:p>
  </w:footnote>
  <w:footnote w:id="3">
    <w:p w14:paraId="3F7E6BD7" w14:textId="591CA429"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K.K. Pal, K. Piaget y S. Zahidi, Global Gender Gap Report 2024: Insight Report, Foro Económico Mundial, 2024, </w:t>
      </w:r>
      <w:hyperlink r:id="rId1" w:history="1">
        <w:r w:rsidR="00BF14E0">
          <w:rPr>
            <w:rStyle w:val="Hyperlink"/>
            <w:szCs w:val="17"/>
          </w:rPr>
          <w:t>www.weforum.org/publications/global-gender-gap-report-2024/</w:t>
        </w:r>
      </w:hyperlink>
      <w:r w:rsidRPr="008C2C65">
        <w:rPr>
          <w:szCs w:val="17"/>
        </w:rPr>
        <w:t>.</w:t>
      </w:r>
      <w:hyperlink r:id="rId2" w:history="1"/>
    </w:p>
  </w:footnote>
  <w:footnote w:id="4">
    <w:p w14:paraId="6FFBECE5" w14:textId="77777777"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w:t>
      </w:r>
    </w:p>
  </w:footnote>
  <w:footnote w:id="5">
    <w:p w14:paraId="2EBC0C92" w14:textId="77777777"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Gobierno de la República Popular de Bangladesh, Cumbre sobre los Objetivos de Desarrollo Sostenible 2023: compromisos nacionales de Bangladesh, 2023, </w:t>
      </w:r>
      <w:hyperlink r:id="rId3" w:history="1">
        <w:r w:rsidRPr="008C2C65">
          <w:rPr>
            <w:rStyle w:val="Hyperlink"/>
            <w:szCs w:val="17"/>
          </w:rPr>
          <w:t>https://sdgs.un.org/national-commitments-sdg-transformation/22071</w:t>
        </w:r>
      </w:hyperlink>
      <w:r w:rsidRPr="008C2C65">
        <w:rPr>
          <w:szCs w:val="17"/>
        </w:rPr>
        <w:t xml:space="preserve">. </w:t>
      </w:r>
      <w:hyperlink r:id="rId4" w:history="1"/>
    </w:p>
  </w:footnote>
  <w:footnote w:id="6">
    <w:p w14:paraId="7F3B0EC8" w14:textId="77777777"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División de Economía General, Ministerio de Planificación, Gobierno de la República Popular de Bangladesh, “Sustainable Development Goals Bangladesh Progress Report 2022”.</w:t>
      </w:r>
    </w:p>
  </w:footnote>
  <w:footnote w:id="7">
    <w:p w14:paraId="17B31561" w14:textId="77777777"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rPr>
        <w:tab/>
      </w:r>
      <w:r w:rsidRPr="008C2C65">
        <w:rPr>
          <w:rStyle w:val="FootnoteReference"/>
          <w:w w:val="104"/>
          <w:szCs w:val="17"/>
          <w:lang w:val="es-ES"/>
        </w:rPr>
        <w:footnoteRef/>
      </w:r>
      <w:r w:rsidRPr="008C2C65">
        <w:rPr>
          <w:szCs w:val="17"/>
          <w:lang w:val="en-US"/>
        </w:rPr>
        <w:tab/>
        <w:t xml:space="preserve">ONU-Mujeres, “COVID-19 Bangladesh Rapid Gender Analysis”, 2020, </w:t>
      </w:r>
      <w:hyperlink r:id="rId5" w:history="1">
        <w:r w:rsidRPr="008C2C65">
          <w:rPr>
            <w:rStyle w:val="Hyperlink"/>
            <w:szCs w:val="17"/>
            <w:lang w:val="en-US"/>
          </w:rPr>
          <w:t>https://asiapacific.unwomen.org/sites/default/files/Field%20Office%20ESEAsia/Docs/Publications/2020/05/RGA%20BangladeshFinalMay2020.pdf</w:t>
        </w:r>
      </w:hyperlink>
      <w:r w:rsidRPr="008C2C65">
        <w:rPr>
          <w:szCs w:val="17"/>
          <w:lang w:val="en-US"/>
        </w:rPr>
        <w:t>.</w:t>
      </w:r>
      <w:hyperlink r:id="rId6" w:history="1"/>
    </w:p>
  </w:footnote>
  <w:footnote w:id="8">
    <w:p w14:paraId="4C47F47E" w14:textId="77777777"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lang w:val="en-US"/>
        </w:rPr>
        <w:tab/>
      </w:r>
      <w:r w:rsidRPr="008C2C65">
        <w:rPr>
          <w:rStyle w:val="FootnoteReference"/>
          <w:w w:val="104"/>
          <w:szCs w:val="17"/>
          <w:lang w:val="es-ES"/>
        </w:rPr>
        <w:footnoteRef/>
      </w:r>
      <w:r w:rsidRPr="008C2C65">
        <w:rPr>
          <w:szCs w:val="17"/>
        </w:rPr>
        <w:tab/>
        <w:t>División de Economía General, Ministerio de Planificación, Gobierno de la República Popular de Bangladesh, “Sustainable Development Goals Bangladesh Progress Report 2022”.</w:t>
      </w:r>
    </w:p>
  </w:footnote>
  <w:footnote w:id="9">
    <w:p w14:paraId="7F7B5FD5" w14:textId="77777777"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Directrices del Tribunal Superior sobre acoso sexual: BNWLA c. Bangladesh (2009) 4 BLC (HDC) 694.</w:t>
      </w:r>
    </w:p>
  </w:footnote>
  <w:footnote w:id="10">
    <w:p w14:paraId="3B187B52" w14:textId="56FC3898" w:rsidR="00D056EA" w:rsidRPr="008C2C65" w:rsidRDefault="00D056EA" w:rsidP="00D056EA">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de Finanzas, Ministerio de Finanzas, “Gender Budget Report: 2023-2024”, junio de 2023, </w:t>
      </w:r>
      <w:hyperlink r:id="rId7" w:history="1">
        <w:r w:rsidR="0079507E" w:rsidRPr="008C2C65">
          <w:rPr>
            <w:rStyle w:val="Hyperlink"/>
            <w:szCs w:val="17"/>
          </w:rPr>
          <w:t>https://mof.portal.gov.bd/sites/default/files/files/mof.portal.gov.bd/</w:t>
        </w:r>
        <w:r w:rsidR="0079507E" w:rsidRPr="008C2C65">
          <w:rPr>
            <w:rStyle w:val="Hyperlink"/>
            <w:szCs w:val="17"/>
          </w:rPr>
          <w:br/>
          <w:t>budget_mof/001130ba_9cb8_4955_9f07_f9ba27ca7de9/Gender%20Budget%20Report%202023-24%20(English%20for%20Website).pdf</w:t>
        </w:r>
      </w:hyperlink>
      <w:r w:rsidRPr="008C2C65">
        <w:rPr>
          <w:szCs w:val="17"/>
        </w:rPr>
        <w:t xml:space="preserve">. </w:t>
      </w:r>
      <w:hyperlink r:id="rId8" w:history="1"/>
    </w:p>
  </w:footnote>
  <w:footnote w:id="11">
    <w:p w14:paraId="069C3D18" w14:textId="77777777" w:rsidR="00DE42B3" w:rsidRPr="008C2C65" w:rsidRDefault="00DE42B3" w:rsidP="004B14A1">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1,00 dólar de los EE. UU. = 122,00 takas (Banco de Bangladesh, 13 de mayo de 2025).</w:t>
      </w:r>
    </w:p>
  </w:footnote>
  <w:footnote w:id="12">
    <w:p w14:paraId="7EDBB91A" w14:textId="1AFB6A7E" w:rsidR="00DE42B3" w:rsidRPr="008C2C65" w:rsidRDefault="00DE42B3" w:rsidP="004B14A1">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K.K. Pal, K. Piaget y S. Zahidi, Global Gender Gap Report 2024: Insight Report, Foro Económico Mundial, 2024, </w:t>
      </w:r>
      <w:hyperlink r:id="rId9" w:history="1">
        <w:r w:rsidR="00BF14E0">
          <w:rPr>
            <w:rStyle w:val="Hyperlink"/>
            <w:szCs w:val="17"/>
          </w:rPr>
          <w:t>www.weforum.org/publications/global-gender-gap-report-2024/</w:t>
        </w:r>
      </w:hyperlink>
      <w:r w:rsidRPr="008C2C65">
        <w:rPr>
          <w:szCs w:val="17"/>
        </w:rPr>
        <w:t>.</w:t>
      </w:r>
      <w:hyperlink r:id="rId10" w:history="1"/>
    </w:p>
  </w:footnote>
  <w:footnote w:id="13">
    <w:p w14:paraId="4E59267C" w14:textId="776E0E1D" w:rsidR="00DE42B3" w:rsidRPr="008C2C65" w:rsidRDefault="00DE42B3" w:rsidP="004B14A1">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11" w:history="1">
        <w:r w:rsidR="009B6942">
          <w:rPr>
            <w:rStyle w:val="Hyperlink"/>
            <w:szCs w:val="17"/>
          </w:rPr>
          <w:t>www.thedailystar.net/law-our-rights/news/mothers-guardians-hcds-historic-verdict-3238756</w:t>
        </w:r>
      </w:hyperlink>
      <w:r w:rsidRPr="008C2C65">
        <w:rPr>
          <w:szCs w:val="17"/>
        </w:rPr>
        <w:t>.</w:t>
      </w:r>
      <w:hyperlink r:id="rId12" w:history="1"/>
    </w:p>
  </w:footnote>
  <w:footnote w:id="14">
    <w:p w14:paraId="4D264F9E" w14:textId="0F98B8BB" w:rsidR="00DE42B3" w:rsidRPr="008C2C65" w:rsidRDefault="00DE42B3" w:rsidP="004B14A1">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13" w:history="1">
        <w:r w:rsidR="009B6942">
          <w:rPr>
            <w:rStyle w:val="Hyperlink"/>
            <w:szCs w:val="17"/>
          </w:rPr>
          <w:t>www.thedailystar.net/entertainment/tv-film/news/badhan-sets-example-wins-battle-over-custodial-rights-3595336</w:t>
        </w:r>
      </w:hyperlink>
      <w:r w:rsidRPr="008C2C65">
        <w:rPr>
          <w:szCs w:val="17"/>
        </w:rPr>
        <w:t>.</w:t>
      </w:r>
      <w:hyperlink r:id="rId14" w:history="1"/>
    </w:p>
  </w:footnote>
  <w:footnote w:id="15">
    <w:p w14:paraId="51C941CE"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Artículo 44 de la Constitución de Bangladesh.</w:t>
      </w:r>
    </w:p>
  </w:footnote>
  <w:footnote w:id="16">
    <w:p w14:paraId="30EE5AC5"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rPr>
        <w:tab/>
      </w:r>
      <w:r w:rsidRPr="008C2C65">
        <w:rPr>
          <w:rStyle w:val="FootnoteReference"/>
          <w:w w:val="104"/>
          <w:szCs w:val="17"/>
          <w:lang w:val="es-ES"/>
        </w:rPr>
        <w:footnoteRef/>
      </w:r>
      <w:r w:rsidRPr="008C2C65">
        <w:rPr>
          <w:szCs w:val="17"/>
          <w:lang w:val="en-US"/>
        </w:rPr>
        <w:tab/>
        <w:t xml:space="preserve">Comisión Nacional de Derechos Humanos, “Human Rights for All Everywhere Equally: National Human Rights Commission, 3rd Five Year Strategic Plan 2022-27”, </w:t>
      </w:r>
      <w:hyperlink r:id="rId15" w:history="1">
        <w:r w:rsidRPr="008C2C65">
          <w:rPr>
            <w:rStyle w:val="Hyperlink"/>
            <w:szCs w:val="17"/>
            <w:lang w:val="en-US"/>
          </w:rPr>
          <w:t>https://nhrc.portal.gov.bd/sites/default/files/files/nhrc.portal.gov.bd/page/535c363f_91a8_40b6_b58a_714954c85b4e/2022-10-18-04-28-ec218ec406fc02be70e9f982e4b2af89.pdf</w:t>
        </w:r>
      </w:hyperlink>
      <w:r w:rsidRPr="008C2C65">
        <w:rPr>
          <w:szCs w:val="17"/>
          <w:lang w:val="en-US"/>
        </w:rPr>
        <w:t>.</w:t>
      </w:r>
      <w:hyperlink r:id="rId16" w:history="1"/>
    </w:p>
  </w:footnote>
  <w:footnote w:id="17">
    <w:p w14:paraId="431D16BA" w14:textId="114C4984"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lang w:val="en-US"/>
        </w:rPr>
        <w:tab/>
      </w:r>
      <w:r w:rsidRPr="008C2C65">
        <w:rPr>
          <w:rStyle w:val="FootnoteReference"/>
          <w:w w:val="104"/>
          <w:szCs w:val="17"/>
          <w:lang w:val="es-ES"/>
        </w:rPr>
        <w:footnoteRef/>
      </w:r>
      <w:r w:rsidRPr="008C2C65">
        <w:rPr>
          <w:szCs w:val="17"/>
        </w:rPr>
        <w:tab/>
        <w:t xml:space="preserve">Grupo de Trabajo sobre el Examen Periódico Universal del Consejo de Derechos Humanos, Cuarto Ciclo de Examen Periódico Universal, Informe nacional presentado con arreglo a las resoluciones del Consejo de Derechos Humanos </w:t>
      </w:r>
      <w:r w:rsidRPr="00577D34">
        <w:rPr>
          <w:szCs w:val="17"/>
        </w:rPr>
        <w:t>5/1</w:t>
      </w:r>
      <w:r w:rsidRPr="008C2C65">
        <w:rPr>
          <w:szCs w:val="17"/>
        </w:rPr>
        <w:t xml:space="preserve"> y </w:t>
      </w:r>
      <w:hyperlink r:id="rId17" w:history="1">
        <w:r w:rsidRPr="00F94AC3">
          <w:rPr>
            <w:rStyle w:val="Hyperlink"/>
            <w:szCs w:val="17"/>
          </w:rPr>
          <w:t>16/21</w:t>
        </w:r>
      </w:hyperlink>
      <w:r w:rsidRPr="008C2C65">
        <w:rPr>
          <w:szCs w:val="17"/>
        </w:rPr>
        <w:t xml:space="preserve">, Bangladesh, Asamblea General, 44º período de sesiones, documento de las Naciones Unidas </w:t>
      </w:r>
      <w:hyperlink r:id="rId18" w:history="1">
        <w:r w:rsidRPr="00F94AC3">
          <w:rPr>
            <w:rStyle w:val="Hyperlink"/>
            <w:szCs w:val="17"/>
          </w:rPr>
          <w:t>A/HRC/WG.6/44/BGD/1</w:t>
        </w:r>
      </w:hyperlink>
      <w:r w:rsidRPr="008C2C65">
        <w:rPr>
          <w:szCs w:val="17"/>
        </w:rPr>
        <w:t>.</w:t>
      </w:r>
    </w:p>
  </w:footnote>
  <w:footnote w:id="18">
    <w:p w14:paraId="4DFDAB45"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rPr>
        <w:tab/>
      </w:r>
      <w:r w:rsidRPr="008C2C65">
        <w:rPr>
          <w:rStyle w:val="FootnoteReference"/>
          <w:w w:val="104"/>
          <w:szCs w:val="17"/>
          <w:lang w:val="es-ES"/>
        </w:rPr>
        <w:footnoteRef/>
      </w:r>
      <w:r w:rsidRPr="008C2C65">
        <w:rPr>
          <w:szCs w:val="17"/>
          <w:lang w:val="en-US"/>
        </w:rPr>
        <w:tab/>
      </w:r>
      <w:r w:rsidRPr="008C2C65">
        <w:rPr>
          <w:i/>
          <w:iCs/>
          <w:szCs w:val="17"/>
          <w:lang w:val="en-US"/>
        </w:rPr>
        <w:t>Ibid</w:t>
      </w:r>
      <w:r w:rsidRPr="008C2C65">
        <w:rPr>
          <w:szCs w:val="17"/>
          <w:lang w:val="en-US"/>
        </w:rPr>
        <w:t xml:space="preserve">. </w:t>
      </w:r>
    </w:p>
  </w:footnote>
  <w:footnote w:id="19">
    <w:p w14:paraId="17A05DC5" w14:textId="6BE0EFFF"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t xml:space="preserve">BSS, Dhaka, “PM opens </w:t>
      </w:r>
      <w:r w:rsidR="008C2C65">
        <w:rPr>
          <w:szCs w:val="17"/>
          <w:lang w:val="en-US"/>
        </w:rPr>
        <w:t>‘</w:t>
      </w:r>
      <w:r w:rsidRPr="008C2C65">
        <w:rPr>
          <w:szCs w:val="17"/>
          <w:lang w:val="en-US"/>
        </w:rPr>
        <w:t>Service Desk</w:t>
      </w:r>
      <w:r w:rsidR="008C2C65">
        <w:rPr>
          <w:szCs w:val="17"/>
          <w:lang w:val="en-US"/>
        </w:rPr>
        <w:t>’</w:t>
      </w:r>
      <w:r w:rsidRPr="008C2C65">
        <w:rPr>
          <w:szCs w:val="17"/>
          <w:lang w:val="en-US"/>
        </w:rPr>
        <w:t xml:space="preserve"> at 659 police stations”, The Daily Star, 10 de abril de 2022, </w:t>
      </w:r>
      <w:hyperlink r:id="rId19" w:history="1">
        <w:r w:rsidR="00BF14E0">
          <w:rPr>
            <w:rStyle w:val="Hyperlink"/>
            <w:szCs w:val="17"/>
            <w:lang w:val="en-US"/>
          </w:rPr>
          <w:t>www.thedailystar.net/news/bangladesh/governance/news/pm-opens-service-desk-659-police-stations-3001941</w:t>
        </w:r>
      </w:hyperlink>
      <w:r w:rsidRPr="008C2C65">
        <w:rPr>
          <w:szCs w:val="17"/>
          <w:lang w:val="en-US"/>
        </w:rPr>
        <w:t>.</w:t>
      </w:r>
      <w:hyperlink r:id="rId20" w:history="1"/>
    </w:p>
  </w:footnote>
  <w:footnote w:id="20">
    <w:p w14:paraId="7E3A1106"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lang w:val="en-US"/>
        </w:rPr>
        <w:tab/>
      </w:r>
      <w:r w:rsidRPr="008C2C65">
        <w:rPr>
          <w:rStyle w:val="FootnoteReference"/>
          <w:w w:val="104"/>
          <w:szCs w:val="17"/>
          <w:lang w:val="es-ES"/>
        </w:rPr>
        <w:footnoteRef/>
      </w:r>
      <w:r w:rsidRPr="008C2C65">
        <w:rPr>
          <w:szCs w:val="17"/>
        </w:rPr>
        <w:tab/>
        <w:t>Mesas redondas sobre la aplicación del Plan de Acción Nacional sobre las Mujeres, la Paz y la Seguridad, The Daily Star, 13 de junio de 2022.</w:t>
      </w:r>
    </w:p>
  </w:footnote>
  <w:footnote w:id="21">
    <w:p w14:paraId="14AC17CE" w14:textId="151AF774"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21" w:history="1">
        <w:r w:rsidR="0079507E" w:rsidRPr="008C2C65">
          <w:rPr>
            <w:rStyle w:val="Hyperlink"/>
            <w:szCs w:val="17"/>
          </w:rPr>
          <w:t>https://nlaso.gov.bd/sites/default/files/files/nlaso.portal.gov.bd/annual_reports/</w:t>
        </w:r>
        <w:r w:rsidR="0079507E" w:rsidRPr="008C2C65">
          <w:rPr>
            <w:rStyle w:val="Hyperlink"/>
            <w:szCs w:val="17"/>
          </w:rPr>
          <w:br/>
          <w:t>a10506ee_b6d3_425d_96d0_44bd8ffe8306/2024-09-11-06-06-b2ec5b085271839670e77d413ff6bce3.pdf</w:t>
        </w:r>
      </w:hyperlink>
      <w:r w:rsidRPr="008C2C65">
        <w:rPr>
          <w:szCs w:val="17"/>
        </w:rPr>
        <w:t>.</w:t>
      </w:r>
      <w:hyperlink r:id="rId22" w:history="1"/>
    </w:p>
  </w:footnote>
  <w:footnote w:id="22">
    <w:p w14:paraId="291A00CB" w14:textId="15C7D9BB"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23" w:history="1">
        <w:r w:rsidR="0079507E" w:rsidRPr="008C2C65">
          <w:rPr>
            <w:rStyle w:val="Hyperlink"/>
            <w:szCs w:val="17"/>
          </w:rPr>
          <w:t>https://nlaso.gov.bd/sites/default/files/files/nlaso.portal.gov.bd/annual_reports/</w:t>
        </w:r>
        <w:r w:rsidR="0079507E" w:rsidRPr="008C2C65">
          <w:rPr>
            <w:rStyle w:val="Hyperlink"/>
            <w:szCs w:val="17"/>
          </w:rPr>
          <w:br/>
          <w:t>a10506ee_b6d3_425d_96d0_44bd8ffe8306/2024-09-11-06-06-b2ec5b085271839670e77d413ff6bce3.pdf</w:t>
        </w:r>
      </w:hyperlink>
      <w:r w:rsidRPr="008C2C65">
        <w:rPr>
          <w:szCs w:val="17"/>
        </w:rPr>
        <w:t xml:space="preserve">. </w:t>
      </w:r>
      <w:hyperlink r:id="rId24" w:history="1"/>
    </w:p>
  </w:footnote>
  <w:footnote w:id="23">
    <w:p w14:paraId="659D461C"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rPr>
        <w:tab/>
      </w:r>
      <w:r w:rsidRPr="008C2C65">
        <w:rPr>
          <w:rStyle w:val="FootnoteReference"/>
          <w:w w:val="104"/>
          <w:szCs w:val="17"/>
          <w:lang w:val="es-ES"/>
        </w:rPr>
        <w:footnoteRef/>
      </w:r>
      <w:r w:rsidRPr="008C2C65">
        <w:rPr>
          <w:szCs w:val="17"/>
          <w:lang w:val="en-US"/>
        </w:rPr>
        <w:tab/>
      </w:r>
      <w:r w:rsidRPr="008C2C65">
        <w:rPr>
          <w:i/>
          <w:iCs/>
          <w:szCs w:val="17"/>
          <w:lang w:val="en-US"/>
        </w:rPr>
        <w:t>Ibid</w:t>
      </w:r>
      <w:r w:rsidRPr="008C2C65">
        <w:rPr>
          <w:szCs w:val="17"/>
          <w:lang w:val="en-US"/>
        </w:rPr>
        <w:t xml:space="preserve">. </w:t>
      </w:r>
    </w:p>
  </w:footnote>
  <w:footnote w:id="24">
    <w:p w14:paraId="5D977C42" w14:textId="1BB2F2D5"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t>Bangladesh Sangbad Sangstha, “2-day training workshop for women journalists held at PIB”, 7</w:t>
      </w:r>
      <w:r w:rsidR="00E82D01">
        <w:rPr>
          <w:szCs w:val="17"/>
          <w:lang w:val="en-US"/>
        </w:rPr>
        <w:t> </w:t>
      </w:r>
      <w:r w:rsidRPr="008C2C65">
        <w:rPr>
          <w:szCs w:val="17"/>
          <w:lang w:val="en-US"/>
        </w:rPr>
        <w:t>de</w:t>
      </w:r>
      <w:r w:rsidR="00AE4701" w:rsidRPr="008C2C65">
        <w:rPr>
          <w:szCs w:val="17"/>
          <w:lang w:val="en-US"/>
        </w:rPr>
        <w:t xml:space="preserve"> </w:t>
      </w:r>
      <w:r w:rsidRPr="008C2C65">
        <w:rPr>
          <w:szCs w:val="17"/>
          <w:lang w:val="en-US"/>
        </w:rPr>
        <w:t xml:space="preserve">diciembre de 2022, </w:t>
      </w:r>
      <w:hyperlink r:id="rId25" w:history="1">
        <w:r w:rsidR="00BF14E0">
          <w:rPr>
            <w:rStyle w:val="Hyperlink"/>
            <w:szCs w:val="17"/>
            <w:lang w:val="en-US"/>
          </w:rPr>
          <w:t>www.bssnews.net/news/98614</w:t>
        </w:r>
      </w:hyperlink>
      <w:r w:rsidRPr="008C2C65">
        <w:rPr>
          <w:szCs w:val="17"/>
          <w:lang w:val="en-US"/>
        </w:rPr>
        <w:t>.</w:t>
      </w:r>
      <w:hyperlink r:id="rId26" w:history="1"/>
    </w:p>
  </w:footnote>
  <w:footnote w:id="25">
    <w:p w14:paraId="1786D2E2"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r>
      <w:hyperlink r:id="rId27" w:history="1">
        <w:r w:rsidRPr="008C2C65">
          <w:rPr>
            <w:rStyle w:val="Hyperlink"/>
            <w:szCs w:val="17"/>
            <w:lang w:val="en-US"/>
          </w:rPr>
          <w:t>https://news.trust.org/item/20180507003042-93mdm/</w:t>
        </w:r>
      </w:hyperlink>
      <w:r w:rsidRPr="008C2C65">
        <w:rPr>
          <w:szCs w:val="17"/>
          <w:lang w:val="en-US"/>
        </w:rPr>
        <w:t>.</w:t>
      </w:r>
      <w:hyperlink r:id="rId28" w:history="1"/>
    </w:p>
  </w:footnote>
  <w:footnote w:id="26">
    <w:p w14:paraId="2A54F8F3"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t xml:space="preserve">UNFPA, “Action Leads and Hope Prevails: Success in Ending Child Marriage – Bangladesh”, ReliefWeb, 18 de diciembre de 2023, </w:t>
      </w:r>
      <w:hyperlink r:id="rId29" w:history="1">
        <w:r w:rsidRPr="008C2C65">
          <w:rPr>
            <w:rStyle w:val="Hyperlink"/>
            <w:szCs w:val="17"/>
            <w:lang w:val="en-US"/>
          </w:rPr>
          <w:t>https://reliefweb.int/report/bangladesh/action-leads-and-hope-prevails-success-ending-child-marriage</w:t>
        </w:r>
      </w:hyperlink>
      <w:r w:rsidRPr="008C2C65">
        <w:rPr>
          <w:szCs w:val="17"/>
          <w:lang w:val="en-US"/>
        </w:rPr>
        <w:t xml:space="preserve">. </w:t>
      </w:r>
      <w:hyperlink r:id="rId30" w:history="1"/>
    </w:p>
  </w:footnote>
  <w:footnote w:id="27">
    <w:p w14:paraId="18DF5BBF" w14:textId="319CF5A0"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lang w:val="en-US"/>
        </w:rPr>
        <w:tab/>
      </w:r>
      <w:r w:rsidRPr="008C2C65">
        <w:rPr>
          <w:rStyle w:val="FootnoteReference"/>
          <w:w w:val="104"/>
          <w:szCs w:val="17"/>
          <w:lang w:val="es-ES"/>
        </w:rPr>
        <w:footnoteRef/>
      </w:r>
      <w:r w:rsidRPr="008C2C65">
        <w:rPr>
          <w:szCs w:val="17"/>
        </w:rPr>
        <w:tab/>
        <w:t xml:space="preserve">Grupo de Trabajo sobre el Examen Periódico Universal del Consejo de Derechos Humanos, Cuarto Ciclo de Examen Periódico Universal, Informe nacional presentado con arreglo a las resoluciones del Consejo de Derechos Humanos 5/1 y </w:t>
      </w:r>
      <w:hyperlink r:id="rId31" w:history="1">
        <w:r w:rsidRPr="00F94AC3">
          <w:rPr>
            <w:rStyle w:val="Hyperlink"/>
            <w:szCs w:val="17"/>
          </w:rPr>
          <w:t>16/21</w:t>
        </w:r>
      </w:hyperlink>
      <w:r w:rsidRPr="008C2C65">
        <w:rPr>
          <w:szCs w:val="17"/>
        </w:rPr>
        <w:t xml:space="preserve">, Bangladesh, Asamblea General, 44º período de sesiones, documento de las Naciones Unidas </w:t>
      </w:r>
      <w:hyperlink r:id="rId32" w:history="1">
        <w:r w:rsidRPr="00F94AC3">
          <w:rPr>
            <w:rStyle w:val="Hyperlink"/>
            <w:szCs w:val="17"/>
          </w:rPr>
          <w:t>A/HRC/WG.6/44/BGD/1</w:t>
        </w:r>
      </w:hyperlink>
      <w:r w:rsidRPr="008C2C65">
        <w:rPr>
          <w:szCs w:val="17"/>
        </w:rPr>
        <w:t xml:space="preserve">. </w:t>
      </w:r>
    </w:p>
  </w:footnote>
  <w:footnote w:id="28">
    <w:p w14:paraId="4BCF5D37"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Laboratorio de análisis de ADN de división: Programa Multisectorial sobre la Violencia contra las Mujeres, </w:t>
      </w:r>
      <w:hyperlink r:id="rId33" w:history="1">
        <w:r w:rsidRPr="008C2C65">
          <w:rPr>
            <w:rStyle w:val="Hyperlink"/>
            <w:szCs w:val="17"/>
          </w:rPr>
          <w:t>http://mspvaw.gov.bd/contain/36</w:t>
        </w:r>
      </w:hyperlink>
      <w:r w:rsidRPr="008C2C65">
        <w:rPr>
          <w:szCs w:val="17"/>
        </w:rPr>
        <w:t>.</w:t>
      </w:r>
      <w:hyperlink r:id="rId34" w:history="1"/>
    </w:p>
  </w:footnote>
  <w:footnote w:id="29">
    <w:p w14:paraId="6D37F4F9"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Información obtenida del Ministerio de Trabajo y Empleo. </w:t>
      </w:r>
    </w:p>
  </w:footnote>
  <w:footnote w:id="30">
    <w:p w14:paraId="16BDE72D" w14:textId="7C356250"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35" w:history="1">
        <w:r w:rsidR="00A9475F">
          <w:rPr>
            <w:rStyle w:val="Hyperlink"/>
            <w:szCs w:val="17"/>
          </w:rPr>
          <w:t>www.dhakatribune.com/bangladesh/government-affairs/375990/govt-to-launch-3333-shortcode-service-to-combat</w:t>
        </w:r>
      </w:hyperlink>
      <w:r w:rsidRPr="008C2C65">
        <w:rPr>
          <w:szCs w:val="17"/>
        </w:rPr>
        <w:t>.</w:t>
      </w:r>
      <w:hyperlink r:id="rId36" w:history="1"/>
    </w:p>
  </w:footnote>
  <w:footnote w:id="31">
    <w:p w14:paraId="0E5A606C" w14:textId="37BF290E"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rPr>
        <w:tab/>
      </w:r>
      <w:r w:rsidRPr="008C2C65">
        <w:rPr>
          <w:rStyle w:val="FootnoteReference"/>
          <w:w w:val="104"/>
          <w:szCs w:val="17"/>
          <w:lang w:val="es-ES"/>
        </w:rPr>
        <w:footnoteRef/>
      </w:r>
      <w:r w:rsidRPr="008C2C65">
        <w:rPr>
          <w:szCs w:val="17"/>
          <w:lang w:val="en-US"/>
        </w:rPr>
        <w:tab/>
        <w:t xml:space="preserve">We Can Bangladesh, “About us </w:t>
      </w:r>
      <w:r w:rsidR="00367B67">
        <w:rPr>
          <w:szCs w:val="17"/>
          <w:lang w:val="en-US"/>
        </w:rPr>
        <w:t>–</w:t>
      </w:r>
      <w:r w:rsidRPr="008C2C65">
        <w:rPr>
          <w:szCs w:val="17"/>
          <w:lang w:val="en-US"/>
        </w:rPr>
        <w:t xml:space="preserve"> We can Bangladesh”, </w:t>
      </w:r>
      <w:hyperlink r:id="rId37" w:history="1">
        <w:r w:rsidR="00BF14E0">
          <w:rPr>
            <w:rStyle w:val="Hyperlink"/>
            <w:szCs w:val="17"/>
            <w:lang w:val="en-US"/>
          </w:rPr>
          <w:t>www.wecan-bd.org/about/</w:t>
        </w:r>
      </w:hyperlink>
      <w:r w:rsidRPr="008C2C65">
        <w:rPr>
          <w:szCs w:val="17"/>
          <w:lang w:val="en-US"/>
        </w:rPr>
        <w:t>.</w:t>
      </w:r>
      <w:hyperlink r:id="rId38" w:history="1"/>
    </w:p>
  </w:footnote>
  <w:footnote w:id="32">
    <w:p w14:paraId="3C31D61E" w14:textId="15D72B06"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r>
      <w:hyperlink r:id="rId39" w:history="1">
        <w:r w:rsidR="00577D34" w:rsidRPr="00CB7E78">
          <w:rPr>
            <w:rStyle w:val="Hyperlink"/>
            <w:szCs w:val="17"/>
            <w:lang w:val="en-US"/>
          </w:rPr>
          <w:t>https://bbs.portal.gov.bd/sites/default/files/files/bbs.portal.gov.bd/page/57def76a_aa3c_</w:t>
        </w:r>
        <w:r w:rsidR="00577D34" w:rsidRPr="00CB7E78">
          <w:rPr>
            <w:rStyle w:val="Hyperlink"/>
            <w:szCs w:val="17"/>
            <w:lang w:val="en-US"/>
          </w:rPr>
          <w:br/>
          <w:t>46e3_9f80_53732eb94a83/2025-03-03-05-48-f27ce30efbbcfe33a96d2c808b5908f3.pdf</w:t>
        </w:r>
      </w:hyperlink>
      <w:r w:rsidRPr="008C2C65">
        <w:rPr>
          <w:szCs w:val="17"/>
          <w:lang w:val="en-US"/>
        </w:rPr>
        <w:t>.</w:t>
      </w:r>
    </w:p>
  </w:footnote>
  <w:footnote w:id="33">
    <w:p w14:paraId="5EF0104B"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r>
      <w:hyperlink r:id="rId40" w:history="1">
        <w:r w:rsidRPr="008C2C65">
          <w:rPr>
            <w:rStyle w:val="Hyperlink"/>
            <w:szCs w:val="17"/>
            <w:lang w:val="en-US"/>
          </w:rPr>
          <w:t>https://bangladesh.unfpa.org/sites/default/files/report_documents/2025-03/VAW_KEYFINDINGS_2024_Publsihed%2027FEB2025.pdf</w:t>
        </w:r>
      </w:hyperlink>
      <w:r w:rsidRPr="008C2C65">
        <w:rPr>
          <w:szCs w:val="17"/>
          <w:lang w:val="en-US"/>
        </w:rPr>
        <w:t>.</w:t>
      </w:r>
      <w:hyperlink r:id="rId41" w:history="1"/>
    </w:p>
  </w:footnote>
  <w:footnote w:id="34">
    <w:p w14:paraId="3AADED74" w14:textId="506FAA1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r>
      <w:hyperlink r:id="rId42" w:history="1">
        <w:r w:rsidR="00577D34" w:rsidRPr="00CB7E78">
          <w:rPr>
            <w:rStyle w:val="Hyperlink"/>
            <w:szCs w:val="17"/>
            <w:lang w:val="en-US"/>
          </w:rPr>
          <w:t>https://bbs.portal.gov.bd/sites/default/files/files/bbs.portal.gov.bd/page/57def76a_aa3c</w:t>
        </w:r>
        <w:r w:rsidR="00577D34" w:rsidRPr="00CB7E78">
          <w:rPr>
            <w:rStyle w:val="Hyperlink"/>
            <w:szCs w:val="17"/>
            <w:lang w:val="en-US"/>
          </w:rPr>
          <w:br/>
          <w:t>_46e3_9f80_53732eb94a83/2025-03-03-05-48-f27ce30efbbcfe33a96d2c808b5908f3.pdf</w:t>
        </w:r>
      </w:hyperlink>
      <w:r w:rsidRPr="008C2C65">
        <w:rPr>
          <w:szCs w:val="17"/>
          <w:lang w:val="en-US"/>
        </w:rPr>
        <w:t>.</w:t>
      </w:r>
      <w:hyperlink r:id="rId43" w:history="1"/>
    </w:p>
  </w:footnote>
  <w:footnote w:id="35">
    <w:p w14:paraId="3D7B5DAC"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lang w:val="en-US"/>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w:t>
      </w:r>
    </w:p>
  </w:footnote>
  <w:footnote w:id="36">
    <w:p w14:paraId="40C563DB" w14:textId="77777777" w:rsidR="00DE42B3" w:rsidRPr="008C2C65" w:rsidRDefault="00DE42B3"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Oficina de Estadística de Bangladesh, Ministerio de Planificación, Gobierno de la República Popular de Bangladesh y ONU-Mujeres, Encuesta sobre el uso del tiempo de 2021, 2023, </w:t>
      </w:r>
      <w:hyperlink r:id="rId44" w:history="1">
        <w:r w:rsidRPr="008C2C65">
          <w:rPr>
            <w:rStyle w:val="Hyperlink"/>
            <w:szCs w:val="17"/>
          </w:rPr>
          <w:t>https://bbs.portal.gov.bd/sites/default/files/files/bbs.portal.gov.bd/page/b343a8b4_956b_45ca_872f_4cf9b2f1a6e0/2023-07-23 04-53-6417fa2e9d03538a1342942614845984.pdf</w:t>
        </w:r>
      </w:hyperlink>
      <w:r w:rsidRPr="008C2C65">
        <w:rPr>
          <w:szCs w:val="17"/>
        </w:rPr>
        <w:t>.</w:t>
      </w:r>
      <w:hyperlink r:id="rId45" w:history="1"/>
    </w:p>
  </w:footnote>
  <w:footnote w:id="37">
    <w:p w14:paraId="7C7131EE" w14:textId="7D7CA4BA" w:rsidR="00B151FD" w:rsidRPr="008C2C65" w:rsidRDefault="00B151FD"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Departamento de Estado de los Estados Unidos, “2024 Trafficking in Persons Report: Bangladesh”, </w:t>
      </w:r>
      <w:hyperlink r:id="rId46" w:history="1">
        <w:r w:rsidR="00BF14E0">
          <w:rPr>
            <w:rStyle w:val="Hyperlink"/>
            <w:szCs w:val="17"/>
          </w:rPr>
          <w:t>www.state.gov/reports/2024-trafficking-in-persons-report/bangladesh/</w:t>
        </w:r>
      </w:hyperlink>
      <w:r w:rsidRPr="008C2C65">
        <w:rPr>
          <w:szCs w:val="17"/>
        </w:rPr>
        <w:t>.</w:t>
      </w:r>
    </w:p>
  </w:footnote>
  <w:footnote w:id="38">
    <w:p w14:paraId="1D955F3D" w14:textId="77777777" w:rsidR="00B151FD" w:rsidRPr="008C2C65" w:rsidRDefault="00B151FD"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47" w:history="1">
        <w:r w:rsidRPr="008C2C65">
          <w:rPr>
            <w:rStyle w:val="Hyperlink"/>
            <w:szCs w:val="17"/>
          </w:rPr>
          <w:t>https://rohingyaresponse.org/</w:t>
        </w:r>
      </w:hyperlink>
      <w:r w:rsidRPr="008C2C65">
        <w:rPr>
          <w:szCs w:val="17"/>
        </w:rPr>
        <w:t xml:space="preserve">. </w:t>
      </w:r>
      <w:hyperlink r:id="rId48" w:history="1"/>
    </w:p>
  </w:footnote>
  <w:footnote w:id="39">
    <w:p w14:paraId="067370AB" w14:textId="77777777" w:rsidR="00B151FD" w:rsidRPr="008C2C65" w:rsidRDefault="00B151FD"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Información obtenida del Banco de Bangladesh. </w:t>
      </w:r>
    </w:p>
  </w:footnote>
  <w:footnote w:id="40">
    <w:p w14:paraId="15B60ADE" w14:textId="77777777" w:rsidR="00B151FD" w:rsidRPr="008C2C65" w:rsidRDefault="00B151FD"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 xml:space="preserve">. </w:t>
      </w:r>
    </w:p>
  </w:footnote>
  <w:footnote w:id="41">
    <w:p w14:paraId="03CBA9B7" w14:textId="77777777" w:rsidR="00B151FD" w:rsidRPr="008C2C65" w:rsidRDefault="00B151FD"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49" w:history="1">
        <w:r w:rsidRPr="008C2C65">
          <w:rPr>
            <w:rStyle w:val="Hyperlink"/>
            <w:szCs w:val="17"/>
          </w:rPr>
          <w:t>https://thefinancialexpress.com.bd/national/1440-women-to-get-driving-training-in-seven-divisional-cities-1632482192</w:t>
        </w:r>
      </w:hyperlink>
      <w:r w:rsidRPr="008C2C65">
        <w:rPr>
          <w:szCs w:val="17"/>
        </w:rPr>
        <w:t xml:space="preserve">. </w:t>
      </w:r>
      <w:hyperlink r:id="rId50" w:history="1"/>
    </w:p>
  </w:footnote>
  <w:footnote w:id="42">
    <w:p w14:paraId="373A7466" w14:textId="77777777" w:rsidR="00B151FD" w:rsidRPr="008C2C65" w:rsidRDefault="00B151FD" w:rsidP="00E41E89">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General de Economía, Gobierno de la República Popular de Bangladesh, “Mid-term Implementation Review of the Eight Five Year Plan”, 2023, </w:t>
      </w:r>
      <w:hyperlink r:id="rId51" w:history="1">
        <w:r w:rsidRPr="008C2C65">
          <w:rPr>
            <w:rStyle w:val="Hyperlink"/>
            <w:szCs w:val="17"/>
          </w:rPr>
          <w:t>https://gedkp.gov.bd/wp-content/uploads/2024/02/Mid-term-Implementation-Review-of-the-8th Five-Year-Plan-Book.pdf</w:t>
        </w:r>
      </w:hyperlink>
      <w:r w:rsidRPr="008C2C65">
        <w:rPr>
          <w:szCs w:val="17"/>
        </w:rPr>
        <w:t>.</w:t>
      </w:r>
    </w:p>
  </w:footnote>
  <w:footnote w:id="43">
    <w:p w14:paraId="7425C91C" w14:textId="2C0F549E" w:rsidR="00311E13" w:rsidRPr="008C2C65" w:rsidRDefault="00311E13"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52" w:history="1">
        <w:r w:rsidR="008C2C65" w:rsidRPr="00CB7E78">
          <w:rPr>
            <w:rStyle w:val="Hyperlink"/>
            <w:szCs w:val="17"/>
          </w:rPr>
          <w:t>http://nsds.bbs.gov.bd/storage/files/1/Publications/SVRS/SVRS%202023%20Final%20</w:t>
        </w:r>
        <w:r w:rsidR="008C2C65" w:rsidRPr="00CB7E78">
          <w:rPr>
            <w:rStyle w:val="Hyperlink"/>
            <w:szCs w:val="17"/>
          </w:rPr>
          <w:br/>
          <w:t>Report_web.pdf</w:t>
        </w:r>
      </w:hyperlink>
      <w:r w:rsidRPr="008C2C65">
        <w:rPr>
          <w:szCs w:val="17"/>
        </w:rPr>
        <w:t>.</w:t>
      </w:r>
    </w:p>
  </w:footnote>
  <w:footnote w:id="44">
    <w:p w14:paraId="68A121CB" w14:textId="4E7539FC" w:rsidR="00311E13" w:rsidRPr="008C2C65" w:rsidRDefault="00311E13"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de Finanzas, Ministerio de Finanzas, Gobierno de la República Popular de Bangladesh, “Progress Towards Equality: Gender Budget Report 2024-2025”, 2024, </w:t>
      </w:r>
      <w:hyperlink r:id="rId53" w:history="1">
        <w:r w:rsidR="008C2C65" w:rsidRPr="00CB7E78">
          <w:rPr>
            <w:rStyle w:val="Hyperlink"/>
            <w:szCs w:val="17"/>
          </w:rPr>
          <w:t>https://mof.portal.gov.bd/sites/default/files/files/mof.portal.gov.bd/budget_mof/98c2d08b_5cdc_4a69_9c5f_19248d15cda5/Gender%20Budget%20Report%20(2024-25).pdf</w:t>
        </w:r>
      </w:hyperlink>
      <w:r w:rsidRPr="008C2C65">
        <w:rPr>
          <w:szCs w:val="17"/>
        </w:rPr>
        <w:t>.</w:t>
      </w:r>
    </w:p>
  </w:footnote>
  <w:footnote w:id="45">
    <w:p w14:paraId="089A54DF" w14:textId="77777777" w:rsidR="00311E13" w:rsidRPr="008C2C65" w:rsidRDefault="00311E13" w:rsidP="0079507E">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rPr>
        <w:tab/>
      </w:r>
      <w:r w:rsidRPr="008C2C65">
        <w:rPr>
          <w:rStyle w:val="FootnoteReference"/>
          <w:w w:val="104"/>
          <w:szCs w:val="17"/>
          <w:lang w:val="es-ES"/>
        </w:rPr>
        <w:footnoteRef/>
      </w:r>
      <w:r w:rsidRPr="008C2C65">
        <w:rPr>
          <w:szCs w:val="17"/>
          <w:lang w:val="en-US"/>
        </w:rPr>
        <w:tab/>
      </w:r>
      <w:r w:rsidRPr="008C2C65">
        <w:rPr>
          <w:i/>
          <w:iCs/>
          <w:szCs w:val="17"/>
          <w:lang w:val="en-US"/>
        </w:rPr>
        <w:t>Ibid</w:t>
      </w:r>
      <w:r w:rsidRPr="008C2C65">
        <w:rPr>
          <w:szCs w:val="17"/>
          <w:lang w:val="en-US"/>
        </w:rPr>
        <w:t>.</w:t>
      </w:r>
    </w:p>
  </w:footnote>
  <w:footnote w:id="46">
    <w:p w14:paraId="23B6A69C" w14:textId="4788A97F" w:rsidR="00311E13" w:rsidRPr="008C2C65" w:rsidRDefault="00311E13" w:rsidP="0079507E">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t xml:space="preserve">Banco Asiático de Desarrollo, “Bangladesh: Supporting Fourth Primary Education Development Program </w:t>
      </w:r>
      <w:r w:rsidR="006E1F2B">
        <w:rPr>
          <w:szCs w:val="17"/>
          <w:lang w:val="en-US"/>
        </w:rPr>
        <w:t>–</w:t>
      </w:r>
      <w:r w:rsidRPr="008C2C65">
        <w:rPr>
          <w:szCs w:val="17"/>
          <w:lang w:val="en-US"/>
        </w:rPr>
        <w:t xml:space="preserve"> Project Page”, s.</w:t>
      </w:r>
      <w:r w:rsidR="00AE4701" w:rsidRPr="008C2C65">
        <w:rPr>
          <w:szCs w:val="17"/>
          <w:lang w:val="en-US"/>
        </w:rPr>
        <w:t xml:space="preserve"> </w:t>
      </w:r>
      <w:r w:rsidRPr="008C2C65">
        <w:rPr>
          <w:szCs w:val="17"/>
          <w:lang w:val="en-US"/>
        </w:rPr>
        <w:t xml:space="preserve">f., </w:t>
      </w:r>
      <w:hyperlink r:id="rId54" w:history="1">
        <w:r w:rsidR="00BF14E0">
          <w:rPr>
            <w:rStyle w:val="Hyperlink"/>
            <w:szCs w:val="17"/>
            <w:lang w:val="en-US"/>
          </w:rPr>
          <w:t>www.adb.org/projects/50192-002/main</w:t>
        </w:r>
      </w:hyperlink>
      <w:r w:rsidRPr="008C2C65">
        <w:rPr>
          <w:szCs w:val="17"/>
          <w:lang w:val="en-US"/>
        </w:rPr>
        <w:t xml:space="preserve">. </w:t>
      </w:r>
    </w:p>
  </w:footnote>
  <w:footnote w:id="47">
    <w:p w14:paraId="31227FF8" w14:textId="40005965" w:rsidR="00311E13" w:rsidRPr="008C2C65" w:rsidRDefault="00311E13" w:rsidP="0079507E">
      <w:pPr>
        <w:pStyle w:val="FootnoteText"/>
        <w:tabs>
          <w:tab w:val="clear" w:pos="418"/>
          <w:tab w:val="right" w:pos="1195"/>
          <w:tab w:val="left" w:pos="1267"/>
          <w:tab w:val="left" w:pos="1742"/>
          <w:tab w:val="left" w:pos="2218"/>
          <w:tab w:val="left" w:pos="2693"/>
        </w:tabs>
        <w:ind w:left="1267" w:right="1267" w:hanging="432"/>
        <w:rPr>
          <w:szCs w:val="17"/>
          <w:lang w:val="en-US"/>
        </w:rPr>
      </w:pPr>
      <w:r w:rsidRPr="008C2C65">
        <w:rPr>
          <w:szCs w:val="17"/>
          <w:lang w:val="en-US"/>
        </w:rPr>
        <w:tab/>
      </w:r>
      <w:r w:rsidRPr="008C2C65">
        <w:rPr>
          <w:rStyle w:val="FootnoteReference"/>
          <w:w w:val="104"/>
          <w:szCs w:val="17"/>
          <w:lang w:val="es-ES"/>
        </w:rPr>
        <w:footnoteRef/>
      </w:r>
      <w:r w:rsidRPr="008C2C65">
        <w:rPr>
          <w:szCs w:val="17"/>
          <w:lang w:val="en-US"/>
        </w:rPr>
        <w:tab/>
      </w:r>
      <w:hyperlink r:id="rId55" w:history="1">
        <w:r w:rsidR="00BF14E0">
          <w:rPr>
            <w:rStyle w:val="Hyperlink"/>
            <w:szCs w:val="17"/>
            <w:lang w:val="en-US"/>
          </w:rPr>
          <w:t>www.tbsnews.net/economy/corporates/grameen-digital-healthcare-solutions-unveils-comprehensive-healthcare-platform</w:t>
        </w:r>
      </w:hyperlink>
      <w:r w:rsidRPr="008C2C65">
        <w:rPr>
          <w:szCs w:val="17"/>
          <w:lang w:val="en-US"/>
        </w:rPr>
        <w:t>?</w:t>
      </w:r>
      <w:hyperlink r:id="rId56" w:history="1"/>
    </w:p>
  </w:footnote>
  <w:footnote w:id="48">
    <w:p w14:paraId="3780C5FD" w14:textId="5DB58AAD" w:rsidR="00E14755" w:rsidRPr="00D0425E" w:rsidRDefault="00E14755" w:rsidP="0079507E">
      <w:pPr>
        <w:pStyle w:val="FootnoteText"/>
        <w:tabs>
          <w:tab w:val="clear" w:pos="418"/>
          <w:tab w:val="right" w:pos="1195"/>
          <w:tab w:val="left" w:pos="1267"/>
          <w:tab w:val="left" w:pos="1742"/>
          <w:tab w:val="left" w:pos="2218"/>
          <w:tab w:val="left" w:pos="2693"/>
        </w:tabs>
        <w:ind w:left="1267" w:right="1267" w:hanging="432"/>
        <w:rPr>
          <w:szCs w:val="17"/>
          <w:lang w:val="en-US"/>
        </w:rPr>
      </w:pPr>
      <w:r w:rsidRPr="00D0425E">
        <w:rPr>
          <w:szCs w:val="17"/>
          <w:lang w:val="en-US"/>
        </w:rPr>
        <w:tab/>
      </w:r>
      <w:r w:rsidRPr="008C2C65">
        <w:rPr>
          <w:rStyle w:val="FootnoteReference"/>
          <w:w w:val="104"/>
          <w:szCs w:val="17"/>
          <w:lang w:val="es-ES"/>
        </w:rPr>
        <w:footnoteRef/>
      </w:r>
      <w:r w:rsidRPr="00D0425E">
        <w:rPr>
          <w:szCs w:val="17"/>
          <w:lang w:val="en-US"/>
        </w:rPr>
        <w:t xml:space="preserve"> </w:t>
      </w:r>
      <w:r w:rsidR="008C2C65" w:rsidRPr="00D0425E">
        <w:rPr>
          <w:szCs w:val="17"/>
          <w:lang w:val="en-US"/>
        </w:rPr>
        <w:tab/>
      </w:r>
      <w:hyperlink r:id="rId57" w:history="1">
        <w:r w:rsidR="008C2C65" w:rsidRPr="00D0425E">
          <w:rPr>
            <w:rStyle w:val="Hyperlink"/>
            <w:szCs w:val="17"/>
            <w:lang w:val="en-US"/>
          </w:rPr>
          <w:t>http://nsds.bbs.gov.bd/storage/files/1/Publications/SVRS/SVRS%202023%20Final%20</w:t>
        </w:r>
        <w:r w:rsidR="008C2C65" w:rsidRPr="00D0425E">
          <w:rPr>
            <w:rStyle w:val="Hyperlink"/>
            <w:szCs w:val="17"/>
            <w:lang w:val="en-US"/>
          </w:rPr>
          <w:br/>
          <w:t>Report_web.pdf</w:t>
        </w:r>
      </w:hyperlink>
      <w:r w:rsidRPr="00D0425E">
        <w:rPr>
          <w:szCs w:val="17"/>
          <w:lang w:val="en-US"/>
        </w:rPr>
        <w:t xml:space="preserve">. </w:t>
      </w:r>
      <w:hyperlink r:id="rId58" w:history="1"/>
    </w:p>
  </w:footnote>
  <w:footnote w:id="49">
    <w:p w14:paraId="623854D3"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D0425E">
        <w:rPr>
          <w:szCs w:val="17"/>
          <w:lang w:val="en-US"/>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w:t>
      </w:r>
    </w:p>
  </w:footnote>
  <w:footnote w:id="50">
    <w:p w14:paraId="261AFB4B"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w:t>
      </w:r>
    </w:p>
  </w:footnote>
  <w:footnote w:id="51">
    <w:p w14:paraId="74274183"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Información obtenida del Ministerio de Trabajo y Empleo. </w:t>
      </w:r>
    </w:p>
  </w:footnote>
  <w:footnote w:id="52">
    <w:p w14:paraId="2109338E"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 xml:space="preserve">. </w:t>
      </w:r>
    </w:p>
  </w:footnote>
  <w:footnote w:id="53">
    <w:p w14:paraId="790B96E3"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 xml:space="preserve">. </w:t>
      </w:r>
    </w:p>
  </w:footnote>
  <w:footnote w:id="54">
    <w:p w14:paraId="4CA88D88" w14:textId="742DFB28"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M. N. Islam, “Bangladesh Bank launches Women</w:t>
      </w:r>
      <w:r w:rsidR="008C2C65">
        <w:rPr>
          <w:szCs w:val="17"/>
        </w:rPr>
        <w:t>’</w:t>
      </w:r>
      <w:r w:rsidRPr="008C2C65">
        <w:rPr>
          <w:szCs w:val="17"/>
        </w:rPr>
        <w:t xml:space="preserve">s Financial Inclusion Data Dashboard”, Alianza para la Inclusión Financiera, 14 de marzo de 2024, </w:t>
      </w:r>
      <w:hyperlink r:id="rId59" w:history="1">
        <w:r w:rsidR="00BF14E0">
          <w:rPr>
            <w:rStyle w:val="Hyperlink"/>
            <w:szCs w:val="17"/>
          </w:rPr>
          <w:t>www.afi-global.org/opinion/bangladesh-bank-launches-womens-financial-inclusion-data-dashboard/</w:t>
        </w:r>
      </w:hyperlink>
      <w:r w:rsidRPr="008C2C65">
        <w:rPr>
          <w:szCs w:val="17"/>
        </w:rPr>
        <w:t>.</w:t>
      </w:r>
      <w:hyperlink r:id="rId60" w:history="1"/>
    </w:p>
  </w:footnote>
  <w:footnote w:id="55">
    <w:p w14:paraId="794A790A" w14:textId="33C85A3C"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de Finanzas, Ministerio de Finanzas, Gobierno de la República Popular de Bangladesh, “Gender Budget Report: 2023-2024” </w:t>
      </w:r>
      <w:hyperlink r:id="rId61" w:history="1">
        <w:r w:rsidR="008C2C65" w:rsidRPr="00CB7E78">
          <w:rPr>
            <w:rStyle w:val="Hyperlink"/>
            <w:szCs w:val="17"/>
          </w:rPr>
          <w:t>https://mof.portal.gov.bd/sites/default/files/</w:t>
        </w:r>
        <w:r w:rsidR="008C2C65" w:rsidRPr="00CB7E78">
          <w:rPr>
            <w:rStyle w:val="Hyperlink"/>
            <w:szCs w:val="17"/>
          </w:rPr>
          <w:br/>
          <w:t>files/mof.portal.gov.bd/budget_mof/001130ba_9cb8_4955_9f07_f9ba27ca7de9/Gender%20Budget%20Report%202023-24%20(English%20for%20Website).pdf</w:t>
        </w:r>
      </w:hyperlink>
      <w:r w:rsidRPr="008C2C65">
        <w:rPr>
          <w:szCs w:val="17"/>
        </w:rPr>
        <w:t xml:space="preserve">. </w:t>
      </w:r>
    </w:p>
  </w:footnote>
  <w:footnote w:id="56">
    <w:p w14:paraId="39125E48" w14:textId="7D29C469"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 xml:space="preserve"> </w:t>
      </w:r>
      <w:r w:rsidRPr="008C2C65">
        <w:rPr>
          <w:szCs w:val="17"/>
        </w:rPr>
        <w:tab/>
      </w:r>
      <w:hyperlink r:id="rId62" w:history="1">
        <w:r w:rsidR="00C9767C" w:rsidRPr="00CB7E78">
          <w:rPr>
            <w:rStyle w:val="Hyperlink"/>
            <w:szCs w:val="17"/>
          </w:rPr>
          <w:t>https://mof.portal.gov.bd/sites/default/files/files/mof.portal.gov.bd/budget_mof/</w:t>
        </w:r>
        <w:r w:rsidR="00C9767C" w:rsidRPr="00CB7E78">
          <w:rPr>
            <w:rStyle w:val="Hyperlink"/>
            <w:szCs w:val="17"/>
          </w:rPr>
          <w:br/>
          <w:t>a404ee4b_b74d_4f7e_8aa0_ebad2db0491f/Gender%20Other%20Ministry%20%28Extended%29-Eng.pdf</w:t>
        </w:r>
      </w:hyperlink>
      <w:r w:rsidRPr="008C2C65">
        <w:rPr>
          <w:szCs w:val="17"/>
        </w:rPr>
        <w:t>.</w:t>
      </w:r>
    </w:p>
  </w:footnote>
  <w:footnote w:id="57">
    <w:p w14:paraId="10B7CE7F" w14:textId="2B62AE24"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63" w:history="1">
        <w:r w:rsidR="00294D13" w:rsidRPr="00CB7E78">
          <w:rPr>
            <w:rStyle w:val="Hyperlink"/>
            <w:szCs w:val="17"/>
          </w:rPr>
          <w:t>https://mof.portal.gov.bd/sites/default/files/files/mof.portal.gov.bd/budget_mof/a404ee4b</w:t>
        </w:r>
        <w:r w:rsidR="00294D13" w:rsidRPr="00CB7E78">
          <w:rPr>
            <w:rStyle w:val="Hyperlink"/>
            <w:szCs w:val="17"/>
          </w:rPr>
          <w:br/>
          <w:t>_b74d_4f7e_8aa0_ebad2db0491f/Gender%20Other%20Ministry%20%28Extended%29-Eng.pdf</w:t>
        </w:r>
      </w:hyperlink>
      <w:r w:rsidRPr="008C2C65">
        <w:rPr>
          <w:szCs w:val="17"/>
        </w:rPr>
        <w:t>.</w:t>
      </w:r>
      <w:hyperlink r:id="rId64" w:history="1"/>
    </w:p>
  </w:footnote>
  <w:footnote w:id="58">
    <w:p w14:paraId="7679858C"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General de Economía, Gobierno de la República Popular de Bangladesh, “Mid-term Implementation Review of the Eight Five Year Plan”, 2023, </w:t>
      </w:r>
      <w:hyperlink r:id="rId65" w:history="1">
        <w:r w:rsidRPr="008C2C65">
          <w:rPr>
            <w:rStyle w:val="Hyperlink"/>
            <w:szCs w:val="17"/>
          </w:rPr>
          <w:t>https://gedkp.gov.bd/wp-content/uploads/2024/02/Mid-term-Implementation-Review-of-the-8th Five-Year-Plan-Book.pdf</w:t>
        </w:r>
      </w:hyperlink>
      <w:r w:rsidRPr="008C2C65">
        <w:rPr>
          <w:szCs w:val="17"/>
        </w:rPr>
        <w:t>.</w:t>
      </w:r>
      <w:hyperlink r:id="rId66" w:history="1"/>
    </w:p>
  </w:footnote>
  <w:footnote w:id="59">
    <w:p w14:paraId="2F053A88"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Gobierno de la República Popular de Bangladesh, “Implementation of National Social Security Strategy of Bangladesh – Dashboard”, s. f., </w:t>
      </w:r>
      <w:hyperlink r:id="rId67" w:history="1">
        <w:r w:rsidRPr="008C2C65">
          <w:rPr>
            <w:rStyle w:val="Hyperlink"/>
            <w:szCs w:val="17"/>
          </w:rPr>
          <w:t>https://mne.socialprotection.gov.bd/</w:t>
        </w:r>
      </w:hyperlink>
      <w:r w:rsidRPr="008C2C65">
        <w:rPr>
          <w:szCs w:val="17"/>
        </w:rPr>
        <w:t>.</w:t>
      </w:r>
    </w:p>
  </w:footnote>
  <w:footnote w:id="60">
    <w:p w14:paraId="76A331D2"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w:t>
      </w:r>
    </w:p>
  </w:footnote>
  <w:footnote w:id="61">
    <w:p w14:paraId="6DBB2AE4" w14:textId="0C863D79"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Programa de las Naciones Unidas para el Desarrollo, “Project Closing Report: Strengthening Women</w:t>
      </w:r>
      <w:r w:rsidR="008C2C65">
        <w:rPr>
          <w:szCs w:val="17"/>
        </w:rPr>
        <w:t>’</w:t>
      </w:r>
      <w:r w:rsidRPr="008C2C65">
        <w:rPr>
          <w:szCs w:val="17"/>
        </w:rPr>
        <w:t>s Ability for Productive New Opportunities (SWAPNO)”, publicado en julio de 2022.</w:t>
      </w:r>
    </w:p>
  </w:footnote>
  <w:footnote w:id="62">
    <w:p w14:paraId="4069525B" w14:textId="37B7144B"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Ministerio de Finanzas, Gobierno de la República Popular de Bangladesh, “Social Security Programs: Fiscal Year 2023-2024”, s.</w:t>
      </w:r>
      <w:r w:rsidR="00AE4701" w:rsidRPr="008C2C65">
        <w:rPr>
          <w:szCs w:val="17"/>
        </w:rPr>
        <w:t xml:space="preserve"> </w:t>
      </w:r>
      <w:r w:rsidRPr="008C2C65">
        <w:rPr>
          <w:szCs w:val="17"/>
        </w:rPr>
        <w:t xml:space="preserve">f., </w:t>
      </w:r>
      <w:hyperlink r:id="rId68" w:history="1">
        <w:r w:rsidR="000B4134" w:rsidRPr="00CB7E78">
          <w:rPr>
            <w:rStyle w:val="Hyperlink"/>
            <w:szCs w:val="17"/>
          </w:rPr>
          <w:t>https://mof.portal.gov.bd/sites/default/files/files/</w:t>
        </w:r>
        <w:r w:rsidR="000B4134" w:rsidRPr="00CB7E78">
          <w:rPr>
            <w:rStyle w:val="Hyperlink"/>
            <w:szCs w:val="17"/>
          </w:rPr>
          <w:br/>
          <w:t>mof.portal.gov.bd/page/a8e415d0_c5f2_4d5a_8c7c_bcd8beb88140/Social%20Security%20Programs_English_2023-24.pdf</w:t>
        </w:r>
      </w:hyperlink>
      <w:r w:rsidRPr="008C2C65">
        <w:rPr>
          <w:szCs w:val="17"/>
        </w:rPr>
        <w:t xml:space="preserve">. </w:t>
      </w:r>
    </w:p>
  </w:footnote>
  <w:footnote w:id="63">
    <w:p w14:paraId="23894BB2" w14:textId="7B8B634D"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69" w:history="1">
        <w:r w:rsidR="00BF14E0">
          <w:rPr>
            <w:rStyle w:val="Hyperlink"/>
            <w:szCs w:val="17"/>
          </w:rPr>
          <w:t>www.thedailystar.net/law-our-rights/news/analysis-the-family-courts-act-2023-3500311</w:t>
        </w:r>
      </w:hyperlink>
      <w:r w:rsidRPr="008C2C65">
        <w:rPr>
          <w:szCs w:val="17"/>
        </w:rPr>
        <w:t>.</w:t>
      </w:r>
      <w:hyperlink r:id="rId70" w:history="1"/>
    </w:p>
  </w:footnote>
  <w:footnote w:id="64">
    <w:p w14:paraId="6529AEF3"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71" w:history="1">
        <w:r w:rsidRPr="008C2C65">
          <w:rPr>
            <w:rStyle w:val="Hyperlink"/>
            <w:szCs w:val="17"/>
          </w:rPr>
          <w:t>https://bdplatform4sdgs.net/bangladesh-prepares-for-vnr-2025-emphasising-inclusivity-and-multi-stakeholder-collaboration/</w:t>
        </w:r>
      </w:hyperlink>
      <w:r w:rsidRPr="008C2C65">
        <w:rPr>
          <w:szCs w:val="17"/>
        </w:rPr>
        <w:t xml:space="preserve">. </w:t>
      </w:r>
      <w:hyperlink r:id="rId72" w:history="1"/>
    </w:p>
  </w:footnote>
  <w:footnote w:id="65">
    <w:p w14:paraId="0B297E77"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de Finanzas, Ministerio de Finanzas, Gobierno de la República Popular de Bangladesh, “Gender Budget Report: 2023-2024”. </w:t>
      </w:r>
    </w:p>
  </w:footnote>
  <w:footnote w:id="66">
    <w:p w14:paraId="51E55B12"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de Finanzas, Ministerio de Finanzas, Gobierno de la República Popular de Bangladesh, “Gender Budget Report: 2023-2024”. </w:t>
      </w:r>
    </w:p>
  </w:footnote>
  <w:footnote w:id="67">
    <w:p w14:paraId="66E39216"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Información obtenida del Ministerio de Trabajo y Empleo. </w:t>
      </w:r>
    </w:p>
  </w:footnote>
  <w:footnote w:id="68">
    <w:p w14:paraId="436839F2"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Información obtenida del Ministerio de Salud y Bienestar de la Familia. </w:t>
      </w:r>
    </w:p>
  </w:footnote>
  <w:footnote w:id="69">
    <w:p w14:paraId="1083DE98"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División de las Fuerzas Armadas, Oficina del Primer Ministro, “Female Participation of Bangladesh in UN Peace Operation”, </w:t>
      </w:r>
      <w:hyperlink r:id="rId73" w:history="1">
        <w:r w:rsidRPr="008C2C65">
          <w:rPr>
            <w:rStyle w:val="Hyperlink"/>
            <w:szCs w:val="17"/>
          </w:rPr>
          <w:t>https://afd.gov.bd/un-peacekeeping/female-participation</w:t>
        </w:r>
      </w:hyperlink>
      <w:r w:rsidRPr="008C2C65">
        <w:rPr>
          <w:szCs w:val="17"/>
        </w:rPr>
        <w:t xml:space="preserve">. </w:t>
      </w:r>
      <w:hyperlink r:id="rId74" w:history="1"/>
    </w:p>
  </w:footnote>
  <w:footnote w:id="70">
    <w:p w14:paraId="2DFF335A"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r w:rsidRPr="008C2C65">
        <w:rPr>
          <w:i/>
          <w:iCs/>
          <w:szCs w:val="17"/>
        </w:rPr>
        <w:t>Ibid</w:t>
      </w:r>
      <w:r w:rsidRPr="008C2C65">
        <w:rPr>
          <w:szCs w:val="17"/>
        </w:rPr>
        <w:t>.</w:t>
      </w:r>
    </w:p>
  </w:footnote>
  <w:footnote w:id="71">
    <w:p w14:paraId="3261DE23" w14:textId="175288CC"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75" w:history="1">
        <w:r w:rsidR="00F7241D">
          <w:rPr>
            <w:rStyle w:val="Hyperlink"/>
            <w:szCs w:val="17"/>
          </w:rPr>
          <w:t>www.thedailystar.net/news/bangladesh/news/2-bangladeshi-women-among-top-100-asian-scientists-3343321</w:t>
        </w:r>
      </w:hyperlink>
      <w:r w:rsidRPr="008C2C65">
        <w:rPr>
          <w:szCs w:val="17"/>
        </w:rPr>
        <w:t xml:space="preserve">. </w:t>
      </w:r>
      <w:hyperlink r:id="rId76" w:history="1"/>
    </w:p>
  </w:footnote>
  <w:footnote w:id="72">
    <w:p w14:paraId="6F93A167"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r>
      <w:hyperlink r:id="rId77" w:history="1">
        <w:r w:rsidRPr="008C2C65">
          <w:rPr>
            <w:rStyle w:val="Hyperlink"/>
            <w:szCs w:val="17"/>
          </w:rPr>
          <w:t>www.tmed.gov.bd</w:t>
        </w:r>
      </w:hyperlink>
      <w:r w:rsidRPr="008C2C65">
        <w:rPr>
          <w:szCs w:val="17"/>
        </w:rPr>
        <w:t>.</w:t>
      </w:r>
    </w:p>
  </w:footnote>
  <w:footnote w:id="73">
    <w:p w14:paraId="0DA3F192" w14:textId="77777777"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 xml:space="preserve">Oficina para la Fuerza de Trabajo, el Empleo y la Formación, Ministerio de Bienestar de los Expatriados y Empleo en el Extranjero, Gobierno de la República Popular de Bangladesh, Informes estadísticos, </w:t>
      </w:r>
      <w:hyperlink r:id="rId78" w:history="1">
        <w:r w:rsidRPr="008C2C65">
          <w:rPr>
            <w:rStyle w:val="Hyperlink"/>
            <w:szCs w:val="17"/>
          </w:rPr>
          <w:t>https://old.bmet.gov.bd/BMET/stattisticalDataAction</w:t>
        </w:r>
      </w:hyperlink>
      <w:r w:rsidRPr="008C2C65">
        <w:rPr>
          <w:szCs w:val="17"/>
        </w:rPr>
        <w:t>.</w:t>
      </w:r>
      <w:hyperlink r:id="rId79" w:history="1"/>
    </w:p>
  </w:footnote>
  <w:footnote w:id="74">
    <w:p w14:paraId="657718F9" w14:textId="3EEA10B0" w:rsidR="00E14755" w:rsidRPr="008C2C65" w:rsidRDefault="00E14755" w:rsidP="0079507E">
      <w:pPr>
        <w:pStyle w:val="FootnoteText"/>
        <w:tabs>
          <w:tab w:val="clear" w:pos="418"/>
          <w:tab w:val="right" w:pos="1195"/>
          <w:tab w:val="left" w:pos="1267"/>
          <w:tab w:val="left" w:pos="1742"/>
          <w:tab w:val="left" w:pos="2218"/>
          <w:tab w:val="left" w:pos="2693"/>
        </w:tabs>
        <w:ind w:left="1267" w:right="1267" w:hanging="432"/>
        <w:rPr>
          <w:szCs w:val="17"/>
        </w:rPr>
      </w:pPr>
      <w:r w:rsidRPr="008C2C65">
        <w:rPr>
          <w:szCs w:val="17"/>
        </w:rPr>
        <w:tab/>
      </w:r>
      <w:r w:rsidRPr="008C2C65">
        <w:rPr>
          <w:rStyle w:val="FootnoteReference"/>
          <w:w w:val="104"/>
          <w:szCs w:val="17"/>
          <w:lang w:val="es-ES"/>
        </w:rPr>
        <w:footnoteRef/>
      </w:r>
      <w:r w:rsidRPr="008C2C65">
        <w:rPr>
          <w:szCs w:val="17"/>
        </w:rPr>
        <w:tab/>
        <w:t>Información obtenida del Ministerio de Trabajo y Empleo.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61FC" w14:paraId="0F068BA9" w14:textId="77777777" w:rsidTr="005461FC">
      <w:trPr>
        <w:trHeight w:hRule="exact" w:val="864"/>
      </w:trPr>
      <w:tc>
        <w:tcPr>
          <w:tcW w:w="4920" w:type="dxa"/>
          <w:vAlign w:val="bottom"/>
        </w:tcPr>
        <w:p w14:paraId="567B40F8" w14:textId="265536DF" w:rsidR="005461FC" w:rsidRPr="005461FC" w:rsidRDefault="005461FC" w:rsidP="005461FC">
          <w:pPr>
            <w:pStyle w:val="Header"/>
            <w:spacing w:after="80"/>
            <w:rPr>
              <w:b/>
            </w:rPr>
          </w:pPr>
          <w:r>
            <w:rPr>
              <w:b/>
            </w:rPr>
            <w:fldChar w:fldCharType="begin"/>
          </w:r>
          <w:r>
            <w:rPr>
              <w:b/>
            </w:rPr>
            <w:instrText xml:space="preserve"> DOCVARIABLE "Symbol1" \* MERGEFORMAT </w:instrText>
          </w:r>
          <w:r>
            <w:rPr>
              <w:b/>
            </w:rPr>
            <w:fldChar w:fldCharType="separate"/>
          </w:r>
          <w:r w:rsidR="00D53035">
            <w:rPr>
              <w:b/>
            </w:rPr>
            <w:t>CEDAW/C/BGD/9-10</w:t>
          </w:r>
          <w:r>
            <w:rPr>
              <w:b/>
            </w:rPr>
            <w:fldChar w:fldCharType="end"/>
          </w:r>
        </w:p>
      </w:tc>
      <w:tc>
        <w:tcPr>
          <w:tcW w:w="4920" w:type="dxa"/>
          <w:vAlign w:val="bottom"/>
        </w:tcPr>
        <w:p w14:paraId="51784BF3" w14:textId="77777777" w:rsidR="005461FC" w:rsidRDefault="005461FC" w:rsidP="005461FC">
          <w:pPr>
            <w:pStyle w:val="Header"/>
          </w:pPr>
        </w:p>
      </w:tc>
    </w:tr>
  </w:tbl>
  <w:p w14:paraId="196EA49C" w14:textId="77777777" w:rsidR="005461FC" w:rsidRPr="005461FC" w:rsidRDefault="005461FC" w:rsidP="005461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461FC" w14:paraId="19232DB6" w14:textId="77777777" w:rsidTr="005461FC">
      <w:trPr>
        <w:trHeight w:hRule="exact" w:val="864"/>
      </w:trPr>
      <w:tc>
        <w:tcPr>
          <w:tcW w:w="4920" w:type="dxa"/>
          <w:vAlign w:val="bottom"/>
        </w:tcPr>
        <w:p w14:paraId="4A8F2CBA" w14:textId="77777777" w:rsidR="005461FC" w:rsidRDefault="005461FC" w:rsidP="005461FC">
          <w:pPr>
            <w:pStyle w:val="Header"/>
          </w:pPr>
        </w:p>
      </w:tc>
      <w:tc>
        <w:tcPr>
          <w:tcW w:w="4920" w:type="dxa"/>
          <w:vAlign w:val="bottom"/>
        </w:tcPr>
        <w:p w14:paraId="71B3C897" w14:textId="1FB2323B" w:rsidR="005461FC" w:rsidRPr="005461FC" w:rsidRDefault="005461FC" w:rsidP="005461FC">
          <w:pPr>
            <w:pStyle w:val="Header"/>
            <w:spacing w:after="80"/>
            <w:jc w:val="right"/>
            <w:rPr>
              <w:b/>
            </w:rPr>
          </w:pPr>
          <w:r>
            <w:rPr>
              <w:b/>
            </w:rPr>
            <w:fldChar w:fldCharType="begin"/>
          </w:r>
          <w:r>
            <w:rPr>
              <w:b/>
            </w:rPr>
            <w:instrText xml:space="preserve"> DOCVARIABLE "Symbol1" \* MERGEFORMAT </w:instrText>
          </w:r>
          <w:r>
            <w:rPr>
              <w:b/>
            </w:rPr>
            <w:fldChar w:fldCharType="separate"/>
          </w:r>
          <w:r w:rsidR="00D53035">
            <w:rPr>
              <w:b/>
            </w:rPr>
            <w:t>CEDAW/C/BGD/9-10</w:t>
          </w:r>
          <w:r>
            <w:rPr>
              <w:b/>
            </w:rPr>
            <w:fldChar w:fldCharType="end"/>
          </w:r>
        </w:p>
      </w:tc>
    </w:tr>
  </w:tbl>
  <w:p w14:paraId="7BCFB47A" w14:textId="77777777" w:rsidR="005461FC" w:rsidRPr="005461FC" w:rsidRDefault="005461FC" w:rsidP="005461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461FC" w14:paraId="564025DF" w14:textId="77777777" w:rsidTr="005461FC">
      <w:trPr>
        <w:gridAfter w:val="1"/>
        <w:wAfter w:w="15" w:type="dxa"/>
        <w:trHeight w:hRule="exact" w:val="864"/>
      </w:trPr>
      <w:tc>
        <w:tcPr>
          <w:tcW w:w="1267" w:type="dxa"/>
          <w:tcBorders>
            <w:bottom w:val="single" w:sz="4" w:space="0" w:color="auto"/>
          </w:tcBorders>
          <w:vAlign w:val="bottom"/>
        </w:tcPr>
        <w:p w14:paraId="07C479E3" w14:textId="77777777" w:rsidR="005461FC" w:rsidRDefault="005461FC" w:rsidP="005461FC">
          <w:pPr>
            <w:pStyle w:val="Header"/>
            <w:spacing w:after="120"/>
          </w:pPr>
        </w:p>
      </w:tc>
      <w:tc>
        <w:tcPr>
          <w:tcW w:w="2059" w:type="dxa"/>
          <w:tcBorders>
            <w:bottom w:val="single" w:sz="4" w:space="0" w:color="auto"/>
          </w:tcBorders>
          <w:vAlign w:val="bottom"/>
        </w:tcPr>
        <w:p w14:paraId="17849BC9" w14:textId="2C5F45B0" w:rsidR="005461FC" w:rsidRPr="005461FC" w:rsidRDefault="005461FC" w:rsidP="005461FC">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55928D6" w14:textId="77777777" w:rsidR="005461FC" w:rsidRDefault="005461FC" w:rsidP="005461FC">
          <w:pPr>
            <w:pStyle w:val="Header"/>
            <w:spacing w:after="120"/>
          </w:pPr>
        </w:p>
      </w:tc>
      <w:tc>
        <w:tcPr>
          <w:tcW w:w="6480" w:type="dxa"/>
          <w:gridSpan w:val="3"/>
          <w:tcBorders>
            <w:bottom w:val="single" w:sz="4" w:space="0" w:color="auto"/>
          </w:tcBorders>
          <w:vAlign w:val="bottom"/>
        </w:tcPr>
        <w:p w14:paraId="58808A22" w14:textId="6F73EA6F" w:rsidR="005461FC" w:rsidRPr="005461FC" w:rsidRDefault="005461FC" w:rsidP="005461FC">
          <w:pPr>
            <w:spacing w:after="80" w:line="240" w:lineRule="auto"/>
            <w:jc w:val="right"/>
            <w:rPr>
              <w:position w:val="-4"/>
            </w:rPr>
          </w:pPr>
          <w:r>
            <w:rPr>
              <w:position w:val="-4"/>
              <w:sz w:val="40"/>
            </w:rPr>
            <w:t>CEDAW</w:t>
          </w:r>
          <w:r>
            <w:rPr>
              <w:position w:val="-4"/>
            </w:rPr>
            <w:t>/C/BGD/9-10</w:t>
          </w:r>
        </w:p>
      </w:tc>
    </w:tr>
    <w:tr w:rsidR="005461FC" w:rsidRPr="005461FC" w14:paraId="1C5CBA2E" w14:textId="77777777" w:rsidTr="005461FC">
      <w:trPr>
        <w:trHeight w:hRule="exact" w:val="2880"/>
      </w:trPr>
      <w:tc>
        <w:tcPr>
          <w:tcW w:w="1267" w:type="dxa"/>
          <w:tcBorders>
            <w:top w:val="single" w:sz="4" w:space="0" w:color="auto"/>
            <w:bottom w:val="single" w:sz="12" w:space="0" w:color="auto"/>
          </w:tcBorders>
        </w:tcPr>
        <w:p w14:paraId="75F9CEF3" w14:textId="7BAE0DF9" w:rsidR="005461FC" w:rsidRPr="005461FC" w:rsidRDefault="005461FC" w:rsidP="005461FC">
          <w:pPr>
            <w:pStyle w:val="Header"/>
            <w:spacing w:before="120"/>
            <w:jc w:val="center"/>
          </w:pPr>
          <w:r>
            <w:t xml:space="preserve"> </w:t>
          </w:r>
          <w:r>
            <w:drawing>
              <wp:inline distT="0" distB="0" distL="0" distR="0" wp14:anchorId="5F5B0983" wp14:editId="05016AAF">
                <wp:extent cx="713232" cy="597103"/>
                <wp:effectExtent l="0" t="0" r="0" b="0"/>
                <wp:docPr id="891494019" name="Picture 1"/>
                <wp:cNvGraphicFramePr/>
                <a:graphic xmlns:a="http://schemas.openxmlformats.org/drawingml/2006/main">
                  <a:graphicData uri="http://schemas.openxmlformats.org/drawingml/2006/picture">
                    <pic:pic xmlns:pic="http://schemas.openxmlformats.org/drawingml/2006/picture">
                      <pic:nvPicPr>
                        <pic:cNvPr id="89149401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B85328C" w14:textId="22666C48" w:rsidR="005461FC" w:rsidRPr="005461FC" w:rsidRDefault="005461FC" w:rsidP="005461F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FF0D87D" w14:textId="77777777" w:rsidR="005461FC" w:rsidRPr="00A2609B" w:rsidRDefault="005461FC" w:rsidP="005461FC">
          <w:pPr>
            <w:pStyle w:val="Header"/>
            <w:spacing w:before="109"/>
            <w:rPr>
              <w:lang w:val="es-ES"/>
            </w:rPr>
          </w:pPr>
        </w:p>
      </w:tc>
      <w:tc>
        <w:tcPr>
          <w:tcW w:w="3140" w:type="dxa"/>
          <w:gridSpan w:val="2"/>
          <w:tcBorders>
            <w:top w:val="single" w:sz="4" w:space="0" w:color="auto"/>
            <w:bottom w:val="single" w:sz="12" w:space="0" w:color="auto"/>
          </w:tcBorders>
        </w:tcPr>
        <w:p w14:paraId="178412A9" w14:textId="77777777" w:rsidR="005461FC" w:rsidRDefault="005461FC" w:rsidP="005461FC">
          <w:pPr>
            <w:pStyle w:val="Distribution"/>
            <w:spacing w:before="240"/>
          </w:pPr>
          <w:r>
            <w:t>Distr. general</w:t>
          </w:r>
        </w:p>
        <w:p w14:paraId="0AD84E52" w14:textId="77777777" w:rsidR="005461FC" w:rsidRDefault="005461FC" w:rsidP="005461FC">
          <w:pPr>
            <w:pStyle w:val="Publication"/>
          </w:pPr>
          <w:r>
            <w:t>2 de octubre de 2025</w:t>
          </w:r>
        </w:p>
        <w:p w14:paraId="445C50F1" w14:textId="77777777" w:rsidR="005461FC" w:rsidRDefault="005461FC" w:rsidP="005461FC">
          <w:r>
            <w:t>Español</w:t>
          </w:r>
        </w:p>
        <w:p w14:paraId="02CDBE20" w14:textId="77777777" w:rsidR="005461FC" w:rsidRDefault="005461FC" w:rsidP="005461FC">
          <w:pPr>
            <w:pStyle w:val="Original"/>
          </w:pPr>
          <w:r>
            <w:t>Original: inglés</w:t>
          </w:r>
        </w:p>
        <w:p w14:paraId="25ADECA8" w14:textId="61B803D0" w:rsidR="00A2609B" w:rsidRPr="005461FC" w:rsidRDefault="00A2609B" w:rsidP="00A2609B">
          <w:r w:rsidRPr="00A2609B">
            <w:t>Español, francés e inglés únicamente</w:t>
          </w:r>
        </w:p>
      </w:tc>
    </w:tr>
  </w:tbl>
  <w:p w14:paraId="0AA90E0A" w14:textId="77777777" w:rsidR="005461FC" w:rsidRPr="00A2609B" w:rsidRDefault="005461FC" w:rsidP="005461FC">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363619C"/>
    <w:multiLevelType w:val="singleLevel"/>
    <w:tmpl w:val="B754983A"/>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8D75CC3"/>
    <w:multiLevelType w:val="hybridMultilevel"/>
    <w:tmpl w:val="EDB26DE2"/>
    <w:lvl w:ilvl="0" w:tplc="1C4852C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640112097">
    <w:abstractNumId w:val="6"/>
  </w:num>
  <w:num w:numId="27" w16cid:durableId="1506896612">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5790*"/>
    <w:docVar w:name="CreationDt" w:val="06/11/2025 1:50: PM"/>
    <w:docVar w:name="DocCategory" w:val="Doc"/>
    <w:docVar w:name="DocType" w:val="Final"/>
    <w:docVar w:name="DutyStation" w:val="New York"/>
    <w:docVar w:name="FooterJN" w:val="25-15790"/>
    <w:docVar w:name="jobn" w:val="25-15790 (S)"/>
    <w:docVar w:name="jobnDT" w:val="25-15790 (S)   061125"/>
    <w:docVar w:name="jobnDTDT" w:val="25-15790 (S)   061125   061125"/>
    <w:docVar w:name="JobNo" w:val="2515790S"/>
    <w:docVar w:name="JobNo2" w:val="25255911:50: PM"/>
    <w:docVar w:name="LocalDrive" w:val="-1"/>
    <w:docVar w:name="OandT" w:val="MAGV/López Gromaz"/>
    <w:docVar w:name="sss1" w:val="CEDAW/C/BGD/9-10"/>
    <w:docVar w:name="sss2" w:val="-"/>
    <w:docVar w:name="Symbol1" w:val="CEDAW/C/BGD/9-10"/>
    <w:docVar w:name="Symbol2" w:val="-"/>
    <w:docVar w:name="Title1" w:val="_x0009__x0009_Informes periódicos noveno y décimo combinados que Bangladesh debía presentar en 2020 en virtud del artículo 18 de la Convención*,**_x000d_"/>
  </w:docVars>
  <w:rsids>
    <w:rsidRoot w:val="006B0D06"/>
    <w:rsid w:val="00001169"/>
    <w:rsid w:val="00001967"/>
    <w:rsid w:val="00004F43"/>
    <w:rsid w:val="00025196"/>
    <w:rsid w:val="00035C03"/>
    <w:rsid w:val="00042BCA"/>
    <w:rsid w:val="0006547C"/>
    <w:rsid w:val="00075407"/>
    <w:rsid w:val="00076E96"/>
    <w:rsid w:val="0007733B"/>
    <w:rsid w:val="0009115E"/>
    <w:rsid w:val="000B4134"/>
    <w:rsid w:val="000E2D81"/>
    <w:rsid w:val="00105618"/>
    <w:rsid w:val="00113CAD"/>
    <w:rsid w:val="00116C5B"/>
    <w:rsid w:val="001325B0"/>
    <w:rsid w:val="00151F81"/>
    <w:rsid w:val="0015493A"/>
    <w:rsid w:val="00170562"/>
    <w:rsid w:val="00171CDD"/>
    <w:rsid w:val="001978D5"/>
    <w:rsid w:val="001B0C5D"/>
    <w:rsid w:val="001E6191"/>
    <w:rsid w:val="00220B51"/>
    <w:rsid w:val="00227AB7"/>
    <w:rsid w:val="00247400"/>
    <w:rsid w:val="00257E93"/>
    <w:rsid w:val="0027492E"/>
    <w:rsid w:val="00283929"/>
    <w:rsid w:val="002902DB"/>
    <w:rsid w:val="00291A02"/>
    <w:rsid w:val="00294D13"/>
    <w:rsid w:val="00297DCC"/>
    <w:rsid w:val="002A2EA6"/>
    <w:rsid w:val="002B0807"/>
    <w:rsid w:val="002C4253"/>
    <w:rsid w:val="002C5928"/>
    <w:rsid w:val="002E76A4"/>
    <w:rsid w:val="002F25A1"/>
    <w:rsid w:val="00311E13"/>
    <w:rsid w:val="00313B17"/>
    <w:rsid w:val="00331D20"/>
    <w:rsid w:val="00365FD7"/>
    <w:rsid w:val="00367B67"/>
    <w:rsid w:val="00391A8F"/>
    <w:rsid w:val="003A0004"/>
    <w:rsid w:val="003A451C"/>
    <w:rsid w:val="003E3AB4"/>
    <w:rsid w:val="003E5E54"/>
    <w:rsid w:val="003F75F8"/>
    <w:rsid w:val="00437288"/>
    <w:rsid w:val="00455904"/>
    <w:rsid w:val="00460A4C"/>
    <w:rsid w:val="00466AE9"/>
    <w:rsid w:val="00467A54"/>
    <w:rsid w:val="00476320"/>
    <w:rsid w:val="0047638E"/>
    <w:rsid w:val="0048342A"/>
    <w:rsid w:val="00495E7B"/>
    <w:rsid w:val="0049669D"/>
    <w:rsid w:val="00497F7A"/>
    <w:rsid w:val="004A4455"/>
    <w:rsid w:val="004B14A1"/>
    <w:rsid w:val="004C2346"/>
    <w:rsid w:val="004C234C"/>
    <w:rsid w:val="004F5722"/>
    <w:rsid w:val="00532D48"/>
    <w:rsid w:val="0054211F"/>
    <w:rsid w:val="005461FC"/>
    <w:rsid w:val="00547741"/>
    <w:rsid w:val="00547CCB"/>
    <w:rsid w:val="00552A96"/>
    <w:rsid w:val="005610B1"/>
    <w:rsid w:val="0057443C"/>
    <w:rsid w:val="00577D34"/>
    <w:rsid w:val="0059034C"/>
    <w:rsid w:val="005C0307"/>
    <w:rsid w:val="005C13D6"/>
    <w:rsid w:val="005D4F00"/>
    <w:rsid w:val="005E345D"/>
    <w:rsid w:val="005F7C77"/>
    <w:rsid w:val="00600DEF"/>
    <w:rsid w:val="00612017"/>
    <w:rsid w:val="00614B66"/>
    <w:rsid w:val="00627679"/>
    <w:rsid w:val="00640939"/>
    <w:rsid w:val="00645478"/>
    <w:rsid w:val="00646A12"/>
    <w:rsid w:val="006643DE"/>
    <w:rsid w:val="0069077F"/>
    <w:rsid w:val="00691679"/>
    <w:rsid w:val="006B0D06"/>
    <w:rsid w:val="006B21EE"/>
    <w:rsid w:val="006B5235"/>
    <w:rsid w:val="006C156C"/>
    <w:rsid w:val="006C7738"/>
    <w:rsid w:val="006D2663"/>
    <w:rsid w:val="006D790E"/>
    <w:rsid w:val="006E1F2B"/>
    <w:rsid w:val="006F654D"/>
    <w:rsid w:val="007076CE"/>
    <w:rsid w:val="00727155"/>
    <w:rsid w:val="00753AAD"/>
    <w:rsid w:val="007633C9"/>
    <w:rsid w:val="00777D58"/>
    <w:rsid w:val="0079308E"/>
    <w:rsid w:val="0079507E"/>
    <w:rsid w:val="007A3CA8"/>
    <w:rsid w:val="007A7C43"/>
    <w:rsid w:val="007B4CD6"/>
    <w:rsid w:val="00802525"/>
    <w:rsid w:val="0080482D"/>
    <w:rsid w:val="008138CB"/>
    <w:rsid w:val="008141D2"/>
    <w:rsid w:val="0082117D"/>
    <w:rsid w:val="0084203F"/>
    <w:rsid w:val="008564A1"/>
    <w:rsid w:val="00861592"/>
    <w:rsid w:val="00863195"/>
    <w:rsid w:val="00871053"/>
    <w:rsid w:val="00877270"/>
    <w:rsid w:val="0088056D"/>
    <w:rsid w:val="008A2590"/>
    <w:rsid w:val="008C2C65"/>
    <w:rsid w:val="008C716B"/>
    <w:rsid w:val="008D347F"/>
    <w:rsid w:val="008F11CA"/>
    <w:rsid w:val="008F1564"/>
    <w:rsid w:val="00910E9D"/>
    <w:rsid w:val="00914E04"/>
    <w:rsid w:val="00954472"/>
    <w:rsid w:val="009720CA"/>
    <w:rsid w:val="009B00E9"/>
    <w:rsid w:val="009B091E"/>
    <w:rsid w:val="009B0A9D"/>
    <w:rsid w:val="009B6942"/>
    <w:rsid w:val="009C5B67"/>
    <w:rsid w:val="009D56BA"/>
    <w:rsid w:val="00A2609B"/>
    <w:rsid w:val="00A52F3C"/>
    <w:rsid w:val="00A5731D"/>
    <w:rsid w:val="00A72797"/>
    <w:rsid w:val="00A77896"/>
    <w:rsid w:val="00A83354"/>
    <w:rsid w:val="00A867C3"/>
    <w:rsid w:val="00A872CA"/>
    <w:rsid w:val="00A90EBA"/>
    <w:rsid w:val="00A91334"/>
    <w:rsid w:val="00A9475F"/>
    <w:rsid w:val="00AA29EE"/>
    <w:rsid w:val="00AA5637"/>
    <w:rsid w:val="00AB1267"/>
    <w:rsid w:val="00AC10F4"/>
    <w:rsid w:val="00AD5F7C"/>
    <w:rsid w:val="00AE3360"/>
    <w:rsid w:val="00AE3C56"/>
    <w:rsid w:val="00AE4701"/>
    <w:rsid w:val="00AE51E8"/>
    <w:rsid w:val="00B125A0"/>
    <w:rsid w:val="00B151FD"/>
    <w:rsid w:val="00B272FA"/>
    <w:rsid w:val="00B27698"/>
    <w:rsid w:val="00B3631A"/>
    <w:rsid w:val="00B36DDD"/>
    <w:rsid w:val="00B43769"/>
    <w:rsid w:val="00B60B7E"/>
    <w:rsid w:val="00B6364A"/>
    <w:rsid w:val="00B7299C"/>
    <w:rsid w:val="00B85EEB"/>
    <w:rsid w:val="00B901FD"/>
    <w:rsid w:val="00B90F39"/>
    <w:rsid w:val="00BA56AE"/>
    <w:rsid w:val="00BC2C8A"/>
    <w:rsid w:val="00BC3093"/>
    <w:rsid w:val="00BD0D97"/>
    <w:rsid w:val="00BE455B"/>
    <w:rsid w:val="00BF14E0"/>
    <w:rsid w:val="00C06217"/>
    <w:rsid w:val="00C16A02"/>
    <w:rsid w:val="00C16D72"/>
    <w:rsid w:val="00C174A0"/>
    <w:rsid w:val="00C20F3A"/>
    <w:rsid w:val="00C358FE"/>
    <w:rsid w:val="00C60123"/>
    <w:rsid w:val="00C6119A"/>
    <w:rsid w:val="00C74AFD"/>
    <w:rsid w:val="00C75D09"/>
    <w:rsid w:val="00C9767C"/>
    <w:rsid w:val="00CA70D9"/>
    <w:rsid w:val="00CB5A7E"/>
    <w:rsid w:val="00CC2D86"/>
    <w:rsid w:val="00CE0304"/>
    <w:rsid w:val="00CE35F9"/>
    <w:rsid w:val="00CF0929"/>
    <w:rsid w:val="00CF2183"/>
    <w:rsid w:val="00D0425E"/>
    <w:rsid w:val="00D056EA"/>
    <w:rsid w:val="00D11C74"/>
    <w:rsid w:val="00D13B59"/>
    <w:rsid w:val="00D14B5F"/>
    <w:rsid w:val="00D23FFB"/>
    <w:rsid w:val="00D25EAB"/>
    <w:rsid w:val="00D265A6"/>
    <w:rsid w:val="00D36A0E"/>
    <w:rsid w:val="00D3713C"/>
    <w:rsid w:val="00D37FAF"/>
    <w:rsid w:val="00D409D0"/>
    <w:rsid w:val="00D4309B"/>
    <w:rsid w:val="00D53035"/>
    <w:rsid w:val="00D60D54"/>
    <w:rsid w:val="00D753D1"/>
    <w:rsid w:val="00D844C7"/>
    <w:rsid w:val="00D8619E"/>
    <w:rsid w:val="00DB0712"/>
    <w:rsid w:val="00DB6477"/>
    <w:rsid w:val="00DB652C"/>
    <w:rsid w:val="00DD1B61"/>
    <w:rsid w:val="00DD6F0A"/>
    <w:rsid w:val="00DE254A"/>
    <w:rsid w:val="00DE42B3"/>
    <w:rsid w:val="00E10139"/>
    <w:rsid w:val="00E13B58"/>
    <w:rsid w:val="00E14755"/>
    <w:rsid w:val="00E33C88"/>
    <w:rsid w:val="00E41E89"/>
    <w:rsid w:val="00E478B3"/>
    <w:rsid w:val="00E53B39"/>
    <w:rsid w:val="00E548DF"/>
    <w:rsid w:val="00E61BAE"/>
    <w:rsid w:val="00E66447"/>
    <w:rsid w:val="00E8036E"/>
    <w:rsid w:val="00E82D01"/>
    <w:rsid w:val="00EA1709"/>
    <w:rsid w:val="00EB7C85"/>
    <w:rsid w:val="00EC18A7"/>
    <w:rsid w:val="00ED40B4"/>
    <w:rsid w:val="00EE314B"/>
    <w:rsid w:val="00F05AC4"/>
    <w:rsid w:val="00F26E58"/>
    <w:rsid w:val="00F3024D"/>
    <w:rsid w:val="00F351F3"/>
    <w:rsid w:val="00F52894"/>
    <w:rsid w:val="00F5653D"/>
    <w:rsid w:val="00F61A26"/>
    <w:rsid w:val="00F63B32"/>
    <w:rsid w:val="00F65F4F"/>
    <w:rsid w:val="00F71D06"/>
    <w:rsid w:val="00F7241D"/>
    <w:rsid w:val="00F81942"/>
    <w:rsid w:val="00F81DB3"/>
    <w:rsid w:val="00F854EE"/>
    <w:rsid w:val="00F94AC3"/>
    <w:rsid w:val="00F95E56"/>
    <w:rsid w:val="00FB66C6"/>
    <w:rsid w:val="00FC0D3B"/>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2A3B0"/>
  <w15:chartTrackingRefBased/>
  <w15:docId w15:val="{EF493812-4BC8-4773-86A5-526B8ECA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Char Char,ftref,BVI fnr Car Char Char1 Char Char Char Char,BVI fnr Car Char Char Char Char Char Char,BVI fnr Car Car Car Char Char Char Char Char Char,BVI fnr Car Car Char Char Char Char Char Char,Char Char1,16 Point"/>
    <w:link w:val="BVIfnrCarCharChar1CharCharChar"/>
    <w:uiPriority w:val="99"/>
    <w:qFormat/>
    <w:rsid w:val="00C60123"/>
    <w:rPr>
      <w:color w:val="auto"/>
      <w:spacing w:val="5"/>
      <w:w w:val="103"/>
      <w:kern w:val="14"/>
      <w:position w:val="0"/>
      <w:vertAlign w:val="superscript"/>
    </w:rPr>
  </w:style>
  <w:style w:type="paragraph" w:styleId="FootnoteText">
    <w:name w:val="footnote text"/>
    <w:aliases w:val="5_G,Char,single space,footnote text,Текст сноски Знак,Footnote Text Char Char Char,FOOTNOTES,fn,ft,Footnote Text Char Char Char Char Char Char Char Char Char Char,Footnote Text Char Char Char Char Char Char Char Char Char Char Char Char"/>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Char Char2,single space Char,footnote text Char,Текст сноски Знак Char,Footnote Text Char Char Char Char,FOOTNOTES Char,fn Char,ft Char,Footnote Text Char Char Char Char Char Char Char Char Char Ch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6B0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D0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6B0D0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D0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6B0D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B0D06"/>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6B0D06"/>
    <w:pPr>
      <w:ind w:left="720"/>
      <w:contextualSpacing/>
    </w:pPr>
  </w:style>
  <w:style w:type="character" w:styleId="IntenseEmphasis">
    <w:name w:val="Intense Emphasis"/>
    <w:basedOn w:val="DefaultParagraphFont"/>
    <w:uiPriority w:val="21"/>
    <w:qFormat/>
    <w:rsid w:val="006B0D06"/>
    <w:rPr>
      <w:i/>
      <w:iCs/>
      <w:color w:val="2F5496" w:themeColor="accent1" w:themeShade="BF"/>
    </w:rPr>
  </w:style>
  <w:style w:type="paragraph" w:styleId="IntenseQuote">
    <w:name w:val="Intense Quote"/>
    <w:basedOn w:val="Normal"/>
    <w:next w:val="Normal"/>
    <w:link w:val="IntenseQuoteChar"/>
    <w:uiPriority w:val="30"/>
    <w:qFormat/>
    <w:rsid w:val="006B0D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0D06"/>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6B0D06"/>
    <w:rPr>
      <w:b/>
      <w:bCs/>
      <w:smallCaps/>
      <w:color w:val="2F5496" w:themeColor="accent1" w:themeShade="BF"/>
      <w:spacing w:val="5"/>
    </w:rPr>
  </w:style>
  <w:style w:type="paragraph" w:styleId="CommentText">
    <w:name w:val="annotation text"/>
    <w:basedOn w:val="Normal"/>
    <w:link w:val="CommentTextChar"/>
    <w:uiPriority w:val="99"/>
    <w:unhideWhenUsed/>
    <w:rsid w:val="005461FC"/>
    <w:pPr>
      <w:spacing w:line="240" w:lineRule="auto"/>
    </w:pPr>
    <w:rPr>
      <w:szCs w:val="20"/>
    </w:rPr>
  </w:style>
  <w:style w:type="character" w:customStyle="1" w:styleId="CommentTextChar">
    <w:name w:val="Comment Text Char"/>
    <w:basedOn w:val="DefaultParagraphFont"/>
    <w:link w:val="CommentText"/>
    <w:uiPriority w:val="99"/>
    <w:rsid w:val="005461F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461FC"/>
    <w:rPr>
      <w:b/>
      <w:bCs/>
    </w:rPr>
  </w:style>
  <w:style w:type="character" w:customStyle="1" w:styleId="CommentSubjectChar">
    <w:name w:val="Comment Subject Char"/>
    <w:basedOn w:val="CommentTextChar"/>
    <w:link w:val="CommentSubject"/>
    <w:uiPriority w:val="99"/>
    <w:semiHidden/>
    <w:rsid w:val="005461FC"/>
    <w:rPr>
      <w:rFonts w:ascii="Times New Roman" w:eastAsiaTheme="minorHAnsi" w:hAnsi="Times New Roman" w:cs="Times New Roman"/>
      <w:b/>
      <w:bCs/>
      <w:spacing w:val="4"/>
      <w:w w:val="103"/>
      <w:sz w:val="20"/>
      <w:szCs w:val="20"/>
      <w:lang w:val="es-ES" w:eastAsia="en-US"/>
    </w:rPr>
  </w:style>
  <w:style w:type="paragraph" w:customStyle="1" w:styleId="BVIfnrCarCharChar1CharCharChar">
    <w:name w:val="BVI fnr Car Char Char1 Char Char Char"/>
    <w:aliases w:val="BVI fnr Car Char Char Char Char Char,BVI fnr Car Car Car Char Char Char Char Char,BVI fnr Car Car Char Char Char Char Char,BVI fnr Car Car Car Car Car Char1 Char Char Char Char Char"/>
    <w:basedOn w:val="Normal"/>
    <w:link w:val="FootnoteReference"/>
    <w:uiPriority w:val="99"/>
    <w:rsid w:val="00DE42B3"/>
    <w:pPr>
      <w:suppressAutoHyphens w:val="0"/>
      <w:spacing w:after="160"/>
    </w:pPr>
    <w:rPr>
      <w:rFonts w:asciiTheme="minorHAnsi" w:eastAsiaTheme="minorEastAsia" w:hAnsiTheme="minorHAnsi" w:cstheme="minorBidi"/>
      <w:spacing w:val="5"/>
      <w:kern w:val="14"/>
      <w:sz w:val="22"/>
      <w:vertAlign w:val="superscript"/>
      <w:lang w:val="en-US" w:eastAsia="zh-CN"/>
    </w:rPr>
  </w:style>
  <w:style w:type="table" w:customStyle="1" w:styleId="TableGrid5">
    <w:name w:val="Table Grid5"/>
    <w:basedOn w:val="TableNormal"/>
    <w:next w:val="TableGrid"/>
    <w:uiPriority w:val="39"/>
    <w:rsid w:val="00DE42B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B151F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s-ES"/>
    </w:rPr>
  </w:style>
  <w:style w:type="character" w:customStyle="1" w:styleId="SingleTxtGChar">
    <w:name w:val="_ Single Txt_G Char"/>
    <w:link w:val="SingleTxtG"/>
    <w:locked/>
    <w:rsid w:val="00B151FD"/>
    <w:rPr>
      <w:rFonts w:ascii="Times New Roman" w:eastAsiaTheme="minorHAnsi" w:hAnsi="Times New Roman" w:cs="Times New Roman"/>
      <w:sz w:val="20"/>
      <w:szCs w:val="20"/>
      <w:lang w:val="es-ES" w:eastAsia="en-US"/>
    </w:rPr>
  </w:style>
  <w:style w:type="paragraph" w:styleId="Revision">
    <w:name w:val="Revision"/>
    <w:hidden/>
    <w:uiPriority w:val="99"/>
    <w:semiHidden/>
    <w:rsid w:val="00004F43"/>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shukhe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bssnews.net/news/98614" TargetMode="External"/><Relationship Id="rId21" Type="http://schemas.openxmlformats.org/officeDocument/2006/relationships/hyperlink" Target="https://nlaso.gov.bd/sites/default/files/files/nlaso.portal.gov.bd/annual_reports/a10506ee_b6d3_425d_96d0_44bd8ffe8306/2024-09-11-06-06-b2ec5b085271839670e77d413ff6bce3.pdf" TargetMode="External"/><Relationship Id="rId42" Type="http://schemas.openxmlformats.org/officeDocument/2006/relationships/hyperlink" Target="https://bbs.portal.gov.bd/sites/default/files/files/bbs.portal.gov.bd/page/57def76a_aa3c_46e3_9f80_53732eb94a83/2025-03-03-05-48-f27ce30efbbcfe33a96d2c808b5908f3.pdf" TargetMode="External"/><Relationship Id="rId47" Type="http://schemas.openxmlformats.org/officeDocument/2006/relationships/hyperlink" Target="https://rohingyaresponse.org/" TargetMode="External"/><Relationship Id="rId63" Type="http://schemas.openxmlformats.org/officeDocument/2006/relationships/hyperlink" Target="https://mof.portal.gov.bd/sites/default/files/files/mof.portal.gov.bd/budget_mof/a404ee4b_b74d_4f7e_8aa0_ebad2db0491f/Gender%20Other%20Ministry%20%28Extended%29-Eng.pdf" TargetMode="External"/><Relationship Id="rId68" Type="http://schemas.openxmlformats.org/officeDocument/2006/relationships/hyperlink" Target="https://mof.portal.gov.bd/sites/default/files/files/mof.portal.gov.bd/page/a8e415d0_c5f2_4d5a_8c7c_bcd8beb88140/Social%20Security%20Programs_English_2023-24.pdf" TargetMode="External"/><Relationship Id="rId16" Type="http://schemas.openxmlformats.org/officeDocument/2006/relationships/hyperlink" Target="https://nhrc.portal.gov.bd/sites/default/files/files/nhrc.portal.gov.bd/page/535c363f_91a8_40b6_b58a_714954c85b4e/2022-1018-04-28-ec218ec406fc02be70e9f982e4b2af89.pdf" TargetMode="External"/><Relationship Id="rId11" Type="http://schemas.openxmlformats.org/officeDocument/2006/relationships/hyperlink" Target="https://www.thedailystar.net/law-our-rights/news/mothers-guardians-hcds-historic-verdict-3238756" TargetMode="External"/><Relationship Id="rId24" Type="http://schemas.openxmlformats.org/officeDocument/2006/relationships/hyperlink" Target="https://nlaso.gov.bd/sites/default/files/files/nlaso.portal.gov.bd/annual_reports/a10506ee_b6d3_425d_96d0_44bd8ffe8306/2024-09-11-06-06-b2ec5b085271839670e77d413ff6bce3.pdf" TargetMode="External"/><Relationship Id="rId32" Type="http://schemas.openxmlformats.org/officeDocument/2006/relationships/hyperlink" Target="https://docs.un.org/es/A/HRC/WG.6/44/BGD/1" TargetMode="External"/><Relationship Id="rId37" Type="http://schemas.openxmlformats.org/officeDocument/2006/relationships/hyperlink" Target="https://www.wecan-bd.org/about/" TargetMode="External"/><Relationship Id="rId40" Type="http://schemas.openxmlformats.org/officeDocument/2006/relationships/hyperlink" Target="https://bangladesh.unfpa.org/sites/default/files/report_documents/2025-03/VAW_KEYFINDINGS_2024_Publsihed%2027FEB2025.pdf" TargetMode="External"/><Relationship Id="rId45" Type="http://schemas.openxmlformats.org/officeDocument/2006/relationships/hyperlink" Target="https://bbs.portal.gov.bd/sites/default/files/files/bbs.portal.gov.bd/page/b343a8b4_956b_45ca_872f_4cf9b2f1a6e0/2023-07-23%2004-53-6417fa2e9d03538a1342942614845984.pdf" TargetMode="External"/><Relationship Id="rId53" Type="http://schemas.openxmlformats.org/officeDocument/2006/relationships/hyperlink" Target="https://mof.portal.gov.bd/sites/default/files/files/mof.portal.gov.bd/budget_mof/98c2d08b_5cdc_4a69_9c5f_19248d15cda5/Gender%20Budget%20Report%20(2024-25).pdf" TargetMode="External"/><Relationship Id="rId58" Type="http://schemas.openxmlformats.org/officeDocument/2006/relationships/hyperlink" Target="http://nsds.bbs.gov.bd/storage/files/1/Publications/SVRS/SVRS%202023%20Final%20" TargetMode="External"/><Relationship Id="rId66" Type="http://schemas.openxmlformats.org/officeDocument/2006/relationships/hyperlink" Target="https://gedkp.gov.bd/wp-content/uploads/2024/02/Mid-term-Implementation-Review-of-the-8th%20Five-Year-Plan-Book.pdf" TargetMode="External"/><Relationship Id="rId74" Type="http://schemas.openxmlformats.org/officeDocument/2006/relationships/hyperlink" Target="https://afd.gov.bd/un-peacekeeping/female-participation" TargetMode="External"/><Relationship Id="rId79" Type="http://schemas.openxmlformats.org/officeDocument/2006/relationships/hyperlink" Target="https://old.bmet.gov.bd/BMET/stattisticalDataAction" TargetMode="External"/><Relationship Id="rId5" Type="http://schemas.openxmlformats.org/officeDocument/2006/relationships/hyperlink" Target="https://asiapacific.unwomen.org/sites/default/files/Field%20Office%20ESEAsia/Docs/Publications/2020/05/RGA%20BangladeshFinalMay2020.pdf" TargetMode="External"/><Relationship Id="rId61" Type="http://schemas.openxmlformats.org/officeDocument/2006/relationships/hyperlink" Target="https://mof.portal.gov.bd/sites/default/files/files/mof.portal.gov.bd/budget_mof/001130ba_9cb8_4955_9f07_f9ba27ca7de9/Gender%20Budget%20Report%202023-24%20(English%20for%20Website).pdf" TargetMode="External"/><Relationship Id="rId19" Type="http://schemas.openxmlformats.org/officeDocument/2006/relationships/hyperlink" Target="https://www.thedailystar.net/news/bangladesh/governance/news/pm-opens-service-desk-659-police-stations-3001941" TargetMode="External"/><Relationship Id="rId14" Type="http://schemas.openxmlformats.org/officeDocument/2006/relationships/hyperlink" Target="https://www.thedailystar.net/entertainment/tv-film/news/badhan-sets-example-wins-battle-over-custodial-rights-3595336" TargetMode="External"/><Relationship Id="rId22" Type="http://schemas.openxmlformats.org/officeDocument/2006/relationships/hyperlink" Target="https://nlaso.gov.bd/sites/default/files/files/nlaso.portal.gov.bd/annual_reports/a10506ee_b6d3_425d_96d0_44bd8ffe8306/2024-09-11-06-06-b2ec5b085271839670e77d413ff6bce3.pdf" TargetMode="External"/><Relationship Id="rId27" Type="http://schemas.openxmlformats.org/officeDocument/2006/relationships/hyperlink" Target="https://news.trust.org/item/20180507003042-93mdm/" TargetMode="External"/><Relationship Id="rId30" Type="http://schemas.openxmlformats.org/officeDocument/2006/relationships/hyperlink" Target="https://reliefweb.int/report/bangladesh/action-leads-and-hope-prevails-success-ending-child-marriage" TargetMode="External"/><Relationship Id="rId35" Type="http://schemas.openxmlformats.org/officeDocument/2006/relationships/hyperlink" Target="https://www.dhakatribune.com/bangladesh/government-affairs/375990/govt-to-launch-3333-shortcode-service-to-combat" TargetMode="External"/><Relationship Id="rId43" Type="http://schemas.openxmlformats.org/officeDocument/2006/relationships/hyperlink" Target="https://bbs.portal.gov.bd/sites/default/files/files/bbs.portal.gov.bd/page/57def76a_aa3c_46e3_9f80_53732eb94a83/2025-03-03-05-48-f27ce30efbbcfe33a96d2c808b5908f3.pdf" TargetMode="External"/><Relationship Id="rId48" Type="http://schemas.openxmlformats.org/officeDocument/2006/relationships/hyperlink" Target="https://rohingyaresponse.org/" TargetMode="External"/><Relationship Id="rId56" Type="http://schemas.openxmlformats.org/officeDocument/2006/relationships/hyperlink" Target="https://www.tbsnews.net/economy/corporates/grameen-digital-healthcare-solutions-unveils-comprehensive-healthcare-platform" TargetMode="External"/><Relationship Id="rId64" Type="http://schemas.openxmlformats.org/officeDocument/2006/relationships/hyperlink" Target="https://mof.portal.gov.bd/sites/default/files/files/mof.portal.gov.bd/budget_mof/a404ee4b" TargetMode="External"/><Relationship Id="rId69" Type="http://schemas.openxmlformats.org/officeDocument/2006/relationships/hyperlink" Target="https://www.thedailystar.net/law-our-rights/news/analysis-the-family-courts-act-2023-3500311" TargetMode="External"/><Relationship Id="rId77" Type="http://schemas.openxmlformats.org/officeDocument/2006/relationships/hyperlink" Target="http://www.tmed.gov.bd" TargetMode="External"/><Relationship Id="rId8" Type="http://schemas.openxmlformats.org/officeDocument/2006/relationships/hyperlink" Target="https://mof.portal.gov.bd/sites/default/files/files/mof.portal.gov.bd/budget_mof/001130ba_9cb8_4955_9f07_f9ba27ca7de9/Gender%20Budget%20Report%202023-24%20(English%20for%20Website).pdf" TargetMode="External"/><Relationship Id="rId51" Type="http://schemas.openxmlformats.org/officeDocument/2006/relationships/hyperlink" Target="https://gedkp.gov.bd/wp-content/uploads/2024/02/Mid-term-Implementation-Review-of-the-8th%20Five-Year-Plan-Book.pdf" TargetMode="External"/><Relationship Id="rId72" Type="http://schemas.openxmlformats.org/officeDocument/2006/relationships/hyperlink" Target="https://bdplatform4sdgs.net/bangladesh-prepares-for-vnr-2025-emphasising-inclusivity-and-multi-stakeholder-collaboration/" TargetMode="External"/><Relationship Id="rId3" Type="http://schemas.openxmlformats.org/officeDocument/2006/relationships/hyperlink" Target="https://sdgs.un.org/national-commitments-sdg-transformation/22071" TargetMode="External"/><Relationship Id="rId12" Type="http://schemas.openxmlformats.org/officeDocument/2006/relationships/hyperlink" Target="https://www.thedailystar.net/law-our-rights/news/mothers-guardians-hcds-historic-verdict-3238756" TargetMode="External"/><Relationship Id="rId17" Type="http://schemas.openxmlformats.org/officeDocument/2006/relationships/hyperlink" Target="https://docs.un.org/es/A/HRC/RES/16/21" TargetMode="External"/><Relationship Id="rId25" Type="http://schemas.openxmlformats.org/officeDocument/2006/relationships/hyperlink" Target="https://www.bssnews.net/news/98614" TargetMode="External"/><Relationship Id="rId33" Type="http://schemas.openxmlformats.org/officeDocument/2006/relationships/hyperlink" Target="http://mspvaw.gov.bd/contain/36" TargetMode="External"/><Relationship Id="rId38" Type="http://schemas.openxmlformats.org/officeDocument/2006/relationships/hyperlink" Target="https://www.wecan-bd.org/about/" TargetMode="External"/><Relationship Id="rId46" Type="http://schemas.openxmlformats.org/officeDocument/2006/relationships/hyperlink" Target="https://www.state.gov/reports/2024-trafficking-in-persons-report/bangladesh/" TargetMode="External"/><Relationship Id="rId59" Type="http://schemas.openxmlformats.org/officeDocument/2006/relationships/hyperlink" Target="https://www.afi-global.org/opinion/bangladesh-bank-launches-womens-financial-inclusion-data-dashboard/" TargetMode="External"/><Relationship Id="rId67" Type="http://schemas.openxmlformats.org/officeDocument/2006/relationships/hyperlink" Target="https://mne.socialprotection.gov.bd/" TargetMode="External"/><Relationship Id="rId20" Type="http://schemas.openxmlformats.org/officeDocument/2006/relationships/hyperlink" Target="https://www.thedailystar.net/news/bangladesh/governance/news/pm-opens-service-desk-659-police-stations-3001941" TargetMode="External"/><Relationship Id="rId41" Type="http://schemas.openxmlformats.org/officeDocument/2006/relationships/hyperlink" Target="https://bangladesh.unfpa.org/sites/default/files/report_documents/2025-03/VAW_KEYFINDINGS_2024_Publsihed%2027FEB2025.pdf" TargetMode="External"/><Relationship Id="rId54" Type="http://schemas.openxmlformats.org/officeDocument/2006/relationships/hyperlink" Target="https://www.adb.org/projects/50192-002/main" TargetMode="External"/><Relationship Id="rId62" Type="http://schemas.openxmlformats.org/officeDocument/2006/relationships/hyperlink" Target="https://mof.portal.gov.bd/sites/default/files/files/mof.portal.gov.bd/budget_mof/a404ee4b_b74d_4f7e_8aa0_ebad2db0491f/Gender%20Other%20Ministry%20%28Extended%29-Eng.pdf" TargetMode="External"/><Relationship Id="rId70" Type="http://schemas.openxmlformats.org/officeDocument/2006/relationships/hyperlink" Target="https://www.thedailystar.net/law-our-rights/news/analysis-the-family-courts-act-2023-3500311" TargetMode="External"/><Relationship Id="rId75" Type="http://schemas.openxmlformats.org/officeDocument/2006/relationships/hyperlink" Target="https://www.thedailystar.net/news/bangladesh/news/2-bangladeshi-women-among-top-100-asian-scientists-3343321" TargetMode="External"/><Relationship Id="rId1" Type="http://schemas.openxmlformats.org/officeDocument/2006/relationships/hyperlink" Target="https://www.weforum.org/publications/global-gender-gap-report-2024/" TargetMode="External"/><Relationship Id="rId6" Type="http://schemas.openxmlformats.org/officeDocument/2006/relationships/hyperlink" Target="https://asiapacific.unwomen.org/sites/default/files/Field%20Office%20ESEAsia/Docs/Publications/2020/05/RGA%20BangladeshFinalMay2020.pdf" TargetMode="External"/><Relationship Id="rId15" Type="http://schemas.openxmlformats.org/officeDocument/2006/relationships/hyperlink" Target="https://nhrc.portal.gov.bd/sites/default/files/files/nhrc.portal.gov.bd/page/535c363f_91a8_40b6_b58a_714954c85b4e/2022-10-18-04-28-ec218ec406fc02be70e9f982e4b2af89.pdf" TargetMode="External"/><Relationship Id="rId23" Type="http://schemas.openxmlformats.org/officeDocument/2006/relationships/hyperlink" Target="https://nlaso.gov.bd/sites/default/files/files/nlaso.portal.gov.bd/annual_reports/a10506ee_b6d3_425d_96d0_44bd8ffe8306/2024-09-11-06-06-b2ec5b085271839670e77d413ff6bce3.pdf" TargetMode="External"/><Relationship Id="rId28" Type="http://schemas.openxmlformats.org/officeDocument/2006/relationships/hyperlink" Target="https://news.trust.org/item/20180507003042-93mdm/" TargetMode="External"/><Relationship Id="rId36" Type="http://schemas.openxmlformats.org/officeDocument/2006/relationships/hyperlink" Target="https://www.dhakatribune.com/bangladesh/government-affairs/375990/govt-to-launch-3333-shortcode-service-to-combat?utm_source=chatgpt.com" TargetMode="External"/><Relationship Id="rId49" Type="http://schemas.openxmlformats.org/officeDocument/2006/relationships/hyperlink" Target="https://thefinancialexpress.com.bd/national/1440-women-to-get-driving-training-in-seven-divisional-cities-1632482192" TargetMode="External"/><Relationship Id="rId57" Type="http://schemas.openxmlformats.org/officeDocument/2006/relationships/hyperlink" Target="http://nsds.bbs.gov.bd/storage/files/1/Publications/SVRS/SVRS%202023%20Final%20Report_web.pdf" TargetMode="External"/><Relationship Id="rId10" Type="http://schemas.openxmlformats.org/officeDocument/2006/relationships/hyperlink" Target="https://www.weforum.org/publications/global-gender-gap-report-2024/" TargetMode="External"/><Relationship Id="rId31" Type="http://schemas.openxmlformats.org/officeDocument/2006/relationships/hyperlink" Target="https://docs.un.org/es/A/HRC/RES/16/21" TargetMode="External"/><Relationship Id="rId44" Type="http://schemas.openxmlformats.org/officeDocument/2006/relationships/hyperlink" Target="https://bbs.portal.gov.bd/sites/default/files/files/bbs.portal.gov.bd/page/b343a8b4_956b_45ca_872f_4cf9b2f1a6e0/2023-07-23%2004-53-6417fa2e9d03538a1342942614845984.pdf" TargetMode="External"/><Relationship Id="rId52" Type="http://schemas.openxmlformats.org/officeDocument/2006/relationships/hyperlink" Target="http://nsds.bbs.gov.bd/storage/files/1/Publications/SVRS/SVRS%202023%20Final%20Report_web.pdf" TargetMode="External"/><Relationship Id="rId60" Type="http://schemas.openxmlformats.org/officeDocument/2006/relationships/hyperlink" Target="https://www.afi-global.org/opinion/bangladesh-bank-launches-womens-financial-inclusion-data-dashboard/" TargetMode="External"/><Relationship Id="rId65" Type="http://schemas.openxmlformats.org/officeDocument/2006/relationships/hyperlink" Target="https://gedkp.gov.bd/wp-content/uploads/2024/02/Mid-term-Implementation-Review-of-the-8th%20Five-Year-Plan-Book.pdf" TargetMode="External"/><Relationship Id="rId73" Type="http://schemas.openxmlformats.org/officeDocument/2006/relationships/hyperlink" Target="https://afd.gov.bd/un-peacekeeping/female-participation" TargetMode="External"/><Relationship Id="rId78" Type="http://schemas.openxmlformats.org/officeDocument/2006/relationships/hyperlink" Target="https://old.bmet.gov.bd/BMET/stattisticalDataAction" TargetMode="External"/><Relationship Id="rId4" Type="http://schemas.openxmlformats.org/officeDocument/2006/relationships/hyperlink" Target="https://sdgs.un.org/national-commitments-sdg-transformation/22071" TargetMode="External"/><Relationship Id="rId9" Type="http://schemas.openxmlformats.org/officeDocument/2006/relationships/hyperlink" Target="https://www.weforum.org/publications/global-gender-gap-report-2024/" TargetMode="External"/><Relationship Id="rId13" Type="http://schemas.openxmlformats.org/officeDocument/2006/relationships/hyperlink" Target="https://www.thedailystar.net/entertainment/tv-film/news/badhan-sets-example-wins-battle-over-custodial-rights-3595336" TargetMode="External"/><Relationship Id="rId18" Type="http://schemas.openxmlformats.org/officeDocument/2006/relationships/hyperlink" Target="https://docs.un.org/es/A/HRC/WG.6/44/BGD/1" TargetMode="External"/><Relationship Id="rId39" Type="http://schemas.openxmlformats.org/officeDocument/2006/relationships/hyperlink" Target="https://bbs.portal.gov.bd/sites/default/files/files/bbs.portal.gov.bd/page/57def76a_aa3c_46e3_9f80_53732eb94a83/2025-03-03-05-48-f27ce30efbbcfe33a96d2c808b5908f3.pdf" TargetMode="External"/><Relationship Id="rId34" Type="http://schemas.openxmlformats.org/officeDocument/2006/relationships/hyperlink" Target="http://mspvaw.gov.bd/contain/36" TargetMode="External"/><Relationship Id="rId50" Type="http://schemas.openxmlformats.org/officeDocument/2006/relationships/hyperlink" Target="https://thefinancialexpress.com.bd/national/1440-women-to-get-driving-training-in-seven-divisional-cities-1632482192" TargetMode="External"/><Relationship Id="rId55" Type="http://schemas.openxmlformats.org/officeDocument/2006/relationships/hyperlink" Target="https://www.tbsnews.net/economy/corporates/grameen-digital-healthcare-solutions-unveils-comprehensive-healthcare-platform" TargetMode="External"/><Relationship Id="rId76" Type="http://schemas.openxmlformats.org/officeDocument/2006/relationships/hyperlink" Target="https://www.thedailystar.net/news/bangladesh/news/2-bangladeshi-women-among-top-100-asian-scientists-3343321" TargetMode="External"/><Relationship Id="rId7" Type="http://schemas.openxmlformats.org/officeDocument/2006/relationships/hyperlink" Target="https://mof.portal.gov.bd/sites/default/files/files/mof.portal.gov.bd/budget_mof/001130ba_9cb8_4955_9f07_f9ba27ca7de9/Gender%20Budget%20Report%202023-24%20(English%20for%20Website).pdf" TargetMode="External"/><Relationship Id="rId71" Type="http://schemas.openxmlformats.org/officeDocument/2006/relationships/hyperlink" Target="https://bdplatform4sdgs.net/bangladesh-prepares-for-vnr-2025-emphasising-inclusivity-and-multi-stakeholder-collaboration/" TargetMode="External"/><Relationship Id="rId2" Type="http://schemas.openxmlformats.org/officeDocument/2006/relationships/hyperlink" Target="https://www.weforum.org/publications/global-gender-gap-report-2024/" TargetMode="External"/><Relationship Id="rId29" Type="http://schemas.openxmlformats.org/officeDocument/2006/relationships/hyperlink" Target="https://reliefweb.int/report/bangladesh/action-leads-and-hope-prevails-success-ending-child-marriag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45</Pages>
  <Words>21450</Words>
  <Characters>122265</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Dagmara Araica Duran</cp:lastModifiedBy>
  <cp:revision>3</cp:revision>
  <cp:lastPrinted>2025-12-03T15:14:00Z</cp:lastPrinted>
  <dcterms:created xsi:type="dcterms:W3CDTF">2025-12-03T15:14:00Z</dcterms:created>
  <dcterms:modified xsi:type="dcterms:W3CDTF">2025-12-03T15:14:00Z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2515790</vt:lpwstr>
  </property>
  <property fmtid="{D5CDD505-2E9C-101B-9397-08002B2CF9AE}" pid="3" name="ODSRefJobNo">
    <vt:lpwstr>2525591S</vt:lpwstr>
  </property>
  <property fmtid="{D5CDD505-2E9C-101B-9397-08002B2CF9AE}" pid="4" name="Symbol1">
    <vt:lpwstr>CEDAW/C/BGD/9-10</vt:lpwstr>
  </property>
  <property fmtid="{D5CDD505-2E9C-101B-9397-08002B2CF9AE}" pid="5" name="Symbol2">
    <vt:lpwstr/>
  </property>
  <property fmtid="{D5CDD505-2E9C-101B-9397-08002B2CF9AE}" pid="6" name="Translator">
    <vt:lpwstr>López Gromaz</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Informes periódicos noveno y décimo combinados que Bangladesh debía presentar en 2020 en virtud del artículo 18 de la Convención*, **_x000d_</vt:lpwstr>
  </property>
</Properties>
</file>