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53A" w:rsidRDefault="006E753A" w:rsidP="006E753A">
      <w:pPr>
        <w:spacing w:line="60" w:lineRule="exact"/>
        <w:rPr>
          <w:color w:val="010000"/>
          <w:sz w:val="6"/>
        </w:rPr>
        <w:sectPr w:rsidR="006E753A" w:rsidSect="006E753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bookmarkStart w:id="1" w:name="_GoBack"/>
      <w:bookmarkEnd w:id="1"/>
    </w:p>
    <w:p w:rsidR="00102068" w:rsidRPr="004C298C" w:rsidRDefault="00102068"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1E752E">
        <w:rPr>
          <w:w w:val="100"/>
        </w:rPr>
        <w:lastRenderedPageBreak/>
        <w:t>Комите</w:t>
      </w:r>
      <w:r w:rsidRPr="00102068">
        <w:rPr>
          <w:w w:val="100"/>
        </w:rPr>
        <w:t>т по ликвидации дискриминации</w:t>
      </w:r>
      <w:r w:rsidRPr="00102068">
        <w:rPr>
          <w:w w:val="100"/>
        </w:rPr>
        <w:br/>
        <w:t>в отношении</w:t>
      </w:r>
      <w:r w:rsidR="004E3C3F">
        <w:rPr>
          <w:w w:val="100"/>
        </w:rPr>
        <w:t> женщин</w:t>
      </w:r>
    </w:p>
    <w:p w:rsidR="004C298C" w:rsidRPr="004C298C" w:rsidRDefault="004C298C" w:rsidP="004C298C">
      <w:pPr>
        <w:spacing w:line="120" w:lineRule="exact"/>
        <w:rPr>
          <w:sz w:val="10"/>
        </w:rPr>
      </w:pPr>
    </w:p>
    <w:p w:rsidR="004C298C" w:rsidRPr="004C298C" w:rsidRDefault="004C298C" w:rsidP="004C298C">
      <w:pPr>
        <w:spacing w:line="120" w:lineRule="exact"/>
        <w:rPr>
          <w:sz w:val="10"/>
        </w:rPr>
      </w:pPr>
    </w:p>
    <w:p w:rsidR="00102068" w:rsidRPr="004C298C" w:rsidRDefault="004C298C" w:rsidP="004C29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298C">
        <w:tab/>
      </w:r>
      <w:r w:rsidRPr="004C298C">
        <w:tab/>
      </w:r>
      <w:r w:rsidR="00102068" w:rsidRPr="00D23431">
        <w:t>Рассмотрение докладов, представляемых государствами-участниками в соответствии со</w:t>
      </w:r>
      <w:r w:rsidR="00102068">
        <w:t> </w:t>
      </w:r>
      <w:r w:rsidR="00102068" w:rsidRPr="00D23431">
        <w:t>статьей</w:t>
      </w:r>
      <w:r>
        <w:rPr>
          <w:lang w:val="en-US"/>
        </w:rPr>
        <w:t> </w:t>
      </w:r>
      <w:r w:rsidR="00102068" w:rsidRPr="00D23431">
        <w:t xml:space="preserve">18 Конвенции </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Pr="004C298C"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298C">
        <w:tab/>
      </w:r>
      <w:r w:rsidRPr="004C298C">
        <w:tab/>
      </w:r>
      <w:r>
        <w:rPr>
          <w:lang w:val="en-US"/>
        </w:rPr>
        <w:t>C</w:t>
      </w:r>
      <w:r w:rsidR="00102068">
        <w:t>едьмой и восьмой периодические доклады государств-участников, подлежащие представлению в 2014</w:t>
      </w:r>
      <w:r>
        <w:t> году</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Pr="00761D8B" w:rsidRDefault="004C298C" w:rsidP="004C29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FootnoteReference"/>
          <w:b w:val="0"/>
          <w:sz w:val="20"/>
          <w:lang w:val="en-US"/>
        </w:rPr>
      </w:pPr>
      <w:r w:rsidRPr="004C298C">
        <w:tab/>
      </w:r>
      <w:r w:rsidRPr="004C298C">
        <w:tab/>
      </w:r>
      <w:r w:rsidR="00102068">
        <w:t>Исландия</w:t>
      </w:r>
      <w:r w:rsidR="00102068" w:rsidRPr="004C298C">
        <w:rPr>
          <w:rStyle w:val="FootnoteReference"/>
          <w:b w:val="0"/>
          <w:sz w:val="20"/>
        </w:rPr>
        <w:footnoteReference w:customMarkFollows="1" w:id="1"/>
        <w:t>*</w:t>
      </w:r>
      <w:r w:rsidR="00761D8B" w:rsidRPr="00761D8B">
        <w:rPr>
          <w:rStyle w:val="FootnoteReference"/>
          <w:b w:val="0"/>
          <w:sz w:val="20"/>
          <w:szCs w:val="20"/>
        </w:rPr>
        <w:t>*</w:t>
      </w:r>
    </w:p>
    <w:p w:rsidR="00102068" w:rsidRPr="00D23431" w:rsidRDefault="00102068" w:rsidP="00102068">
      <w:pPr>
        <w:pStyle w:val="SingleTxtG"/>
        <w:jc w:val="right"/>
      </w:pPr>
      <w:r>
        <w:t>30</w:t>
      </w:r>
      <w:r w:rsidR="004C298C">
        <w:t> июля</w:t>
      </w:r>
      <w:r>
        <w:t xml:space="preserve"> 2014</w:t>
      </w:r>
      <w:r w:rsidR="004C298C">
        <w:t> года</w:t>
      </w:r>
    </w:p>
    <w:p w:rsidR="00102068" w:rsidRPr="004C298C" w:rsidRDefault="00102068"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4C298C" w:rsidRPr="004C298C">
        <w:lastRenderedPageBreak/>
        <w:tab/>
      </w:r>
      <w:r w:rsidR="004C298C" w:rsidRPr="004C298C">
        <w:tab/>
      </w:r>
      <w:r>
        <w:t>Введение</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Настоящий документ является сводным седьмым и восьмым периодич</w:t>
      </w:r>
      <w:r w:rsidR="00102068">
        <w:t>е</w:t>
      </w:r>
      <w:r w:rsidR="00102068">
        <w:t>ским докладом правительства Исландии об осуществлении Конвенции о ли</w:t>
      </w:r>
      <w:r w:rsidR="00102068">
        <w:t>к</w:t>
      </w:r>
      <w:r w:rsidR="00102068">
        <w:t>видации всех форм дискриминации в отношении</w:t>
      </w:r>
      <w:r w:rsidR="004E3C3F">
        <w:t> женщин</w:t>
      </w:r>
      <w:r w:rsidR="00102068">
        <w:t xml:space="preserve">, представленным в соответствии со </w:t>
      </w:r>
      <w:r>
        <w:t>статьей </w:t>
      </w:r>
      <w:r w:rsidR="00102068">
        <w:t>18 Конвенции. Данный доклад был подготовлен с</w:t>
      </w:r>
      <w:r w:rsidR="00102068">
        <w:t>о</w:t>
      </w:r>
      <w:r w:rsidR="00102068">
        <w:t>гласно Компиляции руководящих принципов в отношении формы и содерж</w:t>
      </w:r>
      <w:r w:rsidR="00102068">
        <w:t>а</w:t>
      </w:r>
      <w:r w:rsidR="00102068">
        <w:t>ния докладов, представляемых государствами</w:t>
      </w:r>
      <w:r>
        <w:t>-</w:t>
      </w:r>
      <w:r w:rsidR="00102068">
        <w:t>участниками международных договоров по правам</w:t>
      </w:r>
      <w:r>
        <w:t> человек</w:t>
      </w:r>
      <w:r w:rsidR="00102068">
        <w:t>а (HRI/GEN/2/Rev.6). В нем содержится информ</w:t>
      </w:r>
      <w:r w:rsidR="00102068">
        <w:t>а</w:t>
      </w:r>
      <w:r w:rsidR="00102068">
        <w:t>ция о законодательных, судебных, административных и иных мерах, принятых Исландией после представления ее предыдущих докладов во исполнение п</w:t>
      </w:r>
      <w:r w:rsidR="00102068">
        <w:t>о</w:t>
      </w:r>
      <w:r w:rsidR="00102068">
        <w:t>ложений Конвенции. В</w:t>
      </w:r>
      <w:r w:rsidR="00102068">
        <w:rPr>
          <w:lang w:val="en-US"/>
        </w:rPr>
        <w:t> </w:t>
      </w:r>
      <w:r w:rsidR="00102068">
        <w:t>числе прочего в докладе затрагиваются вопросы, кот</w:t>
      </w:r>
      <w:r w:rsidR="00102068">
        <w:t>о</w:t>
      </w:r>
      <w:r w:rsidR="00102068">
        <w:t>рые были подняты в заключительных замечаниях Комитета по ликвидации дискриминации в отношении</w:t>
      </w:r>
      <w:r w:rsidR="004E3C3F">
        <w:t> женщин</w:t>
      </w:r>
      <w:r w:rsidR="00102068">
        <w:t>, принятых после рассмотрения шестого периодического доклада Исландии (CEDAW/C/ICE/6) на его сорок первой се</w:t>
      </w:r>
      <w:r w:rsidR="00102068">
        <w:t>с</w:t>
      </w:r>
      <w:r w:rsidR="00102068">
        <w:t>сии в июле 2008</w:t>
      </w:r>
      <w:r>
        <w:t> года</w:t>
      </w:r>
      <w:r w:rsidR="00102068">
        <w:t xml:space="preserve"> (CEDAW/C/ICE/CO/6).</w:t>
      </w:r>
    </w:p>
    <w:p w:rsidR="004C298C" w:rsidRPr="004C298C" w:rsidRDefault="004C298C" w:rsidP="004C298C">
      <w:pPr>
        <w:pStyle w:val="SingleTxtG"/>
        <w:spacing w:after="0" w:line="120" w:lineRule="exact"/>
        <w:rPr>
          <w:sz w:val="10"/>
          <w:szCs w:val="24"/>
        </w:rPr>
      </w:pPr>
    </w:p>
    <w:p w:rsidR="004C298C" w:rsidRPr="004C298C" w:rsidRDefault="004C298C" w:rsidP="004C298C">
      <w:pPr>
        <w:pStyle w:val="SingleTxtG"/>
        <w:spacing w:after="0" w:line="120" w:lineRule="exact"/>
        <w:rPr>
          <w:sz w:val="10"/>
          <w:szCs w:val="24"/>
        </w:rPr>
      </w:pPr>
    </w:p>
    <w:p w:rsidR="004C298C" w:rsidRDefault="004C298C" w:rsidP="004C298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Часть I</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Общая информация</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отношении общей информации об Исландии, ее населении, политич</w:t>
      </w:r>
      <w:r w:rsidR="00102068">
        <w:t>е</w:t>
      </w:r>
      <w:r w:rsidR="00102068">
        <w:t>ской структуре и правовой системе, в рамках которой осуществляется защита прав</w:t>
      </w:r>
      <w:r>
        <w:t> человек</w:t>
      </w:r>
      <w:r w:rsidR="00102068">
        <w:t>а, делается ссылка на основной документ, касающийся Исландии (HRI/CORE/1/Add.26 от 24</w:t>
      </w:r>
      <w:r>
        <w:t> июня</w:t>
      </w:r>
      <w:r w:rsidR="00102068">
        <w:t xml:space="preserve"> 1993</w:t>
      </w:r>
      <w:r>
        <w:t> года</w:t>
      </w:r>
      <w:r w:rsidR="00102068">
        <w:t>). В этой связи, однако, следует о</w:t>
      </w:r>
      <w:r w:rsidR="00102068">
        <w:t>т</w:t>
      </w:r>
      <w:r w:rsidR="00102068">
        <w:t>метить, что с момента представления вышеупомянутого документа в стране произошли различные изменения и что в настоящее время ведется работа по обновлению содержащейся в нем информации. Наряду с этим делается ссылка на общие замечания, сформулированные в предыдущих докладах правител</w:t>
      </w:r>
      <w:r w:rsidR="00102068">
        <w:t>ь</w:t>
      </w:r>
      <w:r w:rsidR="00102068">
        <w:t>ства Исландии.</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Принятие международных норм в области прав</w:t>
      </w:r>
      <w:r>
        <w:t> человек</w:t>
      </w:r>
      <w:r w:rsidR="00102068">
        <w:t>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Исландское правительство подписало Конвенцию о ликвидации всех форм дискриминации в отношении</w:t>
      </w:r>
      <w:r w:rsidR="004E3C3F">
        <w:t> женщин</w:t>
      </w:r>
      <w:r w:rsidR="00102068">
        <w:t xml:space="preserve"> 24</w:t>
      </w:r>
      <w:r>
        <w:t> июля</w:t>
      </w:r>
      <w:r w:rsidR="00102068">
        <w:t xml:space="preserve"> 1980</w:t>
      </w:r>
      <w:r>
        <w:t> года</w:t>
      </w:r>
      <w:r w:rsidR="00102068">
        <w:t>. Датой ее рат</w:t>
      </w:r>
      <w:r w:rsidR="00102068">
        <w:t>и</w:t>
      </w:r>
      <w:r w:rsidR="00102068">
        <w:t>фикации стало 18</w:t>
      </w:r>
      <w:r>
        <w:t> июня</w:t>
      </w:r>
      <w:r w:rsidR="00102068">
        <w:t xml:space="preserve"> 1985</w:t>
      </w:r>
      <w:r>
        <w:t> года</w:t>
      </w:r>
      <w:r w:rsidR="00102068">
        <w:t xml:space="preserve">. Факультативный протокол к </w:t>
      </w:r>
      <w:r w:rsidR="00102068">
        <w:rPr>
          <w:szCs w:val="24"/>
        </w:rPr>
        <w:t>Конвенции</w:t>
      </w:r>
      <w:r w:rsidR="00102068">
        <w:t xml:space="preserve"> был принят 6</w:t>
      </w:r>
      <w:r w:rsidR="00102068">
        <w:rPr>
          <w:lang w:val="en-US"/>
        </w:rPr>
        <w:t> </w:t>
      </w:r>
      <w:r w:rsidR="00102068">
        <w:t>марта 2001</w:t>
      </w:r>
      <w:r>
        <w:t> года</w:t>
      </w:r>
      <w:r w:rsidR="00102068">
        <w:t>. В этот же день исландское правительство приняло процедуру расследования, предусмотренную Факультативным протоколом к Конвенции. С</w:t>
      </w:r>
      <w:r w:rsidR="00102068">
        <w:rPr>
          <w:lang w:val="en-US"/>
        </w:rPr>
        <w:t> </w:t>
      </w:r>
      <w:r w:rsidR="00102068">
        <w:t>информацией в отношении сферы действия оговорок, огранич</w:t>
      </w:r>
      <w:r w:rsidR="00102068">
        <w:t>е</w:t>
      </w:r>
      <w:r w:rsidR="00102068">
        <w:t>ний или отступлений от положений договоров, обстоятельств, оправдывающих их введение, и предусмотренных сроков их отмены можно ознакомиться в о</w:t>
      </w:r>
      <w:r w:rsidR="00102068">
        <w:t>б</w:t>
      </w:r>
      <w:r w:rsidR="00102068">
        <w:t>щем базовом документе.</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w:t>
      </w:r>
      <w:r>
        <w:br/>
      </w:r>
      <w:r>
        <w:tab/>
      </w:r>
      <w:r>
        <w:tab/>
        <w:t>О</w:t>
      </w:r>
      <w:r w:rsidR="00102068">
        <w:t>пределение гендерной дискриминации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своих заключительных замечаниях к последнему периодическому д</w:t>
      </w:r>
      <w:r w:rsidR="00102068">
        <w:t>о</w:t>
      </w:r>
      <w:r w:rsidR="00102068">
        <w:t xml:space="preserve">кладу Исландии (CEDAW/C/ICE/CO/6) Комитет выразил обеспокоенность по </w:t>
      </w:r>
      <w:r w:rsidR="00102068">
        <w:lastRenderedPageBreak/>
        <w:t xml:space="preserve">поводу того, что определение </w:t>
      </w:r>
      <w:r>
        <w:t>«</w:t>
      </w:r>
      <w:r w:rsidR="00102068">
        <w:t>дискриминации в отношении</w:t>
      </w:r>
      <w:r w:rsidR="004E3C3F">
        <w:t> женщин</w:t>
      </w:r>
      <w:r>
        <w:t>»</w:t>
      </w:r>
      <w:r w:rsidR="00102068">
        <w:t>, сфо</w:t>
      </w:r>
      <w:r w:rsidR="00102068">
        <w:t>р</w:t>
      </w:r>
      <w:r w:rsidR="00102068">
        <w:t xml:space="preserve">мулированное в </w:t>
      </w:r>
      <w:r>
        <w:t>статье </w:t>
      </w:r>
      <w:r w:rsidR="00102068">
        <w:t>1 Конвенции, не полностью отражено в правовом документе Исландии.</w:t>
      </w:r>
    </w:p>
    <w:p w:rsidR="00102068" w:rsidRDefault="004C298C" w:rsidP="00102068">
      <w:pPr>
        <w:pStyle w:val="SingleTxtG"/>
      </w:pPr>
      <w:r>
        <w:tab/>
      </w:r>
      <w:r w:rsidR="00102068">
        <w:t>В феврале 2008</w:t>
      </w:r>
      <w:r>
        <w:t> года</w:t>
      </w:r>
      <w:r w:rsidR="00102068">
        <w:t xml:space="preserve"> был принят новый Закон о равном положении и равных правах</w:t>
      </w:r>
      <w:r w:rsidR="004E3C3F">
        <w:t> женщин</w:t>
      </w:r>
      <w:r w:rsidR="00102068">
        <w:t xml:space="preserve"> и мужчин (в дальнейшем</w:t>
      </w:r>
      <w:r>
        <w:t xml:space="preserve"> — </w:t>
      </w:r>
      <w:r w:rsidR="00102068">
        <w:t xml:space="preserve"> Закон о равенстве мужчин и</w:t>
      </w:r>
      <w:r w:rsidR="004E3C3F">
        <w:t> женщин</w:t>
      </w:r>
      <w:r w:rsidR="00102068">
        <w:t xml:space="preserve"> № 10/2008). В </w:t>
      </w:r>
      <w:r>
        <w:t>статье </w:t>
      </w:r>
      <w:r w:rsidR="00102068">
        <w:t xml:space="preserve">2 нового закона были сформулированы первые в исландском законодательстве определения понятий </w:t>
      </w:r>
      <w:r w:rsidR="00102068">
        <w:rPr>
          <w:i/>
          <w:iCs/>
        </w:rPr>
        <w:t xml:space="preserve">прямой </w:t>
      </w:r>
      <w:r w:rsidR="00102068">
        <w:t xml:space="preserve">и </w:t>
      </w:r>
      <w:r w:rsidR="00102068">
        <w:rPr>
          <w:i/>
          <w:iCs/>
        </w:rPr>
        <w:t>косвенной</w:t>
      </w:r>
      <w:r w:rsidR="00102068">
        <w:t xml:space="preserve"> (гендерной) </w:t>
      </w:r>
      <w:r w:rsidR="00102068">
        <w:rPr>
          <w:i/>
          <w:iCs/>
        </w:rPr>
        <w:t>дискриминации</w:t>
      </w:r>
      <w:r w:rsidR="00102068">
        <w:t>. Как указано в предыдущих докладах правительства Исландии, ранее эти понятия были определены в Постановлении</w:t>
      </w:r>
      <w:r>
        <w:t> № </w:t>
      </w:r>
      <w:r w:rsidR="00102068">
        <w:t>47/2003 о функциях Центра по вопросам равенства мужчин и</w:t>
      </w:r>
      <w:r w:rsidR="004E3C3F">
        <w:t> женщин</w:t>
      </w:r>
      <w:r w:rsidR="00102068">
        <w:t xml:space="preserve">. Определения, представленные в </w:t>
      </w:r>
      <w:r>
        <w:t>статье </w:t>
      </w:r>
      <w:r w:rsidR="00102068">
        <w:t xml:space="preserve">2, основаны на </w:t>
      </w:r>
      <w:r>
        <w:t>статье </w:t>
      </w:r>
      <w:r w:rsidR="00102068">
        <w:t xml:space="preserve">1 КЛДОЖ и актах ЕС, которые были приняты государствами, входящими в ЕЭП и ЕАСТ. </w:t>
      </w:r>
    </w:p>
    <w:p w:rsidR="00102068" w:rsidRDefault="004C298C" w:rsidP="00102068">
      <w:pPr>
        <w:pStyle w:val="SingleTxtG"/>
      </w:pPr>
      <w:r>
        <w:tab/>
      </w:r>
      <w:r w:rsidR="00102068">
        <w:t>Весной 2014</w:t>
      </w:r>
      <w:r>
        <w:t> года</w:t>
      </w:r>
      <w:r w:rsidR="00102068">
        <w:t xml:space="preserve"> после утверждения парламентом Закона</w:t>
      </w:r>
      <w:r>
        <w:t> № </w:t>
      </w:r>
      <w:r w:rsidR="00102068">
        <w:t>62/2014 о внесении поправок в Закон о равенстве мужчин и</w:t>
      </w:r>
      <w:r w:rsidR="004E3C3F">
        <w:t> женщин</w:t>
      </w:r>
      <w:r>
        <w:t> № </w:t>
      </w:r>
      <w:r w:rsidR="00102068">
        <w:t xml:space="preserve">10/2008 с последующими поправками определения, содержащиеся в </w:t>
      </w:r>
      <w:r>
        <w:t>статье </w:t>
      </w:r>
      <w:r w:rsidR="00102068">
        <w:t xml:space="preserve">2, были изменены. Поводом к этому послужили замечания Наблюдательного органа ЕАСТ о том, что определения </w:t>
      </w:r>
      <w:r w:rsidR="00102068">
        <w:rPr>
          <w:i/>
          <w:iCs/>
        </w:rPr>
        <w:t xml:space="preserve">прямой </w:t>
      </w:r>
      <w:r w:rsidR="00102068">
        <w:t xml:space="preserve">и </w:t>
      </w:r>
      <w:r w:rsidR="00102068">
        <w:rPr>
          <w:i/>
          <w:iCs/>
        </w:rPr>
        <w:t>косвенной дискриминации</w:t>
      </w:r>
      <w:r w:rsidR="00102068">
        <w:t xml:space="preserve">, </w:t>
      </w:r>
      <w:r w:rsidR="00102068">
        <w:rPr>
          <w:i/>
          <w:iCs/>
        </w:rPr>
        <w:t xml:space="preserve">сексуального домогательства </w:t>
      </w:r>
      <w:r w:rsidR="00102068">
        <w:t xml:space="preserve">и </w:t>
      </w:r>
      <w:r w:rsidR="00102068">
        <w:rPr>
          <w:i/>
          <w:iCs/>
        </w:rPr>
        <w:t>домогательства по признаку пола</w:t>
      </w:r>
      <w:r w:rsidR="00102068">
        <w:t>, содержащиеся в Законе о равенстве мужчин и</w:t>
      </w:r>
      <w:r w:rsidR="004E3C3F">
        <w:t> женщин</w:t>
      </w:r>
      <w:r w:rsidR="00102068">
        <w:t xml:space="preserve">, несовместимы с определениями, сформулированными в </w:t>
      </w:r>
      <w:r>
        <w:t>пункте </w:t>
      </w:r>
      <w:r w:rsidR="00102068">
        <w:t xml:space="preserve">1 </w:t>
      </w:r>
      <w:r>
        <w:t>статьи </w:t>
      </w:r>
      <w:r w:rsidR="00102068">
        <w:t>2 Директивы 2006/54/EC Европейского парламента и Совета от 5</w:t>
      </w:r>
      <w:r>
        <w:t> июля</w:t>
      </w:r>
      <w:r w:rsidR="00102068">
        <w:t xml:space="preserve"> 2006</w:t>
      </w:r>
      <w:r>
        <w:t> года</w:t>
      </w:r>
      <w:r w:rsidR="00102068">
        <w:t xml:space="preserve"> об осуществлении принципа равных возможностей и равного обращения в отношении мужчин и</w:t>
      </w:r>
      <w:r w:rsidR="004E3C3F">
        <w:t> женщин</w:t>
      </w:r>
      <w:r w:rsidR="00102068">
        <w:t xml:space="preserve"> в вопросах трудоустройства и занятости и в </w:t>
      </w:r>
      <w:r>
        <w:t>статье </w:t>
      </w:r>
      <w:r w:rsidR="00102068">
        <w:t xml:space="preserve">3 Директивы </w:t>
      </w:r>
      <w:hyperlink r:id="rId16" w:anchor="_blank" w:history="1">
        <w:r w:rsidR="00102068" w:rsidRPr="00D23431">
          <w:rPr>
            <w:rStyle w:val="Hyperlink"/>
          </w:rPr>
          <w:t xml:space="preserve">2010/41/EU </w:t>
        </w:r>
      </w:hyperlink>
      <w:hyperlink r:id="rId17" w:anchor="_blank" w:history="1">
        <w:r w:rsidR="00102068" w:rsidRPr="00D23431">
          <w:rPr>
            <w:rStyle w:val="Hyperlink"/>
          </w:rPr>
          <w:t>Европейского парламента и Совета от</w:t>
        </w:r>
      </w:hyperlink>
      <w:hyperlink r:id="rId18" w:anchor="_blank" w:history="1">
        <w:r w:rsidR="00102068" w:rsidRPr="00D23431">
          <w:rPr>
            <w:rStyle w:val="Hyperlink"/>
          </w:rPr>
          <w:t xml:space="preserve"> 7 </w:t>
        </w:r>
      </w:hyperlink>
      <w:hyperlink r:id="rId19" w:anchor="_blank" w:history="1">
        <w:r w:rsidR="00102068" w:rsidRPr="00D23431">
          <w:rPr>
            <w:rStyle w:val="Hyperlink"/>
          </w:rPr>
          <w:t>июля</w:t>
        </w:r>
      </w:hyperlink>
      <w:hyperlink r:id="rId20" w:anchor="_blank" w:history="1">
        <w:r w:rsidR="00102068" w:rsidRPr="00D23431">
          <w:rPr>
            <w:rStyle w:val="Hyperlink"/>
          </w:rPr>
          <w:t xml:space="preserve"> 2010 </w:t>
        </w:r>
      </w:hyperlink>
      <w:hyperlink r:id="rId21" w:anchor="_blank" w:history="1">
        <w:r w:rsidR="00102068" w:rsidRPr="00D23431">
          <w:rPr>
            <w:rStyle w:val="Hyperlink"/>
          </w:rPr>
          <w:t>года</w:t>
        </w:r>
      </w:hyperlink>
      <w:r w:rsidR="00102068" w:rsidRPr="00D23431">
        <w:t xml:space="preserve"> </w:t>
      </w:r>
      <w:r w:rsidR="00102068">
        <w:t>о применении принципа равного подхода к мужчинам и</w:t>
      </w:r>
      <w:r w:rsidR="004E3C3F">
        <w:t> женщин</w:t>
      </w:r>
      <w:r w:rsidR="00102068">
        <w:t xml:space="preserve">ам, занимающимся самостоятельным ведением бизнеса, которая отменяет Директиву 86/613/EEC Совета. </w:t>
      </w:r>
    </w:p>
    <w:p w:rsidR="00102068" w:rsidRDefault="004C298C" w:rsidP="004C298C">
      <w:pPr>
        <w:pStyle w:val="SingleTxt"/>
      </w:pPr>
      <w:r>
        <w:tab/>
      </w:r>
      <w:r w:rsidR="00102068">
        <w:t>Соответствующие формулировки необходимо изменить, с тем чтобы более полно отразить в них содержание указанных директив. Наблюдательный орган ЕАСТ высказал еще несколько замечаний относительно сформулированных в Законе определений, в связи с которыми весной 2014</w:t>
      </w:r>
      <w:r>
        <w:t> года</w:t>
      </w:r>
      <w:r w:rsidR="00102068">
        <w:t xml:space="preserve"> были внесены вышеупомянутые поправки.</w:t>
      </w:r>
    </w:p>
    <w:p w:rsidR="00102068" w:rsidRDefault="004C298C" w:rsidP="004C298C">
      <w:pPr>
        <w:pStyle w:val="SingleTxt"/>
      </w:pPr>
      <w:r>
        <w:tab/>
      </w:r>
      <w:r w:rsidR="00102068">
        <w:t xml:space="preserve">В замечаниях Наблюдательного органа ЕАСТ указывалось, что предыдущее определение понятия </w:t>
      </w:r>
      <w:r w:rsidR="00102068">
        <w:rPr>
          <w:i/>
        </w:rPr>
        <w:t xml:space="preserve">прямой дискриминации </w:t>
      </w:r>
      <w:r w:rsidR="00102068">
        <w:t>не содержало конкретного упоминания о возможности сравнения сложившихся обстоятельств с ситуацией, имевшей место в прошлом, либо с гипотетической ситуацией, что не позволяло заявителю привести примеры дискриминации посредством сравнения своего положения с вымышленной ситуацией, касающейся лица противоположного пола.</w:t>
      </w:r>
    </w:p>
    <w:p w:rsidR="00102068" w:rsidRDefault="004C298C" w:rsidP="004C298C">
      <w:pPr>
        <w:pStyle w:val="SingleTxt"/>
      </w:pPr>
      <w:r>
        <w:tab/>
      </w:r>
      <w:r w:rsidR="00102068">
        <w:t xml:space="preserve">Новые определения понятий, указанные в </w:t>
      </w:r>
      <w:r>
        <w:t>статье </w:t>
      </w:r>
      <w:r w:rsidR="00102068">
        <w:t>2 пересмотренного Закона о равенстве мужчин и</w:t>
      </w:r>
      <w:r w:rsidR="004E3C3F">
        <w:t> женщин</w:t>
      </w:r>
      <w:r w:rsidR="00102068">
        <w:t>, сформулированы следующим образом:</w:t>
      </w:r>
    </w:p>
    <w:p w:rsidR="00102068" w:rsidRPr="004C298C" w:rsidRDefault="004C298C" w:rsidP="00102068">
      <w:pPr>
        <w:pStyle w:val="SingleTxtG"/>
        <w:rPr>
          <w:rFonts w:eastAsia="Calibri"/>
          <w:spacing w:val="4"/>
          <w:w w:val="103"/>
          <w:kern w:val="14"/>
          <w:szCs w:val="22"/>
        </w:rPr>
      </w:pPr>
      <w:r>
        <w:rPr>
          <w:b/>
          <w:bCs/>
          <w:i/>
          <w:iCs/>
        </w:rPr>
        <w:tab/>
      </w:r>
      <w:r w:rsidR="00102068">
        <w:rPr>
          <w:b/>
          <w:bCs/>
          <w:i/>
          <w:iCs/>
        </w:rPr>
        <w:t>Прямая дискриминация:</w:t>
      </w:r>
      <w:r w:rsidR="00102068">
        <w:t xml:space="preserve"> </w:t>
      </w:r>
      <w:r w:rsidR="00102068" w:rsidRPr="004C298C">
        <w:rPr>
          <w:rFonts w:eastAsia="Calibri"/>
          <w:spacing w:val="4"/>
          <w:w w:val="103"/>
          <w:kern w:val="14"/>
          <w:szCs w:val="22"/>
        </w:rPr>
        <w:t>ситуация, когда одно лицо подвергается менее благоприятному обращению по сравнению с обращением, которому другое лицо противоположного пола подвергается, подвергалось или подверглось бы в сопоставимой ситуации.</w:t>
      </w:r>
    </w:p>
    <w:p w:rsidR="00102068" w:rsidRDefault="004C298C" w:rsidP="00102068">
      <w:pPr>
        <w:pStyle w:val="SingleTxtG"/>
      </w:pPr>
      <w:r>
        <w:rPr>
          <w:b/>
          <w:bCs/>
          <w:i/>
          <w:iCs/>
        </w:rPr>
        <w:tab/>
      </w:r>
      <w:r w:rsidR="00102068">
        <w:rPr>
          <w:b/>
          <w:bCs/>
          <w:i/>
          <w:iCs/>
        </w:rPr>
        <w:t>Косвенная дискриминация:</w:t>
      </w:r>
      <w:r w:rsidR="00102068">
        <w:t xml:space="preserve"> </w:t>
      </w:r>
      <w:r w:rsidR="00102068" w:rsidRPr="004C298C">
        <w:rPr>
          <w:rFonts w:eastAsia="Calibri"/>
          <w:spacing w:val="4"/>
          <w:w w:val="103"/>
          <w:kern w:val="14"/>
          <w:szCs w:val="22"/>
        </w:rPr>
        <w:t>ситуация, в которой кажущиеся объективными требование, эталон для сравнения или мера могут создать менее благоприятные условия для представителя любого пола по сравнению с лицом противоположного пола при отсутствии оснований, обусловленных законной целью, средства достижения которой являются уместными и необходимыми.</w:t>
      </w:r>
    </w:p>
    <w:p w:rsidR="00102068" w:rsidRDefault="004C298C" w:rsidP="00102068">
      <w:pPr>
        <w:pStyle w:val="SingleTxtG"/>
      </w:pPr>
      <w:r>
        <w:rPr>
          <w:b/>
          <w:bCs/>
          <w:i/>
          <w:iCs/>
        </w:rPr>
        <w:tab/>
      </w:r>
      <w:r w:rsidR="00102068">
        <w:rPr>
          <w:b/>
          <w:bCs/>
          <w:i/>
          <w:iCs/>
        </w:rPr>
        <w:t>Домогательство по признаку пола:</w:t>
      </w:r>
      <w:r w:rsidR="00102068" w:rsidRPr="004C298C">
        <w:rPr>
          <w:rFonts w:eastAsia="Calibri"/>
          <w:b/>
          <w:bCs/>
          <w:i/>
          <w:iCs/>
          <w:spacing w:val="4"/>
          <w:w w:val="103"/>
          <w:kern w:val="14"/>
          <w:szCs w:val="22"/>
        </w:rPr>
        <w:t xml:space="preserve"> </w:t>
      </w:r>
      <w:r w:rsidR="00102068" w:rsidRPr="004C298C">
        <w:rPr>
          <w:rFonts w:eastAsia="Calibri"/>
          <w:spacing w:val="4"/>
          <w:w w:val="103"/>
          <w:kern w:val="14"/>
          <w:szCs w:val="22"/>
        </w:rPr>
        <w:t>поведение, связанное с половой принадлежностью затрагиваемого им лица, которое является нежелательным и имеет целью или результатом оскорбление чувства приличия данного лица и создание для него угрожающих, враждебных, приводящих к утрате самоуважения, унижающих или оскорбительных условий.</w:t>
      </w:r>
    </w:p>
    <w:p w:rsidR="00102068" w:rsidRDefault="004C298C" w:rsidP="00102068">
      <w:pPr>
        <w:pStyle w:val="SingleTxtG"/>
      </w:pPr>
      <w:r>
        <w:rPr>
          <w:b/>
          <w:bCs/>
          <w:i/>
          <w:iCs/>
        </w:rPr>
        <w:tab/>
      </w:r>
      <w:r w:rsidR="00102068">
        <w:rPr>
          <w:b/>
          <w:bCs/>
          <w:i/>
          <w:iCs/>
        </w:rPr>
        <w:t>Сексуальное домогательство:</w:t>
      </w:r>
      <w:r w:rsidR="00102068">
        <w:t xml:space="preserve"> </w:t>
      </w:r>
      <w:r w:rsidR="00102068" w:rsidRPr="004C298C">
        <w:rPr>
          <w:rFonts w:eastAsia="Calibri"/>
          <w:spacing w:val="4"/>
          <w:w w:val="103"/>
          <w:kern w:val="14"/>
          <w:szCs w:val="22"/>
        </w:rPr>
        <w:t>любая форма сексуального поведения, которая является нежелательной для затрагиваемого ею лица и имеет целью или результатом оскорбление чувства приличия данного лица, особенно в тех случаях, когда такое поведение приводит к созданию угрожающих, враждебных, приводящих к утрате самоуважения, унижающих или оскорбительных условий. Указанное поведение может быть вербальным, символическим и/или физическим.</w:t>
      </w:r>
      <w:r w:rsidR="00102068">
        <w:t xml:space="preserve"> </w:t>
      </w:r>
    </w:p>
    <w:p w:rsidR="00102068" w:rsidRDefault="004C298C" w:rsidP="004C298C">
      <w:pPr>
        <w:pStyle w:val="SingleTxt"/>
      </w:pPr>
      <w:r>
        <w:rPr>
          <w:b/>
          <w:bCs/>
          <w:i/>
          <w:iCs/>
        </w:rPr>
        <w:tab/>
      </w:r>
      <w:r w:rsidR="00102068">
        <w:rPr>
          <w:b/>
          <w:bCs/>
          <w:i/>
          <w:iCs/>
        </w:rPr>
        <w:t>Гендерное насилие:</w:t>
      </w:r>
      <w:r w:rsidR="00102068">
        <w:t xml:space="preserve"> насилие по признаку пола, которое приводит либо может привести к причинению жертве вреда или страданий физического, сексуального или психологического характера, а также угроза совершения такого акта, принуждение или необоснованное лишение свободы, имеющие место в частной жизни и в общественных местах.</w:t>
      </w:r>
    </w:p>
    <w:p w:rsidR="00102068" w:rsidRDefault="004C298C" w:rsidP="004C298C">
      <w:pPr>
        <w:pStyle w:val="SingleTxt"/>
      </w:pPr>
      <w:r>
        <w:tab/>
      </w:r>
      <w:r w:rsidR="00102068">
        <w:t>Соответствующая информация приведена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2</w:t>
      </w:r>
      <w:r>
        <w:br/>
      </w:r>
      <w:r>
        <w:tab/>
      </w:r>
      <w:r>
        <w:tab/>
      </w:r>
      <w:r w:rsidR="00102068">
        <w:t xml:space="preserve">Подпункты </w:t>
      </w:r>
      <w:r>
        <w:t>(</w:t>
      </w:r>
      <w:r w:rsidR="00102068">
        <w:t xml:space="preserve">a) и </w:t>
      </w:r>
      <w:r>
        <w:t>(</w:t>
      </w:r>
      <w:r w:rsidR="00102068">
        <w:t>b)</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З</w:t>
      </w:r>
      <w:r w:rsidR="00102068">
        <w:t>аконодательные акты о равноправии мужчин и</w:t>
      </w:r>
      <w:r w:rsidR="004E3C3F">
        <w:t> 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 xml:space="preserve">О принципе равенства прямо говорится в одном из положений Конституции Республики Исландии (см. </w:t>
      </w:r>
      <w:r>
        <w:t>статью </w:t>
      </w:r>
      <w:r w:rsidR="00102068">
        <w:t>65 Конституции,</w:t>
      </w:r>
      <w:r>
        <w:t> № </w:t>
      </w:r>
      <w:r w:rsidR="00102068">
        <w:t xml:space="preserve">33/1944; </w:t>
      </w:r>
      <w:r w:rsidR="00102068">
        <w:rPr>
          <w:i/>
          <w:iCs/>
        </w:rPr>
        <w:t>ср. </w:t>
      </w:r>
      <w:r w:rsidR="00102068">
        <w:t>Конституционный закон</w:t>
      </w:r>
      <w:r>
        <w:t> № </w:t>
      </w:r>
      <w:r w:rsidR="00102068">
        <w:t>97/1995), гласящем, что мужчины и</w:t>
      </w:r>
      <w:r w:rsidR="004E3C3F">
        <w:t> женщин</w:t>
      </w:r>
      <w:r w:rsidR="00102068">
        <w:t>ы должны во всех случаях иметь равные права. Наряду с этим с 1976</w:t>
      </w:r>
      <w:r>
        <w:t> года</w:t>
      </w:r>
      <w:r w:rsidR="00102068">
        <w:t xml:space="preserve"> в Исландии действует специальный закон, призванный обеспечить равноправие</w:t>
      </w:r>
      <w:r w:rsidR="004E3C3F">
        <w:t> женщин</w:t>
      </w:r>
      <w:r w:rsidR="00102068">
        <w:t xml:space="preserve"> и мужчин и их равный статус во всех отношениях.</w:t>
      </w:r>
    </w:p>
    <w:p w:rsidR="00102068" w:rsidRDefault="004C298C" w:rsidP="004C298C">
      <w:pPr>
        <w:pStyle w:val="SingleTxt"/>
        <w:rPr>
          <w:iCs/>
        </w:rPr>
      </w:pPr>
      <w:r>
        <w:tab/>
      </w:r>
      <w:r w:rsidR="00102068">
        <w:t>В новом Законе о равенстве мужчин и</w:t>
      </w:r>
      <w:r w:rsidR="004E3C3F">
        <w:t> женщин</w:t>
      </w:r>
      <w:r>
        <w:t> № </w:t>
      </w:r>
      <w:r w:rsidR="00102068">
        <w:t>10/2008 предусмотрены меры по реализации и мониторингу представленной политики.</w:t>
      </w:r>
    </w:p>
    <w:p w:rsidR="00102068" w:rsidRDefault="004C298C" w:rsidP="004C298C">
      <w:pPr>
        <w:pStyle w:val="SingleTxt"/>
      </w:pPr>
      <w:r>
        <w:tab/>
      </w:r>
      <w:r w:rsidR="00102068">
        <w:t>Весной 2014</w:t>
      </w:r>
      <w:r>
        <w:t> года</w:t>
      </w:r>
      <w:r w:rsidR="00102068">
        <w:t xml:space="preserve"> в Закон о равенстве мужчин и</w:t>
      </w:r>
      <w:r w:rsidR="004E3C3F">
        <w:t> женщин</w:t>
      </w:r>
      <w:r w:rsidR="00102068">
        <w:t xml:space="preserve"> были внесены существенные изменения. Наряду с новыми определениями, которые рассматриваются в разделе настоящего доклада, посвященном </w:t>
      </w:r>
      <w:r>
        <w:t>статье </w:t>
      </w:r>
      <w:r w:rsidR="00102068">
        <w:t>1, были проведены реформы, в соответствии с которыми по данному закону министр в настоящее время имеет право ввести в действие положение о дальнейшем осуществлении Закона о равенстве мужчин и</w:t>
      </w:r>
      <w:r w:rsidR="004E3C3F">
        <w:t> женщин</w:t>
      </w:r>
      <w:r w:rsidR="00102068">
        <w:t>, например, с целью установления стандарта равной оплаты труда. Идея заключается в создании системы</w:t>
      </w:r>
      <w:r w:rsidR="00102068" w:rsidRPr="00C9361C">
        <w:t>, позволяющей удостовериться в том, что</w:t>
      </w:r>
      <w:r w:rsidR="004E3C3F">
        <w:t> женщин</w:t>
      </w:r>
      <w:r w:rsidR="00102068">
        <w:t>ы и мужчины, работающие на одного и того же работодателя, получают равную заработную плату и что в отношении этих</w:t>
      </w:r>
      <w:r w:rsidR="004E3C3F">
        <w:t> женщин</w:t>
      </w:r>
      <w:r w:rsidR="00102068">
        <w:t xml:space="preserve"> и мужчин действуют равные условия найма для выполнения аналогичной работы и работы равной ценности. Окончательный вариант данного стандарта был опубликован в декабре 2012</w:t>
      </w:r>
      <w:r>
        <w:t> года</w:t>
      </w:r>
      <w:r w:rsidR="00102068">
        <w:t xml:space="preserve">. Более подробное рассмотрение стандарта равной оплаты труда представлено в разделе настоящего доклада, посвященном </w:t>
      </w:r>
      <w:r>
        <w:t>статье </w:t>
      </w:r>
      <w:r w:rsidR="00102068">
        <w:t>4.</w:t>
      </w:r>
    </w:p>
    <w:p w:rsidR="00102068" w:rsidRDefault="004C298C" w:rsidP="004C298C">
      <w:pPr>
        <w:pStyle w:val="SingleTxt"/>
      </w:pPr>
      <w:r>
        <w:tab/>
      </w:r>
      <w:r w:rsidR="00102068">
        <w:t>С дополнительной информацией можно ознакомиться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 xml:space="preserve">Подпункт </w:t>
      </w:r>
      <w:r>
        <w:t>(</w:t>
      </w:r>
      <w:r w:rsidR="00102068">
        <w:t>c)</w:t>
      </w:r>
      <w:r>
        <w:br/>
      </w:r>
      <w:r w:rsidR="00102068">
        <w:t>Комитет по рассмотрению жалоб по вопросам равенства мужчин и 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В 2009</w:t>
      </w:r>
      <w:r w:rsidRPr="004C298C">
        <w:rPr>
          <w:rFonts w:eastAsia="Calibri"/>
          <w:spacing w:val="4"/>
          <w:w w:val="103"/>
          <w:kern w:val="14"/>
          <w:szCs w:val="22"/>
        </w:rPr>
        <w:t> году</w:t>
      </w:r>
      <w:r w:rsidR="00102068" w:rsidRPr="004C298C">
        <w:rPr>
          <w:rFonts w:eastAsia="Calibri"/>
          <w:spacing w:val="4"/>
          <w:w w:val="103"/>
          <w:kern w:val="14"/>
          <w:szCs w:val="22"/>
        </w:rPr>
        <w:t xml:space="preserve"> Комитет по рассмотрению жалоб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w:t>
      </w:r>
      <w:r w:rsidR="00102068" w:rsidRPr="004C298C">
        <w:rPr>
          <w:rFonts w:eastAsia="Calibri"/>
          <w:i/>
          <w:spacing w:val="4"/>
          <w:w w:val="103"/>
          <w:kern w:val="14"/>
          <w:szCs w:val="22"/>
        </w:rPr>
        <w:t>Kærunefnd</w:t>
      </w:r>
      <w:r w:rsidR="00102068" w:rsidRPr="004C298C">
        <w:rPr>
          <w:rFonts w:eastAsia="Calibri"/>
          <w:spacing w:val="4"/>
          <w:w w:val="103"/>
          <w:kern w:val="14"/>
          <w:szCs w:val="22"/>
        </w:rPr>
        <w:t xml:space="preserve"> </w:t>
      </w:r>
      <w:r w:rsidR="00102068" w:rsidRPr="004C298C">
        <w:rPr>
          <w:rFonts w:eastAsia="Calibri"/>
          <w:i/>
          <w:spacing w:val="4"/>
          <w:w w:val="103"/>
          <w:kern w:val="14"/>
          <w:szCs w:val="22"/>
        </w:rPr>
        <w:t>jafnréttismála</w:t>
      </w:r>
      <w:r w:rsidR="00102068" w:rsidRPr="004C298C">
        <w:rPr>
          <w:rFonts w:eastAsia="Calibri"/>
          <w:spacing w:val="4"/>
          <w:w w:val="103"/>
          <w:kern w:val="14"/>
          <w:szCs w:val="22"/>
        </w:rPr>
        <w:t>) получил 11 жалоб. Две из них касались нарушений Закона о равенстве мужчин и</w:t>
      </w:r>
      <w:r w:rsidR="004E3C3F">
        <w:rPr>
          <w:rFonts w:eastAsia="Calibri"/>
          <w:spacing w:val="4"/>
          <w:w w:val="103"/>
          <w:kern w:val="14"/>
          <w:szCs w:val="22"/>
        </w:rPr>
        <w:t> женщин</w:t>
      </w:r>
      <w:r w:rsidR="00102068" w:rsidRPr="004C298C">
        <w:rPr>
          <w:rFonts w:eastAsia="Calibri"/>
          <w:spacing w:val="4"/>
          <w:w w:val="103"/>
          <w:kern w:val="14"/>
          <w:szCs w:val="22"/>
        </w:rPr>
        <w:t>, связанных с незаконным увольнением, две</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дискриминации в оплате труда, четыре</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назначений на должности, одна</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доступа для лиц с ограниченными возможностями, одна</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положения лица, получающего последипломное образование, и одна</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правил процедуры. Было установлено, что одна из этих жалоб нарушает Закон о равенстве мужчин и</w:t>
      </w:r>
      <w:r w:rsidR="004E3C3F">
        <w:rPr>
          <w:rFonts w:eastAsia="Calibri"/>
          <w:spacing w:val="4"/>
          <w:w w:val="103"/>
          <w:kern w:val="14"/>
          <w:szCs w:val="22"/>
        </w:rPr>
        <w:t> женщин</w:t>
      </w:r>
      <w:r w:rsidR="00102068" w:rsidRPr="004C298C">
        <w:rPr>
          <w:rFonts w:eastAsia="Calibri"/>
          <w:spacing w:val="4"/>
          <w:w w:val="103"/>
          <w:kern w:val="14"/>
          <w:szCs w:val="22"/>
        </w:rPr>
        <w:t>; в отношении пяти жалоб комитет пришел к выводу об отсутствии таких нарушений. Два дела были отозваны, а еще два отклонены.</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В 2010</w:t>
      </w:r>
      <w:r w:rsidRPr="004C298C">
        <w:rPr>
          <w:rFonts w:eastAsia="Calibri"/>
          <w:spacing w:val="4"/>
          <w:w w:val="103"/>
          <w:kern w:val="14"/>
          <w:szCs w:val="22"/>
        </w:rPr>
        <w:t> году</w:t>
      </w:r>
      <w:r w:rsidR="00102068" w:rsidRPr="004C298C">
        <w:rPr>
          <w:rFonts w:eastAsia="Calibri"/>
          <w:spacing w:val="4"/>
          <w:w w:val="103"/>
          <w:kern w:val="14"/>
          <w:szCs w:val="22"/>
        </w:rPr>
        <w:t xml:space="preserve"> в комитет было направлено пять дел. Четыре из них касались вопросов назначения на должность, а еще одно</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сексуального домогательства. В одном случае комитет не выявил никаких нарушений; второе дело было отклонено; третье из этих дел не было подвергнуто формальному рассмотрению.</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В 2011</w:t>
      </w:r>
      <w:r w:rsidRPr="004C298C">
        <w:rPr>
          <w:rFonts w:eastAsia="Calibri"/>
          <w:spacing w:val="4"/>
          <w:w w:val="103"/>
          <w:kern w:val="14"/>
          <w:szCs w:val="22"/>
        </w:rPr>
        <w:t> году</w:t>
      </w:r>
      <w:r w:rsidR="00102068" w:rsidRPr="004C298C">
        <w:rPr>
          <w:rFonts w:eastAsia="Calibri"/>
          <w:spacing w:val="4"/>
          <w:w w:val="103"/>
          <w:kern w:val="14"/>
          <w:szCs w:val="22"/>
        </w:rPr>
        <w:t xml:space="preserve"> комитет рассмотрел восемь дел. Четыре из них касались назначения на должность, одно было связано с незаконным увольнением, а еще одно</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с дискриминацией в оплате труда. Кроме того, было подано две жалобы, одна из которых касалась лишения возможности участвовать в поездке, запланированной комитетом по вопросам отпусков для домохозяек, а вторая</w:t>
      </w:r>
      <w:r w:rsidR="004E3C3F">
        <w:rPr>
          <w:rFonts w:eastAsia="Calibri"/>
          <w:spacing w:val="4"/>
          <w:w w:val="103"/>
          <w:kern w:val="14"/>
          <w:szCs w:val="22"/>
        </w:rPr>
        <w:t xml:space="preserve"> —  </w:t>
      </w:r>
      <w:r w:rsidR="00102068" w:rsidRPr="004C298C">
        <w:rPr>
          <w:rFonts w:eastAsia="Calibri"/>
          <w:spacing w:val="4"/>
          <w:w w:val="103"/>
          <w:kern w:val="14"/>
          <w:szCs w:val="22"/>
        </w:rPr>
        <w:t>специальной скидки, предоставляемой только</w:t>
      </w:r>
      <w:r w:rsidR="004E3C3F">
        <w:rPr>
          <w:rFonts w:eastAsia="Calibri"/>
          <w:spacing w:val="4"/>
          <w:w w:val="103"/>
          <w:kern w:val="14"/>
          <w:szCs w:val="22"/>
        </w:rPr>
        <w:t> женщин</w:t>
      </w:r>
      <w:r w:rsidR="00102068" w:rsidRPr="004C298C">
        <w:rPr>
          <w:rFonts w:eastAsia="Calibri"/>
          <w:spacing w:val="4"/>
          <w:w w:val="103"/>
          <w:kern w:val="14"/>
          <w:szCs w:val="22"/>
        </w:rPr>
        <w:t>ам. В двух случаях были выявлены нарушения; в отношении трех дел нарушений установлено не было. Два дела были отклонены, а еще одно отозвано.</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В 2012</w:t>
      </w:r>
      <w:r w:rsidRPr="004C298C">
        <w:rPr>
          <w:rFonts w:eastAsia="Calibri"/>
          <w:spacing w:val="4"/>
          <w:w w:val="103"/>
          <w:kern w:val="14"/>
          <w:szCs w:val="22"/>
        </w:rPr>
        <w:t> году</w:t>
      </w:r>
      <w:r w:rsidR="00102068" w:rsidRPr="004C298C">
        <w:rPr>
          <w:rFonts w:eastAsia="Calibri"/>
          <w:spacing w:val="4"/>
          <w:w w:val="103"/>
          <w:kern w:val="14"/>
          <w:szCs w:val="22"/>
        </w:rPr>
        <w:t xml:space="preserve"> комитет рассмотрел двенадцать дел. Пять жалоб касались назначения на должность или приема на работу, четыре</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дискриминации, связанной с ведением Национального реестра, две</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дискриминации в оплате труда, и одна</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ситуации, в которой определенная должность предлагалась только</w:t>
      </w:r>
      <w:r w:rsidR="004E3C3F">
        <w:rPr>
          <w:rFonts w:eastAsia="Calibri"/>
          <w:spacing w:val="4"/>
          <w:w w:val="103"/>
          <w:kern w:val="14"/>
          <w:szCs w:val="22"/>
        </w:rPr>
        <w:t> женщин</w:t>
      </w:r>
      <w:r w:rsidR="00102068" w:rsidRPr="004C298C">
        <w:rPr>
          <w:rFonts w:eastAsia="Calibri"/>
          <w:spacing w:val="4"/>
          <w:w w:val="103"/>
          <w:kern w:val="14"/>
          <w:szCs w:val="22"/>
        </w:rPr>
        <w:t>ам. В трех случаях были выявлены нарушения; в отношении четырех дел нарушений установлено не было; два дела были отозваны, а три жалобы отклонены.</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В 2013</w:t>
      </w:r>
      <w:r w:rsidRPr="004C298C">
        <w:rPr>
          <w:rFonts w:eastAsia="Calibri"/>
          <w:spacing w:val="4"/>
          <w:w w:val="103"/>
          <w:kern w:val="14"/>
          <w:szCs w:val="22"/>
        </w:rPr>
        <w:t> году</w:t>
      </w:r>
      <w:r w:rsidR="00102068" w:rsidRPr="004C298C">
        <w:rPr>
          <w:rFonts w:eastAsia="Calibri"/>
          <w:spacing w:val="4"/>
          <w:w w:val="103"/>
          <w:kern w:val="14"/>
          <w:szCs w:val="22"/>
        </w:rPr>
        <w:t xml:space="preserve"> Комитету по рассмотрению жалоб было представлено пять дел. Три из них касались приема на работу, одно</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увольнения и найма на две должности, а еще одно</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заработной платы и сроков службы. В отношении трех дел комитет пришел к выводу об отсутствии нарушений Закона о равенстве мужчин и</w:t>
      </w:r>
      <w:r w:rsidR="004E3C3F">
        <w:rPr>
          <w:rFonts w:eastAsia="Calibri"/>
          <w:spacing w:val="4"/>
          <w:w w:val="103"/>
          <w:kern w:val="14"/>
          <w:szCs w:val="22"/>
        </w:rPr>
        <w:t> женщин</w:t>
      </w:r>
      <w:r w:rsidR="00102068" w:rsidRPr="004C298C">
        <w:rPr>
          <w:rFonts w:eastAsia="Calibri"/>
          <w:spacing w:val="4"/>
          <w:w w:val="103"/>
          <w:kern w:val="14"/>
          <w:szCs w:val="22"/>
        </w:rPr>
        <w:t>; при рассмотрении двух других дел было установлено, что нарушения имели место.</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К апрелю 2014</w:t>
      </w:r>
      <w:r w:rsidRPr="004C298C">
        <w:rPr>
          <w:rFonts w:eastAsia="Calibri"/>
          <w:spacing w:val="4"/>
          <w:w w:val="103"/>
          <w:kern w:val="14"/>
          <w:szCs w:val="22"/>
        </w:rPr>
        <w:t> года</w:t>
      </w:r>
      <w:r w:rsidR="00102068" w:rsidRPr="004C298C">
        <w:rPr>
          <w:rFonts w:eastAsia="Calibri"/>
          <w:spacing w:val="4"/>
          <w:w w:val="103"/>
          <w:kern w:val="14"/>
          <w:szCs w:val="22"/>
        </w:rPr>
        <w:t xml:space="preserve"> Комитет по рассмотрению жалоб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получил два дела, которые находились на рассмотрении на момент написания доклада.</w:t>
      </w: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tab/>
      </w:r>
      <w:r w:rsidR="00102068">
        <w:t>Национальные суды</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pP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За период, прошедший со времени представления последнего доклада, Верховный суд вынес решения по трем делам, касающимся гендерного равенства. Два из них были связаны с назначением на должность, а третье</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с дискриминацией в оплате труда. По результатам рассмотрения каждого из трех дел ответчики были оправданы.</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Дело</w:t>
      </w:r>
      <w:r w:rsidRPr="004C298C">
        <w:rPr>
          <w:rFonts w:eastAsia="Calibri"/>
          <w:spacing w:val="4"/>
          <w:w w:val="103"/>
          <w:kern w:val="14"/>
          <w:szCs w:val="22"/>
        </w:rPr>
        <w:t> № </w:t>
      </w:r>
      <w:r w:rsidR="00102068" w:rsidRPr="004C298C">
        <w:rPr>
          <w:rFonts w:eastAsia="Calibri"/>
          <w:spacing w:val="4"/>
          <w:w w:val="103"/>
          <w:kern w:val="14"/>
          <w:szCs w:val="22"/>
        </w:rPr>
        <w:t>686/2008 Верховного суда касалось I, претендовавшей на должность ректора Сельскохозяйственного университета Исландии. О своем желании занять эту должность заявили в общей сложности 14</w:t>
      </w:r>
      <w:r>
        <w:rPr>
          <w:rFonts w:eastAsia="Calibri"/>
          <w:spacing w:val="4"/>
          <w:w w:val="103"/>
          <w:kern w:val="14"/>
          <w:szCs w:val="22"/>
        </w:rPr>
        <w:t> человек</w:t>
      </w:r>
      <w:r w:rsidR="00102068" w:rsidRPr="004C298C">
        <w:rPr>
          <w:rFonts w:eastAsia="Calibri"/>
          <w:spacing w:val="4"/>
          <w:w w:val="103"/>
          <w:kern w:val="14"/>
          <w:szCs w:val="22"/>
        </w:rPr>
        <w:t>. Совет университета высказал свое мнение в отношении перечня кандидатов до приглашения каждого из них на собеседование в Министерстве сельского хозяйства. Министр сельского хозяйства назначил ректором Á, однако I обратилась в министерство с просьбой указать причины его назначения. В предоставленном ей обосновании было сказано, что Á имеет четкое представление о будущем сельского хозяйства Исландии и месте, которое должно быть отведено университету. I подала жалобу парламентскому омбудсмену и передала дело в Комитет по рассмотрению жалоб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После этого I подала иск в суд, потребовав признания указанного назначения нарушением Закона о равенстве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и выплаты ей компенсации. I заявила, что ее образование и профессиональный опыт делают ее более подходящим кандидатом для выполнения указанной работы, нежели соискатель, получивший назначение. Она заявила, что данное назначение было обусловлено гендерными аспектами и что обоснование, представленное министерством, являлось неудовлетворительным. Сравнив кандидатуры Á и I, окружной суд пришел к выводу, что выбор Á является более перспективным вариантом. Кроме того, в ходе собеседования при приеме на работу Á проявил себя лучше, нежели I. Суд не смог найти доводов в пользу признания необоснованности данного назначения. Суд согласился с мнением ответчика</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Государства Исландия</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о том, что гендерные аспекты не являлись решающим фактором при рассмотрении данного дела, и отклонил требования I. Верховный суд оставил в силе решение окружного суда.</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Дело</w:t>
      </w:r>
      <w:r w:rsidRPr="004C298C">
        <w:rPr>
          <w:rFonts w:eastAsia="Calibri"/>
          <w:spacing w:val="4"/>
          <w:w w:val="103"/>
          <w:kern w:val="14"/>
          <w:szCs w:val="22"/>
        </w:rPr>
        <w:t> № </w:t>
      </w:r>
      <w:r w:rsidR="00102068" w:rsidRPr="004C298C">
        <w:rPr>
          <w:rFonts w:eastAsia="Calibri"/>
          <w:spacing w:val="4"/>
          <w:w w:val="103"/>
          <w:kern w:val="14"/>
          <w:szCs w:val="22"/>
        </w:rPr>
        <w:t>25/2009 Верховного суда касалось A, ставшей одним из четырех соискателей должности адъюнкт-профессора теории вычислительных машин и систем машиностроительного факультета Университета Исландии. Жюри пришло к выводу, что квалификацией, позволяющей занять этот пост, обладают два претендента. Кафедра машиностроения обсудила заключение жюри и решила назначить адъюнкт-профессором K. В письме, адресованном проректору университета, было указано, что кафедра считает K более подходящим кандидатом из этих двух претендентов. По просьбе декана факультета было представлено дополнительное обоснование, однако после этого проректор утвердил указанное назначение. Центр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подал иск от имени A, потребовав признания того, что назначение K являлось нарушением Закона о равенстве мужчин и</w:t>
      </w:r>
      <w:r w:rsidR="004E3C3F">
        <w:rPr>
          <w:rFonts w:eastAsia="Calibri"/>
          <w:spacing w:val="4"/>
          <w:w w:val="103"/>
          <w:kern w:val="14"/>
          <w:szCs w:val="22"/>
        </w:rPr>
        <w:t> женщин</w:t>
      </w:r>
      <w:r w:rsidR="00102068" w:rsidRPr="004C298C">
        <w:rPr>
          <w:rFonts w:eastAsia="Calibri"/>
          <w:spacing w:val="4"/>
          <w:w w:val="103"/>
          <w:kern w:val="14"/>
          <w:szCs w:val="22"/>
        </w:rPr>
        <w:t>. Наряду с этим было выдвинуто требование о предоставлении компенсации. Окружной суд не выявил нарушений данного закона. Он поддержал решение проректора и оправдал университет. Верховный суд оставил в силе это решение.</w:t>
      </w: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Наконец, дело</w:t>
      </w:r>
      <w:r w:rsidRPr="004C298C">
        <w:rPr>
          <w:rFonts w:eastAsia="Calibri"/>
          <w:spacing w:val="4"/>
          <w:w w:val="103"/>
          <w:kern w:val="14"/>
          <w:szCs w:val="22"/>
        </w:rPr>
        <w:t> № </w:t>
      </w:r>
      <w:r w:rsidR="00102068" w:rsidRPr="004C298C">
        <w:rPr>
          <w:rFonts w:eastAsia="Calibri"/>
          <w:spacing w:val="4"/>
          <w:w w:val="103"/>
          <w:kern w:val="14"/>
          <w:szCs w:val="22"/>
        </w:rPr>
        <w:t>267/2011 Верховного суда касалось обвинений в сексуальном домогательстве, проблем с выплатой заработной платы и компенсации за оскорбление личности. A предъявила претензии к B</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компании, которая, согласно ее заявлению, не выплатила ей заработную плату,</w:t>
      </w:r>
      <w:r w:rsidRPr="004C298C">
        <w:rPr>
          <w:rFonts w:eastAsia="Calibri"/>
          <w:spacing w:val="4"/>
          <w:w w:val="103"/>
          <w:kern w:val="14"/>
          <w:szCs w:val="22"/>
        </w:rPr>
        <w:t xml:space="preserve"> — </w:t>
      </w:r>
      <w:r w:rsidR="00102068" w:rsidRPr="004C298C">
        <w:rPr>
          <w:rFonts w:eastAsia="Calibri"/>
          <w:spacing w:val="4"/>
          <w:w w:val="103"/>
          <w:kern w:val="14"/>
          <w:szCs w:val="22"/>
        </w:rPr>
        <w:t xml:space="preserve"> наряду с требованием о предоставлении компенсации за сексуальное домогательство со стороны начальника, которому, по утверждению A, она подверглась. A заявила, что реакция компании не соответствовала серьезности ее требований и что впоследствии она была не в состоянии работать в данной компании. Верховный суд отклонил заявления A о том, что она подверглась сексуальному домогательству, в соответствии с формальным определением данного понятия в законодательстве. Кроме того, Суд не нашел доказательств ненадлежащего обращения с A со стороны сотрудников данной компании. Верховный суд вынес компании оправдательный приговор, признав несостоятельность требований A. </w:t>
      </w:r>
    </w:p>
    <w:p w:rsidR="004C298C" w:rsidRPr="004C298C" w:rsidRDefault="004C298C" w:rsidP="004C298C">
      <w:pPr>
        <w:pStyle w:val="SingleTxtG"/>
        <w:spacing w:after="0" w:line="120" w:lineRule="exact"/>
        <w:rPr>
          <w:i/>
          <w:sz w:val="10"/>
        </w:rPr>
      </w:pPr>
    </w:p>
    <w:p w:rsidR="004C298C" w:rsidRPr="004C298C" w:rsidRDefault="004C298C" w:rsidP="004C298C">
      <w:pPr>
        <w:pStyle w:val="SingleTxtG"/>
        <w:spacing w:after="0" w:line="120" w:lineRule="exact"/>
        <w:rPr>
          <w:i/>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Подпункты </w:t>
      </w:r>
      <w:r>
        <w:t>(</w:t>
      </w:r>
      <w:r w:rsidR="00102068">
        <w:t>d)–</w:t>
      </w:r>
      <w:r>
        <w:t>(</w:t>
      </w:r>
      <w:r w:rsidR="00102068">
        <w:t>g)</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rPr>
          <w:iCs/>
        </w:rPr>
      </w:pPr>
      <w:r>
        <w:tab/>
      </w:r>
      <w:r w:rsidR="00102068">
        <w:t>На протяжении последних нескольких десятилетий исландский парламент регулярно принимает четырехлетние планы действий, предусматривающие меры по обеспечению гендерного равенства. В 2011</w:t>
      </w:r>
      <w:r>
        <w:t> году</w:t>
      </w:r>
      <w:r w:rsidR="00102068">
        <w:t xml:space="preserve"> парламентом была принята новая резолюция о четырехлетнем плане действий в интересах равноправия мужчин и</w:t>
      </w:r>
      <w:r w:rsidR="004E3C3F">
        <w:t> женщин</w:t>
      </w:r>
      <w:r w:rsidR="00102068">
        <w:t xml:space="preserve"> в соответствии с</w:t>
      </w:r>
      <w:r w:rsidR="00102068">
        <w:rPr>
          <w:iCs/>
        </w:rPr>
        <w:t xml:space="preserve"> Законом о равенстве мужчин и</w:t>
      </w:r>
      <w:r w:rsidR="004E3C3F">
        <w:rPr>
          <w:iCs/>
        </w:rPr>
        <w:t> женщин</w:t>
      </w:r>
      <w:r>
        <w:rPr>
          <w:iCs/>
        </w:rPr>
        <w:t> № </w:t>
      </w:r>
      <w:r w:rsidR="00102068">
        <w:rPr>
          <w:iCs/>
        </w:rPr>
        <w:t xml:space="preserve">10/2008. План действий разбит на несколько разделов, каждый из которых посвящен отдельной теме. В каждом разделе перечислены проекты, которые должны быть реализованы, и указаны сроки их осуществления, названия ответственных структур и предполагаемые расходы. </w:t>
      </w:r>
    </w:p>
    <w:p w:rsidR="00102068" w:rsidRDefault="004C298C" w:rsidP="00102068">
      <w:pPr>
        <w:pStyle w:val="SingleTxtG"/>
      </w:pPr>
      <w:r>
        <w:tab/>
      </w:r>
      <w:r w:rsidR="00102068" w:rsidRPr="00897778">
        <w:t>С</w:t>
      </w:r>
      <w:r w:rsidR="00102068">
        <w:t xml:space="preserve"> дополнительной информацией можно ознакомиться в следующем разделе, посвященном </w:t>
      </w:r>
      <w:r>
        <w:t>статье </w:t>
      </w:r>
      <w:r w:rsidR="00102068">
        <w:t xml:space="preserve">3. </w:t>
      </w:r>
    </w:p>
    <w:p w:rsidR="004C298C" w:rsidRPr="004C298C" w:rsidRDefault="004C298C" w:rsidP="004C298C">
      <w:pPr>
        <w:pStyle w:val="H1"/>
        <w:spacing w:line="120" w:lineRule="exact"/>
        <w:rPr>
          <w:bCs/>
          <w:sz w:val="10"/>
        </w:rPr>
      </w:pPr>
    </w:p>
    <w:p w:rsidR="004C298C" w:rsidRPr="004C298C" w:rsidRDefault="004C298C" w:rsidP="004C298C">
      <w:pPr>
        <w:pStyle w:val="H1"/>
        <w:spacing w:line="120" w:lineRule="exact"/>
        <w:rPr>
          <w:bCs/>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Статья 3</w:t>
      </w:r>
      <w:r>
        <w:br/>
      </w:r>
      <w:r w:rsidR="00102068">
        <w:t>Программа действий в интересах равноправия мужчин и</w:t>
      </w:r>
      <w:r>
        <w:t> </w:t>
      </w:r>
      <w:r w:rsidR="00102068">
        <w:t>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Pr="004C298C" w:rsidRDefault="004C298C" w:rsidP="00102068">
      <w:pPr>
        <w:pStyle w:val="SingleTxtG"/>
        <w:rPr>
          <w:rFonts w:eastAsia="Calibri"/>
          <w:spacing w:val="4"/>
          <w:w w:val="103"/>
          <w:kern w:val="14"/>
          <w:szCs w:val="22"/>
        </w:rPr>
      </w:pPr>
      <w:r w:rsidRPr="004C298C">
        <w:rPr>
          <w:rFonts w:eastAsia="Calibri"/>
          <w:spacing w:val="4"/>
          <w:w w:val="103"/>
          <w:kern w:val="14"/>
          <w:szCs w:val="22"/>
        </w:rPr>
        <w:tab/>
      </w:r>
      <w:r w:rsidR="00102068" w:rsidRPr="004C298C">
        <w:rPr>
          <w:rFonts w:eastAsia="Calibri"/>
          <w:spacing w:val="4"/>
          <w:w w:val="103"/>
          <w:kern w:val="14"/>
          <w:szCs w:val="22"/>
        </w:rPr>
        <w:t xml:space="preserve">Как отмечено в предыдущих докладах исландского правительства, на протяжении последних нескольких десятилетий парламент регулярно принимает четырехлетние планы действий, предусматривающие меры по обеспечению гендерного равенства в соответствии со </w:t>
      </w:r>
      <w:r>
        <w:rPr>
          <w:rFonts w:eastAsia="Calibri"/>
          <w:spacing w:val="4"/>
          <w:w w:val="103"/>
          <w:kern w:val="14"/>
          <w:szCs w:val="22"/>
        </w:rPr>
        <w:t>статьей </w:t>
      </w:r>
      <w:r w:rsidR="00102068" w:rsidRPr="004C298C">
        <w:rPr>
          <w:rFonts w:eastAsia="Calibri"/>
          <w:spacing w:val="4"/>
          <w:w w:val="103"/>
          <w:kern w:val="14"/>
          <w:szCs w:val="22"/>
        </w:rPr>
        <w:t>11 Закона о равенстве мужчин и</w:t>
      </w:r>
      <w:r w:rsidR="004E3C3F">
        <w:rPr>
          <w:rFonts w:eastAsia="Calibri"/>
          <w:spacing w:val="4"/>
          <w:w w:val="103"/>
          <w:kern w:val="14"/>
          <w:szCs w:val="22"/>
        </w:rPr>
        <w:t> женщин</w:t>
      </w:r>
      <w:r w:rsidRPr="004C298C">
        <w:rPr>
          <w:rFonts w:eastAsia="Calibri"/>
          <w:spacing w:val="4"/>
          <w:w w:val="103"/>
          <w:kern w:val="14"/>
          <w:szCs w:val="22"/>
        </w:rPr>
        <w:t> № </w:t>
      </w:r>
      <w:r w:rsidR="00102068" w:rsidRPr="004C298C">
        <w:rPr>
          <w:rFonts w:eastAsia="Calibri"/>
          <w:spacing w:val="4"/>
          <w:w w:val="103"/>
          <w:kern w:val="14"/>
          <w:szCs w:val="22"/>
        </w:rPr>
        <w:t>10/2008. В течение</w:t>
      </w:r>
      <w:r w:rsidRPr="004C298C">
        <w:rPr>
          <w:rFonts w:eastAsia="Calibri"/>
          <w:spacing w:val="4"/>
          <w:w w:val="103"/>
          <w:kern w:val="14"/>
          <w:szCs w:val="22"/>
        </w:rPr>
        <w:t> года</w:t>
      </w:r>
      <w:r w:rsidR="00102068" w:rsidRPr="004C298C">
        <w:rPr>
          <w:rFonts w:eastAsia="Calibri"/>
          <w:spacing w:val="4"/>
          <w:w w:val="103"/>
          <w:kern w:val="14"/>
          <w:szCs w:val="22"/>
        </w:rPr>
        <w:t xml:space="preserve"> после проведения всеобщих выборов министр социальных дел и жилищного строительства должен представить парламенту предложение о парламентской резолюции в отношении плана после получения предложений министерств, Центра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и Совета по вопросам равенства мужчин и</w:t>
      </w:r>
      <w:r w:rsidR="004E3C3F">
        <w:rPr>
          <w:rFonts w:eastAsia="Calibri"/>
          <w:spacing w:val="4"/>
          <w:w w:val="103"/>
          <w:kern w:val="14"/>
          <w:szCs w:val="22"/>
        </w:rPr>
        <w:t> женщин</w:t>
      </w:r>
      <w:r w:rsidR="00102068" w:rsidRPr="004C298C">
        <w:rPr>
          <w:rFonts w:eastAsia="Calibri"/>
          <w:spacing w:val="4"/>
          <w:w w:val="103"/>
          <w:kern w:val="14"/>
          <w:szCs w:val="22"/>
        </w:rPr>
        <w:t>. План действий в интересах равноправия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должен включать проекты, направленные на обеспечение гендерного равенства в исландском обществе. Парламентская резолюция о плане действий в интересах равноправия мужчин и</w:t>
      </w:r>
      <w:r w:rsidR="004E3C3F">
        <w:rPr>
          <w:rFonts w:eastAsia="Calibri"/>
          <w:spacing w:val="4"/>
          <w:w w:val="103"/>
          <w:kern w:val="14"/>
          <w:szCs w:val="22"/>
        </w:rPr>
        <w:t> женщин</w:t>
      </w:r>
      <w:r w:rsidR="00102068" w:rsidRPr="004C298C">
        <w:rPr>
          <w:rFonts w:eastAsia="Calibri"/>
          <w:spacing w:val="4"/>
          <w:w w:val="103"/>
          <w:kern w:val="14"/>
          <w:szCs w:val="22"/>
        </w:rPr>
        <w:t xml:space="preserve"> на 2011–2014 годы была принята парламентом в 2011</w:t>
      </w:r>
      <w:r w:rsidRPr="004C298C">
        <w:rPr>
          <w:rFonts w:eastAsia="Calibri"/>
          <w:spacing w:val="4"/>
          <w:w w:val="103"/>
          <w:kern w:val="14"/>
          <w:szCs w:val="22"/>
        </w:rPr>
        <w:t> году</w:t>
      </w:r>
      <w:r w:rsidR="00102068" w:rsidRPr="004C298C">
        <w:rPr>
          <w:rFonts w:eastAsia="Calibri"/>
          <w:spacing w:val="4"/>
          <w:w w:val="103"/>
          <w:kern w:val="14"/>
          <w:szCs w:val="22"/>
        </w:rPr>
        <w:t>. Она стала пятой резолюцией, принятой по данному вопросу после 1986</w:t>
      </w:r>
      <w:r w:rsidRPr="004C298C">
        <w:rPr>
          <w:rFonts w:eastAsia="Calibri"/>
          <w:spacing w:val="4"/>
          <w:w w:val="103"/>
          <w:kern w:val="14"/>
          <w:szCs w:val="22"/>
        </w:rPr>
        <w:t> года</w:t>
      </w:r>
      <w:r w:rsidR="00102068" w:rsidRPr="004C298C">
        <w:rPr>
          <w:rFonts w:eastAsia="Calibri"/>
          <w:spacing w:val="4"/>
          <w:w w:val="103"/>
          <w:kern w:val="14"/>
          <w:szCs w:val="22"/>
        </w:rPr>
        <w:t>. План действий разбит на несколько разделов, каждый из которых посвящен отдельной теме. Нынешний план действий состоит из следующих разделов:</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1.</w:t>
      </w:r>
      <w:r w:rsidRPr="004C298C">
        <w:rPr>
          <w:rFonts w:eastAsia="Calibri"/>
          <w:spacing w:val="4"/>
          <w:w w:val="103"/>
          <w:kern w:val="14"/>
          <w:szCs w:val="22"/>
        </w:rPr>
        <w:tab/>
        <w:t>Управление</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2.</w:t>
      </w:r>
      <w:r w:rsidRPr="004C298C">
        <w:rPr>
          <w:rFonts w:eastAsia="Calibri"/>
          <w:spacing w:val="4"/>
          <w:w w:val="103"/>
          <w:kern w:val="14"/>
          <w:szCs w:val="22"/>
        </w:rPr>
        <w:tab/>
        <w:t>Рынок труда: гендерный разрыв в оплате труда</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3.</w:t>
      </w:r>
      <w:r w:rsidRPr="004C298C">
        <w:rPr>
          <w:rFonts w:eastAsia="Calibri"/>
          <w:spacing w:val="4"/>
          <w:w w:val="103"/>
          <w:kern w:val="14"/>
          <w:szCs w:val="22"/>
        </w:rPr>
        <w:tab/>
        <w:t>Гендер и власть</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4.</w:t>
      </w:r>
      <w:r w:rsidRPr="004C298C">
        <w:rPr>
          <w:rFonts w:eastAsia="Calibri"/>
          <w:spacing w:val="4"/>
          <w:w w:val="103"/>
          <w:kern w:val="14"/>
          <w:szCs w:val="22"/>
        </w:rPr>
        <w:tab/>
        <w:t>Гендерное насилие</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5.</w:t>
      </w:r>
      <w:r w:rsidRPr="004C298C">
        <w:rPr>
          <w:rFonts w:eastAsia="Calibri"/>
          <w:spacing w:val="4"/>
          <w:w w:val="103"/>
          <w:kern w:val="14"/>
          <w:szCs w:val="22"/>
        </w:rPr>
        <w:tab/>
        <w:t>Просвещение и гендерное равенство</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6.</w:t>
      </w:r>
      <w:r w:rsidRPr="004C298C">
        <w:rPr>
          <w:rFonts w:eastAsia="Calibri"/>
          <w:spacing w:val="4"/>
          <w:w w:val="103"/>
          <w:kern w:val="14"/>
          <w:szCs w:val="22"/>
        </w:rPr>
        <w:tab/>
        <w:t>Мужчины и гендерное равенство</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7.</w:t>
      </w:r>
      <w:r w:rsidRPr="004C298C">
        <w:rPr>
          <w:rFonts w:eastAsia="Calibri"/>
          <w:spacing w:val="4"/>
          <w:w w:val="103"/>
          <w:kern w:val="14"/>
          <w:szCs w:val="22"/>
        </w:rPr>
        <w:tab/>
        <w:t>Международные мероприятия</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8.</w:t>
      </w:r>
      <w:r w:rsidRPr="004C298C">
        <w:rPr>
          <w:rFonts w:eastAsia="Calibri"/>
          <w:spacing w:val="4"/>
          <w:w w:val="103"/>
          <w:kern w:val="14"/>
          <w:szCs w:val="22"/>
        </w:rPr>
        <w:tab/>
        <w:t>Контроль и пересмотр.</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Более подробное описание текущего плана представлено ниже.</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I.</w:t>
      </w:r>
      <w:r w:rsidRPr="004C298C">
        <w:rPr>
          <w:rFonts w:eastAsia="Calibri"/>
          <w:spacing w:val="4"/>
          <w:w w:val="103"/>
          <w:kern w:val="14"/>
          <w:szCs w:val="22"/>
        </w:rPr>
        <w:tab/>
        <w:t>Задачи, распределяемые органами управления:</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1.</w:t>
      </w:r>
      <w:r w:rsidRPr="004C298C">
        <w:rPr>
          <w:rFonts w:eastAsia="Calibri"/>
          <w:spacing w:val="4"/>
          <w:w w:val="103"/>
          <w:kern w:val="14"/>
          <w:szCs w:val="22"/>
        </w:rPr>
        <w:tab/>
        <w:t>Обеспечение учета гендерных аспектов в стратегиях и мероприятиях правительства Советом министров по вопросам равенства мужчин и</w:t>
      </w:r>
      <w:r w:rsidR="004E3C3F">
        <w:rPr>
          <w:rFonts w:eastAsia="Calibri"/>
          <w:spacing w:val="4"/>
          <w:w w:val="103"/>
          <w:kern w:val="14"/>
          <w:szCs w:val="22"/>
        </w:rPr>
        <w:t> женщин</w:t>
      </w:r>
      <w:r w:rsidRPr="004C298C">
        <w:rPr>
          <w:rFonts w:eastAsia="Calibri"/>
          <w:spacing w:val="4"/>
          <w:w w:val="103"/>
          <w:kern w:val="14"/>
          <w:szCs w:val="22"/>
        </w:rPr>
        <w:t>.</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2.</w:t>
      </w:r>
      <w:r w:rsidRPr="004C298C">
        <w:rPr>
          <w:rFonts w:eastAsia="Calibri"/>
          <w:spacing w:val="4"/>
          <w:w w:val="103"/>
          <w:kern w:val="14"/>
          <w:szCs w:val="22"/>
        </w:rPr>
        <w:tab/>
        <w:t>Создание фонда проектов по обеспечению гендерного равенства на общую сумму в 30 млн. исландских крон.</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3.</w:t>
      </w:r>
      <w:r w:rsidRPr="004C298C">
        <w:rPr>
          <w:rFonts w:eastAsia="Calibri"/>
          <w:spacing w:val="4"/>
          <w:w w:val="103"/>
          <w:kern w:val="14"/>
          <w:szCs w:val="22"/>
        </w:rPr>
        <w:tab/>
        <w:t>Обеспечение учета гендерных аспектов при разработке политики и принятии решений в рамках министерств и государственных учреждений, в том числе:</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a)</w:t>
      </w:r>
      <w:r w:rsidRPr="004C298C">
        <w:rPr>
          <w:rFonts w:eastAsia="Calibri"/>
          <w:spacing w:val="4"/>
          <w:w w:val="103"/>
          <w:kern w:val="14"/>
          <w:szCs w:val="22"/>
        </w:rPr>
        <w:tab/>
        <w:t>создание Руководящей группы, включающей руководителей министерств;</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b)</w:t>
      </w:r>
      <w:r w:rsidRPr="004C298C">
        <w:rPr>
          <w:rFonts w:eastAsia="Calibri"/>
          <w:spacing w:val="4"/>
          <w:w w:val="103"/>
          <w:kern w:val="14"/>
          <w:szCs w:val="22"/>
        </w:rPr>
        <w:tab/>
        <w:t>специальные совещания министров, высокопоставленных должностных лиц и экспертов по вопросам гендерного равенства, посвященные стратегиям, первоочередным задачам и методам обеспечения равенства мужчин и</w:t>
      </w:r>
      <w:r w:rsidR="004E3C3F">
        <w:rPr>
          <w:rFonts w:eastAsia="Calibri"/>
          <w:spacing w:val="4"/>
          <w:w w:val="103"/>
          <w:kern w:val="14"/>
          <w:szCs w:val="22"/>
        </w:rPr>
        <w:t> женщин</w:t>
      </w:r>
      <w:r w:rsidRPr="004C298C">
        <w:rPr>
          <w:rFonts w:eastAsia="Calibri"/>
          <w:spacing w:val="4"/>
          <w:w w:val="103"/>
          <w:kern w:val="14"/>
          <w:szCs w:val="22"/>
        </w:rPr>
        <w:t>;</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c)</w:t>
      </w:r>
      <w:r w:rsidRPr="004C298C">
        <w:rPr>
          <w:rFonts w:eastAsia="Calibri"/>
          <w:spacing w:val="4"/>
          <w:w w:val="103"/>
          <w:kern w:val="14"/>
          <w:szCs w:val="22"/>
        </w:rPr>
        <w:tab/>
        <w:t>обучение сотрудников министерств и учреждений методам учета гендерных аспектов;</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d)</w:t>
      </w:r>
      <w:r w:rsidRPr="004C298C">
        <w:rPr>
          <w:rFonts w:eastAsia="Calibri"/>
          <w:spacing w:val="4"/>
          <w:w w:val="103"/>
          <w:kern w:val="14"/>
          <w:szCs w:val="22"/>
        </w:rPr>
        <w:tab/>
        <w:t>ежегодное составление рекомендаций в отношении по меньшей мере двух проектов, входящих в сферу компетенции каждого министерства и являющихся пилотными проектами, которые должны быть завершены к концу каждого</w:t>
      </w:r>
      <w:r w:rsidR="004C298C" w:rsidRPr="004C298C">
        <w:rPr>
          <w:rFonts w:eastAsia="Calibri"/>
          <w:spacing w:val="4"/>
          <w:w w:val="103"/>
          <w:kern w:val="14"/>
          <w:szCs w:val="22"/>
        </w:rPr>
        <w:t> года</w:t>
      </w:r>
      <w:r w:rsidRPr="004C298C">
        <w:rPr>
          <w:rFonts w:eastAsia="Calibri"/>
          <w:spacing w:val="4"/>
          <w:w w:val="103"/>
          <w:kern w:val="14"/>
          <w:szCs w:val="22"/>
        </w:rPr>
        <w:t>;</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e)</w:t>
      </w:r>
      <w:r w:rsidRPr="004C298C">
        <w:rPr>
          <w:rFonts w:eastAsia="Calibri"/>
          <w:spacing w:val="4"/>
          <w:w w:val="103"/>
          <w:kern w:val="14"/>
          <w:szCs w:val="22"/>
        </w:rPr>
        <w:tab/>
        <w:t>анализ мер или контрольных показателей во всех основных областях деятельности министерств и учреждений с целью обеспечить постоянное наличие дезагрегированных по полу данных для разработки стратегий и принятия решений; определение областей, в которых сбор информации осуществляется нерегулярно, и принятие мер по исправлению сложившейся ситуации.</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4.</w:t>
      </w:r>
      <w:r w:rsidRPr="004C298C">
        <w:rPr>
          <w:rFonts w:eastAsia="Calibri"/>
          <w:spacing w:val="4"/>
          <w:w w:val="103"/>
          <w:kern w:val="14"/>
          <w:szCs w:val="22"/>
        </w:rPr>
        <w:tab/>
        <w:t>Назначение представителей министерств по вопросам гендерного равенства.</w:t>
      </w:r>
    </w:p>
    <w:p w:rsidR="00102068" w:rsidRPr="004C298C" w:rsidRDefault="00102068" w:rsidP="00102068">
      <w:pPr>
        <w:pStyle w:val="SingleTxtG"/>
        <w:rPr>
          <w:rFonts w:eastAsia="Calibri"/>
          <w:spacing w:val="4"/>
          <w:w w:val="103"/>
          <w:kern w:val="14"/>
          <w:szCs w:val="22"/>
        </w:rPr>
      </w:pPr>
      <w:r w:rsidRPr="004C298C">
        <w:rPr>
          <w:rFonts w:eastAsia="Calibri"/>
          <w:spacing w:val="4"/>
          <w:w w:val="103"/>
          <w:kern w:val="14"/>
          <w:szCs w:val="22"/>
        </w:rPr>
        <w:tab/>
        <w:t>5.</w:t>
      </w:r>
      <w:r w:rsidRPr="004C298C">
        <w:rPr>
          <w:rFonts w:eastAsia="Calibri"/>
          <w:spacing w:val="4"/>
          <w:w w:val="103"/>
          <w:kern w:val="14"/>
          <w:szCs w:val="22"/>
        </w:rPr>
        <w:tab/>
        <w:t>Составление бюджета с учетом гендерного фактора.</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6.</w:t>
      </w:r>
      <w:r w:rsidRPr="004C298C">
        <w:rPr>
          <w:rFonts w:eastAsia="Calibri"/>
          <w:spacing w:val="4"/>
          <w:w w:val="103"/>
          <w:kern w:val="14"/>
          <w:szCs w:val="22"/>
        </w:rPr>
        <w:tab/>
        <w:t>Разработка кодекса норм поведения для министров и государственных гражданских служащих.</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7.</w:t>
      </w:r>
      <w:r w:rsidRPr="004C298C">
        <w:rPr>
          <w:rFonts w:eastAsia="Calibri"/>
          <w:spacing w:val="4"/>
          <w:w w:val="103"/>
          <w:kern w:val="14"/>
          <w:szCs w:val="22"/>
        </w:rPr>
        <w:tab/>
        <w:t>Введение гендерных критериев, в соответствии с которыми соотношение полов среди членов комитетов, советов и управлений должно составлять 40:60.</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8.</w:t>
      </w:r>
      <w:r w:rsidRPr="004C298C">
        <w:rPr>
          <w:rFonts w:eastAsia="Calibri"/>
          <w:spacing w:val="4"/>
          <w:w w:val="103"/>
          <w:kern w:val="14"/>
          <w:szCs w:val="22"/>
        </w:rPr>
        <w:tab/>
        <w:t>Принятие мер к тому, чтобы все государственные учреждения действовали согласно программе по обеспечению равенства мужчин и</w:t>
      </w:r>
      <w:r w:rsidR="004E3C3F">
        <w:rPr>
          <w:rFonts w:eastAsia="Calibri"/>
          <w:spacing w:val="4"/>
          <w:w w:val="103"/>
          <w:kern w:val="14"/>
          <w:szCs w:val="22"/>
        </w:rPr>
        <w:t> женщин</w:t>
      </w:r>
      <w:r w:rsidRPr="004C298C">
        <w:rPr>
          <w:rFonts w:eastAsia="Calibri"/>
          <w:spacing w:val="4"/>
          <w:w w:val="103"/>
          <w:kern w:val="14"/>
          <w:szCs w:val="22"/>
        </w:rPr>
        <w:t xml:space="preserve">, имеющей четко определенные цели и предполагающей проведение конкретных мероприятий, в соответствии с пунктом 2 </w:t>
      </w:r>
      <w:r w:rsidR="004C298C" w:rsidRPr="004C298C">
        <w:rPr>
          <w:rFonts w:eastAsia="Calibri"/>
          <w:spacing w:val="4"/>
          <w:w w:val="103"/>
          <w:kern w:val="14"/>
          <w:szCs w:val="22"/>
        </w:rPr>
        <w:t>статьи </w:t>
      </w:r>
      <w:r w:rsidRPr="004C298C">
        <w:rPr>
          <w:rFonts w:eastAsia="Calibri"/>
          <w:spacing w:val="4"/>
          <w:w w:val="103"/>
          <w:kern w:val="14"/>
          <w:szCs w:val="22"/>
        </w:rPr>
        <w:t>18 Закона о равном положении и равных правах</w:t>
      </w:r>
      <w:r w:rsidR="004E3C3F">
        <w:rPr>
          <w:rFonts w:eastAsia="Calibri"/>
          <w:spacing w:val="4"/>
          <w:w w:val="103"/>
          <w:kern w:val="14"/>
          <w:szCs w:val="22"/>
        </w:rPr>
        <w:t> женщин</w:t>
      </w:r>
      <w:r w:rsidRPr="004C298C">
        <w:rPr>
          <w:rFonts w:eastAsia="Calibri"/>
          <w:spacing w:val="4"/>
          <w:w w:val="103"/>
          <w:kern w:val="14"/>
          <w:szCs w:val="22"/>
        </w:rPr>
        <w:t xml:space="preserve"> и мужчин</w:t>
      </w:r>
      <w:r w:rsidR="004C298C" w:rsidRPr="004C298C">
        <w:rPr>
          <w:rFonts w:eastAsia="Calibri"/>
          <w:spacing w:val="4"/>
          <w:w w:val="103"/>
          <w:kern w:val="14"/>
          <w:szCs w:val="22"/>
        </w:rPr>
        <w:t> № </w:t>
      </w:r>
      <w:r w:rsidRPr="004C298C">
        <w:rPr>
          <w:rFonts w:eastAsia="Calibri"/>
          <w:spacing w:val="4"/>
          <w:w w:val="103"/>
          <w:kern w:val="14"/>
          <w:szCs w:val="22"/>
        </w:rPr>
        <w:t>10/2008.</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9.</w:t>
      </w:r>
      <w:r w:rsidRPr="004C298C">
        <w:rPr>
          <w:rFonts w:eastAsia="Calibri"/>
          <w:spacing w:val="4"/>
          <w:w w:val="103"/>
          <w:kern w:val="14"/>
          <w:szCs w:val="22"/>
        </w:rPr>
        <w:tab/>
        <w:t>Размещение информации об исследованиях и проектах, осуществлявшихся на базе субсидий Фонда гендерного равенства, на веб-сайте правительственных учреждений с целью достижения максимальной эффективности мероприятий по обеспечению гендерного равенства.</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10.</w:t>
      </w:r>
      <w:r w:rsidRPr="004C298C">
        <w:rPr>
          <w:rFonts w:eastAsia="Calibri"/>
          <w:spacing w:val="4"/>
          <w:w w:val="103"/>
          <w:kern w:val="14"/>
          <w:szCs w:val="22"/>
        </w:rPr>
        <w:tab/>
        <w:t xml:space="preserve">Подготовка официальных статистических отчетов, опросов и обследований общественного мнения в соответствии со </w:t>
      </w:r>
      <w:r w:rsidR="004C298C">
        <w:rPr>
          <w:rFonts w:eastAsia="Calibri"/>
          <w:spacing w:val="4"/>
          <w:w w:val="103"/>
          <w:kern w:val="14"/>
          <w:szCs w:val="22"/>
        </w:rPr>
        <w:t>статьей </w:t>
      </w:r>
      <w:r w:rsidRPr="004C298C">
        <w:rPr>
          <w:rFonts w:eastAsia="Calibri"/>
          <w:spacing w:val="4"/>
          <w:w w:val="103"/>
          <w:kern w:val="14"/>
          <w:szCs w:val="22"/>
        </w:rPr>
        <w:t>16 Закона о равном положении и равных правах</w:t>
      </w:r>
      <w:r w:rsidR="004E3C3F">
        <w:rPr>
          <w:rFonts w:eastAsia="Calibri"/>
          <w:spacing w:val="4"/>
          <w:w w:val="103"/>
          <w:kern w:val="14"/>
          <w:szCs w:val="22"/>
        </w:rPr>
        <w:t> женщин</w:t>
      </w:r>
      <w:r w:rsidRPr="004C298C">
        <w:rPr>
          <w:rFonts w:eastAsia="Calibri"/>
          <w:spacing w:val="4"/>
          <w:w w:val="103"/>
          <w:kern w:val="14"/>
          <w:szCs w:val="22"/>
        </w:rPr>
        <w:t xml:space="preserve"> и мужчин</w:t>
      </w:r>
      <w:r w:rsidR="004C298C" w:rsidRPr="004C298C">
        <w:rPr>
          <w:rFonts w:eastAsia="Calibri"/>
          <w:spacing w:val="4"/>
          <w:w w:val="103"/>
          <w:kern w:val="14"/>
          <w:szCs w:val="22"/>
        </w:rPr>
        <w:t> № </w:t>
      </w:r>
      <w:r w:rsidRPr="004C298C">
        <w:rPr>
          <w:rFonts w:eastAsia="Calibri"/>
          <w:spacing w:val="4"/>
          <w:w w:val="103"/>
          <w:kern w:val="14"/>
          <w:szCs w:val="22"/>
        </w:rPr>
        <w:t>10/2008, предусматривающая разбиение данных по полу в случаях, когда это необходимо.</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11.</w:t>
      </w:r>
      <w:r w:rsidRPr="004C298C">
        <w:rPr>
          <w:rFonts w:eastAsia="Calibri"/>
          <w:spacing w:val="4"/>
          <w:w w:val="103"/>
          <w:kern w:val="14"/>
          <w:szCs w:val="22"/>
        </w:rPr>
        <w:tab/>
        <w:t>Дополнение законопроектов перечнем контрольных вопросов, касающихся гендерного равенства, который дает представление о том, влияет ли соответствующий законопроект на обеспечение равенства мужчин и</w:t>
      </w:r>
      <w:r w:rsidR="004E3C3F">
        <w:rPr>
          <w:rFonts w:eastAsia="Calibri"/>
          <w:spacing w:val="4"/>
          <w:w w:val="103"/>
          <w:kern w:val="14"/>
          <w:szCs w:val="22"/>
        </w:rPr>
        <w:t> женщин</w:t>
      </w:r>
      <w:r w:rsidRPr="004C298C">
        <w:rPr>
          <w:rFonts w:eastAsia="Calibri"/>
          <w:spacing w:val="4"/>
          <w:w w:val="103"/>
          <w:kern w:val="14"/>
          <w:szCs w:val="22"/>
        </w:rPr>
        <w:t>, и в чем заключается это влияние.</w:t>
      </w:r>
    </w:p>
    <w:p w:rsidR="00102068" w:rsidRDefault="00102068" w:rsidP="004C298C">
      <w:pPr>
        <w:pStyle w:val="SingleTxt"/>
      </w:pPr>
      <w:r>
        <w:t>II.</w:t>
      </w:r>
      <w:r>
        <w:tab/>
        <w:t>Задачи, касающиеся рынка труда (ответственные структуры: Министерство социального обеспечения и Министерство финансов):</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t>1.</w:t>
      </w:r>
      <w:r w:rsidRPr="004C298C">
        <w:rPr>
          <w:rFonts w:eastAsia="Calibri"/>
          <w:spacing w:val="4"/>
          <w:w w:val="103"/>
          <w:kern w:val="14"/>
          <w:szCs w:val="22"/>
        </w:rPr>
        <w:tab/>
        <w:t>Подготовка 7-этапного плана действий по устранению гендерного разрыва в оплате труда, предусматривающая:</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a)</w:t>
      </w:r>
      <w:r w:rsidRPr="004C298C">
        <w:rPr>
          <w:rFonts w:eastAsia="Calibri"/>
          <w:spacing w:val="4"/>
          <w:w w:val="103"/>
          <w:kern w:val="14"/>
          <w:szCs w:val="22"/>
        </w:rPr>
        <w:tab/>
        <w:t>назначение исполнительного комитета по вопросу равной оплаты труда мужчин и</w:t>
      </w:r>
      <w:r w:rsidR="004E3C3F">
        <w:rPr>
          <w:rFonts w:eastAsia="Calibri"/>
          <w:spacing w:val="4"/>
          <w:w w:val="103"/>
          <w:kern w:val="14"/>
          <w:szCs w:val="22"/>
        </w:rPr>
        <w:t> женщин</w:t>
      </w:r>
      <w:r w:rsidRPr="004C298C">
        <w:rPr>
          <w:rFonts w:eastAsia="Calibri"/>
          <w:spacing w:val="4"/>
          <w:w w:val="103"/>
          <w:kern w:val="14"/>
          <w:szCs w:val="22"/>
        </w:rPr>
        <w:t>;</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b)</w:t>
      </w:r>
      <w:r w:rsidRPr="004C298C">
        <w:rPr>
          <w:rFonts w:eastAsia="Calibri"/>
          <w:spacing w:val="4"/>
          <w:w w:val="103"/>
          <w:kern w:val="14"/>
          <w:szCs w:val="22"/>
        </w:rPr>
        <w:tab/>
        <w:t>разработка стандарта в области обеспечения равенства и систематическое просвещение по вопросам его применения на практике;</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c)</w:t>
      </w:r>
      <w:r w:rsidRPr="004C298C">
        <w:rPr>
          <w:rFonts w:eastAsia="Calibri"/>
          <w:spacing w:val="4"/>
          <w:w w:val="103"/>
          <w:kern w:val="14"/>
          <w:szCs w:val="22"/>
        </w:rPr>
        <w:tab/>
        <w:t>повышение технического потенциала государственной системы, регулирующей вопросы оплаты труда, с целью обеспечения возможностей для статистически значимой и регулярной оценки размеров заработной платы мужчин и</w:t>
      </w:r>
      <w:r w:rsidR="004E3C3F">
        <w:rPr>
          <w:rFonts w:eastAsia="Calibri"/>
          <w:spacing w:val="4"/>
          <w:w w:val="103"/>
          <w:kern w:val="14"/>
          <w:szCs w:val="22"/>
        </w:rPr>
        <w:t> женщин</w:t>
      </w:r>
      <w:r w:rsidRPr="004C298C">
        <w:rPr>
          <w:rFonts w:eastAsia="Calibri"/>
          <w:spacing w:val="4"/>
          <w:w w:val="103"/>
          <w:kern w:val="14"/>
          <w:szCs w:val="22"/>
        </w:rPr>
        <w:t xml:space="preserve"> в министерствах и государственных учреждениях;</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d)</w:t>
      </w:r>
      <w:r w:rsidRPr="004C298C">
        <w:rPr>
          <w:rFonts w:eastAsia="Calibri"/>
          <w:spacing w:val="4"/>
          <w:w w:val="103"/>
          <w:kern w:val="14"/>
          <w:szCs w:val="22"/>
        </w:rPr>
        <w:tab/>
        <w:t>анализ успешности ранжирования видов работ, проводимого муниципалитетами, с целью сокращения гендерного разрыва в оплате труда;</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e)</w:t>
      </w:r>
      <w:r w:rsidRPr="004C298C">
        <w:rPr>
          <w:rFonts w:eastAsia="Calibri"/>
          <w:spacing w:val="4"/>
          <w:w w:val="103"/>
          <w:kern w:val="14"/>
          <w:szCs w:val="22"/>
        </w:rPr>
        <w:tab/>
        <w:t>налаживание сотрудничества с организациями социальных партнеров в области осуществления Плана по обеспечению равной оплаты труда;</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f)</w:t>
      </w:r>
      <w:r w:rsidRPr="004C298C">
        <w:rPr>
          <w:rFonts w:eastAsia="Calibri"/>
          <w:spacing w:val="4"/>
          <w:w w:val="103"/>
          <w:kern w:val="14"/>
          <w:szCs w:val="22"/>
        </w:rPr>
        <w:tab/>
        <w:t>публикация брошюры с информацией о том, каким образом следует толковать положения Закона о равном положении и равных правах</w:t>
      </w:r>
      <w:r w:rsidR="004E3C3F">
        <w:rPr>
          <w:rFonts w:eastAsia="Calibri"/>
          <w:spacing w:val="4"/>
          <w:w w:val="103"/>
          <w:kern w:val="14"/>
          <w:szCs w:val="22"/>
        </w:rPr>
        <w:t> женщин</w:t>
      </w:r>
      <w:r w:rsidRPr="004C298C">
        <w:rPr>
          <w:rFonts w:eastAsia="Calibri"/>
          <w:spacing w:val="4"/>
          <w:w w:val="103"/>
          <w:kern w:val="14"/>
          <w:szCs w:val="22"/>
        </w:rPr>
        <w:t xml:space="preserve"> и мужчин, касающиеся равной платы за равный труд;</w:t>
      </w:r>
    </w:p>
    <w:p w:rsidR="00102068" w:rsidRPr="004C298C" w:rsidRDefault="00102068" w:rsidP="00102068">
      <w:pPr>
        <w:pStyle w:val="SingleTxtG"/>
        <w:ind w:left="1701" w:hanging="437"/>
        <w:rPr>
          <w:rFonts w:eastAsia="Calibri"/>
          <w:spacing w:val="4"/>
          <w:w w:val="103"/>
          <w:kern w:val="14"/>
          <w:szCs w:val="22"/>
        </w:rPr>
      </w:pPr>
      <w:r w:rsidRPr="004C298C">
        <w:rPr>
          <w:rFonts w:eastAsia="Calibri"/>
          <w:spacing w:val="4"/>
          <w:w w:val="103"/>
          <w:kern w:val="14"/>
          <w:szCs w:val="22"/>
        </w:rPr>
        <w:tab/>
      </w:r>
      <w:r w:rsidRPr="004C298C">
        <w:rPr>
          <w:rFonts w:eastAsia="Calibri"/>
          <w:spacing w:val="4"/>
          <w:w w:val="103"/>
          <w:kern w:val="14"/>
          <w:szCs w:val="22"/>
        </w:rPr>
        <w:tab/>
        <w:t>g)</w:t>
      </w:r>
      <w:r w:rsidRPr="004C298C">
        <w:rPr>
          <w:rFonts w:eastAsia="Calibri"/>
          <w:spacing w:val="4"/>
          <w:w w:val="103"/>
          <w:kern w:val="14"/>
          <w:szCs w:val="22"/>
        </w:rPr>
        <w:tab/>
        <w:t>издание перечня контрольных вопросов для директоров учреждений, определяющего критерии пересмотра ставок заработной платы и делающего возможным достижение целей равной оплаты труда.</w:t>
      </w:r>
    </w:p>
    <w:p w:rsidR="00102068" w:rsidRPr="00C9361C" w:rsidRDefault="00102068" w:rsidP="004C298C">
      <w:pPr>
        <w:pStyle w:val="SingleTxt"/>
        <w:tabs>
          <w:tab w:val="right" w:pos="1685"/>
        </w:tabs>
        <w:ind w:left="1742" w:hanging="475"/>
      </w:pPr>
      <w:r w:rsidRPr="00C9361C">
        <w:tab/>
        <w:t>2.</w:t>
      </w:r>
      <w:r w:rsidRPr="00C9361C">
        <w:tab/>
        <w:t>Анализ гендерного разрыва в оплате труда в сельских районах.</w:t>
      </w:r>
    </w:p>
    <w:p w:rsidR="00102068" w:rsidRPr="00C9361C" w:rsidRDefault="00102068" w:rsidP="004C298C">
      <w:pPr>
        <w:pStyle w:val="SingleTxt"/>
        <w:tabs>
          <w:tab w:val="right" w:pos="1685"/>
        </w:tabs>
        <w:ind w:left="1742" w:hanging="475"/>
      </w:pPr>
      <w:r w:rsidRPr="00C9361C">
        <w:tab/>
        <w:t>3.</w:t>
      </w:r>
      <w:r w:rsidRPr="00C9361C">
        <w:tab/>
        <w:t>Анализ гендерного разрыва в оплате труда в рыболовстве и сельском хозяйстве и возможностей для обучения лиц соответствующих профессий.</w:t>
      </w:r>
    </w:p>
    <w:p w:rsidR="00102068" w:rsidRPr="00C9361C" w:rsidRDefault="00102068" w:rsidP="004C298C">
      <w:pPr>
        <w:pStyle w:val="SingleTxt"/>
        <w:tabs>
          <w:tab w:val="right" w:pos="1685"/>
        </w:tabs>
        <w:ind w:left="1742" w:hanging="475"/>
      </w:pPr>
      <w:r w:rsidRPr="00C9361C">
        <w:tab/>
        <w:t>4.</w:t>
      </w:r>
      <w:r w:rsidRPr="00C9361C">
        <w:tab/>
        <w:t>Проведение обследования с целью установить, насколько часто родители берут отпуск по уходу за ребенком, и определить его влияние на разделение труда в семье и участие</w:t>
      </w:r>
      <w:r w:rsidR="004E3C3F">
        <w:t> женщин</w:t>
      </w:r>
      <w:r w:rsidRPr="00C9361C">
        <w:t xml:space="preserve"> и мужчин в рабочей силе.</w:t>
      </w:r>
    </w:p>
    <w:p w:rsidR="00102068" w:rsidRPr="00C9361C" w:rsidRDefault="00102068" w:rsidP="004C298C">
      <w:pPr>
        <w:pStyle w:val="SingleTxt"/>
        <w:tabs>
          <w:tab w:val="right" w:pos="1685"/>
        </w:tabs>
        <w:ind w:left="1742" w:hanging="475"/>
      </w:pPr>
      <w:r w:rsidRPr="00C9361C">
        <w:tab/>
        <w:t>5.</w:t>
      </w:r>
      <w:r w:rsidRPr="00C9361C">
        <w:tab/>
        <w:t>Изучение комитетом, назначенным в соответствии с приоритетами Совета по вопросам равного статуса в 2010</w:t>
      </w:r>
      <w:r w:rsidR="004C298C">
        <w:t> году</w:t>
      </w:r>
      <w:r w:rsidRPr="00C9361C">
        <w:t>, методов оказания поддержки в обеспечении согласованности трудовой деятельности и семейной жизни активным участникам рынка труда.</w:t>
      </w:r>
    </w:p>
    <w:p w:rsidR="00102068" w:rsidRPr="00C9361C" w:rsidRDefault="00102068" w:rsidP="004C298C">
      <w:pPr>
        <w:pStyle w:val="SingleTxt"/>
        <w:tabs>
          <w:tab w:val="right" w:pos="1685"/>
        </w:tabs>
        <w:ind w:left="1742" w:hanging="475"/>
      </w:pPr>
      <w:r w:rsidRPr="00C9361C">
        <w:tab/>
        <w:t>6.</w:t>
      </w:r>
      <w:r w:rsidRPr="00C9361C">
        <w:tab/>
        <w:t>Оценка положительного эффекта мероприятий различных основных фондов для каждого пола и пересмотр правил распределения в случае, если получатели субсидий любого пола испытывают нехватку средств.</w:t>
      </w:r>
    </w:p>
    <w:p w:rsidR="00102068" w:rsidRPr="00C9361C" w:rsidRDefault="00102068" w:rsidP="004C298C">
      <w:pPr>
        <w:pStyle w:val="SingleTxt"/>
        <w:tabs>
          <w:tab w:val="right" w:pos="1685"/>
        </w:tabs>
        <w:ind w:left="1742" w:hanging="475"/>
      </w:pPr>
      <w:r w:rsidRPr="00C9361C">
        <w:tab/>
        <w:t>7.</w:t>
      </w:r>
      <w:r w:rsidRPr="00C9361C">
        <w:tab/>
        <w:t>Возобновление деятельности Фонда гарантий по кредитам для</w:t>
      </w:r>
      <w:r w:rsidR="004E3C3F">
        <w:t> женщин</w:t>
      </w:r>
      <w:r w:rsidRPr="00C9361C">
        <w:t xml:space="preserve"> с целью поддержки женского предпринимательства посредством предоставления гарантий возвращения кредитов.</w:t>
      </w:r>
    </w:p>
    <w:p w:rsidR="00102068" w:rsidRPr="00C9361C" w:rsidRDefault="00102068" w:rsidP="004C298C">
      <w:pPr>
        <w:pStyle w:val="SingleTxt"/>
        <w:tabs>
          <w:tab w:val="right" w:pos="1685"/>
        </w:tabs>
        <w:ind w:left="1742" w:hanging="475"/>
      </w:pPr>
      <w:r w:rsidRPr="00C9361C">
        <w:tab/>
        <w:t>8.</w:t>
      </w:r>
      <w:r w:rsidRPr="00C9361C">
        <w:tab/>
        <w:t>Судебная оценка толкования Закона о равных правах в заключениях Комитета по рассмотрению жалоб по вопросам равенства мужчин и</w:t>
      </w:r>
      <w:r w:rsidR="004E3C3F">
        <w:t> женщин</w:t>
      </w:r>
      <w:r w:rsidRPr="00C9361C">
        <w:t>.</w:t>
      </w:r>
    </w:p>
    <w:p w:rsidR="00102068" w:rsidRPr="00C9361C" w:rsidRDefault="00102068" w:rsidP="004C298C">
      <w:pPr>
        <w:pStyle w:val="SingleTxt"/>
      </w:pPr>
      <w:r w:rsidRPr="00C9361C">
        <w:t>III.</w:t>
      </w:r>
      <w:r w:rsidRPr="00C9361C">
        <w:tab/>
        <w:t>Задачи, касающиеся гендера и власти:</w:t>
      </w:r>
    </w:p>
    <w:p w:rsidR="00102068" w:rsidRPr="00C9361C" w:rsidRDefault="00102068" w:rsidP="004C298C">
      <w:pPr>
        <w:pStyle w:val="SingleTxt"/>
        <w:tabs>
          <w:tab w:val="right" w:pos="1685"/>
        </w:tabs>
        <w:ind w:left="1742" w:hanging="475"/>
      </w:pPr>
      <w:r w:rsidRPr="00C9361C">
        <w:tab/>
        <w:t>1.</w:t>
      </w:r>
      <w:r w:rsidRPr="00C9361C">
        <w:tab/>
        <w:t>Назначение рабочей группы для изучения условий и режима работы избранных представителей в органах местного самоуправления с учетом гендерного аспекта и их влияния на участие</w:t>
      </w:r>
      <w:r w:rsidR="004E3C3F">
        <w:t> женщин</w:t>
      </w:r>
      <w:r w:rsidRPr="00C9361C">
        <w:t xml:space="preserve"> в мероприятиях, осуществляемых этими органами.</w:t>
      </w:r>
    </w:p>
    <w:p w:rsidR="00102068" w:rsidRPr="00C9361C" w:rsidRDefault="00102068" w:rsidP="004C298C">
      <w:pPr>
        <w:pStyle w:val="SingleTxt"/>
        <w:tabs>
          <w:tab w:val="right" w:pos="1685"/>
        </w:tabs>
        <w:ind w:left="1742" w:hanging="475"/>
      </w:pPr>
      <w:r w:rsidRPr="00C9361C">
        <w:tab/>
        <w:t>2.</w:t>
      </w:r>
      <w:r w:rsidRPr="00C9361C">
        <w:tab/>
        <w:t>Обновление и поддержание работы базы данных по вопросам гендерного равенства на уровне местного самоуправления.</w:t>
      </w:r>
    </w:p>
    <w:p w:rsidR="00102068" w:rsidRPr="00C9361C" w:rsidRDefault="00102068" w:rsidP="004C298C">
      <w:pPr>
        <w:pStyle w:val="SingleTxt"/>
        <w:tabs>
          <w:tab w:val="right" w:pos="1685"/>
        </w:tabs>
        <w:ind w:left="1742" w:hanging="475"/>
      </w:pPr>
      <w:r w:rsidRPr="00C9361C">
        <w:tab/>
        <w:t>3.</w:t>
      </w:r>
      <w:r w:rsidRPr="00C9361C">
        <w:tab/>
        <w:t>Обеспечение надлежащей доли</w:t>
      </w:r>
      <w:r w:rsidR="004E3C3F">
        <w:t> женщин</w:t>
      </w:r>
      <w:r w:rsidRPr="00C9361C">
        <w:t xml:space="preserve"> в правлениях компаний и учреждений. Распространение информации и подготовка пропагандистских материалов с целью повышения осведомленности о вступлении в силу Закона № 13/2010, предусматривающего, что в правлениях государственных и частных компаний, которые в среднем нанимают свыше 50 работников в год, должны быть представлены оба пола, если правление состоит из трех и более членов.</w:t>
      </w:r>
    </w:p>
    <w:p w:rsidR="00102068" w:rsidRPr="006709CE" w:rsidRDefault="00102068" w:rsidP="004C298C">
      <w:pPr>
        <w:pStyle w:val="SingleTxt"/>
      </w:pPr>
      <w:r w:rsidRPr="006709CE">
        <w:t>IV.</w:t>
      </w:r>
      <w:r w:rsidRPr="006709CE">
        <w:tab/>
        <w:t>Задачи, касающиеся гендерного насилия:</w:t>
      </w:r>
    </w:p>
    <w:p w:rsidR="00102068" w:rsidRPr="006709CE" w:rsidRDefault="00102068" w:rsidP="004C298C">
      <w:pPr>
        <w:pStyle w:val="SingleTxt"/>
        <w:tabs>
          <w:tab w:val="right" w:pos="1685"/>
        </w:tabs>
        <w:ind w:left="1742" w:hanging="475"/>
      </w:pPr>
      <w:r>
        <w:tab/>
      </w:r>
      <w:r w:rsidRPr="006709CE">
        <w:t>1.</w:t>
      </w:r>
      <w:r w:rsidRPr="006709CE">
        <w:tab/>
        <w:t>Разработка нового плана действий по борьбе с гендерным насилием.</w:t>
      </w:r>
    </w:p>
    <w:p w:rsidR="00102068" w:rsidRDefault="00102068" w:rsidP="004C298C">
      <w:pPr>
        <w:pStyle w:val="SingleTxt"/>
        <w:tabs>
          <w:tab w:val="right" w:pos="1685"/>
        </w:tabs>
        <w:ind w:left="1742" w:hanging="475"/>
      </w:pPr>
      <w:r>
        <w:tab/>
        <w:t>2.</w:t>
      </w:r>
      <w:r>
        <w:tab/>
        <w:t xml:space="preserve">Представление альтингу законопроекта о внесении поправок в Закон о запретительных судебных приказах с целью разрешить </w:t>
      </w:r>
      <w:r w:rsidRPr="006709CE">
        <w:t>компетентным</w:t>
      </w:r>
      <w:r>
        <w:t xml:space="preserve"> органам в системе уголовного правосудия принимать меры к тому, чтобы лицо, применяющее насилие в отношении членов своего домохозяйства, покинуло это домохозяйство. Основой для этой работы должен служить так называемый </w:t>
      </w:r>
      <w:r w:rsidR="004C298C">
        <w:t>«</w:t>
      </w:r>
      <w:r>
        <w:t>австрийский метод</w:t>
      </w:r>
      <w:r w:rsidR="004C298C">
        <w:t>»</w:t>
      </w:r>
      <w:r>
        <w:t>.</w:t>
      </w:r>
    </w:p>
    <w:p w:rsidR="00102068" w:rsidRPr="00C9361C" w:rsidRDefault="00102068" w:rsidP="004C298C">
      <w:pPr>
        <w:pStyle w:val="SingleTxt"/>
        <w:tabs>
          <w:tab w:val="right" w:pos="1685"/>
        </w:tabs>
        <w:ind w:left="1742" w:hanging="475"/>
      </w:pPr>
      <w:r w:rsidRPr="00C9361C">
        <w:tab/>
        <w:t>3.</w:t>
      </w:r>
      <w:r w:rsidRPr="00C9361C">
        <w:tab/>
        <w:t xml:space="preserve">Расширение программы терапевтической работы </w:t>
      </w:r>
      <w:r w:rsidR="004C298C">
        <w:t>«</w:t>
      </w:r>
      <w:r w:rsidRPr="00C9361C">
        <w:t>Мужчины берут на себя ответственность</w:t>
      </w:r>
      <w:r w:rsidR="004C298C">
        <w:t>»</w:t>
      </w:r>
      <w:r w:rsidRPr="00C9361C">
        <w:t xml:space="preserve"> и ее реализация на всей территории страны.</w:t>
      </w:r>
    </w:p>
    <w:p w:rsidR="00102068" w:rsidRPr="00C9361C" w:rsidRDefault="00102068" w:rsidP="004C298C">
      <w:pPr>
        <w:pStyle w:val="SingleTxt"/>
        <w:tabs>
          <w:tab w:val="right" w:pos="1685"/>
        </w:tabs>
        <w:ind w:left="1742" w:hanging="475"/>
      </w:pPr>
      <w:r w:rsidRPr="00C9361C">
        <w:tab/>
        <w:t>4.</w:t>
      </w:r>
      <w:r w:rsidRPr="00C9361C">
        <w:tab/>
        <w:t>Меры по предотвращению проституции.</w:t>
      </w:r>
    </w:p>
    <w:p w:rsidR="00102068" w:rsidRPr="00C9361C" w:rsidRDefault="00102068" w:rsidP="004C298C">
      <w:pPr>
        <w:pStyle w:val="SingleTxt"/>
        <w:tabs>
          <w:tab w:val="right" w:pos="1685"/>
        </w:tabs>
        <w:ind w:left="1742" w:hanging="475"/>
      </w:pPr>
      <w:r w:rsidRPr="00C9361C">
        <w:tab/>
        <w:t>5.</w:t>
      </w:r>
      <w:r w:rsidRPr="00C9361C">
        <w:tab/>
        <w:t>Изучение положения</w:t>
      </w:r>
      <w:r w:rsidR="004E3C3F">
        <w:t> женщин</w:t>
      </w:r>
      <w:r w:rsidRPr="00C9361C">
        <w:t>-инвалидов с целью анализа ситуации лиц, которые могут подвергнуться насилию, жестокому обращению и эксплуатации.</w:t>
      </w:r>
    </w:p>
    <w:p w:rsidR="00102068" w:rsidRPr="00C9361C" w:rsidRDefault="00102068" w:rsidP="004C298C">
      <w:pPr>
        <w:pStyle w:val="SingleTxt"/>
      </w:pPr>
      <w:r w:rsidRPr="00C9361C">
        <w:t>V.</w:t>
      </w:r>
      <w:r w:rsidRPr="00C9361C">
        <w:tab/>
        <w:t>Просвещение и гендерное равенство:</w:t>
      </w:r>
    </w:p>
    <w:p w:rsidR="00102068" w:rsidRPr="00C9361C" w:rsidRDefault="00102068" w:rsidP="004C298C">
      <w:pPr>
        <w:pStyle w:val="SingleTxt"/>
        <w:tabs>
          <w:tab w:val="right" w:pos="1685"/>
        </w:tabs>
        <w:ind w:left="1742" w:hanging="475"/>
      </w:pPr>
      <w:r w:rsidRPr="00C9361C">
        <w:tab/>
        <w:t>1.</w:t>
      </w:r>
      <w:r w:rsidRPr="00C9361C">
        <w:tab/>
        <w:t>Систематическое следование опубликованному в 2010</w:t>
      </w:r>
      <w:r w:rsidR="004C298C">
        <w:t> году</w:t>
      </w:r>
      <w:r w:rsidRPr="00C9361C">
        <w:t xml:space="preserve"> пособию для молодежи, содержащему информацию о гендерных особенностях и гендерном равенстве, при проведении пропагандистских мероприятий.</w:t>
      </w:r>
    </w:p>
    <w:p w:rsidR="00102068" w:rsidRPr="006709CE" w:rsidRDefault="00102068" w:rsidP="004C298C">
      <w:pPr>
        <w:pStyle w:val="SingleTxt"/>
        <w:tabs>
          <w:tab w:val="right" w:pos="1685"/>
        </w:tabs>
        <w:ind w:left="1742" w:hanging="475"/>
      </w:pPr>
      <w:r>
        <w:tab/>
      </w:r>
      <w:r w:rsidRPr="006709CE">
        <w:t>2.</w:t>
      </w:r>
      <w:r w:rsidRPr="006709CE">
        <w:tab/>
        <w:t>Просвещение по вопросам равенства в детских садах и начальных школах.</w:t>
      </w:r>
    </w:p>
    <w:p w:rsidR="00102068" w:rsidRPr="00C9361C" w:rsidRDefault="00102068" w:rsidP="004C298C">
      <w:pPr>
        <w:pStyle w:val="SingleTxt"/>
        <w:tabs>
          <w:tab w:val="right" w:pos="1685"/>
        </w:tabs>
        <w:ind w:left="1742" w:hanging="475"/>
      </w:pPr>
      <w:r w:rsidRPr="00C9361C">
        <w:tab/>
        <w:t>3.</w:t>
      </w:r>
      <w:r w:rsidRPr="00C9361C">
        <w:tab/>
        <w:t>Введение занятий по изучению гендерной проблематики и вопросов гендерного равенства в средних школах в рамках деятельности по установлению гендерного равенства.</w:t>
      </w:r>
    </w:p>
    <w:p w:rsidR="00102068" w:rsidRPr="00C9361C" w:rsidRDefault="00102068" w:rsidP="004C298C">
      <w:pPr>
        <w:pStyle w:val="SingleTxt"/>
        <w:tabs>
          <w:tab w:val="right" w:pos="1685"/>
        </w:tabs>
        <w:ind w:left="1742" w:hanging="475"/>
      </w:pPr>
      <w:r w:rsidRPr="00C9361C">
        <w:tab/>
        <w:t>4.</w:t>
      </w:r>
      <w:r w:rsidRPr="00C9361C">
        <w:tab/>
        <w:t>Организация просвещения по вопросам гендерного равенства в университетах.</w:t>
      </w:r>
    </w:p>
    <w:p w:rsidR="00102068" w:rsidRPr="00C9361C" w:rsidRDefault="00102068" w:rsidP="004C298C">
      <w:pPr>
        <w:pStyle w:val="SingleTxt"/>
        <w:tabs>
          <w:tab w:val="right" w:pos="1685"/>
        </w:tabs>
        <w:ind w:left="1742" w:hanging="475"/>
      </w:pPr>
      <w:r w:rsidRPr="00C9361C">
        <w:tab/>
        <w:t>5.</w:t>
      </w:r>
      <w:r w:rsidRPr="00C9361C">
        <w:tab/>
        <w:t>Изучение участия мальчиков и девочек в общественной жизни с целью содействия обеспечению для них равных возможностей.</w:t>
      </w:r>
    </w:p>
    <w:p w:rsidR="00102068" w:rsidRPr="00C9361C" w:rsidRDefault="00102068" w:rsidP="004C298C">
      <w:pPr>
        <w:pStyle w:val="SingleTxt"/>
        <w:tabs>
          <w:tab w:val="right" w:pos="1685"/>
        </w:tabs>
        <w:ind w:left="1742" w:hanging="475"/>
      </w:pPr>
      <w:r w:rsidRPr="00C9361C">
        <w:tab/>
        <w:t>6.</w:t>
      </w:r>
      <w:r w:rsidRPr="00C9361C">
        <w:tab/>
        <w:t>Анализ причин, по которым девочки выбирают традиционно женские, а мальчики</w:t>
      </w:r>
      <w:r w:rsidR="004C298C">
        <w:t xml:space="preserve"> — </w:t>
      </w:r>
      <w:r w:rsidRPr="00C9361C">
        <w:t xml:space="preserve"> традиционно мужские профессии</w:t>
      </w:r>
    </w:p>
    <w:p w:rsidR="00102068" w:rsidRPr="00C9361C" w:rsidRDefault="00102068" w:rsidP="004C298C">
      <w:pPr>
        <w:pStyle w:val="SingleTxt"/>
        <w:tabs>
          <w:tab w:val="right" w:pos="1685"/>
        </w:tabs>
        <w:ind w:left="1742" w:hanging="475"/>
      </w:pPr>
      <w:r w:rsidRPr="00C9361C">
        <w:tab/>
        <w:t>7.</w:t>
      </w:r>
      <w:r w:rsidRPr="00C9361C">
        <w:tab/>
        <w:t>Пересмотр содержания обучения преподавателей и содействие введению обязательных курсов по изучению гендерной проблематики для всех студентов университетов.</w:t>
      </w:r>
    </w:p>
    <w:p w:rsidR="00102068" w:rsidRPr="00C9361C" w:rsidRDefault="00102068" w:rsidP="004C298C">
      <w:pPr>
        <w:pStyle w:val="SingleTxt"/>
        <w:tabs>
          <w:tab w:val="right" w:pos="1685"/>
        </w:tabs>
        <w:ind w:left="1742" w:hanging="475"/>
      </w:pPr>
      <w:r w:rsidRPr="00C9361C">
        <w:tab/>
        <w:t>8.</w:t>
      </w:r>
      <w:r w:rsidRPr="00C9361C">
        <w:tab/>
        <w:t>Установление причин, по которым</w:t>
      </w:r>
      <w:r w:rsidR="004E3C3F">
        <w:t> женщин</w:t>
      </w:r>
      <w:r w:rsidRPr="00C9361C">
        <w:t>ы реже мужчин обращаются за субсидиями в Исландский киноцентр.</w:t>
      </w:r>
    </w:p>
    <w:p w:rsidR="00102068" w:rsidRPr="00C9361C" w:rsidRDefault="00102068" w:rsidP="004C298C">
      <w:pPr>
        <w:pStyle w:val="SingleTxt"/>
        <w:tabs>
          <w:tab w:val="right" w:pos="1685"/>
        </w:tabs>
        <w:ind w:left="1742" w:hanging="475"/>
      </w:pPr>
      <w:r w:rsidRPr="00C9361C">
        <w:tab/>
        <w:t>9.</w:t>
      </w:r>
      <w:r w:rsidRPr="00C9361C">
        <w:tab/>
        <w:t>Систематический сбор информации о гендерном составе экспертных советов, подателей заявлений и получателей субсидий и размерах субсидий для всех категорий в 2012</w:t>
      </w:r>
      <w:r w:rsidR="004C298C">
        <w:t> году</w:t>
      </w:r>
      <w:r w:rsidRPr="00C9361C">
        <w:t>, осуществляемый силами фондов, находящихся в ведении Министерства образования, науки и культуры и действующих на основании Закона о государственной поддержке научных исследований.</w:t>
      </w:r>
    </w:p>
    <w:p w:rsidR="00102068" w:rsidRPr="00C9361C" w:rsidRDefault="00102068" w:rsidP="004C298C">
      <w:pPr>
        <w:pStyle w:val="SingleTxt"/>
      </w:pPr>
      <w:r w:rsidRPr="00C9361C">
        <w:t>VI.</w:t>
      </w:r>
      <w:r w:rsidRPr="00C9361C">
        <w:tab/>
        <w:t>Мужчины и гендерное равенство:</w:t>
      </w:r>
    </w:p>
    <w:p w:rsidR="00102068" w:rsidRPr="00C9361C" w:rsidRDefault="00102068" w:rsidP="004C298C">
      <w:pPr>
        <w:pStyle w:val="SingleTxt"/>
        <w:tabs>
          <w:tab w:val="right" w:pos="1685"/>
        </w:tabs>
        <w:ind w:left="1742" w:hanging="475"/>
      </w:pPr>
      <w:r w:rsidRPr="00C9361C">
        <w:tab/>
        <w:t>1.</w:t>
      </w:r>
      <w:r w:rsidRPr="00C9361C">
        <w:tab/>
        <w:t>Назначение рабочей группы для подготовки рекомендаций относительно способов обеспечения более активного участия мужчин в дискуссиях по вопросам гендерного равенства и увеличения числа мужчин, занимающихся проблемами создания равных условий.</w:t>
      </w:r>
    </w:p>
    <w:p w:rsidR="00102068" w:rsidRPr="00C9361C" w:rsidRDefault="00102068" w:rsidP="004C298C">
      <w:pPr>
        <w:pStyle w:val="SingleTxt"/>
      </w:pPr>
      <w:r w:rsidRPr="00C9361C">
        <w:t>VII.</w:t>
      </w:r>
      <w:r w:rsidRPr="00C9361C">
        <w:tab/>
        <w:t>Международные мероприятия:</w:t>
      </w:r>
    </w:p>
    <w:p w:rsidR="00102068" w:rsidRPr="00C9361C" w:rsidRDefault="00102068" w:rsidP="004C298C">
      <w:pPr>
        <w:pStyle w:val="SingleTxt"/>
        <w:tabs>
          <w:tab w:val="right" w:pos="1685"/>
        </w:tabs>
        <w:ind w:left="1742" w:hanging="475"/>
      </w:pPr>
      <w:r w:rsidRPr="00C9361C">
        <w:tab/>
        <w:t>1.</w:t>
      </w:r>
      <w:r w:rsidRPr="00C9361C">
        <w:tab/>
        <w:t>Внесение изменений в Исландский национальный план действий по осуществлению резолюции</w:t>
      </w:r>
      <w:r w:rsidR="004C298C">
        <w:t> </w:t>
      </w:r>
      <w:r w:rsidRPr="00C9361C">
        <w:t>1325 Совета Безопасности Организации Объединенных Наций (СБ ООН) о</w:t>
      </w:r>
      <w:r w:rsidR="004E3C3F">
        <w:t> женщин</w:t>
      </w:r>
      <w:r w:rsidRPr="00C9361C">
        <w:t>ах, мире и безопасности, принятой в 2000</w:t>
      </w:r>
      <w:r w:rsidR="004C298C">
        <w:t> году</w:t>
      </w:r>
      <w:r w:rsidRPr="00C9361C">
        <w:t>, посредством постановки четких целей и определения сроков их достижения. Учет последующих резолюций Совета Безопасности, принятых в контексте резолюции 1325.</w:t>
      </w:r>
    </w:p>
    <w:p w:rsidR="00102068" w:rsidRPr="00C9361C" w:rsidRDefault="00102068" w:rsidP="004C298C">
      <w:pPr>
        <w:pStyle w:val="SingleTxt"/>
        <w:tabs>
          <w:tab w:val="right" w:pos="1685"/>
        </w:tabs>
        <w:ind w:left="1742" w:hanging="475"/>
      </w:pPr>
      <w:r w:rsidRPr="00C9361C">
        <w:tab/>
        <w:t>2.</w:t>
      </w:r>
      <w:r w:rsidRPr="00C9361C">
        <w:tab/>
        <w:t>Экспериментальный проект по осуществлению Программы учебной и профессиональной подготовки по вопросам гендерного равенства.</w:t>
      </w:r>
    </w:p>
    <w:p w:rsidR="00102068" w:rsidRPr="00C9361C" w:rsidRDefault="00102068" w:rsidP="004C298C">
      <w:pPr>
        <w:pStyle w:val="SingleTxt"/>
        <w:tabs>
          <w:tab w:val="right" w:pos="1685"/>
        </w:tabs>
        <w:ind w:left="1742" w:hanging="475"/>
      </w:pPr>
      <w:r w:rsidRPr="00C9361C">
        <w:tab/>
        <w:t>3.</w:t>
      </w:r>
      <w:r w:rsidRPr="00C9361C">
        <w:tab/>
        <w:t>Продолжение мероприятий, проводимых Министерством охраны окружающей среды и Министерством иностранных дел с целью содействия учету гендерных аспектов при проведении переговоров по проблемам климата.</w:t>
      </w:r>
    </w:p>
    <w:p w:rsidR="00102068" w:rsidRPr="00C9361C" w:rsidRDefault="00102068" w:rsidP="004C298C">
      <w:pPr>
        <w:pStyle w:val="SingleTxt"/>
        <w:tabs>
          <w:tab w:val="right" w:pos="1685"/>
        </w:tabs>
        <w:ind w:left="1742" w:hanging="475"/>
      </w:pPr>
      <w:r w:rsidRPr="00C9361C">
        <w:tab/>
        <w:t>4.</w:t>
      </w:r>
      <w:r w:rsidRPr="00C9361C">
        <w:tab/>
        <w:t>Изучение воздействия различных форм поведения мужчин и</w:t>
      </w:r>
      <w:r w:rsidR="004E3C3F">
        <w:t> женщин</w:t>
      </w:r>
      <w:r w:rsidRPr="00C9361C">
        <w:t xml:space="preserve"> на климат в Исландии.</w:t>
      </w:r>
    </w:p>
    <w:p w:rsidR="00102068" w:rsidRPr="00C9361C" w:rsidRDefault="00102068" w:rsidP="004C298C">
      <w:pPr>
        <w:pStyle w:val="SingleTxt"/>
      </w:pPr>
      <w:r w:rsidRPr="00C9361C">
        <w:t>VIII.</w:t>
      </w:r>
      <w:r w:rsidRPr="00C9361C">
        <w:tab/>
        <w:t>Контроль и пересмотр</w:t>
      </w:r>
    </w:p>
    <w:p w:rsidR="00102068" w:rsidRPr="006709CE" w:rsidRDefault="00102068" w:rsidP="004C298C">
      <w:pPr>
        <w:pStyle w:val="SingleTxt"/>
        <w:tabs>
          <w:tab w:val="right" w:pos="1685"/>
        </w:tabs>
        <w:ind w:left="1742" w:hanging="475"/>
      </w:pPr>
      <w:r>
        <w:tab/>
      </w:r>
      <w:r w:rsidRPr="006709CE">
        <w:t>1.</w:t>
      </w:r>
      <w:r w:rsidRPr="006709CE">
        <w:tab/>
        <w:t xml:space="preserve">Контроль выполнения правительственной программы действий в интересах </w:t>
      </w:r>
      <w:r w:rsidRPr="00C9361C">
        <w:t>равноправия</w:t>
      </w:r>
      <w:r w:rsidRPr="006709CE">
        <w:t xml:space="preserve"> мужчин и</w:t>
      </w:r>
      <w:r w:rsidR="004E3C3F">
        <w:t> женщин</w:t>
      </w:r>
      <w:r w:rsidRPr="006709CE">
        <w:t xml:space="preserve"> на уровне министерств, осуществляемый их представителями по вопросам гендерного равенства в сотрудничестве с Центром по вопросам равенства мужчин и</w:t>
      </w:r>
      <w:r w:rsidR="004E3C3F">
        <w:t> женщин</w:t>
      </w:r>
      <w:r w:rsidRPr="006709CE">
        <w:t xml:space="preserve"> и экспертом по вопросам гендерного равенства в правительственных учреждениях.</w:t>
      </w:r>
    </w:p>
    <w:p w:rsidR="00102068" w:rsidRDefault="004C298C" w:rsidP="004C298C">
      <w:pPr>
        <w:pStyle w:val="SingleTxt"/>
      </w:pPr>
      <w:r>
        <w:tab/>
      </w:r>
      <w:r w:rsidR="00102068">
        <w:t>В общей сложности разработано 42</w:t>
      </w:r>
      <w:r>
        <w:t> </w:t>
      </w:r>
      <w:r w:rsidR="00102068">
        <w:t xml:space="preserve">проекта, сведения о каждом из которых представлены в парламентской резолюции. В </w:t>
      </w:r>
      <w:r w:rsidR="00102068" w:rsidRPr="006709CE">
        <w:t>начале</w:t>
      </w:r>
      <w:r w:rsidR="00102068">
        <w:t xml:space="preserve"> Форума по вопросам гендерного равенства (форума, который министр обязан созвать в течение</w:t>
      </w:r>
      <w:r>
        <w:t> года</w:t>
      </w:r>
      <w:r w:rsidR="00102068">
        <w:t xml:space="preserve"> после проведения парламентских выборов, а также два</w:t>
      </w:r>
      <w:r>
        <w:t> года</w:t>
      </w:r>
      <w:r w:rsidR="00102068">
        <w:t xml:space="preserve"> спустя) министр социальных дел и жилищного строительства должен представить доклад о сложившейся ситуации и событиях, связанных с гендерной проблематикой. Доклад министра включает оценку </w:t>
      </w:r>
      <w:r w:rsidR="00102068" w:rsidRPr="00C9361C">
        <w:t>статуса</w:t>
      </w:r>
      <w:r w:rsidR="00102068">
        <w:t xml:space="preserve"> и успешности проектов, охваченных текущим планом действий в интересах равноправия мужчин и</w:t>
      </w:r>
      <w:r w:rsidR="004E3C3F">
        <w:t> женщин</w:t>
      </w:r>
      <w:r w:rsidR="00102068">
        <w:t>. План действий рассчитан на период до конца 2014</w:t>
      </w:r>
      <w:r>
        <w:t> года</w:t>
      </w:r>
      <w:r w:rsidR="00102068">
        <w:t>. Многие из вышеупомянутых проектов реализованы. Работа по подготовке нового плана уже началась; осенью 2014</w:t>
      </w:r>
      <w:r>
        <w:t> года</w:t>
      </w:r>
      <w:r w:rsidR="00102068">
        <w:t xml:space="preserve"> должен быть предложен парламентский законопроект.</w:t>
      </w: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Международное сотрудничество в целях содействия обеспечению равенства мужчин и</w:t>
      </w:r>
      <w:r w:rsidR="004E3C3F">
        <w:t> 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Сотрудничество со странами Северной Европы</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 xml:space="preserve">Исландия участвует в ряде проектов для стран Северной Европы по вопросам обеспечения гендерного равенства. Большинство из них осуществляется в сотрудничестве с Советом </w:t>
      </w:r>
      <w:r w:rsidR="00102068" w:rsidRPr="00C9361C">
        <w:t>министров</w:t>
      </w:r>
      <w:r w:rsidR="00102068">
        <w:t xml:space="preserve"> стран Северной Европы, при котором вопросами гендерного равенства занимаются специальный министерский комитет, MR-JÄM, и специальный комитет официальных лиц, ÄK-JÄM.</w:t>
      </w:r>
    </w:p>
    <w:p w:rsidR="00102068" w:rsidRDefault="00102068" w:rsidP="004C298C">
      <w:pPr>
        <w:pStyle w:val="SingleTxt"/>
        <w:tabs>
          <w:tab w:val="right" w:pos="1685"/>
        </w:tabs>
        <w:ind w:left="1742" w:hanging="475"/>
      </w:pPr>
      <w:r w:rsidRPr="00102068">
        <w:rPr>
          <w:iCs/>
          <w:sz w:val="24"/>
        </w:rPr>
        <w:tab/>
      </w:r>
      <w:r>
        <w:t>1.</w:t>
      </w:r>
      <w:r>
        <w:tab/>
        <w:t>В 1974</w:t>
      </w:r>
      <w:r w:rsidR="004C298C">
        <w:t> году</w:t>
      </w:r>
      <w:r>
        <w:t xml:space="preserve"> Совет министров стран Северной Европы приступил к официальному сотрудничеству по вопросам гендерного равенства. Со времени начала сотрудничества в этой области его главной задачей являлось обеспечение равных прав на рынке труда. Основное внимание было уделено равной оплате труда, упразднению гендерного разделения рынка труда, интеграции семейной жизни и трудовой деятельности и экономическим последствиям частичной занятости. К числу прочих тем относятся проекты, касающиеся законодательства по вопросам гендерного равенства в целом, различий в представлении мужчин и</w:t>
      </w:r>
      <w:r w:rsidR="004E3C3F">
        <w:t> женщин</w:t>
      </w:r>
      <w:r>
        <w:t xml:space="preserve"> в средствах массовой информации, отпуска по беременности и родам/в связи с отцовством, увеличение экономических и политических возможностей, предоставляемых</w:t>
      </w:r>
      <w:r w:rsidR="004E3C3F">
        <w:t> женщин</w:t>
      </w:r>
      <w:r>
        <w:t>ам, и борьба с гендерным насилием, проституцией и торговлей людьми. Наряду с этим широкое распространение получили открытые дискуссии, касавшиеся мужчин и мужских стереотипов. Обсуждались проблемы молодежи (гендерные стереотипы и выбор образования с учетом гендерной принадлежности). Недавно в фокус внимания попали проблемы многокультурного общества.</w:t>
      </w:r>
    </w:p>
    <w:p w:rsidR="00102068" w:rsidRPr="004C298C" w:rsidRDefault="00102068" w:rsidP="004C298C">
      <w:pPr>
        <w:pStyle w:val="SingleTxtG"/>
        <w:tabs>
          <w:tab w:val="clear" w:pos="1701"/>
          <w:tab w:val="right" w:pos="1685"/>
        </w:tabs>
        <w:ind w:left="1742" w:hanging="475"/>
        <w:rPr>
          <w:rFonts w:eastAsia="Calibri"/>
          <w:spacing w:val="4"/>
          <w:w w:val="103"/>
          <w:kern w:val="14"/>
          <w:szCs w:val="22"/>
        </w:rPr>
      </w:pPr>
      <w:r w:rsidRPr="00102068">
        <w:rPr>
          <w:sz w:val="24"/>
        </w:rPr>
        <w:tab/>
      </w:r>
      <w:r>
        <w:t>2.</w:t>
      </w:r>
      <w:r>
        <w:tab/>
        <w:t xml:space="preserve">В последние сорок лет Совет министров стран Северной Европы поддерживал исследования в области установления гендерного равенства в стране и за рубежом. Страны Северной Европы совместными усилиями организовывали мероприятия в рамках совещаний на высшем уровне </w:t>
      </w:r>
      <w:r>
        <w:rPr>
          <w:i/>
          <w:iCs/>
        </w:rPr>
        <w:t>Комиссии по положению</w:t>
      </w:r>
      <w:r w:rsidR="004E3C3F">
        <w:rPr>
          <w:i/>
          <w:iCs/>
        </w:rPr>
        <w:t> женщин</w:t>
      </w:r>
      <w:r>
        <w:t xml:space="preserve">, </w:t>
      </w:r>
      <w:r w:rsidRPr="004C298C">
        <w:rPr>
          <w:rFonts w:eastAsia="Calibri"/>
          <w:spacing w:val="4"/>
          <w:w w:val="103"/>
          <w:kern w:val="14"/>
          <w:szCs w:val="22"/>
        </w:rPr>
        <w:t>в ходе которых были представлены результаты их совместной деятельности. В 1988</w:t>
      </w:r>
      <w:r w:rsidR="004C298C" w:rsidRPr="004C298C">
        <w:rPr>
          <w:rFonts w:eastAsia="Calibri"/>
          <w:spacing w:val="4"/>
          <w:w w:val="103"/>
          <w:kern w:val="14"/>
          <w:szCs w:val="22"/>
        </w:rPr>
        <w:t> году</w:t>
      </w:r>
      <w:r w:rsidRPr="004C298C">
        <w:rPr>
          <w:rFonts w:eastAsia="Calibri"/>
          <w:spacing w:val="4"/>
          <w:w w:val="103"/>
          <w:kern w:val="14"/>
          <w:szCs w:val="22"/>
        </w:rPr>
        <w:t xml:space="preserve"> была проведена первая конференция Форума Северных стран. Вторая конференция с тем же названием состоялась в 1994</w:t>
      </w:r>
      <w:r w:rsidR="004C298C" w:rsidRPr="004C298C">
        <w:rPr>
          <w:rFonts w:eastAsia="Calibri"/>
          <w:spacing w:val="4"/>
          <w:w w:val="103"/>
          <w:kern w:val="14"/>
          <w:szCs w:val="22"/>
        </w:rPr>
        <w:t> году</w:t>
      </w:r>
      <w:r w:rsidRPr="004C298C">
        <w:rPr>
          <w:rFonts w:eastAsia="Calibri"/>
          <w:spacing w:val="4"/>
          <w:w w:val="103"/>
          <w:kern w:val="14"/>
          <w:szCs w:val="22"/>
        </w:rPr>
        <w:t>. Наконец, в июне 2014</w:t>
      </w:r>
      <w:r w:rsidR="004C298C" w:rsidRPr="004C298C">
        <w:rPr>
          <w:rFonts w:eastAsia="Calibri"/>
          <w:spacing w:val="4"/>
          <w:w w:val="103"/>
          <w:kern w:val="14"/>
          <w:szCs w:val="22"/>
        </w:rPr>
        <w:t> года</w:t>
      </w:r>
      <w:r w:rsidR="004C298C">
        <w:rPr>
          <w:rFonts w:eastAsia="Calibri"/>
          <w:spacing w:val="4"/>
          <w:w w:val="103"/>
          <w:kern w:val="14"/>
          <w:szCs w:val="22"/>
        </w:rPr>
        <w:t xml:space="preserve"> — </w:t>
      </w:r>
      <w:r w:rsidRPr="004C298C">
        <w:rPr>
          <w:rFonts w:eastAsia="Calibri"/>
          <w:spacing w:val="4"/>
          <w:w w:val="103"/>
          <w:kern w:val="14"/>
          <w:szCs w:val="22"/>
        </w:rPr>
        <w:t xml:space="preserve"> в год, когда совместную деятельность стран Северной Европы возглавила Исландия,</w:t>
      </w:r>
      <w:r w:rsidR="004C298C">
        <w:rPr>
          <w:rFonts w:eastAsia="Calibri"/>
          <w:spacing w:val="4"/>
          <w:w w:val="103"/>
          <w:kern w:val="14"/>
          <w:szCs w:val="22"/>
        </w:rPr>
        <w:t xml:space="preserve"> — </w:t>
      </w:r>
      <w:r w:rsidRPr="004C298C">
        <w:rPr>
          <w:rFonts w:eastAsia="Calibri"/>
          <w:spacing w:val="4"/>
          <w:w w:val="103"/>
          <w:kern w:val="14"/>
          <w:szCs w:val="22"/>
        </w:rPr>
        <w:t xml:space="preserve"> была организована третья конференция.</w:t>
      </w:r>
    </w:p>
    <w:p w:rsidR="00102068" w:rsidRPr="004C298C" w:rsidRDefault="00102068" w:rsidP="004C298C">
      <w:pPr>
        <w:pStyle w:val="SingleTxt"/>
        <w:tabs>
          <w:tab w:val="right" w:pos="1685"/>
        </w:tabs>
        <w:ind w:left="1742" w:hanging="475"/>
      </w:pPr>
      <w:r w:rsidRPr="004C298C">
        <w:tab/>
        <w:t>3.</w:t>
      </w:r>
      <w:r w:rsidRPr="004C298C">
        <w:tab/>
        <w:t>В 2014</w:t>
      </w:r>
      <w:r w:rsidR="004C298C" w:rsidRPr="004C298C">
        <w:t> году</w:t>
      </w:r>
      <w:r w:rsidRPr="004C298C">
        <w:t xml:space="preserve"> Исландия возглавляет сотрудничество стран Северной Европы. Сотрудничество между этими странами в деле решения проблем гендерного равенства продолжается уже 40 лет, в ознаменование чего в августе 2014</w:t>
      </w:r>
      <w:r w:rsidR="004C298C" w:rsidRPr="004C298C">
        <w:t> года</w:t>
      </w:r>
      <w:r w:rsidRPr="004C298C">
        <w:t xml:space="preserve"> в Исландии должна состояться конференция по рассмотрению достигнутых результатов и будущих целей стран Северной Европы в этой области. Параллельно с проведением конференции будет организовано совещание министров стран Северной Европы и Балтии, занимающихся вопросами установления равенства. К числу первоочередных задач в сфере обеспечения равенства, которые должны быть решены правительством Исландии в год, когда Исландия возглавляет совместную деятельность стран Северной Европы, относятся: равенство на рынке труда, участие мужчин в работе по установлению гендерного равенства, определение методов сокращения масштабов гендерного насилия, сотрудничество в рамках региона западных стран Северной Европы и в субарктическом регионе.</w:t>
      </w:r>
    </w:p>
    <w:p w:rsidR="00102068" w:rsidRDefault="00102068" w:rsidP="004C298C">
      <w:pPr>
        <w:pStyle w:val="SingleTxt"/>
        <w:tabs>
          <w:tab w:val="right" w:pos="1685"/>
        </w:tabs>
        <w:ind w:left="1742" w:hanging="475"/>
      </w:pPr>
      <w:r w:rsidRPr="00102068">
        <w:tab/>
      </w:r>
      <w:r w:rsidRPr="00C9361C">
        <w:t>4</w:t>
      </w:r>
      <w:r>
        <w:t>.</w:t>
      </w:r>
      <w:r>
        <w:tab/>
        <w:t>В июне 2014</w:t>
      </w:r>
      <w:r w:rsidR="004C298C">
        <w:t> года</w:t>
      </w:r>
      <w:r>
        <w:t xml:space="preserve"> в Университете Исландии была проведена конференция, посвященная мужским чертам характера и поведения, в ходе которой были освещены различные исследования соответствующей тематики. В сентябре будет организовано совещание специалистов, касающееся методов и мер борьбы с гендерным насилием. В октябре в Акюрейри состоится конференция по вопросу о положении</w:t>
      </w:r>
      <w:r w:rsidR="004E3C3F">
        <w:t> женщин</w:t>
      </w:r>
      <w:r>
        <w:t xml:space="preserve"> и мужчин в Арктике. Наряду с этим Исландия содействовала сотрудничеству с Гренландией и Фарерскими островами посредством организации на Фарерских островах в мае 2014</w:t>
      </w:r>
      <w:r w:rsidR="004C298C">
        <w:t> года</w:t>
      </w:r>
      <w:r>
        <w:t xml:space="preserve"> конференции по вопросам равенства на рынке труда и в личной жизни.</w:t>
      </w:r>
    </w:p>
    <w:p w:rsidR="004C298C" w:rsidRPr="004C298C" w:rsidRDefault="004C298C" w:rsidP="004C298C">
      <w:pPr>
        <w:pStyle w:val="SingleTxt"/>
        <w:tabs>
          <w:tab w:val="right" w:pos="1685"/>
        </w:tabs>
        <w:spacing w:after="0" w:line="120" w:lineRule="exact"/>
        <w:ind w:left="1742" w:hanging="475"/>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Участие в совместной деятельности в рамках Организации Объединенных Наций</w:t>
      </w:r>
    </w:p>
    <w:p w:rsidR="004C298C" w:rsidRPr="004C298C" w:rsidRDefault="004C298C" w:rsidP="004C298C">
      <w:pPr>
        <w:pStyle w:val="SingleTxt"/>
        <w:spacing w:after="0" w:line="120" w:lineRule="exact"/>
        <w:rPr>
          <w:sz w:val="10"/>
        </w:rPr>
      </w:pPr>
    </w:p>
    <w:p w:rsidR="00102068"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C9361C">
        <w:t>Комиссия по положению</w:t>
      </w:r>
      <w:r w:rsidR="004E3C3F">
        <w:t> женщин</w:t>
      </w: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Весной 2004</w:t>
      </w:r>
      <w:r>
        <w:t> года</w:t>
      </w:r>
      <w:r w:rsidR="00102068">
        <w:t xml:space="preserve"> Исландия была избрана в состав Комиссии Организации Объединенных Наций по положению</w:t>
      </w:r>
      <w:r w:rsidR="004E3C3F">
        <w:t> женщин</w:t>
      </w:r>
      <w:r w:rsidR="00102068">
        <w:t xml:space="preserve"> и официально заняла место в Комиссии в 2005</w:t>
      </w:r>
      <w:r>
        <w:t> году</w:t>
      </w:r>
      <w:r w:rsidR="00102068">
        <w:t>. На пятьдесят второй сессии Комиссии в 2008</w:t>
      </w:r>
      <w:r>
        <w:t> году</w:t>
      </w:r>
      <w:r w:rsidR="00102068">
        <w:t xml:space="preserve"> четырехлетний срок полномочий Исландии подошел к концу. В ходе работы в составе Комиссии исландское правительство уделяло </w:t>
      </w:r>
      <w:r w:rsidR="00102068" w:rsidRPr="00C9361C">
        <w:t>основное</w:t>
      </w:r>
      <w:r w:rsidR="00102068">
        <w:t xml:space="preserve"> внимание сотрудничеству с НПО, взаимодействуя, например, с ЮНИФЕМ, Исландской ассоциацией по правам</w:t>
      </w:r>
      <w:r w:rsidR="004E3C3F">
        <w:t> женщин</w:t>
      </w:r>
      <w:r w:rsidR="00102068">
        <w:t xml:space="preserve"> и Образовательно-консультационным центром для жертв сексуального насилия (</w:t>
      </w:r>
      <w:r w:rsidR="00102068">
        <w:rPr>
          <w:i/>
        </w:rPr>
        <w:t>Stígamót</w:t>
      </w:r>
      <w:r w:rsidR="00102068">
        <w:t xml:space="preserve">), и охотно направляло представителей НПО на заседания Комиссии. </w:t>
      </w:r>
    </w:p>
    <w:p w:rsidR="00102068" w:rsidRPr="004C298C" w:rsidRDefault="00102068" w:rsidP="004C298C">
      <w:pPr>
        <w:pStyle w:val="SingleTxtG"/>
        <w:tabs>
          <w:tab w:val="right" w:pos="1701"/>
        </w:tabs>
        <w:ind w:left="1742" w:hanging="475"/>
        <w:rPr>
          <w:rFonts w:eastAsia="Calibri"/>
          <w:spacing w:val="4"/>
          <w:w w:val="103"/>
          <w:kern w:val="14"/>
          <w:szCs w:val="22"/>
        </w:rPr>
      </w:pPr>
      <w:r w:rsidRPr="004C298C">
        <w:rPr>
          <w:rFonts w:eastAsia="Calibri"/>
          <w:spacing w:val="4"/>
          <w:w w:val="103"/>
          <w:kern w:val="14"/>
          <w:szCs w:val="22"/>
        </w:rPr>
        <w:tab/>
        <w:t>•</w:t>
      </w:r>
      <w:r w:rsidRPr="004C298C">
        <w:rPr>
          <w:rFonts w:eastAsia="Calibri"/>
          <w:spacing w:val="4"/>
          <w:w w:val="103"/>
          <w:kern w:val="14"/>
          <w:szCs w:val="22"/>
        </w:rPr>
        <w:tab/>
        <w:t>На пятьдесят третьей сессии Комиссии в 2009</w:t>
      </w:r>
      <w:r w:rsidR="004C298C" w:rsidRPr="004C298C">
        <w:rPr>
          <w:rFonts w:eastAsia="Calibri"/>
          <w:spacing w:val="4"/>
          <w:w w:val="103"/>
          <w:kern w:val="14"/>
          <w:szCs w:val="22"/>
        </w:rPr>
        <w:t> году</w:t>
      </w:r>
      <w:r w:rsidRPr="004C298C">
        <w:rPr>
          <w:rFonts w:eastAsia="Calibri"/>
          <w:spacing w:val="4"/>
          <w:w w:val="103"/>
          <w:kern w:val="14"/>
          <w:szCs w:val="22"/>
        </w:rPr>
        <w:t>, главной темой которой стало равное распределение обязанностей между мужчинами и</w:t>
      </w:r>
      <w:r w:rsidR="004E3C3F">
        <w:rPr>
          <w:rFonts w:eastAsia="Calibri"/>
          <w:spacing w:val="4"/>
          <w:w w:val="103"/>
          <w:kern w:val="14"/>
          <w:szCs w:val="22"/>
        </w:rPr>
        <w:t> женщин</w:t>
      </w:r>
      <w:r w:rsidRPr="004C298C">
        <w:rPr>
          <w:rFonts w:eastAsia="Calibri"/>
          <w:spacing w:val="4"/>
          <w:w w:val="103"/>
          <w:kern w:val="14"/>
          <w:szCs w:val="22"/>
        </w:rPr>
        <w:t>ами, включая уход за нуждающимися в помощи в связи с ВИЧ/СПИДом, исландская делегация уделила основное внимание неоплачиваемой и зачастую незаметной работе, выполняемой</w:t>
      </w:r>
      <w:r w:rsidR="004E3C3F">
        <w:rPr>
          <w:rFonts w:eastAsia="Calibri"/>
          <w:spacing w:val="4"/>
          <w:w w:val="103"/>
          <w:kern w:val="14"/>
          <w:szCs w:val="22"/>
        </w:rPr>
        <w:t> женщин</w:t>
      </w:r>
      <w:r w:rsidRPr="004C298C">
        <w:rPr>
          <w:rFonts w:eastAsia="Calibri"/>
          <w:spacing w:val="4"/>
          <w:w w:val="103"/>
          <w:kern w:val="14"/>
          <w:szCs w:val="22"/>
        </w:rPr>
        <w:t>ами, которая нередко остается недооцененной. На первый план была выдвинута связь между действиями</w:t>
      </w:r>
      <w:r w:rsidR="004E3C3F">
        <w:rPr>
          <w:rFonts w:eastAsia="Calibri"/>
          <w:spacing w:val="4"/>
          <w:w w:val="103"/>
          <w:kern w:val="14"/>
          <w:szCs w:val="22"/>
        </w:rPr>
        <w:t> женщин</w:t>
      </w:r>
      <w:r w:rsidRPr="004C298C">
        <w:rPr>
          <w:rFonts w:eastAsia="Calibri"/>
          <w:spacing w:val="4"/>
          <w:w w:val="103"/>
          <w:kern w:val="14"/>
          <w:szCs w:val="22"/>
        </w:rPr>
        <w:t xml:space="preserve"> и глобальным потеплением наряду с исследованием, свидетельствующим о том, что лишь немногие</w:t>
      </w:r>
      <w:r w:rsidR="004E3C3F">
        <w:rPr>
          <w:rFonts w:eastAsia="Calibri"/>
          <w:spacing w:val="4"/>
          <w:w w:val="103"/>
          <w:kern w:val="14"/>
          <w:szCs w:val="22"/>
        </w:rPr>
        <w:t> женщин</w:t>
      </w:r>
      <w:r w:rsidRPr="004C298C">
        <w:rPr>
          <w:rFonts w:eastAsia="Calibri"/>
          <w:spacing w:val="4"/>
          <w:w w:val="103"/>
          <w:kern w:val="14"/>
          <w:szCs w:val="22"/>
        </w:rPr>
        <w:t>ы могут высказать свое мнение в процессе принятия решений по вопросам охраны окружающей среды. Пятьдесят четвертая сессия Комиссии, состоявшаяся в 2010</w:t>
      </w:r>
      <w:r w:rsidR="004C298C" w:rsidRPr="004C298C">
        <w:rPr>
          <w:rFonts w:eastAsia="Calibri"/>
          <w:spacing w:val="4"/>
          <w:w w:val="103"/>
          <w:kern w:val="14"/>
          <w:szCs w:val="22"/>
        </w:rPr>
        <w:t> году</w:t>
      </w:r>
      <w:r w:rsidRPr="004C298C">
        <w:rPr>
          <w:rFonts w:eastAsia="Calibri"/>
          <w:spacing w:val="4"/>
          <w:w w:val="103"/>
          <w:kern w:val="14"/>
          <w:szCs w:val="22"/>
        </w:rPr>
        <w:t>, была посвящена обзору осуществления Пекинской декларации и Платформы действий. Были рассмотрены полномочия</w:t>
      </w:r>
      <w:r w:rsidR="004E3C3F">
        <w:rPr>
          <w:rFonts w:eastAsia="Calibri"/>
          <w:spacing w:val="4"/>
          <w:w w:val="103"/>
          <w:kern w:val="14"/>
          <w:szCs w:val="22"/>
        </w:rPr>
        <w:t> женщин</w:t>
      </w:r>
      <w:r w:rsidRPr="004C298C">
        <w:rPr>
          <w:rFonts w:eastAsia="Calibri"/>
          <w:spacing w:val="4"/>
          <w:w w:val="103"/>
          <w:kern w:val="14"/>
          <w:szCs w:val="22"/>
        </w:rPr>
        <w:t xml:space="preserve"> на всех уровнях и проблема гендерного насилия. В рамках этой встречи на высшем уровне страны Северной Европы совместными усилиями организовали два дополнительных мероприятия. В ходе одного из них министры, отвечающие за решение гендерных проблем в соответствующих странах, обсудили результаты, достигнутые за предыдущие 15 лет, и то, что еще предстоит сделать. Вторым из запланированных мероприятий стало заседание группы экспертов, на котором участвовавшие в нем государства обсудили наиболее серьезные текущие проблемы, такие как борьба за власть, глобальное потепление и выполнение резолюции 1325 СБ ООН. В 2011</w:t>
      </w:r>
      <w:r w:rsidR="004C298C" w:rsidRPr="004C298C">
        <w:rPr>
          <w:rFonts w:eastAsia="Calibri"/>
          <w:spacing w:val="4"/>
          <w:w w:val="103"/>
          <w:kern w:val="14"/>
          <w:szCs w:val="22"/>
        </w:rPr>
        <w:t> году</w:t>
      </w:r>
      <w:r w:rsidRPr="004C298C">
        <w:rPr>
          <w:rFonts w:eastAsia="Calibri"/>
          <w:spacing w:val="4"/>
          <w:w w:val="103"/>
          <w:kern w:val="14"/>
          <w:szCs w:val="22"/>
        </w:rPr>
        <w:t>, когда приоритетной темой являлся доступ</w:t>
      </w:r>
      <w:r w:rsidR="004E3C3F">
        <w:rPr>
          <w:rFonts w:eastAsia="Calibri"/>
          <w:spacing w:val="4"/>
          <w:w w:val="103"/>
          <w:kern w:val="14"/>
          <w:szCs w:val="22"/>
        </w:rPr>
        <w:t> женщин</w:t>
      </w:r>
      <w:r w:rsidRPr="004C298C">
        <w:rPr>
          <w:rFonts w:eastAsia="Calibri"/>
          <w:spacing w:val="4"/>
          <w:w w:val="103"/>
          <w:kern w:val="14"/>
          <w:szCs w:val="22"/>
        </w:rPr>
        <w:t xml:space="preserve"> и девочек к сферам образования, профессиональной подготовки, науки и техники и их участие в этих сферах, в том числе содействие обеспечению равенства мужчин и</w:t>
      </w:r>
      <w:r w:rsidR="004E3C3F">
        <w:rPr>
          <w:rFonts w:eastAsia="Calibri"/>
          <w:spacing w:val="4"/>
          <w:w w:val="103"/>
          <w:kern w:val="14"/>
          <w:szCs w:val="22"/>
        </w:rPr>
        <w:t> женщин</w:t>
      </w:r>
      <w:r w:rsidRPr="004C298C">
        <w:rPr>
          <w:rFonts w:eastAsia="Calibri"/>
          <w:spacing w:val="4"/>
          <w:w w:val="103"/>
          <w:kern w:val="14"/>
          <w:szCs w:val="22"/>
        </w:rPr>
        <w:t xml:space="preserve"> в вопросах полной занятости и достойной работы, делегация Исландии сделала акцент на ее политике в области расширения прав и возможностей</w:t>
      </w:r>
      <w:r w:rsidR="004E3C3F">
        <w:rPr>
          <w:rFonts w:eastAsia="Calibri"/>
          <w:spacing w:val="4"/>
          <w:w w:val="103"/>
          <w:kern w:val="14"/>
          <w:szCs w:val="22"/>
        </w:rPr>
        <w:t> женщин</w:t>
      </w:r>
      <w:r w:rsidRPr="004C298C">
        <w:rPr>
          <w:rFonts w:eastAsia="Calibri"/>
          <w:spacing w:val="4"/>
          <w:w w:val="103"/>
          <w:kern w:val="14"/>
          <w:szCs w:val="22"/>
        </w:rPr>
        <w:t>, особенно в контексте мирных переговоров и участия в оказании помощи в целях развития. В ходе пятьдесят шестой сессии Комиссии в 2012</w:t>
      </w:r>
      <w:r w:rsidR="004C298C" w:rsidRPr="004C298C">
        <w:rPr>
          <w:rFonts w:eastAsia="Calibri"/>
          <w:spacing w:val="4"/>
          <w:w w:val="103"/>
          <w:kern w:val="14"/>
          <w:szCs w:val="22"/>
        </w:rPr>
        <w:t> году</w:t>
      </w:r>
      <w:r w:rsidRPr="004C298C">
        <w:rPr>
          <w:rFonts w:eastAsia="Calibri"/>
          <w:spacing w:val="4"/>
          <w:w w:val="103"/>
          <w:kern w:val="14"/>
          <w:szCs w:val="22"/>
        </w:rPr>
        <w:t>, главной темой которой стало расширение прав и возможностей сельских</w:t>
      </w:r>
      <w:r w:rsidR="004E3C3F">
        <w:rPr>
          <w:rFonts w:eastAsia="Calibri"/>
          <w:spacing w:val="4"/>
          <w:w w:val="103"/>
          <w:kern w:val="14"/>
          <w:szCs w:val="22"/>
        </w:rPr>
        <w:t> женщин</w:t>
      </w:r>
      <w:r w:rsidRPr="004C298C">
        <w:rPr>
          <w:rFonts w:eastAsia="Calibri"/>
          <w:spacing w:val="4"/>
          <w:w w:val="103"/>
          <w:kern w:val="14"/>
          <w:szCs w:val="22"/>
        </w:rPr>
        <w:t xml:space="preserve"> и их роль в искоренении нищеты и голода, в сфере развития и решении существующих проблем, исландское правительство уделило основное внимание своей политике в области установления гендерного равенства, сделав особый акцент на деятельности по борьбе с насилием в отношении</w:t>
      </w:r>
      <w:r w:rsidR="004E3C3F">
        <w:rPr>
          <w:rFonts w:eastAsia="Calibri"/>
          <w:spacing w:val="4"/>
          <w:w w:val="103"/>
          <w:kern w:val="14"/>
          <w:szCs w:val="22"/>
        </w:rPr>
        <w:t> женщин</w:t>
      </w:r>
      <w:r w:rsidRPr="004C298C">
        <w:rPr>
          <w:rFonts w:eastAsia="Calibri"/>
          <w:spacing w:val="4"/>
          <w:w w:val="103"/>
          <w:kern w:val="14"/>
          <w:szCs w:val="22"/>
        </w:rPr>
        <w:t>, методах устранения гендерного разрыва в оплате труда и возможных способах увеличения численности</w:t>
      </w:r>
      <w:r w:rsidR="004E3C3F">
        <w:rPr>
          <w:rFonts w:eastAsia="Calibri"/>
          <w:spacing w:val="4"/>
          <w:w w:val="103"/>
          <w:kern w:val="14"/>
          <w:szCs w:val="22"/>
        </w:rPr>
        <w:t> женщин</w:t>
      </w:r>
      <w:r w:rsidRPr="004C298C">
        <w:rPr>
          <w:rFonts w:eastAsia="Calibri"/>
          <w:spacing w:val="4"/>
          <w:w w:val="103"/>
          <w:kern w:val="14"/>
          <w:szCs w:val="22"/>
        </w:rPr>
        <w:t xml:space="preserve"> среди сотрудников частных компаний. На пятьдесят седьмой сессии Комиссии в 2013</w:t>
      </w:r>
      <w:r w:rsidR="004C298C" w:rsidRPr="004C298C">
        <w:rPr>
          <w:rFonts w:eastAsia="Calibri"/>
          <w:spacing w:val="4"/>
          <w:w w:val="103"/>
          <w:kern w:val="14"/>
          <w:szCs w:val="22"/>
        </w:rPr>
        <w:t> году</w:t>
      </w:r>
      <w:r w:rsidRPr="004C298C">
        <w:rPr>
          <w:rFonts w:eastAsia="Calibri"/>
          <w:spacing w:val="4"/>
          <w:w w:val="103"/>
          <w:kern w:val="14"/>
          <w:szCs w:val="22"/>
        </w:rPr>
        <w:t xml:space="preserve"> приоритетной темой являлось искоренение и предупреждение всех форм насилия в отношении</w:t>
      </w:r>
      <w:r w:rsidR="004E3C3F">
        <w:rPr>
          <w:rFonts w:eastAsia="Calibri"/>
          <w:spacing w:val="4"/>
          <w:w w:val="103"/>
          <w:kern w:val="14"/>
          <w:szCs w:val="22"/>
        </w:rPr>
        <w:t> женщин</w:t>
      </w:r>
      <w:r w:rsidRPr="004C298C">
        <w:rPr>
          <w:rFonts w:eastAsia="Calibri"/>
          <w:spacing w:val="4"/>
          <w:w w:val="103"/>
          <w:kern w:val="14"/>
          <w:szCs w:val="22"/>
        </w:rPr>
        <w:t xml:space="preserve"> и девочек. В этой встрече на высшем уровне приняли участие представители Министерства социального обеспечения и Министерства иностранных дел. В согласованных выводах были учтены темы, на которые обратила внимание Исландия (сексуальное здоровье, деятельность по борьбе с насилием в семье и акцент на ответственности мужчин). На пятьдесят восьмой сессии Комиссии приоритетной темой являлись трудности и успехи в деле осуществления сформулированных в Декларации тысячелетия целей в области развития, касающихся</w:t>
      </w:r>
      <w:r w:rsidR="004E3C3F">
        <w:rPr>
          <w:rFonts w:eastAsia="Calibri"/>
          <w:spacing w:val="4"/>
          <w:w w:val="103"/>
          <w:kern w:val="14"/>
          <w:szCs w:val="22"/>
        </w:rPr>
        <w:t> женщин</w:t>
      </w:r>
      <w:r w:rsidRPr="004C298C">
        <w:rPr>
          <w:rFonts w:eastAsia="Calibri"/>
          <w:spacing w:val="4"/>
          <w:w w:val="103"/>
          <w:kern w:val="14"/>
          <w:szCs w:val="22"/>
        </w:rPr>
        <w:t xml:space="preserve"> и девочек. Делегация Исландии приняла активное участие в этой сессии, а исландский министр социального обеспечения взял на себя руководство работой группы министров стран Северной Европы, поскольку в 2014</w:t>
      </w:r>
      <w:r w:rsidR="004C298C" w:rsidRPr="004C298C">
        <w:rPr>
          <w:rFonts w:eastAsia="Calibri"/>
          <w:spacing w:val="4"/>
          <w:w w:val="103"/>
          <w:kern w:val="14"/>
          <w:szCs w:val="22"/>
        </w:rPr>
        <w:t> году</w:t>
      </w:r>
      <w:r w:rsidRPr="004C298C">
        <w:rPr>
          <w:rFonts w:eastAsia="Calibri"/>
          <w:spacing w:val="4"/>
          <w:w w:val="103"/>
          <w:kern w:val="14"/>
          <w:szCs w:val="22"/>
        </w:rPr>
        <w:t xml:space="preserve"> Исландия возглавляла сотрудничество этих стран. Государства Северной Европы организовали групповое обсуждение на тему</w:t>
      </w:r>
      <w:r>
        <w:rPr>
          <w:i/>
          <w:iCs/>
        </w:rPr>
        <w:t xml:space="preserve"> Обеспечение гендерного равенства и расширение прав и возможностей</w:t>
      </w:r>
      <w:r w:rsidR="004E3C3F">
        <w:rPr>
          <w:i/>
          <w:iCs/>
        </w:rPr>
        <w:t> женщин</w:t>
      </w:r>
      <w:r>
        <w:rPr>
          <w:i/>
          <w:iCs/>
        </w:rPr>
        <w:t xml:space="preserve"> и девочек посредством образования</w:t>
      </w:r>
      <w:r>
        <w:t xml:space="preserve">. </w:t>
      </w:r>
      <w:r w:rsidRPr="004C298C">
        <w:rPr>
          <w:rFonts w:eastAsia="Calibri"/>
          <w:spacing w:val="4"/>
          <w:w w:val="103"/>
          <w:kern w:val="14"/>
          <w:szCs w:val="22"/>
        </w:rPr>
        <w:t>Они также провели семинар с участием специалистов в целях рассмотрения препятствий для установления равенства в системе образования и на рынке труда, которые государствам Северной Европы до сих пор сложно устранить.</w:t>
      </w:r>
    </w:p>
    <w:p w:rsidR="004C298C" w:rsidRPr="004C298C" w:rsidRDefault="004C298C" w:rsidP="004C298C">
      <w:pPr>
        <w:pStyle w:val="SingleTxtG"/>
        <w:keepNext/>
        <w:spacing w:after="0" w:line="120" w:lineRule="exact"/>
        <w:rPr>
          <w:i/>
          <w:sz w:val="10"/>
        </w:rPr>
      </w:pPr>
    </w:p>
    <w:p w:rsidR="00102068" w:rsidRPr="004C298C"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sidR="00102068" w:rsidRPr="00C9361C">
        <w:t>Совет по правам</w:t>
      </w:r>
      <w:r>
        <w:t> человек</w:t>
      </w:r>
      <w:r w:rsidR="00102068" w:rsidRPr="00C9361C">
        <w:t>а</w:t>
      </w: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На заседаниях Совета по правам</w:t>
      </w:r>
      <w:r>
        <w:t> человек</w:t>
      </w:r>
      <w:r w:rsidR="00102068">
        <w:t xml:space="preserve">а Организации Объединенных Наций Исландия исполняет функции наблюдателя. Данная область сотрудничества стран Северной Европы весьма обширна; недавно этими странами было организовано специальное мероприятие в рамках проведенной Советом встречи на высшем уровне, касавшееся деятельности по борьбе с насилием в </w:t>
      </w:r>
      <w:r w:rsidR="00102068" w:rsidRPr="00C9361C">
        <w:t>отношении</w:t>
      </w:r>
      <w:r w:rsidR="004E3C3F">
        <w:t> женщин</w:t>
      </w:r>
      <w:r w:rsidR="00102068">
        <w:t xml:space="preserve"> и косвенного воздействия на положение детей. В 2011</w:t>
      </w:r>
      <w:r>
        <w:t> году</w:t>
      </w:r>
      <w:r w:rsidR="00102068">
        <w:t xml:space="preserve"> Исландия представила свой периодический доклад. Из 84 запросов, направленных правительству Исландии, несколько касались реформирования деятельности по решению гендерных проблем. Исландское правительство также направило свои замечания и комментарии другим государствам. Следующий периодический доклад Исландии должен быть представлен осенью 2016</w:t>
      </w:r>
      <w:r>
        <w:t> года</w:t>
      </w:r>
      <w:r w:rsidR="00102068">
        <w:t>.</w:t>
      </w:r>
    </w:p>
    <w:p w:rsidR="00102068" w:rsidRDefault="004C298C" w:rsidP="004C298C">
      <w:pPr>
        <w:pStyle w:val="SingleTxt"/>
        <w:rPr>
          <w:i/>
        </w:rPr>
      </w:pPr>
      <w:r>
        <w:tab/>
      </w:r>
      <w:r w:rsidR="00102068" w:rsidRPr="006351A4">
        <w:t>16</w:t>
      </w:r>
      <w:r w:rsidR="00102068">
        <w:t>–23 мая 2013</w:t>
      </w:r>
      <w:r>
        <w:t> года</w:t>
      </w:r>
      <w:r w:rsidR="00102068">
        <w:t xml:space="preserve"> члены Рабочей группы по вопросу о дискриминации в отношении</w:t>
      </w:r>
      <w:r w:rsidR="004E3C3F">
        <w:t> женщин</w:t>
      </w:r>
      <w:r w:rsidR="00102068">
        <w:t xml:space="preserve"> в законодательстве и на практике совершили официальную поездку в Исландию по приглашению правительства страны; это приглашение было направлено Исландией еще в 2000</w:t>
      </w:r>
      <w:r>
        <w:t> году</w:t>
      </w:r>
      <w:r w:rsidR="00102068">
        <w:t>. Цель Рабочей группы состояла в выявлении, изучении и анализе оптимальных методов предотвращения таких форм гендерной дискриминации. Проект доклада Рабочей группы по вопросу о дискриминации в отношении</w:t>
      </w:r>
      <w:r w:rsidR="004E3C3F">
        <w:t> женщин</w:t>
      </w:r>
      <w:r w:rsidR="00102068">
        <w:t xml:space="preserve"> в законодательстве и на практике о ее поездке в Исландию был отправлен весной 2014 год. 16</w:t>
      </w:r>
      <w:r>
        <w:t> июня</w:t>
      </w:r>
      <w:r w:rsidR="00102068">
        <w:t xml:space="preserve"> 2014</w:t>
      </w:r>
      <w:r>
        <w:t> года</w:t>
      </w:r>
      <w:r w:rsidR="00102068">
        <w:t xml:space="preserve"> посол постоянного представительства Исландии в Женеве выступил перед Советом. Он подчеркнул, что в глобальном контексте деятельность Исландии по обеспечению равенства мужчин и</w:t>
      </w:r>
      <w:r w:rsidR="004E3C3F">
        <w:t> женщин</w:t>
      </w:r>
      <w:r w:rsidR="00102068">
        <w:t xml:space="preserve"> заслуживает высокой оценки. Посол также рассказал о ведущейся работе по определению семейной политики Исландии на период до 2020</w:t>
      </w:r>
      <w:r>
        <w:t> года</w:t>
      </w:r>
      <w:r w:rsidR="00102068">
        <w:t xml:space="preserve"> и трудностях, связанных с поиском способов обеспечения более активного участия мужчин в общественной дискуссии. Наряду с этим в числе прочих тем были рассмотрены растущая проблема враждебных высказываний в отношении</w:t>
      </w:r>
      <w:r w:rsidR="004E3C3F">
        <w:t> женщин</w:t>
      </w:r>
      <w:r w:rsidR="00102068">
        <w:t xml:space="preserve"> в интернете и предложение внести в парламент на его следующей законодательной сессии три законопроекта о борьбе с дискриминацией, которые обеспечивают практическое применение трех директив ЕС, касающихся равного обращения на рынке труда, равного обращения в вопросах социальной защиты и равного обращения в вопросах управления.</w:t>
      </w:r>
    </w:p>
    <w:p w:rsidR="004C298C" w:rsidRPr="004C298C" w:rsidRDefault="004C298C" w:rsidP="004C298C">
      <w:pPr>
        <w:pStyle w:val="SingleTxtG"/>
        <w:spacing w:after="0" w:line="120" w:lineRule="exact"/>
        <w:rPr>
          <w:i/>
          <w:sz w:val="10"/>
        </w:rPr>
      </w:pPr>
    </w:p>
    <w:p w:rsidR="00102068"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 xml:space="preserve">Структура </w:t>
      </w:r>
      <w:r>
        <w:t>«</w:t>
      </w:r>
      <w:r w:rsidR="00102068" w:rsidRPr="006351A4">
        <w:t>ООН-женщины</w:t>
      </w:r>
      <w:r>
        <w:t>»</w:t>
      </w: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 xml:space="preserve">Структура </w:t>
      </w:r>
      <w:r>
        <w:t>«</w:t>
      </w:r>
      <w:r w:rsidR="00102068">
        <w:t>ООН-женщины</w:t>
      </w:r>
      <w:r>
        <w:t>»</w:t>
      </w:r>
      <w:r w:rsidR="00102068">
        <w:t xml:space="preserve"> названа одним из четырех учреждений, играющих ключевую роль в обеспечении участия </w:t>
      </w:r>
      <w:r w:rsidR="00102068" w:rsidRPr="006351A4">
        <w:t>Исландии</w:t>
      </w:r>
      <w:r w:rsidR="00102068">
        <w:t xml:space="preserve"> в международной деятельности в области развития. В 2012</w:t>
      </w:r>
      <w:r>
        <w:t> году</w:t>
      </w:r>
      <w:r w:rsidR="00102068">
        <w:t xml:space="preserve"> взносы в бюджет данного учреждения составили 131,5 млн. исландских крон. В этом же</w:t>
      </w:r>
      <w:r>
        <w:t> году</w:t>
      </w:r>
      <w:r w:rsidR="00102068">
        <w:t xml:space="preserve"> общие взносы на цели сотрудничества в области развития достигли 70 млн. исландских крон. Наряду с этим делались взносы в фонды по борьбе с гендерным насилием. В двух из пяти стран, которым Исландия уделяет первоочередное внимание, принимая участие в международной деятельности в области развития, политическая обстановка является нестабильной (речь идет о Палестине и Афганистане). Для Исландии главную роль в оказании поддержки обеим странам играет выполнение резолюции СБ ООН. В Палестине Исландия поддерживает структуру </w:t>
      </w:r>
      <w:r>
        <w:t>«</w:t>
      </w:r>
      <w:r w:rsidR="00102068">
        <w:t>ООН-женщины</w:t>
      </w:r>
      <w:r>
        <w:t>»</w:t>
      </w:r>
      <w:r w:rsidR="00102068">
        <w:t xml:space="preserve"> и местные НПО по защите прав</w:t>
      </w:r>
      <w:r w:rsidR="004E3C3F">
        <w:t> женщин</w:t>
      </w:r>
      <w:r w:rsidR="00102068">
        <w:t xml:space="preserve">. В Афганистане Исландия оказывает поддержку страновому отделению структуры </w:t>
      </w:r>
      <w:r>
        <w:t>«</w:t>
      </w:r>
      <w:r w:rsidR="00102068">
        <w:t>ООН-женщины</w:t>
      </w:r>
      <w:r>
        <w:t>»</w:t>
      </w:r>
      <w:r w:rsidR="00102068">
        <w:t xml:space="preserve"> и направляет эксперта по вопросам гендерного равенства в МССБ в Кабуле.</w:t>
      </w:r>
    </w:p>
    <w:p w:rsidR="004C298C" w:rsidRPr="004C298C" w:rsidRDefault="004C298C" w:rsidP="004C298C">
      <w:pPr>
        <w:pStyle w:val="SingleTxt"/>
        <w:spacing w:after="0" w:line="120" w:lineRule="exact"/>
        <w:rPr>
          <w:sz w:val="10"/>
        </w:rPr>
      </w:pPr>
    </w:p>
    <w:p w:rsidR="00102068"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Фонд Организации Объединенных Наций в области народонаселения</w:t>
      </w: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Исландское правительство регулярно делает взносы в бюджет ЮНФПА. В 2012</w:t>
      </w:r>
      <w:r>
        <w:t> году</w:t>
      </w:r>
      <w:r w:rsidR="00102068">
        <w:t xml:space="preserve"> правительство также внесло свой вклад в совместную деятельность ЮНФПА и </w:t>
      </w:r>
      <w:r w:rsidR="00102068" w:rsidRPr="006351A4">
        <w:t>ЮНИСЕФ</w:t>
      </w:r>
      <w:r w:rsidR="00102068">
        <w:t xml:space="preserve">, направленную на упразднение практики </w:t>
      </w:r>
      <w:r w:rsidR="00102068">
        <w:rPr>
          <w:i/>
          <w:iCs/>
        </w:rPr>
        <w:t>калечения женских половых органов/женского обрезания (КЖПО/ЖО).</w:t>
      </w:r>
      <w:r w:rsidR="00102068">
        <w:t xml:space="preserve"> Осуществляемые проекты охватывают 16</w:t>
      </w:r>
      <w:r w:rsidR="00102068">
        <w:rPr>
          <w:lang w:val="en-US"/>
        </w:rPr>
        <w:t> </w:t>
      </w:r>
      <w:r w:rsidR="00102068">
        <w:t>стран Африки и обращены к обществам, в которых применение данной процедуры является устойчивой традицией.</w:t>
      </w:r>
    </w:p>
    <w:p w:rsidR="004C298C" w:rsidRPr="004C298C" w:rsidRDefault="004C298C" w:rsidP="004C298C">
      <w:pPr>
        <w:pStyle w:val="SingleTxtG"/>
        <w:spacing w:after="0" w:line="120" w:lineRule="exact"/>
        <w:rPr>
          <w:sz w:val="10"/>
        </w:rPr>
      </w:pPr>
    </w:p>
    <w:p w:rsidR="00102068" w:rsidRPr="006351A4"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Другие формы сотрудничества на базе Организации Объединенных Наций</w:t>
      </w:r>
    </w:p>
    <w:p w:rsidR="004C298C" w:rsidRPr="004C298C" w:rsidRDefault="004C298C" w:rsidP="004C298C">
      <w:pPr>
        <w:pStyle w:val="SingleTxtG"/>
        <w:spacing w:after="0" w:line="120" w:lineRule="exact"/>
        <w:rPr>
          <w:sz w:val="10"/>
        </w:rPr>
      </w:pPr>
    </w:p>
    <w:p w:rsidR="00102068" w:rsidRDefault="004C298C" w:rsidP="004C298C">
      <w:pPr>
        <w:pStyle w:val="SingleTxt"/>
      </w:pPr>
      <w:r>
        <w:tab/>
      </w:r>
      <w:r w:rsidR="00102068">
        <w:t>В своем выступлении перед Генеральной Ассамблеей Организации Объединенных Наций в сентябре 2012</w:t>
      </w:r>
      <w:r>
        <w:t> года</w:t>
      </w:r>
      <w:r w:rsidR="00102068">
        <w:t xml:space="preserve"> исландский министр иностранных дел упомянул о демократическом процессе в Северной Африке и на Ближнем Востоке, последовавшем за </w:t>
      </w:r>
      <w:r>
        <w:t>«</w:t>
      </w:r>
      <w:r w:rsidR="00102068">
        <w:t>арабской весной</w:t>
      </w:r>
      <w:r>
        <w:t>»</w:t>
      </w:r>
      <w:r w:rsidR="00102068">
        <w:t>, и важности гендерного равенства в вопросах, касающихся социальной структуры. Наряду с этим министр вновь заявил, что насилие и дискриминация по признакам сексуальной ориентации или сексуального самосознания будут пресекаться и что перед всеми народами стоит общая цель обеспечить равные права для всех лиц. Исландия принимает активное участие в обсуждении вопросов гендерного равенства и прав</w:t>
      </w:r>
      <w:r>
        <w:t> человек</w:t>
      </w:r>
      <w:r w:rsidR="00102068">
        <w:t xml:space="preserve">а в </w:t>
      </w:r>
      <w:r w:rsidR="00102068" w:rsidRPr="006351A4">
        <w:t>рамках</w:t>
      </w:r>
      <w:r w:rsidR="00102068">
        <w:t xml:space="preserve"> третьего комитета и уделяет особое внимание интеграции гендерных стратегий во все формы совместной деятельности на уровне Организации Объединенных Наций. Заседания третьего комитета состоялись в октябре–ноябре 2012</w:t>
      </w:r>
      <w:r>
        <w:t> года</w:t>
      </w:r>
      <w:r w:rsidR="00102068">
        <w:t>. Исландия приняла ряд резолюций, включая резолюцию на тему калечения женских половых органов.</w:t>
      </w:r>
    </w:p>
    <w:p w:rsidR="00102068" w:rsidRPr="006351A4" w:rsidRDefault="004C298C" w:rsidP="004C298C">
      <w:pPr>
        <w:pStyle w:val="SingleTxt"/>
      </w:pPr>
      <w:r>
        <w:tab/>
      </w:r>
      <w:r w:rsidR="00102068" w:rsidRPr="006351A4">
        <w:t xml:space="preserve">На протяжении многих лет правительство Исландии, действуя в сотрудничестве с УВКБ, с готовностью принимало группы беженцев. В последнее время основное внимание уделяется группам, которые прежде квалифицировались как </w:t>
      </w:r>
      <w:r>
        <w:t>«</w:t>
      </w:r>
      <w:r w:rsidR="00102068" w:rsidRPr="006351A4">
        <w:t>женщины в опасности</w:t>
      </w:r>
      <w:r>
        <w:t>»</w:t>
      </w:r>
      <w:r w:rsidR="00102068" w:rsidRPr="006351A4">
        <w:t>, т. е. одиноким матерям с детьми. В 2012</w:t>
      </w:r>
      <w:r>
        <w:t> году</w:t>
      </w:r>
      <w:r w:rsidR="00102068" w:rsidRPr="006351A4">
        <w:t xml:space="preserve"> три афганских семьи</w:t>
      </w:r>
      <w:r>
        <w:t xml:space="preserve"> — </w:t>
      </w:r>
      <w:r w:rsidR="004E3C3F">
        <w:t> женщин</w:t>
      </w:r>
      <w:r w:rsidR="00102068" w:rsidRPr="006351A4">
        <w:t>ы с детьми, которые находились в лагерях беженцев в Иране</w:t>
      </w:r>
      <w:r>
        <w:t xml:space="preserve"> — </w:t>
      </w:r>
      <w:r w:rsidR="00102068" w:rsidRPr="006351A4">
        <w:t xml:space="preserve"> были приняты в Исландии. </w:t>
      </w:r>
    </w:p>
    <w:p w:rsidR="00102068" w:rsidRDefault="004C298C" w:rsidP="004C298C">
      <w:pPr>
        <w:pStyle w:val="SingleTxt"/>
      </w:pPr>
      <w:r>
        <w:tab/>
      </w:r>
      <w:r w:rsidR="00102068" w:rsidRPr="006351A4">
        <w:t>Делегация Исландии приняла всестороннее участие в конференции Организации Объединенных Наций, состоявшейся 2–27</w:t>
      </w:r>
      <w:r>
        <w:t> июля</w:t>
      </w:r>
      <w:r w:rsidR="00102068" w:rsidRPr="006351A4">
        <w:t xml:space="preserve"> 2012</w:t>
      </w:r>
      <w:r>
        <w:t> года</w:t>
      </w:r>
      <w:r w:rsidR="00102068" w:rsidRPr="006351A4">
        <w:t>, на которой обсуждался международный договор о сделках с оружием, подчеркнув, что в данный договор следует включить нормы о борьбе с гендерным насилием с целью предотвращения насилия в отношении</w:t>
      </w:r>
      <w:r w:rsidR="004E3C3F">
        <w:t> женщин</w:t>
      </w:r>
      <w:r w:rsidR="00102068" w:rsidRPr="006351A4">
        <w:t xml:space="preserve"> и девочек.</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Пекинская декларация и Платформа действий и Цели развития тысячелетия</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rPr>
          <w:iCs/>
        </w:rPr>
      </w:pPr>
      <w:r>
        <w:tab/>
      </w:r>
      <w:r w:rsidR="00102068">
        <w:t xml:space="preserve">Исландия представила ответы на вопросник о ходе осуществления Пекинской декларации и Платформы действий в связи с подготовкой к проведению глобального обзора </w:t>
      </w:r>
      <w:r>
        <w:t>«</w:t>
      </w:r>
      <w:r w:rsidR="00102068">
        <w:t>Пекин+20</w:t>
      </w:r>
      <w:r>
        <w:t>»</w:t>
      </w:r>
      <w:r w:rsidR="00102068">
        <w:t xml:space="preserve"> в 2015</w:t>
      </w:r>
      <w:r>
        <w:t> году</w:t>
      </w:r>
      <w:r w:rsidR="00102068">
        <w:t xml:space="preserve">. Она включила </w:t>
      </w:r>
      <w:r w:rsidR="00102068">
        <w:rPr>
          <w:iCs/>
        </w:rPr>
        <w:t>Цели развития тысячелетия в свою деятельность в области развития. Исландское агентство по международному развитию (АЙСИДА) обеспечило учет гендерной проблематики в своей повседневной деятельности и обнародовало стратегию установления гендерного равенства, применяемую при осуществлении всех его операций. Исландия достигла целей, сформулированных в рамках ЦРТ-3, и располагает обширными данными для мониторинга достижений в этой области. Она добилась успеха в деле обеспечения гендерного равенства в глобальном контексте. По индексу глобального гендерного разрыва за 2013 год, опубликованному Всемирным экономическим форумом, Исландия занимает первое место в перечне стран с наилучшими условиями в плане обеспечения гендерного равенства. Она возглавляет этот перечень уже на протяжении пяти лет.</w:t>
      </w:r>
    </w:p>
    <w:p w:rsidR="004C298C" w:rsidRPr="004C298C" w:rsidRDefault="004C298C" w:rsidP="004C298C">
      <w:pPr>
        <w:pStyle w:val="SingleTxt"/>
        <w:spacing w:after="0" w:line="120" w:lineRule="exact"/>
        <w:rPr>
          <w:iCs/>
          <w:sz w:val="10"/>
        </w:rPr>
      </w:pPr>
    </w:p>
    <w:p w:rsidR="004C298C" w:rsidRPr="004C298C" w:rsidRDefault="004C298C" w:rsidP="004C298C">
      <w:pPr>
        <w:pStyle w:val="SingleTxt"/>
        <w:spacing w:after="0" w:line="120" w:lineRule="exact"/>
        <w:rPr>
          <w:b/>
          <w:iCs/>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Сотрудничество в рамках ЕЭП и ЕС</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Исландия участвовала в программах Европейского союза по обеспечению гендерного равенства в соответствии с Соглашением о Европейском экономическом пространстве. Центр по вопросам равенства мужчин и</w:t>
      </w:r>
      <w:r w:rsidR="004E3C3F">
        <w:t> женщин</w:t>
      </w:r>
      <w:r w:rsidR="00102068">
        <w:t xml:space="preserve"> (</w:t>
      </w:r>
      <w:r w:rsidR="00102068">
        <w:rPr>
          <w:i/>
        </w:rPr>
        <w:t>Jafnréttisstofa</w:t>
      </w:r>
      <w:r w:rsidR="00102068">
        <w:t xml:space="preserve">) </w:t>
      </w:r>
      <w:r w:rsidR="00102068" w:rsidRPr="006351A4">
        <w:t>принимал</w:t>
      </w:r>
      <w:r w:rsidR="00102068">
        <w:t xml:space="preserve"> участие в проектах, осуществляемых в рамках программы ЕС по обеспечению гендерного равенства, и руководил такими проектами.</w:t>
      </w:r>
    </w:p>
    <w:p w:rsidR="00102068" w:rsidRDefault="004C298C" w:rsidP="004C298C">
      <w:pPr>
        <w:pStyle w:val="SingleTxt"/>
      </w:pPr>
      <w:r>
        <w:tab/>
      </w:r>
      <w:r w:rsidR="00102068" w:rsidRPr="006351A4">
        <w:t>В</w:t>
      </w:r>
      <w:r w:rsidR="00102068">
        <w:t xml:space="preserve"> связи с сотрудничеством в рамках ЕЭП Рабочая группа ЕАСТ по вопросам гендерного равенства, борьбы с дискриминацией и семейной политики отслеживает ситуацию в области обеспечения гендерного равенства и предотвращения дискриминации меньшинств на территории ЕС. Комитет проводит свои заседания дважды в год. Он анализирует новые меры, принимаемые Европейским союзом, и отслеживает проводимые в его рамках мероприятия и обсуждения данной темы. Исландия имеет наблюдателя в Консультативном комитете ЕС по вопросам гендерного равенства и участвует в реализации принятой ЕС Стратегии обеспечения равенства между</w:t>
      </w:r>
      <w:r w:rsidR="004E3C3F">
        <w:t> женщин</w:t>
      </w:r>
      <w:r w:rsidR="00102068">
        <w:t>ами и мужчинами. В качестве государства, входящего в ЕАСТ, Исландия не принимает непосредственного участия в работе Европейского института по вопросам гендерного равенства, однако предоставляет статистические данные в рамках сотрудничества с этим учреждением. Страна была представлена в составе комитета по проблемам гендерного равенства Совета Европы до его роспуска в 2012</w:t>
      </w:r>
      <w:r>
        <w:t> году</w:t>
      </w:r>
      <w:r w:rsidR="00102068">
        <w:t>.</w:t>
      </w:r>
      <w:r w:rsidR="00102068">
        <w:rPr>
          <w:iCs/>
        </w:rPr>
        <w:t xml:space="preserve"> Эксперты из ЕЭП и ЕАСТ тщательно отслеживают все происходящие в ЕС изменения в вопросах семейной политики, включая права</w:t>
      </w:r>
      <w:r w:rsidR="004E3C3F">
        <w:rPr>
          <w:iCs/>
        </w:rPr>
        <w:t> ребенка</w:t>
      </w:r>
      <w:r w:rsidR="00102068">
        <w:rPr>
          <w:iCs/>
        </w:rPr>
        <w:t xml:space="preserve">. Они также следят за мероприятиями Агентства Европейского союза по основным правам </w:t>
      </w:r>
      <w:r w:rsidR="00102068">
        <w:t xml:space="preserve">(АОП). Государства, входящие в ЕЭП и ЕАСТ, активно участвовали в соответствующих направлениях программы </w:t>
      </w:r>
      <w:r>
        <w:t>«</w:t>
      </w:r>
      <w:r w:rsidR="00102068">
        <w:t>ПРОГРЕСС</w:t>
      </w:r>
      <w:r>
        <w:t>»</w:t>
      </w:r>
      <w:r w:rsidR="00102068">
        <w:t xml:space="preserve"> и программы действий на уровне общин по предотвращению насилия в отношении детей, молодежи и</w:t>
      </w:r>
      <w:r w:rsidR="004E3C3F">
        <w:t> женщин</w:t>
      </w:r>
      <w:r w:rsidR="00102068">
        <w:t xml:space="preserve"> и защите пострадавших и групп риска </w:t>
      </w:r>
      <w:r>
        <w:t>«</w:t>
      </w:r>
      <w:r w:rsidR="00102068">
        <w:t>Дафна III</w:t>
      </w:r>
      <w:r>
        <w:t>»</w:t>
      </w:r>
      <w:r w:rsidR="00102068">
        <w:t xml:space="preserve"> на 2007–2013 годы. Эти государства планируют принять участие в Программе по вопросам прав, равенства и гражданства в рамках Многолетней программы финансового развития (2014–2020 годы).</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Другие формы международного сотрудничества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НАТО</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Постоянный комитет Исландии при НАТО принимает меры по выполнению Национального плана действий по осуществлению резолюции 1325 СБ ООН о</w:t>
      </w:r>
      <w:r w:rsidR="004E3C3F">
        <w:t> женщин</w:t>
      </w:r>
      <w:r w:rsidR="00102068">
        <w:t xml:space="preserve">ах, мире и </w:t>
      </w:r>
      <w:r w:rsidR="00102068" w:rsidRPr="006351A4">
        <w:t>безопасности</w:t>
      </w:r>
      <w:r w:rsidR="00102068">
        <w:t xml:space="preserve"> и уже добился успеха во многих областях. Действуя в рамках НАТО, исландская делегация помогает укомплектовать рабочие группы по проблемам</w:t>
      </w:r>
      <w:r w:rsidR="004E3C3F">
        <w:t> женщин</w:t>
      </w:r>
      <w:r w:rsidR="00102068">
        <w:t>, мира и безопасности. Исландия взяла на себя инициативу по составлению письма в адрес Генерального секретаря, в котором подчеркивалась роль резолюции в действиях, предпринимаемых НАТО.</w:t>
      </w:r>
    </w:p>
    <w:p w:rsidR="004C298C" w:rsidRPr="004C298C" w:rsidRDefault="004C298C" w:rsidP="004C298C">
      <w:pPr>
        <w:pStyle w:val="SingleTxtG"/>
        <w:spacing w:after="0" w:line="120" w:lineRule="exact"/>
        <w:rPr>
          <w:i/>
          <w:sz w:val="10"/>
        </w:rPr>
      </w:pPr>
    </w:p>
    <w:p w:rsidR="00102068" w:rsidRPr="006351A4"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Организация по безопасности и сотрудничеству в Европе</w:t>
      </w:r>
    </w:p>
    <w:p w:rsidR="004C298C" w:rsidRPr="004C298C" w:rsidRDefault="004C298C" w:rsidP="004C298C">
      <w:pPr>
        <w:pStyle w:val="SingleTxtG"/>
        <w:spacing w:after="0" w:line="120" w:lineRule="exact"/>
        <w:rPr>
          <w:sz w:val="10"/>
        </w:rPr>
      </w:pPr>
    </w:p>
    <w:p w:rsidR="00102068" w:rsidRDefault="004C298C" w:rsidP="004C298C">
      <w:pPr>
        <w:pStyle w:val="SingleTxt"/>
        <w:rPr>
          <w:bCs/>
        </w:rPr>
      </w:pPr>
      <w:r>
        <w:tab/>
      </w:r>
      <w:r w:rsidR="00102068">
        <w:t xml:space="preserve">Постоянное представительство Исландии при Организации по безопасности и сотрудничеству в Европе уделяло особое </w:t>
      </w:r>
      <w:r w:rsidR="00102068" w:rsidRPr="006351A4">
        <w:t>внимание</w:t>
      </w:r>
      <w:r w:rsidR="00102068">
        <w:t xml:space="preserve"> вопросам равенства прав, запретам в отношении дискриминации, например, обусловленной сексуальной ориентацией, мерам по борьбе с торговлей людьми и процессу осуществления резолюции 1325 СБ ООН. Министерство иностранных дел оказало помощь в реализации проектов по борьбе с торговлей людьми, например, в Беларуси и в Совете государств Балтийского моря.</w:t>
      </w:r>
    </w:p>
    <w:p w:rsidR="00102068" w:rsidRDefault="004C298C" w:rsidP="004C298C">
      <w:pPr>
        <w:pStyle w:val="SingleTxt"/>
        <w:rPr>
          <w:i/>
        </w:rPr>
      </w:pPr>
      <w:r>
        <w:tab/>
      </w:r>
      <w:r w:rsidR="00102068" w:rsidRPr="006351A4">
        <w:t>С</w:t>
      </w:r>
      <w:r w:rsidR="00102068">
        <w:t xml:space="preserve"> 2008</w:t>
      </w:r>
      <w:r>
        <w:t> года</w:t>
      </w:r>
      <w:r w:rsidR="00102068">
        <w:t xml:space="preserve"> правительство Исландии поддерживает </w:t>
      </w:r>
      <w:r w:rsidR="00102068">
        <w:rPr>
          <w:i/>
          <w:iCs/>
        </w:rPr>
        <w:t>Женский центр по вопросам правовой помощи и консультаций</w:t>
      </w:r>
      <w:r>
        <w:rPr>
          <w:i/>
          <w:iCs/>
        </w:rPr>
        <w:t xml:space="preserve"> — </w:t>
      </w:r>
      <w:r w:rsidR="00102068">
        <w:t xml:space="preserve"> палестинскую НПО, защищающую права</w:t>
      </w:r>
      <w:r w:rsidR="004E3C3F">
        <w:t> женщин</w:t>
      </w:r>
      <w:r w:rsidR="00102068">
        <w:t>, ведущую борьбу с гендерным насилием и предоставляющую</w:t>
      </w:r>
      <w:r w:rsidR="004E3C3F">
        <w:t> женщин</w:t>
      </w:r>
      <w:r w:rsidR="00102068">
        <w:t>ам правовую помощь. Наряду с этим было оказано содействие в реализации белорусского проекта, осуществляемого Исландским Красным Крестом. Данный проект направлен на борьбу с торговлей людьми посредством информирования молодежи о соответствующих рисках и оказания помощи жертвам торговли людьми после их возвращения домой.</w:t>
      </w:r>
    </w:p>
    <w:p w:rsidR="004C298C" w:rsidRPr="004C298C" w:rsidRDefault="004C298C" w:rsidP="004C298C">
      <w:pPr>
        <w:pStyle w:val="SingleTxtG"/>
        <w:spacing w:after="0" w:line="120" w:lineRule="exact"/>
        <w:rPr>
          <w:i/>
          <w:sz w:val="10"/>
        </w:rPr>
      </w:pPr>
    </w:p>
    <w:p w:rsidR="00102068" w:rsidRPr="006351A4"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102068" w:rsidRPr="006351A4">
        <w:t>Программа УППГР</w:t>
      </w:r>
    </w:p>
    <w:p w:rsidR="004C298C" w:rsidRPr="004C298C" w:rsidRDefault="004C298C" w:rsidP="004C298C">
      <w:pPr>
        <w:pStyle w:val="SingleTxtG"/>
        <w:spacing w:after="0" w:line="120" w:lineRule="exact"/>
        <w:rPr>
          <w:sz w:val="10"/>
        </w:rPr>
      </w:pPr>
    </w:p>
    <w:p w:rsidR="00102068" w:rsidRDefault="004C298C" w:rsidP="004C298C">
      <w:pPr>
        <w:pStyle w:val="SingleTxt"/>
      </w:pPr>
      <w:r>
        <w:tab/>
      </w:r>
      <w:r w:rsidR="00102068">
        <w:t xml:space="preserve">Программа учебной и профессиональной </w:t>
      </w:r>
      <w:r w:rsidR="00102068" w:rsidRPr="006351A4">
        <w:t>подготовки</w:t>
      </w:r>
      <w:r w:rsidR="00102068">
        <w:t xml:space="preserve"> по вопросам гендерного равенства (УООН–УППГР) была учреждена в 2009</w:t>
      </w:r>
      <w:r>
        <w:t> году</w:t>
      </w:r>
      <w:r w:rsidR="00102068">
        <w:t xml:space="preserve"> как совместный проект Университета Исландии и Министерства иностранных дел и в 2013</w:t>
      </w:r>
      <w:r>
        <w:t> году</w:t>
      </w:r>
      <w:r w:rsidR="00102068">
        <w:t xml:space="preserve"> была включена в число мероприятий Университета Организации Объединенных Наций. Задача программы УППГР состоит в содействии достижению гендерного равенства и расширению прав и возможностей</w:t>
      </w:r>
      <w:r w:rsidR="004E3C3F">
        <w:t> женщин</w:t>
      </w:r>
      <w:r w:rsidR="00102068">
        <w:t xml:space="preserve"> в развивающихся странах и постконфликтных обществах посредством обучения и профессиональной подготовки. Ее главной целевой группой являются специалисты, работающие в правительстве и организациях гражданского общества в развивающихся странах и постконфликтных обществах, находящихся в процессе восстановления.</w:t>
      </w:r>
    </w:p>
    <w:p w:rsidR="004C298C" w:rsidRPr="004C298C" w:rsidRDefault="004C298C" w:rsidP="004C298C">
      <w:pPr>
        <w:pStyle w:val="SingleTxtG"/>
        <w:spacing w:after="0" w:line="120" w:lineRule="exact"/>
        <w:rPr>
          <w:i/>
          <w:sz w:val="10"/>
        </w:rPr>
      </w:pPr>
    </w:p>
    <w:p w:rsidR="00102068" w:rsidRPr="006351A4"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6351A4">
        <w:t>Изменение климата</w:t>
      </w:r>
    </w:p>
    <w:p w:rsidR="004C298C" w:rsidRPr="004C298C" w:rsidRDefault="004C298C" w:rsidP="004C298C">
      <w:pPr>
        <w:pStyle w:val="SingleTxt"/>
        <w:spacing w:after="0" w:line="120" w:lineRule="exact"/>
        <w:rPr>
          <w:sz w:val="10"/>
        </w:rPr>
      </w:pPr>
    </w:p>
    <w:p w:rsidR="00102068" w:rsidRDefault="004C298C" w:rsidP="004C298C">
      <w:pPr>
        <w:pStyle w:val="SingleTxt"/>
        <w:rPr>
          <w:iCs/>
        </w:rPr>
      </w:pPr>
      <w:r>
        <w:tab/>
      </w:r>
      <w:r w:rsidR="00102068">
        <w:t>В ходе международных переговоров о мерах по борьбе с изменением климата Исландия выступила в поддержку гендерного равенства и более активного участия</w:t>
      </w:r>
      <w:r w:rsidR="004E3C3F">
        <w:t> женщин</w:t>
      </w:r>
      <w:r w:rsidR="00102068">
        <w:t xml:space="preserve"> в пр</w:t>
      </w:r>
      <w:r w:rsidR="00102068" w:rsidRPr="004C298C">
        <w:t>и</w:t>
      </w:r>
      <w:r w:rsidR="00102068">
        <w:t xml:space="preserve">нятии решений и мер реагирования и добилась значительных успехов в этой области. </w:t>
      </w:r>
      <w:r w:rsidR="00102068" w:rsidRPr="006351A4">
        <w:t>Так</w:t>
      </w:r>
      <w:r w:rsidR="00102068">
        <w:t>, на восемнадцатой сессии Конференции Сторон Рамочной конвенции Организации Объединенных Наций об изменении климата, состоявшейся в Дохе, Катар, в конце 2012</w:t>
      </w:r>
      <w:r>
        <w:t> года</w:t>
      </w:r>
      <w:r w:rsidR="00102068">
        <w:t>, один из дней впервые был посвящен проблемам гендерного равенства. На сессии было принято специальное решение, которое охватывало вопросы гендерного равенства и в числе прочего касалось улучшения гендерного баланса в системе, участвующей в осуществлении Конвенции, а вопросы равенства мужчин и</w:t>
      </w:r>
      <w:r w:rsidR="004E3C3F">
        <w:t> женщин</w:t>
      </w:r>
      <w:r w:rsidR="00102068">
        <w:t xml:space="preserve"> были объявлены постоянным элементом повестки дня будущих сессий Конференции. Проект предложения по данному решению был представлен Европейским союзом, однако Исландия сыграла важную роль в его последующем рассмотрении. В ходе сессии в Дохе Исландия совместно с Норвегией, Данией и Угандой успешно организовала дополнительное мероприятие по обеспечению учета соображений, касающихся гендерного равенства, в работе правительства, связанной с изменением климата. Главная цель состоит в учете указанных соображений при определении мер по борьбе с изменением климата, а также мер по адаптации к его изменению и развитию потенциала и навыков населения для решения проблем в сферах обеспечения гендерного равенства и изменения климата.</w:t>
      </w:r>
    </w:p>
    <w:p w:rsidR="00102068" w:rsidRDefault="004C298C" w:rsidP="00102068">
      <w:pPr>
        <w:pStyle w:val="SingleTxtG"/>
        <w:rPr>
          <w:b/>
          <w:bCs/>
        </w:rPr>
      </w:pPr>
      <w:r>
        <w:tab/>
      </w:r>
      <w:r w:rsidR="00102068" w:rsidRPr="006351A4">
        <w:t>С</w:t>
      </w:r>
      <w:r w:rsidR="00102068">
        <w:t xml:space="preserve"> дополнительной информацией можно ознакомиться в предыдущих докладах.</w:t>
      </w:r>
    </w:p>
    <w:p w:rsidR="004C298C" w:rsidRPr="004C298C" w:rsidRDefault="004C298C" w:rsidP="004C298C">
      <w:pPr>
        <w:pStyle w:val="H1"/>
        <w:spacing w:line="120" w:lineRule="exact"/>
        <w:rPr>
          <w:sz w:val="10"/>
        </w:rPr>
      </w:pPr>
    </w:p>
    <w:p w:rsidR="004C298C" w:rsidRPr="004C298C" w:rsidRDefault="004C298C" w:rsidP="004C298C">
      <w:pPr>
        <w:pStyle w:val="H1"/>
        <w:spacing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Статья 4</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w:t>
      </w:r>
      <w:r w:rsidR="00102068">
        <w:t>ременные специальные меры по скорейшему обеспечению равенства мужчин и</w:t>
      </w:r>
      <w:r w:rsidR="004E3C3F">
        <w:t> 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 xml:space="preserve">Очевидно, что на исландском рынке труда существует деление по гендерному признаку. Исследования, проведенные в Исландии и за рубежом, свидетельствуют о том, что данное обстоятельство влияет на величину гендерных различий в ставках заработной платы; по-видимому, можно </w:t>
      </w:r>
      <w:r w:rsidR="00102068" w:rsidRPr="006351A4">
        <w:t>предположить</w:t>
      </w:r>
      <w:r w:rsidR="00102068">
        <w:t>, что вероятность позитивного влияния на гендерные различия в ставках заработной платы максимальна в случае устранения гендерного разделения рынка труда по сравнению с другими отдельно взятыми мерами.</w:t>
      </w:r>
    </w:p>
    <w:p w:rsidR="00102068" w:rsidRPr="004C298C" w:rsidRDefault="004C298C" w:rsidP="004C298C">
      <w:pPr>
        <w:pStyle w:val="SingleTxt"/>
        <w:spacing w:after="0" w:line="120" w:lineRule="exact"/>
        <w:rPr>
          <w:sz w:val="10"/>
        </w:rPr>
      </w:pPr>
      <w:r>
        <w:tab/>
      </w:r>
      <w:r w:rsidR="00102068">
        <w:t xml:space="preserve">В </w:t>
      </w:r>
      <w:r>
        <w:t>статье </w:t>
      </w:r>
      <w:r w:rsidR="00102068">
        <w:t>2 Закона о равенстве мужчин и</w:t>
      </w:r>
      <w:r w:rsidR="004E3C3F">
        <w:t> женщин</w:t>
      </w:r>
      <w:r w:rsidR="00102068">
        <w:t xml:space="preserve"> 2008</w:t>
      </w:r>
      <w:r>
        <w:t> года</w:t>
      </w:r>
      <w:r w:rsidR="00102068">
        <w:t xml:space="preserve"> с поправками, внесенными в 2014</w:t>
      </w:r>
      <w:r>
        <w:t> году</w:t>
      </w:r>
      <w:r w:rsidR="00102068">
        <w:t xml:space="preserve">, понятие </w:t>
      </w:r>
      <w:r w:rsidR="00102068">
        <w:rPr>
          <w:i/>
        </w:rPr>
        <w:t>специальные меры</w:t>
      </w:r>
      <w:r w:rsidR="00102068">
        <w:t xml:space="preserve"> прямо определено как меры, направленные на улучшение положения</w:t>
      </w:r>
      <w:r w:rsidR="004E3C3F">
        <w:t> женщин</w:t>
      </w:r>
      <w:r w:rsidR="00102068">
        <w:t xml:space="preserve"> или расширение возможностей</w:t>
      </w:r>
      <w:r w:rsidR="004E3C3F">
        <w:t> женщин</w:t>
      </w:r>
      <w:r w:rsidR="00102068">
        <w:t xml:space="preserve"> или </w:t>
      </w:r>
      <w:r w:rsidR="00102068" w:rsidRPr="006351A4">
        <w:t>мужчин</w:t>
      </w:r>
      <w:r w:rsidR="00102068">
        <w:t xml:space="preserve"> для достижения гендерного равенства в областях, где оно отсутствует. Как отмечено в </w:t>
      </w:r>
      <w:r>
        <w:t>статье </w:t>
      </w:r>
      <w:r w:rsidR="00102068">
        <w:t>22 данного закона, специальные меры по достижению этой общей цели не противоречат ему даже в отсутствие конкретных указаний относительно их особого статуса.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Равенство мужчин и</w:t>
      </w:r>
      <w:r w:rsidR="004E3C3F">
        <w:t> женщин</w:t>
      </w:r>
      <w:r w:rsidR="00102068">
        <w:t xml:space="preserve"> в оплате труда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декабре 2011</w:t>
      </w:r>
      <w:r>
        <w:t> года</w:t>
      </w:r>
      <w:r w:rsidR="00102068">
        <w:t xml:space="preserve"> министр социального обеспечения (в настоящее время именуемый министром социальных дел и жилищного строительства) назначил Исполнительный комитет по вопросу </w:t>
      </w:r>
      <w:r w:rsidR="00102068" w:rsidRPr="006351A4">
        <w:t>равной</w:t>
      </w:r>
      <w:r w:rsidR="00102068">
        <w:t xml:space="preserve"> оплаты труда мужчин и</w:t>
      </w:r>
      <w:r w:rsidR="004E3C3F">
        <w:t> женщин</w:t>
      </w:r>
      <w:r w:rsidR="00102068">
        <w:t>, в функции которого входят контроль и координация мер по устранению гендерной дискриминации в оплате труда в соответствии с параграфом 1 пункта 12 четырехлетнего плана действий в интересах равноправия мужчин и</w:t>
      </w:r>
      <w:r w:rsidR="004E3C3F">
        <w:t> женщин</w:t>
      </w:r>
      <w:r w:rsidR="00102068">
        <w:t>, принятого парламентом в мае 2011</w:t>
      </w:r>
      <w:r>
        <w:t> года</w:t>
      </w:r>
      <w:r w:rsidR="00102068">
        <w:t>. В числе прочего комитету было поручено координировать меры по устранению гендерной дискриминации в оплате труда и разработать план действий, включая график его выполнения.</w:t>
      </w:r>
    </w:p>
    <w:p w:rsidR="00102068" w:rsidRDefault="004C298C" w:rsidP="004C298C">
      <w:pPr>
        <w:pStyle w:val="SingleTxt"/>
      </w:pPr>
      <w:r>
        <w:tab/>
      </w:r>
      <w:r w:rsidR="00102068" w:rsidRPr="006351A4">
        <w:t>План</w:t>
      </w:r>
      <w:r w:rsidR="00102068">
        <w:t xml:space="preserve"> действий по обеспечению равенства мужчин и</w:t>
      </w:r>
      <w:r w:rsidR="004E3C3F">
        <w:t> женщин</w:t>
      </w:r>
      <w:r w:rsidR="00102068">
        <w:t xml:space="preserve"> в оплате труда, подготовленный правительством и социальными партнерами, был обнародован в октябре 2012</w:t>
      </w:r>
      <w:r>
        <w:t> года</w:t>
      </w:r>
      <w:r w:rsidR="00102068">
        <w:t>. В нем предложены проекты, цель которых заключается в более широком обеспечении равенства в оплате труда. Тогда же правительство и организации социальных партнеров подписали совместное заявление, после чего министр назначил целевую группу по контролю за мерами, изложенными в Плане действий. В число обязанностей целевой группы входили координация исследований по изучению гендерных различий в ставках заработной платы, подготовка программы по обнародованию и внедрению стандарта равной оплаты труда, реализация специальной программы проведения кампаний и консультаций для предприятий и учреждений с целью устранения различий в ставках заработной платы мужчин и</w:t>
      </w:r>
      <w:r w:rsidR="004E3C3F">
        <w:t> женщин</w:t>
      </w:r>
      <w:r w:rsidR="00102068">
        <w:t xml:space="preserve"> и подготовка материалов, позволяющих сократить такие различия. Наряду с этим в Плане действий было указано, что правительство обязано повышать осведомленность работодателей и активных участников рынка труда о способах содействия интеграции потребностей, связанных с семейной жизнью и трудовой деятельностью, и что необходимо составить программу по сокращению различий в выборе профессии, обусловленных гендерной принадлежностью, с целью устранения гендерных барьеров на рынке труда. По своей сути эти проекты тесно связаны с кампанией по борьбе с гендерным разрывом в оплате труда, поэтому министр поручил целевой группе подготовить план мероприятий, которые должны быть проведены в соответствующих областях.</w:t>
      </w:r>
    </w:p>
    <w:p w:rsidR="00102068" w:rsidRDefault="004C298C" w:rsidP="004C298C">
      <w:pPr>
        <w:pStyle w:val="SingleTxt"/>
      </w:pPr>
      <w:r>
        <w:tab/>
      </w:r>
      <w:r w:rsidR="00102068" w:rsidRPr="005C6730">
        <w:t>Согласно</w:t>
      </w:r>
      <w:r w:rsidR="00102068">
        <w:t xml:space="preserve"> Плану действий в рамках Министерства финансов работает комитет, в состав которого входят по два представителя от Ассоциации выпускников университетов, Союза государственных и муниципальных служащих, Ассоциации руководителей государственных учреждений и Министерства финансов и экономики. На комитет возложены четыре основные функции. Во-первых, он должен проанализировать данные государственной системы оплаты труда и выявить объясняющие переменные, которые могут считаться значимыми для обоснования гендерного разрыва в оплате труда. Во-вторых, ему следует изучить структуру коллективных соглашений о заработной плате, чтобы определить, в какой степени гендерный разрыв в оплате труда может объясняться характеристиками указанной системы. В-третьих, комитет обязан подготовить руководство для глав государственных учреждений в отношении мер реагирования при выявлении гендерного разрыва в оплате труда в ходе анализа ставок заработной платы, а в четвертых, он должен выступить в качестве консультанта Министерства социального обеспечения при подготовке плана по распространению информации о стандарте равной оплаты труда.</w:t>
      </w:r>
    </w:p>
    <w:p w:rsidR="00102068" w:rsidRDefault="004C298C" w:rsidP="004C298C">
      <w:pPr>
        <w:pStyle w:val="SingleTxt"/>
        <w:rPr>
          <w:iCs/>
        </w:rPr>
      </w:pPr>
      <w:r>
        <w:tab/>
      </w:r>
      <w:r w:rsidR="00102068" w:rsidRPr="005C6730">
        <w:t>Одна</w:t>
      </w:r>
      <w:r w:rsidR="00102068">
        <w:t xml:space="preserve"> из целей создания данного комитета заключается в изучении регистрации видов работы, полученного образования и опыта работы, фиксируемых в ORRI (государственной системе учета людских ресурсов и обработки данных), и оценке объясняющих переменных, которые могут быть признаны значимыми, а также необходимости в рассмотрении других уместных объяснений при анализе гендерных различий в оплате труда. Классификация работ в государственном секторе еще не завершена, однако в последние один-два</w:t>
      </w:r>
      <w:r>
        <w:t> года</w:t>
      </w:r>
      <w:r w:rsidR="00102068">
        <w:t xml:space="preserve"> Министерство финансов и экономики совместно с Национальным органом по вопросам управления финансовой деятельностью и Статистическим управлением Исландии разрабатывали классификационную систему ÍSTARF, позволяющую регистрировать виды работ в государственных учреждениях, которая также способствовала совершенствованию регистрации в системе ORRI. Наличие регистрационной системы ÍSTARF является необходимым условием проведения комплексного и скоординированного исследования по вопросам заработной платы в государственном и частном секторах Исландии; в будущем планируется включать в обследования, проводимые Статистическим управлением Исландии, государственных служащих. Разбиение на категории в системе ÍSTARF также необходимо для обеспечения возможности международных сопоставлений, касающихся видов работ и ставок заработной платы.</w:t>
      </w:r>
    </w:p>
    <w:p w:rsidR="00102068" w:rsidRDefault="004C298C" w:rsidP="004C298C">
      <w:pPr>
        <w:pStyle w:val="SingleTxt"/>
        <w:rPr>
          <w:bCs/>
        </w:rPr>
      </w:pPr>
      <w:r>
        <w:tab/>
      </w:r>
      <w:r w:rsidR="00102068" w:rsidRPr="005C6730">
        <w:t>План</w:t>
      </w:r>
      <w:r w:rsidR="00102068">
        <w:t xml:space="preserve"> действий по интеграции семейной жизни и профессиональной деятельности будет основан на докладе целевой группы, сформированной для изучения данного вопроса, который был представлен в апреле 2013</w:t>
      </w:r>
      <w:r>
        <w:t> года</w:t>
      </w:r>
      <w:r w:rsidR="00102068">
        <w:t>. Данный план рассчитан на четыре</w:t>
      </w:r>
      <w:r>
        <w:t> года</w:t>
      </w:r>
      <w:r w:rsidR="00102068">
        <w:t>, т. е. на период, который завершится в конце 2016</w:t>
      </w:r>
      <w:r>
        <w:t> года</w:t>
      </w:r>
      <w:r w:rsidR="00102068">
        <w:t>. К этому времени необходимо значительно сократить гендерные различия в ставках заработной платы, существующие на исландском рынке труда. Согласно указанному плану правительство как сторона, отвечающая за обеспечение равенства, обязано:</w:t>
      </w:r>
    </w:p>
    <w:p w:rsidR="00102068" w:rsidRDefault="00102068" w:rsidP="004C298C">
      <w:pPr>
        <w:pStyle w:val="SingleTxt"/>
      </w:pPr>
      <w:r w:rsidRPr="00102068">
        <w:tab/>
      </w:r>
      <w:r w:rsidRPr="005C6730">
        <w:t>1</w:t>
      </w:r>
      <w:r>
        <w:t>)</w:t>
      </w:r>
      <w:r>
        <w:tab/>
        <w:t>создать целевую группу, которая бы действовала в качестве форума для консультаций и сотрудничества по вопросам, касающимся равенства мужчин и</w:t>
      </w:r>
      <w:r w:rsidR="004E3C3F">
        <w:t> женщин</w:t>
      </w:r>
      <w:r>
        <w:t xml:space="preserve"> в оплате труда, между правительством и организациями социальных партнеров;</w:t>
      </w:r>
    </w:p>
    <w:p w:rsidR="00102068" w:rsidRDefault="00102068" w:rsidP="004C298C">
      <w:pPr>
        <w:pStyle w:val="SingleTxt"/>
        <w:rPr>
          <w:iCs/>
        </w:rPr>
      </w:pPr>
      <w:r w:rsidRPr="00102068">
        <w:tab/>
      </w:r>
      <w:r w:rsidRPr="005C6730">
        <w:t>2</w:t>
      </w:r>
      <w:r>
        <w:t>)</w:t>
      </w:r>
      <w:r>
        <w:tab/>
        <w:t>начать осуществление экспериментального проекта по внедрению стандарта равной заработной платы.</w:t>
      </w:r>
    </w:p>
    <w:p w:rsidR="00102068" w:rsidRDefault="004C298C" w:rsidP="004C298C">
      <w:pPr>
        <w:pStyle w:val="SingleTxt"/>
      </w:pPr>
      <w:r>
        <w:tab/>
      </w:r>
      <w:r w:rsidR="00102068" w:rsidRPr="005C6730">
        <w:t>Разработчики</w:t>
      </w:r>
      <w:r w:rsidR="00102068">
        <w:t xml:space="preserve"> уделяют внимание моделям, используемым в других странах Северной Европы, и консультируются с научным сообществом и профессиональными объединениями. Предполагается, что в плане действий будут указаны долгосрочные меры и сделан особый акцент на увеличении числа мужчин в профессиях, которые по традиции считаются женскими, и</w:t>
      </w:r>
      <w:r w:rsidR="004E3C3F">
        <w:t> женщин</w:t>
      </w:r>
      <w:r w:rsidR="00102068">
        <w:t xml:space="preserve"> в традиционно мужских профессиях. Целевая группа действует весьма активно; в этой связи можно упомянуть о двух открытых семинарах по проблеме гендерного разделения рынка труда, которые были проведены 13 и 26 февраля 2013</w:t>
      </w:r>
      <w:r>
        <w:t> года</w:t>
      </w:r>
      <w:r w:rsidR="00102068">
        <w:t>. На первом из них рассматривалось положение мужчин в традиционно женских сферах деятельности (обеспечение ухода и преподавание); в ходе второго семинара анализировалось положение</w:t>
      </w:r>
      <w:r w:rsidR="004E3C3F">
        <w:t> женщин</w:t>
      </w:r>
      <w:r w:rsidR="00102068">
        <w:t>, профессии которых принято считать мужскими (теория вычислительных машин и систем и работа в технических областях).</w:t>
      </w:r>
    </w:p>
    <w:p w:rsidR="00102068" w:rsidRDefault="004C298C" w:rsidP="004C298C">
      <w:pPr>
        <w:pStyle w:val="SingleTxt"/>
      </w:pPr>
      <w:r>
        <w:tab/>
      </w:r>
      <w:r w:rsidR="00102068" w:rsidRPr="005C6730">
        <w:t>Закон</w:t>
      </w:r>
      <w:r>
        <w:t> № </w:t>
      </w:r>
      <w:r w:rsidR="00102068">
        <w:t>13/2010 внес поправки в Закон об открытых компаниях с ограниченной ответственностью и Закон о закрытых компаниях с ограниченной ответственностью. Эти поправки включали важные положения о соотношении численности мужчин и</w:t>
      </w:r>
      <w:r w:rsidR="004E3C3F">
        <w:t> женщин</w:t>
      </w:r>
      <w:r w:rsidR="00102068">
        <w:t xml:space="preserve"> в советах директоров и исполнительном руководстве таких компаний. Указанные положения направлены на обеспечение более сбалансированного соотношения мужчин и</w:t>
      </w:r>
      <w:r w:rsidR="004E3C3F">
        <w:t> женщин</w:t>
      </w:r>
      <w:r w:rsidR="00102068">
        <w:t xml:space="preserve"> на должностях, позволяющих влиять на происходящее, в открытых и закрытых компаниях с ограниченной ответственностью. Более подробно данная тема рассматривается в разделе, посвященном </w:t>
      </w:r>
      <w:r>
        <w:t>статье </w:t>
      </w:r>
      <w:r w:rsidR="00102068">
        <w:t>11.</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База данных о людских ресурсах</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Что касается частного сектора, то Министерство финансов и экономики, сотрудничающее со Статистическим управлением Исландии и Национальным органом по вопросам управления финансовой деятельностью (</w:t>
      </w:r>
      <w:r w:rsidR="00102068">
        <w:rPr>
          <w:i/>
        </w:rPr>
        <w:t>Fjársýsla ríkisins</w:t>
      </w:r>
      <w:r w:rsidR="00102068">
        <w:t xml:space="preserve">), обязано следить за регистрацией соответствующих лиц в государственной системе информации и учета людских ресурсов. Обеспечение </w:t>
      </w:r>
      <w:r w:rsidR="00102068" w:rsidRPr="005C6730">
        <w:t>приемлемости</w:t>
      </w:r>
      <w:r w:rsidR="00102068">
        <w:t xml:space="preserve"> данных для целей сравнения требует соблюдения детализированных правил процедуры. Ожидается, что регулярный анализ счетов заработной платы предприятий и учреждений приведет к желаемым результатам, предполагающим устранение различий в размерах заработной платы между мужчинами и</w:t>
      </w:r>
      <w:r w:rsidR="004E3C3F">
        <w:t> женщин</w:t>
      </w:r>
      <w:r w:rsidR="00102068">
        <w:t xml:space="preserve">ами. До проведения анализа ставок заработной платы в учреждениях необходимо обеспечить надлежащую категоризацию видов деятельности и регистрацию полученного образования, опыта работы и иных факторов, влияющих на уровень заработной платы. Управление кадров Министерства финансов и экономики подготовило руководство, касающееся наиболее эффективных методов анализа ставок заработной платы, с тем чтобы гарантировать недопущение гендерной дискриминации в оплате труда в государственных органах. </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Составление бюджета с учетом гендерного фактора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совместном заявлении правительства, пришедшего к власти в 2009</w:t>
      </w:r>
      <w:r>
        <w:t> году</w:t>
      </w:r>
      <w:r w:rsidR="00102068">
        <w:t xml:space="preserve">, было отмечено, что при планировании бюджета и </w:t>
      </w:r>
      <w:r w:rsidR="00102068" w:rsidRPr="005C6730">
        <w:t>управлении</w:t>
      </w:r>
      <w:r w:rsidR="00102068">
        <w:t xml:space="preserve"> экономической деятельностью следует руководствоваться принципом составления бюджета с учетом гендерного фактора. В соответствии с этим в апреле 2009</w:t>
      </w:r>
      <w:r>
        <w:t> года</w:t>
      </w:r>
      <w:r w:rsidR="00102068">
        <w:t xml:space="preserve"> был учрежден руководящий комитет по вопросам составления бюджета с учетом гендерного фактора (БУГФ). Данный орган был сформирован министром финансов и включал представителей Министерства финансов, Министерства социального обеспечения, Центра по вопросам равенства мужчин и</w:t>
      </w:r>
      <w:r w:rsidR="004E3C3F">
        <w:t> женщин</w:t>
      </w:r>
      <w:r w:rsidR="00102068">
        <w:t xml:space="preserve"> и Центра исследований по проблемам</w:t>
      </w:r>
      <w:r w:rsidR="004E3C3F">
        <w:t> женщин</w:t>
      </w:r>
      <w:r w:rsidR="00102068">
        <w:t xml:space="preserve"> и гендерным проблемам, а также правительственного эксперта по вопросам гендерного равенства. Назначение руководящего комитета стало первой попыткой ввести комплексную практику БУГФ в государственную систему финансового планирования Исландии. </w:t>
      </w:r>
    </w:p>
    <w:p w:rsidR="00102068" w:rsidRDefault="004C298C" w:rsidP="004C298C">
      <w:pPr>
        <w:pStyle w:val="SingleTxt"/>
      </w:pPr>
      <w:r>
        <w:tab/>
      </w:r>
      <w:r w:rsidR="00102068" w:rsidRPr="005C6730">
        <w:t>В</w:t>
      </w:r>
      <w:r w:rsidR="00102068">
        <w:t xml:space="preserve"> апреле 2011</w:t>
      </w:r>
      <w:r>
        <w:t> года</w:t>
      </w:r>
      <w:r w:rsidR="00102068">
        <w:t xml:space="preserve"> правительство утвердило трехлетний план составления бюджета с учетом гендерного фактора на 2011–2014 годы для всех министерств. Каждое министерство выбрало область политической деятельности, которой должно было уделить основное внимание в указанный период, и получило задание представить промежуточный доклад в рамках подготовки проекта бюджета на 2013 год.</w:t>
      </w:r>
    </w:p>
    <w:p w:rsidR="00102068" w:rsidRDefault="004C298C" w:rsidP="004C298C">
      <w:pPr>
        <w:pStyle w:val="SingleTxt"/>
        <w:rPr>
          <w:bCs/>
        </w:rPr>
      </w:pPr>
      <w:r>
        <w:tab/>
      </w:r>
      <w:r w:rsidR="00102068" w:rsidRPr="005C6730">
        <w:t>Составление</w:t>
      </w:r>
      <w:r w:rsidR="00102068">
        <w:t xml:space="preserve"> бюджета с учетом гендерного фактора направлено на выявление воздействия, оказываемого на мужчин и</w:t>
      </w:r>
      <w:r w:rsidR="004E3C3F">
        <w:t> женщин</w:t>
      </w:r>
      <w:r w:rsidR="00102068">
        <w:t>, с тем чтобы сделать возможным принятие мер реагирования и переоценку стратегий, расходов и источников дохода в соответствии с задачами в области обеспечения равенства. Бюджет должен использоваться рационально, с тем чтобы уравнять положение</w:t>
      </w:r>
      <w:r w:rsidR="004E3C3F">
        <w:t> женщин</w:t>
      </w:r>
      <w:r w:rsidR="00102068">
        <w:t xml:space="preserve"> и мужчин и обеспечить справедливое распределение государственных средств и обоснованное получение государственных доходов. Составление бюджета с учетом гендерного фактора должно быть интегрировано во все процедуры разработки политики и принятия решений и в повседневные операции органов государственного управления. При выявлении в ходе анализа фактов гендерной дискриминации принятые решения должны быть изменены таким образом, чтобы гарантировать справедливость распределения ресурсов и мобилизации поступлений, а также соответствие этих решений потребностям обоих полов. </w:t>
      </w:r>
    </w:p>
    <w:p w:rsidR="00102068" w:rsidRDefault="004C298C" w:rsidP="004C298C">
      <w:pPr>
        <w:pStyle w:val="SingleTxt"/>
      </w:pPr>
      <w:r>
        <w:tab/>
      </w:r>
      <w:r w:rsidR="00102068" w:rsidRPr="005C6730">
        <w:t>В</w:t>
      </w:r>
      <w:r w:rsidR="00102068">
        <w:t xml:space="preserve"> настоящее время ведется работа по определению семейной политики Исландии на период до 2020</w:t>
      </w:r>
      <w:r>
        <w:t> года</w:t>
      </w:r>
      <w:r w:rsidR="00102068">
        <w:t xml:space="preserve">. Основой для нее служит программное заявление правительства по вопросу создания общества, учитывающего интересы семьи, в котором все граждане имеют доступ к равным возможностям, находятся в безопасности и пользуются закрепленными законом правами. Разработка политики в этой области в числе прочего будет предусматривать существование семей с разной структурой. Необходимо гарантировать социальное равенство, доступ семей всех видов к равным правам и недопущение дискриминации по признакам расовой принадлежности, инвалидности, вероисповедания или сексуальной ориентации. Следует искать пути обеспечения экономического благополучия семьи и ее защиты посредством предоставления жилья. Будет проведена работа по установлению баланса между трудовой деятельностью и семейной жизнью и равному распределению между родителями обязанностей, связанных с работой по дому и уходом за детьми. Особое внимание должно быть уделено обеспечению мер по защите от насилия со стороны интимного партнера и оказанию поддержки в борьбе с алкоголизмом и токсикоманией. </w:t>
      </w:r>
    </w:p>
    <w:p w:rsidR="00102068" w:rsidRDefault="004C298C" w:rsidP="004C298C">
      <w:pPr>
        <w:pStyle w:val="SingleTxt"/>
      </w:pPr>
      <w:r>
        <w:tab/>
      </w:r>
      <w:r w:rsidR="00102068" w:rsidRPr="005C6730">
        <w:t>Более</w:t>
      </w:r>
      <w:r w:rsidR="00102068">
        <w:t xml:space="preserve"> подробная информация представлена в разделе настоящего доклада, посвященном </w:t>
      </w:r>
      <w:r>
        <w:t>статье </w:t>
      </w:r>
      <w:r w:rsidR="00102068">
        <w:t>11, а также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5</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rPr>
          <w:bCs/>
        </w:rPr>
      </w:pPr>
      <w:r>
        <w:tab/>
      </w:r>
      <w:r w:rsidR="00102068">
        <w:t xml:space="preserve">В своих заключительных замечаниях к последнему периодическому докладу Исландии (CEDAW/C/ICE/CO/6) Комитет </w:t>
      </w:r>
      <w:r w:rsidR="00102068" w:rsidRPr="005C6730">
        <w:t>выразил</w:t>
      </w:r>
      <w:r w:rsidR="00102068">
        <w:t xml:space="preserve"> озабоченность по поводу сохранения стереотипных установок в отношении</w:t>
      </w:r>
      <w:r w:rsidR="004E3C3F">
        <w:t> женщин</w:t>
      </w:r>
      <w:r w:rsidR="00102068">
        <w:t xml:space="preserve"> и информации, свидетельствующей о том, что как</w:t>
      </w:r>
      <w:r w:rsidR="004E3C3F">
        <w:t> женщин</w:t>
      </w:r>
      <w:r w:rsidR="00102068">
        <w:t>ы, так и мужчины считают приемлемой разницу в оплате их труда</w:t>
      </w:r>
      <w:r w:rsidR="00102068">
        <w:rPr>
          <w:bCs/>
        </w:rPr>
        <w:t>.</w:t>
      </w:r>
    </w:p>
    <w:p w:rsidR="00102068" w:rsidRDefault="004C298C" w:rsidP="004C298C">
      <w:pPr>
        <w:pStyle w:val="SingleTxt"/>
        <w:rPr>
          <w:iCs/>
        </w:rPr>
      </w:pPr>
      <w:r>
        <w:tab/>
      </w:r>
      <w:r w:rsidR="00102068" w:rsidRPr="005C6730">
        <w:t>Проблема</w:t>
      </w:r>
      <w:r w:rsidR="00102068">
        <w:t xml:space="preserve"> гендерного равенства связана не только с положением</w:t>
      </w:r>
      <w:r w:rsidR="004E3C3F">
        <w:t> женщин</w:t>
      </w:r>
      <w:r w:rsidR="00102068">
        <w:t>; она касается как</w:t>
      </w:r>
      <w:r w:rsidR="004E3C3F">
        <w:t> женщин</w:t>
      </w:r>
      <w:r w:rsidR="00102068">
        <w:t>, так и мужчин, а также экономической, социокультурной и политической структур общества. На протяжении определенного времени первоочередное внимание уделяется вовлечению мужчин в обсуждение вопросов гендерного равенства в Исландии.</w:t>
      </w:r>
      <w:r w:rsidR="00102068">
        <w:rPr>
          <w:iCs/>
        </w:rPr>
        <w:t xml:space="preserve"> Согласно новому Закону о равенстве мужчин и</w:t>
      </w:r>
      <w:r w:rsidR="004E3C3F">
        <w:rPr>
          <w:iCs/>
        </w:rPr>
        <w:t> женщин</w:t>
      </w:r>
      <w:r w:rsidR="00102068">
        <w:rPr>
          <w:iCs/>
        </w:rPr>
        <w:t xml:space="preserve"> 2008</w:t>
      </w:r>
      <w:r>
        <w:rPr>
          <w:iCs/>
        </w:rPr>
        <w:t> года</w:t>
      </w:r>
      <w:r w:rsidR="00102068">
        <w:rPr>
          <w:iCs/>
        </w:rPr>
        <w:t xml:space="preserve"> </w:t>
      </w:r>
      <w:r w:rsidR="00102068">
        <w:t>Центр по вопросам равенства мужчин и</w:t>
      </w:r>
      <w:r w:rsidR="004E3C3F">
        <w:t> женщин</w:t>
      </w:r>
      <w:r w:rsidR="00102068">
        <w:t xml:space="preserve"> как специализированное учреждение, действующее</w:t>
      </w:r>
      <w:r w:rsidR="00102068">
        <w:rPr>
          <w:iCs/>
        </w:rPr>
        <w:t xml:space="preserve"> под контролем министра социального обеспечения и отвечающее за мероприятия в сфере, охваченной данным законом, обязано </w:t>
      </w:r>
      <w:r>
        <w:rPr>
          <w:iCs/>
        </w:rPr>
        <w:t>«</w:t>
      </w:r>
      <w:r w:rsidR="00102068">
        <w:rPr>
          <w:iCs/>
        </w:rPr>
        <w:t>активизировать деятельность по решению вопросов, связанных с обеспечением равенства, посредством принятия мер, предусматривающих привлечение большего числа мужчин к работе по созданию равных условий</w:t>
      </w:r>
      <w:r>
        <w:rPr>
          <w:iCs/>
        </w:rPr>
        <w:t>»</w:t>
      </w:r>
      <w:r w:rsidR="00102068">
        <w:rPr>
          <w:iCs/>
        </w:rPr>
        <w:t xml:space="preserve">. </w:t>
      </w:r>
    </w:p>
    <w:p w:rsidR="00102068" w:rsidRDefault="004C298C" w:rsidP="004C298C">
      <w:pPr>
        <w:pStyle w:val="SingleTxt"/>
      </w:pPr>
      <w:r>
        <w:tab/>
      </w:r>
      <w:r w:rsidR="00102068" w:rsidRPr="005C6730">
        <w:t>В</w:t>
      </w:r>
      <w:r w:rsidR="00102068">
        <w:t xml:space="preserve"> соответствии с правительственным Планом действий в интересах равноправия мужчин и</w:t>
      </w:r>
      <w:r w:rsidR="004E3C3F">
        <w:t> женщин</w:t>
      </w:r>
      <w:r w:rsidR="00102068">
        <w:t xml:space="preserve"> на 2011–2014 годы в 2011</w:t>
      </w:r>
      <w:r>
        <w:t> году</w:t>
      </w:r>
      <w:r w:rsidR="00102068">
        <w:t xml:space="preserve"> была назначена целевая группа для внесения предложений о способах обеспечения более активного участия мужчин в обсуждении проблем гендерного равенства и мероприятиях по созданию равных условий. На целевую группу также была возложена задача проанализировать положение мужчин в обществе и возможностей их участия в проводимой работе с учетом изменения исходных условий. При этом ставилась цель получить предложения, которые бы в числе прочего касались способов предоставления мужчинам более широкого выбора образования и работы и других возможностей выбора доступных им ролей, борьбы со стереотипными представлениями о мужчинах и</w:t>
      </w:r>
      <w:r w:rsidR="004E3C3F">
        <w:t> женщин</w:t>
      </w:r>
      <w:r w:rsidR="00102068">
        <w:t>ах и обеспечения более активного участия мужчин в жизни семьи. Предполагалось, что внимание будет уделяться негативным аспектам жизни и поведения мужчин, таким как поведение, сопряженное с риском, насилие и самоубийство. В апреле 2013</w:t>
      </w:r>
      <w:r>
        <w:t> года</w:t>
      </w:r>
      <w:r w:rsidR="00102068">
        <w:t xml:space="preserve"> целевая группа представила министру свой доклад с пятнадцатью предложениями в отношении способов вовлечения мужчин в обсуждение проблем гендерного равенства. В своей работе целевая группа стремилась согласовать различные мнения о роли мужчин в обсуждении указанных вопросов; она была сформирована с целью создания основы для дискуссии между людьми из разной среды, которые имеют разный опыт, связанный с гендерной проблематикой. Целевая группа сочла необходимым ограничить обсуждение пятью основными областями. Было решено, что это упростит процедуру представления материала и обеспечит более четкие рамки для группового обсуждения. В связи с этим доклад, представленный наряду с предложениями министру социального обеспечения, разбит на следующие пять разделов: мужчины и насилие: гендерное насилие; мужчины и политика в сфере обеспечения ухода: отпуск по беременности и родам/в связи с отцовством и опека над детьми; мужчины, здоровье и качество жизни; мужчины, порнография и проституция; мужчины, образование и гендерное разделение рынка труда.</w:t>
      </w:r>
    </w:p>
    <w:p w:rsidR="00102068" w:rsidRDefault="004C298C" w:rsidP="004C298C">
      <w:pPr>
        <w:pStyle w:val="SingleTxt"/>
      </w:pPr>
      <w:r>
        <w:tab/>
      </w:r>
      <w:r w:rsidR="00102068" w:rsidRPr="005C6730">
        <w:t>Очевидно</w:t>
      </w:r>
      <w:r w:rsidR="00102068">
        <w:t xml:space="preserve">, что гендерные стереотипы влияют на выбор образования многими юношами и девушками. Впоследствии выбор образования влияет на выбор работы. В профессиях, связанных с воспитанием и обеспечением ухода за пожилыми людьми, весьма невелико количество ролевых моделей для молодых людей, в то время как в дисциплинах, связанных с промышленностью и техническими науками, отсутствуют женские ролевые модели. Таким образом, стереотипы ограничивают свободное выражение талантов, вне зависимости от половой принадлежности. Заработная плата лиц, работа которых традиционно считается женской, обычно бывает меньше заработной платы лиц, выполняющих </w:t>
      </w:r>
      <w:r>
        <w:t>«</w:t>
      </w:r>
      <w:r w:rsidR="00102068">
        <w:t>мужскую работу</w:t>
      </w:r>
      <w:r>
        <w:t>»</w:t>
      </w:r>
      <w:r w:rsidR="00102068">
        <w:t xml:space="preserve">. </w:t>
      </w:r>
    </w:p>
    <w:p w:rsidR="00102068" w:rsidRPr="005C6730" w:rsidRDefault="004C298C" w:rsidP="004C298C">
      <w:pPr>
        <w:pStyle w:val="SingleTxt"/>
      </w:pPr>
      <w:r>
        <w:tab/>
      </w:r>
      <w:r w:rsidR="00102068" w:rsidRPr="005C6730">
        <w:t>Подана заявка на финансирование проекта по ограничению практики выбора образования и работы по гендерному признаку, реализация которого должна начаться в 2014</w:t>
      </w:r>
      <w:r>
        <w:t> году</w:t>
      </w:r>
      <w:r w:rsidR="00102068" w:rsidRPr="005C6730">
        <w:t xml:space="preserve"> и завершиться в 2015</w:t>
      </w:r>
      <w:r>
        <w:t> году</w:t>
      </w:r>
      <w:r w:rsidR="00102068" w:rsidRPr="005C6730">
        <w:t>. Данный проект является частью Плана действий в интересах равноправия мужчин и</w:t>
      </w:r>
      <w:r w:rsidR="004E3C3F">
        <w:t> женщин</w:t>
      </w:r>
      <w:r w:rsidR="00102068" w:rsidRPr="005C6730">
        <w:t xml:space="preserve">. Основная работа по его осуществлению будет связана с проведением исследований и сбором данных. Полученная информация будет рассмотрена в контексте теоретических знаний об интеграции подходов к обеспечению гендерного равенства и результатов аналогичных исследований, проведенных в других странах Северной Европы. Ожидается, что этот проект поможет разработать всеобъемлющую стратегию по упразднению практики выбора образования и работы на основании гендерной принадлежности. Итогом проекта должна стать разработка веб-страницы либо электронного пособия и доклада. Дополнительная информация представлена в разделе настоящего доклада, посвященном </w:t>
      </w:r>
      <w:r>
        <w:t>статье </w:t>
      </w:r>
      <w:r w:rsidR="00102068" w:rsidRPr="005C6730">
        <w:t>10.</w:t>
      </w:r>
    </w:p>
    <w:p w:rsidR="00102068" w:rsidRPr="005C6730" w:rsidRDefault="004C298C" w:rsidP="004C298C">
      <w:pPr>
        <w:pStyle w:val="SingleTxt"/>
      </w:pPr>
      <w:r>
        <w:tab/>
      </w:r>
      <w:r w:rsidR="00102068" w:rsidRPr="005C6730">
        <w:t xml:space="preserve">Исландия считает своей первоочередной задачей предоставление обоим родителям равных возможностей для заботы о семье и выполнения работы за пределами дома; опыт показывает, что один из ключевых факторов, позволяющих совмещать профессиональную деятельность и семейную жизнь, состоит в предоставлении обоим родителям права на отпуск по беременности и родам/в связи с отцовством. Более подробные сведения представлены в разделе настоящего доклада, посвященном </w:t>
      </w:r>
      <w:r>
        <w:t>статье </w:t>
      </w:r>
      <w:r w:rsidR="00102068" w:rsidRPr="005C6730">
        <w:t>11.</w:t>
      </w:r>
    </w:p>
    <w:p w:rsidR="00102068" w:rsidRDefault="004C298C" w:rsidP="004C298C">
      <w:pPr>
        <w:pStyle w:val="SingleTxt"/>
      </w:pPr>
      <w:r>
        <w:tab/>
      </w:r>
      <w:r w:rsidR="00102068" w:rsidRPr="005C6730">
        <w:t>С дополнительной информацией можно ознакомиться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Статья 6</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Торговля людьми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 xml:space="preserve">Национальный план действий по борьбе с торговлей </w:t>
      </w:r>
      <w:r w:rsidR="00102068" w:rsidRPr="005C6730">
        <w:t>людьми</w:t>
      </w:r>
      <w:r w:rsidR="00102068">
        <w:t xml:space="preserve"> на 2013–2016 годы был принят 26 апреля 2013</w:t>
      </w:r>
      <w:r>
        <w:t> года</w:t>
      </w:r>
      <w:r w:rsidR="00102068">
        <w:t xml:space="preserve"> в качестве замены плана, осуществлявшегося в период с 2009 по конец 2012</w:t>
      </w:r>
      <w:r>
        <w:t> года</w:t>
      </w:r>
      <w:r w:rsidR="00102068">
        <w:t>. Цель последнего плана действий состояла в повышении согласованности усилий сторон по решению проблемы торговли людьми в интересах предотвращения этой практики в Исландии и более тщательного ее анализа. Кроме того, в нем были определены меры по организации профилактической деятельности, распространению информации о данной проблеме и обеспечению помощи и защиты для пострадавших лиц. Основное внимание было уделено мероприятиям, направленным на упрощение процедуры преследования правонарушителей. Наряду с этим предполагалось внесение необходимых поправок в законодательство. В число первоочередных задач были включены: a) ратификация Палермского протокола и Конвенции Совета Европы о противодействии торговле людьми 2005</w:t>
      </w:r>
      <w:r>
        <w:t> года</w:t>
      </w:r>
      <w:r w:rsidR="00102068">
        <w:t xml:space="preserve"> и внесение соответствующих поправок в законодательство; b)</w:t>
      </w:r>
      <w:r w:rsidR="00102068">
        <w:rPr>
          <w:lang w:val="en-US"/>
        </w:rPr>
        <w:t> </w:t>
      </w:r>
      <w:r w:rsidR="00102068">
        <w:t>создание надзорной группы специалистов и координаторов; c) создание специально подготовленного полицейского подразделения по расследованию заявлений о фактах торговли людьми; и d) обучение и подготовка различных групп специалистов, которые при выполнении своей работы могут сталкиваться с возможными жертвами торговли людьми. Работа по осуществлению примерно половины из указанных мер завершилась, в связи с чем в новом плане действий были предусмотрены новые меры.</w:t>
      </w:r>
    </w:p>
    <w:p w:rsidR="00102068" w:rsidRDefault="004C298C" w:rsidP="004C298C">
      <w:pPr>
        <w:pStyle w:val="SingleTxt"/>
      </w:pPr>
      <w:r>
        <w:tab/>
      </w:r>
      <w:r w:rsidR="00102068">
        <w:t>1 октября 2009</w:t>
      </w:r>
      <w:r>
        <w:t> года</w:t>
      </w:r>
      <w:r w:rsidR="00102068">
        <w:t xml:space="preserve"> ответственность за эти вопросы, возложенная на Министерство социальных дел и социального обеспечения (в настоящее время Министерство социального обеспечения), была передана Министерству юстиции и прав</w:t>
      </w:r>
      <w:r>
        <w:t> человек</w:t>
      </w:r>
      <w:r w:rsidR="00102068">
        <w:t>а (в настоящее время Министерство внутренних дел). В октябре 2009</w:t>
      </w:r>
      <w:r>
        <w:t> года</w:t>
      </w:r>
      <w:r w:rsidR="00102068">
        <w:t xml:space="preserve"> министр юстиции и прав</w:t>
      </w:r>
      <w:r>
        <w:t> человек</w:t>
      </w:r>
      <w:r w:rsidR="00102068">
        <w:t xml:space="preserve">а назначил Группу специалистов и координаторов по борьбе с торговлей людьми. </w:t>
      </w:r>
    </w:p>
    <w:p w:rsidR="00102068" w:rsidRDefault="004C298C" w:rsidP="004C298C">
      <w:pPr>
        <w:pStyle w:val="SingleTxt"/>
      </w:pPr>
      <w:r>
        <w:tab/>
      </w:r>
      <w:r w:rsidR="00102068">
        <w:t xml:space="preserve">Функции этой группы были весьма широкими: предполагалось, что она будет анализировать и изучать деятельность, связанную с торговлей людьми в Исландии, отслеживать сигналы о торговле людьми, выявлять потенциальных жертв торговли людьми и гарантировать им защиту и помощь. Кроме того, группа должна </w:t>
      </w:r>
      <w:r w:rsidR="00102068" w:rsidRPr="005C6730">
        <w:t>была</w:t>
      </w:r>
      <w:r w:rsidR="00102068">
        <w:t xml:space="preserve"> регистрировать заявления о фактах торговли людьми, а также проводить просветительские мероприятия и повышать осведомленность о торговле людьми и предоставлять правительству консультации по связанным с этим вопросам. В период с октября 2009</w:t>
      </w:r>
      <w:r>
        <w:t> года</w:t>
      </w:r>
      <w:r w:rsidR="00102068">
        <w:t xml:space="preserve"> по конец 2010</w:t>
      </w:r>
      <w:r>
        <w:t> года</w:t>
      </w:r>
      <w:r w:rsidR="00102068">
        <w:t xml:space="preserve"> группа рассмотрела дела девяти предполагаемых жертв торговли людьми: семи</w:t>
      </w:r>
      <w:r w:rsidR="004E3C3F">
        <w:t> женщин</w:t>
      </w:r>
      <w:r w:rsidR="00102068">
        <w:t xml:space="preserve"> и двух мужчин. Семь из этих дел были связаны с торговлей людьми с целью сексуальной эксплуатации. Указанные дела требовали принятия различных мер, включая оказание жертве помощи в поиске системы поддержки в стране происхождения через Международную организацию по миграции и предоставление широкой социальной поддержки и медицинского обслуживания в целях реабилитации. В одном из этих случаев предложения об оказании помощи были отклонены. В указанный период судом был вынесен один обвинительный приговор за преступление, связанное с торговлей людьми; в двух случаях с ответчиков были сняты обвинения в совершении данного преступления. К числу изменений, внесенных в соответствии с последним Планом действий по борьбе с торговлей людьми, относится ратификация Исландией Конвенции Организации Объединенных Наций против транснациональной организованной преступности 2000</w:t>
      </w:r>
      <w:r>
        <w:t> года</w:t>
      </w:r>
      <w:r w:rsidR="00102068">
        <w:t xml:space="preserve"> и дополняющего ее Протокола о предупреждении и пресечении торговли людьми, особенно</w:t>
      </w:r>
      <w:r w:rsidR="004E3C3F">
        <w:t> женщин</w:t>
      </w:r>
      <w:r w:rsidR="00102068">
        <w:t>ами и детьми, и наказании за нее (одного из Палермских протоколов). Исландия ратифицировала Конвенцию 13 мая 2010</w:t>
      </w:r>
      <w:r>
        <w:t> года</w:t>
      </w:r>
      <w:r w:rsidR="00102068">
        <w:t xml:space="preserve">, а Протокол </w:t>
      </w:r>
      <w:r>
        <w:t xml:space="preserve"> — </w:t>
      </w:r>
      <w:r w:rsidR="00102068">
        <w:t>22</w:t>
      </w:r>
      <w:r>
        <w:t> июня</w:t>
      </w:r>
      <w:r w:rsidR="00102068">
        <w:t xml:space="preserve"> того же</w:t>
      </w:r>
      <w:r>
        <w:t> года</w:t>
      </w:r>
      <w:r w:rsidR="00102068">
        <w:t>. В</w:t>
      </w:r>
      <w:r w:rsidR="00102068">
        <w:rPr>
          <w:lang w:val="en-US"/>
        </w:rPr>
        <w:t> </w:t>
      </w:r>
      <w:r w:rsidR="00102068">
        <w:t xml:space="preserve">рамках подготовки к ратификации в </w:t>
      </w:r>
      <w:r>
        <w:t>статью </w:t>
      </w:r>
      <w:r w:rsidR="00102068">
        <w:t xml:space="preserve">227 </w:t>
      </w:r>
      <w:r w:rsidR="00102068">
        <w:rPr>
          <w:lang w:val="en-US"/>
        </w:rPr>
        <w:t>a</w:t>
      </w:r>
      <w:r w:rsidR="00102068" w:rsidRPr="00D23431">
        <w:t>)</w:t>
      </w:r>
      <w:r w:rsidR="00102068">
        <w:t xml:space="preserve"> Общего уголовного кодекса были внесены поправки, с тем чтобы привести определение торговли людьми в соответствие с определением, используемым в Палермском протоколе; Закон</w:t>
      </w:r>
      <w:r w:rsidR="00102068">
        <w:rPr>
          <w:lang w:val="en-US"/>
        </w:rPr>
        <w:t> </w:t>
      </w:r>
      <w:r w:rsidR="00102068">
        <w:t>№</w:t>
      </w:r>
      <w:r w:rsidR="00102068">
        <w:rPr>
          <w:lang w:val="en-US"/>
        </w:rPr>
        <w:t> </w:t>
      </w:r>
      <w:r w:rsidR="00102068">
        <w:t>72/2011, вступивший в силу 10</w:t>
      </w:r>
      <w:r>
        <w:t> июня</w:t>
      </w:r>
      <w:r w:rsidR="00102068">
        <w:t xml:space="preserve"> 2011</w:t>
      </w:r>
      <w:r>
        <w:t> года</w:t>
      </w:r>
      <w:r w:rsidR="00102068">
        <w:t xml:space="preserve">, увеличил максимальное наказание за преступления, связанные с нарушением </w:t>
      </w:r>
      <w:r>
        <w:t>статьи </w:t>
      </w:r>
      <w:r w:rsidR="00102068">
        <w:t>227 a) о торговле людьми, с 8 до 12 лет лишения свободы. Кроме того, согласно Закону</w:t>
      </w:r>
      <w:r>
        <w:t> № </w:t>
      </w:r>
      <w:r w:rsidR="00102068">
        <w:t>115/2010 в Закон об иностранцах</w:t>
      </w:r>
      <w:r>
        <w:t> № </w:t>
      </w:r>
      <w:r w:rsidR="00102068">
        <w:t>96/2002 были включены две новые категории видов на жительство. Эти разрешения должны гарантировать интересы жертв торговли людьми в соответствии с Европейской конвенцией о противодействии торговле людьми 2005</w:t>
      </w:r>
      <w:r>
        <w:t> года</w:t>
      </w:r>
      <w:r w:rsidR="00102068">
        <w:t>. К их числу относится, с одной стороны, разрешение на проживание в стране в течение шести месяцев, позволяющее потерпевшим восстановить силы и обдумать сложившуюся ситуацию, и, с другой стороны, разрешение на проживание в Исландии в течение</w:t>
      </w:r>
      <w:r>
        <w:t> года</w:t>
      </w:r>
      <w:r w:rsidR="00102068">
        <w:t>, которое может быть продлено. Более подробная информация представлена в ответе на заключительные замечания, приведенном в настоящем докладе.</w:t>
      </w:r>
    </w:p>
    <w:p w:rsidR="00102068" w:rsidRDefault="004C298C" w:rsidP="004C298C">
      <w:pPr>
        <w:pStyle w:val="SingleTxt"/>
      </w:pPr>
      <w:r>
        <w:tab/>
      </w:r>
      <w:r w:rsidR="00102068" w:rsidRPr="005C6730">
        <w:t>Цель</w:t>
      </w:r>
      <w:r w:rsidR="00102068">
        <w:t xml:space="preserve"> Плана действий на 2013–2016 годы состоит в создании эффективной и устойчивой системы по борьбе с торговлей людьми; данная система должна включать необходимую информацию и меры по решению данной проблемы и борьбе с преступлениями такого рода. В плане определены 25 мер, в первую очередь направленных на проведение профилактических мероприятий и повышение осведомленности в целях создания эффективной и устойчивой системы для более успешной борьбы с торговлей людьми и оказания помощи жертвам такой торговли. К числу этих мер относятся поддержка и защита потерпевших, согласование подходов разных организаций и проведение консультаций, регулярная оценка рисков в связи с делами о торговле людьми в Исландии и оценка результатов мер, принятых для решения данной проблемы.</w:t>
      </w:r>
    </w:p>
    <w:p w:rsidR="004C298C" w:rsidRPr="004C298C" w:rsidRDefault="004C298C" w:rsidP="004C298C">
      <w:pPr>
        <w:pStyle w:val="SingleTxt"/>
        <w:spacing w:after="0" w:line="120" w:lineRule="exact"/>
        <w:rPr>
          <w:b/>
          <w:iCs/>
          <w:sz w:val="10"/>
        </w:rPr>
      </w:pPr>
    </w:p>
    <w:p w:rsidR="004C298C" w:rsidRPr="004C298C" w:rsidRDefault="004C298C" w:rsidP="004C298C">
      <w:pPr>
        <w:pStyle w:val="SingleTxt"/>
        <w:spacing w:after="0" w:line="120" w:lineRule="exact"/>
        <w:rPr>
          <w:b/>
          <w:iCs/>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Дела о преступлениях на сексуальной почве</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2007</w:t>
      </w:r>
      <w:r>
        <w:t> году</w:t>
      </w:r>
      <w:r w:rsidR="00102068">
        <w:t xml:space="preserve"> альтинг принял поправки к Общему уголовному кодексу, касающиеся преступлений на сексуальной почве. Более подробная информация представлена в предыдущих докладах.</w:t>
      </w:r>
    </w:p>
    <w:p w:rsidR="00102068" w:rsidRDefault="004C298C" w:rsidP="004C298C">
      <w:pPr>
        <w:pStyle w:val="SingleTxt"/>
      </w:pPr>
      <w:r>
        <w:tab/>
      </w:r>
      <w:r w:rsidR="00102068">
        <w:t>В 2007</w:t>
      </w:r>
      <w:r>
        <w:t> году</w:t>
      </w:r>
      <w:r w:rsidR="00102068">
        <w:t xml:space="preserve"> в прокуратуру было направлено 71 дело о </w:t>
      </w:r>
      <w:r w:rsidR="00102068" w:rsidRPr="005C6730">
        <w:t>нарушениях</w:t>
      </w:r>
      <w:r w:rsidR="00102068">
        <w:t xml:space="preserve"> статей 194–199 Общего уголовного кодекса (№ 19/1940 с последующими поправками), включающих изнасилование и другие преступления против сексуальной свободы личности. Сорок девять исков были отозваны; по 19 делам были вынесены обвинительные заключения. На уровне окружного суда было вынесено 2</w:t>
      </w:r>
      <w:r>
        <w:t> </w:t>
      </w:r>
      <w:r w:rsidR="00102068">
        <w:t>оправдательных и 17</w:t>
      </w:r>
      <w:r w:rsidR="00102068">
        <w:rPr>
          <w:lang w:val="en-US"/>
        </w:rPr>
        <w:t> </w:t>
      </w:r>
      <w:r w:rsidR="00102068">
        <w:t>обвинительных приговоров. Одиннадцать из этих решений были обжалованы в Верховном суде, который оправдал одного и признал виновными десятерых подателей апелляций. В 2008</w:t>
      </w:r>
      <w:r>
        <w:t> году</w:t>
      </w:r>
      <w:r w:rsidR="00102068">
        <w:t xml:space="preserve"> в прокуратуру было передано 46 дел, по 14 из которых были вынесены обвинительные заключения. Подсудимые по 7 из этих дел были признаны виновными на уровне окружного суда. В Верховный суд было подано 7 апелляционных жалоб; по трем из них были вынесены оправдательные приговоры. В 2009</w:t>
      </w:r>
      <w:r>
        <w:t> году</w:t>
      </w:r>
      <w:r w:rsidR="00102068">
        <w:t xml:space="preserve"> в прокуратуру было направлено 42 дела, по 14 из которых были вынесены обвинительные заключения. На уровне окружного суда по 7 из этих дел были вынесены обвинительные, а по 6</w:t>
      </w:r>
      <w:r w:rsidR="004E3C3F">
        <w:t xml:space="preserve"> —  </w:t>
      </w:r>
      <w:r w:rsidR="00102068">
        <w:t>оправдательные приговоры; одно дело до сих пор не рассмотрено, поскольку обвиняемый покинул страну. Шесть дел было обжаловано в Верховном суде, который вынес один оправдательный вердикт и признал виновными обвиняемых по оставшимся пяти делам.</w:t>
      </w:r>
    </w:p>
    <w:p w:rsidR="00102068" w:rsidRDefault="004C298C" w:rsidP="004C298C">
      <w:pPr>
        <w:pStyle w:val="SingleTxt"/>
      </w:pPr>
      <w:r>
        <w:tab/>
      </w:r>
      <w:r w:rsidR="00102068" w:rsidRPr="005C6730">
        <w:t>В</w:t>
      </w:r>
      <w:r w:rsidR="00102068">
        <w:t xml:space="preserve"> 2010</w:t>
      </w:r>
      <w:r>
        <w:t> году</w:t>
      </w:r>
      <w:r w:rsidR="00102068">
        <w:t xml:space="preserve"> в прокуратуру было передано 49 дел. По этим делам было вынесено 23</w:t>
      </w:r>
      <w:r w:rsidR="00102068">
        <w:rPr>
          <w:lang w:val="en-US"/>
        </w:rPr>
        <w:t> </w:t>
      </w:r>
      <w:r w:rsidR="00102068">
        <w:t>обвинительных заключения; 24 иска были отозваны; расследования по 2 делам были прекращены. На уровне окружного суда в связи с 16 из этих заключений были вынесены обвинительные приговоры; в 7 случаях подсудимые были оправданы. Тринадцать дел были переданы в Верховный суд, который оставил в силе обвинительные приговоры по 9 делам и вынес решения об оправдании подсудимых по 4 делам.</w:t>
      </w:r>
    </w:p>
    <w:p w:rsidR="00102068" w:rsidRDefault="004C298C" w:rsidP="004C298C">
      <w:pPr>
        <w:pStyle w:val="SingleTxt"/>
      </w:pPr>
      <w:r>
        <w:tab/>
      </w:r>
      <w:r w:rsidR="00102068">
        <w:t>В 2011</w:t>
      </w:r>
      <w:r>
        <w:t> году</w:t>
      </w:r>
      <w:r w:rsidR="00102068">
        <w:t xml:space="preserve"> в прокуратуру было передано 64 дела. В связи с этим было вынесено 27</w:t>
      </w:r>
      <w:r w:rsidR="00102068">
        <w:rPr>
          <w:lang w:val="en-US"/>
        </w:rPr>
        <w:t> </w:t>
      </w:r>
      <w:r w:rsidR="00102068">
        <w:t xml:space="preserve">обвинительных заключения; 32 иска были отозваны; расследования по 4 делам были прекращены; одно дело было направлено для рассмотрения за рубежом. Впоследствии рассмотрение 10 из 27 дел, по которым были вынесены обвинительные заключения, завершилось оправданием </w:t>
      </w:r>
      <w:r w:rsidR="00102068" w:rsidRPr="005C6730">
        <w:t>подсудимых</w:t>
      </w:r>
      <w:r w:rsidR="00102068">
        <w:t>; в 15 случаях были вынесены обвинительные приговоры; 2 дела еще предстоит рассмотреть. В</w:t>
      </w:r>
      <w:r w:rsidR="00102068">
        <w:rPr>
          <w:lang w:val="en-US"/>
        </w:rPr>
        <w:t> </w:t>
      </w:r>
      <w:r w:rsidR="00102068">
        <w:t>Верховный суд были поданы апелляционные жалобы по 14 делам. Верховный суд вынес обвинительные приговоры по 9 делам и оправдательные приговоры по 3</w:t>
      </w:r>
      <w:r w:rsidR="00102068">
        <w:rPr>
          <w:lang w:val="en-US"/>
        </w:rPr>
        <w:t> </w:t>
      </w:r>
      <w:r w:rsidR="00102068">
        <w:t xml:space="preserve">делам; 2 дела до сих пор не рассмотрены. </w:t>
      </w:r>
    </w:p>
    <w:p w:rsidR="00102068" w:rsidRDefault="004C298C" w:rsidP="004C298C">
      <w:pPr>
        <w:pStyle w:val="SingleTxt"/>
      </w:pPr>
      <w:r>
        <w:tab/>
      </w:r>
      <w:r w:rsidR="00102068" w:rsidRPr="005C6730">
        <w:t>Профессор</w:t>
      </w:r>
      <w:r w:rsidR="00102068">
        <w:t xml:space="preserve"> Университета Исландии проанализировал сроки наказания, назначаемые лицам, которые были признаны виновными в совершении изнасилования (пункт 1 </w:t>
      </w:r>
      <w:r>
        <w:t>статьи </w:t>
      </w:r>
      <w:r w:rsidR="00102068">
        <w:t>194), либо наказания в случаях, связанных с признанием соответствующих лиц виновными в применении угрозы его совершения. Проведенное исследование показало, что в 1977–2002</w:t>
      </w:r>
      <w:r>
        <w:t> года</w:t>
      </w:r>
      <w:r w:rsidR="00102068">
        <w:t>х срок наказания в среднем составлял от одного до двух лет лишения свободы, за исключением случаев, когда насилие было чрезмерным либо имели место иные особые обстоятельства. Позднее сроки наказания увеличились.</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lang w:val="en-US"/>
        </w:rPr>
      </w:pPr>
    </w:p>
    <w:p w:rsidR="00102068" w:rsidRPr="00351C65" w:rsidRDefault="00363E39" w:rsidP="00102068">
      <w:pPr>
        <w:pStyle w:val="SingleTxtG"/>
        <w:spacing w:line="240" w:lineRule="auto"/>
      </w:pPr>
      <w:r>
        <w:rPr>
          <w:noProof/>
          <w:lang w:val="en-GB" w:eastAsia="en-GB"/>
        </w:rPr>
        <mc:AlternateContent>
          <mc:Choice Requires="wpg">
            <w:drawing>
              <wp:anchor distT="0" distB="0" distL="114300" distR="114300" simplePos="0" relativeHeight="251648512" behindDoc="0" locked="0" layoutInCell="1" allowOverlap="1">
                <wp:simplePos x="0" y="0"/>
                <wp:positionH relativeFrom="column">
                  <wp:posOffset>813435</wp:posOffset>
                </wp:positionH>
                <wp:positionV relativeFrom="paragraph">
                  <wp:posOffset>215265</wp:posOffset>
                </wp:positionV>
                <wp:extent cx="4550410" cy="2889250"/>
                <wp:effectExtent l="0" t="0" r="0" b="0"/>
                <wp:wrapNone/>
                <wp:docPr id="2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0410" cy="2889250"/>
                          <a:chOff x="2477" y="3400"/>
                          <a:chExt cx="7166" cy="4550"/>
                        </a:xfrm>
                      </wpg:grpSpPr>
                      <wps:wsp>
                        <wps:cNvPr id="27" name="Text Box 17"/>
                        <wps:cNvSpPr txBox="1">
                          <a:spLocks noChangeArrowheads="1"/>
                        </wps:cNvSpPr>
                        <wps:spPr bwMode="auto">
                          <a:xfrm>
                            <a:off x="3833" y="3400"/>
                            <a:ext cx="5810" cy="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Pr="00351C65" w:rsidRDefault="00102068" w:rsidP="00102068">
                              <w:pPr>
                                <w:jc w:val="center"/>
                                <w:rPr>
                                  <w:spacing w:val="0"/>
                                  <w:w w:val="100"/>
                                </w:rPr>
                              </w:pPr>
                              <w:r w:rsidRPr="00351C65">
                                <w:rPr>
                                  <w:b/>
                                  <w:bCs/>
                                  <w:iCs/>
                                  <w:spacing w:val="0"/>
                                  <w:w w:val="100"/>
                                </w:rPr>
                                <w:t xml:space="preserve">Сроки наказания за изнасилование или угрозу изнасилования </w:t>
                              </w:r>
                              <w:r w:rsidRPr="00351C65">
                                <w:rPr>
                                  <w:b/>
                                  <w:bCs/>
                                  <w:iCs/>
                                  <w:spacing w:val="0"/>
                                  <w:w w:val="100"/>
                                </w:rPr>
                                <w:br/>
                                <w:t>в 1992–2012</w:t>
                              </w:r>
                              <w:r w:rsidR="004C298C">
                                <w:rPr>
                                  <w:b/>
                                  <w:bCs/>
                                  <w:iCs/>
                                  <w:spacing w:val="0"/>
                                  <w:w w:val="100"/>
                                </w:rPr>
                                <w:t> года</w:t>
                              </w:r>
                              <w:r w:rsidRPr="00351C65">
                                <w:rPr>
                                  <w:b/>
                                  <w:bCs/>
                                  <w:iCs/>
                                  <w:spacing w:val="0"/>
                                  <w:w w:val="100"/>
                                </w:rPr>
                                <w:t>х</w:t>
                              </w:r>
                            </w:p>
                          </w:txbxContent>
                        </wps:txbx>
                        <wps:bodyPr rot="0" vert="horz" wrap="square" lIns="0" tIns="0" rIns="0" bIns="0" anchor="t" anchorCtr="0" upright="1">
                          <a:noAutofit/>
                        </wps:bodyPr>
                      </wps:wsp>
                      <wps:wsp>
                        <wps:cNvPr id="28" name="Text Box 18"/>
                        <wps:cNvSpPr txBox="1">
                          <a:spLocks noChangeArrowheads="1"/>
                        </wps:cNvSpPr>
                        <wps:spPr bwMode="auto">
                          <a:xfrm>
                            <a:off x="2477" y="4130"/>
                            <a:ext cx="360" cy="3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Pr="00351C65" w:rsidRDefault="00102068" w:rsidP="00102068">
                              <w:pPr>
                                <w:spacing w:line="160" w:lineRule="exact"/>
                                <w:jc w:val="center"/>
                                <w:rPr>
                                  <w:spacing w:val="0"/>
                                  <w:w w:val="100"/>
                                  <w:sz w:val="18"/>
                                  <w:szCs w:val="18"/>
                                </w:rPr>
                              </w:pPr>
                              <w:r w:rsidRPr="00351C65">
                                <w:rPr>
                                  <w:b/>
                                  <w:bCs/>
                                  <w:iCs/>
                                  <w:spacing w:val="0"/>
                                  <w:w w:val="100"/>
                                  <w:sz w:val="18"/>
                                  <w:szCs w:val="18"/>
                                </w:rPr>
                                <w:t xml:space="preserve">Срок тюремного заключения </w:t>
                              </w:r>
                              <w:r w:rsidRPr="00351C65">
                                <w:rPr>
                                  <w:b/>
                                  <w:bCs/>
                                  <w:iCs/>
                                  <w:spacing w:val="0"/>
                                  <w:w w:val="100"/>
                                  <w:sz w:val="18"/>
                                  <w:szCs w:val="18"/>
                                </w:rPr>
                                <w:br/>
                                <w:t>(в месяцах)</w:t>
                              </w:r>
                            </w:p>
                          </w:txbxContent>
                        </wps:txbx>
                        <wps:bodyPr rot="0" vert="vert270" wrap="square" lIns="0" tIns="0" rIns="0" bIns="0" anchor="t" anchorCtr="0" upright="1">
                          <a:noAutofit/>
                        </wps:bodyPr>
                      </wps:wsp>
                      <wps:wsp>
                        <wps:cNvPr id="29" name="Text Box 19"/>
                        <wps:cNvSpPr txBox="1">
                          <a:spLocks noChangeArrowheads="1"/>
                        </wps:cNvSpPr>
                        <wps:spPr bwMode="auto">
                          <a:xfrm>
                            <a:off x="6157" y="7680"/>
                            <a:ext cx="910" cy="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Pr="00351C65" w:rsidRDefault="00102068" w:rsidP="00102068">
                              <w:pPr>
                                <w:jc w:val="center"/>
                                <w:rPr>
                                  <w:sz w:val="18"/>
                                  <w:szCs w:val="18"/>
                                </w:rPr>
                              </w:pPr>
                              <w:r w:rsidRPr="00351C65">
                                <w:rPr>
                                  <w:b/>
                                  <w:bCs/>
                                  <w:iCs/>
                                  <w:sz w:val="18"/>
                                  <w:szCs w:val="18"/>
                                </w:rPr>
                                <w:t>Год</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left:0;text-align:left;margin-left:64.05pt;margin-top:16.95pt;width:358.3pt;height:227.5pt;z-index:251648512" coordorigin="2477,3400" coordsize="7166,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">
                <v:shapetype id="_x0000_t202" coordsize="21600,21600" o:spt="202" path="m,l,21600r21600,l21600,xe">
                  <v:stroke joinstyle="miter"/>
                  <v:path gradientshapeok="t" o:connecttype="rect"/>
                </v:shapetype>
                <v:shape id="Text Box 17" o:spid="_x0000_s1027" type="#_x0000_t202" style="position:absolute;left:3833;top:3400;width:5810;height: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eGl8UA&#10;AADbAAAADwAAAGRycy9kb3ducmV2LnhtbESPzWrDMBCE74W8g9hALqWR60Na3CghPw30kB7shpwX&#10;a2uZWisjKbHz9lWg0OMwM98wy/VoO3ElH1rHCp7nGQji2umWGwWnr8PTK4gQkTV2jknBjQKsV5OH&#10;JRbaDVzStYqNSBAOBSowMfaFlKE2ZDHMXU+cvG/nLcYkfSO1xyHBbSfzLFtIiy2nBYM97QzVP9XF&#10;Kljs/WUoefe4P70f8bNv8vP2dlZqNh03byAijfE//Nf+0AryF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4aXxQAAANsAAAAPAAAAAAAAAAAAAAAAAJgCAABkcnMv&#10;ZG93bnJldi54bWxQSwUGAAAAAAQABAD1AAAAigMAAAAA&#10;" stroked="f">
                  <v:textbox inset="0,0,0,0">
                    <w:txbxContent>
                      <w:p w:rsidR="00102068" w:rsidRPr="00351C65" w:rsidRDefault="00102068" w:rsidP="00102068">
                        <w:pPr>
                          <w:jc w:val="center"/>
                          <w:rPr>
                            <w:spacing w:val="0"/>
                            <w:w w:val="100"/>
                          </w:rPr>
                        </w:pPr>
                        <w:r w:rsidRPr="00351C65">
                          <w:rPr>
                            <w:b/>
                            <w:bCs/>
                            <w:iCs/>
                            <w:spacing w:val="0"/>
                            <w:w w:val="100"/>
                          </w:rPr>
                          <w:t xml:space="preserve">Сроки наказания за изнасилование или угрозу изнасилования </w:t>
                        </w:r>
                        <w:r w:rsidRPr="00351C65">
                          <w:rPr>
                            <w:b/>
                            <w:bCs/>
                            <w:iCs/>
                            <w:spacing w:val="0"/>
                            <w:w w:val="100"/>
                          </w:rPr>
                          <w:br/>
                          <w:t>в 1992–2012</w:t>
                        </w:r>
                        <w:r w:rsidR="004C298C">
                          <w:rPr>
                            <w:b/>
                            <w:bCs/>
                            <w:iCs/>
                            <w:spacing w:val="0"/>
                            <w:w w:val="100"/>
                          </w:rPr>
                          <w:t> года</w:t>
                        </w:r>
                        <w:r w:rsidRPr="00351C65">
                          <w:rPr>
                            <w:b/>
                            <w:bCs/>
                            <w:iCs/>
                            <w:spacing w:val="0"/>
                            <w:w w:val="100"/>
                          </w:rPr>
                          <w:t>х</w:t>
                        </w:r>
                      </w:p>
                    </w:txbxContent>
                  </v:textbox>
                </v:shape>
                <v:shape id="Text Box 18" o:spid="_x0000_s1028" type="#_x0000_t202" style="position:absolute;left:2477;top:4130;width:360;height:3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i+JrwA&#10;AADbAAAADwAAAGRycy9kb3ducmV2LnhtbERPvQrCMBDeBd8hnOAimioqUo1SBMXV1sHxaM622FxK&#10;E2t9ezMIjh/f/+7Qm1p01LrKsoL5LAJBnFtdcaHglp2mGxDOI2usLZOCDzk47IeDHcbavvlKXeoL&#10;EULYxaig9L6JpXR5SQbdzDbEgXvY1qAPsC2kbvEdwk0tF1G0lgYrDg0lNnQsKX+mL6OgX9n00rgs&#10;WeP8kU46fz8n2VKp8ahPtiA89f4v/rkvWsEijA1fwg+Q+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uL4mvAAAANsAAAAPAAAAAAAAAAAAAAAAAJgCAABkcnMvZG93bnJldi54&#10;bWxQSwUGAAAAAAQABAD1AAAAgQMAAAAA&#10;" stroked="f">
                  <v:textbox style="layout-flow:vertical;mso-layout-flow-alt:bottom-to-top" inset="0,0,0,0">
                    <w:txbxContent>
                      <w:p w:rsidR="00102068" w:rsidRPr="00351C65" w:rsidRDefault="00102068" w:rsidP="00102068">
                        <w:pPr>
                          <w:spacing w:line="160" w:lineRule="exact"/>
                          <w:jc w:val="center"/>
                          <w:rPr>
                            <w:spacing w:val="0"/>
                            <w:w w:val="100"/>
                            <w:sz w:val="18"/>
                            <w:szCs w:val="18"/>
                          </w:rPr>
                        </w:pPr>
                        <w:r w:rsidRPr="00351C65">
                          <w:rPr>
                            <w:b/>
                            <w:bCs/>
                            <w:iCs/>
                            <w:spacing w:val="0"/>
                            <w:w w:val="100"/>
                            <w:sz w:val="18"/>
                            <w:szCs w:val="18"/>
                          </w:rPr>
                          <w:t xml:space="preserve">Срок тюремного заключения </w:t>
                        </w:r>
                        <w:r w:rsidRPr="00351C65">
                          <w:rPr>
                            <w:b/>
                            <w:bCs/>
                            <w:iCs/>
                            <w:spacing w:val="0"/>
                            <w:w w:val="100"/>
                            <w:sz w:val="18"/>
                            <w:szCs w:val="18"/>
                          </w:rPr>
                          <w:br/>
                          <w:t>(в месяцах)</w:t>
                        </w:r>
                      </w:p>
                    </w:txbxContent>
                  </v:textbox>
                </v:shape>
                <v:shape id="Text Box 19" o:spid="_x0000_s1029" type="#_x0000_t202" style="position:absolute;left:6157;top:7680;width:910;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3fsUA&#10;AADbAAAADwAAAGRycy9kb3ducmV2LnhtbESPzWrDMBCE74W8g9hALqWR60No3SghPw30kB7shpwX&#10;a2uZWisjKbHz9lWg0OMwM98wy/VoO3ElH1rHCp7nGQji2umWGwWnr8PTC4gQkTV2jknBjQKsV5OH&#10;JRbaDVzStYqNSBAOBSowMfaFlKE2ZDHMXU+cvG/nLcYkfSO1xyHBbSfzLFtIiy2nBYM97QzVP9XF&#10;Kljs/WUoefe4P70f8bNv8vP2dlZqNh03byAijfE//Nf+0AryV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Ld+xQAAANsAAAAPAAAAAAAAAAAAAAAAAJgCAABkcnMv&#10;ZG93bnJldi54bWxQSwUGAAAAAAQABAD1AAAAigMAAAAA&#10;" stroked="f">
                  <v:textbox inset="0,0,0,0">
                    <w:txbxContent>
                      <w:p w:rsidR="00102068" w:rsidRPr="00351C65" w:rsidRDefault="00102068" w:rsidP="00102068">
                        <w:pPr>
                          <w:jc w:val="center"/>
                          <w:rPr>
                            <w:sz w:val="18"/>
                            <w:szCs w:val="18"/>
                          </w:rPr>
                        </w:pPr>
                        <w:r w:rsidRPr="00351C65">
                          <w:rPr>
                            <w:b/>
                            <w:bCs/>
                            <w:iCs/>
                            <w:sz w:val="18"/>
                            <w:szCs w:val="18"/>
                          </w:rPr>
                          <w:t>Год</w:t>
                        </w:r>
                      </w:p>
                    </w:txbxContent>
                  </v:textbox>
                </v:shape>
              </v:group>
            </w:pict>
          </mc:Fallback>
        </mc:AlternateContent>
      </w:r>
      <w:r>
        <w:rPr>
          <w:noProof/>
          <w:lang w:val="en-GB" w:eastAsia="en-GB"/>
        </w:rPr>
        <w:drawing>
          <wp:inline distT="0" distB="0" distL="0" distR="0">
            <wp:extent cx="5140960" cy="316484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0960" cy="3164840"/>
                    </a:xfrm>
                    <a:prstGeom prst="rect">
                      <a:avLst/>
                    </a:prstGeom>
                    <a:solidFill>
                      <a:srgbClr val="FFFFFF"/>
                    </a:solidFill>
                    <a:ln>
                      <a:noFill/>
                    </a:ln>
                  </pic:spPr>
                </pic:pic>
              </a:graphicData>
            </a:graphic>
          </wp:inline>
        </w:drawing>
      </w:r>
    </w:p>
    <w:p w:rsidR="00102068" w:rsidRPr="00351C65" w:rsidRDefault="00102068" w:rsidP="00102068">
      <w:pPr>
        <w:pStyle w:val="SingleTxtG"/>
        <w:spacing w:line="240" w:lineRule="auto"/>
        <w:rPr>
          <w:i/>
          <w:sz w:val="18"/>
          <w:szCs w:val="18"/>
        </w:rPr>
      </w:pPr>
      <w:r w:rsidRPr="00351C65">
        <w:rPr>
          <w:b/>
          <w:i/>
          <w:sz w:val="18"/>
          <w:szCs w:val="18"/>
        </w:rPr>
        <w:t>Источник:</w:t>
      </w:r>
      <w:r w:rsidRPr="00351C65">
        <w:rPr>
          <w:i/>
          <w:sz w:val="18"/>
          <w:szCs w:val="18"/>
        </w:rPr>
        <w:t xml:space="preserve"> Скандинавский исследовательский совет по вопросам криминологии, 2012 год.</w:t>
      </w:r>
    </w:p>
    <w:p w:rsidR="00102068" w:rsidRPr="00351C65" w:rsidRDefault="00102068" w:rsidP="00102068">
      <w:pPr>
        <w:pStyle w:val="SingleTxtG"/>
      </w:pPr>
    </w:p>
    <w:p w:rsidR="00102068" w:rsidRDefault="004C298C" w:rsidP="004C298C">
      <w:pPr>
        <w:pStyle w:val="SingleTxt"/>
      </w:pPr>
      <w:r>
        <w:tab/>
      </w:r>
      <w:r w:rsidR="00102068">
        <w:t xml:space="preserve">В период 1992–2012 годов Верховный суд вынес 65 приговоров по делам об изнасиловании или угрозе его </w:t>
      </w:r>
      <w:r w:rsidR="00102068" w:rsidRPr="00351C65">
        <w:t>совершения</w:t>
      </w:r>
      <w:r w:rsidR="00102068">
        <w:t>. Два из них не представлены в вышеприведенной таблице ввиду того, что в каждом из этих случаев на срок наказания влияли весьма специфические обстоятельства. Если разделить пополам указанный период, продолжительность которого составляет 21 год, можно увидеть, что после 2003</w:t>
      </w:r>
      <w:r>
        <w:t> года</w:t>
      </w:r>
      <w:r w:rsidR="00102068">
        <w:t xml:space="preserve"> средний срок наказания существенно возрастает. В период с 1992 по 2003 год в сроках наказания отмечается большее единообразие. Во всех случаях, за исключением одного, подсудимые приговаривались к 1–3</w:t>
      </w:r>
      <w:r>
        <w:t> года</w:t>
      </w:r>
      <w:r w:rsidR="00102068">
        <w:t>м тюремного заключения. Медианный срок наказания, назначавшегося судом за совершение изнасилования, составлял 2</w:t>
      </w:r>
      <w:r>
        <w:t> года</w:t>
      </w:r>
      <w:r w:rsidR="00102068">
        <w:t>. В 13 из 25 приговоров было вынесено наказание, равное 2</w:t>
      </w:r>
      <w:r>
        <w:t> года</w:t>
      </w:r>
      <w:r w:rsidR="00102068">
        <w:t>м тюремного заключения. По результатам рассмотрения 4</w:t>
      </w:r>
      <w:r w:rsidR="00102068">
        <w:rPr>
          <w:lang w:val="en-US"/>
        </w:rPr>
        <w:t> </w:t>
      </w:r>
      <w:r w:rsidR="00102068">
        <w:t>дел в указанный период было назначено более суровое наказание, в то время как по 8 делам были вынесены более мягкие приговоры. Таким образом, средний срок наказания в этот период составлял чуть меньше 2 лет лишения свободы.</w:t>
      </w:r>
    </w:p>
    <w:p w:rsidR="00102068" w:rsidRDefault="004C298C" w:rsidP="004C298C">
      <w:pPr>
        <w:pStyle w:val="SingleTxt"/>
      </w:pPr>
      <w:r>
        <w:tab/>
      </w:r>
      <w:r w:rsidR="00102068" w:rsidRPr="00374D71">
        <w:t>Период</w:t>
      </w:r>
      <w:r w:rsidR="00102068">
        <w:t xml:space="preserve"> с 2004 по 2012 год отличался большим разнообразием. Лишь в 4 из 38</w:t>
      </w:r>
      <w:r w:rsidR="00102068">
        <w:rPr>
          <w:lang w:val="en-US"/>
        </w:rPr>
        <w:t> </w:t>
      </w:r>
      <w:r w:rsidR="00102068">
        <w:t>приговоров, вынесенных в этот период, подсудимым было назначено наказание в виде лишения свободы сроком на 2</w:t>
      </w:r>
      <w:r>
        <w:t> года</w:t>
      </w:r>
      <w:r w:rsidR="00102068">
        <w:t>. В 6 случаях приговор был более мягким; по итогам рассмотрения 28 дел было назначено наказание в виде более продолжительного тюремного заключения, которое в 7 случаях составило 5 лет лишения свободы, а в 2</w:t>
      </w:r>
      <w:r>
        <w:t>–</w:t>
      </w:r>
      <w:r w:rsidR="00102068">
        <w:t xml:space="preserve"> 8 лет лишения свободы. Максимальные наказания в виде тюремного заключения были вынесены в период с 2010 по 2012 год, однако сроки заключения увеличивались на протяжении всего указанного периода. Если данный период разделить на три части, то средний срок тюремного заключения в 2004–2006</w:t>
      </w:r>
      <w:r w:rsidR="00102068">
        <w:rPr>
          <w:lang w:val="en-US"/>
        </w:rPr>
        <w:t> </w:t>
      </w:r>
      <w:r w:rsidR="00102068">
        <w:t>годах составлял 2,2</w:t>
      </w:r>
      <w:r>
        <w:t> года</w:t>
      </w:r>
      <w:r w:rsidR="00102068">
        <w:t>, в 2007–2009</w:t>
      </w:r>
      <w:r>
        <w:t> года</w:t>
      </w:r>
      <w:r w:rsidR="00102068">
        <w:t>х</w:t>
      </w:r>
      <w:r>
        <w:t xml:space="preserve"> — </w:t>
      </w:r>
      <w:r w:rsidR="00102068">
        <w:t>3,4</w:t>
      </w:r>
      <w:r>
        <w:t> года</w:t>
      </w:r>
      <w:r w:rsidR="00102068">
        <w:t>, а в 2010–2012</w:t>
      </w:r>
      <w:r>
        <w:t> года</w:t>
      </w:r>
      <w:r w:rsidR="00102068">
        <w:t>х</w:t>
      </w:r>
      <w:r>
        <w:t xml:space="preserve"> — </w:t>
      </w:r>
      <w:r w:rsidR="00102068">
        <w:t xml:space="preserve"> 4,1</w:t>
      </w:r>
      <w:r>
        <w:t> года</w:t>
      </w:r>
      <w:r w:rsidR="00102068">
        <w:t>.</w:t>
      </w:r>
    </w:p>
    <w:p w:rsidR="00102068" w:rsidRDefault="004C298C" w:rsidP="004C298C">
      <w:pPr>
        <w:pStyle w:val="SingleTxt"/>
      </w:pPr>
      <w:r>
        <w:tab/>
        <w:t>П</w:t>
      </w:r>
      <w:r w:rsidR="00102068" w:rsidRPr="00374D71">
        <w:t>ервые</w:t>
      </w:r>
      <w:r w:rsidR="00102068">
        <w:t xml:space="preserve"> выводы, сделанные по итогам анализа ведения дел об изнасиловании в судебной системе, были представлены министру внутренних дел в апреле 2013</w:t>
      </w:r>
      <w:r>
        <w:t> года</w:t>
      </w:r>
      <w:r w:rsidR="00102068">
        <w:t>. В числе прочего было показано, что подавляющее большинство (98</w:t>
      </w:r>
      <w:r>
        <w:t> процентов</w:t>
      </w:r>
      <w:r w:rsidR="00102068">
        <w:t>) потерпевших в зарегистрированных сл</w:t>
      </w:r>
      <w:r>
        <w:t>у</w:t>
      </w:r>
      <w:r w:rsidR="00102068">
        <w:t>чаях изнасилования составляют</w:t>
      </w:r>
      <w:r w:rsidR="004E3C3F">
        <w:t> женщин</w:t>
      </w:r>
      <w:r w:rsidR="00102068">
        <w:t>ы, в то время как преступные действия такого рода совершают мужчины. Одной из особенностей указанных дел является большая разница в возрасте между преступником и жертвой. Около 40</w:t>
      </w:r>
      <w:r>
        <w:t> процентов</w:t>
      </w:r>
      <w:r w:rsidR="00102068">
        <w:t xml:space="preserve"> потерпевших составляют лица в возрасте младше 18 лет, т. е. лица, в глазах закона являющиеся детьми. Преступники, напротив, обычно бывают старше, хотя имеется несколько примеров, когда они были очень молоды (в ряде случаев речь шла о лицах в возрасте 12 лет). Это означает, что в расследуемых делах обычно отмечаются различия в статусе и степени зрелости. В ходе данного исследования также изучаются факторы, влияющие на рассмотрение дел такого рода полицией и прокуратурой. Вторая часть данного исследования была основана на беседах с 20–25 специалистами, участвующими в рассмотрении дел об изнасиловании в судебной системе, цель которых состояла в выяснении их отношения к данной проблеме и необходимости изменений, а также формы этих изменений, если в них есть потребность.</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Проституция</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2009</w:t>
      </w:r>
      <w:r>
        <w:t> году</w:t>
      </w:r>
      <w:r w:rsidR="00102068">
        <w:t xml:space="preserve"> парламент принял поправки к Общему уголовному кодексу, касающиеся проституции, согласно которым приобретение сексуальных услуг стало незаконным. Лицам, пойманным с поличным при оплате услуг проститутки, может угрожать штраф либо лишение свободы на срок до одного</w:t>
      </w:r>
      <w:r>
        <w:t> года</w:t>
      </w:r>
      <w:r w:rsidR="00102068">
        <w:t>. До внесения в законодательство данного изменения продажа и приобретение сексуальных услуг в Исландии не являлись нарушением закона. Продажа сексуальных услуг на территории страны находилась под запретом до 2007</w:t>
      </w:r>
      <w:r>
        <w:t> года</w:t>
      </w:r>
      <w:r w:rsidR="00102068">
        <w:t>, когда изменение, внесенное в Общий уголовный кодекс, исключило проституцию из числа уголовно наказуемых деяний. Получение прибыли от проституции, которой занимаются другие лица, осталось под запретом. Фактическая форма оплаты или компенсации</w:t>
      </w:r>
      <w:r>
        <w:t xml:space="preserve"> — </w:t>
      </w:r>
      <w:r w:rsidR="00102068">
        <w:t xml:space="preserve"> будь то денежные средства, алкоголь или наркотики, вещи или помощь в той или иной форме, покровительство или оказание услуги</w:t>
      </w:r>
      <w:r>
        <w:t> —</w:t>
      </w:r>
      <w:r w:rsidR="00102068">
        <w:t xml:space="preserve"> не имеет значения. Законы такого рода нередко именуются </w:t>
      </w:r>
      <w:r>
        <w:t>«</w:t>
      </w:r>
      <w:r w:rsidR="00102068">
        <w:t>шведским подходом</w:t>
      </w:r>
      <w:r>
        <w:t>»</w:t>
      </w:r>
      <w:r w:rsidR="00102068">
        <w:t xml:space="preserve"> и основаны на идее о том, что законодательные органы обязаны противодействовать продаже сексуальных услуг, поскольку человеческое тело не должно рассматриваться как товар, который может быть продан. Следует отметить широкую поддержку членами женского движения идеи о включении в число уголовно наказуемых деяний приобретения услуг проституток.</w:t>
      </w:r>
    </w:p>
    <w:p w:rsidR="00102068" w:rsidRDefault="004C298C" w:rsidP="004C298C">
      <w:pPr>
        <w:pStyle w:val="SingleTxt"/>
      </w:pPr>
      <w:r>
        <w:tab/>
      </w:r>
      <w:r w:rsidR="00102068" w:rsidRPr="00374D71">
        <w:t>В</w:t>
      </w:r>
      <w:r w:rsidR="00102068">
        <w:t xml:space="preserve"> марте 2010</w:t>
      </w:r>
      <w:r>
        <w:t> года</w:t>
      </w:r>
      <w:r w:rsidR="00102068">
        <w:t xml:space="preserve"> парламент принял поправку к Закону о ресторанах, гостиницах и развлекательных мероприятиях</w:t>
      </w:r>
      <w:r>
        <w:t> № </w:t>
      </w:r>
      <w:r w:rsidR="00102068">
        <w:t>85/2007 с последующими поправками, запретившую демонстрацию обнаженного тела с целью извлечения прибыли (стриптиз) в ресторанах. Это предполагает введение полного запрета на коммерческую эксплуатацию наготы сотрудников или иных лиц, находящихся на территории соответствующего учреждения.</w:t>
      </w:r>
    </w:p>
    <w:p w:rsidR="00102068" w:rsidRDefault="004C298C" w:rsidP="004C298C">
      <w:pPr>
        <w:pStyle w:val="SingleTxt"/>
      </w:pPr>
      <w:r>
        <w:tab/>
      </w:r>
      <w:r w:rsidR="00102068" w:rsidRPr="00374D71">
        <w:t>С</w:t>
      </w:r>
      <w:r w:rsidR="00102068">
        <w:t xml:space="preserve"> дополнительной информацией можно ознакомиться в разделе, содержащем ответ Исландии на заключительные замечания Комитета. </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Комитет по вопросам насилия в отношении</w:t>
      </w:r>
      <w:r w:rsidR="004E3C3F">
        <w:t> женщин</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Комитет по вопросам насилия в отношении</w:t>
      </w:r>
      <w:r w:rsidR="004E3C3F">
        <w:t> женщин</w:t>
      </w:r>
      <w:r w:rsidR="00102068">
        <w:t xml:space="preserve"> был учрежден в 2007</w:t>
      </w:r>
      <w:r>
        <w:t> году</w:t>
      </w:r>
      <w:r w:rsidR="00102068">
        <w:t xml:space="preserve"> и назначен на период до конца 2010</w:t>
      </w:r>
      <w:r>
        <w:t> года</w:t>
      </w:r>
      <w:r w:rsidR="00102068">
        <w:t>. Главная задача данного комитета заключалась в выполнении плана действий по борьбе с насилием в семье и сексуальным насилием в отношении</w:t>
      </w:r>
      <w:r w:rsidR="004E3C3F">
        <w:t> женщин</w:t>
      </w:r>
      <w:r w:rsidR="00102068">
        <w:t>.</w:t>
      </w:r>
    </w:p>
    <w:p w:rsidR="00102068" w:rsidRDefault="004C298C" w:rsidP="004C298C">
      <w:pPr>
        <w:pStyle w:val="SingleTxt"/>
      </w:pPr>
      <w:r>
        <w:tab/>
      </w:r>
      <w:r w:rsidR="00102068" w:rsidRPr="00374D71">
        <w:t>Соответствующая</w:t>
      </w:r>
      <w:r w:rsidR="00102068">
        <w:t xml:space="preserve"> информация представлена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Защита потерпевших</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После вступления в силу Закона</w:t>
      </w:r>
      <w:r>
        <w:t> № </w:t>
      </w:r>
      <w:r w:rsidR="00102068">
        <w:t>88/2008 1</w:t>
      </w:r>
      <w:r>
        <w:t> июля</w:t>
      </w:r>
      <w:r w:rsidR="00102068">
        <w:t xml:space="preserve"> 2008</w:t>
      </w:r>
      <w:r>
        <w:t> года</w:t>
      </w:r>
      <w:r w:rsidR="00102068">
        <w:t xml:space="preserve"> был принят новый Уголовно-процессуальный кодекс. Предыдущие изменения, призванные укрепить правовой статус жертв сексуального насилия, были внесены в Уголовно-процессуальный </w:t>
      </w:r>
      <w:r w:rsidR="00102068" w:rsidRPr="00374D71">
        <w:t>кодекс</w:t>
      </w:r>
      <w:r w:rsidR="00102068">
        <w:t xml:space="preserve"> в 1999</w:t>
      </w:r>
      <w:r>
        <w:t> году</w:t>
      </w:r>
      <w:r w:rsidR="00102068">
        <w:t>. Эти изменения предусматривали освобождение детей в возрасте младше 18 лет от необходимости более одного раза давать официальные показания в случаях, когда они являлись возможными жертвами сексуального насилия, с тем чтобы не вынуждать их более одного раза вспоминать о насильственных действиях, которым они подверглись. В связи с предположением о том, что новая концепция приводит к вынесению большего количества оправдательных приговоров, была проведена проверка. Тем не менее с принятием нового Уголовно-процессуального кодекса данная система не изменилась. Вместо этого были внесены другие изменения, призванные гарантировать применение чуткого и внимательного подхода при проведении расследований и справедливое судебное разбирательство, например, в том, что касается неформального допроса сотрудниками полиции с целью подготовить возможную жертву к даче свидетельских показаний и обеспечения того, чтобы судья, председательствующий на процессе, в ходе которого даются показания, на стадии расследования, позднее вел дело в суде. Данная мера также должна гарантировать соблюдение принципа непосредственности.</w:t>
      </w:r>
    </w:p>
    <w:p w:rsidR="00102068" w:rsidRDefault="004C298C" w:rsidP="004C298C">
      <w:pPr>
        <w:pStyle w:val="SingleTxt"/>
      </w:pPr>
      <w:r>
        <w:tab/>
      </w:r>
      <w:r w:rsidR="00102068" w:rsidRPr="00374D71">
        <w:t>Соответствующая</w:t>
      </w:r>
      <w:r w:rsidR="00102068">
        <w:t xml:space="preserve"> информация представлена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Подготовка сотрудников полиции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В 2010</w:t>
      </w:r>
      <w:r>
        <w:t> году</w:t>
      </w:r>
      <w:r w:rsidR="00102068">
        <w:t xml:space="preserve"> Министерство внутренних дел инициировало процесс сотрудничества в рассмотрении дел об изнасиловании посредством проведения в своих рамках совещания </w:t>
      </w:r>
      <w:r w:rsidR="00102068" w:rsidRPr="00374D71">
        <w:t>для</w:t>
      </w:r>
      <w:r w:rsidR="00102068">
        <w:t xml:space="preserve"> широкого круга участников, на котором обсуждались различные аспекты рассмотрения дел такого рода. Министерство выступало в качестве посредника в организации регулярных совещаний Центра неотложной помощи жертвам изнасилования, полиции и генерального прокурора и направляло письма в адрес Министерства социального обеспечения и Министерства образования, науки и культуры с целью обратить их внимание на выводы, сделанные в процессе сотрудничества. </w:t>
      </w:r>
    </w:p>
    <w:p w:rsidR="00102068" w:rsidRDefault="004C298C" w:rsidP="004C298C">
      <w:pPr>
        <w:pStyle w:val="SingleTxt"/>
      </w:pPr>
      <w:r>
        <w:tab/>
      </w:r>
      <w:r w:rsidR="00102068" w:rsidRPr="00374D71">
        <w:t>В</w:t>
      </w:r>
      <w:r w:rsidR="00102068">
        <w:t xml:space="preserve"> последние два</w:t>
      </w:r>
      <w:r>
        <w:t> года</w:t>
      </w:r>
      <w:r w:rsidR="00102068">
        <w:t xml:space="preserve"> полицейским подразделениям, действующим в столичном регионе и регионе Судурнэс, выделялись специальные средства на обеспечение функционирования специальной исследовательской группы по борьбе с организованной преступностью в Исландии. В соответствии с резолюцией парламента, принятой 11</w:t>
      </w:r>
      <w:r>
        <w:t> июня</w:t>
      </w:r>
      <w:r w:rsidR="00102068">
        <w:t xml:space="preserve"> 2012</w:t>
      </w:r>
      <w:r>
        <w:t> года</w:t>
      </w:r>
      <w:r w:rsidR="00102068">
        <w:t>, данной группе также было поручено изучить организованную преступную деятельность, связанную с проституцией и торговлей людьми. Группой был проведен детальный анализ и учтены сведения о степени распространенности занятий проституцией и ее проявлениях; работа группы в этой области послужила поводом для начала нескольких расследований, связанных с проституцией, в частности с приобретением услуг проституток, которые осуществляются в настоящее время. Эту работу планируется продолжать наряду с изучением других видов торговли людьми, например, в связи с проблемой принудительного труда. Соответствующая информация представлена в предыдущих докладах правительства Исландии.</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Насилие в семье</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SingleTxt"/>
      </w:pPr>
      <w:r>
        <w:tab/>
      </w:r>
      <w:r w:rsidR="00102068">
        <w:t>Как указано в предыдущем докладе, в 2006</w:t>
      </w:r>
      <w:r>
        <w:t> году</w:t>
      </w:r>
      <w:r w:rsidR="00102068">
        <w:t xml:space="preserve"> альтинг принял поправки к положениям Кодекса, касающимся насилия в семье. Новое законодательство ввело более суровые наказания в случаях, когда есть основания полагать, что близкие родственные </w:t>
      </w:r>
      <w:r w:rsidR="00102068" w:rsidRPr="00374D71">
        <w:t>отношения</w:t>
      </w:r>
      <w:r w:rsidR="00102068">
        <w:t xml:space="preserve"> между преступником и жертвой привели к тяжким правонарушениям. При этом также ставилась цель повысить качество защиты от правонарушений, совершаемых близкими родственниками в браке или в семье, и эффективность средств правовой защиты, которыми можно воспользоваться в случаях насилия в семье.</w:t>
      </w:r>
    </w:p>
    <w:p w:rsidR="00102068" w:rsidRDefault="004C298C" w:rsidP="004C298C">
      <w:pPr>
        <w:pStyle w:val="SingleTxt"/>
      </w:pPr>
      <w:r>
        <w:tab/>
      </w:r>
      <w:r w:rsidR="00102068" w:rsidRPr="00374D71">
        <w:t>В</w:t>
      </w:r>
      <w:r w:rsidR="00102068">
        <w:t xml:space="preserve"> своих заключительных замечаниях к последнему периодическому докладу Исландии (CEDAW/C/ICE/CO/6) Комитет выразил озабоченность по поводу отсутствия обновленной подробной информации об использовании в государстве-участнике запретительных судебных приказов и их эффективности в случаях насилия в быту и на сексуальной почве.</w:t>
      </w:r>
    </w:p>
    <w:p w:rsidR="00102068" w:rsidRDefault="004C298C" w:rsidP="004C298C">
      <w:pPr>
        <w:pStyle w:val="SingleTxt"/>
      </w:pPr>
      <w:r>
        <w:tab/>
      </w:r>
      <w:r w:rsidR="00102068" w:rsidRPr="00374D71">
        <w:t>В</w:t>
      </w:r>
      <w:r w:rsidR="00102068">
        <w:t xml:space="preserve"> настоящее время Закон о запретительных судебных приказах</w:t>
      </w:r>
      <w:r>
        <w:t> № </w:t>
      </w:r>
      <w:r w:rsidR="00102068">
        <w:t>122/2008 заменен Законом о приказах, касающихся выдворения, и выселении</w:t>
      </w:r>
      <w:r>
        <w:t> № </w:t>
      </w:r>
      <w:r w:rsidR="00102068">
        <w:t xml:space="preserve">85/2011. Новый закон предусматривает кардинальные изменения, позволяющие сотрудникам полиции в случаях насилия в семье выносить решения о запрещении обвиняемым находиться дома и их выселении, следуя </w:t>
      </w:r>
      <w:r>
        <w:t>«</w:t>
      </w:r>
      <w:r w:rsidR="00102068">
        <w:t>австрийской модели</w:t>
      </w:r>
      <w:r>
        <w:t>»</w:t>
      </w:r>
      <w:r w:rsidR="00102068">
        <w:t>. Цель этих изменений заключается в повышении эффективности и рациональности использования указанных средств, с тем чтобы потерпевшим не приходилось по три дня ожидать решения суда, как того требовало прежнее законодательство. Данное положение, вне всяких сомнений, обеспечивает более эффективную защиту потерпевших, поскольку сотрудники полиции могут арестовать правонарушителя сразу же после открытия дела и содержать его под стражей в течение 24 часов либо до вынесения официального решения относительно издания приказа о выдворении и выселения правонарушителя из его дома. В настоящее время процесс рассмотрения этих дел является более рациональным и создает более безопасные условия для лиц, которые становятся жертвами правонарушений и обращаются за помощью в полицию. Опыт полиции свидетельствует о том, что ведение этих дел и связанные с этим процедуры стали проще, поскольку функции по принятию решений с самого начала выполняют сотрудники полиции, что, разумеется, намного укорачивает процедуру, предусмотренную прежним законом. На данный момент нельзя утверждать, что в результате изменения законодательства количество дел возросло: со времени вступления закона в силу было заведено менее 10 дел. В связи с этим следует отметить, что предусмотренные законом приказы о выдворении (запретительные судебные приказы) применяются не только в интересах проведения уголовного расследования: они также могут использоваться в случаях, когда обвинения не выдвигаются, либо в случаях предъявления обвинений и требований о наказании виновных. На данный момент не зарегистрировано ни одного уголовного дела, в связи с которым правонарушитель не подчинился приказу о выдворении.</w:t>
      </w:r>
    </w:p>
    <w:p w:rsidR="00102068" w:rsidRDefault="004C298C" w:rsidP="004C298C">
      <w:pPr>
        <w:pStyle w:val="SingleTxt"/>
      </w:pPr>
      <w:r>
        <w:tab/>
      </w:r>
      <w:r w:rsidR="00102068" w:rsidRPr="00374D71">
        <w:t>В</w:t>
      </w:r>
      <w:r w:rsidR="00102068">
        <w:t xml:space="preserve"> 2006</w:t>
      </w:r>
      <w:r>
        <w:t> году</w:t>
      </w:r>
      <w:r w:rsidR="00102068">
        <w:t xml:space="preserve"> был утвержден первый исландский План действий для борьбы с насилием в быту и на сексуальной почве, рассчитанный на период с 2006 по 2011</w:t>
      </w:r>
      <w:r w:rsidR="00102068">
        <w:rPr>
          <w:lang w:val="en-US"/>
        </w:rPr>
        <w:t> </w:t>
      </w:r>
      <w:r w:rsidR="00102068">
        <w:t>год. Этот план состоял из двух частей, одна из которых касалась взрослых, а вторая</w:t>
      </w:r>
      <w:r w:rsidR="004E3C3F">
        <w:t xml:space="preserve"> —  </w:t>
      </w:r>
      <w:r w:rsidR="00102068">
        <w:t>детей.</w:t>
      </w:r>
    </w:p>
    <w:p w:rsidR="00102068" w:rsidRDefault="004C298C" w:rsidP="004C298C">
      <w:pPr>
        <w:pStyle w:val="SingleTxt"/>
      </w:pPr>
      <w:r>
        <w:tab/>
      </w:r>
      <w:r w:rsidR="00102068" w:rsidRPr="00374D71">
        <w:t>В</w:t>
      </w:r>
      <w:r w:rsidR="00102068">
        <w:t xml:space="preserve"> 2010</w:t>
      </w:r>
      <w:r>
        <w:t> году</w:t>
      </w:r>
      <w:r w:rsidR="00102068">
        <w:t xml:space="preserve"> началась работа по подготовке нового Плана действий для борьбы с насилием в быту. Министр социальных дел и социального страхования (в настоящее время министр социальных дел и жилищного строительства) сформировал комитет по подготовке нового плана на 2012–2026 годы. Комитет должен был обратить особое внимание на связь между насильственными преступлениями на гендерной почве, уголовным преследованием за их совершение и рассмотрением соответствующих дел в судебной системе. Ему также было поручено сформулировать позицию по вопросу об осуществлении Конвенции Совета Европы о предотвращении и борьбе с насилием в отношении</w:t>
      </w:r>
      <w:r w:rsidR="004E3C3F">
        <w:t> женщин</w:t>
      </w:r>
      <w:r w:rsidR="00102068">
        <w:t xml:space="preserve"> и домашним насилием (Стамбульской конвенции) и пересмотреть намеченные проекты с учетом этой конвенции. Исландия стала одним из первых государств, подписавших данную конвенцию в </w:t>
      </w:r>
      <w:r w:rsidR="00102068" w:rsidRPr="00374D71">
        <w:t>мае</w:t>
      </w:r>
      <w:r w:rsidR="00102068">
        <w:t xml:space="preserve"> 2011</w:t>
      </w:r>
      <w:r>
        <w:t> года</w:t>
      </w:r>
      <w:r w:rsidR="00102068">
        <w:t>. Комитет принял решение изучить результаты исследований, проведенных на основе первого плана действий, уделив внимание выявлению наиболее существенных недостатков судебной системы.</w:t>
      </w:r>
    </w:p>
    <w:p w:rsidR="00102068" w:rsidRDefault="004C298C" w:rsidP="00102068">
      <w:pPr>
        <w:pStyle w:val="SingleTxtG"/>
      </w:pPr>
      <w:r>
        <w:tab/>
      </w:r>
      <w:r w:rsidR="00102068" w:rsidRPr="00374D71">
        <w:t>Комитет</w:t>
      </w:r>
      <w:r w:rsidR="00102068">
        <w:t xml:space="preserve"> представил свой доклад в июне 2012</w:t>
      </w:r>
      <w:r>
        <w:t> года</w:t>
      </w:r>
      <w:r w:rsidR="00102068">
        <w:t>. План действий не был представлен правительству, поскольку при проведении проверки было установлено, что он будет слишком обширным и потребует слишком больших затрат.</w:t>
      </w:r>
    </w:p>
    <w:p w:rsidR="00102068" w:rsidRDefault="004C298C" w:rsidP="00102068">
      <w:pPr>
        <w:pStyle w:val="SingleTxtG"/>
        <w:rPr>
          <w:bCs/>
          <w:i/>
        </w:rPr>
      </w:pPr>
      <w:r>
        <w:tab/>
      </w:r>
      <w:r w:rsidR="00102068" w:rsidRPr="00374D71">
        <w:t>В</w:t>
      </w:r>
      <w:r w:rsidR="00102068">
        <w:t xml:space="preserve"> 2013</w:t>
      </w:r>
      <w:r>
        <w:t> году</w:t>
      </w:r>
      <w:r w:rsidR="00102068">
        <w:t xml:space="preserve"> была сформирована объединенная группа по проблеме насилия в семье. В ее состав входят представители Министерства социального обеспечения, Министерства внутренних дел, Центра по вопросам равенства мужчин и</w:t>
      </w:r>
      <w:r w:rsidR="004E3C3F">
        <w:t> женщин</w:t>
      </w:r>
      <w:r w:rsidR="00102068">
        <w:t>, Женского приюта, Ассоциации органов местного самоуправления, полиции и Агентства защиты детей (</w:t>
      </w:r>
      <w:r w:rsidR="00102068">
        <w:rPr>
          <w:i/>
        </w:rPr>
        <w:t>Barnaverndarstofa</w:t>
      </w:r>
      <w:r w:rsidR="00102068">
        <w:t>). Ее роль состоит в применении согласованной стратегии в отношении мер по борьбе с насилием в семье, которая была утверждена в 2011</w:t>
      </w:r>
      <w:r>
        <w:t> году</w:t>
      </w:r>
      <w:r w:rsidR="00102068">
        <w:t>. Данная структура предназначена для заключения соглашений о сотрудничестве в оказании определенных услуг и надзора за осуществлением экспериментальных проектов. Она также должна обеспечивать постоянное взаимодействие между социальными службами, органами опеки и попечительства, службами здравоохранения, Центром по вопросам равенства мужчин и</w:t>
      </w:r>
      <w:r w:rsidR="004E3C3F">
        <w:t> женщин</w:t>
      </w:r>
      <w:r w:rsidR="00102068">
        <w:t>, полицией и НПО. Группа будет стремиться к тому, чтобы все органы местного самоуправления Исландии разрабатывали планы действий, и определять участки проведения проверки на уровне социальных и медицинских служб.</w:t>
      </w:r>
    </w:p>
    <w:p w:rsidR="00102068" w:rsidRDefault="004C298C" w:rsidP="00102068">
      <w:pPr>
        <w:pStyle w:val="SingleTxtG"/>
      </w:pPr>
      <w:r>
        <w:rPr>
          <w:i/>
        </w:rPr>
        <w:tab/>
        <w:t>«</w:t>
      </w:r>
      <w:r w:rsidR="00102068">
        <w:rPr>
          <w:i/>
        </w:rPr>
        <w:t>Оставить окно открытым</w:t>
      </w:r>
      <w:r>
        <w:rPr>
          <w:i/>
        </w:rPr>
        <w:t>»</w:t>
      </w:r>
      <w:r w:rsidR="004E3C3F">
        <w:t xml:space="preserve"> —  </w:t>
      </w:r>
      <w:r w:rsidR="00102068">
        <w:t>это название экспериментального проекта полиции, осуществляемого совместными усилиями округа полиции Судурнэса и действующими в этом регионе социальными службами по борьбе с насилием в семье. Мероприятия по реализации проекта начались 1 февраля 2013</w:t>
      </w:r>
      <w:r>
        <w:t> года</w:t>
      </w:r>
      <w:r w:rsidR="00102068">
        <w:t xml:space="preserve"> и уже считаются довольно успешными. Отправной точкой в его реализации стало понимание того, что в рамках судебной системы рассматривается слишком мало дел о насилии в семье, количество завершенных расследований является недостаточным, и лишь немногие правонарушители признаются виновными. Главная причина такой ситуации заключается в том, что потерпевшие не желают обращаться за помощью в полицию. Полиция пришла к выводу, что это связано с отсутствием поддержки для потерпевших и правонарушителей. Все изменения, затронувшие повседневную работу участников проекта, были внесены на основании законодательства Исландии и не повлекли за собой дополнительных расходов для участвующих в нем учреждениях.</w:t>
      </w:r>
    </w:p>
    <w:p w:rsidR="00102068" w:rsidRDefault="004C298C" w:rsidP="00102068">
      <w:pPr>
        <w:pStyle w:val="SingleTxtG"/>
      </w:pPr>
      <w:r>
        <w:tab/>
      </w:r>
      <w:r w:rsidR="00102068" w:rsidRPr="00374D71">
        <w:t>Основой</w:t>
      </w:r>
      <w:r w:rsidR="00102068">
        <w:t xml:space="preserve"> экспериментального проекта является сотрудничество полиции и социальных служб. В тех случаях, когда полиция реагирует на сигнал, дающий основания предполагать применение насилия в семье, она всегда обращается за дополнительной помощью к работникам социальных служб с целью установления прочных контактов и оказания потерпевшим любой поддержки, в которой они нуждаются. Эти структуры также обеспечивают потерпевшим помощь юриста. Использование данного подхода повышает вероятность того, что потерпевшие задумаются о прекращении отношений, в которых они подвергаются насилию. Меры правовой защиты, такие как запретительные приказы (приказы о выдворении) и выселение правонарушителя, применяются чаще, а правонарушители получают информацию о возможных вариантах терапевтических программ.</w:t>
      </w:r>
    </w:p>
    <w:p w:rsidR="00102068" w:rsidRDefault="004C298C" w:rsidP="00102068">
      <w:pPr>
        <w:pStyle w:val="SingleTxtG"/>
      </w:pPr>
      <w:r>
        <w:tab/>
      </w:r>
      <w:r w:rsidR="00102068" w:rsidRPr="00374D71">
        <w:t>В</w:t>
      </w:r>
      <w:r w:rsidR="00102068">
        <w:t xml:space="preserve"> мае 2013</w:t>
      </w:r>
      <w:r>
        <w:t> года</w:t>
      </w:r>
      <w:r w:rsidR="00102068">
        <w:t xml:space="preserve"> были опубликованы результаты нового количественного исследования по проблеме насилия в отношении</w:t>
      </w:r>
      <w:r w:rsidR="004E3C3F">
        <w:t> женщин</w:t>
      </w:r>
      <w:r w:rsidR="00102068">
        <w:t>-инвалидов, проведенного Институтом социальных наук при Университете Исландии по поручению Министерства социального обеспечения. Данное исследование стало первым исследованием такого рода на территории Исландии и рассматривалось как анализ, дающий важные сведения о многих проявлениях насилия в отношении</w:t>
      </w:r>
      <w:r w:rsidR="004E3C3F">
        <w:t> женщин</w:t>
      </w:r>
      <w:r w:rsidR="00102068">
        <w:t>-инвалидов, обстоятельствах его применения и последствиях, к которым оно приводит. Его основой послужили беседы с тринадцатью</w:t>
      </w:r>
      <w:r w:rsidR="004E3C3F">
        <w:t> женщин</w:t>
      </w:r>
      <w:r w:rsidR="00102068">
        <w:t>ами, которые подвергались многочисленным формам насилия в детстве и во взрослом возрасте. При этом ставилась цель описать характер насилия в отношении</w:t>
      </w:r>
      <w:r w:rsidR="004E3C3F">
        <w:t> женщин</w:t>
      </w:r>
      <w:r w:rsidR="00102068">
        <w:t>-инвалидов и изучить различия в его применении отдельными лицами, с одной стороны, и на уровне учреждений</w:t>
      </w:r>
      <w:r w:rsidR="004E3C3F">
        <w:t xml:space="preserve"> —  </w:t>
      </w:r>
      <w:r w:rsidR="00102068">
        <w:t>с другой. Кроме того, в ходе исследования необходимо было продемонстрировать обстоятельства, в которых совершаются подобные акты насилия, и последствия, к которым оно приводит, а также связь риска его применения с положением</w:t>
      </w:r>
      <w:r w:rsidR="004E3C3F">
        <w:t> женщин</w:t>
      </w:r>
      <w:r w:rsidR="00102068">
        <w:t>-инвалидов в обществе и предложить методы предотвращения насилия в отношении этих</w:t>
      </w:r>
      <w:r w:rsidR="004E3C3F">
        <w:t> женщин</w:t>
      </w:r>
      <w:r w:rsidR="00102068">
        <w:t>.</w:t>
      </w:r>
    </w:p>
    <w:p w:rsidR="00102068" w:rsidRDefault="004C298C" w:rsidP="00102068">
      <w:pPr>
        <w:pStyle w:val="SingleTxtG"/>
      </w:pPr>
      <w:r>
        <w:tab/>
      </w:r>
      <w:r w:rsidR="00102068" w:rsidRPr="00374D71">
        <w:t>В</w:t>
      </w:r>
      <w:r w:rsidR="00102068">
        <w:t xml:space="preserve"> июле 2013</w:t>
      </w:r>
      <w:r>
        <w:t> года</w:t>
      </w:r>
      <w:r w:rsidR="00102068">
        <w:t xml:space="preserve"> Министерство социального обеспечения и муниципалитеты региона Судурнэс опубликовали брошюру под названием </w:t>
      </w:r>
      <w:r>
        <w:t>«</w:t>
      </w:r>
      <w:r w:rsidR="00102068">
        <w:rPr>
          <w:i/>
        </w:rPr>
        <w:t>Является ли насилие в семье частью вашей жизни?</w:t>
      </w:r>
      <w:r>
        <w:rPr>
          <w:i/>
        </w:rPr>
        <w:t>»</w:t>
      </w:r>
      <w:r w:rsidR="00102068">
        <w:rPr>
          <w:i/>
        </w:rPr>
        <w:t>,</w:t>
      </w:r>
      <w:r w:rsidR="00102068">
        <w:t xml:space="preserve"> которая была распространена среди всех семей данного региона. Публикация этой брошюры является частью проводимой в регионе Судурнэс кампании бдительности по предотвращению насилия в отношении</w:t>
      </w:r>
      <w:r w:rsidR="004E3C3F">
        <w:t> женщин</w:t>
      </w:r>
      <w:r w:rsidR="00102068">
        <w:t>. В ходе данной кампании рассматриваются различные виды насилия и предоставляется информация о том, куда можно обратиться за помощью. Руководит ее проведением надзорная организация региона Судурнэс (</w:t>
      </w:r>
      <w:r>
        <w:t>«</w:t>
      </w:r>
      <w:r w:rsidR="00102068">
        <w:t>Suðurnes Watch</w:t>
      </w:r>
      <w:r>
        <w:t>»</w:t>
      </w:r>
      <w:r w:rsidR="00102068">
        <w:t xml:space="preserve">), которая действует под эгидой структуры </w:t>
      </w:r>
      <w:r>
        <w:t>«</w:t>
      </w:r>
      <w:r w:rsidR="00102068">
        <w:t>Надзор за благополучием</w:t>
      </w:r>
      <w:r>
        <w:t>»</w:t>
      </w:r>
      <w:r w:rsidR="00102068">
        <w:t xml:space="preserve"> (</w:t>
      </w:r>
      <w:r>
        <w:t>«</w:t>
      </w:r>
      <w:r w:rsidR="00102068">
        <w:t>Wellbeing Watch</w:t>
      </w:r>
      <w:r>
        <w:t>»</w:t>
      </w:r>
      <w:r w:rsidR="00102068">
        <w:t>) Министерства социального обеспечения.</w:t>
      </w:r>
    </w:p>
    <w:p w:rsidR="00102068" w:rsidRDefault="004C298C" w:rsidP="00102068">
      <w:pPr>
        <w:pStyle w:val="SingleTxtG"/>
      </w:pPr>
      <w:r>
        <w:tab/>
      </w:r>
      <w:r w:rsidR="00102068" w:rsidRPr="00374D71">
        <w:t>Как</w:t>
      </w:r>
      <w:r w:rsidR="00102068">
        <w:t xml:space="preserve"> указано выше, Исландия стала одним из первых государств, подписавших Конвенцию Совета Европы о предотвращении и борьбе с насилием в отношении</w:t>
      </w:r>
      <w:r w:rsidR="004E3C3F">
        <w:t> женщин</w:t>
      </w:r>
      <w:r w:rsidR="00102068">
        <w:t xml:space="preserve"> и домашним насилием (Стамбульскую конвенцию) </w:t>
      </w:r>
      <w:r w:rsidR="00102068" w:rsidRPr="00374D71">
        <w:t>в мае</w:t>
      </w:r>
      <w:r w:rsidR="00102068">
        <w:t xml:space="preserve"> 2011</w:t>
      </w:r>
      <w:r>
        <w:t> года</w:t>
      </w:r>
      <w:r w:rsidR="00102068">
        <w:t>. Осенью того же</w:t>
      </w:r>
      <w:r>
        <w:t> года</w:t>
      </w:r>
      <w:r w:rsidR="00102068">
        <w:t xml:space="preserve"> по указанию Министерства внутренних дел был проведен анализ содержания Конвенции и необходимых мер по адаптации исландского законодательства (законов, нормативных актов, их ввода в действие и соответствующих процедур и т. д.), которая позволит ратифицировать данную конвенцию, не сомневаясь в том, что ее положения будут совместимы с законодательством страны. В связи с этим Комитету по вопросам процессуального права было поручено изучить поправки, которые следует внести в Уголовный кодекс Исландии в целях ратификации данной конвенции.</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b/>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Женский приют (Kvennaathvarfið)</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rPr>
          <w:iCs/>
        </w:rPr>
      </w:pPr>
      <w:r>
        <w:tab/>
      </w:r>
      <w:r w:rsidR="00102068">
        <w:t>В своих заключительных замечаниях к последнему периодическому докладу Исландии (CEDAW/C/ICE/CO/6) Комитет рекомендовал государству-участнику выделить достаточные финансовые ресурсы для обеспечения того, чтобы все</w:t>
      </w:r>
      <w:r w:rsidR="004E3C3F">
        <w:t> женщин</w:t>
      </w:r>
      <w:r w:rsidR="00102068" w:rsidRPr="00374D71">
        <w:t>ы</w:t>
      </w:r>
      <w:r w:rsidR="00102068">
        <w:t>, являющиеся жертвами насилия, имели доступ к безотлагательно предоставляемым и соответствующим средствам защиты и доступ к безопасным приютам во всех регионах страны.</w:t>
      </w:r>
    </w:p>
    <w:p w:rsidR="00102068" w:rsidRDefault="004C298C" w:rsidP="00102068">
      <w:pPr>
        <w:pStyle w:val="SingleTxtG"/>
      </w:pPr>
      <w:r>
        <w:tab/>
      </w:r>
      <w:r w:rsidR="00102068" w:rsidRPr="00374D71">
        <w:t>Цель</w:t>
      </w:r>
      <w:r w:rsidR="00102068">
        <w:t xml:space="preserve"> организации, ведающей вопросами функционирования Женского приюта (</w:t>
      </w:r>
      <w:r w:rsidR="00102068">
        <w:rPr>
          <w:i/>
        </w:rPr>
        <w:t>Kvennaathvarfið</w:t>
      </w:r>
      <w:r w:rsidR="00102068">
        <w:t>), заключается в предоставлении убежища</w:t>
      </w:r>
      <w:r w:rsidR="004E3C3F">
        <w:t> женщин</w:t>
      </w:r>
      <w:r w:rsidR="00102068">
        <w:t>ам и их детям в случаях, когда обстановка в доме делает невозможным дальнейшее проживание там вследствие насилия в семье, будь то в форме физических нападений или психической жестокости, применяемых супругом или сожителем, или другими лицами в доме, а также</w:t>
      </w:r>
      <w:r w:rsidR="004E3C3F">
        <w:t> женщин</w:t>
      </w:r>
      <w:r w:rsidR="00102068">
        <w:t>ам</w:t>
      </w:r>
      <w:r w:rsidR="004E3C3F">
        <w:t xml:space="preserve"> —  </w:t>
      </w:r>
      <w:r w:rsidR="00102068">
        <w:t>жертвам изнасилования. Задачей этой организации также является предоставление консультационных и информационных услуг и обеспечение стимулов для предания гласности и обсуждения проблемы насилия в семье.</w:t>
      </w:r>
    </w:p>
    <w:p w:rsidR="004C298C" w:rsidRPr="004C298C" w:rsidRDefault="004C298C" w:rsidP="004C298C">
      <w:pPr>
        <w:pStyle w:val="SingleTxtG"/>
        <w:spacing w:after="0" w:line="120" w:lineRule="exact"/>
        <w:jc w:val="left"/>
        <w:rPr>
          <w:b/>
          <w:sz w:val="10"/>
        </w:rPr>
      </w:pPr>
    </w:p>
    <w:p w:rsidR="00102068" w:rsidRDefault="00102068" w:rsidP="00102068">
      <w:pPr>
        <w:pStyle w:val="SingleTxtG"/>
        <w:jc w:val="left"/>
        <w:rPr>
          <w:b/>
        </w:rPr>
      </w:pPr>
      <w:r w:rsidRPr="00374D71">
        <w:rPr>
          <w:b/>
        </w:rPr>
        <w:t>Данные о лицах, принятых в Женский приют, и проведенных с ними беседах, 2008–2011 годы</w:t>
      </w:r>
    </w:p>
    <w:p w:rsidR="004C298C" w:rsidRPr="004C298C" w:rsidRDefault="004C298C" w:rsidP="004C298C">
      <w:pPr>
        <w:pStyle w:val="SingleTxtG"/>
        <w:spacing w:after="0" w:line="120" w:lineRule="exact"/>
        <w:jc w:val="left"/>
        <w:rPr>
          <w:b/>
          <w:sz w:val="10"/>
        </w:rPr>
      </w:pPr>
    </w:p>
    <w:tbl>
      <w:tblPr>
        <w:tblW w:w="0" w:type="auto"/>
        <w:tblInd w:w="1247" w:type="dxa"/>
        <w:tblLayout w:type="fixed"/>
        <w:tblCellMar>
          <w:left w:w="0" w:type="dxa"/>
          <w:right w:w="0" w:type="dxa"/>
        </w:tblCellMar>
        <w:tblLook w:val="0000" w:firstRow="0" w:lastRow="0" w:firstColumn="0" w:lastColumn="0" w:noHBand="0" w:noVBand="0"/>
      </w:tblPr>
      <w:tblGrid>
        <w:gridCol w:w="5380"/>
        <w:gridCol w:w="790"/>
        <w:gridCol w:w="780"/>
        <w:gridCol w:w="790"/>
        <w:gridCol w:w="779"/>
      </w:tblGrid>
      <w:tr w:rsidR="00102068" w:rsidRPr="00EF5295" w:rsidTr="006505E8">
        <w:trPr>
          <w:trHeight w:val="300"/>
          <w:tblHeader/>
        </w:trPr>
        <w:tc>
          <w:tcPr>
            <w:tcW w:w="5380" w:type="dxa"/>
            <w:tcBorders>
              <w:top w:val="single" w:sz="4" w:space="0" w:color="000000"/>
              <w:bottom w:val="single" w:sz="12" w:space="0" w:color="000000"/>
            </w:tcBorders>
            <w:shd w:val="clear" w:color="auto" w:fill="auto"/>
            <w:vAlign w:val="bottom"/>
          </w:tcPr>
          <w:p w:rsidR="00102068" w:rsidRPr="00EF5295" w:rsidRDefault="00102068" w:rsidP="006505E8">
            <w:pPr>
              <w:pStyle w:val="SingleTxtG"/>
              <w:suppressAutoHyphens w:val="0"/>
              <w:snapToGrid w:val="0"/>
              <w:spacing w:before="80" w:after="80" w:line="240" w:lineRule="auto"/>
              <w:ind w:left="0" w:right="0"/>
              <w:jc w:val="left"/>
              <w:rPr>
                <w:bCs/>
                <w:i/>
                <w:sz w:val="14"/>
                <w:szCs w:val="14"/>
              </w:rPr>
            </w:pPr>
          </w:p>
        </w:tc>
        <w:tc>
          <w:tcPr>
            <w:tcW w:w="790" w:type="dxa"/>
            <w:tcBorders>
              <w:top w:val="single" w:sz="4" w:space="0" w:color="000000"/>
              <w:bottom w:val="single" w:sz="12" w:space="0" w:color="000000"/>
            </w:tcBorders>
            <w:shd w:val="clear" w:color="auto" w:fill="auto"/>
            <w:vAlign w:val="bottom"/>
          </w:tcPr>
          <w:p w:rsidR="00102068" w:rsidRPr="00EF5295" w:rsidRDefault="00102068" w:rsidP="006505E8">
            <w:pPr>
              <w:pStyle w:val="SingleTxtG"/>
              <w:suppressAutoHyphens w:val="0"/>
              <w:spacing w:before="80" w:after="80" w:line="240" w:lineRule="auto"/>
              <w:ind w:left="113" w:right="0"/>
              <w:jc w:val="right"/>
              <w:rPr>
                <w:bCs/>
                <w:i/>
                <w:sz w:val="14"/>
                <w:szCs w:val="14"/>
              </w:rPr>
            </w:pPr>
            <w:r w:rsidRPr="00EF5295">
              <w:rPr>
                <w:bCs/>
                <w:i/>
                <w:sz w:val="14"/>
                <w:szCs w:val="14"/>
              </w:rPr>
              <w:t>2008</w:t>
            </w:r>
          </w:p>
        </w:tc>
        <w:tc>
          <w:tcPr>
            <w:tcW w:w="780" w:type="dxa"/>
            <w:tcBorders>
              <w:top w:val="single" w:sz="4" w:space="0" w:color="000000"/>
              <w:bottom w:val="single" w:sz="12" w:space="0" w:color="000000"/>
            </w:tcBorders>
            <w:shd w:val="clear" w:color="auto" w:fill="auto"/>
            <w:vAlign w:val="bottom"/>
          </w:tcPr>
          <w:p w:rsidR="00102068" w:rsidRPr="00EF5295" w:rsidRDefault="00102068" w:rsidP="006505E8">
            <w:pPr>
              <w:pStyle w:val="SingleTxtG"/>
              <w:suppressAutoHyphens w:val="0"/>
              <w:spacing w:before="80" w:after="80" w:line="240" w:lineRule="auto"/>
              <w:ind w:left="113" w:right="0"/>
              <w:jc w:val="right"/>
              <w:rPr>
                <w:bCs/>
                <w:i/>
                <w:sz w:val="14"/>
                <w:szCs w:val="14"/>
              </w:rPr>
            </w:pPr>
            <w:r w:rsidRPr="00EF5295">
              <w:rPr>
                <w:bCs/>
                <w:i/>
                <w:sz w:val="14"/>
                <w:szCs w:val="14"/>
              </w:rPr>
              <w:t>2009</w:t>
            </w:r>
          </w:p>
        </w:tc>
        <w:tc>
          <w:tcPr>
            <w:tcW w:w="790" w:type="dxa"/>
            <w:tcBorders>
              <w:top w:val="single" w:sz="4" w:space="0" w:color="000000"/>
              <w:bottom w:val="single" w:sz="12" w:space="0" w:color="000000"/>
            </w:tcBorders>
            <w:shd w:val="clear" w:color="auto" w:fill="auto"/>
            <w:vAlign w:val="bottom"/>
          </w:tcPr>
          <w:p w:rsidR="00102068" w:rsidRPr="00EF5295" w:rsidRDefault="00102068" w:rsidP="006505E8">
            <w:pPr>
              <w:pStyle w:val="SingleTxtG"/>
              <w:suppressAutoHyphens w:val="0"/>
              <w:spacing w:before="80" w:after="80" w:line="240" w:lineRule="auto"/>
              <w:ind w:left="113" w:right="0"/>
              <w:jc w:val="right"/>
              <w:rPr>
                <w:bCs/>
                <w:i/>
                <w:sz w:val="14"/>
                <w:szCs w:val="14"/>
              </w:rPr>
            </w:pPr>
            <w:r w:rsidRPr="00EF5295">
              <w:rPr>
                <w:bCs/>
                <w:i/>
                <w:sz w:val="14"/>
                <w:szCs w:val="14"/>
              </w:rPr>
              <w:t>2010</w:t>
            </w:r>
          </w:p>
        </w:tc>
        <w:tc>
          <w:tcPr>
            <w:tcW w:w="779" w:type="dxa"/>
            <w:tcBorders>
              <w:top w:val="single" w:sz="4" w:space="0" w:color="000000"/>
              <w:bottom w:val="single" w:sz="12" w:space="0" w:color="000000"/>
            </w:tcBorders>
            <w:shd w:val="clear" w:color="auto" w:fill="auto"/>
            <w:vAlign w:val="bottom"/>
          </w:tcPr>
          <w:p w:rsidR="00102068" w:rsidRPr="00EF5295" w:rsidRDefault="00102068" w:rsidP="006505E8">
            <w:pPr>
              <w:pStyle w:val="SingleTxtG"/>
              <w:suppressAutoHyphens w:val="0"/>
              <w:spacing w:before="80" w:after="80" w:line="240" w:lineRule="auto"/>
              <w:ind w:left="113" w:right="0"/>
              <w:jc w:val="right"/>
              <w:rPr>
                <w:sz w:val="14"/>
                <w:szCs w:val="14"/>
              </w:rPr>
            </w:pPr>
            <w:r w:rsidRPr="00EF5295">
              <w:rPr>
                <w:bCs/>
                <w:i/>
                <w:sz w:val="14"/>
                <w:szCs w:val="14"/>
              </w:rPr>
              <w:t>2011</w:t>
            </w:r>
          </w:p>
        </w:tc>
      </w:tr>
      <w:tr w:rsidR="00102068" w:rsidRPr="00EF5295" w:rsidTr="006505E8">
        <w:trPr>
          <w:trHeight w:val="300"/>
        </w:trPr>
        <w:tc>
          <w:tcPr>
            <w:tcW w:w="5380" w:type="dxa"/>
            <w:tcBorders>
              <w:top w:val="single" w:sz="12" w:space="0" w:color="000000"/>
            </w:tcBorders>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Общее число лиц, принятых в приют</w:t>
            </w:r>
          </w:p>
        </w:tc>
        <w:tc>
          <w:tcPr>
            <w:tcW w:w="790" w:type="dxa"/>
            <w:tcBorders>
              <w:top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549</w:t>
            </w:r>
          </w:p>
        </w:tc>
        <w:tc>
          <w:tcPr>
            <w:tcW w:w="780" w:type="dxa"/>
            <w:tcBorders>
              <w:top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605</w:t>
            </w:r>
          </w:p>
        </w:tc>
        <w:tc>
          <w:tcPr>
            <w:tcW w:w="790" w:type="dxa"/>
            <w:tcBorders>
              <w:top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864</w:t>
            </w:r>
          </w:p>
        </w:tc>
        <w:tc>
          <w:tcPr>
            <w:tcW w:w="779" w:type="dxa"/>
            <w:tcBorders>
              <w:top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671</w:t>
            </w:r>
          </w:p>
        </w:tc>
      </w:tr>
      <w:tr w:rsidR="00102068" w:rsidRPr="00EF5295" w:rsidTr="006505E8">
        <w:trPr>
          <w:trHeight w:val="300"/>
        </w:trPr>
        <w:tc>
          <w:tcPr>
            <w:tcW w:w="538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Беседы*</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419</w:t>
            </w:r>
          </w:p>
        </w:tc>
        <w:tc>
          <w:tcPr>
            <w:tcW w:w="78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487</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746</w:t>
            </w:r>
          </w:p>
        </w:tc>
        <w:tc>
          <w:tcPr>
            <w:tcW w:w="779"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546</w:t>
            </w:r>
          </w:p>
        </w:tc>
      </w:tr>
      <w:tr w:rsidR="00102068" w:rsidRPr="00EF5295" w:rsidTr="006505E8">
        <w:trPr>
          <w:trHeight w:val="300"/>
        </w:trPr>
        <w:tc>
          <w:tcPr>
            <w:tcW w:w="538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Сроки пребывания</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130</w:t>
            </w:r>
          </w:p>
        </w:tc>
        <w:tc>
          <w:tcPr>
            <w:tcW w:w="78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118</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118</w:t>
            </w:r>
          </w:p>
        </w:tc>
        <w:tc>
          <w:tcPr>
            <w:tcW w:w="779"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107</w:t>
            </w:r>
          </w:p>
        </w:tc>
      </w:tr>
      <w:tr w:rsidR="00102068" w:rsidRPr="00EF5295" w:rsidTr="006505E8">
        <w:trPr>
          <w:trHeight w:val="300"/>
        </w:trPr>
        <w:tc>
          <w:tcPr>
            <w:tcW w:w="538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Число</w:t>
            </w:r>
            <w:r w:rsidR="004E3C3F">
              <w:rPr>
                <w:bCs/>
                <w:sz w:val="17"/>
                <w:szCs w:val="17"/>
              </w:rPr>
              <w:t> женщин</w:t>
            </w:r>
            <w:r w:rsidRPr="00EF5295">
              <w:rPr>
                <w:bCs/>
                <w:sz w:val="17"/>
                <w:szCs w:val="17"/>
              </w:rPr>
              <w:t>, не имеющих детей</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81</w:t>
            </w:r>
          </w:p>
        </w:tc>
        <w:tc>
          <w:tcPr>
            <w:tcW w:w="78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74</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79</w:t>
            </w:r>
          </w:p>
        </w:tc>
        <w:tc>
          <w:tcPr>
            <w:tcW w:w="779"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62</w:t>
            </w:r>
          </w:p>
        </w:tc>
      </w:tr>
      <w:tr w:rsidR="00102068" w:rsidRPr="00EF5295" w:rsidTr="006505E8">
        <w:trPr>
          <w:trHeight w:val="300"/>
        </w:trPr>
        <w:tc>
          <w:tcPr>
            <w:tcW w:w="538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Число</w:t>
            </w:r>
            <w:r w:rsidR="004E3C3F">
              <w:rPr>
                <w:bCs/>
                <w:sz w:val="17"/>
                <w:szCs w:val="17"/>
              </w:rPr>
              <w:t> женщин</w:t>
            </w:r>
            <w:r w:rsidRPr="00EF5295">
              <w:rPr>
                <w:bCs/>
                <w:sz w:val="17"/>
                <w:szCs w:val="17"/>
              </w:rPr>
              <w:t xml:space="preserve"> с детьми</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49</w:t>
            </w:r>
          </w:p>
        </w:tc>
        <w:tc>
          <w:tcPr>
            <w:tcW w:w="78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44</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39</w:t>
            </w:r>
          </w:p>
        </w:tc>
        <w:tc>
          <w:tcPr>
            <w:tcW w:w="779"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45</w:t>
            </w:r>
          </w:p>
        </w:tc>
      </w:tr>
      <w:tr w:rsidR="00102068" w:rsidRPr="00EF5295" w:rsidTr="006505E8">
        <w:trPr>
          <w:trHeight w:val="300"/>
        </w:trPr>
        <w:tc>
          <w:tcPr>
            <w:tcW w:w="538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Число детей</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77</w:t>
            </w:r>
          </w:p>
        </w:tc>
        <w:tc>
          <w:tcPr>
            <w:tcW w:w="78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60</w:t>
            </w:r>
          </w:p>
        </w:tc>
        <w:tc>
          <w:tcPr>
            <w:tcW w:w="79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w:t>
            </w:r>
          </w:p>
        </w:tc>
        <w:tc>
          <w:tcPr>
            <w:tcW w:w="779"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67</w:t>
            </w:r>
          </w:p>
        </w:tc>
      </w:tr>
      <w:tr w:rsidR="00102068" w:rsidRPr="00EF5295" w:rsidTr="006505E8">
        <w:trPr>
          <w:trHeight w:val="300"/>
        </w:trPr>
        <w:tc>
          <w:tcPr>
            <w:tcW w:w="5380" w:type="dxa"/>
            <w:tcBorders>
              <w:bottom w:val="single" w:sz="12" w:space="0" w:color="000000"/>
            </w:tcBorders>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bCs/>
                <w:sz w:val="17"/>
                <w:szCs w:val="17"/>
              </w:rPr>
              <w:t>Общее число клиентов</w:t>
            </w:r>
          </w:p>
        </w:tc>
        <w:tc>
          <w:tcPr>
            <w:tcW w:w="790" w:type="dxa"/>
            <w:tcBorders>
              <w:bottom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341</w:t>
            </w:r>
          </w:p>
        </w:tc>
        <w:tc>
          <w:tcPr>
            <w:tcW w:w="780" w:type="dxa"/>
            <w:tcBorders>
              <w:bottom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319</w:t>
            </w:r>
          </w:p>
        </w:tc>
        <w:tc>
          <w:tcPr>
            <w:tcW w:w="790" w:type="dxa"/>
            <w:tcBorders>
              <w:bottom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375</w:t>
            </w:r>
          </w:p>
        </w:tc>
        <w:tc>
          <w:tcPr>
            <w:tcW w:w="779" w:type="dxa"/>
            <w:tcBorders>
              <w:bottom w:val="single" w:sz="12"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299</w:t>
            </w:r>
          </w:p>
        </w:tc>
      </w:tr>
    </w:tbl>
    <w:p w:rsidR="004C298C" w:rsidRPr="004C298C" w:rsidRDefault="004C298C" w:rsidP="004C298C">
      <w:pPr>
        <w:pStyle w:val="SingleTxtG"/>
        <w:spacing w:after="0" w:line="120" w:lineRule="exact"/>
        <w:rPr>
          <w:b/>
          <w:i/>
          <w:sz w:val="10"/>
          <w:szCs w:val="18"/>
        </w:rPr>
      </w:pPr>
    </w:p>
    <w:p w:rsidR="00102068" w:rsidRPr="00EF5295" w:rsidRDefault="00102068" w:rsidP="004C298C">
      <w:pPr>
        <w:pStyle w:val="FootnoteText"/>
        <w:tabs>
          <w:tab w:val="right" w:pos="1476"/>
          <w:tab w:val="left" w:pos="1548"/>
          <w:tab w:val="right" w:pos="1836"/>
          <w:tab w:val="left" w:pos="1908"/>
        </w:tabs>
        <w:ind w:left="1548" w:hanging="288"/>
      </w:pPr>
      <w:r w:rsidRPr="00EF5295">
        <w:rPr>
          <w:b/>
        </w:rPr>
        <w:t>Источник:</w:t>
      </w:r>
      <w:r w:rsidRPr="00EF5295">
        <w:t xml:space="preserve"> Ежегодный доклад Женского приюта за 2010 и 2011 годы.</w:t>
      </w:r>
    </w:p>
    <w:p w:rsidR="004C298C" w:rsidRPr="004C298C" w:rsidRDefault="004C298C" w:rsidP="004C298C">
      <w:pPr>
        <w:pStyle w:val="FootnoteText"/>
        <w:tabs>
          <w:tab w:val="right" w:pos="1476"/>
          <w:tab w:val="left" w:pos="1548"/>
          <w:tab w:val="right" w:pos="1836"/>
          <w:tab w:val="left" w:pos="1908"/>
        </w:tabs>
        <w:ind w:left="1548" w:hanging="288"/>
        <w:rPr>
          <w:sz w:val="10"/>
        </w:rPr>
      </w:pPr>
    </w:p>
    <w:p w:rsidR="00102068" w:rsidRPr="00EF5295" w:rsidRDefault="00102068" w:rsidP="004C298C">
      <w:pPr>
        <w:pStyle w:val="FootnoteText"/>
        <w:tabs>
          <w:tab w:val="right" w:pos="1476"/>
          <w:tab w:val="left" w:pos="1548"/>
          <w:tab w:val="right" w:pos="1836"/>
          <w:tab w:val="left" w:pos="1908"/>
        </w:tabs>
        <w:ind w:left="1548" w:hanging="288"/>
      </w:pPr>
      <w:r w:rsidRPr="00EF5295">
        <w:t>*В этот показатель не включены беседы, проведенные во время пребывания в приюте.</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102068">
      <w:pPr>
        <w:pStyle w:val="SingleTxtG"/>
      </w:pPr>
      <w:r>
        <w:tab/>
      </w:r>
      <w:r w:rsidR="00102068">
        <w:t>В 2009</w:t>
      </w:r>
      <w:r>
        <w:t> году</w:t>
      </w:r>
      <w:r w:rsidR="004E3C3F">
        <w:t> женщин</w:t>
      </w:r>
      <w:r w:rsidR="00102068">
        <w:t>ы в среднем проводили в приюте 11 дней, что на 7 дней меньше, чем годом ранее. Средняя продолжительность пребывания в приюте детей составляла 10 дней. В среднем в приюте ежедневно находились 6</w:t>
      </w:r>
      <w:r>
        <w:t> человек</w:t>
      </w:r>
      <w:r w:rsidR="00102068">
        <w:t>: 4</w:t>
      </w:r>
      <w:r w:rsidR="00102068">
        <w:rPr>
          <w:lang w:val="en-US"/>
        </w:rPr>
        <w:t> </w:t>
      </w:r>
      <w:r w:rsidR="00102068">
        <w:t>женщины и 2</w:t>
      </w:r>
      <w:r w:rsidR="004E3C3F">
        <w:t> ребенка</w:t>
      </w:r>
      <w:r w:rsidR="00102068">
        <w:t>. В 2010</w:t>
      </w:r>
      <w:r>
        <w:t> году</w:t>
      </w:r>
      <w:r w:rsidR="00102068">
        <w:t xml:space="preserve"> средняя продолжительность пребывания в убежище составляла 15 дней. Женщины с детьми в среднем оставались в приюте дольше, нежели</w:t>
      </w:r>
      <w:r w:rsidR="004E3C3F">
        <w:t> женщин</w:t>
      </w:r>
      <w:r w:rsidR="00102068">
        <w:t>ы без детей, а иностранки</w:t>
      </w:r>
      <w:r w:rsidR="004E3C3F">
        <w:t xml:space="preserve"> —  </w:t>
      </w:r>
      <w:r w:rsidR="00102068">
        <w:t>дольше, нежели гражданки Исландии. Продолжительность пребывания в приюте детей составляла 23 дня. В</w:t>
      </w:r>
      <w:r w:rsidR="00102068">
        <w:rPr>
          <w:lang w:val="en-US"/>
        </w:rPr>
        <w:t> </w:t>
      </w:r>
      <w:r w:rsidR="00102068">
        <w:t>среднем в 2010</w:t>
      </w:r>
      <w:r>
        <w:t> году</w:t>
      </w:r>
      <w:r w:rsidR="00102068">
        <w:t xml:space="preserve"> в приюте ежедневно находились 4</w:t>
      </w:r>
      <w:r w:rsidR="004E3C3F">
        <w:t> женщин</w:t>
      </w:r>
      <w:r w:rsidR="00102068">
        <w:t>ы и 4</w:t>
      </w:r>
      <w:r w:rsidR="004E3C3F">
        <w:t> ребенка</w:t>
      </w:r>
      <w:r w:rsidR="00102068">
        <w:t>. В</w:t>
      </w:r>
      <w:r w:rsidR="00102068">
        <w:rPr>
          <w:lang w:val="en-US"/>
        </w:rPr>
        <w:t> </w:t>
      </w:r>
      <w:r w:rsidR="00102068">
        <w:t>этом</w:t>
      </w:r>
      <w:r>
        <w:t> году</w:t>
      </w:r>
      <w:r w:rsidR="00102068">
        <w:t xml:space="preserve"> было проведено 746 бесед, что является самым высоким результатом. С</w:t>
      </w:r>
      <w:r w:rsidR="00102068">
        <w:rPr>
          <w:lang w:val="en-US"/>
        </w:rPr>
        <w:t> </w:t>
      </w:r>
      <w:r w:rsidR="00102068">
        <w:t>каждой</w:t>
      </w:r>
      <w:r w:rsidR="004E3C3F">
        <w:t> женщин</w:t>
      </w:r>
      <w:r w:rsidR="00102068">
        <w:t>ой, зарегистрированной в центре, в течение</w:t>
      </w:r>
      <w:r>
        <w:t> года</w:t>
      </w:r>
      <w:r w:rsidR="00102068">
        <w:t xml:space="preserve"> было проведено в среднем по две беседы. В 2011</w:t>
      </w:r>
      <w:r>
        <w:t> году</w:t>
      </w:r>
      <w:r w:rsidR="004E3C3F">
        <w:t> женщин</w:t>
      </w:r>
      <w:r w:rsidR="00102068">
        <w:t>ы в среднем находились в приюте по 15</w:t>
      </w:r>
      <w:r w:rsidR="00102068">
        <w:rPr>
          <w:lang w:val="en-US"/>
        </w:rPr>
        <w:t> </w:t>
      </w:r>
      <w:r w:rsidR="00102068">
        <w:t>дней. Средняя продолжительность пребывания в нем детей составляла 23 дня. В среднем в приюте ежедневно находились 8</w:t>
      </w:r>
      <w:r>
        <w:t> человек</w:t>
      </w:r>
      <w:r w:rsidR="00102068">
        <w:t>: 4</w:t>
      </w:r>
      <w:r w:rsidR="004E3C3F">
        <w:t> женщин</w:t>
      </w:r>
      <w:r w:rsidR="00102068">
        <w:t>ы и 4</w:t>
      </w:r>
      <w:r w:rsidR="004E3C3F">
        <w:t> ребенка</w:t>
      </w:r>
      <w:r w:rsidR="00102068">
        <w:t>.</w:t>
      </w:r>
    </w:p>
    <w:p w:rsidR="00102068" w:rsidRPr="00EF5295" w:rsidRDefault="004C298C" w:rsidP="00102068">
      <w:pPr>
        <w:pStyle w:val="SingleTxtG"/>
        <w:rPr>
          <w:shd w:val="clear" w:color="auto" w:fill="FFFF00"/>
        </w:rPr>
      </w:pPr>
      <w:r>
        <w:tab/>
      </w:r>
      <w:r w:rsidR="00102068">
        <w:t>По</w:t>
      </w:r>
      <w:r w:rsidR="00102068" w:rsidRPr="00EF5295">
        <w:t xml:space="preserve"> прибытии</w:t>
      </w:r>
      <w:r w:rsidR="004E3C3F">
        <w:t> женщин</w:t>
      </w:r>
      <w:r w:rsidR="00102068" w:rsidRPr="00EF5295">
        <w:t xml:space="preserve"> в приют для пребывания в нем либо для прохождения консультационных сеансов выясняется причина их визита. Большинство</w:t>
      </w:r>
      <w:r w:rsidR="004E3C3F">
        <w:t> женщин</w:t>
      </w:r>
      <w:r w:rsidR="00102068" w:rsidRPr="00EF5295">
        <w:t xml:space="preserve"> приводит более одной причины; например, наряду с физическим насилием обычно указывается психическая жестокость. В большинстве случаев они также обращаются за поддержкой в преодолении трудного жизненного этапа. Женщины намного чаще обращаются в Женский приют из-за психической жестокости, чем из-за физического насилия; проявление психической жестокости может оказаться не менее серьезной ситуацией. Она может проявляться в виде угрожающего поведения, финансового доминирования, изоляции и унижения.</w:t>
      </w:r>
    </w:p>
    <w:p w:rsidR="00102068" w:rsidRDefault="004C298C" w:rsidP="00102068">
      <w:pPr>
        <w:pStyle w:val="SingleTxtG"/>
      </w:pPr>
      <w:r>
        <w:tab/>
      </w:r>
      <w:r w:rsidR="00102068" w:rsidRPr="00EF5295">
        <w:t>Число</w:t>
      </w:r>
      <w:r w:rsidR="004E3C3F">
        <w:t> женщин</w:t>
      </w:r>
      <w:r w:rsidR="00102068">
        <w:t xml:space="preserve">, обращающихся в Женский приют, свидетельствует не столько о распространенности гендерного насилия в Исландии, сколько о том, осведомлены ли пострадавшие об услугах, предоставляемых приютом, и готовы ли они воспользоваться ими. Исследования показывают, что фактическая распространенность насилия намного больше, чем позволяют предположить статистические данные о функционировании Женского приюта, и поэтому тот факт, что число обращающихся в приют за помощью скорее велико, чем мало, считается положительным. </w:t>
      </w:r>
      <w:r w:rsidR="00102068" w:rsidRPr="00EF5295">
        <w:t>По прибытии</w:t>
      </w:r>
      <w:r w:rsidR="004E3C3F">
        <w:t> женщин</w:t>
      </w:r>
      <w:r w:rsidR="00102068" w:rsidRPr="00EF5295">
        <w:t xml:space="preserve"> в приют для пребывания в нем либо для прохождения консультационных сеансов выясняется причина их визита. Большинство</w:t>
      </w:r>
      <w:r w:rsidR="004E3C3F">
        <w:t> женщин</w:t>
      </w:r>
      <w:r w:rsidR="00102068" w:rsidRPr="00EF5295">
        <w:t xml:space="preserve"> приводит более одной причины; например, наряду с физическим насилием обычно указывается психическая жестокость. В большинстве случаев они также обращаются за поддержкой в преодолении трудного жизненного этапа. Женщины намного чаще обращаются в Женский приют из-за психической жестокости, чем из-за физического насилия; проявление психической жестокости может оказаться не менее серьезной ситуацией. Она может проявляться в виде угрожающего поведения, финансового доминирования, изоляции и унижения.</w:t>
      </w:r>
      <w:r w:rsidR="00102068">
        <w:rPr>
          <w:shd w:val="clear" w:color="auto" w:fill="FFFF00"/>
        </w:rPr>
        <w:t xml:space="preserve"> </w:t>
      </w:r>
      <w:r w:rsidR="00102068">
        <w:t>Возросло число</w:t>
      </w:r>
      <w:r w:rsidR="004E3C3F">
        <w:t> женщин</w:t>
      </w:r>
      <w:r w:rsidR="00102068">
        <w:t>, называющих психическую жестокость, физическое насилие и сексуальное принуждение причинами посещений приюта; аналогичным образом, увеличилось число</w:t>
      </w:r>
      <w:r w:rsidR="004E3C3F">
        <w:t> женщин</w:t>
      </w:r>
      <w:r w:rsidR="00102068">
        <w:t>, которые приезжают в центр из-за угроз и преследования. Это тревожный факт, поскольку создается впечатление, что насилие приобретает более грубую форму, однако причиной также может быть повышение осведомленности о гендерном насилии и формах, которые оно может принимать.</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EF5295">
        <w:t xml:space="preserve">Проект </w:t>
      </w:r>
      <w:r>
        <w:t>«</w:t>
      </w:r>
      <w:r w:rsidR="00102068" w:rsidRPr="00EF5295">
        <w:t>Karlar til ábyrgðar</w:t>
      </w:r>
      <w:r>
        <w:t>»</w:t>
      </w:r>
      <w:r w:rsidR="00102068" w:rsidRPr="00EF5295">
        <w:t xml:space="preserve"> (</w:t>
      </w:r>
      <w:r>
        <w:t>«</w:t>
      </w:r>
      <w:r w:rsidR="00102068" w:rsidRPr="00EF5295">
        <w:t>Ответственное отношение</w:t>
      </w:r>
      <w:r w:rsidR="00102068" w:rsidRPr="00EF5295">
        <w:rPr>
          <w:shd w:val="clear" w:color="auto" w:fill="FFFF00"/>
        </w:rPr>
        <w:t xml:space="preserve"> </w:t>
      </w:r>
      <w:r w:rsidR="00102068" w:rsidRPr="00EF5295">
        <w:t>мужчин</w:t>
      </w:r>
      <w:r>
        <w:t>»</w:t>
      </w:r>
      <w:r w:rsidR="00102068" w:rsidRPr="00EF5295">
        <w:t>)</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В мае 2006</w:t>
      </w:r>
      <w:r>
        <w:t> года</w:t>
      </w:r>
      <w:r w:rsidR="00102068">
        <w:t xml:space="preserve"> возобновилась реализация </w:t>
      </w:r>
      <w:r w:rsidR="00102068" w:rsidRPr="00EF5295">
        <w:t>проекта</w:t>
      </w:r>
      <w:r w:rsidR="00102068">
        <w:t xml:space="preserve"> </w:t>
      </w:r>
      <w:r>
        <w:t>«</w:t>
      </w:r>
      <w:r w:rsidR="00102068" w:rsidRPr="00EF5295">
        <w:t>Ответственное отношение мужчин</w:t>
      </w:r>
      <w:r>
        <w:t>»</w:t>
      </w:r>
      <w:r w:rsidR="00102068">
        <w:t>, предоставляющего исландским мужчинам, которые применяют насилие в семье, возможность пройти специализированную программу лечения.</w:t>
      </w:r>
    </w:p>
    <w:p w:rsidR="00102068" w:rsidRDefault="004C298C" w:rsidP="00102068">
      <w:pPr>
        <w:pStyle w:val="SingleTxtG"/>
      </w:pPr>
      <w:r>
        <w:tab/>
      </w:r>
      <w:r w:rsidR="00102068" w:rsidRPr="00EF5295">
        <w:t>В</w:t>
      </w:r>
      <w:r w:rsidR="00102068">
        <w:t xml:space="preserve"> период с возобновления данного проекта в мае 2006</w:t>
      </w:r>
      <w:r>
        <w:t> года</w:t>
      </w:r>
      <w:r w:rsidR="00102068">
        <w:t xml:space="preserve"> до конца 2010</w:t>
      </w:r>
      <w:r>
        <w:t> года</w:t>
      </w:r>
      <w:r w:rsidR="00102068">
        <w:t xml:space="preserve"> один и более терапевтических сеансов посетили 108</w:t>
      </w:r>
      <w:r>
        <w:t> человек</w:t>
      </w:r>
      <w:r w:rsidR="00102068">
        <w:t>. В период с января по август 2010</w:t>
      </w:r>
      <w:r>
        <w:t> года</w:t>
      </w:r>
      <w:r w:rsidR="00102068">
        <w:t xml:space="preserve"> к терапевтическим сеансам присоединились 25 мужчин; кроме того, 13 мужчин продолжили посещать сеансы, начатые в предыдущем</w:t>
      </w:r>
      <w:r>
        <w:t> году</w:t>
      </w:r>
      <w:r w:rsidR="00102068">
        <w:t>. За указанный период такие сеансы в качестве супруг/партнеров посетили 12</w:t>
      </w:r>
      <w:r w:rsidR="004E3C3F">
        <w:t> женщин</w:t>
      </w:r>
      <w:r w:rsidR="00102068">
        <w:t>. На протяжении всего 2010</w:t>
      </w:r>
      <w:r>
        <w:t> года</w:t>
      </w:r>
      <w:r w:rsidR="00102068">
        <w:t xml:space="preserve"> сеансы групповой терапии проводились в условиях полной укомплектованности групп. В 2011</w:t>
      </w:r>
      <w:r>
        <w:t> году</w:t>
      </w:r>
      <w:r w:rsidR="00102068">
        <w:t xml:space="preserve"> посещать такие сеансы начали 32 мужчины; 19 мужчин продолжили участвовать в сеансах, начатых в прошлом</w:t>
      </w:r>
      <w:r>
        <w:t> году</w:t>
      </w:r>
      <w:r w:rsidR="00102068">
        <w:t>. В 2011</w:t>
      </w:r>
      <w:r>
        <w:t> году</w:t>
      </w:r>
      <w:r w:rsidR="00102068">
        <w:t xml:space="preserve"> на терапевтических сеансах присутствовали 20</w:t>
      </w:r>
      <w:r w:rsidR="004E3C3F">
        <w:t> женщин</w:t>
      </w:r>
      <w:r w:rsidR="00102068">
        <w:t>, являвшихся супругами их участников. На протяжении всего</w:t>
      </w:r>
      <w:r>
        <w:t> года</w:t>
      </w:r>
      <w:r w:rsidR="00102068">
        <w:t xml:space="preserve"> группы для проведения терапевтических сеансов были полностью укомплектованы (каждая из них включала 6</w:t>
      </w:r>
      <w:r>
        <w:t> человек</w:t>
      </w:r>
      <w:r w:rsidR="00102068">
        <w:t>).</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Центр помощи жертвам сексуального насилия (</w:t>
      </w:r>
      <w:r w:rsidR="00102068">
        <w:rPr>
          <w:i/>
        </w:rPr>
        <w:t>Stígamót</w:t>
      </w:r>
      <w:r w:rsidR="00102068">
        <w:t>)</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102068">
      <w:pPr>
        <w:pStyle w:val="SingleTxtG"/>
      </w:pPr>
      <w:r>
        <w:tab/>
      </w:r>
      <w:r w:rsidR="00102068">
        <w:t>В 2010</w:t>
      </w:r>
      <w:r>
        <w:t> году</w:t>
      </w:r>
      <w:r w:rsidR="00102068">
        <w:t xml:space="preserve"> в Образовательно-консультационный центр для жертв сексуального насилия (</w:t>
      </w:r>
      <w:r w:rsidR="00102068">
        <w:rPr>
          <w:i/>
        </w:rPr>
        <w:t>Stígamót</w:t>
      </w:r>
      <w:r w:rsidR="00102068">
        <w:t>) обратились 526</w:t>
      </w:r>
      <w:r>
        <w:t> человек</w:t>
      </w:r>
      <w:r w:rsidR="00102068">
        <w:t>. В 2011</w:t>
      </w:r>
      <w:r>
        <w:t> году</w:t>
      </w:r>
      <w:r w:rsidR="00102068">
        <w:t xml:space="preserve"> их число достигло 593 человек, а в </w:t>
      </w:r>
      <w:r w:rsidR="00102068" w:rsidRPr="00EF5295">
        <w:t>2012</w:t>
      </w:r>
      <w:r>
        <w:t> году</w:t>
      </w:r>
      <w:r w:rsidR="004E3C3F">
        <w:t xml:space="preserve"> —  </w:t>
      </w:r>
      <w:r w:rsidR="00102068">
        <w:t>664</w:t>
      </w:r>
      <w:r>
        <w:t> человек</w:t>
      </w:r>
      <w:r w:rsidR="00102068">
        <w:t>. В среднем 90</w:t>
      </w:r>
      <w:r>
        <w:t> процентов</w:t>
      </w:r>
      <w:r w:rsidR="00102068">
        <w:t xml:space="preserve"> из них являются</w:t>
      </w:r>
      <w:r w:rsidR="004E3C3F">
        <w:t> женщин</w:t>
      </w:r>
      <w:r w:rsidR="00102068">
        <w:t>ами. Более половины из тех, кто впервые воспользовался услугами Центра в 2010–2012</w:t>
      </w:r>
      <w:r>
        <w:t> года</w:t>
      </w:r>
      <w:r w:rsidR="00102068">
        <w:t xml:space="preserve">х, составляли лица в возрасте 18–39 лет. </w:t>
      </w:r>
    </w:p>
    <w:p w:rsidR="00102068" w:rsidRDefault="004C298C" w:rsidP="00102068">
      <w:pPr>
        <w:pStyle w:val="SingleTxtG"/>
        <w:rPr>
          <w:b/>
        </w:rPr>
      </w:pPr>
      <w:r>
        <w:tab/>
      </w:r>
      <w:r w:rsidR="00102068" w:rsidRPr="00EF5295">
        <w:t>Лица</w:t>
      </w:r>
      <w:r w:rsidR="00102068">
        <w:t xml:space="preserve">, впервые принятые центром </w:t>
      </w:r>
      <w:r>
        <w:t>«</w:t>
      </w:r>
      <w:r w:rsidR="00102068">
        <w:t>Stígamót</w:t>
      </w:r>
      <w:r>
        <w:t>»</w:t>
      </w:r>
      <w:r w:rsidR="00102068">
        <w:t xml:space="preserve">: разбивка по полу. </w:t>
      </w:r>
    </w:p>
    <w:p w:rsidR="004C298C" w:rsidRPr="004C298C" w:rsidRDefault="004C298C" w:rsidP="004C298C">
      <w:pPr>
        <w:pStyle w:val="SingleTxtG"/>
        <w:spacing w:after="0" w:line="120" w:lineRule="exact"/>
        <w:jc w:val="left"/>
        <w:rPr>
          <w:b/>
          <w:sz w:val="10"/>
        </w:rPr>
      </w:pPr>
    </w:p>
    <w:p w:rsidR="00102068" w:rsidRDefault="00102068" w:rsidP="00102068">
      <w:pPr>
        <w:pStyle w:val="SingleTxtG"/>
        <w:jc w:val="left"/>
        <w:rPr>
          <w:b/>
        </w:rPr>
      </w:pPr>
      <w:r w:rsidRPr="00EF5295">
        <w:rPr>
          <w:b/>
        </w:rPr>
        <w:t>Лица, обращающиеся за поддержкой в Центр помощи жертвам сексуального насилия, в разбивке по возрасту, 2010–2012 годы</w:t>
      </w:r>
    </w:p>
    <w:tbl>
      <w:tblPr>
        <w:tblW w:w="0" w:type="auto"/>
        <w:tblInd w:w="1247" w:type="dxa"/>
        <w:tblLayout w:type="fixed"/>
        <w:tblCellMar>
          <w:left w:w="0" w:type="dxa"/>
          <w:right w:w="0" w:type="dxa"/>
        </w:tblCellMar>
        <w:tblLook w:val="0000" w:firstRow="0" w:lastRow="0" w:firstColumn="0" w:lastColumn="0" w:noHBand="0" w:noVBand="0"/>
      </w:tblPr>
      <w:tblGrid>
        <w:gridCol w:w="1470"/>
        <w:gridCol w:w="651"/>
        <w:gridCol w:w="1134"/>
        <w:gridCol w:w="708"/>
        <w:gridCol w:w="1276"/>
        <w:gridCol w:w="992"/>
        <w:gridCol w:w="1560"/>
      </w:tblGrid>
      <w:tr w:rsidR="00102068" w:rsidTr="006505E8">
        <w:trPr>
          <w:trHeight w:val="255"/>
          <w:tblHeader/>
        </w:trPr>
        <w:tc>
          <w:tcPr>
            <w:tcW w:w="1470" w:type="dxa"/>
            <w:tcBorders>
              <w:top w:val="single" w:sz="4" w:space="0" w:color="000000"/>
            </w:tcBorders>
            <w:shd w:val="clear" w:color="auto" w:fill="auto"/>
            <w:vAlign w:val="bottom"/>
          </w:tcPr>
          <w:p w:rsidR="00102068" w:rsidRPr="00EF5295" w:rsidRDefault="00102068" w:rsidP="006505E8">
            <w:pPr>
              <w:pStyle w:val="SingleTxtG"/>
              <w:suppressAutoHyphens w:val="0"/>
              <w:spacing w:before="40" w:after="40" w:line="240" w:lineRule="auto"/>
              <w:ind w:left="0" w:right="0"/>
              <w:jc w:val="left"/>
              <w:rPr>
                <w:bCs/>
                <w:i/>
                <w:sz w:val="14"/>
                <w:szCs w:val="14"/>
              </w:rPr>
            </w:pPr>
          </w:p>
        </w:tc>
        <w:tc>
          <w:tcPr>
            <w:tcW w:w="1785" w:type="dxa"/>
            <w:gridSpan w:val="2"/>
            <w:tcBorders>
              <w:top w:val="single" w:sz="4" w:space="0" w:color="000000"/>
              <w:bottom w:val="single" w:sz="6"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center"/>
              <w:rPr>
                <w:bCs/>
                <w:i/>
                <w:sz w:val="14"/>
                <w:szCs w:val="14"/>
              </w:rPr>
            </w:pPr>
            <w:r w:rsidRPr="00EF5295">
              <w:rPr>
                <w:bCs/>
                <w:i/>
                <w:sz w:val="14"/>
                <w:szCs w:val="14"/>
              </w:rPr>
              <w:t>2010</w:t>
            </w:r>
          </w:p>
        </w:tc>
        <w:tc>
          <w:tcPr>
            <w:tcW w:w="1984" w:type="dxa"/>
            <w:gridSpan w:val="2"/>
            <w:tcBorders>
              <w:top w:val="single" w:sz="4" w:space="0" w:color="000000"/>
              <w:bottom w:val="single" w:sz="6"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center"/>
              <w:rPr>
                <w:bCs/>
                <w:i/>
                <w:sz w:val="14"/>
                <w:szCs w:val="14"/>
              </w:rPr>
            </w:pPr>
            <w:r w:rsidRPr="00EF5295">
              <w:rPr>
                <w:bCs/>
                <w:i/>
                <w:sz w:val="14"/>
                <w:szCs w:val="14"/>
              </w:rPr>
              <w:t>2011</w:t>
            </w:r>
          </w:p>
        </w:tc>
        <w:tc>
          <w:tcPr>
            <w:tcW w:w="2552" w:type="dxa"/>
            <w:gridSpan w:val="2"/>
            <w:tcBorders>
              <w:top w:val="single" w:sz="4" w:space="0" w:color="000000"/>
              <w:bottom w:val="single" w:sz="6"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center"/>
              <w:rPr>
                <w:i/>
                <w:sz w:val="14"/>
                <w:szCs w:val="14"/>
              </w:rPr>
            </w:pPr>
            <w:r w:rsidRPr="00EF5295">
              <w:rPr>
                <w:bCs/>
                <w:i/>
                <w:sz w:val="14"/>
                <w:szCs w:val="14"/>
              </w:rPr>
              <w:t>2012</w:t>
            </w:r>
          </w:p>
        </w:tc>
      </w:tr>
      <w:tr w:rsidR="00102068" w:rsidTr="006505E8">
        <w:trPr>
          <w:trHeight w:val="255"/>
        </w:trPr>
        <w:tc>
          <w:tcPr>
            <w:tcW w:w="1470" w:type="dxa"/>
            <w:tcBorders>
              <w:bottom w:val="single" w:sz="12" w:space="0" w:color="auto"/>
            </w:tcBorders>
            <w:shd w:val="clear" w:color="auto" w:fill="auto"/>
          </w:tcPr>
          <w:p w:rsidR="00102068" w:rsidRPr="00EF5295" w:rsidRDefault="00102068" w:rsidP="006505E8">
            <w:pPr>
              <w:pStyle w:val="SingleTxtG"/>
              <w:suppressAutoHyphens w:val="0"/>
              <w:spacing w:before="40" w:after="40" w:line="240" w:lineRule="auto"/>
              <w:ind w:left="0" w:right="0"/>
              <w:jc w:val="left"/>
              <w:rPr>
                <w:bCs/>
                <w:i/>
                <w:sz w:val="14"/>
                <w:szCs w:val="14"/>
              </w:rPr>
            </w:pPr>
            <w:r w:rsidRPr="00EF5295">
              <w:rPr>
                <w:bCs/>
                <w:i/>
                <w:sz w:val="14"/>
                <w:szCs w:val="14"/>
              </w:rPr>
              <w:t> </w:t>
            </w:r>
          </w:p>
        </w:tc>
        <w:tc>
          <w:tcPr>
            <w:tcW w:w="651"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Число</w:t>
            </w:r>
          </w:p>
        </w:tc>
        <w:tc>
          <w:tcPr>
            <w:tcW w:w="1134"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 xml:space="preserve">Доля </w:t>
            </w:r>
          </w:p>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(в</w:t>
            </w:r>
            <w:r w:rsidR="004C298C">
              <w:rPr>
                <w:bCs/>
                <w:i/>
                <w:sz w:val="14"/>
                <w:szCs w:val="14"/>
              </w:rPr>
              <w:t> процента</w:t>
            </w:r>
            <w:r w:rsidRPr="00EF5295">
              <w:rPr>
                <w:bCs/>
                <w:i/>
                <w:sz w:val="14"/>
                <w:szCs w:val="14"/>
              </w:rPr>
              <w:t>х)</w:t>
            </w:r>
          </w:p>
        </w:tc>
        <w:tc>
          <w:tcPr>
            <w:tcW w:w="708"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Число</w:t>
            </w:r>
          </w:p>
        </w:tc>
        <w:tc>
          <w:tcPr>
            <w:tcW w:w="1276"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 xml:space="preserve">Доля </w:t>
            </w:r>
          </w:p>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(в</w:t>
            </w:r>
            <w:r w:rsidR="004C298C">
              <w:rPr>
                <w:bCs/>
                <w:i/>
                <w:sz w:val="14"/>
                <w:szCs w:val="14"/>
              </w:rPr>
              <w:t> процента</w:t>
            </w:r>
            <w:r w:rsidRPr="00EF5295">
              <w:rPr>
                <w:bCs/>
                <w:i/>
                <w:sz w:val="14"/>
                <w:szCs w:val="14"/>
              </w:rPr>
              <w:t>х)</w:t>
            </w:r>
          </w:p>
        </w:tc>
        <w:tc>
          <w:tcPr>
            <w:tcW w:w="992"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Число</w:t>
            </w:r>
          </w:p>
        </w:tc>
        <w:tc>
          <w:tcPr>
            <w:tcW w:w="1560" w:type="dxa"/>
            <w:tcBorders>
              <w:top w:val="single" w:sz="6" w:space="0" w:color="auto"/>
              <w:bottom w:val="single" w:sz="12" w:space="0" w:color="auto"/>
            </w:tcBorders>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bCs/>
                <w:i/>
                <w:sz w:val="14"/>
                <w:szCs w:val="14"/>
              </w:rPr>
            </w:pPr>
            <w:r w:rsidRPr="00EF5295">
              <w:rPr>
                <w:bCs/>
                <w:i/>
                <w:sz w:val="14"/>
                <w:szCs w:val="14"/>
              </w:rPr>
              <w:t xml:space="preserve">Доля </w:t>
            </w:r>
          </w:p>
          <w:p w:rsidR="00102068" w:rsidRPr="00EF5295" w:rsidRDefault="00102068" w:rsidP="006505E8">
            <w:pPr>
              <w:pStyle w:val="SingleTxtG"/>
              <w:suppressAutoHyphens w:val="0"/>
              <w:spacing w:before="40" w:after="40" w:line="240" w:lineRule="auto"/>
              <w:ind w:left="0" w:right="0"/>
              <w:jc w:val="right"/>
              <w:rPr>
                <w:i/>
                <w:sz w:val="14"/>
                <w:szCs w:val="14"/>
              </w:rPr>
            </w:pPr>
            <w:r w:rsidRPr="00EF5295">
              <w:rPr>
                <w:bCs/>
                <w:i/>
                <w:sz w:val="14"/>
                <w:szCs w:val="14"/>
              </w:rPr>
              <w:t>(в</w:t>
            </w:r>
            <w:r w:rsidR="004C298C">
              <w:rPr>
                <w:bCs/>
                <w:i/>
                <w:sz w:val="14"/>
                <w:szCs w:val="14"/>
              </w:rPr>
              <w:t> процента</w:t>
            </w:r>
            <w:r w:rsidRPr="00EF5295">
              <w:rPr>
                <w:bCs/>
                <w:i/>
                <w:sz w:val="14"/>
                <w:szCs w:val="14"/>
              </w:rPr>
              <w:t>х)</w:t>
            </w:r>
          </w:p>
        </w:tc>
      </w:tr>
      <w:tr w:rsidR="00102068" w:rsidTr="006505E8">
        <w:tc>
          <w:tcPr>
            <w:tcW w:w="1470" w:type="dxa"/>
            <w:tcBorders>
              <w:top w:val="single" w:sz="12" w:space="0" w:color="auto"/>
            </w:tcBorders>
            <w:shd w:val="clear" w:color="auto" w:fill="auto"/>
          </w:tcPr>
          <w:p w:rsidR="00102068" w:rsidRPr="00EF5295" w:rsidRDefault="00102068" w:rsidP="006505E8">
            <w:pPr>
              <w:pStyle w:val="SingleTxtG"/>
              <w:suppressAutoHyphens w:val="0"/>
              <w:spacing w:after="0" w:line="100" w:lineRule="exact"/>
              <w:ind w:left="0" w:right="0"/>
              <w:jc w:val="left"/>
              <w:rPr>
                <w:bCs/>
                <w:i/>
                <w:sz w:val="14"/>
                <w:szCs w:val="14"/>
              </w:rPr>
            </w:pPr>
          </w:p>
        </w:tc>
        <w:tc>
          <w:tcPr>
            <w:tcW w:w="651"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c>
          <w:tcPr>
            <w:tcW w:w="1134"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c>
          <w:tcPr>
            <w:tcW w:w="708"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c>
          <w:tcPr>
            <w:tcW w:w="1276"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c>
          <w:tcPr>
            <w:tcW w:w="992"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c>
          <w:tcPr>
            <w:tcW w:w="1560" w:type="dxa"/>
            <w:tcBorders>
              <w:top w:val="single" w:sz="12" w:space="0" w:color="auto"/>
            </w:tcBorders>
            <w:shd w:val="clear" w:color="auto" w:fill="auto"/>
            <w:vAlign w:val="bottom"/>
          </w:tcPr>
          <w:p w:rsidR="00102068" w:rsidRPr="00EF5295" w:rsidRDefault="00102068" w:rsidP="006505E8">
            <w:pPr>
              <w:pStyle w:val="SingleTxtG"/>
              <w:suppressAutoHyphens w:val="0"/>
              <w:spacing w:after="0" w:line="100" w:lineRule="exact"/>
              <w:ind w:left="113" w:right="0"/>
              <w:jc w:val="right"/>
              <w:rPr>
                <w:bCs/>
                <w:i/>
                <w:sz w:val="14"/>
                <w:szCs w:val="14"/>
              </w:rPr>
            </w:pP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&lt;17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10</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4,0</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17</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6,1</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15</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5,7</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18–29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137</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54,6</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150</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54,0</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128</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48,5</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30–39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46</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18,3</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46</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16,5</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54</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20,5</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40–49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28</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11,2</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37</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13,3</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37</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14,0</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50–59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17</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6,8</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19</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6,8</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19</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7,2</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&gt;60 лет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3</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1,2</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7</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2,5</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6</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2,3</w:t>
            </w:r>
          </w:p>
        </w:tc>
      </w:tr>
      <w:tr w:rsidR="00102068" w:rsidTr="006505E8">
        <w:trPr>
          <w:trHeight w:val="255"/>
        </w:trPr>
        <w:tc>
          <w:tcPr>
            <w:tcW w:w="1470" w:type="dxa"/>
            <w:shd w:val="clear" w:color="auto" w:fill="auto"/>
          </w:tcPr>
          <w:p w:rsidR="00102068" w:rsidRPr="00EF5295" w:rsidRDefault="00102068" w:rsidP="006505E8">
            <w:pPr>
              <w:pStyle w:val="SingleTxtG"/>
              <w:suppressAutoHyphens w:val="0"/>
              <w:spacing w:before="40" w:after="40" w:line="240" w:lineRule="auto"/>
              <w:ind w:left="0" w:right="0"/>
              <w:jc w:val="left"/>
              <w:rPr>
                <w:sz w:val="17"/>
                <w:szCs w:val="17"/>
              </w:rPr>
            </w:pPr>
            <w:r w:rsidRPr="00EF5295">
              <w:rPr>
                <w:sz w:val="17"/>
                <w:szCs w:val="17"/>
              </w:rPr>
              <w:t xml:space="preserve">Информация </w:t>
            </w:r>
            <w:r>
              <w:rPr>
                <w:sz w:val="17"/>
                <w:szCs w:val="17"/>
              </w:rPr>
              <w:br/>
            </w:r>
            <w:r w:rsidRPr="00EF5295">
              <w:rPr>
                <w:sz w:val="17"/>
                <w:szCs w:val="17"/>
              </w:rPr>
              <w:t>отсутствует</w:t>
            </w:r>
          </w:p>
        </w:tc>
        <w:tc>
          <w:tcPr>
            <w:tcW w:w="651"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10</w:t>
            </w:r>
          </w:p>
        </w:tc>
        <w:tc>
          <w:tcPr>
            <w:tcW w:w="1134"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4,0</w:t>
            </w:r>
          </w:p>
        </w:tc>
        <w:tc>
          <w:tcPr>
            <w:tcW w:w="708"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2</w:t>
            </w:r>
          </w:p>
        </w:tc>
        <w:tc>
          <w:tcPr>
            <w:tcW w:w="1276" w:type="dxa"/>
            <w:shd w:val="clear" w:color="auto" w:fill="auto"/>
            <w:vAlign w:val="bottom"/>
          </w:tcPr>
          <w:p w:rsidR="00102068" w:rsidRPr="00EF5295" w:rsidRDefault="00102068" w:rsidP="006505E8">
            <w:pPr>
              <w:pStyle w:val="SingleTxtG"/>
              <w:suppressAutoHyphens w:val="0"/>
              <w:spacing w:before="40" w:after="40" w:line="240" w:lineRule="auto"/>
              <w:ind w:left="0" w:right="0"/>
              <w:jc w:val="right"/>
              <w:rPr>
                <w:sz w:val="17"/>
                <w:szCs w:val="17"/>
              </w:rPr>
            </w:pPr>
            <w:r w:rsidRPr="00EF5295">
              <w:rPr>
                <w:sz w:val="17"/>
                <w:szCs w:val="17"/>
              </w:rPr>
              <w:t>0,7</w:t>
            </w:r>
          </w:p>
        </w:tc>
        <w:tc>
          <w:tcPr>
            <w:tcW w:w="992"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5</w:t>
            </w:r>
          </w:p>
        </w:tc>
        <w:tc>
          <w:tcPr>
            <w:tcW w:w="1560" w:type="dxa"/>
            <w:shd w:val="clear" w:color="auto" w:fill="auto"/>
            <w:vAlign w:val="bottom"/>
          </w:tcPr>
          <w:p w:rsidR="00102068" w:rsidRPr="00EF5295" w:rsidRDefault="00102068" w:rsidP="006505E8">
            <w:pPr>
              <w:pStyle w:val="SingleTxtG"/>
              <w:suppressAutoHyphens w:val="0"/>
              <w:spacing w:before="40" w:after="40" w:line="240" w:lineRule="auto"/>
              <w:ind w:left="113" w:right="0"/>
              <w:jc w:val="right"/>
              <w:rPr>
                <w:sz w:val="17"/>
                <w:szCs w:val="17"/>
              </w:rPr>
            </w:pPr>
            <w:r w:rsidRPr="00EF5295">
              <w:rPr>
                <w:sz w:val="17"/>
                <w:szCs w:val="17"/>
              </w:rPr>
              <w:t>1,9</w:t>
            </w:r>
          </w:p>
        </w:tc>
      </w:tr>
      <w:tr w:rsidR="00102068" w:rsidTr="006505E8">
        <w:trPr>
          <w:trHeight w:val="255"/>
        </w:trPr>
        <w:tc>
          <w:tcPr>
            <w:tcW w:w="1470" w:type="dxa"/>
            <w:tcBorders>
              <w:bottom w:val="single" w:sz="12" w:space="0" w:color="000000"/>
            </w:tcBorders>
            <w:shd w:val="clear" w:color="auto" w:fill="auto"/>
          </w:tcPr>
          <w:p w:rsidR="00102068" w:rsidRPr="00204E5E" w:rsidRDefault="00102068" w:rsidP="006505E8">
            <w:pPr>
              <w:pStyle w:val="SingleTxtG"/>
              <w:suppressAutoHyphens w:val="0"/>
              <w:spacing w:before="40" w:after="40" w:line="240" w:lineRule="auto"/>
              <w:ind w:left="0" w:right="0"/>
              <w:jc w:val="left"/>
              <w:rPr>
                <w:b/>
                <w:sz w:val="17"/>
                <w:szCs w:val="17"/>
              </w:rPr>
            </w:pPr>
            <w:r w:rsidRPr="00204E5E">
              <w:rPr>
                <w:b/>
                <w:bCs/>
                <w:sz w:val="17"/>
                <w:szCs w:val="17"/>
              </w:rPr>
              <w:t>Всего</w:t>
            </w:r>
          </w:p>
        </w:tc>
        <w:tc>
          <w:tcPr>
            <w:tcW w:w="651"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251</w:t>
            </w:r>
          </w:p>
        </w:tc>
        <w:tc>
          <w:tcPr>
            <w:tcW w:w="1134"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100</w:t>
            </w:r>
          </w:p>
        </w:tc>
        <w:tc>
          <w:tcPr>
            <w:tcW w:w="708"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278</w:t>
            </w:r>
          </w:p>
        </w:tc>
        <w:tc>
          <w:tcPr>
            <w:tcW w:w="1276"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100</w:t>
            </w:r>
          </w:p>
        </w:tc>
        <w:tc>
          <w:tcPr>
            <w:tcW w:w="992"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264</w:t>
            </w:r>
          </w:p>
        </w:tc>
        <w:tc>
          <w:tcPr>
            <w:tcW w:w="1560" w:type="dxa"/>
            <w:tcBorders>
              <w:bottom w:val="single" w:sz="12" w:space="0" w:color="000000"/>
            </w:tcBorders>
            <w:shd w:val="clear" w:color="auto" w:fill="auto"/>
            <w:vAlign w:val="bottom"/>
          </w:tcPr>
          <w:p w:rsidR="00102068" w:rsidRPr="00204E5E" w:rsidRDefault="00102068" w:rsidP="006505E8">
            <w:pPr>
              <w:pStyle w:val="SingleTxtG"/>
              <w:suppressAutoHyphens w:val="0"/>
              <w:spacing w:before="40" w:after="40" w:line="240" w:lineRule="auto"/>
              <w:ind w:left="113" w:right="0"/>
              <w:jc w:val="right"/>
              <w:rPr>
                <w:b/>
                <w:sz w:val="17"/>
                <w:szCs w:val="17"/>
              </w:rPr>
            </w:pPr>
            <w:r w:rsidRPr="00204E5E">
              <w:rPr>
                <w:b/>
                <w:sz w:val="17"/>
                <w:szCs w:val="17"/>
              </w:rPr>
              <w:t>100</w:t>
            </w:r>
          </w:p>
        </w:tc>
      </w:tr>
    </w:tbl>
    <w:p w:rsidR="00102068" w:rsidRPr="00EF5295" w:rsidRDefault="00102068" w:rsidP="004C298C">
      <w:pPr>
        <w:pStyle w:val="FootnoteText"/>
        <w:tabs>
          <w:tab w:val="right" w:pos="1476"/>
          <w:tab w:val="left" w:pos="1548"/>
          <w:tab w:val="right" w:pos="1836"/>
          <w:tab w:val="left" w:pos="1908"/>
        </w:tabs>
        <w:ind w:left="1548" w:hanging="288"/>
      </w:pPr>
      <w:r w:rsidRPr="004C298C">
        <w:rPr>
          <w:i/>
        </w:rPr>
        <w:t>Источник:</w:t>
      </w:r>
      <w:r w:rsidRPr="00EF5295">
        <w:t xml:space="preserve"> </w:t>
      </w:r>
      <w:r w:rsidR="004C298C">
        <w:t>«</w:t>
      </w:r>
      <w:r w:rsidRPr="00EF5295">
        <w:t>Stígamót</w:t>
      </w:r>
      <w:r w:rsidR="004C298C">
        <w:t>»</w:t>
      </w:r>
      <w:r w:rsidRPr="00EF5295">
        <w:t>.</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102068">
      <w:pPr>
        <w:pStyle w:val="SingleTxtG"/>
      </w:pPr>
      <w:r>
        <w:tab/>
      </w:r>
      <w:r w:rsidR="00102068">
        <w:t>Существует множество причин, по которым отдельные лица обращаются в Центр помощи жертвам сексуального насилия: изнасилование, проституция, инцест и сексуальные домогательства. В сентябре 2011</w:t>
      </w:r>
      <w:r>
        <w:t> года</w:t>
      </w:r>
      <w:r w:rsidR="00102068">
        <w:t xml:space="preserve"> в его </w:t>
      </w:r>
      <w:r w:rsidR="00102068" w:rsidRPr="00EF5295">
        <w:t>рамках</w:t>
      </w:r>
      <w:r w:rsidR="00102068">
        <w:t xml:space="preserve"> был открыт центр приема </w:t>
      </w:r>
      <w:r>
        <w:t>«</w:t>
      </w:r>
      <w:r w:rsidR="00102068">
        <w:rPr>
          <w:i/>
        </w:rPr>
        <w:t>Kristínarhús</w:t>
      </w:r>
      <w:r>
        <w:t>»</w:t>
      </w:r>
      <w:r w:rsidR="00102068">
        <w:t>, предназначенный специально для</w:t>
      </w:r>
      <w:r w:rsidR="004E3C3F">
        <w:t> женщин</w:t>
      </w:r>
      <w:r w:rsidR="00102068">
        <w:t>, которые прежде занимались проституцией и/или были затронуты проблемой торговли людьми. Эти</w:t>
      </w:r>
      <w:r w:rsidR="004E3C3F">
        <w:t> женщин</w:t>
      </w:r>
      <w:r w:rsidR="00102068">
        <w:t>ы могли находиться в отдельных помещениях центра в течение короткого или длительного времени и пользоваться различными услугами. В 2012</w:t>
      </w:r>
      <w:r>
        <w:t> году</w:t>
      </w:r>
      <w:r w:rsidR="00102068">
        <w:t xml:space="preserve"> в центре проживали 20</w:t>
      </w:r>
      <w:r w:rsidR="004E3C3F">
        <w:t> женщин</w:t>
      </w:r>
      <w:r w:rsidR="00102068">
        <w:t xml:space="preserve"> и 9 детей, находившиеся в нем в общей сложности 1 148 дней. В конце 2013</w:t>
      </w:r>
      <w:r>
        <w:t> года</w:t>
      </w:r>
      <w:r w:rsidR="00102068">
        <w:t xml:space="preserve"> центр </w:t>
      </w:r>
      <w:r>
        <w:t>«</w:t>
      </w:r>
      <w:r w:rsidR="00102068">
        <w:rPr>
          <w:i/>
        </w:rPr>
        <w:t>Kristínarhús</w:t>
      </w:r>
      <w:r>
        <w:t>»</w:t>
      </w:r>
      <w:r w:rsidR="00102068">
        <w:t xml:space="preserve"> прекратил свою работу. Центр помощи жертвам сексуального насилия принял решение сосредоточить внимание на других проектах, в первую очередь касавшихся насилия в отношении</w:t>
      </w:r>
      <w:r w:rsidR="004E3C3F">
        <w:t> женщин</w:t>
      </w:r>
      <w:r w:rsidR="00102068">
        <w:t>-инвалидов и мужчин, подвергающихся насилию. Министерство социального обеспечения и Женский приют обсудили возможность предоставления жертвам торговли людьми временного убежища на период проведения дальнейшего расследования.</w:t>
      </w:r>
    </w:p>
    <w:p w:rsidR="00102068" w:rsidRPr="004C298C" w:rsidRDefault="00102068"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102068" w:rsidP="00102068">
      <w:pPr>
        <w:pStyle w:val="SingleTxtG"/>
        <w:keepNext/>
        <w:jc w:val="left"/>
        <w:rPr>
          <w:b/>
        </w:rPr>
      </w:pPr>
      <w:r w:rsidRPr="00EF5295">
        <w:rPr>
          <w:b/>
        </w:rPr>
        <w:t>Возраст и число лиц, обратившихся в Центр неотложной помощи после изнасилования, 1993–2012 годы</w:t>
      </w:r>
    </w:p>
    <w:p w:rsidR="00102068" w:rsidRPr="003D464B" w:rsidRDefault="00363E39" w:rsidP="00102068">
      <w:pPr>
        <w:pStyle w:val="SingleTxtG"/>
      </w:pPr>
      <w:r>
        <w:rPr>
          <w:noProof/>
          <w:lang w:val="en-GB" w:eastAsia="en-GB"/>
        </w:rPr>
        <w:drawing>
          <wp:inline distT="0" distB="0" distL="0" distR="0">
            <wp:extent cx="5414645" cy="1663700"/>
            <wp:effectExtent l="0" t="0" r="0"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14645" cy="1663700"/>
                    </a:xfrm>
                    <a:prstGeom prst="rect">
                      <a:avLst/>
                    </a:prstGeom>
                    <a:noFill/>
                  </pic:spPr>
                </pic:pic>
              </a:graphicData>
            </a:graphic>
          </wp:inline>
        </w:drawing>
      </w:r>
    </w:p>
    <w:p w:rsidR="00102068" w:rsidRPr="003D464B" w:rsidRDefault="00102068" w:rsidP="004C298C">
      <w:pPr>
        <w:pStyle w:val="FootnoteText"/>
        <w:tabs>
          <w:tab w:val="right" w:pos="1476"/>
          <w:tab w:val="left" w:pos="1548"/>
          <w:tab w:val="right" w:pos="1836"/>
          <w:tab w:val="left" w:pos="1908"/>
        </w:tabs>
        <w:ind w:left="1548" w:hanging="288"/>
      </w:pPr>
      <w:r w:rsidRPr="004C298C">
        <w:rPr>
          <w:i/>
        </w:rPr>
        <w:t>Источник:</w:t>
      </w:r>
      <w:r w:rsidRPr="003D464B">
        <w:t xml:space="preserve"> Центр неотложной помощи жертвам изнасилования, 2013 год.</w:t>
      </w:r>
    </w:p>
    <w:p w:rsidR="00102068" w:rsidRPr="004C298C" w:rsidRDefault="00102068"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w:t>
      </w:r>
      <w:r w:rsidR="00102068">
        <w:t>одразделение неотложной помощи для жертв сексуального насилия</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В отделении скорой помощи Национальной больницы (</w:t>
      </w:r>
      <w:r w:rsidR="00102068">
        <w:rPr>
          <w:i/>
        </w:rPr>
        <w:t>Landspítalinn</w:t>
      </w:r>
      <w:r w:rsidR="00102068">
        <w:t xml:space="preserve">) в Рейкьявике и больнице в Акюрейри действуют подразделения неотложной помощи для жертв сексуального насилия. В этих подразделениях предоставляются услуги среднего медицинского персонала, врачей и психологов и работает группа юристов, которые консультируют </w:t>
      </w:r>
      <w:r w:rsidR="00102068" w:rsidRPr="003D464B">
        <w:t>потерпевших</w:t>
      </w:r>
      <w:r w:rsidR="00102068">
        <w:t xml:space="preserve"> и помогают им общаться с полицией и судами. В 2010 году в эти подразделения обратились за помощью 117</w:t>
      </w:r>
      <w:r>
        <w:t> человек</w:t>
      </w:r>
      <w:r w:rsidR="00102068">
        <w:t>; в 2011</w:t>
      </w:r>
      <w:r>
        <w:t> году</w:t>
      </w:r>
      <w:r w:rsidR="00102068">
        <w:t xml:space="preserve"> число таких лиц достигло 118, а в 2012</w:t>
      </w:r>
      <w:r>
        <w:t xml:space="preserve"> году — </w:t>
      </w:r>
      <w:r w:rsidR="00102068">
        <w:t xml:space="preserve"> 139</w:t>
      </w:r>
      <w:r>
        <w:t> человек</w:t>
      </w:r>
      <w:r w:rsidR="00102068">
        <w:t>. Со времени открытия данной структуры в 1993</w:t>
      </w:r>
      <w:r>
        <w:t> году</w:t>
      </w:r>
      <w:r w:rsidR="00102068">
        <w:t xml:space="preserve"> и до конца 2012</w:t>
      </w:r>
      <w:r>
        <w:t> года</w:t>
      </w:r>
      <w:r w:rsidR="00102068">
        <w:t xml:space="preserve"> в нее обратились 2187</w:t>
      </w:r>
      <w:r>
        <w:t> человек</w:t>
      </w:r>
      <w:r w:rsidR="00102068">
        <w:t>, подвергшихся изнасилованию. Самую большую группу составляют</w:t>
      </w:r>
      <w:r w:rsidR="004E3C3F">
        <w:t> женщин</w:t>
      </w:r>
      <w:r w:rsidR="00102068">
        <w:t>ы в возрасте 18–25 лет; кроме того,</w:t>
      </w:r>
      <w:r w:rsidR="004E3C3F">
        <w:t> женщин</w:t>
      </w:r>
      <w:r w:rsidR="00102068">
        <w:t>ами являются свыше 95</w:t>
      </w:r>
      <w:r>
        <w:t> процентов</w:t>
      </w:r>
      <w:r w:rsidR="00102068">
        <w:t xml:space="preserve"> лиц, обратившихся за помощью. Более 70</w:t>
      </w:r>
      <w:r>
        <w:t> процентов</w:t>
      </w:r>
      <w:r w:rsidR="00102068">
        <w:t xml:space="preserve"> случаев, рассмотренных данными подразделениями, классифицируются как изнасилование; более чем в трети из них потерпевшие заявили, что данное преступление было совершено в то время, когда они были пьяны либо находились под воздействием наркотиков.</w:t>
      </w:r>
    </w:p>
    <w:p w:rsidR="00102068" w:rsidRDefault="004C298C" w:rsidP="00102068">
      <w:pPr>
        <w:pStyle w:val="SingleTxtG"/>
      </w:pPr>
      <w:r>
        <w:tab/>
      </w:r>
      <w:r w:rsidR="00102068">
        <w:t>Женщины составляют подавляющее большинство посетителей Центра неотложной помощи жертвам изнасилования, однако в последние два-три</w:t>
      </w:r>
      <w:r>
        <w:t> года</w:t>
      </w:r>
      <w:r w:rsidR="00102068">
        <w:t xml:space="preserve"> увеличилось </w:t>
      </w:r>
      <w:r w:rsidR="00102068" w:rsidRPr="003D464B">
        <w:t>число</w:t>
      </w:r>
      <w:r w:rsidR="00102068">
        <w:t xml:space="preserve"> обращающихся в него мужчин. В целом более 70</w:t>
      </w:r>
      <w:r>
        <w:t> процентов</w:t>
      </w:r>
      <w:r w:rsidR="00102068">
        <w:t xml:space="preserve"> случаев, рассмотренных Центром неотложной помощи жертвам изнасилования, квалифицируются как изнасилование; при этом более трети зарегистрированных случаев произошло в тот момент, когда жертва находилась в бессознательном состоянии, вызванном наркотической или алкогольной интоксикацией.</w:t>
      </w:r>
    </w:p>
    <w:p w:rsidR="004C298C" w:rsidRPr="004C298C" w:rsidRDefault="004C298C" w:rsidP="004C298C">
      <w:pPr>
        <w:pStyle w:val="SingleTxtG"/>
        <w:spacing w:after="0" w:line="120" w:lineRule="exact"/>
        <w:rPr>
          <w:sz w:val="10"/>
        </w:rPr>
      </w:pPr>
    </w:p>
    <w:p w:rsidR="00102068" w:rsidRDefault="00102068" w:rsidP="00102068">
      <w:pPr>
        <w:pStyle w:val="SingleTxtG"/>
        <w:keepNext/>
        <w:jc w:val="left"/>
        <w:rPr>
          <w:b/>
        </w:rPr>
      </w:pPr>
      <w:r w:rsidRPr="003D464B">
        <w:rPr>
          <w:b/>
        </w:rPr>
        <w:t>Соотношение мужчин и</w:t>
      </w:r>
      <w:r w:rsidR="004E3C3F">
        <w:rPr>
          <w:b/>
        </w:rPr>
        <w:t> женщин</w:t>
      </w:r>
      <w:r w:rsidRPr="003D464B">
        <w:rPr>
          <w:b/>
        </w:rPr>
        <w:t xml:space="preserve"> среди посетителей Центра неотложной помощи жертвам изнасилования</w:t>
      </w:r>
    </w:p>
    <w:p w:rsidR="00102068" w:rsidRPr="003D464B" w:rsidRDefault="00363E39" w:rsidP="00102068">
      <w:pPr>
        <w:pStyle w:val="SingleTxtG"/>
      </w:pPr>
      <w:r>
        <w:rPr>
          <w:noProof/>
          <w:lang w:val="en-GB" w:eastAsia="en-GB"/>
        </w:rPr>
        <w:drawing>
          <wp:inline distT="0" distB="0" distL="0" distR="0">
            <wp:extent cx="4960620" cy="1080135"/>
            <wp:effectExtent l="0" t="0" r="0" b="5715"/>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0620" cy="1080135"/>
                    </a:xfrm>
                    <a:prstGeom prst="rect">
                      <a:avLst/>
                    </a:prstGeom>
                    <a:noFill/>
                  </pic:spPr>
                </pic:pic>
              </a:graphicData>
            </a:graphic>
          </wp:inline>
        </w:drawing>
      </w:r>
    </w:p>
    <w:p w:rsidR="00102068" w:rsidRPr="003D464B" w:rsidRDefault="00102068" w:rsidP="004C298C">
      <w:pPr>
        <w:pStyle w:val="FootnoteText"/>
        <w:tabs>
          <w:tab w:val="right" w:pos="1476"/>
          <w:tab w:val="left" w:pos="1548"/>
          <w:tab w:val="right" w:pos="1836"/>
          <w:tab w:val="left" w:pos="1908"/>
        </w:tabs>
        <w:ind w:left="1548" w:hanging="288"/>
      </w:pPr>
      <w:r w:rsidRPr="004C298C">
        <w:rPr>
          <w:i/>
        </w:rPr>
        <w:t>Источник</w:t>
      </w:r>
      <w:r w:rsidRPr="003D464B">
        <w:rPr>
          <w:b/>
        </w:rPr>
        <w:t xml:space="preserve">: </w:t>
      </w:r>
      <w:r w:rsidRPr="003D464B">
        <w:t>Центр неотложной помощи жертвам изнасилования, 2013 год.</w:t>
      </w:r>
    </w:p>
    <w:p w:rsidR="00102068" w:rsidRPr="004C298C" w:rsidRDefault="00102068"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3D464B">
        <w:t>Преступления на сексуальной почве</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102068" w:rsidP="00102068">
      <w:pPr>
        <w:pStyle w:val="SingleTxtG"/>
        <w:rPr>
          <w:b/>
        </w:rPr>
      </w:pPr>
      <w:r w:rsidRPr="003D464B">
        <w:rPr>
          <w:b/>
        </w:rPr>
        <w:t>Информация полиции и генерального прокурора</w:t>
      </w:r>
    </w:p>
    <w:p w:rsidR="004C298C" w:rsidRPr="004C298C" w:rsidRDefault="004C298C" w:rsidP="004C298C">
      <w:pPr>
        <w:pStyle w:val="SingleTxtG"/>
        <w:spacing w:after="0" w:line="120" w:lineRule="exact"/>
        <w:rPr>
          <w:b/>
          <w:sz w:val="10"/>
        </w:rPr>
      </w:pPr>
    </w:p>
    <w:tbl>
      <w:tblPr>
        <w:tblW w:w="0" w:type="auto"/>
        <w:tblInd w:w="1304" w:type="dxa"/>
        <w:tblLayout w:type="fixed"/>
        <w:tblCellMar>
          <w:left w:w="57" w:type="dxa"/>
          <w:right w:w="57" w:type="dxa"/>
        </w:tblCellMar>
        <w:tblLook w:val="0000" w:firstRow="0" w:lastRow="0" w:firstColumn="0" w:lastColumn="0" w:noHBand="0" w:noVBand="0"/>
      </w:tblPr>
      <w:tblGrid>
        <w:gridCol w:w="850"/>
        <w:gridCol w:w="1872"/>
        <w:gridCol w:w="1701"/>
        <w:gridCol w:w="1560"/>
        <w:gridCol w:w="1559"/>
      </w:tblGrid>
      <w:tr w:rsidR="00102068" w:rsidTr="006505E8">
        <w:trPr>
          <w:trHeight w:val="300"/>
          <w:tblHeader/>
        </w:trPr>
        <w:tc>
          <w:tcPr>
            <w:tcW w:w="850" w:type="dxa"/>
            <w:tcBorders>
              <w:top w:val="single" w:sz="4" w:space="0" w:color="000000"/>
              <w:bottom w:val="single" w:sz="12" w:space="0" w:color="000000"/>
            </w:tcBorders>
            <w:shd w:val="clear" w:color="auto" w:fill="auto"/>
            <w:vAlign w:val="bottom"/>
          </w:tcPr>
          <w:p w:rsidR="00102068" w:rsidRPr="003D464B" w:rsidRDefault="00102068" w:rsidP="006505E8">
            <w:pPr>
              <w:pStyle w:val="SingleTxtG"/>
              <w:suppressAutoHyphens w:val="0"/>
              <w:snapToGrid w:val="0"/>
              <w:spacing w:before="80" w:after="80" w:line="240" w:lineRule="auto"/>
              <w:ind w:left="0" w:right="0"/>
              <w:jc w:val="left"/>
              <w:rPr>
                <w:bCs/>
                <w:i/>
                <w:sz w:val="14"/>
                <w:szCs w:val="14"/>
              </w:rPr>
            </w:pPr>
          </w:p>
        </w:tc>
        <w:tc>
          <w:tcPr>
            <w:tcW w:w="1872" w:type="dxa"/>
            <w:tcBorders>
              <w:top w:val="single" w:sz="4" w:space="0" w:color="000000"/>
              <w:bottom w:val="single" w:sz="12" w:space="0" w:color="000000"/>
            </w:tcBorders>
            <w:shd w:val="clear" w:color="auto" w:fill="auto"/>
            <w:vAlign w:val="bottom"/>
          </w:tcPr>
          <w:p w:rsidR="00102068" w:rsidRPr="003D464B" w:rsidRDefault="00102068" w:rsidP="006505E8">
            <w:pPr>
              <w:pStyle w:val="SingleTxtG"/>
              <w:suppressAutoHyphens w:val="0"/>
              <w:spacing w:before="80" w:after="80" w:line="240" w:lineRule="auto"/>
              <w:ind w:left="0" w:right="0"/>
              <w:jc w:val="right"/>
              <w:rPr>
                <w:bCs/>
                <w:i/>
                <w:sz w:val="14"/>
                <w:szCs w:val="14"/>
              </w:rPr>
            </w:pPr>
            <w:r w:rsidRPr="003D464B">
              <w:rPr>
                <w:bCs/>
                <w:i/>
                <w:sz w:val="14"/>
                <w:szCs w:val="14"/>
              </w:rPr>
              <w:t xml:space="preserve">Зарегистрированные </w:t>
            </w:r>
            <w:r>
              <w:rPr>
                <w:bCs/>
                <w:i/>
                <w:sz w:val="14"/>
                <w:szCs w:val="14"/>
              </w:rPr>
              <w:br/>
            </w:r>
            <w:r w:rsidRPr="003D464B">
              <w:rPr>
                <w:bCs/>
                <w:i/>
                <w:sz w:val="14"/>
                <w:szCs w:val="14"/>
              </w:rPr>
              <w:t>случаи</w:t>
            </w:r>
          </w:p>
        </w:tc>
        <w:tc>
          <w:tcPr>
            <w:tcW w:w="1701" w:type="dxa"/>
            <w:tcBorders>
              <w:top w:val="single" w:sz="4" w:space="0" w:color="000000"/>
              <w:bottom w:val="single" w:sz="12" w:space="0" w:color="000000"/>
            </w:tcBorders>
            <w:shd w:val="clear" w:color="auto" w:fill="auto"/>
            <w:vAlign w:val="bottom"/>
          </w:tcPr>
          <w:p w:rsidR="00102068" w:rsidRPr="003D464B" w:rsidRDefault="00102068" w:rsidP="006505E8">
            <w:pPr>
              <w:pStyle w:val="SingleTxtG"/>
              <w:suppressAutoHyphens w:val="0"/>
              <w:spacing w:before="80" w:after="80" w:line="240" w:lineRule="auto"/>
              <w:ind w:left="0" w:right="0"/>
              <w:jc w:val="right"/>
              <w:rPr>
                <w:bCs/>
                <w:i/>
                <w:sz w:val="14"/>
                <w:szCs w:val="14"/>
              </w:rPr>
            </w:pPr>
            <w:r w:rsidRPr="003D464B">
              <w:rPr>
                <w:bCs/>
                <w:i/>
                <w:sz w:val="14"/>
                <w:szCs w:val="14"/>
              </w:rPr>
              <w:t xml:space="preserve">Предъявленные </w:t>
            </w:r>
            <w:r>
              <w:rPr>
                <w:bCs/>
                <w:i/>
                <w:sz w:val="14"/>
                <w:szCs w:val="14"/>
              </w:rPr>
              <w:br/>
            </w:r>
            <w:r w:rsidRPr="003D464B">
              <w:rPr>
                <w:bCs/>
                <w:i/>
                <w:sz w:val="14"/>
                <w:szCs w:val="14"/>
              </w:rPr>
              <w:t>обвинения</w:t>
            </w:r>
          </w:p>
        </w:tc>
        <w:tc>
          <w:tcPr>
            <w:tcW w:w="1560" w:type="dxa"/>
            <w:tcBorders>
              <w:top w:val="single" w:sz="4" w:space="0" w:color="000000"/>
              <w:bottom w:val="single" w:sz="12" w:space="0" w:color="000000"/>
            </w:tcBorders>
            <w:shd w:val="clear" w:color="auto" w:fill="auto"/>
            <w:vAlign w:val="bottom"/>
          </w:tcPr>
          <w:p w:rsidR="00102068" w:rsidRPr="003D464B" w:rsidRDefault="00102068" w:rsidP="006505E8">
            <w:pPr>
              <w:pStyle w:val="SingleTxtG"/>
              <w:suppressAutoHyphens w:val="0"/>
              <w:spacing w:before="80" w:after="80" w:line="240" w:lineRule="auto"/>
              <w:ind w:left="0" w:right="0"/>
              <w:jc w:val="right"/>
              <w:rPr>
                <w:bCs/>
                <w:i/>
                <w:sz w:val="14"/>
                <w:szCs w:val="14"/>
              </w:rPr>
            </w:pPr>
            <w:r w:rsidRPr="003D464B">
              <w:rPr>
                <w:bCs/>
                <w:i/>
                <w:sz w:val="14"/>
                <w:szCs w:val="14"/>
              </w:rPr>
              <w:t>Обвинительные</w:t>
            </w:r>
            <w:r>
              <w:rPr>
                <w:bCs/>
                <w:i/>
                <w:sz w:val="14"/>
                <w:szCs w:val="14"/>
              </w:rPr>
              <w:br/>
            </w:r>
            <w:r w:rsidRPr="003D464B">
              <w:rPr>
                <w:bCs/>
                <w:i/>
                <w:sz w:val="14"/>
                <w:szCs w:val="14"/>
              </w:rPr>
              <w:t xml:space="preserve"> приговоры</w:t>
            </w:r>
          </w:p>
        </w:tc>
        <w:tc>
          <w:tcPr>
            <w:tcW w:w="1559" w:type="dxa"/>
            <w:tcBorders>
              <w:top w:val="single" w:sz="4" w:space="0" w:color="000000"/>
              <w:bottom w:val="single" w:sz="12" w:space="0" w:color="000000"/>
            </w:tcBorders>
            <w:shd w:val="clear" w:color="auto" w:fill="auto"/>
            <w:vAlign w:val="bottom"/>
          </w:tcPr>
          <w:p w:rsidR="00102068" w:rsidRPr="003D464B" w:rsidRDefault="00102068" w:rsidP="006505E8">
            <w:pPr>
              <w:pStyle w:val="SingleTxtG"/>
              <w:suppressAutoHyphens w:val="0"/>
              <w:spacing w:before="80" w:after="80" w:line="240" w:lineRule="auto"/>
              <w:ind w:left="0" w:right="0"/>
              <w:jc w:val="right"/>
              <w:rPr>
                <w:sz w:val="14"/>
                <w:szCs w:val="14"/>
              </w:rPr>
            </w:pPr>
            <w:r w:rsidRPr="003D464B">
              <w:rPr>
                <w:bCs/>
                <w:i/>
                <w:sz w:val="14"/>
                <w:szCs w:val="14"/>
              </w:rPr>
              <w:t>Оправдательные</w:t>
            </w:r>
            <w:r>
              <w:rPr>
                <w:bCs/>
                <w:i/>
                <w:sz w:val="14"/>
                <w:szCs w:val="14"/>
              </w:rPr>
              <w:br/>
            </w:r>
            <w:r w:rsidRPr="003D464B">
              <w:rPr>
                <w:bCs/>
                <w:i/>
                <w:sz w:val="14"/>
                <w:szCs w:val="14"/>
              </w:rPr>
              <w:t xml:space="preserve"> приговоры</w:t>
            </w:r>
          </w:p>
        </w:tc>
      </w:tr>
      <w:tr w:rsidR="00102068" w:rsidTr="006505E8">
        <w:trPr>
          <w:trHeight w:val="300"/>
        </w:trPr>
        <w:tc>
          <w:tcPr>
            <w:tcW w:w="850" w:type="dxa"/>
            <w:tcBorders>
              <w:top w:val="single" w:sz="12" w:space="0" w:color="000000"/>
            </w:tcBorders>
            <w:shd w:val="clear" w:color="auto" w:fill="auto"/>
          </w:tcPr>
          <w:p w:rsidR="00102068" w:rsidRPr="003D464B" w:rsidRDefault="00102068" w:rsidP="006505E8">
            <w:pPr>
              <w:pStyle w:val="SingleTxtG"/>
              <w:suppressAutoHyphens w:val="0"/>
              <w:spacing w:before="40" w:after="40" w:line="240" w:lineRule="auto"/>
              <w:ind w:left="0" w:right="0"/>
              <w:jc w:val="left"/>
              <w:rPr>
                <w:sz w:val="17"/>
                <w:szCs w:val="17"/>
              </w:rPr>
            </w:pPr>
            <w:r w:rsidRPr="003D464B">
              <w:rPr>
                <w:bCs/>
                <w:sz w:val="17"/>
                <w:szCs w:val="17"/>
              </w:rPr>
              <w:t>2007</w:t>
            </w:r>
          </w:p>
        </w:tc>
        <w:tc>
          <w:tcPr>
            <w:tcW w:w="1872" w:type="dxa"/>
            <w:tcBorders>
              <w:top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71</w:t>
            </w:r>
          </w:p>
        </w:tc>
        <w:tc>
          <w:tcPr>
            <w:tcW w:w="1701" w:type="dxa"/>
            <w:tcBorders>
              <w:top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19</w:t>
            </w:r>
          </w:p>
        </w:tc>
        <w:tc>
          <w:tcPr>
            <w:tcW w:w="1560" w:type="dxa"/>
            <w:tcBorders>
              <w:top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16</w:t>
            </w:r>
          </w:p>
        </w:tc>
        <w:tc>
          <w:tcPr>
            <w:tcW w:w="1559" w:type="dxa"/>
            <w:tcBorders>
              <w:top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3</w:t>
            </w:r>
          </w:p>
        </w:tc>
      </w:tr>
      <w:tr w:rsidR="00102068" w:rsidTr="006505E8">
        <w:trPr>
          <w:trHeight w:val="300"/>
        </w:trPr>
        <w:tc>
          <w:tcPr>
            <w:tcW w:w="850" w:type="dxa"/>
            <w:shd w:val="clear" w:color="auto" w:fill="auto"/>
          </w:tcPr>
          <w:p w:rsidR="00102068" w:rsidRPr="003D464B" w:rsidRDefault="00102068" w:rsidP="006505E8">
            <w:pPr>
              <w:pStyle w:val="SingleTxtG"/>
              <w:suppressAutoHyphens w:val="0"/>
              <w:spacing w:before="40" w:after="40" w:line="240" w:lineRule="auto"/>
              <w:ind w:left="0" w:right="0"/>
              <w:jc w:val="left"/>
              <w:rPr>
                <w:sz w:val="17"/>
                <w:szCs w:val="17"/>
              </w:rPr>
            </w:pPr>
            <w:r w:rsidRPr="003D464B">
              <w:rPr>
                <w:bCs/>
                <w:sz w:val="17"/>
                <w:szCs w:val="17"/>
              </w:rPr>
              <w:t>2008</w:t>
            </w:r>
          </w:p>
        </w:tc>
        <w:tc>
          <w:tcPr>
            <w:tcW w:w="1872"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46</w:t>
            </w:r>
          </w:p>
        </w:tc>
        <w:tc>
          <w:tcPr>
            <w:tcW w:w="1701"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14</w:t>
            </w:r>
          </w:p>
        </w:tc>
        <w:tc>
          <w:tcPr>
            <w:tcW w:w="1560"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4</w:t>
            </w:r>
          </w:p>
        </w:tc>
        <w:tc>
          <w:tcPr>
            <w:tcW w:w="1559"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10</w:t>
            </w:r>
          </w:p>
        </w:tc>
      </w:tr>
      <w:tr w:rsidR="00102068" w:rsidTr="006505E8">
        <w:trPr>
          <w:trHeight w:val="300"/>
        </w:trPr>
        <w:tc>
          <w:tcPr>
            <w:tcW w:w="850" w:type="dxa"/>
            <w:shd w:val="clear" w:color="auto" w:fill="auto"/>
          </w:tcPr>
          <w:p w:rsidR="00102068" w:rsidRPr="003D464B" w:rsidRDefault="00102068" w:rsidP="006505E8">
            <w:pPr>
              <w:pStyle w:val="SingleTxtG"/>
              <w:suppressAutoHyphens w:val="0"/>
              <w:spacing w:before="40" w:after="40" w:line="240" w:lineRule="auto"/>
              <w:ind w:left="0" w:right="0"/>
              <w:jc w:val="left"/>
              <w:rPr>
                <w:sz w:val="17"/>
                <w:szCs w:val="17"/>
              </w:rPr>
            </w:pPr>
            <w:r w:rsidRPr="003D464B">
              <w:rPr>
                <w:bCs/>
                <w:sz w:val="17"/>
                <w:szCs w:val="17"/>
              </w:rPr>
              <w:t>2009</w:t>
            </w:r>
          </w:p>
        </w:tc>
        <w:tc>
          <w:tcPr>
            <w:tcW w:w="1872"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42</w:t>
            </w:r>
          </w:p>
        </w:tc>
        <w:tc>
          <w:tcPr>
            <w:tcW w:w="1701"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14</w:t>
            </w:r>
          </w:p>
        </w:tc>
        <w:tc>
          <w:tcPr>
            <w:tcW w:w="1560"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6</w:t>
            </w:r>
          </w:p>
        </w:tc>
        <w:tc>
          <w:tcPr>
            <w:tcW w:w="1559"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7</w:t>
            </w:r>
          </w:p>
        </w:tc>
      </w:tr>
      <w:tr w:rsidR="00102068" w:rsidTr="006505E8">
        <w:trPr>
          <w:trHeight w:val="300"/>
        </w:trPr>
        <w:tc>
          <w:tcPr>
            <w:tcW w:w="850" w:type="dxa"/>
            <w:shd w:val="clear" w:color="auto" w:fill="auto"/>
          </w:tcPr>
          <w:p w:rsidR="00102068" w:rsidRPr="003D464B" w:rsidRDefault="00102068" w:rsidP="006505E8">
            <w:pPr>
              <w:pStyle w:val="SingleTxtG"/>
              <w:suppressAutoHyphens w:val="0"/>
              <w:spacing w:before="40" w:after="40" w:line="240" w:lineRule="auto"/>
              <w:ind w:left="0" w:right="0"/>
              <w:jc w:val="left"/>
              <w:rPr>
                <w:sz w:val="17"/>
                <w:szCs w:val="17"/>
              </w:rPr>
            </w:pPr>
            <w:r w:rsidRPr="003D464B">
              <w:rPr>
                <w:bCs/>
                <w:sz w:val="17"/>
                <w:szCs w:val="17"/>
              </w:rPr>
              <w:t>2010</w:t>
            </w:r>
          </w:p>
        </w:tc>
        <w:tc>
          <w:tcPr>
            <w:tcW w:w="1872"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49</w:t>
            </w:r>
          </w:p>
        </w:tc>
        <w:tc>
          <w:tcPr>
            <w:tcW w:w="1701"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23</w:t>
            </w:r>
          </w:p>
        </w:tc>
        <w:tc>
          <w:tcPr>
            <w:tcW w:w="1560"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12</w:t>
            </w:r>
          </w:p>
        </w:tc>
        <w:tc>
          <w:tcPr>
            <w:tcW w:w="1559"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10</w:t>
            </w:r>
          </w:p>
        </w:tc>
      </w:tr>
      <w:tr w:rsidR="00102068" w:rsidTr="006505E8">
        <w:trPr>
          <w:trHeight w:val="300"/>
        </w:trPr>
        <w:tc>
          <w:tcPr>
            <w:tcW w:w="850" w:type="dxa"/>
            <w:shd w:val="clear" w:color="auto" w:fill="auto"/>
          </w:tcPr>
          <w:p w:rsidR="00102068" w:rsidRPr="003D464B" w:rsidRDefault="00102068" w:rsidP="006505E8">
            <w:pPr>
              <w:pStyle w:val="SingleTxtG"/>
              <w:suppressAutoHyphens w:val="0"/>
              <w:spacing w:before="40" w:after="40" w:line="240" w:lineRule="auto"/>
              <w:ind w:left="0" w:right="0"/>
              <w:jc w:val="left"/>
              <w:rPr>
                <w:sz w:val="17"/>
                <w:szCs w:val="17"/>
              </w:rPr>
            </w:pPr>
            <w:r w:rsidRPr="003D464B">
              <w:rPr>
                <w:bCs/>
                <w:sz w:val="17"/>
                <w:szCs w:val="17"/>
              </w:rPr>
              <w:t>2011</w:t>
            </w:r>
          </w:p>
        </w:tc>
        <w:tc>
          <w:tcPr>
            <w:tcW w:w="1872"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64</w:t>
            </w:r>
          </w:p>
        </w:tc>
        <w:tc>
          <w:tcPr>
            <w:tcW w:w="1701"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27</w:t>
            </w:r>
          </w:p>
        </w:tc>
        <w:tc>
          <w:tcPr>
            <w:tcW w:w="1560"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10</w:t>
            </w:r>
          </w:p>
        </w:tc>
        <w:tc>
          <w:tcPr>
            <w:tcW w:w="1559" w:type="dxa"/>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sz w:val="17"/>
                <w:szCs w:val="17"/>
              </w:rPr>
              <w:t>13</w:t>
            </w:r>
          </w:p>
        </w:tc>
      </w:tr>
      <w:tr w:rsidR="00102068" w:rsidTr="006505E8">
        <w:trPr>
          <w:trHeight w:val="300"/>
        </w:trPr>
        <w:tc>
          <w:tcPr>
            <w:tcW w:w="850" w:type="dxa"/>
            <w:tcBorders>
              <w:bottom w:val="single" w:sz="12" w:space="0" w:color="000000"/>
            </w:tcBorders>
            <w:shd w:val="clear" w:color="auto" w:fill="auto"/>
          </w:tcPr>
          <w:p w:rsidR="00102068" w:rsidRPr="003D464B" w:rsidRDefault="00102068" w:rsidP="006505E8">
            <w:pPr>
              <w:pStyle w:val="SingleTxtG"/>
              <w:suppressAutoHyphens w:val="0"/>
              <w:spacing w:before="40" w:after="40" w:line="240" w:lineRule="auto"/>
              <w:ind w:left="0" w:right="0"/>
              <w:jc w:val="left"/>
              <w:rPr>
                <w:b/>
                <w:bCs/>
                <w:sz w:val="17"/>
                <w:szCs w:val="17"/>
              </w:rPr>
            </w:pPr>
            <w:r w:rsidRPr="003D464B">
              <w:rPr>
                <w:b/>
                <w:bCs/>
                <w:sz w:val="17"/>
                <w:szCs w:val="17"/>
              </w:rPr>
              <w:t>Всего</w:t>
            </w:r>
          </w:p>
        </w:tc>
        <w:tc>
          <w:tcPr>
            <w:tcW w:w="1872" w:type="dxa"/>
            <w:tcBorders>
              <w:bottom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b/>
                <w:bCs/>
                <w:sz w:val="17"/>
                <w:szCs w:val="17"/>
              </w:rPr>
            </w:pPr>
            <w:r w:rsidRPr="003D464B">
              <w:rPr>
                <w:b/>
                <w:bCs/>
                <w:sz w:val="17"/>
                <w:szCs w:val="17"/>
              </w:rPr>
              <w:t>272</w:t>
            </w:r>
          </w:p>
        </w:tc>
        <w:tc>
          <w:tcPr>
            <w:tcW w:w="1701" w:type="dxa"/>
            <w:tcBorders>
              <w:bottom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b/>
                <w:bCs/>
                <w:sz w:val="17"/>
                <w:szCs w:val="17"/>
              </w:rPr>
            </w:pPr>
            <w:r w:rsidRPr="003D464B">
              <w:rPr>
                <w:b/>
                <w:bCs/>
                <w:sz w:val="17"/>
                <w:szCs w:val="17"/>
              </w:rPr>
              <w:t>97</w:t>
            </w:r>
          </w:p>
        </w:tc>
        <w:tc>
          <w:tcPr>
            <w:tcW w:w="1560" w:type="dxa"/>
            <w:tcBorders>
              <w:bottom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b/>
                <w:bCs/>
                <w:sz w:val="17"/>
                <w:szCs w:val="17"/>
              </w:rPr>
            </w:pPr>
            <w:r w:rsidRPr="003D464B">
              <w:rPr>
                <w:b/>
                <w:bCs/>
                <w:sz w:val="17"/>
                <w:szCs w:val="17"/>
              </w:rPr>
              <w:t>48</w:t>
            </w:r>
          </w:p>
        </w:tc>
        <w:tc>
          <w:tcPr>
            <w:tcW w:w="1559" w:type="dxa"/>
            <w:tcBorders>
              <w:bottom w:val="single" w:sz="12" w:space="0" w:color="000000"/>
            </w:tcBorders>
            <w:shd w:val="clear" w:color="auto" w:fill="auto"/>
            <w:vAlign w:val="bottom"/>
          </w:tcPr>
          <w:p w:rsidR="00102068" w:rsidRPr="003D464B" w:rsidRDefault="00102068" w:rsidP="006505E8">
            <w:pPr>
              <w:pStyle w:val="SingleTxtG"/>
              <w:suppressAutoHyphens w:val="0"/>
              <w:spacing w:before="40" w:after="40" w:line="240" w:lineRule="auto"/>
              <w:ind w:left="113" w:right="0"/>
              <w:jc w:val="right"/>
              <w:rPr>
                <w:sz w:val="17"/>
                <w:szCs w:val="17"/>
              </w:rPr>
            </w:pPr>
            <w:r w:rsidRPr="003D464B">
              <w:rPr>
                <w:b/>
                <w:bCs/>
                <w:sz w:val="17"/>
                <w:szCs w:val="17"/>
              </w:rPr>
              <w:t>43</w:t>
            </w:r>
          </w:p>
        </w:tc>
      </w:tr>
    </w:tbl>
    <w:p w:rsidR="00102068" w:rsidRPr="004C298C" w:rsidRDefault="00102068"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Pr="003D464B" w:rsidRDefault="004C298C" w:rsidP="004C2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3D464B">
        <w:t>Количество предполагаемых нарушений статей 194–199 Общего уголовного кодекса.</w:t>
      </w:r>
    </w:p>
    <w:p w:rsidR="004C298C" w:rsidRPr="004C298C" w:rsidRDefault="004C298C" w:rsidP="004C298C">
      <w:pPr>
        <w:pStyle w:val="SingleTxtG"/>
        <w:spacing w:after="0" w:line="120" w:lineRule="exact"/>
        <w:rPr>
          <w:sz w:val="10"/>
        </w:rPr>
      </w:pPr>
    </w:p>
    <w:p w:rsidR="00102068" w:rsidRDefault="004C298C" w:rsidP="00102068">
      <w:pPr>
        <w:pStyle w:val="SingleTxtG"/>
      </w:pPr>
      <w:r>
        <w:tab/>
      </w:r>
      <w:r w:rsidR="00102068">
        <w:t>В 2007–2011</w:t>
      </w:r>
      <w:r>
        <w:t> года</w:t>
      </w:r>
      <w:r w:rsidR="00102068">
        <w:t>х генеральным прокурором были получены 272 дела о нарушениях статей 194–199 Общего уголовного кодекса</w:t>
      </w:r>
      <w:r>
        <w:t> № </w:t>
      </w:r>
      <w:r w:rsidR="00102068">
        <w:t>19/1940 с последующими поправками. По 97 из них были выдвинуты обвинения. Из 97 дел, по которым были вынесены обвинительные акты и назначено судебное разбирательство, по 48 делам был вынесен обвинительный приговор, а по 43</w:t>
      </w:r>
      <w:r w:rsidR="004E3C3F">
        <w:t xml:space="preserve"> —  </w:t>
      </w:r>
      <w:r w:rsidR="00102068">
        <w:t>оправдательный приговор. Дела, по которым обвинения были поддержаны, отдельно не регистрируются. В реестре также содержатся статистически данные по делам, которые остаются незавершенными, например, ввиду того, что правонарушителя не удалось найти.</w:t>
      </w:r>
    </w:p>
    <w:p w:rsidR="00102068" w:rsidRDefault="004C298C" w:rsidP="00102068">
      <w:pPr>
        <w:pStyle w:val="SingleTxtG"/>
      </w:pPr>
      <w:r>
        <w:tab/>
      </w:r>
      <w:r w:rsidR="00102068">
        <w:t xml:space="preserve">Министерство внутренних дел приступило к сотрудничеству с Центром передового опыта (EDDA) в вопросах анализа рассмотрения дел об изнасиловании в судебной системе Исландии. Моделью для анализа служат аналогичные проекты, осуществляемые в Дании и Швеции. </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b/>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Насилие в отношении детей</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Согласно Закону о дееспособности</w:t>
      </w:r>
      <w:r>
        <w:t> № </w:t>
      </w:r>
      <w:r w:rsidR="00102068">
        <w:t>71/1997</w:t>
      </w:r>
      <w:r>
        <w:t> человек</w:t>
      </w:r>
      <w:r w:rsidR="00102068">
        <w:t xml:space="preserve"> становится дееспособным </w:t>
      </w:r>
      <w:r w:rsidR="00102068" w:rsidRPr="003D464B">
        <w:t>по</w:t>
      </w:r>
      <w:r w:rsidR="00102068">
        <w:t xml:space="preserve"> достижении 18-летнего возраста. Закон о защите детей</w:t>
      </w:r>
      <w:r>
        <w:t> № </w:t>
      </w:r>
      <w:r w:rsidR="00102068">
        <w:t xml:space="preserve">80/2002 и Закон о детях № 76/2003 также определяют понятие </w:t>
      </w:r>
      <w:r>
        <w:t>«</w:t>
      </w:r>
      <w:r w:rsidR="00102068">
        <w:t>ребенок</w:t>
      </w:r>
      <w:r>
        <w:t>»</w:t>
      </w:r>
      <w:r w:rsidR="00102068">
        <w:t xml:space="preserve"> как лицо в возрасте до 18 лет. Кроме того, Исландия ратифицировала Конвенцию Организации Объединенных Наций о правах</w:t>
      </w:r>
      <w:r w:rsidR="004E3C3F">
        <w:t> ребенка</w:t>
      </w:r>
      <w:r w:rsidR="00102068">
        <w:t xml:space="preserve"> в соответствии с Законом</w:t>
      </w:r>
      <w:r>
        <w:t> № </w:t>
      </w:r>
      <w:r w:rsidR="00102068">
        <w:t>19/2013, в котором под детьми понимаются лица, не достигшие 18 лет.</w:t>
      </w:r>
    </w:p>
    <w:p w:rsidR="00102068" w:rsidRDefault="004C298C" w:rsidP="00102068">
      <w:pPr>
        <w:pStyle w:val="SingleTxtG"/>
        <w:rPr>
          <w:color w:val="000000"/>
        </w:rPr>
      </w:pPr>
      <w:r>
        <w:tab/>
      </w:r>
      <w:r w:rsidR="00102068">
        <w:t xml:space="preserve">Предпосылкой к ратификации Лансаротской конвенции стало принятие в июне 2012 года поправок к Общему уголовному кодексу, касавшихся детской проституции, детской порнографии и торговли детьми, согласно которым отсчет срока давности начинается только по достижении ребенком 18 лет, вне зависимости от его возраста на момент </w:t>
      </w:r>
      <w:r w:rsidR="00102068" w:rsidRPr="003D464B">
        <w:t>нарушения</w:t>
      </w:r>
      <w:r w:rsidR="00102068">
        <w:t xml:space="preserve"> закона. Эти поправки также направлены на ужесточение наказаний за сексуальное насилие в отношении детей и предусматривают более суровые наказания за совершение насильственных действий в отношении детей младше 15 лет.</w:t>
      </w:r>
    </w:p>
    <w:p w:rsidR="00102068" w:rsidRDefault="004C298C" w:rsidP="00102068">
      <w:pPr>
        <w:pStyle w:val="SingleTxtG"/>
      </w:pPr>
      <w:r>
        <w:tab/>
      </w:r>
      <w:r w:rsidR="00102068">
        <w:t xml:space="preserve">Первая часть плана действий по решению проблемы насилия в семье и </w:t>
      </w:r>
      <w:r w:rsidR="00102068" w:rsidRPr="003D464B">
        <w:t>насильственных</w:t>
      </w:r>
      <w:r w:rsidR="00102068">
        <w:t xml:space="preserve"> действий сексуального характера, который был утвержден правительством в сентябре 2006</w:t>
      </w:r>
      <w:r>
        <w:t> года</w:t>
      </w:r>
      <w:r w:rsidR="00102068">
        <w:t xml:space="preserve">, включала меры, которые правительство намеревалось принять для предотвращения насилия в отношении детей и оказания помощи пострадавшим от насилия и жестокого обращения. Основное исходное положение состоит в том, что, если ребенок подвергается жестокому обращению, ответственность за это всегда лежит на взрослом, и что виновник должен отвечать за последствия, поскольку подобное поведение недопустимо. Проекты, предусмотренные планом действий, основаны на этом положении и поэтому касаются главным образом взрослых. План действий также включает меры, направленные на обеспечение индивидуального лечения детей, которые подверглись насилию в семье или сексуальным надругательствам. Они предусматривают уделение особого внимания поддержке и развитию деятельности </w:t>
      </w:r>
      <w:r>
        <w:t>«</w:t>
      </w:r>
      <w:r w:rsidR="00102068">
        <w:t>Дома для детей</w:t>
      </w:r>
      <w:r>
        <w:t>»</w:t>
      </w:r>
      <w:r w:rsidR="00102068">
        <w:t xml:space="preserve"> (</w:t>
      </w:r>
      <w:r>
        <w:t>«</w:t>
      </w:r>
      <w:r w:rsidR="00102068">
        <w:rPr>
          <w:i/>
        </w:rPr>
        <w:t>Barnahús</w:t>
      </w:r>
      <w:r>
        <w:t>»</w:t>
      </w:r>
      <w:r w:rsidR="00102068">
        <w:t>), информированию общественности о предоставляемых им услугах и поиску способов более полного удовлетворения потребностей детей, пострадавших от любых форм насилия или жестокого обращения. Не менее важное значение придается предоставлению лицам, применявшим насилие в отношении детей, возможности пройти курс лечения, чтобы разрушить повторяющийся сценарий совершения насильственных действий, и лечению детей с нарушениями сексуального поведения.</w:t>
      </w:r>
    </w:p>
    <w:p w:rsidR="00102068" w:rsidRDefault="004C298C" w:rsidP="00102068">
      <w:pPr>
        <w:pStyle w:val="SingleTxtG"/>
      </w:pPr>
      <w:r>
        <w:tab/>
      </w:r>
      <w:r w:rsidR="00102068">
        <w:t>В апреле 2012</w:t>
      </w:r>
      <w:r>
        <w:t> года</w:t>
      </w:r>
      <w:r w:rsidR="00102068">
        <w:t xml:space="preserve"> Министерство внутренних дел, Министерство </w:t>
      </w:r>
      <w:r w:rsidR="00102068" w:rsidRPr="003D464B">
        <w:t>образования</w:t>
      </w:r>
      <w:r w:rsidR="00102068">
        <w:t xml:space="preserve">, науки и культуры и Министерство социального обеспечения подписали трехгодичное соглашение об осуществлении совместного проекта, направленного на повышение осведомленности о действиях в случаях совершения сексуальных преступлений в отношении детей и формирование соответствующих навыков. Главные цели данного проекта, именуемого </w:t>
      </w:r>
      <w:r>
        <w:rPr>
          <w:i/>
        </w:rPr>
        <w:t>«</w:t>
      </w:r>
      <w:r w:rsidR="00102068">
        <w:rPr>
          <w:i/>
        </w:rPr>
        <w:t>Пробуждение понимания</w:t>
      </w:r>
      <w:r>
        <w:rPr>
          <w:i/>
        </w:rPr>
        <w:t>»</w:t>
      </w:r>
      <w:r w:rsidR="00102068">
        <w:t xml:space="preserve"> (</w:t>
      </w:r>
      <w:r>
        <w:t>«</w:t>
      </w:r>
      <w:r w:rsidR="00102068">
        <w:rPr>
          <w:i/>
        </w:rPr>
        <w:t>Vitundarvakningin</w:t>
      </w:r>
      <w:r>
        <w:t>»</w:t>
      </w:r>
      <w:r w:rsidR="00102068">
        <w:t xml:space="preserve">), состоят в содействии междисциплинарному сотрудничеству и обеспечении осведомленности общественности посредством распространения информации о сексуальных преступлениях в отношении детей среди самих детей и среди лиц, которые непосредственно контактируют/общаются с детьми по роду своей деятельности. Работой в этой области руководит целевая группа, включающая представителей соответствующих министерств, которой были предоставлены специальные средства для достижения указанной цели. Следует отметить, что непосредственными стимулами для проведения этой работы послужили организованная Советом Европы кампания </w:t>
      </w:r>
      <w:r>
        <w:t>«</w:t>
      </w:r>
      <w:r w:rsidR="00102068">
        <w:rPr>
          <w:i/>
        </w:rPr>
        <w:t>Один из пяти</w:t>
      </w:r>
      <w:r>
        <w:t>»</w:t>
      </w:r>
      <w:r w:rsidR="00102068">
        <w:t xml:space="preserve"> и ратификация Лансаротской конвенции. Ниже указаны главные составляющие данного проекта.</w:t>
      </w:r>
    </w:p>
    <w:p w:rsidR="00102068" w:rsidRDefault="004C298C" w:rsidP="00102068">
      <w:pPr>
        <w:pStyle w:val="SingleTxtG"/>
      </w:pPr>
      <w:r>
        <w:tab/>
      </w:r>
      <w:r w:rsidR="00102068">
        <w:t xml:space="preserve">Для детей, обучающихся в младших классах начальной школы, был создан </w:t>
      </w:r>
      <w:r w:rsidR="00102068" w:rsidRPr="003D464B">
        <w:t>учебный</w:t>
      </w:r>
      <w:r w:rsidR="00102068">
        <w:t xml:space="preserve"> кукольный театр </w:t>
      </w:r>
      <w:r>
        <w:t>«</w:t>
      </w:r>
      <w:r w:rsidR="00102068">
        <w:t>Ребята из нашего квартала</w:t>
      </w:r>
      <w:r>
        <w:t>»</w:t>
      </w:r>
      <w:r w:rsidR="00102068">
        <w:t xml:space="preserve"> (</w:t>
      </w:r>
      <w:r>
        <w:t>«</w:t>
      </w:r>
      <w:r w:rsidR="00102068">
        <w:t>The Kids on the Block</w:t>
      </w:r>
      <w:r>
        <w:t>»</w:t>
      </w:r>
      <w:r w:rsidR="00102068">
        <w:t>). Это интерактивная программа, направленная на просвещение детей по вопросам личной безопасности, сексуального насилия, важности информирования о происходящем</w:t>
      </w:r>
      <w:r>
        <w:t> человек</w:t>
      </w:r>
      <w:r w:rsidR="00102068">
        <w:t>а, которому они доверяют, и службах, в которые можно обратиться. На каждом представлении присутствуют методист, социальный работник, медсестра или психолог. После его завершения родителям или опекунам всех детей, присутствовавших на представлении в качестве зрителей, направляется письмо с информацией о том, каким образом можно получить дополнительные материалы для организации профилактики и информирования взрослых. Это письмо переведено на шесть иностранных языков, получивших наибольшее распространение в Исландии. Данная программа осуществляется в сотрудничестве с исландской низовой организацией по предотвращению сексуальных надругательств в отношении</w:t>
      </w:r>
      <w:r w:rsidR="004E3C3F">
        <w:t> ребенка</w:t>
      </w:r>
      <w:r w:rsidR="00102068">
        <w:t xml:space="preserve"> </w:t>
      </w:r>
      <w:r>
        <w:t>«</w:t>
      </w:r>
      <w:r w:rsidR="00102068">
        <w:rPr>
          <w:i/>
        </w:rPr>
        <w:t>Прямо вперед</w:t>
      </w:r>
      <w:r>
        <w:t>»</w:t>
      </w:r>
      <w:r w:rsidR="00102068">
        <w:t xml:space="preserve"> (</w:t>
      </w:r>
      <w:r>
        <w:t>«</w:t>
      </w:r>
      <w:r w:rsidR="00102068">
        <w:rPr>
          <w:i/>
        </w:rPr>
        <w:t>Blátt Áfram</w:t>
      </w:r>
      <w:r>
        <w:t>»</w:t>
      </w:r>
      <w:r w:rsidR="00102068">
        <w:t>); планируется представить ее семилетним детям во всех начальных школах страны. На данный момент состоялось 320 спектаклей; в каждой школе обычно бывает необходимо организовать три таких представления.</w:t>
      </w:r>
    </w:p>
    <w:p w:rsidR="00102068" w:rsidRDefault="004C298C" w:rsidP="00102068">
      <w:pPr>
        <w:pStyle w:val="SingleTxtG"/>
      </w:pPr>
      <w:r>
        <w:tab/>
      </w:r>
      <w:r w:rsidR="00102068">
        <w:t xml:space="preserve">Для учащихся средних школ был снят короткометражный фильм </w:t>
      </w:r>
      <w:r>
        <w:t>«</w:t>
      </w:r>
      <w:r w:rsidR="00102068">
        <w:rPr>
          <w:i/>
        </w:rPr>
        <w:t>Получить согласие</w:t>
      </w:r>
      <w:r>
        <w:t>»</w:t>
      </w:r>
      <w:r w:rsidR="00102068">
        <w:t xml:space="preserve"> (</w:t>
      </w:r>
      <w:r>
        <w:t>«</w:t>
      </w:r>
      <w:r w:rsidR="00102068">
        <w:rPr>
          <w:i/>
        </w:rPr>
        <w:t>Get a Yes</w:t>
      </w:r>
      <w:r>
        <w:t>»</w:t>
      </w:r>
      <w:r w:rsidR="00102068">
        <w:t>). Этот фильм посвящен разграничению здоровых сексуальных отношений и сексуального насилия и рассмотрению вредного воздействия порнографии. Премьерный показ данного фильма учащимся в возрасте 15–18 лет во всех исландских школах состоялся 30 января 2013</w:t>
      </w:r>
      <w:r>
        <w:t> года</w:t>
      </w:r>
      <w:r w:rsidR="00102068">
        <w:t xml:space="preserve">. Накануне он был показан по телевизору в вечерние часы, а в последующие несколько дней освещался в средствах массовой информации. В качестве сопроводительных материалов к нему было подготовлено руководство для преподавателя. Данное руководство также может использоваться в качестве инструкции для взрослых по обсуждению этих вопросов с молодежью. Фильм может демонстрироваться с субтитрами на семи языках. Его может посмотреть каждый посетитель веб-сайта </w:t>
      </w:r>
      <w:r w:rsidR="00102068">
        <w:rPr>
          <w:i/>
        </w:rPr>
        <w:t>faduja.is</w:t>
      </w:r>
      <w:r w:rsidR="00102068">
        <w:t>, где представлены информация и рекомендации для преподавателей и попечителей, которыми следует руководствоваться при обсуждении его основных тем. Анализ воздействия данного фильма уже проведен, и его результаты являются весьма позитивными.</w:t>
      </w:r>
    </w:p>
    <w:p w:rsidR="00102068" w:rsidRDefault="004C298C" w:rsidP="00102068">
      <w:pPr>
        <w:pStyle w:val="SingleTxtG"/>
      </w:pPr>
      <w:r>
        <w:tab/>
      </w:r>
      <w:r w:rsidR="00102068">
        <w:t xml:space="preserve">Для учащихся второй ступени начальной школы был снят короткометражный фильм </w:t>
      </w:r>
      <w:r>
        <w:t>«</w:t>
      </w:r>
      <w:r w:rsidR="00102068">
        <w:rPr>
          <w:i/>
        </w:rPr>
        <w:t>Будь верен себе</w:t>
      </w:r>
      <w:r>
        <w:t>»</w:t>
      </w:r>
      <w:r w:rsidR="00102068">
        <w:t xml:space="preserve"> (</w:t>
      </w:r>
      <w:r>
        <w:t>«</w:t>
      </w:r>
      <w:r w:rsidR="00102068">
        <w:rPr>
          <w:i/>
        </w:rPr>
        <w:t>Stand-by-yourself</w:t>
      </w:r>
      <w:r>
        <w:t>»</w:t>
      </w:r>
      <w:r w:rsidR="00102068">
        <w:t>) (работа над ним еще не завершена). Целевая аудитория и задачи данного фильма аналогичны предусмотренным для вышеупомянутых фильмов.</w:t>
      </w:r>
    </w:p>
    <w:p w:rsidR="00102068" w:rsidRDefault="004C298C" w:rsidP="00102068">
      <w:pPr>
        <w:pStyle w:val="SingleTxtG"/>
      </w:pPr>
      <w:r>
        <w:tab/>
      </w:r>
      <w:r w:rsidR="00102068">
        <w:t>В апреле 2013</w:t>
      </w:r>
      <w:r>
        <w:t> года</w:t>
      </w:r>
      <w:r w:rsidR="00102068">
        <w:t xml:space="preserve"> правительство утвердило многоаспектный План действий по защите детей от сексуальных надругательств и эксплуатации и предоставлению услуг детям, пострадавшим от этих преступлений. В плане действий определены 27</w:t>
      </w:r>
      <w:r>
        <w:rPr>
          <w:lang w:val="en-US"/>
        </w:rPr>
        <w:t> </w:t>
      </w:r>
      <w:r w:rsidR="00102068">
        <w:t xml:space="preserve">мер, 15 из </w:t>
      </w:r>
      <w:r w:rsidR="00102068" w:rsidRPr="003D464B">
        <w:t>которых</w:t>
      </w:r>
      <w:r w:rsidR="00102068">
        <w:t xml:space="preserve"> считаются первоочередными. Данные меры направлены на повышение согласованности действий и продолжение сотрудничества между различными учреждениями, работающими в этой области, включая органы опеки и попечительства, полицию, прокуратуру и медицинские службы. Они предусматривают предоставление новых помещений и повышение числа сотрудников организации </w:t>
      </w:r>
      <w:r>
        <w:rPr>
          <w:color w:val="000000"/>
        </w:rPr>
        <w:t>«</w:t>
      </w:r>
      <w:r w:rsidR="00102068">
        <w:rPr>
          <w:i/>
          <w:color w:val="000000"/>
        </w:rPr>
        <w:t>Barnahús</w:t>
      </w:r>
      <w:r>
        <w:rPr>
          <w:color w:val="000000"/>
        </w:rPr>
        <w:t>»</w:t>
      </w:r>
      <w:r w:rsidR="00102068">
        <w:rPr>
          <w:color w:val="000000"/>
        </w:rPr>
        <w:t xml:space="preserve">, увеличение объема средств, выделяемых полиции и прокуратуре для разбирательства дел о сексуальных надругательствах, и создание национального совета и региональных механизмов для координации действий </w:t>
      </w:r>
      <w:r w:rsidR="00102068">
        <w:t>органов опеки и попечительства, полиции и прокуратуры с целью совершенствования мер реагирования и процедуры, применяемой в связи с делами о сексуальных надругательствах в отношении</w:t>
      </w:r>
      <w:r w:rsidR="004E3C3F">
        <w:t> ребенка</w:t>
      </w:r>
      <w:r w:rsidR="00102068">
        <w:t>.</w:t>
      </w:r>
    </w:p>
    <w:p w:rsidR="00102068" w:rsidRPr="004C298C" w:rsidRDefault="00102068"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Pr="004E3C3F" w:rsidRDefault="004C298C" w:rsidP="004C29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Часть II</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4C298C" w:rsidRPr="004E3C3F"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Статья 7</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 xml:space="preserve">Подпункт </w:t>
      </w:r>
      <w:r w:rsidRPr="004C298C">
        <w:t>(</w:t>
      </w:r>
      <w:r w:rsidR="00102068">
        <w:t>a)</w:t>
      </w:r>
      <w:r w:rsidRPr="004C298C">
        <w:br/>
      </w:r>
      <w:r w:rsidR="00102068">
        <w:t>Представленность</w:t>
      </w:r>
      <w:r w:rsidR="004E3C3F">
        <w:t> женщин</w:t>
      </w:r>
      <w:r w:rsidR="00102068">
        <w:t xml:space="preserve"> в парламенте и органах местного самоуправления</w:t>
      </w:r>
    </w:p>
    <w:p w:rsidR="004C298C" w:rsidRPr="004E3C3F" w:rsidRDefault="004C298C" w:rsidP="004C298C">
      <w:pPr>
        <w:pStyle w:val="SingleTxtG"/>
        <w:spacing w:after="0" w:line="120" w:lineRule="exact"/>
        <w:rPr>
          <w:sz w:val="10"/>
        </w:rPr>
      </w:pPr>
    </w:p>
    <w:p w:rsidR="004C298C" w:rsidRPr="004E3C3F" w:rsidRDefault="004C298C" w:rsidP="004C298C">
      <w:pPr>
        <w:pStyle w:val="SingleTxtG"/>
        <w:spacing w:after="0" w:line="120" w:lineRule="exact"/>
        <w:rPr>
          <w:sz w:val="10"/>
        </w:rPr>
      </w:pPr>
    </w:p>
    <w:p w:rsidR="00102068" w:rsidRDefault="004C298C" w:rsidP="00102068">
      <w:pPr>
        <w:pStyle w:val="SingleTxtG"/>
      </w:pPr>
      <w:r w:rsidRPr="004E3C3F">
        <w:tab/>
      </w:r>
      <w:r w:rsidR="00102068">
        <w:t>В 2015</w:t>
      </w:r>
      <w:r>
        <w:t> году</w:t>
      </w:r>
      <w:r w:rsidR="00102068">
        <w:t xml:space="preserve"> исполнится сто лет </w:t>
      </w:r>
      <w:r w:rsidR="00102068" w:rsidRPr="003D464B">
        <w:t>после</w:t>
      </w:r>
      <w:r w:rsidR="00102068">
        <w:t xml:space="preserve"> приобретения исландскими</w:t>
      </w:r>
      <w:r w:rsidR="004E3C3F">
        <w:t> женщин</w:t>
      </w:r>
      <w:r w:rsidR="00102068">
        <w:t>ами в возрасте 40 лет и старше права голосовать и баллотироваться на выборах; это право было предоставлено им в соответствии с поправкой к Конституции, внесенной 19 июня 1915</w:t>
      </w:r>
      <w:r>
        <w:t> года</w:t>
      </w:r>
      <w:r w:rsidR="00102068">
        <w:t>. Все избирательные права, которыми пользуются мужчины, были предоставлены</w:t>
      </w:r>
      <w:r w:rsidR="004E3C3F">
        <w:t> женщин</w:t>
      </w:r>
      <w:r w:rsidR="00102068">
        <w:t>ам лишь в 1920</w:t>
      </w:r>
      <w:r>
        <w:t> году</w:t>
      </w:r>
      <w:r w:rsidR="00102068">
        <w:t>. Таким образом, 1915 и 1920 годы являются важными вехами на пути к обеспечению полного гендерного равенства в аспекте участия в демократических процессах, происходящих в Исландии.</w:t>
      </w:r>
    </w:p>
    <w:p w:rsidR="00102068" w:rsidRDefault="004C298C" w:rsidP="00102068">
      <w:pPr>
        <w:pStyle w:val="SingleTxtG"/>
        <w:rPr>
          <w:iCs/>
        </w:rPr>
      </w:pPr>
      <w:r w:rsidRPr="004E3C3F">
        <w:tab/>
      </w:r>
      <w:r w:rsidR="00102068">
        <w:t>На протяжении последних тридцати лет число</w:t>
      </w:r>
      <w:r w:rsidR="004E3C3F">
        <w:t> женщин</w:t>
      </w:r>
      <w:r w:rsidR="00102068">
        <w:t>, избранных на те или иные посты, неуклонно возрастало: после всеобщих выборов 1979</w:t>
      </w:r>
      <w:r>
        <w:t> года</w:t>
      </w:r>
      <w:r w:rsidR="00102068">
        <w:t xml:space="preserve"> они </w:t>
      </w:r>
      <w:r w:rsidR="00102068" w:rsidRPr="003D464B">
        <w:t>составляли</w:t>
      </w:r>
      <w:r w:rsidR="00102068">
        <w:t xml:space="preserve"> только 5</w:t>
      </w:r>
      <w:r>
        <w:t> процентов</w:t>
      </w:r>
      <w:r w:rsidR="00102068">
        <w:t xml:space="preserve"> членов парламента; после выборов 1995</w:t>
      </w:r>
      <w:r>
        <w:t> года</w:t>
      </w:r>
      <w:r w:rsidR="00102068">
        <w:t xml:space="preserve"> их доля выросла до 25</w:t>
      </w:r>
      <w:r>
        <w:t> процентов</w:t>
      </w:r>
      <w:r w:rsidR="00102068">
        <w:t>, а после выборов 1999</w:t>
      </w:r>
      <w:r>
        <w:t xml:space="preserve"> года — до </w:t>
      </w:r>
      <w:r w:rsidR="00102068">
        <w:t>35</w:t>
      </w:r>
      <w:r>
        <w:t> процентов</w:t>
      </w:r>
      <w:r w:rsidR="00102068">
        <w:t>.</w:t>
      </w:r>
    </w:p>
    <w:p w:rsidR="00102068" w:rsidRDefault="004C298C" w:rsidP="00102068">
      <w:pPr>
        <w:pStyle w:val="SingleTxtG"/>
      </w:pPr>
      <w:r w:rsidRPr="004C298C">
        <w:tab/>
      </w:r>
      <w:r w:rsidR="00102068">
        <w:t>С определенной долей уверенности можно утверждать, что возросшие требования относительно обеспечения более активного участия</w:t>
      </w:r>
      <w:r w:rsidR="004E3C3F">
        <w:t> женщин</w:t>
      </w:r>
      <w:r w:rsidR="00102068">
        <w:t xml:space="preserve"> в работе правительства, выдвинутые после экономического кризиса 2008</w:t>
      </w:r>
      <w:r>
        <w:t> года</w:t>
      </w:r>
      <w:r w:rsidR="00102068">
        <w:t>, привели к увеличению числа</w:t>
      </w:r>
      <w:r w:rsidR="004E3C3F">
        <w:t> женщин</w:t>
      </w:r>
      <w:r w:rsidR="00102068">
        <w:t xml:space="preserve"> в политике и на высших уровнях государственного управления. В настоящее время</w:t>
      </w:r>
      <w:r w:rsidR="004E3C3F">
        <w:t> женщин</w:t>
      </w:r>
      <w:r w:rsidR="00102068">
        <w:t>ы составляют 40</w:t>
      </w:r>
      <w:r>
        <w:t> процентов</w:t>
      </w:r>
      <w:r w:rsidR="00102068">
        <w:t xml:space="preserve"> избранных представителей в органах местного самоуправления и в парламенте, где их доля достигла максимума в 43 процента после проведения всеобщих выборов в 2009</w:t>
      </w:r>
      <w:r>
        <w:t> году</w:t>
      </w:r>
      <w:r w:rsidR="00102068">
        <w:t>. По итогам этих выборов в парламент были избраны 36 мужчин (57,1</w:t>
      </w:r>
      <w:r>
        <w:t> процента</w:t>
      </w:r>
      <w:r w:rsidR="00102068">
        <w:t xml:space="preserve"> от общего числа членов) и 27</w:t>
      </w:r>
      <w:r w:rsidR="004E3C3F">
        <w:t> женщин</w:t>
      </w:r>
      <w:r w:rsidR="00102068">
        <w:t xml:space="preserve"> (42,9</w:t>
      </w:r>
      <w:r>
        <w:t> процента</w:t>
      </w:r>
      <w:r w:rsidR="00102068">
        <w:t>); по сравнению с результатами выборов 2007 года было избрано на 7</w:t>
      </w:r>
      <w:r w:rsidR="004E3C3F">
        <w:t> женщин</w:t>
      </w:r>
      <w:r w:rsidR="00102068">
        <w:t xml:space="preserve"> больше. Никогда прежде число</w:t>
      </w:r>
      <w:r w:rsidR="004E3C3F">
        <w:t> женщин</w:t>
      </w:r>
      <w:r w:rsidR="00102068">
        <w:t xml:space="preserve"> среди полноправных членов парламента не было столь велико; предыдущий максимум, зафиксированный после выборов 1999</w:t>
      </w:r>
      <w:r>
        <w:t> года</w:t>
      </w:r>
      <w:r w:rsidR="00102068">
        <w:t>, составил 35</w:t>
      </w:r>
      <w:r>
        <w:t> процентов</w:t>
      </w:r>
      <w:r w:rsidR="00102068">
        <w:t>. По результатам выборов 2013</w:t>
      </w:r>
      <w:r>
        <w:t> года</w:t>
      </w:r>
      <w:r w:rsidR="00102068">
        <w:t xml:space="preserve"> в парламент были избраны 38 мужчин (61,3</w:t>
      </w:r>
      <w:r>
        <w:t> процента</w:t>
      </w:r>
      <w:r w:rsidR="00102068">
        <w:t>) и 25 женщин (39,7</w:t>
      </w:r>
      <w:r>
        <w:t> процента</w:t>
      </w:r>
      <w:r w:rsidR="00102068">
        <w:t>). Соотношение полов по итогам последних парламентских выборов в Исландии может объясняться тем обстоятельством, что в настоящее время</w:t>
      </w:r>
      <w:r w:rsidR="004E3C3F">
        <w:t> женщин</w:t>
      </w:r>
      <w:r w:rsidR="00102068">
        <w:t>ы чаще, чем раньше, занимают верхние позиции в избирательных списках политических партий и что число</w:t>
      </w:r>
      <w:r w:rsidR="004E3C3F">
        <w:t> женщин</w:t>
      </w:r>
      <w:r w:rsidR="00102068">
        <w:t>, выдвигающих свои кандидатуры на выборах в сельских избирательных округах, возросло. Таким образом, в настоящее время</w:t>
      </w:r>
      <w:r w:rsidR="004E3C3F">
        <w:t> женщин</w:t>
      </w:r>
      <w:r w:rsidR="00102068">
        <w:t>ы имеют гораздо больше шансов быть избранными, чем несколько лет назад.</w:t>
      </w: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w:t>
      </w:r>
      <w:r w:rsidR="00102068">
        <w:t>боры в местные советы</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Выборы в местные советы были проведены во всех 76 муниципалитетах Исландии 29 мая 2010</w:t>
      </w:r>
      <w:r>
        <w:t> года</w:t>
      </w:r>
      <w:r w:rsidR="00102068">
        <w:t xml:space="preserve">. Согласно </w:t>
      </w:r>
      <w:r w:rsidR="00102068">
        <w:rPr>
          <w:i/>
        </w:rPr>
        <w:t>Hagtíðindi</w:t>
      </w:r>
      <w:r>
        <w:rPr>
          <w:i/>
        </w:rPr>
        <w:t xml:space="preserve"> — </w:t>
      </w:r>
      <w:r w:rsidR="00102068">
        <w:t xml:space="preserve"> статистическим отчетам Статистического управления Исландии</w:t>
      </w:r>
      <w:r>
        <w:t xml:space="preserve"> — </w:t>
      </w:r>
      <w:r w:rsidR="00102068">
        <w:t xml:space="preserve"> в качестве кандидатов на выборах выступили 112 233 мужчины (49,7</w:t>
      </w:r>
      <w:r>
        <w:t> процента</w:t>
      </w:r>
      <w:r w:rsidR="00102068">
        <w:t>) и 113</w:t>
      </w:r>
      <w:r>
        <w:rPr>
          <w:lang w:val="en-US"/>
        </w:rPr>
        <w:t> </w:t>
      </w:r>
      <w:r w:rsidR="00102068">
        <w:t>622</w:t>
      </w:r>
      <w:r>
        <w:rPr>
          <w:lang w:val="en-US"/>
        </w:rPr>
        <w:t> </w:t>
      </w:r>
      <w:r w:rsidR="00102068">
        <w:t>женщины (50,3</w:t>
      </w:r>
      <w:r>
        <w:t> процента</w:t>
      </w:r>
      <w:r w:rsidR="00102068">
        <w:t xml:space="preserve">). В 58 муниципалитетах выборы проводились по системе пропорционального представительства и были поданы 185 списков </w:t>
      </w:r>
      <w:r w:rsidR="00102068" w:rsidRPr="003D464B">
        <w:t>кандидатов</w:t>
      </w:r>
      <w:r w:rsidR="00102068">
        <w:t>. В 4 из этих муниципалитетов кандидаты были избраны без оппозиции, поскольку был представлен только 1 список. На выборах в эти 58 муниципалитетов свои кандидатуры выдвинули 2846</w:t>
      </w:r>
      <w:r>
        <w:t> человек</w:t>
      </w:r>
      <w:r w:rsidR="00102068">
        <w:t>: 1513</w:t>
      </w:r>
      <w:r>
        <w:rPr>
          <w:lang w:val="en-US"/>
        </w:rPr>
        <w:t> </w:t>
      </w:r>
      <w:r w:rsidR="00102068">
        <w:t>мужчин (53,2</w:t>
      </w:r>
      <w:r>
        <w:t> процента</w:t>
      </w:r>
      <w:r w:rsidR="00102068">
        <w:t>) и 1 333 женщины (46,8</w:t>
      </w:r>
      <w:r>
        <w:t> процента</w:t>
      </w:r>
      <w:r w:rsidR="00102068">
        <w:t>). В целом в 2010</w:t>
      </w:r>
      <w:r>
        <w:t> году</w:t>
      </w:r>
      <w:r w:rsidR="00102068">
        <w:t xml:space="preserve"> соотношение мужчин и</w:t>
      </w:r>
      <w:r w:rsidR="004E3C3F">
        <w:t> женщин</w:t>
      </w:r>
      <w:r w:rsidR="00102068">
        <w:t xml:space="preserve"> было более сбалансированным, чем прежде: доля кандидатов-женщин, выдвинутых политическими партиями, составляла от 46 до 51</w:t>
      </w:r>
      <w:r>
        <w:t> процента</w:t>
      </w:r>
      <w:r w:rsidR="00102068">
        <w:t>, а их доля в списках других организаций</w:t>
      </w:r>
      <w:r>
        <w:t xml:space="preserve"> — </w:t>
      </w:r>
      <w:r w:rsidR="00102068">
        <w:t>46</w:t>
      </w:r>
      <w:r>
        <w:t> процентов</w:t>
      </w:r>
      <w:r w:rsidR="00102068">
        <w:t>.</w:t>
      </w:r>
    </w:p>
    <w:p w:rsidR="00102068" w:rsidRDefault="004C298C" w:rsidP="00102068">
      <w:pPr>
        <w:pStyle w:val="SingleTxtG"/>
      </w:pPr>
      <w:r>
        <w:tab/>
      </w:r>
      <w:r w:rsidR="00102068">
        <w:t>Доля</w:t>
      </w:r>
      <w:r w:rsidR="004E3C3F">
        <w:t> женщин</w:t>
      </w:r>
      <w:r w:rsidR="00102068">
        <w:t xml:space="preserve"> среди кандидатов никогда не превышала данный показатель: в ходе предыдущих выборов в муниципальные советы, состоявшихся в 2006</w:t>
      </w:r>
      <w:r>
        <w:t> году</w:t>
      </w:r>
      <w:r w:rsidR="00102068">
        <w:t>, она составила 43,8</w:t>
      </w:r>
      <w:r>
        <w:t> процента</w:t>
      </w:r>
      <w:r w:rsidR="00102068">
        <w:t xml:space="preserve">. Во всех 59 муниципалитетах, где выборы проводились по системе пропорционального представительства, были выдвинуты как мужские, так и женские </w:t>
      </w:r>
      <w:r w:rsidR="00102068" w:rsidRPr="003D464B">
        <w:t>кандидатуры</w:t>
      </w:r>
      <w:r w:rsidR="00102068">
        <w:t>. В 9 муниципалитетах число кандидатов-женщин соответствовало числу кандидатов-мужчин; в 2006</w:t>
      </w:r>
      <w:r>
        <w:t> году</w:t>
      </w:r>
      <w:r w:rsidR="00102068">
        <w:t xml:space="preserve"> аналогичная ситуация сложилась в 8 муниципалитетах. В 2010</w:t>
      </w:r>
      <w:r>
        <w:t> году</w:t>
      </w:r>
      <w:r w:rsidR="00102068">
        <w:t xml:space="preserve"> 56 (30,3</w:t>
      </w:r>
      <w:r>
        <w:t> процента</w:t>
      </w:r>
      <w:r w:rsidR="00102068">
        <w:t>) из всех списков кандидатов, вне зависимости от места их подачи, включали равное число</w:t>
      </w:r>
      <w:r w:rsidR="004E3C3F">
        <w:t> женщин</w:t>
      </w:r>
      <w:r w:rsidR="00102068">
        <w:t xml:space="preserve"> и мужчин, тогда как в 2006</w:t>
      </w:r>
      <w:r>
        <w:t> году</w:t>
      </w:r>
      <w:r w:rsidR="00102068">
        <w:t xml:space="preserve"> таких списков было только 15. Мужчины составляли большинство кандидатов в 41 муниципалитете, а доля</w:t>
      </w:r>
      <w:r w:rsidR="004E3C3F">
        <w:t> женщин</w:t>
      </w:r>
      <w:r w:rsidR="00102068">
        <w:t xml:space="preserve"> достигала 40–49 процентов в 37 из них и 30–39</w:t>
      </w:r>
      <w:r>
        <w:t> процентов</w:t>
      </w:r>
      <w:r w:rsidR="00102068">
        <w:t xml:space="preserve"> в оставшихся 4. В 8 муниципалитетах большинство кандидатов составляли</w:t>
      </w:r>
      <w:r w:rsidR="004E3C3F">
        <w:t> женщин</w:t>
      </w:r>
      <w:r w:rsidR="00102068">
        <w:t>ы. Число</w:t>
      </w:r>
      <w:r w:rsidR="004E3C3F">
        <w:t> женщин</w:t>
      </w:r>
      <w:r w:rsidR="00102068">
        <w:t xml:space="preserve"> превышало число мужчин в 34 списках (18,4</w:t>
      </w:r>
      <w:r>
        <w:t> процента</w:t>
      </w:r>
      <w:r w:rsidR="00102068">
        <w:t xml:space="preserve"> от общего их количества), а число мужчин было больше числа</w:t>
      </w:r>
      <w:r w:rsidR="004E3C3F">
        <w:t> женщин</w:t>
      </w:r>
      <w:r w:rsidR="00102068">
        <w:t xml:space="preserve"> в 95 списках (51,6</w:t>
      </w:r>
      <w:r>
        <w:t> процента</w:t>
      </w:r>
      <w:r w:rsidR="00102068">
        <w:t xml:space="preserve"> от общего количества). На выборах в местные советы 2010</w:t>
      </w:r>
      <w:r>
        <w:t> года</w:t>
      </w:r>
      <w:r w:rsidR="00102068">
        <w:t xml:space="preserve"> мужчины возглавляли списки кандидатов в 139 случаях (75</w:t>
      </w:r>
      <w:r>
        <w:t> процентов</w:t>
      </w:r>
      <w:r w:rsidR="00102068">
        <w:t>), а</w:t>
      </w:r>
      <w:r w:rsidR="004E3C3F">
        <w:t> женщин</w:t>
      </w:r>
      <w:r w:rsidR="00102068">
        <w:t>ы</w:t>
      </w:r>
      <w:r>
        <w:t> —</w:t>
      </w:r>
      <w:r w:rsidR="00102068">
        <w:t xml:space="preserve"> в 46 случаях (25</w:t>
      </w:r>
      <w:r>
        <w:t> процентов</w:t>
      </w:r>
      <w:r w:rsidR="00102068">
        <w:t>). При этом кандидаты женского пола занимали второе место в 115 списках (62</w:t>
      </w:r>
      <w:r>
        <w:t> процента</w:t>
      </w:r>
      <w:r w:rsidR="00102068">
        <w:t>), а кандидаты-мужчины</w:t>
      </w:r>
      <w:r>
        <w:t xml:space="preserve"> — </w:t>
      </w:r>
      <w:r w:rsidR="00102068">
        <w:t xml:space="preserve"> в 70 списках (38</w:t>
      </w:r>
      <w:r>
        <w:t> процентов</w:t>
      </w:r>
      <w:r w:rsidR="00102068">
        <w:t>). В состав муниципальных советов были избраны 512 главных представителей; 308 из них (60,2</w:t>
      </w:r>
      <w:r>
        <w:t> процента</w:t>
      </w:r>
      <w:r w:rsidR="00102068">
        <w:t>) являлись мужчинами, а 204 (39,8</w:t>
      </w:r>
      <w:r>
        <w:t> процента</w:t>
      </w:r>
      <w:r w:rsidR="00102068">
        <w:t>)</w:t>
      </w:r>
      <w:r>
        <w:t> —</w:t>
      </w:r>
      <w:r w:rsidR="004E3C3F">
        <w:t> женщин</w:t>
      </w:r>
      <w:r w:rsidR="00102068">
        <w:t>ами. Никогда прежде среди членов местных советов не было такого числа</w:t>
      </w:r>
      <w:r w:rsidR="004E3C3F">
        <w:t> женщин</w:t>
      </w:r>
      <w:r w:rsidR="00102068">
        <w:t>; предыдущий максимум, составивший 35,9</w:t>
      </w:r>
      <w:r>
        <w:t> процента</w:t>
      </w:r>
      <w:r w:rsidR="00102068">
        <w:t>, был зафиксирован на выборах 2006</w:t>
      </w:r>
      <w:r>
        <w:t> года</w:t>
      </w:r>
      <w:r w:rsidR="00102068">
        <w:t>. В ходе анализа статистических данных с точки зрения численности жителей в различных районах местного самоуправления становится очевидно, что доля</w:t>
      </w:r>
      <w:r w:rsidR="004E3C3F">
        <w:t> женщин</w:t>
      </w:r>
      <w:r w:rsidR="00102068">
        <w:t xml:space="preserve"> является максимальной (45</w:t>
      </w:r>
      <w:r>
        <w:t> процентов</w:t>
      </w:r>
      <w:r w:rsidR="00102068">
        <w:t>) в районах, где проживают 300–999</w:t>
      </w:r>
      <w:r>
        <w:t> человек</w:t>
      </w:r>
      <w:r w:rsidR="00102068">
        <w:t>, а выборы по-прежнему проводятся на основе списков кандидатов. В районах, где проживают более 1 тыс.</w:t>
      </w:r>
      <w:r>
        <w:t> человек</w:t>
      </w:r>
      <w:r w:rsidR="00102068">
        <w:t>, доля</w:t>
      </w:r>
      <w:r w:rsidR="004E3C3F">
        <w:t> женщин</w:t>
      </w:r>
      <w:r w:rsidR="00102068">
        <w:t xml:space="preserve"> составляет 39</w:t>
      </w:r>
      <w:r>
        <w:t> процентов</w:t>
      </w:r>
      <w:r w:rsidR="00102068">
        <w:t>; в районах, где проживают до 299</w:t>
      </w:r>
      <w:r>
        <w:t> человек</w:t>
      </w:r>
      <w:r w:rsidR="00102068">
        <w:t>, этот показатель равен 34</w:t>
      </w:r>
      <w:r>
        <w:t> процента</w:t>
      </w:r>
      <w:r w:rsidR="00102068">
        <w:t>м. В 2010</w:t>
      </w:r>
      <w:r>
        <w:t> году</w:t>
      </w:r>
      <w:r w:rsidR="004E3C3F">
        <w:t> женщин</w:t>
      </w:r>
      <w:r w:rsidR="00102068">
        <w:t>ы чаще избирались в тех местах, где выборы проводились на основе списков кандидатов, нежели в местах, где все жители фактически являются кандидатами, если специально не отказываются участвовать в выборах. В 59 районах, где выборы проводились на основе таких списков, 59,1</w:t>
      </w:r>
      <w:r>
        <w:t> процента</w:t>
      </w:r>
      <w:r w:rsidR="00102068">
        <w:t xml:space="preserve"> избранных кандидатов являлись мужчинами, а 40,9</w:t>
      </w:r>
      <w:r>
        <w:t xml:space="preserve"> процента — </w:t>
      </w:r>
      <w:r w:rsidR="004E3C3F">
        <w:t> женщин</w:t>
      </w:r>
      <w:r w:rsidR="00102068">
        <w:t>ами. В 18 районах, где проживает чуть более 1</w:t>
      </w:r>
      <w:r>
        <w:t> процента</w:t>
      </w:r>
      <w:r w:rsidR="00102068">
        <w:t xml:space="preserve"> электората, выборы не были основаны на списках (т. е. все жители являлись потенциальными кандидатами). В этих районах были избраны 94 члена совета: 61 мужчина (64,9</w:t>
      </w:r>
      <w:r>
        <w:t> процента</w:t>
      </w:r>
      <w:r w:rsidR="00102068">
        <w:t>) и 33</w:t>
      </w:r>
      <w:r w:rsidR="004E3C3F">
        <w:t> женщин</w:t>
      </w:r>
      <w:r w:rsidR="00102068">
        <w:t>ы (35,1</w:t>
      </w:r>
      <w:r>
        <w:t> процента</w:t>
      </w:r>
      <w:r w:rsidR="00102068">
        <w:t>). Наиболее высокий показатель доли мужчин</w:t>
      </w:r>
      <w:r>
        <w:t xml:space="preserve"> — </w:t>
      </w:r>
      <w:r w:rsidR="00102068">
        <w:t xml:space="preserve"> 67,1</w:t>
      </w:r>
      <w:r>
        <w:t> процента —</w:t>
      </w:r>
      <w:r w:rsidR="00102068">
        <w:t xml:space="preserve"> был зафиксирован в муниципалитетах, где проживает до 299</w:t>
      </w:r>
      <w:r>
        <w:t> человек</w:t>
      </w:r>
      <w:r w:rsidR="00102068">
        <w:t xml:space="preserve"> и где каждый житель является потенциальным кандидатом. </w:t>
      </w:r>
    </w:p>
    <w:p w:rsidR="00102068" w:rsidRDefault="004C298C" w:rsidP="00102068">
      <w:pPr>
        <w:pStyle w:val="SingleTxtG"/>
      </w:pPr>
      <w:r>
        <w:tab/>
      </w:r>
      <w:r w:rsidR="00102068">
        <w:t xml:space="preserve">Информация о выборах в органы местного самоуправления, состоявшихся в 2014 году, еще не собрана. </w:t>
      </w:r>
    </w:p>
    <w:p w:rsidR="004C298C" w:rsidRPr="004C298C" w:rsidRDefault="004C298C" w:rsidP="004C298C">
      <w:pPr>
        <w:pStyle w:val="SingleTxtG"/>
        <w:spacing w:after="0" w:line="120" w:lineRule="exact"/>
        <w:rPr>
          <w:sz w:val="10"/>
        </w:rPr>
      </w:pPr>
    </w:p>
    <w:p w:rsidR="004C298C" w:rsidRPr="004C298C" w:rsidRDefault="004C298C" w:rsidP="004C298C">
      <w:pPr>
        <w:pStyle w:val="H1"/>
        <w:spacing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Президентские выборы</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Президенты Исландии избираются непосредственно электоратом. Первые президентские выборы были проведены в 1952</w:t>
      </w:r>
      <w:r>
        <w:t> году</w:t>
      </w:r>
      <w:r w:rsidR="00102068">
        <w:t>, а последние на данный момент – в 2012</w:t>
      </w:r>
      <w:r>
        <w:t> году</w:t>
      </w:r>
      <w:r w:rsidR="00102068">
        <w:t>. В качестве кандидатов на выборах выступили 22</w:t>
      </w:r>
      <w:r>
        <w:t> человек</w:t>
      </w:r>
      <w:r w:rsidR="00102068">
        <w:t>а, включая 6</w:t>
      </w:r>
      <w:r w:rsidR="004E3C3F">
        <w:t> женщин</w:t>
      </w:r>
      <w:r w:rsidR="00102068">
        <w:t>. Пост президента занимали 5</w:t>
      </w:r>
      <w:r>
        <w:t> человек</w:t>
      </w:r>
      <w:r w:rsidR="00102068">
        <w:t>, в том числе 1</w:t>
      </w:r>
      <w:r w:rsidR="004E3C3F">
        <w:t> женщин</w:t>
      </w:r>
      <w:r w:rsidR="00102068">
        <w:t xml:space="preserve">а, </w:t>
      </w:r>
      <w:r w:rsidR="00102068">
        <w:br/>
        <w:t>г-жа Вигдис Финнбогадоттир, которая в 1980</w:t>
      </w:r>
      <w:r>
        <w:t> году</w:t>
      </w:r>
      <w:r w:rsidR="00102068">
        <w:t xml:space="preserve"> была избрана 33</w:t>
      </w:r>
      <w:r>
        <w:t> процента</w:t>
      </w:r>
      <w:r w:rsidR="00102068">
        <w:t>ми голосов и стала первой в мире</w:t>
      </w:r>
      <w:r w:rsidR="004E3C3F">
        <w:t> женщин</w:t>
      </w:r>
      <w:r w:rsidR="00102068">
        <w:t xml:space="preserve">ой, </w:t>
      </w:r>
      <w:r w:rsidR="00102068" w:rsidRPr="00A5195C">
        <w:t>избранной</w:t>
      </w:r>
      <w:r w:rsidR="00102068">
        <w:t xml:space="preserve"> президентом. Она находилась на этом посту на протяжении 16 лет</w:t>
      </w:r>
      <w:r>
        <w:t xml:space="preserve"> — </w:t>
      </w:r>
      <w:r w:rsidR="00102068">
        <w:t xml:space="preserve"> с 1980 по 1996 год. На выборах 2012</w:t>
      </w:r>
      <w:r>
        <w:t> года</w:t>
      </w:r>
      <w:r w:rsidR="00102068">
        <w:t xml:space="preserve"> баллотировались 6 кандидатов, в том числе 3</w:t>
      </w:r>
      <w:r w:rsidR="004E3C3F">
        <w:t> женщин</w:t>
      </w:r>
      <w:r w:rsidR="00102068">
        <w:t xml:space="preserve">ы. Президентом был избран </w:t>
      </w:r>
      <w:r w:rsidR="00102068">
        <w:br/>
        <w:t>г-н Олафур Рагнар Гримссон, набравший 52,8</w:t>
      </w:r>
      <w:r>
        <w:t> процента</w:t>
      </w:r>
      <w:r w:rsidR="00102068">
        <w:t xml:space="preserve"> голосов. В настоящее время идет его пятый президентский срок. Второе место на выборах заняла г-жа Тора Арнорсдоттир, набравшая 33,2</w:t>
      </w:r>
      <w:r>
        <w:t> процента</w:t>
      </w:r>
      <w:r w:rsidR="00102068">
        <w:t xml:space="preserve"> голосов.</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Выборы в Конституционное собрание</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В 2010</w:t>
      </w:r>
      <w:r>
        <w:t> году</w:t>
      </w:r>
      <w:r w:rsidR="00102068">
        <w:t xml:space="preserve"> в Исландии было проведено специальное Конституционное собрание. В соответствии с Законом о Конституционном собрании</w:t>
      </w:r>
      <w:r>
        <w:t> № </w:t>
      </w:r>
      <w:r w:rsidR="00102068">
        <w:t xml:space="preserve">90/2010 президент Исландии совместно с Конституционным комитетом обязан созвать Конституционное </w:t>
      </w:r>
      <w:r w:rsidR="00102068" w:rsidRPr="00A5195C">
        <w:t>собрание</w:t>
      </w:r>
      <w:r w:rsidR="00102068">
        <w:t xml:space="preserve"> для пересмотра Конституции Республики Исландии. Выборы в Конституционное собрание были проведены 27 ноября 2010</w:t>
      </w:r>
      <w:r>
        <w:t> года</w:t>
      </w:r>
      <w:r w:rsidR="00102068">
        <w:t>, а его заседания должны были состояться в феврале 2011</w:t>
      </w:r>
      <w:r>
        <w:t> года</w:t>
      </w:r>
      <w:r w:rsidR="00102068">
        <w:t>. Собрание, которое состоит из 25 членов, действующих в личном качестве и избранных электоратом всей страны как единым избирательным округом, должно было работать в течение 2–4 месяцев и подготовить проект пересмотренного варианта Конституции с учетом результатов посвященного Конституции национального консультативного совещания, которое было проведено 6 ноября 2010</w:t>
      </w:r>
      <w:r>
        <w:t> года</w:t>
      </w:r>
      <w:r w:rsidR="00102068">
        <w:t>. На совещании присутствовали 950</w:t>
      </w:r>
      <w:r>
        <w:t> человек</w:t>
      </w:r>
      <w:r w:rsidR="00102068">
        <w:t xml:space="preserve"> в возрасте от 18 лет до 91</w:t>
      </w:r>
      <w:r>
        <w:t> года</w:t>
      </w:r>
      <w:r w:rsidR="00102068">
        <w:t xml:space="preserve"> из всех регионов страны; при этом число</w:t>
      </w:r>
      <w:r w:rsidR="004E3C3F">
        <w:t> женщин</w:t>
      </w:r>
      <w:r w:rsidR="00102068">
        <w:t xml:space="preserve"> в группе участников примерно соответствовало числу мужчин. В Законе о Конституционном собрании была предусмотрена некоторая гибкость при определении числа его членов; в случае недостаточной представленности мужчин или</w:t>
      </w:r>
      <w:r w:rsidR="004E3C3F">
        <w:t> женщин</w:t>
      </w:r>
      <w:r w:rsidR="00102068">
        <w:t xml:space="preserve"> по итогам выборов число членов Конституционного собрания может быть увеличено с 25 до 31 в целях улучшения гендерного баланса. На практике, однако, необходимости в этом не возникло. Свои кандидатуры на выборах в Конституционное собрание выдвинули 522</w:t>
      </w:r>
      <w:r>
        <w:t> человек</w:t>
      </w:r>
      <w:r w:rsidR="00102068">
        <w:t>а: 364 мужчины (70</w:t>
      </w:r>
      <w:r>
        <w:t> процентов</w:t>
      </w:r>
      <w:r w:rsidR="00102068">
        <w:t>) и 159</w:t>
      </w:r>
      <w:r w:rsidR="004E3C3F">
        <w:t> женщин</w:t>
      </w:r>
      <w:r w:rsidR="00102068">
        <w:t xml:space="preserve"> (30</w:t>
      </w:r>
      <w:r>
        <w:t> процентов</w:t>
      </w:r>
      <w:r w:rsidR="00102068">
        <w:t>). Средний возраст кандидатов, составлявший 47 лет, был одинаковым для</w:t>
      </w:r>
      <w:r w:rsidR="004E3C3F">
        <w:t> женщин</w:t>
      </w:r>
      <w:r w:rsidR="00102068">
        <w:t xml:space="preserve"> и для мужчин. Самому старшему из мужчин исполнилось 80 лет, а самому младшему</w:t>
      </w:r>
      <w:r w:rsidR="004E3C3F">
        <w:t xml:space="preserve"> —  </w:t>
      </w:r>
      <w:r w:rsidR="00102068">
        <w:t>19 лет; самой старшей из</w:t>
      </w:r>
      <w:r w:rsidR="004E3C3F">
        <w:t> женщин</w:t>
      </w:r>
      <w:r w:rsidR="00102068">
        <w:t xml:space="preserve"> было 66 лет, а самой младшей</w:t>
      </w:r>
      <w:r w:rsidR="004E3C3F">
        <w:t xml:space="preserve"> —  </w:t>
      </w:r>
      <w:r w:rsidR="00102068">
        <w:t>22</w:t>
      </w:r>
      <w:r>
        <w:t> года</w:t>
      </w:r>
      <w:r w:rsidR="00102068">
        <w:t>. По итогам выборов были избраны 15 мужчин (60</w:t>
      </w:r>
      <w:r>
        <w:t> процентов</w:t>
      </w:r>
      <w:r w:rsidR="00102068">
        <w:t>) и 10</w:t>
      </w:r>
      <w:r w:rsidR="004E3C3F">
        <w:t> женщин</w:t>
      </w:r>
      <w:r w:rsidR="00102068">
        <w:t xml:space="preserve"> (40</w:t>
      </w:r>
      <w:r>
        <w:t> процентов</w:t>
      </w:r>
      <w:r w:rsidR="00102068">
        <w:t>).</w:t>
      </w: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tab/>
      </w:r>
      <w:r w:rsidR="00102068">
        <w:t>Женщины в роли руководителей</w:t>
      </w:r>
    </w:p>
    <w:p w:rsidR="004C298C" w:rsidRPr="004C298C" w:rsidRDefault="004C298C" w:rsidP="004C298C">
      <w:pPr>
        <w:spacing w:line="120" w:lineRule="exact"/>
        <w:rPr>
          <w:sz w:val="10"/>
        </w:rPr>
      </w:pPr>
    </w:p>
    <w:p w:rsidR="004C298C" w:rsidRPr="004C298C" w:rsidRDefault="004C298C" w:rsidP="004C298C">
      <w:pPr>
        <w:spacing w:line="120" w:lineRule="exact"/>
        <w:rPr>
          <w:sz w:val="10"/>
        </w:rPr>
      </w:pPr>
    </w:p>
    <w:p w:rsidR="00102068" w:rsidRDefault="004C298C" w:rsidP="00102068">
      <w:pPr>
        <w:pStyle w:val="SingleTxtG"/>
      </w:pPr>
      <w:r>
        <w:tab/>
      </w:r>
      <w:r w:rsidR="00102068">
        <w:t>В преддверии выборов в местные советы 2014</w:t>
      </w:r>
      <w:r>
        <w:t> года</w:t>
      </w:r>
      <w:r w:rsidR="004E3C3F">
        <w:t> женщин</w:t>
      </w:r>
      <w:r w:rsidR="00102068">
        <w:t xml:space="preserve">ы, являющиеся членами всех политических партий, объединились в рамках общей для разных </w:t>
      </w:r>
      <w:r w:rsidR="00102068" w:rsidRPr="00A5195C">
        <w:t>политических</w:t>
      </w:r>
      <w:r w:rsidR="00102068">
        <w:t xml:space="preserve"> течений программы действий во имя достижения гендерного равенства. Первая из принятых мер предусматривала обращение к аудитории с призывом разместить логотип данного движения в качестве изображения в профиле Фейсбука. Этот логотип был представлен на пресс-конференции. Участники политической деятельности, выступавшие на совещании, отметили важность предоставления всем</w:t>
      </w:r>
      <w:r w:rsidR="004E3C3F">
        <w:t> женщин</w:t>
      </w:r>
      <w:r w:rsidR="00102068">
        <w:t>ам возможности быть услышанными, вне зависимости от политической программы.</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b/>
          <w:sz w:val="10"/>
        </w:rPr>
      </w:pPr>
    </w:p>
    <w:p w:rsidR="00102068"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Подпункты </w:t>
      </w:r>
      <w:r>
        <w:t>(</w:t>
      </w:r>
      <w:r w:rsidR="00102068">
        <w:t xml:space="preserve">b) и </w:t>
      </w:r>
      <w:r>
        <w:t>(</w:t>
      </w:r>
      <w:r w:rsidR="00102068">
        <w:t>c)</w:t>
      </w:r>
    </w:p>
    <w:p w:rsidR="004C298C" w:rsidRPr="004C298C" w:rsidRDefault="004C298C" w:rsidP="004C298C">
      <w:pPr>
        <w:pStyle w:val="SingleTxt"/>
        <w:spacing w:after="0" w:line="120" w:lineRule="exact"/>
        <w:rPr>
          <w:sz w:val="10"/>
        </w:rPr>
      </w:pPr>
    </w:p>
    <w:p w:rsidR="00102068"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Представленность</w:t>
      </w:r>
      <w:r w:rsidR="004E3C3F">
        <w:t> женщин</w:t>
      </w:r>
      <w:r w:rsidR="00102068">
        <w:t xml:space="preserve"> на уровне принятия государственных решений</w:t>
      </w:r>
    </w:p>
    <w:p w:rsidR="004C298C" w:rsidRPr="004C298C" w:rsidRDefault="004C298C" w:rsidP="004C298C">
      <w:pPr>
        <w:pStyle w:val="SingleTxt"/>
        <w:spacing w:after="0" w:line="120" w:lineRule="exact"/>
        <w:rPr>
          <w:sz w:val="10"/>
        </w:rPr>
      </w:pPr>
    </w:p>
    <w:p w:rsidR="004C298C" w:rsidRPr="004C298C" w:rsidRDefault="004C298C" w:rsidP="004C298C">
      <w:pPr>
        <w:pStyle w:val="SingleTxt"/>
        <w:spacing w:after="0" w:line="120" w:lineRule="exact"/>
        <w:rPr>
          <w:sz w:val="10"/>
        </w:rPr>
      </w:pPr>
    </w:p>
    <w:p w:rsidR="00102068" w:rsidRDefault="004C298C" w:rsidP="00102068">
      <w:pPr>
        <w:pStyle w:val="SingleTxtG"/>
      </w:pPr>
      <w:r>
        <w:tab/>
      </w:r>
      <w:r w:rsidR="00102068">
        <w:t>В 1970</w:t>
      </w:r>
      <w:r>
        <w:t> году</w:t>
      </w:r>
      <w:r w:rsidR="00102068">
        <w:t xml:space="preserve"> в состав исландского правительства впервые была включена</w:t>
      </w:r>
      <w:r w:rsidR="004E3C3F">
        <w:t> женщин</w:t>
      </w:r>
      <w:r w:rsidR="00102068">
        <w:t>а. До 2006</w:t>
      </w:r>
      <w:r>
        <w:t> года</w:t>
      </w:r>
      <w:r w:rsidR="004E3C3F">
        <w:t> женщин</w:t>
      </w:r>
      <w:r w:rsidR="00102068">
        <w:t>ы исполняли только функции министров социальных дел, образования и здравоохранения; позднее</w:t>
      </w:r>
      <w:r w:rsidR="004E3C3F">
        <w:t> женщин</w:t>
      </w:r>
      <w:r w:rsidR="00102068">
        <w:t>ы выступали в качестве министра иностранных дел, премьер-министра, министра финансов и министра внутренних дел; следует отметить, что до сих пор</w:t>
      </w:r>
      <w:r w:rsidR="004E3C3F">
        <w:t> женщин</w:t>
      </w:r>
      <w:r w:rsidR="00102068">
        <w:t>ы не занимали постов министра сельского хозяйства и министра рыболовства. В 2009</w:t>
      </w:r>
      <w:r>
        <w:t> году</w:t>
      </w:r>
      <w:r w:rsidR="00102068">
        <w:t xml:space="preserve"> доля</w:t>
      </w:r>
      <w:r w:rsidR="004E3C3F">
        <w:t> женщин</w:t>
      </w:r>
      <w:r w:rsidR="00102068">
        <w:t xml:space="preserve"> среди членов кабинета </w:t>
      </w:r>
      <w:r w:rsidR="00102068" w:rsidRPr="00A5195C">
        <w:t>министров</w:t>
      </w:r>
      <w:r w:rsidR="00102068">
        <w:t xml:space="preserve"> впервые составила 50</w:t>
      </w:r>
      <w:r>
        <w:t> процентов</w:t>
      </w:r>
      <w:r w:rsidR="00102068">
        <w:t>, а г-жа Йоханна Сигурдардоттир стала первой</w:t>
      </w:r>
      <w:r w:rsidR="004E3C3F">
        <w:t> женщин</w:t>
      </w:r>
      <w:r w:rsidR="00102068">
        <w:t>ой, занявшей пост премьер-министра Исландии. Новое правительство, возглавляемое Сигмюндюром Давидом Гюннлёйгссоном, приступило к работе 23 мая 2013</w:t>
      </w:r>
      <w:r>
        <w:t> года</w:t>
      </w:r>
      <w:r w:rsidR="00102068">
        <w:t>. Кабинет состоит из девяти министров: шестерых мужчин (66,6</w:t>
      </w:r>
      <w:r>
        <w:t> процента</w:t>
      </w:r>
      <w:r w:rsidR="00102068">
        <w:t>) и трех</w:t>
      </w:r>
      <w:r w:rsidR="004E3C3F">
        <w:t> женщин</w:t>
      </w:r>
      <w:r w:rsidR="00102068">
        <w:t xml:space="preserve"> (33,3</w:t>
      </w:r>
      <w:r>
        <w:t> процента</w:t>
      </w:r>
      <w:r w:rsidR="00102068">
        <w:t>). Ушедший в отставку кабинет министров, ставший вторым кабинетом, который возглавила Йоханна Сигурдардоттир, состоял из десяти министров: четырех</w:t>
      </w:r>
      <w:r w:rsidR="004E3C3F">
        <w:t> женщин</w:t>
      </w:r>
      <w:r w:rsidR="00102068">
        <w:t xml:space="preserve"> (40</w:t>
      </w:r>
      <w:r>
        <w:t> процентов</w:t>
      </w:r>
      <w:r w:rsidR="00102068">
        <w:t>) и шести мужчин (60</w:t>
      </w:r>
      <w:r>
        <w:t> процентов</w:t>
      </w:r>
      <w:r w:rsidR="00102068">
        <w:t xml:space="preserve">). </w:t>
      </w:r>
    </w:p>
    <w:p w:rsidR="004C298C" w:rsidRPr="004C298C" w:rsidRDefault="004C298C" w:rsidP="004C298C">
      <w:pPr>
        <w:pStyle w:val="SingleTxtG"/>
        <w:spacing w:after="0" w:line="120" w:lineRule="exact"/>
        <w:rPr>
          <w:sz w:val="10"/>
        </w:rPr>
      </w:pPr>
    </w:p>
    <w:p w:rsidR="00102068" w:rsidRDefault="00102068" w:rsidP="00102068">
      <w:pPr>
        <w:pStyle w:val="SingleTxtG"/>
        <w:jc w:val="left"/>
        <w:rPr>
          <w:b/>
        </w:rPr>
      </w:pPr>
      <w:r w:rsidRPr="00A5195C">
        <w:rPr>
          <w:b/>
        </w:rPr>
        <w:t>Соотношение мужчин и</w:t>
      </w:r>
      <w:r w:rsidR="004E3C3F">
        <w:rPr>
          <w:b/>
        </w:rPr>
        <w:t> женщин</w:t>
      </w:r>
      <w:r w:rsidRPr="00A5195C">
        <w:rPr>
          <w:b/>
        </w:rPr>
        <w:t xml:space="preserve"> в составе комитетов, управлений и советов в</w:t>
      </w:r>
      <w:r>
        <w:rPr>
          <w:b/>
        </w:rPr>
        <w:t> </w:t>
      </w:r>
      <w:r w:rsidRPr="00A5195C">
        <w:rPr>
          <w:b/>
        </w:rPr>
        <w:t>2012</w:t>
      </w:r>
      <w:r w:rsidR="004C298C">
        <w:rPr>
          <w:b/>
        </w:rPr>
        <w:t> году</w:t>
      </w:r>
    </w:p>
    <w:p w:rsidR="004C298C" w:rsidRPr="004C298C" w:rsidRDefault="004C298C" w:rsidP="004C298C">
      <w:pPr>
        <w:pStyle w:val="SingleTxtG"/>
        <w:spacing w:after="0" w:line="120" w:lineRule="exact"/>
        <w:jc w:val="left"/>
        <w:rPr>
          <w:b/>
          <w:sz w:val="10"/>
        </w:rPr>
      </w:pPr>
    </w:p>
    <w:tbl>
      <w:tblPr>
        <w:tblW w:w="0" w:type="auto"/>
        <w:jc w:val="center"/>
        <w:tblInd w:w="-14" w:type="dxa"/>
        <w:tblLayout w:type="fixed"/>
        <w:tblCellMar>
          <w:left w:w="0" w:type="dxa"/>
          <w:right w:w="0" w:type="dxa"/>
        </w:tblCellMar>
        <w:tblLook w:val="0000" w:firstRow="0" w:lastRow="0" w:firstColumn="0" w:lastColumn="0" w:noHBand="0" w:noVBand="0"/>
      </w:tblPr>
      <w:tblGrid>
        <w:gridCol w:w="3650"/>
        <w:gridCol w:w="1140"/>
        <w:gridCol w:w="1110"/>
        <w:gridCol w:w="690"/>
        <w:gridCol w:w="1550"/>
        <w:gridCol w:w="1520"/>
      </w:tblGrid>
      <w:tr w:rsidR="00102068" w:rsidTr="006505E8">
        <w:trPr>
          <w:trHeight w:val="240"/>
          <w:jc w:val="center"/>
        </w:trPr>
        <w:tc>
          <w:tcPr>
            <w:tcW w:w="365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before="80" w:after="80" w:line="240" w:lineRule="auto"/>
              <w:ind w:left="0" w:right="0"/>
              <w:jc w:val="left"/>
              <w:rPr>
                <w:bCs/>
                <w:i/>
                <w:sz w:val="14"/>
                <w:szCs w:val="14"/>
              </w:rPr>
            </w:pPr>
            <w:r w:rsidRPr="00A5195C">
              <w:rPr>
                <w:bCs/>
                <w:i/>
                <w:sz w:val="14"/>
                <w:szCs w:val="14"/>
              </w:rPr>
              <w:t>Министерство</w:t>
            </w:r>
          </w:p>
        </w:tc>
        <w:tc>
          <w:tcPr>
            <w:tcW w:w="114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before="80" w:after="80" w:line="240" w:lineRule="auto"/>
              <w:ind w:left="0" w:right="0"/>
              <w:jc w:val="right"/>
              <w:rPr>
                <w:bCs/>
                <w:i/>
                <w:sz w:val="14"/>
                <w:szCs w:val="14"/>
              </w:rPr>
            </w:pPr>
            <w:r w:rsidRPr="00A5195C">
              <w:rPr>
                <w:bCs/>
                <w:i/>
                <w:sz w:val="14"/>
                <w:szCs w:val="14"/>
              </w:rPr>
              <w:t>Женщины</w:t>
            </w:r>
          </w:p>
        </w:tc>
        <w:tc>
          <w:tcPr>
            <w:tcW w:w="111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before="80" w:after="80" w:line="240" w:lineRule="auto"/>
              <w:ind w:left="0" w:right="0"/>
              <w:jc w:val="right"/>
              <w:rPr>
                <w:bCs/>
                <w:i/>
                <w:sz w:val="14"/>
                <w:szCs w:val="14"/>
              </w:rPr>
            </w:pPr>
            <w:r w:rsidRPr="00A5195C">
              <w:rPr>
                <w:bCs/>
                <w:i/>
                <w:sz w:val="14"/>
                <w:szCs w:val="14"/>
              </w:rPr>
              <w:t>Мужчины</w:t>
            </w:r>
          </w:p>
        </w:tc>
        <w:tc>
          <w:tcPr>
            <w:tcW w:w="69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before="80" w:after="80" w:line="240" w:lineRule="auto"/>
              <w:ind w:left="0" w:right="0"/>
              <w:jc w:val="right"/>
              <w:rPr>
                <w:bCs/>
                <w:i/>
                <w:sz w:val="14"/>
                <w:szCs w:val="14"/>
              </w:rPr>
            </w:pPr>
            <w:r w:rsidRPr="00A5195C">
              <w:rPr>
                <w:bCs/>
                <w:i/>
                <w:sz w:val="14"/>
                <w:szCs w:val="14"/>
              </w:rPr>
              <w:t>Всего</w:t>
            </w:r>
          </w:p>
        </w:tc>
        <w:tc>
          <w:tcPr>
            <w:tcW w:w="155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0" w:right="0"/>
              <w:jc w:val="right"/>
              <w:rPr>
                <w:bCs/>
                <w:i/>
                <w:sz w:val="14"/>
                <w:szCs w:val="14"/>
              </w:rPr>
            </w:pPr>
            <w:r w:rsidRPr="00A5195C">
              <w:rPr>
                <w:bCs/>
                <w:i/>
                <w:sz w:val="14"/>
                <w:szCs w:val="14"/>
              </w:rPr>
              <w:t xml:space="preserve">Женщины </w:t>
            </w:r>
          </w:p>
          <w:p w:rsidR="00102068" w:rsidRPr="00A5195C" w:rsidRDefault="00102068" w:rsidP="006505E8">
            <w:pPr>
              <w:pStyle w:val="SingleTxtG"/>
              <w:suppressAutoHyphens w:val="0"/>
              <w:spacing w:after="0" w:line="240" w:lineRule="auto"/>
              <w:ind w:left="0" w:right="0"/>
              <w:jc w:val="right"/>
              <w:rPr>
                <w:bCs/>
                <w:i/>
                <w:sz w:val="14"/>
                <w:szCs w:val="14"/>
              </w:rPr>
            </w:pPr>
            <w:r w:rsidRPr="00A5195C">
              <w:rPr>
                <w:bCs/>
                <w:i/>
                <w:sz w:val="14"/>
                <w:szCs w:val="14"/>
              </w:rPr>
              <w:t>(в</w:t>
            </w:r>
            <w:r w:rsidR="004C298C">
              <w:rPr>
                <w:bCs/>
                <w:i/>
                <w:sz w:val="14"/>
                <w:szCs w:val="14"/>
              </w:rPr>
              <w:t> процента</w:t>
            </w:r>
            <w:r w:rsidRPr="00A5195C">
              <w:rPr>
                <w:bCs/>
                <w:i/>
                <w:sz w:val="14"/>
                <w:szCs w:val="14"/>
              </w:rPr>
              <w:t>х)</w:t>
            </w:r>
          </w:p>
        </w:tc>
        <w:tc>
          <w:tcPr>
            <w:tcW w:w="152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0" w:right="0"/>
              <w:jc w:val="right"/>
              <w:rPr>
                <w:bCs/>
                <w:i/>
                <w:sz w:val="14"/>
                <w:szCs w:val="14"/>
              </w:rPr>
            </w:pPr>
            <w:r w:rsidRPr="00A5195C">
              <w:rPr>
                <w:bCs/>
                <w:i/>
                <w:sz w:val="14"/>
                <w:szCs w:val="14"/>
              </w:rPr>
              <w:t xml:space="preserve">Мужчины </w:t>
            </w:r>
          </w:p>
          <w:p w:rsidR="00102068" w:rsidRPr="00A5195C" w:rsidRDefault="00102068" w:rsidP="006505E8">
            <w:pPr>
              <w:pStyle w:val="SingleTxtG"/>
              <w:suppressAutoHyphens w:val="0"/>
              <w:spacing w:after="0" w:line="240" w:lineRule="auto"/>
              <w:ind w:left="0" w:right="0"/>
              <w:jc w:val="right"/>
              <w:rPr>
                <w:sz w:val="14"/>
                <w:szCs w:val="14"/>
              </w:rPr>
            </w:pPr>
            <w:r w:rsidRPr="00A5195C">
              <w:rPr>
                <w:bCs/>
                <w:i/>
                <w:sz w:val="14"/>
                <w:szCs w:val="14"/>
              </w:rPr>
              <w:t>(в</w:t>
            </w:r>
            <w:r w:rsidR="004C298C">
              <w:rPr>
                <w:bCs/>
                <w:i/>
                <w:sz w:val="14"/>
                <w:szCs w:val="14"/>
              </w:rPr>
              <w:t> процента</w:t>
            </w:r>
            <w:r w:rsidRPr="00A5195C">
              <w:rPr>
                <w:bCs/>
                <w:i/>
                <w:sz w:val="14"/>
                <w:szCs w:val="14"/>
              </w:rPr>
              <w:t>х)</w:t>
            </w:r>
          </w:p>
        </w:tc>
      </w:tr>
      <w:tr w:rsidR="00102068" w:rsidTr="006505E8">
        <w:trPr>
          <w:trHeight w:val="240"/>
          <w:jc w:val="center"/>
        </w:trPr>
        <w:tc>
          <w:tcPr>
            <w:tcW w:w="3650" w:type="dxa"/>
            <w:tcBorders>
              <w:top w:val="single" w:sz="12" w:space="0" w:color="000000"/>
            </w:tcBorders>
            <w:shd w:val="clear" w:color="auto" w:fill="auto"/>
          </w:tcPr>
          <w:p w:rsidR="00102068" w:rsidRPr="00A5195C" w:rsidRDefault="00102068" w:rsidP="006505E8">
            <w:pPr>
              <w:spacing w:before="120" w:after="40" w:line="240" w:lineRule="auto"/>
              <w:rPr>
                <w:spacing w:val="0"/>
                <w:w w:val="100"/>
                <w:sz w:val="17"/>
                <w:szCs w:val="17"/>
              </w:rPr>
            </w:pPr>
            <w:r w:rsidRPr="00A5195C">
              <w:rPr>
                <w:bCs/>
                <w:spacing w:val="0"/>
                <w:w w:val="100"/>
                <w:sz w:val="17"/>
                <w:szCs w:val="17"/>
              </w:rPr>
              <w:t>Канцелярия премьер-министра</w:t>
            </w:r>
          </w:p>
        </w:tc>
        <w:tc>
          <w:tcPr>
            <w:tcW w:w="1140" w:type="dxa"/>
            <w:tcBorders>
              <w:top w:val="single" w:sz="12" w:space="0" w:color="000000"/>
            </w:tcBorders>
            <w:shd w:val="clear" w:color="auto" w:fill="auto"/>
            <w:vAlign w:val="bottom"/>
          </w:tcPr>
          <w:p w:rsidR="00102068" w:rsidRPr="00A5195C" w:rsidRDefault="00102068" w:rsidP="006505E8">
            <w:pPr>
              <w:spacing w:before="120" w:after="40" w:line="240" w:lineRule="auto"/>
              <w:jc w:val="right"/>
              <w:rPr>
                <w:spacing w:val="0"/>
                <w:w w:val="100"/>
                <w:sz w:val="17"/>
                <w:szCs w:val="17"/>
              </w:rPr>
            </w:pPr>
            <w:r w:rsidRPr="00A5195C">
              <w:rPr>
                <w:spacing w:val="0"/>
                <w:w w:val="100"/>
                <w:sz w:val="17"/>
                <w:szCs w:val="17"/>
              </w:rPr>
              <w:t>64</w:t>
            </w:r>
          </w:p>
        </w:tc>
        <w:tc>
          <w:tcPr>
            <w:tcW w:w="1110" w:type="dxa"/>
            <w:tcBorders>
              <w:top w:val="single" w:sz="12" w:space="0" w:color="000000"/>
            </w:tcBorders>
            <w:shd w:val="clear" w:color="auto" w:fill="auto"/>
            <w:vAlign w:val="bottom"/>
          </w:tcPr>
          <w:p w:rsidR="00102068" w:rsidRPr="00A5195C" w:rsidRDefault="00102068" w:rsidP="006505E8">
            <w:pPr>
              <w:spacing w:before="120" w:after="40" w:line="240" w:lineRule="auto"/>
              <w:jc w:val="right"/>
              <w:rPr>
                <w:spacing w:val="0"/>
                <w:w w:val="100"/>
                <w:sz w:val="17"/>
                <w:szCs w:val="17"/>
              </w:rPr>
            </w:pPr>
            <w:r w:rsidRPr="00A5195C">
              <w:rPr>
                <w:spacing w:val="0"/>
                <w:w w:val="100"/>
                <w:sz w:val="17"/>
                <w:szCs w:val="17"/>
              </w:rPr>
              <w:t>75</w:t>
            </w:r>
          </w:p>
        </w:tc>
        <w:tc>
          <w:tcPr>
            <w:tcW w:w="690" w:type="dxa"/>
            <w:tcBorders>
              <w:top w:val="single" w:sz="12" w:space="0" w:color="000000"/>
            </w:tcBorders>
            <w:shd w:val="clear" w:color="auto" w:fill="auto"/>
            <w:vAlign w:val="bottom"/>
          </w:tcPr>
          <w:p w:rsidR="00102068" w:rsidRPr="00A5195C" w:rsidRDefault="00102068" w:rsidP="006505E8">
            <w:pPr>
              <w:spacing w:before="120" w:after="40" w:line="240" w:lineRule="auto"/>
              <w:jc w:val="right"/>
              <w:rPr>
                <w:spacing w:val="0"/>
                <w:w w:val="100"/>
                <w:sz w:val="17"/>
                <w:szCs w:val="17"/>
              </w:rPr>
            </w:pPr>
            <w:r w:rsidRPr="00A5195C">
              <w:rPr>
                <w:spacing w:val="0"/>
                <w:w w:val="100"/>
                <w:sz w:val="17"/>
                <w:szCs w:val="17"/>
              </w:rPr>
              <w:t>139</w:t>
            </w:r>
          </w:p>
        </w:tc>
        <w:tc>
          <w:tcPr>
            <w:tcW w:w="1550" w:type="dxa"/>
            <w:tcBorders>
              <w:top w:val="single" w:sz="12" w:space="0" w:color="000000"/>
            </w:tcBorders>
            <w:shd w:val="clear" w:color="auto" w:fill="auto"/>
            <w:vAlign w:val="bottom"/>
          </w:tcPr>
          <w:p w:rsidR="00102068" w:rsidRPr="00A5195C" w:rsidRDefault="00102068" w:rsidP="006505E8">
            <w:pPr>
              <w:spacing w:before="120" w:after="40" w:line="240" w:lineRule="auto"/>
              <w:jc w:val="right"/>
              <w:rPr>
                <w:spacing w:val="0"/>
                <w:w w:val="100"/>
                <w:sz w:val="17"/>
                <w:szCs w:val="17"/>
              </w:rPr>
            </w:pPr>
            <w:r w:rsidRPr="00A5195C">
              <w:rPr>
                <w:spacing w:val="0"/>
                <w:w w:val="100"/>
                <w:sz w:val="17"/>
                <w:szCs w:val="17"/>
              </w:rPr>
              <w:t>46</w:t>
            </w:r>
          </w:p>
        </w:tc>
        <w:tc>
          <w:tcPr>
            <w:tcW w:w="1520" w:type="dxa"/>
            <w:tcBorders>
              <w:top w:val="single" w:sz="12" w:space="0" w:color="000000"/>
            </w:tcBorders>
            <w:shd w:val="clear" w:color="auto" w:fill="auto"/>
            <w:vAlign w:val="bottom"/>
          </w:tcPr>
          <w:p w:rsidR="00102068" w:rsidRPr="00A5195C" w:rsidRDefault="00102068" w:rsidP="006505E8">
            <w:pPr>
              <w:spacing w:before="120" w:after="40" w:line="240" w:lineRule="auto"/>
              <w:jc w:val="right"/>
              <w:rPr>
                <w:spacing w:val="0"/>
                <w:w w:val="100"/>
                <w:sz w:val="17"/>
                <w:szCs w:val="17"/>
              </w:rPr>
            </w:pPr>
            <w:r w:rsidRPr="00A5195C">
              <w:rPr>
                <w:spacing w:val="0"/>
                <w:w w:val="100"/>
                <w:sz w:val="17"/>
                <w:szCs w:val="17"/>
              </w:rPr>
              <w:t>54</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is-IS"/>
              </w:rPr>
              <w:t>Министерство промышленности и инноваций</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173</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273</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446</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39</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61</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rPr>
              <w:t>Министерство финансов и экономики</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110</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151</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261</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42</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58</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zh-CN"/>
              </w:rPr>
              <w:t>Министерство внутренних дел</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141</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224</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365</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39</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61</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is-IS"/>
              </w:rPr>
              <w:t>Министерство образования, науки и культуры</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373</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504</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877</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43</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57</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zh-CN"/>
              </w:rPr>
              <w:t>Министерство охраны окружающей среды и</w:t>
            </w:r>
            <w:r>
              <w:rPr>
                <w:spacing w:val="0"/>
                <w:w w:val="100"/>
                <w:sz w:val="17"/>
                <w:szCs w:val="17"/>
                <w:lang w:eastAsia="zh-CN"/>
              </w:rPr>
              <w:t> </w:t>
            </w:r>
            <w:r w:rsidRPr="00A5195C">
              <w:rPr>
                <w:spacing w:val="0"/>
                <w:w w:val="100"/>
                <w:sz w:val="17"/>
                <w:szCs w:val="17"/>
                <w:lang w:eastAsia="zh-CN"/>
              </w:rPr>
              <w:t>природных ресурсов</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141</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187</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328</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43</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57</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zh-CN"/>
              </w:rPr>
              <w:t>Министерство иностранных дел</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136</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185</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321</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42</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58</w:t>
            </w:r>
          </w:p>
        </w:tc>
      </w:tr>
      <w:tr w:rsidR="00102068" w:rsidTr="006505E8">
        <w:trPr>
          <w:trHeight w:val="240"/>
          <w:jc w:val="center"/>
        </w:trPr>
        <w:tc>
          <w:tcPr>
            <w:tcW w:w="3650" w:type="dxa"/>
            <w:shd w:val="clear" w:color="auto" w:fill="auto"/>
          </w:tcPr>
          <w:p w:rsidR="00102068" w:rsidRPr="00A5195C" w:rsidRDefault="00102068" w:rsidP="006505E8">
            <w:pPr>
              <w:spacing w:before="40" w:after="40" w:line="240" w:lineRule="auto"/>
              <w:rPr>
                <w:spacing w:val="0"/>
                <w:w w:val="100"/>
                <w:sz w:val="17"/>
                <w:szCs w:val="17"/>
              </w:rPr>
            </w:pPr>
            <w:r w:rsidRPr="00A5195C">
              <w:rPr>
                <w:spacing w:val="0"/>
                <w:w w:val="100"/>
                <w:sz w:val="17"/>
                <w:szCs w:val="17"/>
                <w:lang w:eastAsia="zh-CN"/>
              </w:rPr>
              <w:t>Министерство социального обеспечения</w:t>
            </w:r>
          </w:p>
        </w:tc>
        <w:tc>
          <w:tcPr>
            <w:tcW w:w="114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419</w:t>
            </w:r>
          </w:p>
        </w:tc>
        <w:tc>
          <w:tcPr>
            <w:tcW w:w="111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391</w:t>
            </w:r>
          </w:p>
        </w:tc>
        <w:tc>
          <w:tcPr>
            <w:tcW w:w="69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810</w:t>
            </w:r>
          </w:p>
        </w:tc>
        <w:tc>
          <w:tcPr>
            <w:tcW w:w="155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52</w:t>
            </w:r>
          </w:p>
        </w:tc>
        <w:tc>
          <w:tcPr>
            <w:tcW w:w="1520" w:type="dxa"/>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spacing w:val="0"/>
                <w:w w:val="100"/>
                <w:sz w:val="17"/>
                <w:szCs w:val="17"/>
              </w:rPr>
              <w:t>48</w:t>
            </w:r>
          </w:p>
        </w:tc>
      </w:tr>
      <w:tr w:rsidR="00102068" w:rsidTr="006505E8">
        <w:trPr>
          <w:trHeight w:val="240"/>
          <w:jc w:val="center"/>
        </w:trPr>
        <w:tc>
          <w:tcPr>
            <w:tcW w:w="3650" w:type="dxa"/>
            <w:tcBorders>
              <w:bottom w:val="single" w:sz="12" w:space="0" w:color="000000"/>
            </w:tcBorders>
            <w:shd w:val="clear" w:color="auto" w:fill="auto"/>
          </w:tcPr>
          <w:p w:rsidR="00102068" w:rsidRPr="00A5195C" w:rsidRDefault="00102068" w:rsidP="006505E8">
            <w:pPr>
              <w:spacing w:before="40" w:after="40" w:line="240" w:lineRule="auto"/>
              <w:rPr>
                <w:b/>
                <w:bCs/>
                <w:spacing w:val="0"/>
                <w:w w:val="100"/>
                <w:sz w:val="17"/>
                <w:szCs w:val="17"/>
              </w:rPr>
            </w:pPr>
            <w:r w:rsidRPr="00A5195C">
              <w:rPr>
                <w:b/>
                <w:bCs/>
                <w:spacing w:val="0"/>
                <w:w w:val="100"/>
                <w:sz w:val="17"/>
                <w:szCs w:val="17"/>
              </w:rPr>
              <w:t>Всего</w:t>
            </w:r>
          </w:p>
        </w:tc>
        <w:tc>
          <w:tcPr>
            <w:tcW w:w="114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b/>
                <w:bCs/>
                <w:spacing w:val="0"/>
                <w:w w:val="100"/>
                <w:sz w:val="17"/>
                <w:szCs w:val="17"/>
              </w:rPr>
            </w:pPr>
            <w:r w:rsidRPr="00A5195C">
              <w:rPr>
                <w:b/>
                <w:bCs/>
                <w:spacing w:val="0"/>
                <w:w w:val="100"/>
                <w:sz w:val="17"/>
                <w:szCs w:val="17"/>
              </w:rPr>
              <w:t>1 557</w:t>
            </w:r>
          </w:p>
        </w:tc>
        <w:tc>
          <w:tcPr>
            <w:tcW w:w="111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b/>
                <w:bCs/>
                <w:spacing w:val="0"/>
                <w:w w:val="100"/>
                <w:sz w:val="17"/>
                <w:szCs w:val="17"/>
              </w:rPr>
            </w:pPr>
            <w:r w:rsidRPr="00A5195C">
              <w:rPr>
                <w:b/>
                <w:bCs/>
                <w:spacing w:val="0"/>
                <w:w w:val="100"/>
                <w:sz w:val="17"/>
                <w:szCs w:val="17"/>
              </w:rPr>
              <w:t>1 990</w:t>
            </w:r>
          </w:p>
        </w:tc>
        <w:tc>
          <w:tcPr>
            <w:tcW w:w="69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b/>
                <w:bCs/>
                <w:spacing w:val="0"/>
                <w:w w:val="100"/>
                <w:sz w:val="17"/>
                <w:szCs w:val="17"/>
              </w:rPr>
            </w:pPr>
            <w:r w:rsidRPr="00A5195C">
              <w:rPr>
                <w:b/>
                <w:bCs/>
                <w:spacing w:val="0"/>
                <w:w w:val="100"/>
                <w:sz w:val="17"/>
                <w:szCs w:val="17"/>
              </w:rPr>
              <w:t>3 547</w:t>
            </w:r>
          </w:p>
        </w:tc>
        <w:tc>
          <w:tcPr>
            <w:tcW w:w="155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b/>
                <w:bCs/>
                <w:spacing w:val="0"/>
                <w:w w:val="100"/>
                <w:sz w:val="17"/>
                <w:szCs w:val="17"/>
              </w:rPr>
            </w:pPr>
            <w:r w:rsidRPr="00A5195C">
              <w:rPr>
                <w:b/>
                <w:bCs/>
                <w:spacing w:val="0"/>
                <w:w w:val="100"/>
                <w:sz w:val="17"/>
                <w:szCs w:val="17"/>
              </w:rPr>
              <w:t>44</w:t>
            </w:r>
          </w:p>
        </w:tc>
        <w:tc>
          <w:tcPr>
            <w:tcW w:w="152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spacing w:val="0"/>
                <w:w w:val="100"/>
                <w:sz w:val="17"/>
                <w:szCs w:val="17"/>
              </w:rPr>
            </w:pPr>
            <w:r w:rsidRPr="00A5195C">
              <w:rPr>
                <w:b/>
                <w:bCs/>
                <w:spacing w:val="0"/>
                <w:w w:val="100"/>
                <w:sz w:val="17"/>
                <w:szCs w:val="17"/>
              </w:rPr>
              <w:t>56</w:t>
            </w:r>
          </w:p>
        </w:tc>
      </w:tr>
    </w:tbl>
    <w:p w:rsidR="00102068" w:rsidRDefault="004C298C" w:rsidP="00102068">
      <w:pPr>
        <w:pStyle w:val="SingleTxtG"/>
        <w:spacing w:before="120"/>
      </w:pPr>
      <w:r>
        <w:tab/>
      </w:r>
      <w:r w:rsidR="00102068">
        <w:t xml:space="preserve">В соответствии со </w:t>
      </w:r>
      <w:r>
        <w:t>статьей </w:t>
      </w:r>
      <w:r w:rsidR="00102068">
        <w:t>15 Закона о равенстве мужчин и</w:t>
      </w:r>
      <w:r w:rsidR="004E3C3F">
        <w:t> женщин</w:t>
      </w:r>
      <w:r>
        <w:t> № </w:t>
      </w:r>
      <w:r w:rsidR="00102068">
        <w:t xml:space="preserve">10/2008 при назначении членов государственных и муниципальных комитетов, советов и управлений необходимо следить за тем, чтобы соотношение </w:t>
      </w:r>
      <w:r w:rsidR="00102068" w:rsidRPr="00A5195C">
        <w:t>мужчин</w:t>
      </w:r>
      <w:r w:rsidR="00102068">
        <w:t xml:space="preserve"> и</w:t>
      </w:r>
      <w:r w:rsidR="004E3C3F">
        <w:t> женщин</w:t>
      </w:r>
      <w:r w:rsidR="00102068">
        <w:t xml:space="preserve"> по возможности было максимально сбалансированным, обеспечивая, чтобы представители каждого пола занимали не менее 40</w:t>
      </w:r>
      <w:r>
        <w:t> процентов</w:t>
      </w:r>
      <w:r w:rsidR="00102068">
        <w:t xml:space="preserve"> мест в органах, включающих более трех членов. Сказанное также относится к открытым акционерным компаниям с ограниченной ответственностью и предприятиям, большинство из которых находится в государственной или муниципальной собственности.</w:t>
      </w:r>
    </w:p>
    <w:p w:rsidR="00102068" w:rsidRDefault="004C298C" w:rsidP="00102068">
      <w:pPr>
        <w:pStyle w:val="SingleTxtG"/>
      </w:pPr>
      <w:r>
        <w:tab/>
      </w:r>
      <w:r w:rsidR="00102068">
        <w:t>В 2008</w:t>
      </w:r>
      <w:r>
        <w:t> году</w:t>
      </w:r>
      <w:r w:rsidR="004E3C3F">
        <w:t> женщин</w:t>
      </w:r>
      <w:r w:rsidR="00102068">
        <w:t>ы составляли 37</w:t>
      </w:r>
      <w:r>
        <w:t> процентов</w:t>
      </w:r>
      <w:r w:rsidR="00102068">
        <w:t xml:space="preserve"> членов комитетов, советов и управлений, действующих в рамках министерств. В 2009 и 2010</w:t>
      </w:r>
      <w:r>
        <w:t> года</w:t>
      </w:r>
      <w:r w:rsidR="00102068">
        <w:t>х этот показатель был равен 40</w:t>
      </w:r>
      <w:r>
        <w:t> процента</w:t>
      </w:r>
      <w:r w:rsidR="00102068">
        <w:t>м; в 2011</w:t>
      </w:r>
      <w:r>
        <w:t> году</w:t>
      </w:r>
      <w:r w:rsidR="00102068">
        <w:t xml:space="preserve"> их доля составила 43</w:t>
      </w:r>
      <w:r>
        <w:t> процента</w:t>
      </w:r>
      <w:r w:rsidR="00102068">
        <w:t>, а в 2012</w:t>
      </w:r>
      <w:r>
        <w:t> году</w:t>
      </w:r>
      <w:r w:rsidR="00102068">
        <w:t xml:space="preserve"> достигла 44</w:t>
      </w:r>
      <w:r>
        <w:t> процентов</w:t>
      </w:r>
      <w:r w:rsidR="00102068">
        <w:t>. В 2012</w:t>
      </w:r>
      <w:r>
        <w:t> году</w:t>
      </w:r>
      <w:r w:rsidR="00102068">
        <w:t xml:space="preserve"> было назначено 148 новых комитетов, советов и управлений. Состав этих органов соответствовал закону в 100 случаях, т. е. установленным требованиям </w:t>
      </w:r>
      <w:r w:rsidR="00102068" w:rsidRPr="00A5195C">
        <w:t>отвечали</w:t>
      </w:r>
      <w:r w:rsidR="00102068">
        <w:t xml:space="preserve"> 68</w:t>
      </w:r>
      <w:r>
        <w:t> процентов</w:t>
      </w:r>
      <w:r w:rsidR="00102068">
        <w:t xml:space="preserve"> новых комитетов, советов и управлений, приступивших к работе в министерствах в этом</w:t>
      </w:r>
      <w:r>
        <w:t> году</w:t>
      </w:r>
      <w:r w:rsidR="00102068">
        <w:t>. Центр по вопросам равенства мужчин и</w:t>
      </w:r>
      <w:r w:rsidR="004E3C3F">
        <w:t> женщин</w:t>
      </w:r>
      <w:r w:rsidR="00102068">
        <w:t xml:space="preserve"> принял меры по выяснению оснований для назначения членов 48 комитетов (и аналогичных органов); в настоящее время проводится проверка с целью определения того, распространяются ли на эти назначения положения об исключениях, позволяющие отступать от основного правила о выдвижении мужских и женских кандидатур при наличии объективных причин. В ходе проверки было установлено, что примерно в половине случаев, когда назначения не соответствовали требованиям </w:t>
      </w:r>
      <w:r>
        <w:t>статьи </w:t>
      </w:r>
      <w:r w:rsidR="00102068">
        <w:t>15, были применимы положения об исключениях.</w:t>
      </w:r>
    </w:p>
    <w:p w:rsidR="00102068" w:rsidRDefault="004C298C" w:rsidP="00102068">
      <w:pPr>
        <w:pStyle w:val="SingleTxtG"/>
      </w:pPr>
      <w:r>
        <w:tab/>
      </w:r>
      <w:r w:rsidR="00102068">
        <w:t xml:space="preserve">Женщины и мужчины, работающие в министерствах и правительственных </w:t>
      </w:r>
      <w:r w:rsidR="00102068" w:rsidRPr="00A5195C">
        <w:t>органах</w:t>
      </w:r>
      <w:r w:rsidR="00102068">
        <w:t>, имеют равные возможности в том, что касается представления правительства на международной арене и участия в деятельности международных организаций. Согласно статистическим данным за 2013 год в правительственных делегациях имело место следующее соотношение полов:</w:t>
      </w:r>
    </w:p>
    <w:p w:rsidR="004C298C" w:rsidRPr="004C298C" w:rsidRDefault="004C298C" w:rsidP="004C298C">
      <w:pPr>
        <w:pStyle w:val="SingleTxtG"/>
        <w:spacing w:after="0" w:line="120" w:lineRule="exact"/>
        <w:rPr>
          <w:sz w:val="10"/>
        </w:rPr>
      </w:pPr>
    </w:p>
    <w:tbl>
      <w:tblPr>
        <w:tblW w:w="0" w:type="auto"/>
        <w:tblInd w:w="1276" w:type="dxa"/>
        <w:tblLayout w:type="fixed"/>
        <w:tblCellMar>
          <w:left w:w="0" w:type="dxa"/>
          <w:right w:w="0" w:type="dxa"/>
        </w:tblCellMar>
        <w:tblLook w:val="0000" w:firstRow="0" w:lastRow="0" w:firstColumn="0" w:lastColumn="0" w:noHBand="0" w:noVBand="0"/>
      </w:tblPr>
      <w:tblGrid>
        <w:gridCol w:w="2680"/>
        <w:gridCol w:w="1580"/>
        <w:gridCol w:w="1630"/>
        <w:gridCol w:w="1610"/>
        <w:gridCol w:w="860"/>
      </w:tblGrid>
      <w:tr w:rsidR="00102068" w:rsidTr="006505E8">
        <w:trPr>
          <w:trHeight w:val="240"/>
          <w:tblHeader/>
        </w:trPr>
        <w:tc>
          <w:tcPr>
            <w:tcW w:w="268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before="80" w:after="80" w:line="240" w:lineRule="auto"/>
              <w:ind w:left="0" w:right="0"/>
              <w:jc w:val="left"/>
              <w:rPr>
                <w:bCs/>
                <w:i/>
                <w:sz w:val="14"/>
                <w:szCs w:val="14"/>
              </w:rPr>
            </w:pPr>
            <w:r w:rsidRPr="00A5195C">
              <w:rPr>
                <w:bCs/>
                <w:i/>
                <w:sz w:val="14"/>
                <w:szCs w:val="14"/>
              </w:rPr>
              <w:t>Должность</w:t>
            </w:r>
          </w:p>
        </w:tc>
        <w:tc>
          <w:tcPr>
            <w:tcW w:w="158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 xml:space="preserve">Мужчины </w:t>
            </w:r>
          </w:p>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(в</w:t>
            </w:r>
            <w:r w:rsidR="004C298C">
              <w:rPr>
                <w:bCs/>
                <w:i/>
                <w:sz w:val="14"/>
                <w:szCs w:val="14"/>
              </w:rPr>
              <w:t> процента</w:t>
            </w:r>
            <w:r w:rsidRPr="00A5195C">
              <w:rPr>
                <w:bCs/>
                <w:i/>
                <w:sz w:val="14"/>
                <w:szCs w:val="14"/>
              </w:rPr>
              <w:t>х)</w:t>
            </w:r>
          </w:p>
        </w:tc>
        <w:tc>
          <w:tcPr>
            <w:tcW w:w="163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 xml:space="preserve">Женщины </w:t>
            </w:r>
          </w:p>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(в</w:t>
            </w:r>
            <w:r w:rsidR="004C298C">
              <w:rPr>
                <w:bCs/>
                <w:i/>
                <w:sz w:val="14"/>
                <w:szCs w:val="14"/>
              </w:rPr>
              <w:t> процента</w:t>
            </w:r>
            <w:r w:rsidRPr="00A5195C">
              <w:rPr>
                <w:bCs/>
                <w:i/>
                <w:sz w:val="14"/>
                <w:szCs w:val="14"/>
              </w:rPr>
              <w:t>х)</w:t>
            </w:r>
          </w:p>
        </w:tc>
        <w:tc>
          <w:tcPr>
            <w:tcW w:w="161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Всего</w:t>
            </w:r>
          </w:p>
          <w:p w:rsidR="00102068" w:rsidRPr="00A5195C" w:rsidRDefault="00102068" w:rsidP="006505E8">
            <w:pPr>
              <w:pStyle w:val="SingleTxtG"/>
              <w:suppressAutoHyphens w:val="0"/>
              <w:spacing w:after="0" w:line="240" w:lineRule="auto"/>
              <w:ind w:left="113" w:right="0"/>
              <w:jc w:val="right"/>
              <w:rPr>
                <w:bCs/>
                <w:i/>
                <w:sz w:val="14"/>
                <w:szCs w:val="14"/>
              </w:rPr>
            </w:pPr>
            <w:r w:rsidRPr="00A5195C">
              <w:rPr>
                <w:bCs/>
                <w:i/>
                <w:sz w:val="14"/>
                <w:szCs w:val="14"/>
              </w:rPr>
              <w:t>(в</w:t>
            </w:r>
            <w:r w:rsidR="004C298C">
              <w:rPr>
                <w:bCs/>
                <w:i/>
                <w:sz w:val="14"/>
                <w:szCs w:val="14"/>
              </w:rPr>
              <w:t> процента</w:t>
            </w:r>
            <w:r w:rsidRPr="00A5195C">
              <w:rPr>
                <w:bCs/>
                <w:i/>
                <w:sz w:val="14"/>
                <w:szCs w:val="14"/>
              </w:rPr>
              <w:t>х)</w:t>
            </w:r>
          </w:p>
        </w:tc>
        <w:tc>
          <w:tcPr>
            <w:tcW w:w="860" w:type="dxa"/>
            <w:tcBorders>
              <w:top w:val="single" w:sz="4" w:space="0" w:color="000000"/>
              <w:bottom w:val="single" w:sz="12" w:space="0" w:color="000000"/>
            </w:tcBorders>
            <w:shd w:val="clear" w:color="auto" w:fill="auto"/>
            <w:vAlign w:val="bottom"/>
          </w:tcPr>
          <w:p w:rsidR="00102068" w:rsidRPr="00A5195C" w:rsidRDefault="00102068" w:rsidP="006505E8">
            <w:pPr>
              <w:pStyle w:val="SingleTxtG"/>
              <w:suppressAutoHyphens w:val="0"/>
              <w:spacing w:after="0" w:line="240" w:lineRule="auto"/>
              <w:ind w:left="113" w:right="0"/>
              <w:jc w:val="right"/>
              <w:rPr>
                <w:sz w:val="14"/>
                <w:szCs w:val="14"/>
              </w:rPr>
            </w:pPr>
            <w:r w:rsidRPr="00A5195C">
              <w:rPr>
                <w:bCs/>
                <w:i/>
                <w:sz w:val="14"/>
                <w:szCs w:val="14"/>
              </w:rPr>
              <w:t>Число</w:t>
            </w:r>
          </w:p>
        </w:tc>
      </w:tr>
      <w:tr w:rsidR="00102068" w:rsidTr="006505E8">
        <w:trPr>
          <w:trHeight w:val="240"/>
        </w:trPr>
        <w:tc>
          <w:tcPr>
            <w:tcW w:w="2680" w:type="dxa"/>
            <w:tcBorders>
              <w:top w:val="single" w:sz="12" w:space="0" w:color="000000"/>
            </w:tcBorders>
            <w:shd w:val="clear" w:color="auto" w:fill="auto"/>
          </w:tcPr>
          <w:p w:rsidR="00102068" w:rsidRPr="00A5195C" w:rsidRDefault="00102068" w:rsidP="006505E8">
            <w:pPr>
              <w:pStyle w:val="SingleTxtG"/>
              <w:suppressAutoHyphens w:val="0"/>
              <w:spacing w:before="120" w:after="40" w:line="240" w:lineRule="auto"/>
              <w:ind w:left="0" w:right="0"/>
              <w:jc w:val="left"/>
              <w:rPr>
                <w:sz w:val="17"/>
                <w:szCs w:val="17"/>
              </w:rPr>
            </w:pPr>
            <w:r w:rsidRPr="00A5195C">
              <w:rPr>
                <w:sz w:val="17"/>
                <w:szCs w:val="17"/>
              </w:rPr>
              <w:t>Постоянные секретари</w:t>
            </w:r>
          </w:p>
        </w:tc>
        <w:tc>
          <w:tcPr>
            <w:tcW w:w="1580" w:type="dxa"/>
            <w:tcBorders>
              <w:top w:val="single" w:sz="12" w:space="0" w:color="000000"/>
            </w:tcBorders>
            <w:shd w:val="clear" w:color="auto" w:fill="auto"/>
            <w:vAlign w:val="bottom"/>
          </w:tcPr>
          <w:p w:rsidR="00102068" w:rsidRPr="00A5195C" w:rsidRDefault="00102068" w:rsidP="006505E8">
            <w:pPr>
              <w:pStyle w:val="SingleTxtG"/>
              <w:suppressAutoHyphens w:val="0"/>
              <w:spacing w:before="120" w:after="40" w:line="240" w:lineRule="auto"/>
              <w:ind w:left="113" w:right="0"/>
              <w:jc w:val="right"/>
              <w:rPr>
                <w:sz w:val="17"/>
                <w:szCs w:val="17"/>
              </w:rPr>
            </w:pPr>
            <w:r w:rsidRPr="00A5195C">
              <w:rPr>
                <w:sz w:val="17"/>
                <w:szCs w:val="17"/>
              </w:rPr>
              <w:t>50</w:t>
            </w:r>
          </w:p>
        </w:tc>
        <w:tc>
          <w:tcPr>
            <w:tcW w:w="1630" w:type="dxa"/>
            <w:tcBorders>
              <w:top w:val="single" w:sz="12" w:space="0" w:color="000000"/>
            </w:tcBorders>
            <w:shd w:val="clear" w:color="auto" w:fill="auto"/>
            <w:vAlign w:val="bottom"/>
          </w:tcPr>
          <w:p w:rsidR="00102068" w:rsidRPr="00A5195C" w:rsidRDefault="00102068" w:rsidP="006505E8">
            <w:pPr>
              <w:pStyle w:val="SingleTxtG"/>
              <w:suppressAutoHyphens w:val="0"/>
              <w:spacing w:before="120" w:after="40" w:line="240" w:lineRule="auto"/>
              <w:ind w:left="113" w:right="0"/>
              <w:jc w:val="right"/>
              <w:rPr>
                <w:sz w:val="17"/>
                <w:szCs w:val="17"/>
              </w:rPr>
            </w:pPr>
            <w:r w:rsidRPr="00A5195C">
              <w:rPr>
                <w:sz w:val="17"/>
                <w:szCs w:val="17"/>
              </w:rPr>
              <w:t>50</w:t>
            </w:r>
          </w:p>
        </w:tc>
        <w:tc>
          <w:tcPr>
            <w:tcW w:w="1610" w:type="dxa"/>
            <w:tcBorders>
              <w:top w:val="single" w:sz="12" w:space="0" w:color="000000"/>
            </w:tcBorders>
            <w:shd w:val="clear" w:color="auto" w:fill="auto"/>
            <w:vAlign w:val="bottom"/>
          </w:tcPr>
          <w:p w:rsidR="00102068" w:rsidRPr="00A5195C" w:rsidRDefault="00102068" w:rsidP="006505E8">
            <w:pPr>
              <w:pStyle w:val="SingleTxtG"/>
              <w:suppressAutoHyphens w:val="0"/>
              <w:spacing w:before="120" w:after="40" w:line="240" w:lineRule="auto"/>
              <w:ind w:left="113" w:right="0"/>
              <w:jc w:val="right"/>
              <w:rPr>
                <w:sz w:val="17"/>
                <w:szCs w:val="17"/>
              </w:rPr>
            </w:pPr>
            <w:r w:rsidRPr="00A5195C">
              <w:rPr>
                <w:sz w:val="17"/>
                <w:szCs w:val="17"/>
              </w:rPr>
              <w:t>100</w:t>
            </w:r>
          </w:p>
        </w:tc>
        <w:tc>
          <w:tcPr>
            <w:tcW w:w="860" w:type="dxa"/>
            <w:tcBorders>
              <w:top w:val="single" w:sz="12" w:space="0" w:color="000000"/>
            </w:tcBorders>
            <w:shd w:val="clear" w:color="auto" w:fill="auto"/>
            <w:vAlign w:val="bottom"/>
          </w:tcPr>
          <w:p w:rsidR="00102068" w:rsidRPr="00A5195C" w:rsidRDefault="00102068" w:rsidP="006505E8">
            <w:pPr>
              <w:pStyle w:val="SingleTxtG"/>
              <w:suppressAutoHyphens w:val="0"/>
              <w:spacing w:before="120" w:after="40" w:line="240" w:lineRule="auto"/>
              <w:ind w:left="113" w:right="0"/>
              <w:jc w:val="right"/>
              <w:rPr>
                <w:sz w:val="17"/>
                <w:szCs w:val="17"/>
              </w:rPr>
            </w:pPr>
            <w:r w:rsidRPr="00A5195C">
              <w:rPr>
                <w:sz w:val="17"/>
                <w:szCs w:val="17"/>
              </w:rPr>
              <w:t>8</w:t>
            </w:r>
          </w:p>
        </w:tc>
      </w:tr>
      <w:tr w:rsidR="00102068" w:rsidTr="006505E8">
        <w:trPr>
          <w:trHeight w:val="240"/>
        </w:trPr>
        <w:tc>
          <w:tcPr>
            <w:tcW w:w="2680" w:type="dxa"/>
            <w:shd w:val="clear" w:color="auto" w:fill="auto"/>
          </w:tcPr>
          <w:p w:rsidR="00102068" w:rsidRPr="00A5195C" w:rsidRDefault="00102068" w:rsidP="006505E8">
            <w:pPr>
              <w:pStyle w:val="SingleTxtG"/>
              <w:suppressAutoHyphens w:val="0"/>
              <w:spacing w:before="40" w:after="40" w:line="240" w:lineRule="auto"/>
              <w:ind w:left="0" w:right="0"/>
              <w:jc w:val="left"/>
              <w:rPr>
                <w:sz w:val="17"/>
                <w:szCs w:val="17"/>
              </w:rPr>
            </w:pPr>
            <w:r w:rsidRPr="00A5195C">
              <w:rPr>
                <w:sz w:val="17"/>
                <w:szCs w:val="17"/>
              </w:rPr>
              <w:t>Генеральные директора</w:t>
            </w:r>
          </w:p>
        </w:tc>
        <w:tc>
          <w:tcPr>
            <w:tcW w:w="158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63</w:t>
            </w:r>
          </w:p>
        </w:tc>
        <w:tc>
          <w:tcPr>
            <w:tcW w:w="163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37</w:t>
            </w:r>
          </w:p>
        </w:tc>
        <w:tc>
          <w:tcPr>
            <w:tcW w:w="161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100</w:t>
            </w:r>
          </w:p>
        </w:tc>
        <w:tc>
          <w:tcPr>
            <w:tcW w:w="86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65</w:t>
            </w:r>
          </w:p>
        </w:tc>
      </w:tr>
      <w:tr w:rsidR="00102068" w:rsidTr="006505E8">
        <w:trPr>
          <w:trHeight w:val="240"/>
        </w:trPr>
        <w:tc>
          <w:tcPr>
            <w:tcW w:w="2680" w:type="dxa"/>
            <w:shd w:val="clear" w:color="auto" w:fill="auto"/>
          </w:tcPr>
          <w:p w:rsidR="00102068" w:rsidRPr="00A5195C" w:rsidRDefault="00102068" w:rsidP="006505E8">
            <w:pPr>
              <w:pStyle w:val="SingleTxtG"/>
              <w:suppressAutoHyphens w:val="0"/>
              <w:spacing w:before="40" w:after="40" w:line="240" w:lineRule="auto"/>
              <w:ind w:left="0" w:right="0"/>
              <w:jc w:val="left"/>
              <w:rPr>
                <w:sz w:val="17"/>
                <w:szCs w:val="17"/>
              </w:rPr>
            </w:pPr>
            <w:r w:rsidRPr="00A5195C">
              <w:rPr>
                <w:sz w:val="17"/>
                <w:szCs w:val="17"/>
              </w:rPr>
              <w:t>Специалисты</w:t>
            </w:r>
          </w:p>
        </w:tc>
        <w:tc>
          <w:tcPr>
            <w:tcW w:w="158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43</w:t>
            </w:r>
          </w:p>
        </w:tc>
        <w:tc>
          <w:tcPr>
            <w:tcW w:w="163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57</w:t>
            </w:r>
          </w:p>
        </w:tc>
        <w:tc>
          <w:tcPr>
            <w:tcW w:w="161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100</w:t>
            </w:r>
          </w:p>
        </w:tc>
        <w:tc>
          <w:tcPr>
            <w:tcW w:w="86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327</w:t>
            </w:r>
          </w:p>
        </w:tc>
      </w:tr>
      <w:tr w:rsidR="00102068" w:rsidTr="006505E8">
        <w:trPr>
          <w:trHeight w:val="240"/>
        </w:trPr>
        <w:tc>
          <w:tcPr>
            <w:tcW w:w="2680" w:type="dxa"/>
            <w:shd w:val="clear" w:color="auto" w:fill="auto"/>
          </w:tcPr>
          <w:p w:rsidR="00102068" w:rsidRPr="00A5195C" w:rsidRDefault="00102068" w:rsidP="006505E8">
            <w:pPr>
              <w:pStyle w:val="SingleTxtG"/>
              <w:suppressAutoHyphens w:val="0"/>
              <w:spacing w:before="40" w:after="40" w:line="240" w:lineRule="auto"/>
              <w:ind w:left="0" w:right="0"/>
              <w:jc w:val="left"/>
              <w:rPr>
                <w:sz w:val="17"/>
                <w:szCs w:val="17"/>
              </w:rPr>
            </w:pPr>
            <w:r w:rsidRPr="00A5195C">
              <w:rPr>
                <w:sz w:val="17"/>
                <w:szCs w:val="17"/>
              </w:rPr>
              <w:t>Прочие сотрудники</w:t>
            </w:r>
          </w:p>
        </w:tc>
        <w:tc>
          <w:tcPr>
            <w:tcW w:w="158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20</w:t>
            </w:r>
          </w:p>
        </w:tc>
        <w:tc>
          <w:tcPr>
            <w:tcW w:w="163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80</w:t>
            </w:r>
          </w:p>
        </w:tc>
        <w:tc>
          <w:tcPr>
            <w:tcW w:w="161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100</w:t>
            </w:r>
          </w:p>
        </w:tc>
        <w:tc>
          <w:tcPr>
            <w:tcW w:w="860" w:type="dxa"/>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sz w:val="17"/>
                <w:szCs w:val="17"/>
              </w:rPr>
              <w:t>139</w:t>
            </w:r>
          </w:p>
        </w:tc>
      </w:tr>
      <w:tr w:rsidR="00102068" w:rsidTr="006505E8">
        <w:trPr>
          <w:trHeight w:val="240"/>
        </w:trPr>
        <w:tc>
          <w:tcPr>
            <w:tcW w:w="2680" w:type="dxa"/>
            <w:tcBorders>
              <w:bottom w:val="single" w:sz="12" w:space="0" w:color="000000"/>
            </w:tcBorders>
            <w:shd w:val="clear" w:color="auto" w:fill="auto"/>
          </w:tcPr>
          <w:p w:rsidR="00102068" w:rsidRPr="00A5195C" w:rsidRDefault="00102068" w:rsidP="006505E8">
            <w:pPr>
              <w:pStyle w:val="SingleTxtG"/>
              <w:suppressAutoHyphens w:val="0"/>
              <w:spacing w:before="40" w:after="40" w:line="240" w:lineRule="auto"/>
              <w:ind w:left="0" w:right="0"/>
              <w:jc w:val="left"/>
              <w:rPr>
                <w:b/>
                <w:bCs/>
                <w:sz w:val="17"/>
                <w:szCs w:val="17"/>
              </w:rPr>
            </w:pPr>
            <w:r w:rsidRPr="00A5195C">
              <w:rPr>
                <w:b/>
                <w:bCs/>
                <w:sz w:val="17"/>
                <w:szCs w:val="17"/>
              </w:rPr>
              <w:t>Всего</w:t>
            </w:r>
          </w:p>
        </w:tc>
        <w:tc>
          <w:tcPr>
            <w:tcW w:w="1580" w:type="dxa"/>
            <w:tcBorders>
              <w:bottom w:val="single" w:sz="12" w:space="0" w:color="000000"/>
            </w:tcBorders>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b/>
                <w:bCs/>
                <w:sz w:val="17"/>
                <w:szCs w:val="17"/>
              </w:rPr>
            </w:pPr>
            <w:r w:rsidRPr="00A5195C">
              <w:rPr>
                <w:b/>
                <w:bCs/>
                <w:sz w:val="17"/>
                <w:szCs w:val="17"/>
              </w:rPr>
              <w:t>40</w:t>
            </w:r>
          </w:p>
        </w:tc>
        <w:tc>
          <w:tcPr>
            <w:tcW w:w="1630" w:type="dxa"/>
            <w:tcBorders>
              <w:bottom w:val="single" w:sz="12" w:space="0" w:color="000000"/>
            </w:tcBorders>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b/>
                <w:bCs/>
                <w:sz w:val="17"/>
                <w:szCs w:val="17"/>
              </w:rPr>
            </w:pPr>
            <w:r w:rsidRPr="00A5195C">
              <w:rPr>
                <w:b/>
                <w:bCs/>
                <w:sz w:val="17"/>
                <w:szCs w:val="17"/>
              </w:rPr>
              <w:t>60</w:t>
            </w:r>
          </w:p>
        </w:tc>
        <w:tc>
          <w:tcPr>
            <w:tcW w:w="1610" w:type="dxa"/>
            <w:tcBorders>
              <w:bottom w:val="single" w:sz="12" w:space="0" w:color="000000"/>
            </w:tcBorders>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b/>
                <w:bCs/>
                <w:sz w:val="17"/>
                <w:szCs w:val="17"/>
              </w:rPr>
            </w:pPr>
            <w:r w:rsidRPr="00A5195C">
              <w:rPr>
                <w:b/>
                <w:bCs/>
                <w:sz w:val="17"/>
                <w:szCs w:val="17"/>
              </w:rPr>
              <w:t>100</w:t>
            </w:r>
          </w:p>
        </w:tc>
        <w:tc>
          <w:tcPr>
            <w:tcW w:w="860" w:type="dxa"/>
            <w:tcBorders>
              <w:bottom w:val="single" w:sz="12" w:space="0" w:color="000000"/>
            </w:tcBorders>
            <w:shd w:val="clear" w:color="auto" w:fill="auto"/>
            <w:vAlign w:val="bottom"/>
          </w:tcPr>
          <w:p w:rsidR="00102068" w:rsidRPr="00A5195C" w:rsidRDefault="00102068" w:rsidP="006505E8">
            <w:pPr>
              <w:pStyle w:val="SingleTxtG"/>
              <w:suppressAutoHyphens w:val="0"/>
              <w:spacing w:before="40" w:after="40" w:line="240" w:lineRule="auto"/>
              <w:ind w:left="113" w:right="0"/>
              <w:jc w:val="right"/>
              <w:rPr>
                <w:sz w:val="17"/>
                <w:szCs w:val="17"/>
              </w:rPr>
            </w:pPr>
            <w:r w:rsidRPr="00A5195C">
              <w:rPr>
                <w:b/>
                <w:bCs/>
                <w:sz w:val="17"/>
                <w:szCs w:val="17"/>
              </w:rPr>
              <w:t>539</w:t>
            </w:r>
          </w:p>
        </w:tc>
      </w:tr>
    </w:tbl>
    <w:p w:rsidR="004C298C" w:rsidRPr="004C298C" w:rsidRDefault="004C298C" w:rsidP="004C298C">
      <w:pPr>
        <w:pStyle w:val="SingleTxtG"/>
        <w:spacing w:after="0" w:line="120" w:lineRule="exact"/>
        <w:rPr>
          <w:b/>
          <w:i/>
          <w:sz w:val="10"/>
          <w:szCs w:val="18"/>
        </w:rPr>
      </w:pPr>
    </w:p>
    <w:p w:rsidR="00102068" w:rsidRPr="00A5195C" w:rsidRDefault="00102068" w:rsidP="004C298C">
      <w:pPr>
        <w:pStyle w:val="FootnoteText"/>
        <w:tabs>
          <w:tab w:val="right" w:pos="1476"/>
          <w:tab w:val="left" w:pos="1548"/>
          <w:tab w:val="right" w:pos="1836"/>
          <w:tab w:val="left" w:pos="1908"/>
        </w:tabs>
        <w:ind w:left="1548" w:hanging="288"/>
      </w:pPr>
      <w:r w:rsidRPr="004C298C">
        <w:rPr>
          <w:i/>
        </w:rPr>
        <w:t>Источник</w:t>
      </w:r>
      <w:r w:rsidRPr="00A5195C">
        <w:rPr>
          <w:b/>
        </w:rPr>
        <w:t>:</w:t>
      </w:r>
      <w:r w:rsidRPr="00A5195C">
        <w:t xml:space="preserve"> Министерство финансов и экономики, 2013 год.</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Pr="004E3C3F" w:rsidRDefault="004C298C" w:rsidP="00102068">
      <w:pPr>
        <w:pStyle w:val="SingleTxtG"/>
      </w:pPr>
      <w:r>
        <w:tab/>
      </w:r>
      <w:r w:rsidR="00102068">
        <w:t>Интересно, что в министерствах, занимающихся вопросами образования и культуры, здравоохранения и социальной сферы, окружающей среды и природных ресурсов, а также вопросами внутренних дел, число</w:t>
      </w:r>
      <w:r w:rsidR="004E3C3F">
        <w:t> женщин</w:t>
      </w:r>
      <w:r w:rsidR="00102068">
        <w:t xml:space="preserve"> превышает число мужчин. В других министерствах соотношение полов является более </w:t>
      </w:r>
      <w:r w:rsidR="00102068" w:rsidRPr="00A5195C">
        <w:t>сбалансированным</w:t>
      </w:r>
      <w:r w:rsidR="00102068">
        <w:t>, однако в шести из восьми министерств</w:t>
      </w:r>
      <w:r w:rsidR="004E3C3F">
        <w:t> женщин</w:t>
      </w:r>
      <w:r w:rsidR="00102068">
        <w:t>ы численно превосходят мужчин.</w:t>
      </w:r>
    </w:p>
    <w:p w:rsidR="00102068" w:rsidRPr="004E3C3F" w:rsidRDefault="004C298C" w:rsidP="004C2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298C">
        <w:rPr>
          <w:sz w:val="10"/>
        </w:rPr>
        <w:br w:type="page"/>
      </w:r>
      <w:r w:rsidRPr="004C298C">
        <w:rPr>
          <w:sz w:val="10"/>
        </w:rPr>
        <w:tab/>
      </w:r>
      <w:r w:rsidRPr="004C298C">
        <w:rPr>
          <w:sz w:val="10"/>
        </w:rPr>
        <w:tab/>
      </w:r>
      <w:r w:rsidR="00102068" w:rsidRPr="00A5195C">
        <w:t>Работники министерств в разбивке по полу в сентябре 2011 и 2012 годов</w:t>
      </w:r>
    </w:p>
    <w:p w:rsidR="004C298C" w:rsidRPr="004E3C3F" w:rsidRDefault="004C298C" w:rsidP="004C298C">
      <w:pPr>
        <w:pStyle w:val="SingleTxt"/>
        <w:spacing w:after="0" w:line="120" w:lineRule="exact"/>
        <w:rPr>
          <w:sz w:val="10"/>
        </w:rPr>
      </w:pPr>
    </w:p>
    <w:tbl>
      <w:tblPr>
        <w:tblW w:w="0" w:type="auto"/>
        <w:tblInd w:w="16" w:type="dxa"/>
        <w:tblLayout w:type="fixed"/>
        <w:tblCellMar>
          <w:left w:w="0" w:type="dxa"/>
          <w:right w:w="0" w:type="dxa"/>
        </w:tblCellMar>
        <w:tblLook w:val="0000" w:firstRow="0" w:lastRow="0" w:firstColumn="0" w:lastColumn="0" w:noHBand="0" w:noVBand="0"/>
      </w:tblPr>
      <w:tblGrid>
        <w:gridCol w:w="2400"/>
        <w:gridCol w:w="1510"/>
        <w:gridCol w:w="1470"/>
        <w:gridCol w:w="720"/>
        <w:gridCol w:w="1460"/>
        <w:gridCol w:w="1520"/>
        <w:gridCol w:w="730"/>
      </w:tblGrid>
      <w:tr w:rsidR="00102068" w:rsidRPr="00A5195C" w:rsidTr="006505E8">
        <w:trPr>
          <w:tblHeader/>
        </w:trPr>
        <w:tc>
          <w:tcPr>
            <w:tcW w:w="2400" w:type="dxa"/>
            <w:vMerge w:val="restart"/>
            <w:tcBorders>
              <w:top w:val="single" w:sz="4" w:space="0" w:color="000000"/>
            </w:tcBorders>
            <w:shd w:val="clear" w:color="auto" w:fill="auto"/>
            <w:vAlign w:val="bottom"/>
          </w:tcPr>
          <w:p w:rsidR="00102068" w:rsidRPr="00A5195C" w:rsidRDefault="00102068" w:rsidP="006505E8">
            <w:pPr>
              <w:spacing w:before="40" w:after="40" w:line="240" w:lineRule="auto"/>
              <w:rPr>
                <w:i/>
                <w:iCs/>
                <w:spacing w:val="0"/>
                <w:w w:val="100"/>
                <w:sz w:val="14"/>
                <w:szCs w:val="14"/>
              </w:rPr>
            </w:pPr>
            <w:r w:rsidRPr="00A5195C">
              <w:rPr>
                <w:i/>
                <w:spacing w:val="0"/>
                <w:w w:val="100"/>
                <w:sz w:val="14"/>
                <w:szCs w:val="14"/>
              </w:rPr>
              <w:t>Год</w:t>
            </w:r>
          </w:p>
        </w:tc>
        <w:tc>
          <w:tcPr>
            <w:tcW w:w="370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before="40" w:after="40" w:line="240" w:lineRule="auto"/>
              <w:jc w:val="center"/>
              <w:rPr>
                <w:i/>
                <w:iCs/>
                <w:spacing w:val="0"/>
                <w:w w:val="100"/>
                <w:sz w:val="14"/>
                <w:szCs w:val="14"/>
              </w:rPr>
            </w:pPr>
            <w:r w:rsidRPr="00A5195C">
              <w:rPr>
                <w:i/>
                <w:iCs/>
                <w:spacing w:val="0"/>
                <w:w w:val="100"/>
                <w:sz w:val="14"/>
                <w:szCs w:val="14"/>
              </w:rPr>
              <w:t>2011</w:t>
            </w:r>
          </w:p>
        </w:tc>
        <w:tc>
          <w:tcPr>
            <w:tcW w:w="371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before="40" w:after="40" w:line="240" w:lineRule="auto"/>
              <w:jc w:val="center"/>
              <w:rPr>
                <w:spacing w:val="0"/>
                <w:w w:val="100"/>
                <w:sz w:val="14"/>
                <w:szCs w:val="14"/>
              </w:rPr>
            </w:pPr>
            <w:r w:rsidRPr="00A5195C">
              <w:rPr>
                <w:i/>
                <w:iCs/>
                <w:spacing w:val="0"/>
                <w:w w:val="100"/>
                <w:sz w:val="14"/>
                <w:szCs w:val="14"/>
              </w:rPr>
              <w:t>2012</w:t>
            </w:r>
          </w:p>
        </w:tc>
      </w:tr>
      <w:tr w:rsidR="00102068" w:rsidRPr="00A5195C" w:rsidTr="006505E8">
        <w:trPr>
          <w:tblHeader/>
        </w:trPr>
        <w:tc>
          <w:tcPr>
            <w:tcW w:w="2400" w:type="dxa"/>
            <w:vMerge/>
            <w:tcBorders>
              <w:top w:val="single" w:sz="4" w:space="0" w:color="000000"/>
            </w:tcBorders>
            <w:shd w:val="clear" w:color="auto" w:fill="auto"/>
            <w:vAlign w:val="bottom"/>
          </w:tcPr>
          <w:p w:rsidR="00102068" w:rsidRPr="00A5195C" w:rsidRDefault="00102068" w:rsidP="006505E8">
            <w:pPr>
              <w:spacing w:before="40" w:after="40" w:line="240" w:lineRule="auto"/>
              <w:rPr>
                <w:spacing w:val="0"/>
                <w:w w:val="100"/>
                <w:sz w:val="14"/>
                <w:szCs w:val="14"/>
              </w:rPr>
            </w:pPr>
          </w:p>
        </w:tc>
        <w:tc>
          <w:tcPr>
            <w:tcW w:w="151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Женщины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147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Мужчины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72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Число</w:t>
            </w:r>
          </w:p>
        </w:tc>
        <w:tc>
          <w:tcPr>
            <w:tcW w:w="146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Женщины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152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Мужчины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73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Число</w:t>
            </w:r>
          </w:p>
        </w:tc>
      </w:tr>
      <w:tr w:rsidR="00102068" w:rsidRPr="00A5195C" w:rsidTr="006505E8">
        <w:trPr>
          <w:trHeight w:hRule="exact" w:val="115"/>
          <w:tblHeader/>
        </w:trPr>
        <w:tc>
          <w:tcPr>
            <w:tcW w:w="240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0"/>
              <w:rPr>
                <w:i/>
                <w:spacing w:val="0"/>
                <w:w w:val="100"/>
                <w:sz w:val="17"/>
                <w:szCs w:val="17"/>
              </w:rPr>
            </w:pPr>
          </w:p>
        </w:tc>
        <w:tc>
          <w:tcPr>
            <w:tcW w:w="151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47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72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46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52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73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Канцелярия премьер-министра</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53</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47</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30</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48</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52</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33</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образования, науки и культуры</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66</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34</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87</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67</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33</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85</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иностранных дел</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52</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48</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110</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55</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45</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105</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 xml:space="preserve">Министерство </w:t>
            </w:r>
            <w:r>
              <w:rPr>
                <w:spacing w:val="0"/>
                <w:w w:val="100"/>
                <w:sz w:val="17"/>
                <w:szCs w:val="17"/>
              </w:rPr>
              <w:br/>
            </w:r>
            <w:r w:rsidRPr="00A5195C">
              <w:rPr>
                <w:spacing w:val="0"/>
                <w:w w:val="100"/>
                <w:sz w:val="17"/>
                <w:szCs w:val="17"/>
              </w:rPr>
              <w:t>промышленности и инноваций</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58</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42</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81</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58</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42</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88</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внутренних дел</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67</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33</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78</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70</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30</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73</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социального обеспечения</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66</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34</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105</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68</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32</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104</w:t>
            </w:r>
          </w:p>
        </w:tc>
      </w:tr>
      <w:tr w:rsidR="00102068" w:rsidRPr="00A5195C" w:rsidTr="006505E8">
        <w:tc>
          <w:tcPr>
            <w:tcW w:w="2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 xml:space="preserve">Министерство финансов </w:t>
            </w:r>
            <w:r>
              <w:rPr>
                <w:spacing w:val="0"/>
                <w:w w:val="100"/>
                <w:sz w:val="17"/>
                <w:szCs w:val="17"/>
              </w:rPr>
              <w:br/>
            </w:r>
            <w:r w:rsidRPr="00A5195C">
              <w:rPr>
                <w:spacing w:val="0"/>
                <w:w w:val="100"/>
                <w:sz w:val="17"/>
                <w:szCs w:val="17"/>
              </w:rPr>
              <w:t>и экономики</w:t>
            </w:r>
          </w:p>
        </w:tc>
        <w:tc>
          <w:tcPr>
            <w:tcW w:w="15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49</w:t>
            </w:r>
          </w:p>
        </w:tc>
        <w:tc>
          <w:tcPr>
            <w:tcW w:w="147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51</w:t>
            </w:r>
          </w:p>
        </w:tc>
        <w:tc>
          <w:tcPr>
            <w:tcW w:w="7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68</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49</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51</w:t>
            </w:r>
          </w:p>
        </w:tc>
        <w:tc>
          <w:tcPr>
            <w:tcW w:w="7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79</w:t>
            </w:r>
          </w:p>
        </w:tc>
      </w:tr>
      <w:tr w:rsidR="00102068" w:rsidRPr="00A5195C" w:rsidTr="006505E8">
        <w:tc>
          <w:tcPr>
            <w:tcW w:w="240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0"/>
              <w:rPr>
                <w:spacing w:val="0"/>
                <w:w w:val="100"/>
                <w:sz w:val="17"/>
                <w:szCs w:val="17"/>
              </w:rPr>
            </w:pPr>
            <w:r w:rsidRPr="00A5195C">
              <w:rPr>
                <w:spacing w:val="0"/>
                <w:w w:val="100"/>
                <w:sz w:val="17"/>
                <w:szCs w:val="17"/>
              </w:rPr>
              <w:t xml:space="preserve">Министерство охраны </w:t>
            </w:r>
            <w:r>
              <w:rPr>
                <w:spacing w:val="0"/>
                <w:w w:val="100"/>
                <w:sz w:val="17"/>
                <w:szCs w:val="17"/>
              </w:rPr>
              <w:br/>
            </w:r>
            <w:r w:rsidRPr="00A5195C">
              <w:rPr>
                <w:spacing w:val="0"/>
                <w:w w:val="100"/>
                <w:sz w:val="17"/>
                <w:szCs w:val="17"/>
              </w:rPr>
              <w:t xml:space="preserve">окружающей среды </w:t>
            </w:r>
            <w:r>
              <w:rPr>
                <w:spacing w:val="0"/>
                <w:w w:val="100"/>
                <w:sz w:val="17"/>
                <w:szCs w:val="17"/>
              </w:rPr>
              <w:br/>
            </w:r>
            <w:r w:rsidRPr="00A5195C">
              <w:rPr>
                <w:spacing w:val="0"/>
                <w:w w:val="100"/>
                <w:sz w:val="17"/>
                <w:szCs w:val="17"/>
              </w:rPr>
              <w:t>и природных ресурсов</w:t>
            </w:r>
          </w:p>
        </w:tc>
        <w:tc>
          <w:tcPr>
            <w:tcW w:w="151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70</w:t>
            </w:r>
          </w:p>
        </w:tc>
        <w:tc>
          <w:tcPr>
            <w:tcW w:w="147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30</w:t>
            </w:r>
          </w:p>
        </w:tc>
        <w:tc>
          <w:tcPr>
            <w:tcW w:w="72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33</w:t>
            </w:r>
          </w:p>
        </w:tc>
        <w:tc>
          <w:tcPr>
            <w:tcW w:w="146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68</w:t>
            </w:r>
          </w:p>
        </w:tc>
        <w:tc>
          <w:tcPr>
            <w:tcW w:w="152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32</w:t>
            </w:r>
          </w:p>
        </w:tc>
        <w:tc>
          <w:tcPr>
            <w:tcW w:w="73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34</w:t>
            </w:r>
          </w:p>
        </w:tc>
      </w:tr>
      <w:tr w:rsidR="00102068" w:rsidRPr="00A5195C" w:rsidTr="006505E8">
        <w:tc>
          <w:tcPr>
            <w:tcW w:w="240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0"/>
              <w:rPr>
                <w:b/>
                <w:bCs/>
                <w:spacing w:val="0"/>
                <w:w w:val="100"/>
                <w:sz w:val="17"/>
                <w:szCs w:val="17"/>
              </w:rPr>
            </w:pPr>
            <w:r w:rsidRPr="00A5195C">
              <w:rPr>
                <w:b/>
                <w:bCs/>
                <w:spacing w:val="0"/>
                <w:w w:val="100"/>
                <w:sz w:val="17"/>
                <w:szCs w:val="17"/>
              </w:rPr>
              <w:t>Всего</w:t>
            </w:r>
          </w:p>
        </w:tc>
        <w:tc>
          <w:tcPr>
            <w:tcW w:w="151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b/>
                <w:bCs/>
                <w:spacing w:val="0"/>
                <w:w w:val="100"/>
                <w:sz w:val="17"/>
                <w:szCs w:val="17"/>
              </w:rPr>
            </w:pPr>
            <w:r w:rsidRPr="00A5195C">
              <w:rPr>
                <w:b/>
                <w:bCs/>
                <w:spacing w:val="0"/>
                <w:w w:val="100"/>
                <w:sz w:val="17"/>
                <w:szCs w:val="17"/>
              </w:rPr>
              <w:t>60</w:t>
            </w:r>
          </w:p>
        </w:tc>
        <w:tc>
          <w:tcPr>
            <w:tcW w:w="147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b/>
                <w:bCs/>
                <w:spacing w:val="0"/>
                <w:w w:val="100"/>
                <w:sz w:val="17"/>
                <w:szCs w:val="17"/>
              </w:rPr>
            </w:pPr>
            <w:r w:rsidRPr="00A5195C">
              <w:rPr>
                <w:b/>
                <w:bCs/>
                <w:spacing w:val="0"/>
                <w:w w:val="100"/>
                <w:sz w:val="17"/>
                <w:szCs w:val="17"/>
              </w:rPr>
              <w:t>40</w:t>
            </w:r>
          </w:p>
        </w:tc>
        <w:tc>
          <w:tcPr>
            <w:tcW w:w="72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b/>
                <w:bCs/>
                <w:spacing w:val="0"/>
                <w:w w:val="100"/>
                <w:sz w:val="17"/>
                <w:szCs w:val="17"/>
              </w:rPr>
            </w:pPr>
            <w:r w:rsidRPr="00A5195C">
              <w:rPr>
                <w:b/>
                <w:bCs/>
                <w:spacing w:val="0"/>
                <w:w w:val="100"/>
                <w:sz w:val="17"/>
                <w:szCs w:val="17"/>
              </w:rPr>
              <w:t>592</w:t>
            </w:r>
          </w:p>
        </w:tc>
        <w:tc>
          <w:tcPr>
            <w:tcW w:w="146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b/>
                <w:bCs/>
                <w:spacing w:val="0"/>
                <w:w w:val="100"/>
                <w:sz w:val="17"/>
                <w:szCs w:val="17"/>
              </w:rPr>
            </w:pPr>
            <w:r w:rsidRPr="00A5195C">
              <w:rPr>
                <w:b/>
                <w:bCs/>
                <w:spacing w:val="0"/>
                <w:w w:val="100"/>
                <w:sz w:val="17"/>
                <w:szCs w:val="17"/>
              </w:rPr>
              <w:t>61</w:t>
            </w:r>
          </w:p>
        </w:tc>
        <w:tc>
          <w:tcPr>
            <w:tcW w:w="152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b/>
                <w:bCs/>
                <w:spacing w:val="0"/>
                <w:w w:val="100"/>
                <w:sz w:val="17"/>
                <w:szCs w:val="17"/>
              </w:rPr>
            </w:pPr>
            <w:r w:rsidRPr="00A5195C">
              <w:rPr>
                <w:b/>
                <w:bCs/>
                <w:spacing w:val="0"/>
                <w:w w:val="100"/>
                <w:sz w:val="17"/>
                <w:szCs w:val="17"/>
              </w:rPr>
              <w:t>39</w:t>
            </w:r>
          </w:p>
        </w:tc>
        <w:tc>
          <w:tcPr>
            <w:tcW w:w="73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00" w:lineRule="exact"/>
              <w:ind w:right="43"/>
              <w:jc w:val="right"/>
              <w:rPr>
                <w:spacing w:val="0"/>
                <w:w w:val="100"/>
                <w:sz w:val="17"/>
                <w:szCs w:val="17"/>
              </w:rPr>
            </w:pPr>
            <w:r w:rsidRPr="00A5195C">
              <w:rPr>
                <w:b/>
                <w:bCs/>
                <w:spacing w:val="0"/>
                <w:w w:val="100"/>
                <w:sz w:val="17"/>
                <w:szCs w:val="17"/>
              </w:rPr>
              <w:t>601</w:t>
            </w:r>
          </w:p>
        </w:tc>
      </w:tr>
    </w:tbl>
    <w:p w:rsidR="00102068" w:rsidRDefault="00102068" w:rsidP="00102068">
      <w:pPr>
        <w:pStyle w:val="SingleTxt"/>
        <w:spacing w:after="0" w:line="120" w:lineRule="exact"/>
        <w:rPr>
          <w:sz w:val="10"/>
        </w:rPr>
      </w:pPr>
    </w:p>
    <w:p w:rsidR="00102068" w:rsidRPr="00A5195C" w:rsidRDefault="00102068" w:rsidP="004C298C">
      <w:pPr>
        <w:pStyle w:val="FootnoteText"/>
        <w:tabs>
          <w:tab w:val="right" w:pos="1476"/>
          <w:tab w:val="left" w:pos="1548"/>
          <w:tab w:val="right" w:pos="1836"/>
          <w:tab w:val="left" w:pos="1908"/>
        </w:tabs>
        <w:ind w:left="1548" w:hanging="288"/>
        <w:rPr>
          <w:b/>
        </w:rPr>
      </w:pPr>
      <w:r w:rsidRPr="004C298C">
        <w:rPr>
          <w:i/>
        </w:rPr>
        <w:t>Источник</w:t>
      </w:r>
      <w:r w:rsidRPr="00A5195C">
        <w:rPr>
          <w:b/>
        </w:rPr>
        <w:t>:</w:t>
      </w:r>
      <w:r w:rsidRPr="00A5195C">
        <w:rPr>
          <w:b/>
          <w:bCs/>
        </w:rPr>
        <w:t xml:space="preserve"> </w:t>
      </w:r>
      <w:r w:rsidRPr="00A5195C">
        <w:t>Министерство финансов и экономики, 2013 год.</w:t>
      </w:r>
    </w:p>
    <w:p w:rsidR="004C298C" w:rsidRPr="004C298C" w:rsidRDefault="004C298C" w:rsidP="004C298C">
      <w:pPr>
        <w:pStyle w:val="SingleTxtG"/>
        <w:spacing w:after="0" w:line="120" w:lineRule="exact"/>
        <w:jc w:val="left"/>
        <w:rPr>
          <w:b/>
          <w:sz w:val="10"/>
        </w:rPr>
      </w:pPr>
    </w:p>
    <w:p w:rsidR="004C298C" w:rsidRPr="004C298C" w:rsidRDefault="004C298C" w:rsidP="004C298C">
      <w:pPr>
        <w:pStyle w:val="SingleTxtG"/>
        <w:spacing w:after="0" w:line="120" w:lineRule="exact"/>
        <w:jc w:val="left"/>
        <w:rPr>
          <w:b/>
          <w:sz w:val="10"/>
        </w:rPr>
      </w:pPr>
    </w:p>
    <w:p w:rsidR="00102068" w:rsidRPr="004C298C" w:rsidRDefault="004C298C" w:rsidP="004C2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4E3C3F">
        <w:tab/>
      </w:r>
      <w:r w:rsidRPr="004E3C3F">
        <w:tab/>
      </w:r>
      <w:r w:rsidR="00102068" w:rsidRPr="00A5195C">
        <w:t>Правительственные служащие в разбивке по министерствам и полу в сентябре 2011 и 2012 годов</w:t>
      </w:r>
    </w:p>
    <w:p w:rsidR="004C298C" w:rsidRPr="004C298C" w:rsidRDefault="004C298C" w:rsidP="004C298C">
      <w:pPr>
        <w:pStyle w:val="SingleTxtG"/>
        <w:spacing w:after="0" w:line="120" w:lineRule="exact"/>
        <w:jc w:val="left"/>
        <w:rPr>
          <w:b/>
          <w:sz w:val="10"/>
          <w:shd w:val="clear" w:color="auto" w:fill="FFFF00"/>
        </w:rPr>
      </w:pPr>
    </w:p>
    <w:tbl>
      <w:tblPr>
        <w:tblW w:w="9830" w:type="dxa"/>
        <w:tblInd w:w="26" w:type="dxa"/>
        <w:tblLayout w:type="fixed"/>
        <w:tblCellMar>
          <w:left w:w="0" w:type="dxa"/>
          <w:right w:w="0" w:type="dxa"/>
        </w:tblCellMar>
        <w:tblLook w:val="0000" w:firstRow="0" w:lastRow="0" w:firstColumn="0" w:lastColumn="0" w:noHBand="0" w:noVBand="0"/>
      </w:tblPr>
      <w:tblGrid>
        <w:gridCol w:w="2380"/>
        <w:gridCol w:w="1460"/>
        <w:gridCol w:w="1520"/>
        <w:gridCol w:w="740"/>
        <w:gridCol w:w="1460"/>
        <w:gridCol w:w="1480"/>
        <w:gridCol w:w="790"/>
      </w:tblGrid>
      <w:tr w:rsidR="00102068" w:rsidRPr="00A5195C" w:rsidTr="004C298C">
        <w:trPr>
          <w:tblHeader/>
        </w:trPr>
        <w:tc>
          <w:tcPr>
            <w:tcW w:w="2380" w:type="dxa"/>
            <w:vMerge w:val="restart"/>
            <w:tcBorders>
              <w:top w:val="single" w:sz="4" w:space="0" w:color="000000"/>
            </w:tcBorders>
            <w:shd w:val="clear" w:color="auto" w:fill="auto"/>
            <w:vAlign w:val="bottom"/>
          </w:tcPr>
          <w:p w:rsidR="00102068" w:rsidRPr="00A5195C" w:rsidRDefault="00102068" w:rsidP="006505E8">
            <w:pPr>
              <w:spacing w:after="40"/>
              <w:rPr>
                <w:i/>
                <w:sz w:val="14"/>
                <w:szCs w:val="14"/>
              </w:rPr>
            </w:pPr>
            <w:r w:rsidRPr="00A5195C">
              <w:rPr>
                <w:i/>
                <w:sz w:val="14"/>
                <w:szCs w:val="14"/>
              </w:rPr>
              <w:t>Год</w:t>
            </w:r>
          </w:p>
        </w:tc>
        <w:tc>
          <w:tcPr>
            <w:tcW w:w="372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before="40" w:after="40" w:line="240" w:lineRule="auto"/>
              <w:jc w:val="center"/>
              <w:rPr>
                <w:i/>
                <w:iCs/>
                <w:spacing w:val="0"/>
                <w:w w:val="100"/>
                <w:sz w:val="14"/>
                <w:szCs w:val="14"/>
              </w:rPr>
            </w:pPr>
            <w:r w:rsidRPr="00A5195C">
              <w:rPr>
                <w:i/>
                <w:iCs/>
                <w:spacing w:val="0"/>
                <w:w w:val="100"/>
                <w:sz w:val="14"/>
                <w:szCs w:val="14"/>
              </w:rPr>
              <w:t>2011</w:t>
            </w:r>
          </w:p>
        </w:tc>
        <w:tc>
          <w:tcPr>
            <w:tcW w:w="373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before="40" w:after="40" w:line="240" w:lineRule="auto"/>
              <w:jc w:val="center"/>
              <w:rPr>
                <w:i/>
                <w:spacing w:val="0"/>
                <w:w w:val="100"/>
                <w:sz w:val="14"/>
                <w:szCs w:val="14"/>
              </w:rPr>
            </w:pPr>
            <w:r w:rsidRPr="00A5195C">
              <w:rPr>
                <w:i/>
                <w:iCs/>
                <w:spacing w:val="0"/>
                <w:w w:val="100"/>
                <w:sz w:val="14"/>
                <w:szCs w:val="14"/>
              </w:rPr>
              <w:t>2012</w:t>
            </w:r>
          </w:p>
        </w:tc>
      </w:tr>
      <w:tr w:rsidR="00102068" w:rsidRPr="00A5195C" w:rsidTr="004C298C">
        <w:trPr>
          <w:tblHeader/>
        </w:trPr>
        <w:tc>
          <w:tcPr>
            <w:tcW w:w="2380" w:type="dxa"/>
            <w:vMerge/>
            <w:tcBorders>
              <w:top w:val="single" w:sz="4" w:space="0" w:color="000000"/>
            </w:tcBorders>
            <w:shd w:val="clear" w:color="auto" w:fill="auto"/>
            <w:vAlign w:val="bottom"/>
          </w:tcPr>
          <w:p w:rsidR="00102068" w:rsidRPr="00A5195C" w:rsidRDefault="00102068" w:rsidP="006505E8">
            <w:pPr>
              <w:spacing w:before="40" w:after="40" w:line="240" w:lineRule="auto"/>
              <w:rPr>
                <w:i/>
                <w:spacing w:val="0"/>
                <w:w w:val="100"/>
                <w:sz w:val="14"/>
                <w:szCs w:val="14"/>
              </w:rPr>
            </w:pPr>
          </w:p>
        </w:tc>
        <w:tc>
          <w:tcPr>
            <w:tcW w:w="146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Женщины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152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Мужчины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740" w:type="dxa"/>
            <w:tcBorders>
              <w:top w:val="single" w:sz="4" w:space="0" w:color="000000"/>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Число</w:t>
            </w:r>
          </w:p>
        </w:tc>
        <w:tc>
          <w:tcPr>
            <w:tcW w:w="146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Женщины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148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 xml:space="preserve">Мужчины </w:t>
            </w:r>
            <w:r>
              <w:rPr>
                <w:i/>
                <w:spacing w:val="0"/>
                <w:w w:val="100"/>
                <w:sz w:val="14"/>
                <w:szCs w:val="14"/>
              </w:rPr>
              <w:br/>
            </w:r>
            <w:r w:rsidRPr="00A5195C">
              <w:rPr>
                <w:i/>
                <w:spacing w:val="0"/>
                <w:w w:val="100"/>
                <w:sz w:val="14"/>
                <w:szCs w:val="14"/>
              </w:rPr>
              <w:t>(в</w:t>
            </w:r>
            <w:r w:rsidR="004C298C">
              <w:rPr>
                <w:i/>
                <w:spacing w:val="0"/>
                <w:w w:val="100"/>
                <w:sz w:val="14"/>
                <w:szCs w:val="14"/>
              </w:rPr>
              <w:t> процента</w:t>
            </w:r>
            <w:r w:rsidRPr="00A5195C">
              <w:rPr>
                <w:i/>
                <w:spacing w:val="0"/>
                <w:w w:val="100"/>
                <w:sz w:val="14"/>
                <w:szCs w:val="14"/>
              </w:rPr>
              <w:t>х)</w:t>
            </w:r>
          </w:p>
        </w:tc>
        <w:tc>
          <w:tcPr>
            <w:tcW w:w="790" w:type="dxa"/>
            <w:tcBorders>
              <w:bottom w:val="single" w:sz="12" w:space="0" w:color="000000"/>
            </w:tcBorders>
            <w:shd w:val="clear" w:color="auto" w:fill="auto"/>
            <w:vAlign w:val="bottom"/>
          </w:tcPr>
          <w:p w:rsidR="00102068" w:rsidRPr="00A5195C" w:rsidRDefault="00102068" w:rsidP="006505E8">
            <w:pPr>
              <w:spacing w:before="40" w:after="40" w:line="240" w:lineRule="auto"/>
              <w:jc w:val="right"/>
              <w:rPr>
                <w:i/>
                <w:spacing w:val="0"/>
                <w:w w:val="100"/>
                <w:sz w:val="14"/>
                <w:szCs w:val="14"/>
              </w:rPr>
            </w:pPr>
            <w:r w:rsidRPr="00A5195C">
              <w:rPr>
                <w:i/>
                <w:spacing w:val="0"/>
                <w:w w:val="100"/>
                <w:sz w:val="14"/>
                <w:szCs w:val="14"/>
              </w:rPr>
              <w:t>Число</w:t>
            </w:r>
          </w:p>
        </w:tc>
      </w:tr>
      <w:tr w:rsidR="00102068" w:rsidRPr="00A5195C" w:rsidTr="004C298C">
        <w:trPr>
          <w:trHeight w:hRule="exact" w:val="115"/>
          <w:tblHeader/>
        </w:trPr>
        <w:tc>
          <w:tcPr>
            <w:tcW w:w="238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0"/>
              <w:rPr>
                <w:i/>
                <w:spacing w:val="0"/>
                <w:w w:val="100"/>
                <w:sz w:val="17"/>
                <w:szCs w:val="17"/>
              </w:rPr>
            </w:pPr>
          </w:p>
        </w:tc>
        <w:tc>
          <w:tcPr>
            <w:tcW w:w="146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52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74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46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148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c>
          <w:tcPr>
            <w:tcW w:w="790" w:type="dxa"/>
            <w:tcBorders>
              <w:top w:val="single" w:sz="12" w:space="0" w:color="000000"/>
            </w:tcBorders>
            <w:shd w:val="clear" w:color="auto" w:fill="auto"/>
            <w:vAlign w:val="bottom"/>
          </w:tcPr>
          <w:p w:rsidR="00102068" w:rsidRPr="00A5195C" w:rsidRDefault="00102068" w:rsidP="006505E8">
            <w:pPr>
              <w:snapToGrid w:val="0"/>
              <w:spacing w:before="40" w:after="40" w:line="210" w:lineRule="exact"/>
              <w:ind w:right="43"/>
              <w:jc w:val="right"/>
              <w:rPr>
                <w:spacing w:val="0"/>
                <w:w w:val="100"/>
                <w:sz w:val="17"/>
                <w:szCs w:val="17"/>
              </w:rPr>
            </w:pP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Высшая администрация</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52</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48</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314</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50</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50</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314</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Канцелярия премьер-министра</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54</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46</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79</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53</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47</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80</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образования, науки и культуры</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57</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43</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5 481</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57</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43</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5 455</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иностранных дел</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54</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46</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260</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53</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47</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272</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промышленности и инноваций</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44</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56</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995</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46</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54</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1 043</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внутренних дел</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36</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64</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2 893</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37</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63</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2 865</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Министерство социального обеспечения</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81</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19</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9 248</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81</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19</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9 246</w:t>
            </w:r>
          </w:p>
        </w:tc>
      </w:tr>
      <w:tr w:rsidR="00102068" w:rsidRPr="00A5195C" w:rsidTr="004C298C">
        <w:tc>
          <w:tcPr>
            <w:tcW w:w="23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0"/>
              <w:rPr>
                <w:spacing w:val="0"/>
                <w:w w:val="100"/>
                <w:sz w:val="17"/>
                <w:szCs w:val="17"/>
              </w:rPr>
            </w:pPr>
            <w:r w:rsidRPr="00A5195C">
              <w:rPr>
                <w:spacing w:val="0"/>
                <w:w w:val="100"/>
                <w:sz w:val="17"/>
                <w:szCs w:val="17"/>
              </w:rPr>
              <w:t xml:space="preserve">Министерство финансов </w:t>
            </w:r>
            <w:r>
              <w:rPr>
                <w:spacing w:val="0"/>
                <w:w w:val="100"/>
                <w:sz w:val="17"/>
                <w:szCs w:val="17"/>
              </w:rPr>
              <w:br/>
            </w:r>
            <w:r w:rsidRPr="00A5195C">
              <w:rPr>
                <w:spacing w:val="0"/>
                <w:w w:val="100"/>
                <w:sz w:val="17"/>
                <w:szCs w:val="17"/>
              </w:rPr>
              <w:t>и экономики</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51</w:t>
            </w:r>
          </w:p>
        </w:tc>
        <w:tc>
          <w:tcPr>
            <w:tcW w:w="15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49</w:t>
            </w:r>
          </w:p>
        </w:tc>
        <w:tc>
          <w:tcPr>
            <w:tcW w:w="7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834</w:t>
            </w:r>
          </w:p>
        </w:tc>
        <w:tc>
          <w:tcPr>
            <w:tcW w:w="14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52</w:t>
            </w:r>
          </w:p>
        </w:tc>
        <w:tc>
          <w:tcPr>
            <w:tcW w:w="14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48</w:t>
            </w:r>
          </w:p>
        </w:tc>
        <w:tc>
          <w:tcPr>
            <w:tcW w:w="7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00" w:lineRule="exact"/>
              <w:ind w:right="43"/>
              <w:jc w:val="right"/>
              <w:rPr>
                <w:spacing w:val="0"/>
                <w:w w:val="100"/>
                <w:sz w:val="17"/>
                <w:szCs w:val="17"/>
              </w:rPr>
            </w:pPr>
            <w:r w:rsidRPr="00A5195C">
              <w:rPr>
                <w:spacing w:val="0"/>
                <w:w w:val="100"/>
                <w:sz w:val="17"/>
                <w:szCs w:val="17"/>
              </w:rPr>
              <w:t>854</w:t>
            </w:r>
          </w:p>
        </w:tc>
      </w:tr>
      <w:tr w:rsidR="00102068" w:rsidRPr="00A5195C" w:rsidTr="004C298C">
        <w:tc>
          <w:tcPr>
            <w:tcW w:w="238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0"/>
              <w:rPr>
                <w:spacing w:val="0"/>
                <w:w w:val="100"/>
                <w:sz w:val="17"/>
                <w:szCs w:val="17"/>
              </w:rPr>
            </w:pPr>
            <w:r w:rsidRPr="00A5195C">
              <w:rPr>
                <w:spacing w:val="0"/>
                <w:w w:val="100"/>
                <w:sz w:val="17"/>
                <w:szCs w:val="17"/>
              </w:rPr>
              <w:t xml:space="preserve">Министерство охраны </w:t>
            </w:r>
            <w:r>
              <w:rPr>
                <w:spacing w:val="0"/>
                <w:w w:val="100"/>
                <w:sz w:val="17"/>
                <w:szCs w:val="17"/>
              </w:rPr>
              <w:br/>
            </w:r>
            <w:r w:rsidRPr="00A5195C">
              <w:rPr>
                <w:spacing w:val="0"/>
                <w:w w:val="100"/>
                <w:sz w:val="17"/>
                <w:szCs w:val="17"/>
              </w:rPr>
              <w:t xml:space="preserve">окружающей среды </w:t>
            </w:r>
            <w:r>
              <w:rPr>
                <w:spacing w:val="0"/>
                <w:w w:val="100"/>
                <w:sz w:val="17"/>
                <w:szCs w:val="17"/>
              </w:rPr>
              <w:br/>
            </w:r>
            <w:r w:rsidRPr="00A5195C">
              <w:rPr>
                <w:spacing w:val="0"/>
                <w:w w:val="100"/>
                <w:sz w:val="17"/>
                <w:szCs w:val="17"/>
              </w:rPr>
              <w:t>и природных ресурсов</w:t>
            </w:r>
          </w:p>
        </w:tc>
        <w:tc>
          <w:tcPr>
            <w:tcW w:w="146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43</w:t>
            </w:r>
          </w:p>
        </w:tc>
        <w:tc>
          <w:tcPr>
            <w:tcW w:w="152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57</w:t>
            </w:r>
          </w:p>
        </w:tc>
        <w:tc>
          <w:tcPr>
            <w:tcW w:w="74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760</w:t>
            </w:r>
          </w:p>
        </w:tc>
        <w:tc>
          <w:tcPr>
            <w:tcW w:w="146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43</w:t>
            </w:r>
          </w:p>
        </w:tc>
        <w:tc>
          <w:tcPr>
            <w:tcW w:w="148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57</w:t>
            </w:r>
          </w:p>
        </w:tc>
        <w:tc>
          <w:tcPr>
            <w:tcW w:w="790" w:type="dxa"/>
            <w:tcBorders>
              <w:bottom w:val="single" w:sz="4"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40" w:after="81" w:line="200" w:lineRule="exact"/>
              <w:ind w:right="43"/>
              <w:jc w:val="right"/>
              <w:rPr>
                <w:spacing w:val="0"/>
                <w:w w:val="100"/>
                <w:sz w:val="17"/>
                <w:szCs w:val="17"/>
              </w:rPr>
            </w:pPr>
            <w:r w:rsidRPr="00A5195C">
              <w:rPr>
                <w:spacing w:val="0"/>
                <w:w w:val="100"/>
                <w:sz w:val="17"/>
                <w:szCs w:val="17"/>
              </w:rPr>
              <w:t>732</w:t>
            </w:r>
          </w:p>
        </w:tc>
      </w:tr>
      <w:tr w:rsidR="00102068" w:rsidRPr="00A5195C" w:rsidTr="004C298C">
        <w:tc>
          <w:tcPr>
            <w:tcW w:w="238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0"/>
              <w:rPr>
                <w:b/>
                <w:bCs/>
                <w:spacing w:val="0"/>
                <w:w w:val="100"/>
                <w:sz w:val="17"/>
                <w:szCs w:val="17"/>
              </w:rPr>
            </w:pPr>
            <w:r w:rsidRPr="00A5195C">
              <w:rPr>
                <w:b/>
                <w:bCs/>
                <w:spacing w:val="0"/>
                <w:w w:val="100"/>
                <w:sz w:val="17"/>
                <w:szCs w:val="17"/>
              </w:rPr>
              <w:t>Всего</w:t>
            </w:r>
          </w:p>
        </w:tc>
        <w:tc>
          <w:tcPr>
            <w:tcW w:w="146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b/>
                <w:bCs/>
                <w:spacing w:val="0"/>
                <w:w w:val="100"/>
                <w:sz w:val="17"/>
                <w:szCs w:val="17"/>
              </w:rPr>
            </w:pPr>
            <w:r w:rsidRPr="00A5195C">
              <w:rPr>
                <w:b/>
                <w:bCs/>
                <w:spacing w:val="0"/>
                <w:w w:val="100"/>
                <w:sz w:val="17"/>
                <w:szCs w:val="17"/>
              </w:rPr>
              <w:t>63</w:t>
            </w:r>
          </w:p>
        </w:tc>
        <w:tc>
          <w:tcPr>
            <w:tcW w:w="152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b/>
                <w:bCs/>
                <w:spacing w:val="0"/>
                <w:w w:val="100"/>
                <w:sz w:val="17"/>
                <w:szCs w:val="17"/>
              </w:rPr>
            </w:pPr>
            <w:r w:rsidRPr="00A5195C">
              <w:rPr>
                <w:b/>
                <w:bCs/>
                <w:spacing w:val="0"/>
                <w:w w:val="100"/>
                <w:sz w:val="17"/>
                <w:szCs w:val="17"/>
              </w:rPr>
              <w:t>37</w:t>
            </w:r>
          </w:p>
        </w:tc>
        <w:tc>
          <w:tcPr>
            <w:tcW w:w="74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b/>
                <w:bCs/>
                <w:spacing w:val="0"/>
                <w:w w:val="100"/>
                <w:sz w:val="17"/>
                <w:szCs w:val="17"/>
              </w:rPr>
            </w:pPr>
            <w:r w:rsidRPr="00A5195C">
              <w:rPr>
                <w:b/>
                <w:bCs/>
                <w:spacing w:val="0"/>
                <w:w w:val="100"/>
                <w:sz w:val="17"/>
                <w:szCs w:val="17"/>
              </w:rPr>
              <w:t>20 864</w:t>
            </w:r>
          </w:p>
        </w:tc>
        <w:tc>
          <w:tcPr>
            <w:tcW w:w="146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b/>
                <w:bCs/>
                <w:spacing w:val="0"/>
                <w:w w:val="100"/>
                <w:sz w:val="17"/>
                <w:szCs w:val="17"/>
              </w:rPr>
            </w:pPr>
            <w:r w:rsidRPr="00A5195C">
              <w:rPr>
                <w:b/>
                <w:bCs/>
                <w:spacing w:val="0"/>
                <w:w w:val="100"/>
                <w:sz w:val="17"/>
                <w:szCs w:val="17"/>
              </w:rPr>
              <w:t>63</w:t>
            </w:r>
          </w:p>
        </w:tc>
        <w:tc>
          <w:tcPr>
            <w:tcW w:w="148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b/>
                <w:bCs/>
                <w:spacing w:val="0"/>
                <w:w w:val="100"/>
                <w:sz w:val="17"/>
                <w:szCs w:val="17"/>
              </w:rPr>
            </w:pPr>
            <w:r w:rsidRPr="00A5195C">
              <w:rPr>
                <w:b/>
                <w:bCs/>
                <w:spacing w:val="0"/>
                <w:w w:val="100"/>
                <w:sz w:val="17"/>
                <w:szCs w:val="17"/>
              </w:rPr>
              <w:t>37</w:t>
            </w:r>
          </w:p>
        </w:tc>
        <w:tc>
          <w:tcPr>
            <w:tcW w:w="790" w:type="dxa"/>
            <w:tcBorders>
              <w:top w:val="single" w:sz="4" w:space="0" w:color="000000"/>
              <w:bottom w:val="single" w:sz="12" w:space="0" w:color="000000"/>
            </w:tcBorders>
            <w:shd w:val="clear" w:color="auto" w:fill="auto"/>
            <w:vAlign w:val="bottom"/>
          </w:tcPr>
          <w:p w:rsidR="00102068" w:rsidRPr="00A5195C" w:rsidRDefault="00102068" w:rsidP="006505E8">
            <w:pPr>
              <w:tabs>
                <w:tab w:val="left" w:pos="288"/>
                <w:tab w:val="left" w:pos="576"/>
                <w:tab w:val="left" w:pos="864"/>
                <w:tab w:val="left" w:pos="1152"/>
              </w:tabs>
              <w:spacing w:before="81" w:after="81" w:line="210" w:lineRule="exact"/>
              <w:ind w:right="43"/>
              <w:jc w:val="right"/>
              <w:rPr>
                <w:spacing w:val="0"/>
                <w:w w:val="100"/>
                <w:sz w:val="17"/>
                <w:szCs w:val="17"/>
              </w:rPr>
            </w:pPr>
            <w:r w:rsidRPr="00A5195C">
              <w:rPr>
                <w:b/>
                <w:bCs/>
                <w:spacing w:val="0"/>
                <w:w w:val="100"/>
                <w:sz w:val="17"/>
                <w:szCs w:val="17"/>
              </w:rPr>
              <w:t>20 861</w:t>
            </w:r>
          </w:p>
        </w:tc>
      </w:tr>
    </w:tbl>
    <w:p w:rsidR="004C298C" w:rsidRPr="004C298C" w:rsidRDefault="004C298C" w:rsidP="004C298C">
      <w:pPr>
        <w:pStyle w:val="SingleTxtG"/>
        <w:tabs>
          <w:tab w:val="clear" w:pos="1701"/>
          <w:tab w:val="clear" w:pos="2126"/>
          <w:tab w:val="clear" w:pos="2552"/>
          <w:tab w:val="right" w:pos="1476"/>
          <w:tab w:val="left" w:pos="1548"/>
          <w:tab w:val="right" w:pos="1836"/>
          <w:tab w:val="left" w:pos="1908"/>
        </w:tabs>
        <w:spacing w:after="0" w:line="120" w:lineRule="exact"/>
        <w:ind w:left="1548" w:right="0" w:hanging="288"/>
        <w:rPr>
          <w:rFonts w:eastAsia="Calibri"/>
          <w:i/>
          <w:spacing w:val="5"/>
          <w:w w:val="104"/>
          <w:kern w:val="14"/>
          <w:sz w:val="10"/>
        </w:rPr>
      </w:pPr>
    </w:p>
    <w:p w:rsidR="00102068" w:rsidRPr="004C298C" w:rsidRDefault="00102068" w:rsidP="004C298C">
      <w:pPr>
        <w:pStyle w:val="SingleTxtG"/>
        <w:tabs>
          <w:tab w:val="clear" w:pos="1701"/>
          <w:tab w:val="clear" w:pos="2126"/>
          <w:tab w:val="clear" w:pos="2552"/>
          <w:tab w:val="right" w:pos="1476"/>
          <w:tab w:val="left" w:pos="1548"/>
          <w:tab w:val="right" w:pos="1836"/>
          <w:tab w:val="left" w:pos="1908"/>
        </w:tabs>
        <w:ind w:left="1548" w:right="0" w:hanging="288"/>
        <w:rPr>
          <w:rFonts w:eastAsia="Calibri"/>
          <w:spacing w:val="5"/>
          <w:w w:val="104"/>
          <w:kern w:val="14"/>
          <w:sz w:val="17"/>
        </w:rPr>
      </w:pPr>
      <w:r w:rsidRPr="004C298C">
        <w:rPr>
          <w:rFonts w:eastAsia="Calibri"/>
          <w:i/>
          <w:spacing w:val="5"/>
          <w:w w:val="104"/>
          <w:kern w:val="14"/>
          <w:sz w:val="17"/>
        </w:rPr>
        <w:t>Источник</w:t>
      </w:r>
      <w:r w:rsidRPr="004C298C">
        <w:rPr>
          <w:rFonts w:eastAsia="Calibri"/>
          <w:spacing w:val="5"/>
          <w:w w:val="104"/>
          <w:kern w:val="14"/>
          <w:sz w:val="17"/>
        </w:rPr>
        <w:t>: Министерство финансов и экономики, 2013 год.</w:t>
      </w:r>
    </w:p>
    <w:p w:rsidR="00102068" w:rsidRPr="004E3C3F"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Pr="004C298C">
        <w:tab/>
      </w:r>
      <w:r w:rsidRPr="004C298C">
        <w:tab/>
      </w:r>
      <w:r w:rsidR="00102068">
        <w:t>Судьи</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102068" w:rsidRDefault="004C298C" w:rsidP="00102068">
      <w:pPr>
        <w:pStyle w:val="SingleTxtG"/>
      </w:pPr>
      <w:r w:rsidRPr="004E3C3F">
        <w:tab/>
      </w:r>
      <w:r w:rsidR="00102068">
        <w:t>До 2010</w:t>
      </w:r>
      <w:r>
        <w:t> года</w:t>
      </w:r>
      <w:r w:rsidR="00102068">
        <w:t xml:space="preserve"> предусматривалось назначение 38 судей окружных судов, после чего их </w:t>
      </w:r>
      <w:r w:rsidR="00102068" w:rsidRPr="00A5195C">
        <w:t>число</w:t>
      </w:r>
      <w:r w:rsidR="00102068">
        <w:t xml:space="preserve"> было увеличено до 43</w:t>
      </w:r>
      <w:r>
        <w:t> человек</w:t>
      </w:r>
      <w:r w:rsidR="00102068">
        <w:t>. Соответствующие должности получили двое мужчин и три</w:t>
      </w:r>
      <w:r w:rsidR="004E3C3F">
        <w:t> женщин</w:t>
      </w:r>
      <w:r w:rsidR="00102068">
        <w:t>ы, назначенные судьями окружного суда в Рейкьявике. Женщины составляют немногим менее 42</w:t>
      </w:r>
      <w:r>
        <w:t> процентов</w:t>
      </w:r>
      <w:r w:rsidR="00102068">
        <w:t xml:space="preserve"> судей окружных судов. Их доля увеличилась по сравнению с 2008 годом, когда</w:t>
      </w:r>
      <w:r w:rsidR="004E3C3F">
        <w:t> женщин</w:t>
      </w:r>
      <w:r w:rsidR="00102068">
        <w:t>ами являлись только 32 процента таких судей. Большинство судей женского пола работают в окружных судах Рейкьявика и полуострова Рейкьянес. Из одиннадцати заместителей судей окружных судов восемь являются</w:t>
      </w:r>
      <w:r w:rsidR="004E3C3F">
        <w:t> женщин</w:t>
      </w:r>
      <w:r w:rsidR="00102068">
        <w:t>ами и трое</w:t>
      </w:r>
      <w:r w:rsidR="004E3C3F">
        <w:t xml:space="preserve"> —  </w:t>
      </w:r>
      <w:r w:rsidR="00102068">
        <w:t>мужчинами. Каждый из восьми окружных судов Исландии возглавляет председатель суда. В июне 2013</w:t>
      </w:r>
      <w:r>
        <w:t> года</w:t>
      </w:r>
      <w:r w:rsidR="00102068">
        <w:t xml:space="preserve"> председателями окружных судов были назначены семь мужчин и одна</w:t>
      </w:r>
      <w:r w:rsidR="004E3C3F">
        <w:t> женщин</w:t>
      </w:r>
      <w:r w:rsidR="00102068">
        <w:t>а. Должности заместителей председателя суда занимали десять</w:t>
      </w:r>
      <w:r>
        <w:t> человек</w:t>
      </w:r>
      <w:r w:rsidR="00102068">
        <w:t>: восемь</w:t>
      </w:r>
      <w:r w:rsidR="004E3C3F">
        <w:t> женщин</w:t>
      </w:r>
      <w:r w:rsidR="00102068">
        <w:t xml:space="preserve"> и двое мужчин.</w:t>
      </w:r>
    </w:p>
    <w:p w:rsidR="00102068" w:rsidRDefault="004C298C" w:rsidP="00102068">
      <w:pPr>
        <w:pStyle w:val="SingleTxtG"/>
        <w:rPr>
          <w:b/>
        </w:rPr>
      </w:pPr>
      <w:r w:rsidRPr="004E3C3F">
        <w:tab/>
      </w:r>
      <w:r w:rsidR="00102068">
        <w:t>В 2011</w:t>
      </w:r>
      <w:r>
        <w:t> году</w:t>
      </w:r>
      <w:r w:rsidR="00102068">
        <w:t xml:space="preserve"> число судей Верховного суда было увеличено с десяти до двенадцати. С этого времени в Верховном суде действуют двенадцать судей: две</w:t>
      </w:r>
      <w:r w:rsidR="004E3C3F">
        <w:t> женщин</w:t>
      </w:r>
      <w:r w:rsidR="00102068">
        <w:t>ы и десять мужчин. Данное соотношение не менялось с 2011</w:t>
      </w:r>
      <w:r>
        <w:t> года</w:t>
      </w:r>
      <w:r w:rsidR="00102068">
        <w:t>. В 2012</w:t>
      </w:r>
      <w:r>
        <w:t> году</w:t>
      </w:r>
      <w:r w:rsidR="00102068">
        <w:t xml:space="preserve"> двое мужчин, занимавших должности судей Верховного суда, вышли в отставку; их сменили двое других мужчин. В 2013</w:t>
      </w:r>
      <w:r>
        <w:t> году</w:t>
      </w:r>
      <w:r w:rsidR="00102068">
        <w:t xml:space="preserve"> функции судьи мужского пола, находившегося в отпуске, временно исполняла судья-женщина. Заместителями судей Верховного суда являются пять</w:t>
      </w:r>
      <w:r>
        <w:t> человек</w:t>
      </w:r>
      <w:r w:rsidR="00102068">
        <w:t>: четыре</w:t>
      </w:r>
      <w:r w:rsidR="004E3C3F">
        <w:t> женщин</w:t>
      </w:r>
      <w:r w:rsidR="00102068">
        <w:t xml:space="preserve">ы и один мужчина. Должность руководителя Верховного суда занимает </w:t>
      </w:r>
      <w:r w:rsidR="00102068" w:rsidRPr="00A5195C">
        <w:t>мужчина</w:t>
      </w:r>
      <w:r w:rsidR="00102068">
        <w:t>.</w:t>
      </w:r>
    </w:p>
    <w:p w:rsidR="004C298C" w:rsidRPr="004C298C" w:rsidRDefault="004C298C" w:rsidP="004C298C">
      <w:pPr>
        <w:pStyle w:val="SingleTxtG"/>
        <w:spacing w:after="0" w:line="120" w:lineRule="exact"/>
        <w:jc w:val="left"/>
        <w:rPr>
          <w:b/>
          <w:sz w:val="10"/>
        </w:rPr>
      </w:pPr>
    </w:p>
    <w:p w:rsidR="00102068" w:rsidRDefault="00102068" w:rsidP="00102068">
      <w:pPr>
        <w:pStyle w:val="SingleTxtG"/>
        <w:jc w:val="left"/>
        <w:rPr>
          <w:b/>
          <w:lang w:val="en-US"/>
        </w:rPr>
      </w:pPr>
      <w:r w:rsidRPr="00A5195C">
        <w:rPr>
          <w:b/>
        </w:rPr>
        <w:t>Судьи в 2009–2013</w:t>
      </w:r>
      <w:r w:rsidR="004C298C">
        <w:rPr>
          <w:b/>
        </w:rPr>
        <w:t> года</w:t>
      </w:r>
      <w:r w:rsidRPr="00A5195C">
        <w:rPr>
          <w:b/>
        </w:rPr>
        <w:t>х</w:t>
      </w:r>
    </w:p>
    <w:p w:rsidR="004C298C" w:rsidRPr="004C298C" w:rsidRDefault="004C298C" w:rsidP="004C298C">
      <w:pPr>
        <w:pStyle w:val="SingleTxtG"/>
        <w:spacing w:after="0" w:line="120" w:lineRule="exact"/>
        <w:jc w:val="left"/>
        <w:rPr>
          <w:b/>
          <w:sz w:val="10"/>
          <w:lang w:val="en-US"/>
        </w:rPr>
      </w:pPr>
    </w:p>
    <w:tbl>
      <w:tblPr>
        <w:tblW w:w="10241" w:type="dxa"/>
        <w:tblInd w:w="36" w:type="dxa"/>
        <w:tblLayout w:type="fixed"/>
        <w:tblCellMar>
          <w:left w:w="0" w:type="dxa"/>
          <w:right w:w="0" w:type="dxa"/>
        </w:tblCellMar>
        <w:tblLook w:val="0000" w:firstRow="0" w:lastRow="0" w:firstColumn="0" w:lastColumn="0" w:noHBand="0" w:noVBand="0"/>
      </w:tblPr>
      <w:tblGrid>
        <w:gridCol w:w="1530"/>
        <w:gridCol w:w="390"/>
        <w:gridCol w:w="680"/>
        <w:gridCol w:w="640"/>
        <w:gridCol w:w="50"/>
        <w:gridCol w:w="410"/>
        <w:gridCol w:w="660"/>
        <w:gridCol w:w="630"/>
        <w:gridCol w:w="50"/>
        <w:gridCol w:w="410"/>
        <w:gridCol w:w="640"/>
        <w:gridCol w:w="620"/>
        <w:gridCol w:w="50"/>
        <w:gridCol w:w="400"/>
        <w:gridCol w:w="742"/>
        <w:gridCol w:w="709"/>
        <w:gridCol w:w="20"/>
        <w:gridCol w:w="360"/>
        <w:gridCol w:w="630"/>
        <w:gridCol w:w="620"/>
      </w:tblGrid>
      <w:tr w:rsidR="00102068" w:rsidRPr="00A5195C" w:rsidTr="006505E8">
        <w:trPr>
          <w:trHeight w:val="273"/>
          <w:tblHeader/>
        </w:trPr>
        <w:tc>
          <w:tcPr>
            <w:tcW w:w="1530" w:type="dxa"/>
            <w:vMerge w:val="restart"/>
            <w:tcBorders>
              <w:top w:val="single" w:sz="4" w:space="0" w:color="000000"/>
            </w:tcBorders>
            <w:shd w:val="clear" w:color="auto" w:fill="auto"/>
            <w:vAlign w:val="bottom"/>
          </w:tcPr>
          <w:p w:rsidR="00102068" w:rsidRPr="00A5195C" w:rsidRDefault="00102068" w:rsidP="006505E8">
            <w:pPr>
              <w:spacing w:line="240" w:lineRule="auto"/>
              <w:rPr>
                <w:i/>
                <w:iCs/>
                <w:spacing w:val="0"/>
                <w:w w:val="100"/>
                <w:sz w:val="14"/>
                <w:szCs w:val="14"/>
              </w:rPr>
            </w:pPr>
          </w:p>
        </w:tc>
        <w:tc>
          <w:tcPr>
            <w:tcW w:w="171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r w:rsidRPr="00A5195C">
              <w:rPr>
                <w:i/>
                <w:iCs/>
                <w:spacing w:val="0"/>
                <w:w w:val="100"/>
                <w:sz w:val="14"/>
                <w:szCs w:val="14"/>
              </w:rPr>
              <w:t>2009</w:t>
            </w:r>
          </w:p>
        </w:tc>
        <w:tc>
          <w:tcPr>
            <w:tcW w:w="50" w:type="dxa"/>
            <w:tcBorders>
              <w:top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p>
        </w:tc>
        <w:tc>
          <w:tcPr>
            <w:tcW w:w="170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r w:rsidRPr="00A5195C">
              <w:rPr>
                <w:i/>
                <w:iCs/>
                <w:spacing w:val="0"/>
                <w:w w:val="100"/>
                <w:sz w:val="14"/>
                <w:szCs w:val="14"/>
              </w:rPr>
              <w:t>2010</w:t>
            </w:r>
          </w:p>
        </w:tc>
        <w:tc>
          <w:tcPr>
            <w:tcW w:w="50" w:type="dxa"/>
            <w:tcBorders>
              <w:top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p>
        </w:tc>
        <w:tc>
          <w:tcPr>
            <w:tcW w:w="167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r w:rsidRPr="00A5195C">
              <w:rPr>
                <w:i/>
                <w:iCs/>
                <w:spacing w:val="0"/>
                <w:w w:val="100"/>
                <w:sz w:val="14"/>
                <w:szCs w:val="14"/>
              </w:rPr>
              <w:t>2011</w:t>
            </w:r>
          </w:p>
        </w:tc>
        <w:tc>
          <w:tcPr>
            <w:tcW w:w="50" w:type="dxa"/>
            <w:tcBorders>
              <w:top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p>
        </w:tc>
        <w:tc>
          <w:tcPr>
            <w:tcW w:w="1851"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r w:rsidRPr="00A5195C">
              <w:rPr>
                <w:i/>
                <w:iCs/>
                <w:spacing w:val="0"/>
                <w:w w:val="100"/>
                <w:sz w:val="14"/>
                <w:szCs w:val="14"/>
              </w:rPr>
              <w:t>2012</w:t>
            </w:r>
          </w:p>
        </w:tc>
        <w:tc>
          <w:tcPr>
            <w:tcW w:w="20" w:type="dxa"/>
            <w:tcBorders>
              <w:top w:val="single" w:sz="4" w:space="0" w:color="000000"/>
            </w:tcBorders>
            <w:shd w:val="clear" w:color="auto" w:fill="auto"/>
            <w:vAlign w:val="bottom"/>
          </w:tcPr>
          <w:p w:rsidR="00102068" w:rsidRPr="00A5195C" w:rsidRDefault="00102068" w:rsidP="006505E8">
            <w:pPr>
              <w:spacing w:line="240" w:lineRule="auto"/>
              <w:jc w:val="center"/>
              <w:rPr>
                <w:i/>
                <w:iCs/>
                <w:spacing w:val="0"/>
                <w:w w:val="100"/>
                <w:sz w:val="14"/>
                <w:szCs w:val="14"/>
              </w:rPr>
            </w:pPr>
          </w:p>
        </w:tc>
        <w:tc>
          <w:tcPr>
            <w:tcW w:w="1610" w:type="dxa"/>
            <w:gridSpan w:val="3"/>
            <w:tcBorders>
              <w:top w:val="single" w:sz="4" w:space="0" w:color="000000"/>
              <w:bottom w:val="single" w:sz="4" w:space="0" w:color="000000"/>
            </w:tcBorders>
            <w:shd w:val="clear" w:color="auto" w:fill="auto"/>
            <w:vAlign w:val="bottom"/>
          </w:tcPr>
          <w:p w:rsidR="00102068" w:rsidRPr="00A5195C" w:rsidRDefault="00102068" w:rsidP="006505E8">
            <w:pPr>
              <w:spacing w:line="240" w:lineRule="auto"/>
              <w:jc w:val="center"/>
              <w:rPr>
                <w:i/>
                <w:spacing w:val="0"/>
                <w:w w:val="100"/>
                <w:sz w:val="14"/>
                <w:szCs w:val="14"/>
              </w:rPr>
            </w:pPr>
            <w:r w:rsidRPr="00A5195C">
              <w:rPr>
                <w:i/>
                <w:iCs/>
                <w:spacing w:val="0"/>
                <w:w w:val="100"/>
                <w:sz w:val="14"/>
                <w:szCs w:val="14"/>
              </w:rPr>
              <w:t>2013</w:t>
            </w:r>
          </w:p>
        </w:tc>
      </w:tr>
      <w:tr w:rsidR="00102068" w:rsidRPr="00A5195C" w:rsidTr="006505E8">
        <w:trPr>
          <w:trHeight w:val="273"/>
          <w:tblHeader/>
        </w:trPr>
        <w:tc>
          <w:tcPr>
            <w:tcW w:w="1530" w:type="dxa"/>
            <w:vMerge/>
            <w:tcBorders>
              <w:top w:val="single" w:sz="4" w:space="0" w:color="000000"/>
            </w:tcBorders>
            <w:shd w:val="clear" w:color="auto" w:fill="auto"/>
            <w:vAlign w:val="bottom"/>
          </w:tcPr>
          <w:p w:rsidR="00102068" w:rsidRPr="00A5195C" w:rsidRDefault="00102068" w:rsidP="006505E8">
            <w:pPr>
              <w:spacing w:line="240" w:lineRule="auto"/>
              <w:rPr>
                <w:i/>
                <w:spacing w:val="0"/>
                <w:w w:val="100"/>
                <w:sz w:val="14"/>
                <w:szCs w:val="14"/>
              </w:rPr>
            </w:pPr>
          </w:p>
        </w:tc>
        <w:tc>
          <w:tcPr>
            <w:tcW w:w="39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Всего</w:t>
            </w:r>
          </w:p>
        </w:tc>
        <w:tc>
          <w:tcPr>
            <w:tcW w:w="68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Мужчины</w:t>
            </w:r>
          </w:p>
        </w:tc>
        <w:tc>
          <w:tcPr>
            <w:tcW w:w="64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Женщины</w:t>
            </w:r>
          </w:p>
        </w:tc>
        <w:tc>
          <w:tcPr>
            <w:tcW w:w="50" w:type="dxa"/>
            <w:tcBorders>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p>
        </w:tc>
        <w:tc>
          <w:tcPr>
            <w:tcW w:w="41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Всего</w:t>
            </w:r>
          </w:p>
        </w:tc>
        <w:tc>
          <w:tcPr>
            <w:tcW w:w="66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Мужчины</w:t>
            </w:r>
          </w:p>
        </w:tc>
        <w:tc>
          <w:tcPr>
            <w:tcW w:w="63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Женщины</w:t>
            </w:r>
          </w:p>
        </w:tc>
        <w:tc>
          <w:tcPr>
            <w:tcW w:w="50" w:type="dxa"/>
            <w:tcBorders>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p>
        </w:tc>
        <w:tc>
          <w:tcPr>
            <w:tcW w:w="41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Всего</w:t>
            </w:r>
          </w:p>
        </w:tc>
        <w:tc>
          <w:tcPr>
            <w:tcW w:w="64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Мужчины</w:t>
            </w:r>
          </w:p>
        </w:tc>
        <w:tc>
          <w:tcPr>
            <w:tcW w:w="62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Женщины</w:t>
            </w:r>
          </w:p>
        </w:tc>
        <w:tc>
          <w:tcPr>
            <w:tcW w:w="50" w:type="dxa"/>
            <w:tcBorders>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p>
        </w:tc>
        <w:tc>
          <w:tcPr>
            <w:tcW w:w="40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Всего</w:t>
            </w:r>
          </w:p>
        </w:tc>
        <w:tc>
          <w:tcPr>
            <w:tcW w:w="742"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Мужчины</w:t>
            </w:r>
          </w:p>
        </w:tc>
        <w:tc>
          <w:tcPr>
            <w:tcW w:w="709"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Женщины</w:t>
            </w:r>
          </w:p>
        </w:tc>
        <w:tc>
          <w:tcPr>
            <w:tcW w:w="20" w:type="dxa"/>
            <w:tcBorders>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p>
        </w:tc>
        <w:tc>
          <w:tcPr>
            <w:tcW w:w="36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Всего</w:t>
            </w:r>
          </w:p>
        </w:tc>
        <w:tc>
          <w:tcPr>
            <w:tcW w:w="63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Мужчины</w:t>
            </w:r>
          </w:p>
        </w:tc>
        <w:tc>
          <w:tcPr>
            <w:tcW w:w="620" w:type="dxa"/>
            <w:tcBorders>
              <w:top w:val="single" w:sz="4" w:space="0" w:color="000000"/>
              <w:bottom w:val="single" w:sz="12" w:space="0" w:color="000000"/>
            </w:tcBorders>
            <w:shd w:val="clear" w:color="auto" w:fill="auto"/>
            <w:vAlign w:val="bottom"/>
          </w:tcPr>
          <w:p w:rsidR="00102068" w:rsidRPr="00A5195C" w:rsidRDefault="00102068" w:rsidP="006505E8">
            <w:pPr>
              <w:spacing w:line="240" w:lineRule="auto"/>
              <w:jc w:val="right"/>
              <w:rPr>
                <w:i/>
                <w:spacing w:val="0"/>
                <w:w w:val="100"/>
                <w:sz w:val="14"/>
                <w:szCs w:val="14"/>
              </w:rPr>
            </w:pPr>
            <w:r w:rsidRPr="00A5195C">
              <w:rPr>
                <w:i/>
                <w:spacing w:val="0"/>
                <w:w w:val="100"/>
                <w:sz w:val="14"/>
                <w:szCs w:val="14"/>
              </w:rPr>
              <w:t>Женщины</w:t>
            </w:r>
          </w:p>
        </w:tc>
      </w:tr>
      <w:tr w:rsidR="00102068" w:rsidRPr="00A5195C" w:rsidTr="006505E8">
        <w:trPr>
          <w:trHeight w:hRule="exact" w:val="115"/>
          <w:tblHeader/>
        </w:trPr>
        <w:tc>
          <w:tcPr>
            <w:tcW w:w="1530" w:type="dxa"/>
            <w:tcBorders>
              <w:top w:val="single" w:sz="12" w:space="0" w:color="000000"/>
            </w:tcBorders>
            <w:shd w:val="clear" w:color="auto" w:fill="auto"/>
            <w:vAlign w:val="bottom"/>
          </w:tcPr>
          <w:p w:rsidR="00102068" w:rsidRPr="00A5195C" w:rsidRDefault="00102068" w:rsidP="006505E8">
            <w:pPr>
              <w:snapToGrid w:val="0"/>
              <w:spacing w:line="240" w:lineRule="auto"/>
              <w:rPr>
                <w:b/>
                <w:i/>
                <w:spacing w:val="0"/>
                <w:w w:val="100"/>
                <w:sz w:val="17"/>
                <w:szCs w:val="17"/>
              </w:rPr>
            </w:pPr>
          </w:p>
        </w:tc>
        <w:tc>
          <w:tcPr>
            <w:tcW w:w="39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8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4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5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41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6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3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5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41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4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2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5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40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742"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709"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2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36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3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c>
          <w:tcPr>
            <w:tcW w:w="620" w:type="dxa"/>
            <w:tcBorders>
              <w:top w:val="single" w:sz="12" w:space="0" w:color="000000"/>
            </w:tcBorders>
            <w:shd w:val="clear" w:color="auto" w:fill="auto"/>
            <w:vAlign w:val="bottom"/>
          </w:tcPr>
          <w:p w:rsidR="00102068" w:rsidRPr="00A5195C" w:rsidRDefault="00102068" w:rsidP="006505E8">
            <w:pPr>
              <w:snapToGrid w:val="0"/>
              <w:spacing w:line="240" w:lineRule="auto"/>
              <w:jc w:val="right"/>
              <w:rPr>
                <w:spacing w:val="0"/>
                <w:w w:val="100"/>
                <w:sz w:val="17"/>
                <w:szCs w:val="17"/>
              </w:rPr>
            </w:pP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rPr>
                <w:spacing w:val="0"/>
                <w:w w:val="100"/>
                <w:sz w:val="17"/>
                <w:szCs w:val="17"/>
              </w:rPr>
            </w:pPr>
            <w:r w:rsidRPr="00A5195C">
              <w:rPr>
                <w:spacing w:val="0"/>
                <w:w w:val="100"/>
                <w:sz w:val="17"/>
                <w:szCs w:val="17"/>
              </w:rPr>
              <w:t>Верховный суд</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9</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7</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2</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9</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8</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12</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10</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2</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12</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10</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2</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12</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10</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after="40" w:line="240" w:lineRule="auto"/>
              <w:jc w:val="right"/>
              <w:rPr>
                <w:spacing w:val="0"/>
                <w:w w:val="100"/>
                <w:sz w:val="17"/>
                <w:szCs w:val="17"/>
              </w:rPr>
            </w:pPr>
            <w:r w:rsidRPr="00A5195C">
              <w:rPr>
                <w:spacing w:val="0"/>
                <w:w w:val="100"/>
                <w:sz w:val="17"/>
                <w:szCs w:val="17"/>
              </w:rPr>
              <w:t>2</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Окружные суды</w:t>
            </w:r>
            <w:r>
              <w:rPr>
                <w:spacing w:val="0"/>
                <w:w w:val="100"/>
                <w:sz w:val="17"/>
                <w:szCs w:val="17"/>
              </w:rPr>
              <w:t>, всего</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38</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26</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12</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43</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28</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15</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43</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28</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15</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43</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28</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15</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43</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25</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r w:rsidRPr="00BE076D">
              <w:rPr>
                <w:spacing w:val="0"/>
                <w:w w:val="100"/>
                <w:sz w:val="17"/>
                <w:szCs w:val="17"/>
              </w:rPr>
              <w:t>18</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Рейкьявик</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22</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14</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8</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25</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14</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25</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15</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25</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15</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10</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25</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12</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13</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Западная Исландия</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Западные фьорды</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Северо-западная Исландия</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Северо-восточная Исландия</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Восточная Исландия</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0</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r>
      <w:tr w:rsidR="00102068" w:rsidRPr="00A5195C" w:rsidTr="006505E8">
        <w:trPr>
          <w:trHeight w:val="273"/>
        </w:trPr>
        <w:tc>
          <w:tcPr>
            <w:tcW w:w="15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Южная Исландия</w:t>
            </w:r>
          </w:p>
        </w:tc>
        <w:tc>
          <w:tcPr>
            <w:tcW w:w="39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w:t>
            </w:r>
          </w:p>
        </w:tc>
        <w:tc>
          <w:tcPr>
            <w:tcW w:w="68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4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5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742"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w:t>
            </w:r>
          </w:p>
        </w:tc>
        <w:tc>
          <w:tcPr>
            <w:tcW w:w="709"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c>
          <w:tcPr>
            <w:tcW w:w="20" w:type="dxa"/>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63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2</w:t>
            </w:r>
          </w:p>
        </w:tc>
        <w:tc>
          <w:tcPr>
            <w:tcW w:w="620" w:type="dxa"/>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1</w:t>
            </w:r>
          </w:p>
        </w:tc>
      </w:tr>
      <w:tr w:rsidR="00102068" w:rsidRPr="00A5195C" w:rsidTr="006505E8">
        <w:trPr>
          <w:trHeight w:val="273"/>
        </w:trPr>
        <w:tc>
          <w:tcPr>
            <w:tcW w:w="153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rPr>
                <w:spacing w:val="0"/>
                <w:w w:val="100"/>
                <w:sz w:val="17"/>
                <w:szCs w:val="17"/>
              </w:rPr>
            </w:pPr>
            <w:r w:rsidRPr="00A5195C">
              <w:rPr>
                <w:spacing w:val="0"/>
                <w:w w:val="100"/>
                <w:sz w:val="17"/>
                <w:szCs w:val="17"/>
              </w:rPr>
              <w:t>Полуостров Рейкьянес</w:t>
            </w:r>
          </w:p>
        </w:tc>
        <w:tc>
          <w:tcPr>
            <w:tcW w:w="39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7</w:t>
            </w:r>
          </w:p>
        </w:tc>
        <w:tc>
          <w:tcPr>
            <w:tcW w:w="68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4</w:t>
            </w:r>
          </w:p>
        </w:tc>
        <w:tc>
          <w:tcPr>
            <w:tcW w:w="64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5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8</w:t>
            </w:r>
          </w:p>
        </w:tc>
        <w:tc>
          <w:tcPr>
            <w:tcW w:w="66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5</w:t>
            </w:r>
          </w:p>
        </w:tc>
        <w:tc>
          <w:tcPr>
            <w:tcW w:w="63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5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1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8</w:t>
            </w:r>
          </w:p>
        </w:tc>
        <w:tc>
          <w:tcPr>
            <w:tcW w:w="64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5</w:t>
            </w:r>
          </w:p>
        </w:tc>
        <w:tc>
          <w:tcPr>
            <w:tcW w:w="62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5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40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8</w:t>
            </w:r>
          </w:p>
        </w:tc>
        <w:tc>
          <w:tcPr>
            <w:tcW w:w="742"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5</w:t>
            </w:r>
          </w:p>
        </w:tc>
        <w:tc>
          <w:tcPr>
            <w:tcW w:w="709"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c>
          <w:tcPr>
            <w:tcW w:w="2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napToGrid w:val="0"/>
              <w:spacing w:before="40" w:after="40" w:line="240" w:lineRule="auto"/>
              <w:jc w:val="right"/>
              <w:rPr>
                <w:spacing w:val="0"/>
                <w:w w:val="100"/>
                <w:sz w:val="17"/>
                <w:szCs w:val="17"/>
              </w:rPr>
            </w:pPr>
          </w:p>
        </w:tc>
        <w:tc>
          <w:tcPr>
            <w:tcW w:w="36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8</w:t>
            </w:r>
          </w:p>
        </w:tc>
        <w:tc>
          <w:tcPr>
            <w:tcW w:w="63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5</w:t>
            </w:r>
          </w:p>
        </w:tc>
        <w:tc>
          <w:tcPr>
            <w:tcW w:w="620" w:type="dxa"/>
            <w:tcBorders>
              <w:bottom w:val="single" w:sz="12" w:space="0" w:color="auto"/>
            </w:tcBorders>
            <w:shd w:val="clear" w:color="auto" w:fill="auto"/>
            <w:vAlign w:val="bottom"/>
          </w:tcPr>
          <w:p w:rsidR="00102068" w:rsidRPr="00A5195C"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A5195C">
              <w:rPr>
                <w:spacing w:val="0"/>
                <w:w w:val="100"/>
                <w:sz w:val="17"/>
                <w:szCs w:val="17"/>
              </w:rPr>
              <w:t>3</w:t>
            </w:r>
          </w:p>
        </w:tc>
      </w:tr>
    </w:tbl>
    <w:p w:rsidR="004C298C" w:rsidRPr="004C298C" w:rsidRDefault="004C298C" w:rsidP="004C298C">
      <w:pPr>
        <w:pStyle w:val="SingleTxtG"/>
        <w:spacing w:after="0" w:line="120" w:lineRule="exact"/>
        <w:rPr>
          <w:b/>
          <w:i/>
          <w:sz w:val="10"/>
          <w:szCs w:val="18"/>
        </w:rPr>
      </w:pPr>
    </w:p>
    <w:p w:rsidR="00102068" w:rsidRPr="00A5195C" w:rsidRDefault="00102068" w:rsidP="004C298C">
      <w:pPr>
        <w:pStyle w:val="FootnoteText"/>
        <w:tabs>
          <w:tab w:val="right" w:pos="1476"/>
          <w:tab w:val="left" w:pos="1548"/>
          <w:tab w:val="right" w:pos="1836"/>
          <w:tab w:val="left" w:pos="1908"/>
        </w:tabs>
        <w:ind w:left="1548" w:hanging="288"/>
      </w:pPr>
      <w:r w:rsidRPr="004C298C">
        <w:rPr>
          <w:i/>
        </w:rPr>
        <w:t>Источник</w:t>
      </w:r>
      <w:r w:rsidRPr="00A5195C">
        <w:rPr>
          <w:b/>
        </w:rPr>
        <w:t>:</w:t>
      </w:r>
      <w:r w:rsidRPr="00A5195C">
        <w:t xml:space="preserve"> Национальный судебный комитет и Верховный суд, 2013 год.</w:t>
      </w:r>
    </w:p>
    <w:p w:rsidR="004C298C" w:rsidRPr="004C298C" w:rsidRDefault="004C298C" w:rsidP="004C298C">
      <w:pPr>
        <w:pStyle w:val="SingleTxtG"/>
        <w:spacing w:after="0" w:line="120" w:lineRule="exact"/>
        <w:rPr>
          <w:sz w:val="10"/>
        </w:rPr>
      </w:pPr>
    </w:p>
    <w:p w:rsidR="004C298C" w:rsidRPr="004C298C" w:rsidRDefault="004C298C" w:rsidP="004C298C">
      <w:pPr>
        <w:pStyle w:val="SingleTxtG"/>
        <w:spacing w:after="0" w:line="120" w:lineRule="exact"/>
        <w:rPr>
          <w:sz w:val="10"/>
        </w:rPr>
      </w:pPr>
    </w:p>
    <w:p w:rsidR="00102068" w:rsidRPr="004E3C3F" w:rsidRDefault="004C298C" w:rsidP="00102068">
      <w:pPr>
        <w:pStyle w:val="SingleTxtG"/>
      </w:pPr>
      <w:r w:rsidRPr="004C298C">
        <w:tab/>
      </w:r>
      <w:r w:rsidR="00102068">
        <w:t>Национальный судебный комитет был учрежден в 1998</w:t>
      </w:r>
      <w:r>
        <w:t> году</w:t>
      </w:r>
      <w:r w:rsidR="00102068">
        <w:t xml:space="preserve">. Его основные функции включают финансирование судебной системы, согласование порядка работы окружных судов, определение числа судей и других работников каждого окружного суда и т. п. В соответствии со </w:t>
      </w:r>
      <w:r>
        <w:t>статьей </w:t>
      </w:r>
      <w:r w:rsidR="00102068">
        <w:t>13 Закона о судебных органах</w:t>
      </w:r>
      <w:r>
        <w:t> № </w:t>
      </w:r>
      <w:r w:rsidR="00102068">
        <w:t>15/1998 данный комитет состоит из пяти представителей. В 2013</w:t>
      </w:r>
      <w:r>
        <w:t> году</w:t>
      </w:r>
      <w:r w:rsidR="00102068">
        <w:t xml:space="preserve"> в его состав входили трое мужчин и две</w:t>
      </w:r>
      <w:r w:rsidR="004E3C3F">
        <w:t> женщин</w:t>
      </w:r>
      <w:r w:rsidR="00102068">
        <w:t xml:space="preserve">ы. </w:t>
      </w:r>
    </w:p>
    <w:p w:rsidR="004C298C" w:rsidRPr="004E3C3F" w:rsidRDefault="004C298C" w:rsidP="004C298C">
      <w:pPr>
        <w:pStyle w:val="SingleTxtG"/>
        <w:spacing w:after="0" w:line="120" w:lineRule="exact"/>
        <w:rPr>
          <w:sz w:val="10"/>
        </w:rPr>
      </w:pPr>
    </w:p>
    <w:p w:rsidR="004C298C" w:rsidRPr="004E3C3F" w:rsidRDefault="004C298C" w:rsidP="004C298C">
      <w:pPr>
        <w:pStyle w:val="SingleTxtG"/>
        <w:spacing w:after="0" w:line="120" w:lineRule="exact"/>
        <w:rPr>
          <w:sz w:val="10"/>
        </w:rPr>
      </w:pPr>
    </w:p>
    <w:p w:rsidR="00102068" w:rsidRPr="004E3C3F"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Окружные уполномоченные и сотрудники полиции</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102068" w:rsidRPr="004E3C3F" w:rsidRDefault="004C298C" w:rsidP="00102068">
      <w:pPr>
        <w:pStyle w:val="SingleTxtG"/>
      </w:pPr>
      <w:r w:rsidRPr="004C298C">
        <w:tab/>
      </w:r>
      <w:r w:rsidR="00102068">
        <w:t>В 2013</w:t>
      </w:r>
      <w:r>
        <w:t> году</w:t>
      </w:r>
      <w:r w:rsidR="00102068">
        <w:t xml:space="preserve"> в Исландии действовали 24 окружных уполномоченных, в том числе 6 женщин (25</w:t>
      </w:r>
      <w:r>
        <w:t> процентов</w:t>
      </w:r>
      <w:r w:rsidR="00102068">
        <w:t>). Согласно докладу о положении в области обеспечения гендерного равенства в 2009–2011</w:t>
      </w:r>
      <w:r>
        <w:t> года</w:t>
      </w:r>
      <w:r w:rsidR="00102068">
        <w:t>х аналогичное соотношение было зафиксировано в 2009 и 2011</w:t>
      </w:r>
      <w:r>
        <w:t> года</w:t>
      </w:r>
      <w:r w:rsidR="00102068" w:rsidRPr="00A5195C">
        <w:t>х</w:t>
      </w:r>
      <w:r w:rsidR="00102068">
        <w:t>. Женщины составляют чуть менее 13</w:t>
      </w:r>
      <w:r>
        <w:t> процентов</w:t>
      </w:r>
      <w:r w:rsidR="00102068">
        <w:t xml:space="preserve"> от общего числа сотрудников национальной полиции. До 2014</w:t>
      </w:r>
      <w:r>
        <w:t> года</w:t>
      </w:r>
      <w:r w:rsidR="004E3C3F">
        <w:t> женщин</w:t>
      </w:r>
      <w:r w:rsidR="00102068">
        <w:t>ы ни разу не занимали должность старшего суперинтенданта. Среди констеблей мужчины составляют около 83</w:t>
      </w:r>
      <w:r>
        <w:t> процентов</w:t>
      </w:r>
      <w:r w:rsidR="00102068">
        <w:t xml:space="preserve"> сотрудников, а</w:t>
      </w:r>
      <w:r w:rsidR="004E3C3F">
        <w:t> женщин</w:t>
      </w:r>
      <w:r w:rsidR="00102068">
        <w:t>ы</w:t>
      </w:r>
      <w:r w:rsidR="004E3C3F">
        <w:t xml:space="preserve"> —  </w:t>
      </w:r>
      <w:r w:rsidR="00102068">
        <w:t>около 17</w:t>
      </w:r>
      <w:r>
        <w:t> процентов</w:t>
      </w:r>
      <w:r w:rsidR="00102068">
        <w:t>. Наиболее высокая доля</w:t>
      </w:r>
      <w:r w:rsidR="004E3C3F">
        <w:t> женщин</w:t>
      </w:r>
      <w:r w:rsidR="00102068">
        <w:t xml:space="preserve"> (18,9</w:t>
      </w:r>
      <w:r>
        <w:t> процента</w:t>
      </w:r>
      <w:r w:rsidR="00102068">
        <w:t>) в полицейских органах зафиксирована среди главных инспекторов сыскной полиции.</w:t>
      </w:r>
    </w:p>
    <w:p w:rsidR="004C298C" w:rsidRPr="004E3C3F" w:rsidRDefault="004C298C" w:rsidP="004C298C">
      <w:pPr>
        <w:pStyle w:val="SingleTxtG"/>
        <w:spacing w:after="0" w:line="120" w:lineRule="exact"/>
        <w:rPr>
          <w:sz w:val="10"/>
        </w:rPr>
      </w:pPr>
    </w:p>
    <w:p w:rsidR="004C298C" w:rsidRPr="004E3C3F" w:rsidRDefault="004C298C" w:rsidP="004C298C">
      <w:pPr>
        <w:pStyle w:val="SingleTxtG"/>
        <w:spacing w:after="0" w:line="120" w:lineRule="exact"/>
        <w:rPr>
          <w:b/>
          <w:bCs/>
          <w:sz w:val="10"/>
        </w:rPr>
      </w:pPr>
    </w:p>
    <w:p w:rsidR="00102068" w:rsidRPr="004E3C3F"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Статья 8</w:t>
      </w:r>
    </w:p>
    <w:p w:rsidR="004C298C" w:rsidRPr="004E3C3F" w:rsidRDefault="004C298C" w:rsidP="004C298C">
      <w:pPr>
        <w:pStyle w:val="SingleTxt"/>
        <w:spacing w:after="0" w:line="120" w:lineRule="exact"/>
        <w:rPr>
          <w:sz w:val="10"/>
        </w:rPr>
      </w:pPr>
    </w:p>
    <w:p w:rsidR="00102068" w:rsidRPr="004E3C3F"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Женщины на дипломатической службе</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102068" w:rsidRDefault="004C298C" w:rsidP="00102068">
      <w:pPr>
        <w:pStyle w:val="SingleTxtG"/>
      </w:pPr>
      <w:r w:rsidRPr="004E3C3F">
        <w:tab/>
      </w:r>
      <w:r w:rsidR="00102068">
        <w:t>Начиная с 1998</w:t>
      </w:r>
      <w:r>
        <w:t> года</w:t>
      </w:r>
      <w:r w:rsidR="00102068">
        <w:t xml:space="preserve"> Министерство иностранных дел уделяет особое внимание набору в штат</w:t>
      </w:r>
      <w:r w:rsidR="004E3C3F">
        <w:t> женщин</w:t>
      </w:r>
      <w:r w:rsidR="00102068">
        <w:t xml:space="preserve"> с целью обеспечить более сбалансированное соотношение полов на дипломатической службе. Как правило,</w:t>
      </w:r>
      <w:r w:rsidR="004E3C3F">
        <w:t> женщин</w:t>
      </w:r>
      <w:r w:rsidR="00102068">
        <w:t xml:space="preserve">ы составляли </w:t>
      </w:r>
      <w:r w:rsidR="00102068" w:rsidRPr="00A5195C">
        <w:t>меньшинство</w:t>
      </w:r>
      <w:r w:rsidR="00102068">
        <w:t xml:space="preserve"> сотрудников Министерства иностранных дел. Первое назначение</w:t>
      </w:r>
      <w:r w:rsidR="004E3C3F">
        <w:t> женщин</w:t>
      </w:r>
      <w:r w:rsidR="00102068">
        <w:t>ы на должность посла состоялось в 1991</w:t>
      </w:r>
      <w:r>
        <w:t> году</w:t>
      </w:r>
      <w:r w:rsidR="00102068">
        <w:t>. С тех пор процентная доля послов женского пола значительно возросла. В настоящее время</w:t>
      </w:r>
      <w:r w:rsidR="004E3C3F">
        <w:t> женщин</w:t>
      </w:r>
      <w:r w:rsidR="00102068">
        <w:t xml:space="preserve">ы составляют большинство сотрудников данного министерства. </w:t>
      </w:r>
    </w:p>
    <w:p w:rsidR="004C298C" w:rsidRPr="004C298C" w:rsidRDefault="004C298C" w:rsidP="004C298C">
      <w:pPr>
        <w:pStyle w:val="SingleTxtG"/>
        <w:spacing w:after="0" w:line="120" w:lineRule="exact"/>
        <w:rPr>
          <w:b/>
          <w:sz w:val="10"/>
        </w:rPr>
      </w:pPr>
    </w:p>
    <w:p w:rsidR="004C298C" w:rsidRPr="004C298C" w:rsidRDefault="004C298C" w:rsidP="004C298C">
      <w:pPr>
        <w:pStyle w:val="SingleTxtG"/>
        <w:spacing w:after="0" w:line="120" w:lineRule="exact"/>
        <w:rPr>
          <w:b/>
          <w:sz w:val="10"/>
        </w:rPr>
      </w:pPr>
    </w:p>
    <w:p w:rsidR="00102068" w:rsidRDefault="00102068" w:rsidP="00102068">
      <w:pPr>
        <w:pStyle w:val="SingleTxtG"/>
      </w:pPr>
      <w:r w:rsidRPr="00A5195C">
        <w:rPr>
          <w:b/>
        </w:rPr>
        <w:t>Послы</w:t>
      </w:r>
      <w:r w:rsidR="004E3C3F">
        <w:rPr>
          <w:b/>
        </w:rPr>
        <w:t xml:space="preserve"> —  женщин</w:t>
      </w:r>
      <w:r w:rsidRPr="00A5195C">
        <w:rPr>
          <w:b/>
        </w:rPr>
        <w:t>ы и мужчины, 2011–2013 годы</w:t>
      </w:r>
    </w:p>
    <w:p w:rsidR="00102068" w:rsidRPr="004753F2" w:rsidRDefault="00363E39" w:rsidP="00102068">
      <w:pPr>
        <w:pStyle w:val="SingleTxtG"/>
      </w:pPr>
      <w:r>
        <w:rPr>
          <w:noProof/>
          <w:lang w:val="en-GB" w:eastAsia="en-GB"/>
        </w:rPr>
        <w:drawing>
          <wp:inline distT="0" distB="0" distL="0" distR="0">
            <wp:extent cx="4102735" cy="2414270"/>
            <wp:effectExtent l="0" t="0" r="0" b="508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02735" cy="2414270"/>
                    </a:xfrm>
                    <a:prstGeom prst="rect">
                      <a:avLst/>
                    </a:prstGeom>
                    <a:noFill/>
                  </pic:spPr>
                </pic:pic>
              </a:graphicData>
            </a:graphic>
          </wp:inline>
        </w:drawing>
      </w:r>
    </w:p>
    <w:p w:rsidR="00102068" w:rsidRPr="004E3C3F" w:rsidRDefault="004C298C" w:rsidP="00102068">
      <w:pPr>
        <w:pStyle w:val="SingleTxtG"/>
      </w:pPr>
      <w:r>
        <w:br w:type="page"/>
      </w:r>
      <w:r w:rsidRPr="004C298C">
        <w:tab/>
      </w:r>
      <w:r w:rsidR="00102068">
        <w:t>Министерство иностранных дел придает особое значение проектам, которые дают молодежи, начинающей профессиональную карьеру, возможность непосредственно знакомиться с работой исландской дипломатической службы и работой в международных организациях. Большинство лиц, принятых на работу в соответствии с данной программой, составляли</w:t>
      </w:r>
      <w:r w:rsidR="004E3C3F">
        <w:t> женщин</w:t>
      </w:r>
      <w:r w:rsidR="00102068">
        <w:t>ы. С 2002</w:t>
      </w:r>
      <w:r>
        <w:t> года</w:t>
      </w:r>
      <w:r w:rsidR="00102068">
        <w:t xml:space="preserve"> министерство принимает студентов-стажеров; их стажировка проходит исключительно в министерствах Исландии и постоянных комитетах за рубежом и продолжается шесть месяцев. В 2008</w:t>
      </w:r>
      <w:r>
        <w:t> году</w:t>
      </w:r>
      <w:r w:rsidR="00102068">
        <w:t xml:space="preserve"> в программе стажировок приняли участие двое мужчин и три</w:t>
      </w:r>
      <w:r w:rsidR="004E3C3F">
        <w:t> женщин</w:t>
      </w:r>
      <w:r w:rsidR="00102068">
        <w:t>ы; в 2009</w:t>
      </w:r>
      <w:r>
        <w:t> году</w:t>
      </w:r>
      <w:r w:rsidR="00102068">
        <w:t xml:space="preserve"> в ней также участвовали двое мужчин и три</w:t>
      </w:r>
      <w:r w:rsidR="004E3C3F">
        <w:t> женщин</w:t>
      </w:r>
      <w:r w:rsidR="00102068">
        <w:t>ы; в 2010 году на должности стажеров были приняты четверо мужчин и две</w:t>
      </w:r>
      <w:r w:rsidR="004E3C3F">
        <w:t> женщин</w:t>
      </w:r>
      <w:r w:rsidR="00102068">
        <w:t>ы; в 2011</w:t>
      </w:r>
      <w:r>
        <w:t> году</w:t>
      </w:r>
      <w:r w:rsidR="00102068">
        <w:t xml:space="preserve"> в программе приняли участие шесть</w:t>
      </w:r>
      <w:r w:rsidR="004E3C3F">
        <w:t> женщин</w:t>
      </w:r>
      <w:r w:rsidR="00102068">
        <w:t>; в 2012</w:t>
      </w:r>
      <w:r>
        <w:t> году</w:t>
      </w:r>
      <w:r w:rsidR="00102068">
        <w:t xml:space="preserve"> ее участниками стали шестеро мужчин и три</w:t>
      </w:r>
      <w:r w:rsidR="004E3C3F">
        <w:t> женщин</w:t>
      </w:r>
      <w:r w:rsidR="00102068">
        <w:t>ы; наконец, в 2013</w:t>
      </w:r>
      <w:r>
        <w:t> году</w:t>
      </w:r>
      <w:r w:rsidR="00102068">
        <w:t xml:space="preserve"> в программе стажировок участвовали один мужчина и пять</w:t>
      </w:r>
      <w:r w:rsidR="004E3C3F">
        <w:t> женщин</w:t>
      </w:r>
      <w:r w:rsidR="00102068">
        <w:t>. В целом в период 2008–2013 годов в программе стажировок приняли участие 15 мужчин и 22</w:t>
      </w:r>
      <w:r w:rsidR="004E3C3F">
        <w:t> женщин</w:t>
      </w:r>
      <w:r w:rsidR="00102068">
        <w:t xml:space="preserve">ы. </w:t>
      </w:r>
    </w:p>
    <w:p w:rsidR="004C298C" w:rsidRPr="004E3C3F" w:rsidRDefault="004C298C" w:rsidP="004C298C">
      <w:pPr>
        <w:pStyle w:val="SingleTxtG"/>
        <w:spacing w:after="0" w:line="120" w:lineRule="exact"/>
        <w:rPr>
          <w:sz w:val="10"/>
        </w:rPr>
      </w:pPr>
    </w:p>
    <w:p w:rsidR="004C298C" w:rsidRPr="004E3C3F" w:rsidRDefault="004C298C" w:rsidP="004C298C">
      <w:pPr>
        <w:pStyle w:val="SingleTxtG"/>
        <w:spacing w:after="0" w:line="120" w:lineRule="exact"/>
        <w:rPr>
          <w:b/>
          <w:bCs/>
          <w:sz w:val="10"/>
        </w:rPr>
      </w:pPr>
    </w:p>
    <w:p w:rsidR="00102068" w:rsidRPr="004E3C3F" w:rsidRDefault="004C298C" w:rsidP="004C2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Младшие сотрудники категории специалистов</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102068" w:rsidRPr="004E3C3F" w:rsidRDefault="004C298C" w:rsidP="00102068">
      <w:pPr>
        <w:pStyle w:val="SingleTxtG"/>
      </w:pPr>
      <w:r w:rsidRPr="004E3C3F">
        <w:tab/>
      </w:r>
      <w:r w:rsidR="00102068">
        <w:t xml:space="preserve">Исландия финансирует различные должности младших сотрудников категории </w:t>
      </w:r>
      <w:r w:rsidR="00102068" w:rsidRPr="004753F2">
        <w:t>специалистов</w:t>
      </w:r>
      <w:r w:rsidR="00102068">
        <w:t xml:space="preserve"> в Организации Объединенных Наций; эти сотрудники занимают должности в проектах Организации Объединенных Наций в разных регионах мира. В 2008</w:t>
      </w:r>
      <w:r>
        <w:t> году</w:t>
      </w:r>
      <w:r w:rsidR="00102068">
        <w:t xml:space="preserve"> на указанных должностях работали шесть</w:t>
      </w:r>
      <w:r w:rsidR="004E3C3F">
        <w:t> женщин</w:t>
      </w:r>
      <w:r w:rsidR="00102068">
        <w:t xml:space="preserve"> и один мужчина; в 2009</w:t>
      </w:r>
      <w:r>
        <w:t> году</w:t>
      </w:r>
      <w:r w:rsidR="00102068">
        <w:t xml:space="preserve"> на них работали четыре</w:t>
      </w:r>
      <w:r w:rsidR="004E3C3F">
        <w:t> женщин</w:t>
      </w:r>
      <w:r w:rsidR="00102068">
        <w:t>ы, а в 2010</w:t>
      </w:r>
      <w:r>
        <w:t> году</w:t>
      </w:r>
      <w:r w:rsidR="004E3C3F">
        <w:t xml:space="preserve"> —  </w:t>
      </w:r>
      <w:r w:rsidR="00102068">
        <w:t>только одна</w:t>
      </w:r>
      <w:r w:rsidR="004E3C3F">
        <w:t> женщин</w:t>
      </w:r>
      <w:r w:rsidR="00102068">
        <w:t>а. В период с 2011 по 2012 год не было нанято ни одного младшего сотрудника категории специалистов, а в 2013</w:t>
      </w:r>
      <w:r>
        <w:t> году</w:t>
      </w:r>
      <w:r w:rsidR="00102068">
        <w:t xml:space="preserve"> на этой должности работала одна</w:t>
      </w:r>
      <w:r w:rsidR="004E3C3F">
        <w:t> женщин</w:t>
      </w:r>
      <w:r w:rsidR="00102068">
        <w:t>а. Лишь один из этих сотрудников</w:t>
      </w:r>
      <w:r w:rsidR="004E3C3F">
        <w:t xml:space="preserve"> —  </w:t>
      </w:r>
      <w:r w:rsidR="00102068">
        <w:t>единственная</w:t>
      </w:r>
      <w:r w:rsidR="004E3C3F">
        <w:t> женщин</w:t>
      </w:r>
      <w:r w:rsidR="00102068">
        <w:t>а, нанятая в 2013</w:t>
      </w:r>
      <w:r>
        <w:t> году</w:t>
      </w:r>
      <w:r w:rsidR="004E3C3F">
        <w:t xml:space="preserve"> —  </w:t>
      </w:r>
      <w:r w:rsidR="00102068">
        <w:t>был принят на работу в период с 2008 по 2013 год. Остальные сотрудники были наняты в 2005–2007</w:t>
      </w:r>
      <w:r>
        <w:t> года</w:t>
      </w:r>
      <w:r w:rsidR="00102068">
        <w:t>х. Срок работы на указанных должностях составляет до трех лет.</w:t>
      </w:r>
    </w:p>
    <w:p w:rsidR="004C298C" w:rsidRPr="004E3C3F" w:rsidRDefault="004C298C" w:rsidP="004C298C">
      <w:pPr>
        <w:pStyle w:val="SingleTxtG"/>
        <w:spacing w:after="0" w:line="120" w:lineRule="exact"/>
        <w:rPr>
          <w:sz w:val="10"/>
        </w:rPr>
      </w:pPr>
    </w:p>
    <w:p w:rsidR="004C298C" w:rsidRPr="004E3C3F" w:rsidRDefault="004C298C" w:rsidP="004C298C">
      <w:pPr>
        <w:pStyle w:val="SingleTxtG"/>
        <w:spacing w:after="0" w:line="120" w:lineRule="exact"/>
        <w:rPr>
          <w:b/>
          <w:iCs/>
          <w:sz w:val="10"/>
        </w:rPr>
      </w:pPr>
    </w:p>
    <w:p w:rsidR="00102068" w:rsidRPr="004E3C3F" w:rsidRDefault="004C298C" w:rsidP="004C29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Международная деятельность по поддержанию мира</w:t>
      </w:r>
    </w:p>
    <w:p w:rsidR="004C298C" w:rsidRPr="004E3C3F" w:rsidRDefault="004C298C" w:rsidP="004C298C">
      <w:pPr>
        <w:pStyle w:val="SingleTxt"/>
        <w:spacing w:after="0" w:line="120" w:lineRule="exact"/>
        <w:rPr>
          <w:sz w:val="10"/>
        </w:rPr>
      </w:pPr>
    </w:p>
    <w:p w:rsidR="004C298C" w:rsidRPr="004E3C3F" w:rsidRDefault="004C298C" w:rsidP="004C298C">
      <w:pPr>
        <w:pStyle w:val="SingleTxt"/>
        <w:spacing w:after="0" w:line="120" w:lineRule="exact"/>
        <w:rPr>
          <w:sz w:val="10"/>
        </w:rPr>
      </w:pPr>
    </w:p>
    <w:p w:rsidR="00102068" w:rsidRDefault="004C298C" w:rsidP="00102068">
      <w:pPr>
        <w:pStyle w:val="SingleTxtG"/>
      </w:pPr>
      <w:r w:rsidRPr="004C298C">
        <w:tab/>
      </w:r>
      <w:r w:rsidR="00102068">
        <w:t xml:space="preserve">Исландия не имеет своих вооруженных сил и участвует в международных </w:t>
      </w:r>
      <w:r w:rsidR="00102068" w:rsidRPr="004753F2">
        <w:t>миссиях</w:t>
      </w:r>
      <w:r w:rsidR="00102068">
        <w:t xml:space="preserve"> по поддержанию мира путем внесения взносов в бюджет многосторонних организаций и направления в командировки гражданских экспертов в рамках международного сотрудничества в области развития. Миростроительство является одной из трех приоритетных направлений исландской Стратегии международного сотрудничества в области развития на 2013–2016 годы; сквозными темами объявлены достижение гендерного равенства и расширение прав и возможностей</w:t>
      </w:r>
      <w:r w:rsidR="004E3C3F">
        <w:t> женщин</w:t>
      </w:r>
      <w:r w:rsidR="00102068">
        <w:t>. Исландское подразделение по поддержанию мира приложило серьезные усилия для обеспечения более сбалансированного соотношения мужчин и</w:t>
      </w:r>
      <w:r w:rsidR="004E3C3F">
        <w:t> женщин</w:t>
      </w:r>
      <w:r w:rsidR="00102068">
        <w:t xml:space="preserve"> среди специалистов. Прорыв в этой области был достигнут в 2011</w:t>
      </w:r>
      <w:r>
        <w:t> году</w:t>
      </w:r>
      <w:r w:rsidR="00102068">
        <w:t>, когда число</w:t>
      </w:r>
      <w:r w:rsidR="004E3C3F">
        <w:t> женщин</w:t>
      </w:r>
      <w:r w:rsidR="00102068">
        <w:t xml:space="preserve"> среди действующих сотрудников превысило число мужчин. В 2012</w:t>
      </w:r>
      <w:r>
        <w:t> году</w:t>
      </w:r>
      <w:r w:rsidR="004E3C3F">
        <w:t> женщин</w:t>
      </w:r>
      <w:r w:rsidR="00102068">
        <w:t>ы составляли большинство специалистов на местах, превосходя по численности своих коллег мужского пола в соотношении 11:5.</w:t>
      </w:r>
    </w:p>
    <w:p w:rsidR="00102068" w:rsidRPr="004E3C3F" w:rsidRDefault="004C298C" w:rsidP="00102068">
      <w:pPr>
        <w:pStyle w:val="SingleTxtG"/>
      </w:pPr>
      <w:r w:rsidRPr="004E3C3F">
        <w:tab/>
      </w:r>
      <w:r w:rsidR="00102068">
        <w:t xml:space="preserve">Одной из четырех ключевых областей, которым уделяется особое внимание в Стратегии обеспечения гендерного равенства в интересах исландского сотрудничества в области развития на 2013–2016 годы, является тема </w:t>
      </w:r>
      <w:r>
        <w:t>«</w:t>
      </w:r>
      <w:r w:rsidR="00102068">
        <w:t>Женщины, мир и безопасность</w:t>
      </w:r>
      <w:r>
        <w:t>»</w:t>
      </w:r>
      <w:r w:rsidR="00102068">
        <w:t xml:space="preserve">. Исландия </w:t>
      </w:r>
      <w:r w:rsidR="00102068" w:rsidRPr="004753F2">
        <w:t>приняла</w:t>
      </w:r>
      <w:r w:rsidR="00102068">
        <w:t xml:space="preserve"> свой первый Национальный план действий (НПД) по осуществлению резолюции 1325 СБ ООН о</w:t>
      </w:r>
      <w:r w:rsidR="004E3C3F">
        <w:t> женщин</w:t>
      </w:r>
      <w:r w:rsidR="00102068">
        <w:t>ах, мире и безопасности 8 марта 2008</w:t>
      </w:r>
      <w:r>
        <w:t> года</w:t>
      </w:r>
      <w:r w:rsidR="00102068">
        <w:t xml:space="preserve">. Первоначальный НПД был пересмотрен в 2011 году, после чего был принят новый НПД на период 2013–2016 годов. НПД играет важную роль в деятельности Исландии, направленной на поддержку миростроительства. Перед командировкой все сотрудники, направляемые в миссии по поддержанию мира, проходят подготовку по вопросам гендерного равенства и осуществления резолюции 1325 СБ ООН, организуемую Национальным комитетом структуры </w:t>
      </w:r>
      <w:r>
        <w:t>«</w:t>
      </w:r>
      <w:r w:rsidR="00102068">
        <w:t>ООН-женщины</w:t>
      </w:r>
      <w:r>
        <w:t>»</w:t>
      </w:r>
      <w:r w:rsidR="00102068">
        <w:t xml:space="preserve"> в Исландии.</w:t>
      </w:r>
    </w:p>
    <w:p w:rsidR="00462B91" w:rsidRPr="004E3C3F" w:rsidRDefault="00462B91" w:rsidP="00462B91">
      <w:pPr>
        <w:pStyle w:val="SingleTxtG"/>
        <w:spacing w:after="0" w:line="120" w:lineRule="exact"/>
        <w:rPr>
          <w:sz w:val="10"/>
        </w:rPr>
      </w:pPr>
    </w:p>
    <w:p w:rsidR="00462B91" w:rsidRPr="004E3C3F" w:rsidRDefault="00462B91" w:rsidP="00462B91">
      <w:pPr>
        <w:pStyle w:val="SingleTxtG"/>
        <w:spacing w:after="0" w:line="120" w:lineRule="exact"/>
        <w:rPr>
          <w:b/>
          <w:sz w:val="10"/>
        </w:rPr>
      </w:pPr>
    </w:p>
    <w:p w:rsidR="00102068" w:rsidRPr="004E3C3F" w:rsidRDefault="00462B91" w:rsidP="00462B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Статья 9</w:t>
      </w:r>
    </w:p>
    <w:p w:rsidR="00462B91" w:rsidRPr="004E3C3F" w:rsidRDefault="00462B91" w:rsidP="00462B91">
      <w:pPr>
        <w:spacing w:line="120" w:lineRule="exact"/>
        <w:rPr>
          <w:sz w:val="10"/>
        </w:rPr>
      </w:pPr>
    </w:p>
    <w:p w:rsidR="00462B91" w:rsidRPr="004E3C3F" w:rsidRDefault="00462B91" w:rsidP="00462B91">
      <w:pPr>
        <w:spacing w:line="120" w:lineRule="exact"/>
        <w:rPr>
          <w:sz w:val="10"/>
        </w:rPr>
      </w:pPr>
    </w:p>
    <w:p w:rsidR="00102068" w:rsidRDefault="00462B91" w:rsidP="00102068">
      <w:pPr>
        <w:pStyle w:val="SingleTxtG"/>
      </w:pPr>
      <w:r w:rsidRPr="004E3C3F">
        <w:tab/>
      </w:r>
      <w:r w:rsidR="00102068">
        <w:t>На основании Закона</w:t>
      </w:r>
      <w:r w:rsidR="004C298C">
        <w:t> № </w:t>
      </w:r>
      <w:r w:rsidR="00102068">
        <w:t>65/2010 в Закон о гражданстве Исландии</w:t>
      </w:r>
      <w:r w:rsidR="004C298C">
        <w:t> № </w:t>
      </w:r>
      <w:r w:rsidR="00102068">
        <w:t>100/1952 были внесены поправки, согласно которым</w:t>
      </w:r>
      <w:r w:rsidR="004E3C3F">
        <w:t> женщин</w:t>
      </w:r>
      <w:r w:rsidR="00102068">
        <w:t xml:space="preserve">ы-иностранки и исландские мужчины, </w:t>
      </w:r>
      <w:r w:rsidR="00102068" w:rsidRPr="004753F2">
        <w:t>становящиеся</w:t>
      </w:r>
      <w:r w:rsidR="00102068">
        <w:t xml:space="preserve"> родителями при помощи методов искусственного оплодотворения, получают те же права, что и лица, которые становятся родителями благодаря использованию более традиционных мер. Закон</w:t>
      </w:r>
      <w:r w:rsidR="004C298C">
        <w:t> № </w:t>
      </w:r>
      <w:r w:rsidR="00102068">
        <w:t xml:space="preserve">81/2007 предусматривает предоставление ребенку исландского гражданства, в случае если его родители вступят в брак до достижения этим ребенком 18-летнего возраста. Со времени представления последнего доклада в Закон о гражданстве Исландии не было внесено никаких других изменений, касающихся </w:t>
      </w:r>
      <w:r w:rsidR="004C298C">
        <w:t>статьи </w:t>
      </w:r>
      <w:r w:rsidR="00102068">
        <w:t xml:space="preserve">9. </w:t>
      </w:r>
    </w:p>
    <w:p w:rsidR="00102068" w:rsidRDefault="00462B91" w:rsidP="00102068">
      <w:pPr>
        <w:pStyle w:val="SingleTxtG"/>
      </w:pPr>
      <w:r w:rsidRPr="004E3C3F">
        <w:tab/>
      </w:r>
      <w:r w:rsidR="00102068">
        <w:t xml:space="preserve">С информацией по данному вопросу можно ознакомиться в предыдущих </w:t>
      </w:r>
      <w:r w:rsidR="00102068" w:rsidRPr="004753F2">
        <w:t>докладах</w:t>
      </w:r>
      <w:r w:rsidR="00102068">
        <w:t>.</w:t>
      </w:r>
    </w:p>
    <w:p w:rsidR="00102068" w:rsidRPr="004E3C3F" w:rsidRDefault="00462B91" w:rsidP="00462B9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Часть III</w:t>
      </w:r>
    </w:p>
    <w:p w:rsidR="00462B91" w:rsidRPr="004E3C3F" w:rsidRDefault="00462B91" w:rsidP="00462B91">
      <w:pPr>
        <w:pStyle w:val="SingleTxt"/>
        <w:spacing w:after="0" w:line="120" w:lineRule="exact"/>
        <w:rPr>
          <w:sz w:val="10"/>
        </w:rPr>
      </w:pPr>
    </w:p>
    <w:p w:rsidR="00462B91" w:rsidRPr="004E3C3F" w:rsidRDefault="00462B91" w:rsidP="00462B91">
      <w:pPr>
        <w:pStyle w:val="SingleTxt"/>
        <w:spacing w:after="0" w:line="120" w:lineRule="exact"/>
        <w:rPr>
          <w:sz w:val="10"/>
        </w:rPr>
      </w:pPr>
    </w:p>
    <w:p w:rsidR="00102068" w:rsidRDefault="00462B91" w:rsidP="00462B9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Статья 10</w:t>
      </w:r>
      <w:r w:rsidRPr="00462B91">
        <w:br/>
      </w:r>
      <w:r w:rsidRPr="00462B91">
        <w:tab/>
      </w:r>
      <w:r w:rsidRPr="00462B91">
        <w:tab/>
      </w:r>
      <w:r w:rsidR="00102068">
        <w:t xml:space="preserve">Подпункты </w:t>
      </w:r>
      <w:r w:rsidRPr="004E3C3F">
        <w:t>(</w:t>
      </w:r>
      <w:r w:rsidR="00102068">
        <w:t>a)–</w:t>
      </w:r>
      <w:r w:rsidRPr="004E3C3F">
        <w:t>(</w:t>
      </w:r>
      <w:r w:rsidR="00102068">
        <w:t>d)</w:t>
      </w:r>
    </w:p>
    <w:p w:rsidR="00102068" w:rsidRPr="00462B91" w:rsidRDefault="00462B91" w:rsidP="00462B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Образование</w:t>
      </w:r>
    </w:p>
    <w:p w:rsidR="00462B91" w:rsidRPr="00462B91" w:rsidRDefault="00462B91" w:rsidP="00462B91">
      <w:pPr>
        <w:pStyle w:val="SingleTxt"/>
        <w:spacing w:after="0" w:line="120" w:lineRule="exact"/>
        <w:rPr>
          <w:sz w:val="10"/>
        </w:rPr>
      </w:pPr>
    </w:p>
    <w:p w:rsidR="00462B91" w:rsidRPr="00462B91" w:rsidRDefault="00462B91" w:rsidP="00462B91">
      <w:pPr>
        <w:pStyle w:val="SingleTxt"/>
        <w:spacing w:after="0" w:line="120" w:lineRule="exact"/>
        <w:rPr>
          <w:sz w:val="10"/>
        </w:rPr>
      </w:pPr>
    </w:p>
    <w:p w:rsidR="00102068" w:rsidRDefault="00462B91" w:rsidP="00102068">
      <w:pPr>
        <w:pStyle w:val="SingleTxtG"/>
      </w:pPr>
      <w:r w:rsidRPr="00462B91">
        <w:tab/>
      </w:r>
      <w:r w:rsidR="00102068">
        <w:t>Школьное обучение в Исландии является обязательным для лиц в возрасте от 6 до 16 лет. Девочки и мальчики имеют равный доступ к образованию на всех уровнях. С 1975</w:t>
      </w:r>
      <w:r w:rsidR="004C298C">
        <w:t> года</w:t>
      </w:r>
      <w:r w:rsidR="00102068">
        <w:t xml:space="preserve"> доля девочек в старших классах средней школы практически совпадала с долей мальчиков; в 2011</w:t>
      </w:r>
      <w:r w:rsidR="004C298C">
        <w:t> году</w:t>
      </w:r>
      <w:r w:rsidR="00102068">
        <w:t xml:space="preserve"> доля девочек среди выпускников школ, принятых в высшие учебные заведения, составляла 57</w:t>
      </w:r>
      <w:r w:rsidR="004C298C">
        <w:t> процентов</w:t>
      </w:r>
      <w:r w:rsidR="00102068">
        <w:t>, а доля мальчиков</w:t>
      </w:r>
      <w:r w:rsidR="004E3C3F">
        <w:t xml:space="preserve"> —  </w:t>
      </w:r>
      <w:r w:rsidR="00102068">
        <w:t>43 процента. В последние десятилетия возросла доля</w:t>
      </w:r>
      <w:r w:rsidR="004E3C3F">
        <w:t> женщин</w:t>
      </w:r>
      <w:r w:rsidR="00102068">
        <w:t xml:space="preserve"> среди выпускников </w:t>
      </w:r>
      <w:r w:rsidR="00102068" w:rsidRPr="00E0361F">
        <w:t>университетов</w:t>
      </w:r>
      <w:r w:rsidR="00102068">
        <w:t>. В 1975</w:t>
      </w:r>
      <w:r w:rsidR="004C298C">
        <w:t> году</w:t>
      </w:r>
      <w:r w:rsidR="004E3C3F">
        <w:t> женщин</w:t>
      </w:r>
      <w:r w:rsidR="00102068">
        <w:t>ы составляли 24</w:t>
      </w:r>
      <w:r w:rsidR="004C298C">
        <w:t> процента</w:t>
      </w:r>
      <w:r w:rsidR="00102068">
        <w:t xml:space="preserve"> выпускников, в 1985 этот показатель достиг 50</w:t>
      </w:r>
      <w:r w:rsidR="004C298C">
        <w:t> процентов</w:t>
      </w:r>
      <w:r w:rsidR="00102068">
        <w:t>, а в 2011</w:t>
      </w:r>
      <w:r w:rsidR="004C298C">
        <w:t> году</w:t>
      </w:r>
      <w:r w:rsidR="004E3C3F">
        <w:t xml:space="preserve"> —  </w:t>
      </w:r>
      <w:r w:rsidR="00102068">
        <w:t>64</w:t>
      </w:r>
      <w:r w:rsidR="004C298C">
        <w:t> процентов</w:t>
      </w:r>
      <w:r w:rsidR="00102068">
        <w:t>.</w:t>
      </w:r>
    </w:p>
    <w:p w:rsidR="00102068" w:rsidRDefault="00462B91" w:rsidP="00102068">
      <w:pPr>
        <w:pStyle w:val="SingleTxtG"/>
      </w:pPr>
      <w:r w:rsidRPr="004E3C3F">
        <w:tab/>
      </w:r>
      <w:r w:rsidR="00102068">
        <w:t xml:space="preserve">Проблема, связанная с образованием и профессиональной подготовкой, заключается в том, что выбор профессии юношами и девушками определяется их половой </w:t>
      </w:r>
      <w:r w:rsidR="00102068" w:rsidRPr="00E0361F">
        <w:t>принадлежностью</w:t>
      </w:r>
      <w:r w:rsidR="00102068">
        <w:t>. Она затрагивает не только сферу образования, поскольку для рабочей силы, как следствие, также характерна высокая степень сегрегации по гендерному признаку. В ряде областей образования имеются признаки уменьшения гендерной сегрегации. В 2011</w:t>
      </w:r>
      <w:r w:rsidR="004C298C">
        <w:t> году</w:t>
      </w:r>
      <w:r w:rsidR="00102068">
        <w:t xml:space="preserve"> доля</w:t>
      </w:r>
      <w:r w:rsidR="004E3C3F">
        <w:t> женщин</w:t>
      </w:r>
      <w:r w:rsidR="00102068">
        <w:t xml:space="preserve"> среди студентов увеличилась на всех факультетах Университета Исландии, за исключением факультета технических и естественных наук, где их доля составляла 40</w:t>
      </w:r>
      <w:r w:rsidR="004C298C">
        <w:t> процентов</w:t>
      </w:r>
      <w:r w:rsidR="00102068">
        <w:t>. На кафедрах этого факультета в 2011</w:t>
      </w:r>
      <w:r w:rsidR="004C298C">
        <w:t> году</w:t>
      </w:r>
      <w:r w:rsidR="00102068">
        <w:t xml:space="preserve"> были зафиксированы различия в соотношении полов. Доля</w:t>
      </w:r>
      <w:r w:rsidR="004E3C3F">
        <w:t> женщин</w:t>
      </w:r>
      <w:r w:rsidR="00102068">
        <w:t xml:space="preserve"> была меньше (13</w:t>
      </w:r>
      <w:r w:rsidR="004C298C">
        <w:t> процентов</w:t>
      </w:r>
      <w:r w:rsidR="00102068">
        <w:t>) на кафедре электротехники и вычислительной техники и больше (63</w:t>
      </w:r>
      <w:r w:rsidR="004C298C">
        <w:t> процента</w:t>
      </w:r>
      <w:r w:rsidR="00102068">
        <w:t>) на кафедре биологии и экологии. Мужчины составляли большинство студентов кафедры электротехники и вычислительной техники. Наиболее сбалансированное соотношение полов было зафиксировано на кафедре геологии, где 47</w:t>
      </w:r>
      <w:r w:rsidR="004C298C">
        <w:t> процентов</w:t>
      </w:r>
      <w:r w:rsidR="00102068">
        <w:t xml:space="preserve"> студентов составляли</w:t>
      </w:r>
      <w:r w:rsidR="004E3C3F">
        <w:t> женщин</w:t>
      </w:r>
      <w:r w:rsidR="00102068">
        <w:t>ы. На педагогическом факультете, напротив,</w:t>
      </w:r>
      <w:r w:rsidR="004E3C3F">
        <w:t> женщин</w:t>
      </w:r>
      <w:r w:rsidR="00102068">
        <w:t>ы составляют большинство студентов всех кафедр (82</w:t>
      </w:r>
      <w:r w:rsidR="004C298C">
        <w:t> процента</w:t>
      </w:r>
      <w:r w:rsidR="00102068">
        <w:t xml:space="preserve"> от общего числа учащихся). Минимальная доля мужчин (27</w:t>
      </w:r>
      <w:r w:rsidR="004C298C">
        <w:t> процентов</w:t>
      </w:r>
      <w:r w:rsidR="00102068">
        <w:t>) зафиксирована на кафедре спорта, организации досуговой деятельности и социальной педагогики. Женщины также составляют большинство студентов всех кафедр медицинского факультета, хотя в последние годы доля мужчин на этом факультете увеличилась с 21</w:t>
      </w:r>
      <w:r w:rsidR="004C298C">
        <w:t> процента</w:t>
      </w:r>
      <w:r w:rsidR="00102068">
        <w:t xml:space="preserve"> в 2008</w:t>
      </w:r>
      <w:r w:rsidR="004C298C">
        <w:t> году</w:t>
      </w:r>
      <w:r w:rsidR="00102068">
        <w:t xml:space="preserve"> до 24</w:t>
      </w:r>
      <w:r w:rsidR="004C298C">
        <w:t> процентов</w:t>
      </w:r>
      <w:r w:rsidR="00102068">
        <w:t xml:space="preserve"> в 2011</w:t>
      </w:r>
      <w:r w:rsidR="004C298C">
        <w:t> году</w:t>
      </w:r>
      <w:r w:rsidR="00102068">
        <w:t>. Между разными кафедрами отмечаются существенные различия. Например, 99</w:t>
      </w:r>
      <w:r w:rsidR="004C298C">
        <w:t> процентов</w:t>
      </w:r>
      <w:r w:rsidR="00102068">
        <w:t xml:space="preserve"> студентов кафедры сестринского дела в 2011</w:t>
      </w:r>
      <w:r w:rsidR="004C298C">
        <w:t> году</w:t>
      </w:r>
      <w:r w:rsidR="00102068">
        <w:t xml:space="preserve"> составляли</w:t>
      </w:r>
      <w:r w:rsidR="004E3C3F">
        <w:t> женщин</w:t>
      </w:r>
      <w:r w:rsidR="00102068">
        <w:t>ы; в этом же</w:t>
      </w:r>
      <w:r w:rsidR="004C298C">
        <w:t> году</w:t>
      </w:r>
      <w:r w:rsidR="00102068">
        <w:t xml:space="preserve"> доля</w:t>
      </w:r>
      <w:r w:rsidR="004E3C3F">
        <w:t> женщин</w:t>
      </w:r>
      <w:r w:rsidR="00102068">
        <w:t xml:space="preserve"> на кафедре фармакологии достигла 81</w:t>
      </w:r>
      <w:r w:rsidR="004C298C">
        <w:t> процента</w:t>
      </w:r>
      <w:r w:rsidR="00102068">
        <w:t>, а их доля на кафедре психологии</w:t>
      </w:r>
      <w:r w:rsidR="004E3C3F">
        <w:t xml:space="preserve"> —  </w:t>
      </w:r>
      <w:r w:rsidR="00102068">
        <w:t>69</w:t>
      </w:r>
      <w:r w:rsidR="004C298C">
        <w:t> процентов</w:t>
      </w:r>
      <w:r w:rsidR="00102068">
        <w:t>.</w:t>
      </w:r>
    </w:p>
    <w:p w:rsidR="00102068" w:rsidRDefault="00462B91" w:rsidP="00102068">
      <w:pPr>
        <w:pStyle w:val="SingleTxtG"/>
      </w:pPr>
      <w:r w:rsidRPr="004E3C3F">
        <w:tab/>
      </w:r>
      <w:r w:rsidR="00102068">
        <w:t>13 и 26 февраля 2013 годы были проведены два открытых семинара по проблеме гендерного разделения рынка труда. На первом из них рассматривалось положение мужчин в традиционно женских сферах деятельности (обеспечение ухода и преподавание); в ходе второго семинара анализировалось положение</w:t>
      </w:r>
      <w:r w:rsidR="004E3C3F">
        <w:t> женщин</w:t>
      </w:r>
      <w:r w:rsidR="00102068">
        <w:t xml:space="preserve">, профессии которых принято считать </w:t>
      </w:r>
      <w:r w:rsidR="00102068" w:rsidRPr="00E0361F">
        <w:t>мужскими</w:t>
      </w:r>
      <w:r w:rsidR="00102068">
        <w:t xml:space="preserve"> (теория вычислительных машин и систем и работа в технических областях). Целевая группа ведет страницу в Фейсбуке, на которой можно ознакомиться с ее деятельностью: </w:t>
      </w:r>
      <w:r w:rsidR="00102068">
        <w:rPr>
          <w:i/>
        </w:rPr>
        <w:t>facebook.com/#!/launajafnretti</w:t>
      </w:r>
      <w:r w:rsidR="00102068">
        <w:t xml:space="preserve">. Новый проект в области обеспечения гендерного равенства на рынке труда будет опираться на работу, проделанную в рамках предыдущих проектов. Этот проект должен финансироваться из фонда проектов по обеспечению гендерного равенства. </w:t>
      </w:r>
    </w:p>
    <w:p w:rsidR="00102068" w:rsidRDefault="00462B91" w:rsidP="00102068">
      <w:pPr>
        <w:pStyle w:val="SingleTxtG"/>
      </w:pPr>
      <w:r w:rsidRPr="004E3C3F">
        <w:tab/>
      </w:r>
      <w:r w:rsidR="00102068">
        <w:t>Университет Исландии не принимал системных мер по увеличению числа студентов того пола, представители которого на отдельных кафедрах составляют значительное меньшинство. Тем не менее некоторые кафедры, в частности, рассмотрели возможность разработки рекламных материалов с изображениями</w:t>
      </w:r>
      <w:r w:rsidR="004E3C3F">
        <w:t> женщин</w:t>
      </w:r>
      <w:r w:rsidR="00102068">
        <w:t xml:space="preserve"> и мужчин. В </w:t>
      </w:r>
      <w:r w:rsidR="00102068" w:rsidRPr="00E0361F">
        <w:t>докладе</w:t>
      </w:r>
      <w:r w:rsidR="00102068">
        <w:t>, подготовленном университетом, было отмечено, что в отношении кафедр социального консультирования, сестринского дела и электротехники и вычислительной техники подобных мер недостаточно. Необходимо будет применять другие средства, которые являются более эффективными, нежели использовавшиеся в последние годы для увеличения числа студентов недостаточно представленного пола, поскольку средства, применявшиеся до настоящего времени, по всей видимости, не принесли практически никаких результатов.</w:t>
      </w:r>
    </w:p>
    <w:p w:rsidR="00102068" w:rsidRDefault="00363E39" w:rsidP="00102068">
      <w:pPr>
        <w:pStyle w:val="SingleTxtG"/>
      </w:pPr>
      <w:r>
        <w:rPr>
          <w:noProof/>
          <w:lang w:val="en-GB" w:eastAsia="en-GB"/>
        </w:rPr>
        <mc:AlternateContent>
          <mc:Choice Requires="wps">
            <w:drawing>
              <wp:anchor distT="0" distB="0" distL="114300" distR="114300" simplePos="0" relativeHeight="251651584" behindDoc="0" locked="0" layoutInCell="1" allowOverlap="1">
                <wp:simplePos x="0" y="0"/>
                <wp:positionH relativeFrom="column">
                  <wp:posOffset>842645</wp:posOffset>
                </wp:positionH>
                <wp:positionV relativeFrom="paragraph">
                  <wp:posOffset>1620520</wp:posOffset>
                </wp:positionV>
                <wp:extent cx="4667250" cy="85725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857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t>Выпуск-</w:t>
                            </w:r>
                            <w:r>
                              <w:rPr>
                                <w:spacing w:val="0"/>
                                <w:w w:val="100"/>
                                <w:sz w:val="16"/>
                                <w:szCs w:val="16"/>
                              </w:rPr>
                              <w:tab/>
                            </w:r>
                            <w:r w:rsidRPr="00F50BE5">
                              <w:rPr>
                                <w:spacing w:val="0"/>
                                <w:w w:val="100"/>
                                <w:sz w:val="16"/>
                                <w:szCs w:val="16"/>
                              </w:rPr>
                              <w:t>Студенты</w:t>
                            </w:r>
                            <w:r>
                              <w:rPr>
                                <w:spacing w:val="0"/>
                                <w:w w:val="100"/>
                                <w:sz w:val="16"/>
                                <w:szCs w:val="16"/>
                              </w:rPr>
                              <w:tab/>
                            </w:r>
                            <w:r w:rsidRPr="00F50BE5">
                              <w:rPr>
                                <w:spacing w:val="0"/>
                                <w:w w:val="100"/>
                                <w:sz w:val="16"/>
                                <w:szCs w:val="16"/>
                              </w:rPr>
                              <w:t>Студенты</w:t>
                            </w:r>
                            <w:r>
                              <w:rPr>
                                <w:spacing w:val="0"/>
                                <w:w w:val="100"/>
                                <w:sz w:val="16"/>
                                <w:szCs w:val="16"/>
                              </w:rPr>
                              <w:tab/>
                            </w:r>
                            <w:r w:rsidRPr="00F50BE5">
                              <w:rPr>
                                <w:spacing w:val="0"/>
                                <w:w w:val="100"/>
                                <w:sz w:val="16"/>
                                <w:szCs w:val="16"/>
                              </w:rPr>
                              <w:t>Докто</w:t>
                            </w:r>
                            <w:r>
                              <w:rPr>
                                <w:spacing w:val="0"/>
                                <w:w w:val="100"/>
                                <w:sz w:val="16"/>
                                <w:szCs w:val="16"/>
                              </w:rPr>
                              <w:t>-</w:t>
                            </w:r>
                            <w:r>
                              <w:rPr>
                                <w:spacing w:val="0"/>
                                <w:w w:val="100"/>
                                <w:sz w:val="16"/>
                                <w:szCs w:val="16"/>
                              </w:rPr>
                              <w:tab/>
                            </w:r>
                            <w:r w:rsidRPr="00F50BE5">
                              <w:rPr>
                                <w:spacing w:val="0"/>
                                <w:w w:val="100"/>
                                <w:sz w:val="16"/>
                                <w:szCs w:val="16"/>
                              </w:rPr>
                              <w:t>Специа</w:t>
                            </w:r>
                            <w:r>
                              <w:rPr>
                                <w:spacing w:val="0"/>
                                <w:w w:val="100"/>
                                <w:sz w:val="16"/>
                                <w:szCs w:val="16"/>
                              </w:rPr>
                              <w:t>-</w:t>
                            </w:r>
                            <w:r>
                              <w:rPr>
                                <w:spacing w:val="0"/>
                                <w:w w:val="100"/>
                                <w:sz w:val="16"/>
                                <w:szCs w:val="16"/>
                              </w:rPr>
                              <w:tab/>
                            </w:r>
                            <w:r w:rsidRPr="00F50BE5">
                              <w:rPr>
                                <w:spacing w:val="0"/>
                                <w:w w:val="100"/>
                                <w:sz w:val="16"/>
                                <w:szCs w:val="16"/>
                              </w:rPr>
                              <w:t>Лекторы</w:t>
                            </w:r>
                            <w:r>
                              <w:rPr>
                                <w:spacing w:val="0"/>
                                <w:w w:val="100"/>
                                <w:sz w:val="16"/>
                                <w:szCs w:val="16"/>
                              </w:rPr>
                              <w:tab/>
                            </w:r>
                            <w:r w:rsidRPr="00F50BE5">
                              <w:rPr>
                                <w:spacing w:val="0"/>
                                <w:w w:val="100"/>
                                <w:sz w:val="16"/>
                                <w:szCs w:val="16"/>
                              </w:rPr>
                              <w:t>Доценты</w:t>
                            </w:r>
                            <w:r>
                              <w:rPr>
                                <w:spacing w:val="0"/>
                                <w:w w:val="100"/>
                                <w:sz w:val="16"/>
                                <w:szCs w:val="16"/>
                              </w:rPr>
                              <w:tab/>
                            </w:r>
                            <w:r w:rsidRPr="00F50BE5">
                              <w:rPr>
                                <w:spacing w:val="0"/>
                                <w:w w:val="100"/>
                                <w:sz w:val="16"/>
                                <w:szCs w:val="16"/>
                              </w:rPr>
                              <w:t>Профессора</w:t>
                            </w:r>
                          </w:p>
                          <w:p w:rsidR="00102068"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t>ники</w:t>
                            </w:r>
                            <w:r>
                              <w:rPr>
                                <w:spacing w:val="0"/>
                                <w:w w:val="100"/>
                                <w:sz w:val="16"/>
                                <w:szCs w:val="16"/>
                              </w:rPr>
                              <w:tab/>
                            </w:r>
                            <w:r w:rsidRPr="00F50BE5">
                              <w:rPr>
                                <w:spacing w:val="0"/>
                                <w:w w:val="100"/>
                                <w:sz w:val="16"/>
                                <w:szCs w:val="16"/>
                              </w:rPr>
                              <w:t>в Универ</w:t>
                            </w:r>
                            <w:r>
                              <w:rPr>
                                <w:spacing w:val="0"/>
                                <w:w w:val="100"/>
                                <w:sz w:val="16"/>
                                <w:szCs w:val="16"/>
                              </w:rPr>
                              <w:t>-</w:t>
                            </w:r>
                            <w:r>
                              <w:rPr>
                                <w:spacing w:val="0"/>
                                <w:w w:val="100"/>
                                <w:sz w:val="16"/>
                                <w:szCs w:val="16"/>
                              </w:rPr>
                              <w:tab/>
                              <w:t>п</w:t>
                            </w:r>
                            <w:r w:rsidRPr="00F50BE5">
                              <w:rPr>
                                <w:spacing w:val="0"/>
                                <w:w w:val="100"/>
                                <w:sz w:val="16"/>
                                <w:szCs w:val="16"/>
                              </w:rPr>
                              <w:t>родви</w:t>
                            </w:r>
                            <w:r>
                              <w:rPr>
                                <w:spacing w:val="0"/>
                                <w:w w:val="100"/>
                                <w:sz w:val="16"/>
                                <w:szCs w:val="16"/>
                              </w:rPr>
                              <w:t>-</w:t>
                            </w:r>
                            <w:r>
                              <w:rPr>
                                <w:spacing w:val="0"/>
                                <w:w w:val="100"/>
                                <w:sz w:val="16"/>
                                <w:szCs w:val="16"/>
                              </w:rPr>
                              <w:tab/>
                            </w:r>
                            <w:r w:rsidRPr="00F50BE5">
                              <w:rPr>
                                <w:spacing w:val="0"/>
                                <w:w w:val="100"/>
                                <w:sz w:val="16"/>
                                <w:szCs w:val="16"/>
                              </w:rPr>
                              <w:t>рантура</w:t>
                            </w:r>
                            <w:r>
                              <w:rPr>
                                <w:spacing w:val="0"/>
                                <w:w w:val="100"/>
                                <w:sz w:val="16"/>
                                <w:szCs w:val="16"/>
                              </w:rPr>
                              <w:tab/>
                            </w:r>
                            <w:r w:rsidRPr="00F50BE5">
                              <w:rPr>
                                <w:spacing w:val="0"/>
                                <w:w w:val="100"/>
                                <w:sz w:val="16"/>
                                <w:szCs w:val="16"/>
                              </w:rPr>
                              <w:t>листы</w:t>
                            </w:r>
                          </w:p>
                          <w:p w:rsidR="00102068" w:rsidRPr="00F50BE5"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r>
                            <w:r>
                              <w:rPr>
                                <w:spacing w:val="0"/>
                                <w:w w:val="100"/>
                                <w:sz w:val="16"/>
                                <w:szCs w:val="16"/>
                              </w:rPr>
                              <w:tab/>
                              <w:t>ситете</w:t>
                            </w:r>
                            <w:r>
                              <w:rPr>
                                <w:spacing w:val="0"/>
                                <w:w w:val="100"/>
                                <w:sz w:val="16"/>
                                <w:szCs w:val="16"/>
                              </w:rPr>
                              <w:tab/>
                            </w:r>
                            <w:r w:rsidRPr="00F50BE5">
                              <w:rPr>
                                <w:spacing w:val="0"/>
                                <w:w w:val="100"/>
                                <w:sz w:val="16"/>
                                <w:szCs w:val="16"/>
                              </w:rPr>
                              <w:t>нутого</w:t>
                            </w:r>
                            <w:r>
                              <w:rPr>
                                <w:spacing w:val="0"/>
                                <w:w w:val="100"/>
                                <w:sz w:val="16"/>
                                <w:szCs w:val="16"/>
                              </w:rPr>
                              <w:tab/>
                            </w:r>
                            <w:r>
                              <w:rPr>
                                <w:spacing w:val="0"/>
                                <w:w w:val="100"/>
                                <w:sz w:val="16"/>
                                <w:szCs w:val="16"/>
                              </w:rPr>
                              <w:tab/>
                            </w:r>
                            <w:r w:rsidRPr="00F50BE5">
                              <w:rPr>
                                <w:spacing w:val="0"/>
                                <w:w w:val="100"/>
                                <w:sz w:val="16"/>
                                <w:szCs w:val="16"/>
                              </w:rPr>
                              <w:t>и иссле</w:t>
                            </w:r>
                            <w:r>
                              <w:rPr>
                                <w:spacing w:val="0"/>
                                <w:w w:val="100"/>
                                <w:sz w:val="16"/>
                                <w:szCs w:val="16"/>
                              </w:rPr>
                              <w:t>-</w:t>
                            </w:r>
                          </w:p>
                          <w:p w:rsidR="00102068" w:rsidRPr="00F50BE5"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w w:val="100"/>
                              </w:rPr>
                            </w:pPr>
                            <w:r>
                              <w:rPr>
                                <w:spacing w:val="0"/>
                                <w:w w:val="100"/>
                                <w:sz w:val="16"/>
                                <w:szCs w:val="16"/>
                              </w:rPr>
                              <w:tab/>
                            </w:r>
                            <w:r>
                              <w:rPr>
                                <w:spacing w:val="0"/>
                                <w:w w:val="100"/>
                                <w:sz w:val="16"/>
                                <w:szCs w:val="16"/>
                              </w:rPr>
                              <w:tab/>
                            </w:r>
                            <w:r w:rsidRPr="00F50BE5">
                              <w:rPr>
                                <w:spacing w:val="0"/>
                                <w:w w:val="100"/>
                                <w:sz w:val="16"/>
                                <w:szCs w:val="16"/>
                              </w:rPr>
                              <w:t>Исландии</w:t>
                            </w:r>
                            <w:r>
                              <w:rPr>
                                <w:spacing w:val="0"/>
                                <w:w w:val="100"/>
                                <w:sz w:val="16"/>
                                <w:szCs w:val="16"/>
                              </w:rPr>
                              <w:tab/>
                            </w:r>
                            <w:r w:rsidRPr="00F50BE5">
                              <w:rPr>
                                <w:spacing w:val="0"/>
                                <w:w w:val="100"/>
                                <w:sz w:val="16"/>
                                <w:szCs w:val="16"/>
                              </w:rPr>
                              <w:t>уровня</w:t>
                            </w:r>
                            <w:r>
                              <w:rPr>
                                <w:spacing w:val="0"/>
                                <w:w w:val="100"/>
                                <w:sz w:val="16"/>
                                <w:szCs w:val="16"/>
                              </w:rPr>
                              <w:tab/>
                            </w:r>
                            <w:r>
                              <w:rPr>
                                <w:spacing w:val="0"/>
                                <w:w w:val="100"/>
                                <w:sz w:val="16"/>
                                <w:szCs w:val="16"/>
                              </w:rPr>
                              <w:tab/>
                            </w:r>
                            <w:r w:rsidRPr="00F50BE5">
                              <w:rPr>
                                <w:spacing w:val="0"/>
                                <w:w w:val="100"/>
                                <w:sz w:val="16"/>
                                <w:szCs w:val="16"/>
                              </w:rPr>
                              <w:t>дователи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0" type="#_x0000_t202" style="position:absolute;left:0;text-align:left;margin-left:66.35pt;margin-top:127.6pt;width:367.5pt;height:6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" stroked="f">
                <v:textbox inset="0,0,0,0">
                  <w:txbxContent>
                    <w:p w:rsidR="00102068"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t>Выпуск-</w:t>
                      </w:r>
                      <w:r>
                        <w:rPr>
                          <w:spacing w:val="0"/>
                          <w:w w:val="100"/>
                          <w:sz w:val="16"/>
                          <w:szCs w:val="16"/>
                        </w:rPr>
                        <w:tab/>
                      </w:r>
                      <w:r w:rsidRPr="00F50BE5">
                        <w:rPr>
                          <w:spacing w:val="0"/>
                          <w:w w:val="100"/>
                          <w:sz w:val="16"/>
                          <w:szCs w:val="16"/>
                        </w:rPr>
                        <w:t>Студенты</w:t>
                      </w:r>
                      <w:r>
                        <w:rPr>
                          <w:spacing w:val="0"/>
                          <w:w w:val="100"/>
                          <w:sz w:val="16"/>
                          <w:szCs w:val="16"/>
                        </w:rPr>
                        <w:tab/>
                      </w:r>
                      <w:r w:rsidRPr="00F50BE5">
                        <w:rPr>
                          <w:spacing w:val="0"/>
                          <w:w w:val="100"/>
                          <w:sz w:val="16"/>
                          <w:szCs w:val="16"/>
                        </w:rPr>
                        <w:t>Студенты</w:t>
                      </w:r>
                      <w:r>
                        <w:rPr>
                          <w:spacing w:val="0"/>
                          <w:w w:val="100"/>
                          <w:sz w:val="16"/>
                          <w:szCs w:val="16"/>
                        </w:rPr>
                        <w:tab/>
                      </w:r>
                      <w:r w:rsidRPr="00F50BE5">
                        <w:rPr>
                          <w:spacing w:val="0"/>
                          <w:w w:val="100"/>
                          <w:sz w:val="16"/>
                          <w:szCs w:val="16"/>
                        </w:rPr>
                        <w:t>Докто</w:t>
                      </w:r>
                      <w:r>
                        <w:rPr>
                          <w:spacing w:val="0"/>
                          <w:w w:val="100"/>
                          <w:sz w:val="16"/>
                          <w:szCs w:val="16"/>
                        </w:rPr>
                        <w:t>-</w:t>
                      </w:r>
                      <w:r>
                        <w:rPr>
                          <w:spacing w:val="0"/>
                          <w:w w:val="100"/>
                          <w:sz w:val="16"/>
                          <w:szCs w:val="16"/>
                        </w:rPr>
                        <w:tab/>
                      </w:r>
                      <w:r w:rsidRPr="00F50BE5">
                        <w:rPr>
                          <w:spacing w:val="0"/>
                          <w:w w:val="100"/>
                          <w:sz w:val="16"/>
                          <w:szCs w:val="16"/>
                        </w:rPr>
                        <w:t>Специа</w:t>
                      </w:r>
                      <w:r>
                        <w:rPr>
                          <w:spacing w:val="0"/>
                          <w:w w:val="100"/>
                          <w:sz w:val="16"/>
                          <w:szCs w:val="16"/>
                        </w:rPr>
                        <w:t>-</w:t>
                      </w:r>
                      <w:r>
                        <w:rPr>
                          <w:spacing w:val="0"/>
                          <w:w w:val="100"/>
                          <w:sz w:val="16"/>
                          <w:szCs w:val="16"/>
                        </w:rPr>
                        <w:tab/>
                      </w:r>
                      <w:r w:rsidRPr="00F50BE5">
                        <w:rPr>
                          <w:spacing w:val="0"/>
                          <w:w w:val="100"/>
                          <w:sz w:val="16"/>
                          <w:szCs w:val="16"/>
                        </w:rPr>
                        <w:t>Лекторы</w:t>
                      </w:r>
                      <w:r>
                        <w:rPr>
                          <w:spacing w:val="0"/>
                          <w:w w:val="100"/>
                          <w:sz w:val="16"/>
                          <w:szCs w:val="16"/>
                        </w:rPr>
                        <w:tab/>
                      </w:r>
                      <w:r w:rsidRPr="00F50BE5">
                        <w:rPr>
                          <w:spacing w:val="0"/>
                          <w:w w:val="100"/>
                          <w:sz w:val="16"/>
                          <w:szCs w:val="16"/>
                        </w:rPr>
                        <w:t>Доценты</w:t>
                      </w:r>
                      <w:r>
                        <w:rPr>
                          <w:spacing w:val="0"/>
                          <w:w w:val="100"/>
                          <w:sz w:val="16"/>
                          <w:szCs w:val="16"/>
                        </w:rPr>
                        <w:tab/>
                      </w:r>
                      <w:r w:rsidRPr="00F50BE5">
                        <w:rPr>
                          <w:spacing w:val="0"/>
                          <w:w w:val="100"/>
                          <w:sz w:val="16"/>
                          <w:szCs w:val="16"/>
                        </w:rPr>
                        <w:t>Профессора</w:t>
                      </w:r>
                    </w:p>
                    <w:p w:rsidR="00102068"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t>ники</w:t>
                      </w:r>
                      <w:r>
                        <w:rPr>
                          <w:spacing w:val="0"/>
                          <w:w w:val="100"/>
                          <w:sz w:val="16"/>
                          <w:szCs w:val="16"/>
                        </w:rPr>
                        <w:tab/>
                      </w:r>
                      <w:r w:rsidRPr="00F50BE5">
                        <w:rPr>
                          <w:spacing w:val="0"/>
                          <w:w w:val="100"/>
                          <w:sz w:val="16"/>
                          <w:szCs w:val="16"/>
                        </w:rPr>
                        <w:t>в Универ</w:t>
                      </w:r>
                      <w:r>
                        <w:rPr>
                          <w:spacing w:val="0"/>
                          <w:w w:val="100"/>
                          <w:sz w:val="16"/>
                          <w:szCs w:val="16"/>
                        </w:rPr>
                        <w:t>-</w:t>
                      </w:r>
                      <w:r>
                        <w:rPr>
                          <w:spacing w:val="0"/>
                          <w:w w:val="100"/>
                          <w:sz w:val="16"/>
                          <w:szCs w:val="16"/>
                        </w:rPr>
                        <w:tab/>
                        <w:t>п</w:t>
                      </w:r>
                      <w:r w:rsidRPr="00F50BE5">
                        <w:rPr>
                          <w:spacing w:val="0"/>
                          <w:w w:val="100"/>
                          <w:sz w:val="16"/>
                          <w:szCs w:val="16"/>
                        </w:rPr>
                        <w:t>родви</w:t>
                      </w:r>
                      <w:r>
                        <w:rPr>
                          <w:spacing w:val="0"/>
                          <w:w w:val="100"/>
                          <w:sz w:val="16"/>
                          <w:szCs w:val="16"/>
                        </w:rPr>
                        <w:t>-</w:t>
                      </w:r>
                      <w:r>
                        <w:rPr>
                          <w:spacing w:val="0"/>
                          <w:w w:val="100"/>
                          <w:sz w:val="16"/>
                          <w:szCs w:val="16"/>
                        </w:rPr>
                        <w:tab/>
                      </w:r>
                      <w:r w:rsidRPr="00F50BE5">
                        <w:rPr>
                          <w:spacing w:val="0"/>
                          <w:w w:val="100"/>
                          <w:sz w:val="16"/>
                          <w:szCs w:val="16"/>
                        </w:rPr>
                        <w:t>рантура</w:t>
                      </w:r>
                      <w:r>
                        <w:rPr>
                          <w:spacing w:val="0"/>
                          <w:w w:val="100"/>
                          <w:sz w:val="16"/>
                          <w:szCs w:val="16"/>
                        </w:rPr>
                        <w:tab/>
                      </w:r>
                      <w:r w:rsidRPr="00F50BE5">
                        <w:rPr>
                          <w:spacing w:val="0"/>
                          <w:w w:val="100"/>
                          <w:sz w:val="16"/>
                          <w:szCs w:val="16"/>
                        </w:rPr>
                        <w:t>листы</w:t>
                      </w:r>
                    </w:p>
                    <w:p w:rsidR="00102068" w:rsidRPr="00F50BE5"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spacing w:val="0"/>
                          <w:w w:val="100"/>
                          <w:sz w:val="16"/>
                          <w:szCs w:val="16"/>
                        </w:rPr>
                      </w:pPr>
                      <w:r>
                        <w:rPr>
                          <w:spacing w:val="0"/>
                          <w:w w:val="100"/>
                          <w:sz w:val="16"/>
                          <w:szCs w:val="16"/>
                        </w:rPr>
                        <w:tab/>
                      </w:r>
                      <w:r>
                        <w:rPr>
                          <w:spacing w:val="0"/>
                          <w:w w:val="100"/>
                          <w:sz w:val="16"/>
                          <w:szCs w:val="16"/>
                        </w:rPr>
                        <w:tab/>
                        <w:t>ситете</w:t>
                      </w:r>
                      <w:r>
                        <w:rPr>
                          <w:spacing w:val="0"/>
                          <w:w w:val="100"/>
                          <w:sz w:val="16"/>
                          <w:szCs w:val="16"/>
                        </w:rPr>
                        <w:tab/>
                      </w:r>
                      <w:r w:rsidRPr="00F50BE5">
                        <w:rPr>
                          <w:spacing w:val="0"/>
                          <w:w w:val="100"/>
                          <w:sz w:val="16"/>
                          <w:szCs w:val="16"/>
                        </w:rPr>
                        <w:t>нутого</w:t>
                      </w:r>
                      <w:r>
                        <w:rPr>
                          <w:spacing w:val="0"/>
                          <w:w w:val="100"/>
                          <w:sz w:val="16"/>
                          <w:szCs w:val="16"/>
                        </w:rPr>
                        <w:tab/>
                      </w:r>
                      <w:r>
                        <w:rPr>
                          <w:spacing w:val="0"/>
                          <w:w w:val="100"/>
                          <w:sz w:val="16"/>
                          <w:szCs w:val="16"/>
                        </w:rPr>
                        <w:tab/>
                      </w:r>
                      <w:r w:rsidRPr="00F50BE5">
                        <w:rPr>
                          <w:spacing w:val="0"/>
                          <w:w w:val="100"/>
                          <w:sz w:val="16"/>
                          <w:szCs w:val="16"/>
                        </w:rPr>
                        <w:t>и иссле</w:t>
                      </w:r>
                      <w:r>
                        <w:rPr>
                          <w:spacing w:val="0"/>
                          <w:w w:val="100"/>
                          <w:sz w:val="16"/>
                          <w:szCs w:val="16"/>
                        </w:rPr>
                        <w:t>-</w:t>
                      </w:r>
                    </w:p>
                    <w:p w:rsidR="00102068" w:rsidRPr="00F50BE5" w:rsidRDefault="00102068" w:rsidP="00102068">
                      <w:pPr>
                        <w:tabs>
                          <w:tab w:val="center" w:pos="993"/>
                          <w:tab w:val="center" w:pos="1843"/>
                          <w:tab w:val="center" w:pos="2694"/>
                          <w:tab w:val="center" w:pos="3402"/>
                          <w:tab w:val="center" w:pos="4253"/>
                          <w:tab w:val="center" w:pos="5103"/>
                          <w:tab w:val="center" w:pos="5954"/>
                          <w:tab w:val="center" w:pos="6804"/>
                        </w:tabs>
                        <w:spacing w:line="240" w:lineRule="auto"/>
                        <w:rPr>
                          <w:w w:val="100"/>
                        </w:rPr>
                      </w:pPr>
                      <w:r>
                        <w:rPr>
                          <w:spacing w:val="0"/>
                          <w:w w:val="100"/>
                          <w:sz w:val="16"/>
                          <w:szCs w:val="16"/>
                        </w:rPr>
                        <w:tab/>
                      </w:r>
                      <w:r>
                        <w:rPr>
                          <w:spacing w:val="0"/>
                          <w:w w:val="100"/>
                          <w:sz w:val="16"/>
                          <w:szCs w:val="16"/>
                        </w:rPr>
                        <w:tab/>
                      </w:r>
                      <w:r w:rsidRPr="00F50BE5">
                        <w:rPr>
                          <w:spacing w:val="0"/>
                          <w:w w:val="100"/>
                          <w:sz w:val="16"/>
                          <w:szCs w:val="16"/>
                        </w:rPr>
                        <w:t>Исландии</w:t>
                      </w:r>
                      <w:r>
                        <w:rPr>
                          <w:spacing w:val="0"/>
                          <w:w w:val="100"/>
                          <w:sz w:val="16"/>
                          <w:szCs w:val="16"/>
                        </w:rPr>
                        <w:tab/>
                      </w:r>
                      <w:r w:rsidRPr="00F50BE5">
                        <w:rPr>
                          <w:spacing w:val="0"/>
                          <w:w w:val="100"/>
                          <w:sz w:val="16"/>
                          <w:szCs w:val="16"/>
                        </w:rPr>
                        <w:t>уровня</w:t>
                      </w:r>
                      <w:r>
                        <w:rPr>
                          <w:spacing w:val="0"/>
                          <w:w w:val="100"/>
                          <w:sz w:val="16"/>
                          <w:szCs w:val="16"/>
                        </w:rPr>
                        <w:tab/>
                      </w:r>
                      <w:r>
                        <w:rPr>
                          <w:spacing w:val="0"/>
                          <w:w w:val="100"/>
                          <w:sz w:val="16"/>
                          <w:szCs w:val="16"/>
                        </w:rPr>
                        <w:tab/>
                      </w:r>
                      <w:r w:rsidRPr="00F50BE5">
                        <w:rPr>
                          <w:spacing w:val="0"/>
                          <w:w w:val="100"/>
                          <w:sz w:val="16"/>
                          <w:szCs w:val="16"/>
                        </w:rPr>
                        <w:t>дователи</w:t>
                      </w:r>
                    </w:p>
                  </w:txbxContent>
                </v:textbox>
              </v:shape>
            </w:pict>
          </mc:Fallback>
        </mc:AlternateContent>
      </w:r>
      <w:r>
        <w:rPr>
          <w:noProof/>
          <w:lang w:val="en-GB" w:eastAsia="en-GB"/>
        </w:rPr>
        <w:drawing>
          <wp:inline distT="0" distB="0" distL="0" distR="0">
            <wp:extent cx="4700270" cy="2493645"/>
            <wp:effectExtent l="0" t="0" r="5080" b="1905"/>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00270" cy="2493645"/>
                    </a:xfrm>
                    <a:prstGeom prst="rect">
                      <a:avLst/>
                    </a:prstGeom>
                    <a:noFill/>
                  </pic:spPr>
                </pic:pic>
              </a:graphicData>
            </a:graphic>
          </wp:inline>
        </w:drawing>
      </w:r>
    </w:p>
    <w:p w:rsidR="00102068" w:rsidRDefault="00462B91" w:rsidP="00102068">
      <w:pPr>
        <w:pStyle w:val="SingleTxtG"/>
      </w:pPr>
      <w:r>
        <w:rPr>
          <w:lang w:val="en-US"/>
        </w:rPr>
        <w:tab/>
      </w:r>
      <w:r w:rsidR="00102068">
        <w:t xml:space="preserve">В </w:t>
      </w:r>
      <w:r w:rsidR="004C298C">
        <w:t>статье </w:t>
      </w:r>
      <w:r w:rsidR="00102068">
        <w:t>23 Закона о равенстве мужчин и</w:t>
      </w:r>
      <w:r w:rsidR="004E3C3F">
        <w:t> женщин</w:t>
      </w:r>
      <w:r w:rsidR="004C298C">
        <w:t> № </w:t>
      </w:r>
      <w:r w:rsidR="00102068">
        <w:t xml:space="preserve">10/2008 указано, что Министерство образования, науки и культуры обязано следить за соблюдением принципа гендерного равенства в школах и других образовательных учреждениях, в том числе при </w:t>
      </w:r>
      <w:r w:rsidR="00102068" w:rsidRPr="00FE1DEE">
        <w:t>проведении</w:t>
      </w:r>
      <w:r w:rsidR="00102068">
        <w:t xml:space="preserve"> спортивных и досуговых мероприятий. Кроме того, министерство должно отслеживать события в этих сферах жизни общества, касающиеся обеспечения гендерного равенства. Министерство образования, науки и культуры должно принять на работу консультанта по вопросам равенства мужчин и</w:t>
      </w:r>
      <w:r w:rsidR="004E3C3F">
        <w:t> женщин</w:t>
      </w:r>
      <w:r w:rsidR="00102068">
        <w:t xml:space="preserve">, который будет контролировать применение положений данной </w:t>
      </w:r>
      <w:r w:rsidR="004C298C">
        <w:t>статьи </w:t>
      </w:r>
      <w:r w:rsidR="00102068">
        <w:t>и консультировать соответствующие стороны по вопросам гендерного равенства, включая позитивные действия в поддержку его установления.</w:t>
      </w:r>
    </w:p>
    <w:p w:rsidR="00102068" w:rsidRDefault="00462B91" w:rsidP="00102068">
      <w:pPr>
        <w:pStyle w:val="SingleTxtG"/>
      </w:pPr>
      <w:r w:rsidRPr="004E3C3F">
        <w:tab/>
      </w:r>
      <w:r w:rsidR="00102068">
        <w:t xml:space="preserve">Министерство публикует национальные программы обучения для дошкольных учреждений и младших и старших классов средней школы согласно законодательным актам, применяемым в отношении соответствующей ступени школьного обучения. Эти </w:t>
      </w:r>
      <w:r w:rsidR="00102068" w:rsidRPr="00FE1DEE">
        <w:t>национальные</w:t>
      </w:r>
      <w:r w:rsidR="00102068">
        <w:t xml:space="preserve"> программы обучения имеют тот же статус, что и постановления правительства, и детально определяют порядок применения законодательных и нормативных актов. В них указываются цели и схема работы школ, формы организации учебного процесса, установленные критерии и образовательные стандарты и скорость, с которой должно осуществляться обучение. В 2011</w:t>
      </w:r>
      <w:r w:rsidR="004C298C">
        <w:t> году</w:t>
      </w:r>
      <w:r w:rsidR="00102068">
        <w:t xml:space="preserve"> были утверждены новые национальные критерии для всех ступеней школьного обучения, включающие шесть базовых принципов, которые должны служить основой любого учебного процесса. Эти принципы касаются способности </w:t>
      </w:r>
      <w:r w:rsidR="004C298C">
        <w:t>«</w:t>
      </w:r>
      <w:r w:rsidR="00102068">
        <w:t>считывать</w:t>
      </w:r>
      <w:r w:rsidR="004C298C">
        <w:t>»</w:t>
      </w:r>
      <w:r w:rsidR="00102068">
        <w:t xml:space="preserve"> общество, культуру, окружающую среду и мир природы, а также видение будущего наряду со способностью и желанием оказывать влияние и играть активную роль в оказании поддержки своей общине, а также в ее изменении и развитии. Одним из базовых принципов является равенство. Брошюра, опубликованная в 2013</w:t>
      </w:r>
      <w:r w:rsidR="004C298C">
        <w:t> году</w:t>
      </w:r>
      <w:r w:rsidR="00102068">
        <w:t>, посвящена равенству в сфере образования на всех уровнях школьной системы и способам организации работы школ, благодаря которым учащиеся получат возможность развиваться в соответствии с собственными установками в духе терпимости и равенства. Школы уже приступили к осуществлению этих базовых принципов; будет интересно узнать о дальнейшей деятельности в этой области.</w:t>
      </w:r>
    </w:p>
    <w:p w:rsidR="00102068" w:rsidRDefault="00462B91" w:rsidP="00102068">
      <w:pPr>
        <w:pStyle w:val="SingleTxtG"/>
      </w:pPr>
      <w:r w:rsidRPr="004E3C3F">
        <w:tab/>
      </w:r>
      <w:r w:rsidR="00102068">
        <w:t>В последние несколько десятилетий произошли серьезные изменения, касающиеся разрыва между мужчинами и</w:t>
      </w:r>
      <w:r w:rsidR="004E3C3F">
        <w:t> женщин</w:t>
      </w:r>
      <w:r w:rsidR="00102068">
        <w:t>ами среди студентов университетов. В 1975 году</w:t>
      </w:r>
      <w:r w:rsidR="004E3C3F">
        <w:t> женщин</w:t>
      </w:r>
      <w:r w:rsidR="00102068">
        <w:t>ы составляли лишь 48</w:t>
      </w:r>
      <w:r w:rsidR="004C298C">
        <w:t> процентов</w:t>
      </w:r>
      <w:r w:rsidR="00102068">
        <w:t xml:space="preserve"> студентов; к 2009</w:t>
      </w:r>
      <w:r w:rsidR="004C298C">
        <w:t> году</w:t>
      </w:r>
      <w:r w:rsidR="00102068">
        <w:t xml:space="preserve"> этот показатель возрос до 63</w:t>
      </w:r>
      <w:r w:rsidR="004C298C">
        <w:t> процентов</w:t>
      </w:r>
      <w:r w:rsidR="00102068">
        <w:t>. Осенью 2010</w:t>
      </w:r>
      <w:r w:rsidR="004C298C">
        <w:t> года</w:t>
      </w:r>
      <w:r w:rsidR="00102068">
        <w:t xml:space="preserve"> доля</w:t>
      </w:r>
      <w:r w:rsidR="004E3C3F">
        <w:t> женщин</w:t>
      </w:r>
      <w:r w:rsidR="00102068">
        <w:t xml:space="preserve"> достигла 62,3 процента от общего числа студентов университетов; кроме того, с 1996</w:t>
      </w:r>
      <w:r w:rsidR="004C298C">
        <w:t> года</w:t>
      </w:r>
      <w:r w:rsidR="004E3C3F">
        <w:t> женщин</w:t>
      </w:r>
      <w:r w:rsidR="00102068">
        <w:t>ы составляют большинство выпускников университетов. В 2009</w:t>
      </w:r>
      <w:r w:rsidR="004C298C">
        <w:t> году</w:t>
      </w:r>
      <w:r w:rsidR="00102068">
        <w:t xml:space="preserve"> 524 женщины (60</w:t>
      </w:r>
      <w:r w:rsidR="004C298C">
        <w:t> процентов</w:t>
      </w:r>
      <w:r w:rsidR="00102068">
        <w:t xml:space="preserve"> от общего числа выпускников) окончили обучение, получив степень магистра. В 2008</w:t>
      </w:r>
      <w:r w:rsidR="004C298C">
        <w:t> году</w:t>
      </w:r>
      <w:r w:rsidR="00102068">
        <w:t xml:space="preserve"> 15</w:t>
      </w:r>
      <w:r w:rsidR="004E3C3F">
        <w:t> женщин</w:t>
      </w:r>
      <w:r w:rsidR="00102068">
        <w:t xml:space="preserve"> и 13 мужчин завершили обучение в докторантуре исландских университетов. В 2009</w:t>
      </w:r>
      <w:r w:rsidR="004C298C">
        <w:t> году</w:t>
      </w:r>
      <w:r w:rsidR="00102068">
        <w:t xml:space="preserve"> доля студенток превышала долю студентов на 61,4</w:t>
      </w:r>
      <w:r w:rsidR="004C298C">
        <w:t> процента</w:t>
      </w:r>
      <w:r w:rsidR="00102068">
        <w:t xml:space="preserve"> из 262 возможных курсов обучения в исландских университетах. Осенью 2011</w:t>
      </w:r>
      <w:r w:rsidR="004C298C">
        <w:t> года</w:t>
      </w:r>
      <w:r w:rsidR="004E3C3F">
        <w:t> женщин</w:t>
      </w:r>
      <w:r w:rsidR="00102068">
        <w:t xml:space="preserve">ы численно превосходили мужчин на 58,2 процента из 282 курсов обучения. </w:t>
      </w:r>
    </w:p>
    <w:p w:rsidR="00102068" w:rsidRDefault="00462B91" w:rsidP="00102068">
      <w:pPr>
        <w:pStyle w:val="SingleTxtG"/>
      </w:pPr>
      <w:r w:rsidRPr="004E3C3F">
        <w:tab/>
      </w:r>
      <w:r w:rsidR="00102068">
        <w:t xml:space="preserve">Университет Исландии предложил специальный курс подготовки дипломированных специалистов по проведению практических исследований в области гендерного равенства, который оценивается в 30 баллов по Европейской системе перевода зачетных единиц (ECTS). </w:t>
      </w:r>
    </w:p>
    <w:p w:rsidR="00102068" w:rsidRDefault="00462B91" w:rsidP="00102068">
      <w:pPr>
        <w:pStyle w:val="SingleTxtG"/>
        <w:rPr>
          <w:b/>
        </w:rPr>
      </w:pPr>
      <w:r w:rsidRPr="004E3C3F">
        <w:tab/>
      </w:r>
      <w:r w:rsidR="00102068">
        <w:t>По данным за 2012 год</w:t>
      </w:r>
      <w:r w:rsidR="004E3C3F">
        <w:t> женщин</w:t>
      </w:r>
      <w:r w:rsidR="00102068">
        <w:t xml:space="preserve">ы численно превосходят мужчин на каждой ступени </w:t>
      </w:r>
      <w:r w:rsidR="00102068" w:rsidRPr="00FE1DEE">
        <w:t>обучения</w:t>
      </w:r>
      <w:r w:rsidR="00102068">
        <w:t xml:space="preserve"> в старших классах средней школы, за исключением специальной дополнительной ступени для обучения промышленным специальностям. Средние и высшие учебные заведения посещали в общей сложности 27 216</w:t>
      </w:r>
      <w:r w:rsidR="004E3C3F">
        <w:t> женщин</w:t>
      </w:r>
      <w:r w:rsidR="00102068">
        <w:t xml:space="preserve"> и 21 507 мужчин. Таким образом,</w:t>
      </w:r>
      <w:r w:rsidR="004E3C3F">
        <w:t> женщин</w:t>
      </w:r>
      <w:r w:rsidR="00102068">
        <w:t>ы составляют 52</w:t>
      </w:r>
      <w:r w:rsidR="004C298C">
        <w:t> процента</w:t>
      </w:r>
      <w:r w:rsidR="00102068">
        <w:t xml:space="preserve"> учащихся, получающих среднее образование. </w:t>
      </w:r>
    </w:p>
    <w:p w:rsidR="00462B91" w:rsidRPr="00462B91" w:rsidRDefault="00462B91" w:rsidP="00462B91">
      <w:pPr>
        <w:pStyle w:val="SingleTxtG"/>
        <w:spacing w:after="0" w:line="120" w:lineRule="exact"/>
        <w:jc w:val="left"/>
        <w:rPr>
          <w:b/>
          <w:sz w:val="10"/>
        </w:rPr>
      </w:pPr>
    </w:p>
    <w:p w:rsidR="00102068" w:rsidRPr="00FE1DEE" w:rsidRDefault="00102068" w:rsidP="00102068">
      <w:pPr>
        <w:pStyle w:val="SingleTxtG"/>
        <w:jc w:val="left"/>
        <w:rPr>
          <w:b/>
          <w:bCs/>
          <w:i/>
          <w:lang w:eastAsia="zh-CN"/>
        </w:rPr>
      </w:pPr>
      <w:r w:rsidRPr="00FE1DEE">
        <w:rPr>
          <w:b/>
        </w:rPr>
        <w:t xml:space="preserve">Аттестаты средней школы в разбивке по курсам обучения и полу </w:t>
      </w:r>
      <w:r>
        <w:rPr>
          <w:b/>
        </w:rPr>
        <w:br/>
      </w:r>
      <w:r w:rsidRPr="00FE1DEE">
        <w:rPr>
          <w:b/>
        </w:rPr>
        <w:t>в 2010/2011 учебном</w:t>
      </w:r>
      <w:r w:rsidR="004C298C">
        <w:rPr>
          <w:b/>
        </w:rPr>
        <w:t> году</w:t>
      </w:r>
    </w:p>
    <w:tbl>
      <w:tblPr>
        <w:tblW w:w="0" w:type="auto"/>
        <w:tblInd w:w="76" w:type="dxa"/>
        <w:tblLayout w:type="fixed"/>
        <w:tblCellMar>
          <w:left w:w="0" w:type="dxa"/>
          <w:right w:w="0" w:type="dxa"/>
        </w:tblCellMar>
        <w:tblLook w:val="0000" w:firstRow="0" w:lastRow="0" w:firstColumn="0" w:lastColumn="0" w:noHBand="0" w:noVBand="0"/>
      </w:tblPr>
      <w:tblGrid>
        <w:gridCol w:w="3270"/>
        <w:gridCol w:w="720"/>
        <w:gridCol w:w="1250"/>
        <w:gridCol w:w="1190"/>
        <w:gridCol w:w="1590"/>
        <w:gridCol w:w="1580"/>
      </w:tblGrid>
      <w:tr w:rsidR="00102068" w:rsidTr="006505E8">
        <w:trPr>
          <w:trHeight w:val="255"/>
          <w:tblHeader/>
        </w:trPr>
        <w:tc>
          <w:tcPr>
            <w:tcW w:w="327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rPr>
                <w:bCs/>
                <w:i/>
                <w:spacing w:val="0"/>
                <w:w w:val="100"/>
                <w:sz w:val="14"/>
                <w:szCs w:val="14"/>
                <w:lang w:eastAsia="zh-CN"/>
              </w:rPr>
            </w:pPr>
            <w:r w:rsidRPr="00F541B5">
              <w:rPr>
                <w:bCs/>
                <w:i/>
                <w:spacing w:val="0"/>
                <w:w w:val="100"/>
                <w:sz w:val="14"/>
                <w:szCs w:val="14"/>
                <w:lang w:eastAsia="zh-CN"/>
              </w:rPr>
              <w:t> </w:t>
            </w:r>
          </w:p>
        </w:tc>
        <w:tc>
          <w:tcPr>
            <w:tcW w:w="72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jc w:val="right"/>
              <w:rPr>
                <w:bCs/>
                <w:i/>
                <w:spacing w:val="0"/>
                <w:w w:val="100"/>
                <w:sz w:val="14"/>
                <w:szCs w:val="14"/>
                <w:lang w:eastAsia="zh-CN"/>
              </w:rPr>
            </w:pPr>
            <w:r w:rsidRPr="00F541B5">
              <w:rPr>
                <w:bCs/>
                <w:i/>
                <w:spacing w:val="0"/>
                <w:w w:val="100"/>
                <w:sz w:val="14"/>
                <w:szCs w:val="14"/>
                <w:lang w:eastAsia="zh-CN"/>
              </w:rPr>
              <w:t>Всего </w:t>
            </w:r>
          </w:p>
        </w:tc>
        <w:tc>
          <w:tcPr>
            <w:tcW w:w="125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jc w:val="right"/>
              <w:rPr>
                <w:bCs/>
                <w:i/>
                <w:spacing w:val="0"/>
                <w:w w:val="100"/>
                <w:sz w:val="14"/>
                <w:szCs w:val="14"/>
                <w:lang w:eastAsia="zh-CN"/>
              </w:rPr>
            </w:pPr>
            <w:r w:rsidRPr="00F541B5">
              <w:rPr>
                <w:bCs/>
                <w:i/>
                <w:spacing w:val="0"/>
                <w:w w:val="100"/>
                <w:sz w:val="14"/>
                <w:szCs w:val="14"/>
                <w:lang w:eastAsia="zh-CN"/>
              </w:rPr>
              <w:t>Мужчины</w:t>
            </w:r>
            <w:r>
              <w:rPr>
                <w:bCs/>
                <w:i/>
                <w:spacing w:val="0"/>
                <w:w w:val="100"/>
                <w:sz w:val="14"/>
                <w:szCs w:val="14"/>
                <w:lang w:eastAsia="zh-CN"/>
              </w:rPr>
              <w:br/>
            </w:r>
            <w:r w:rsidRPr="00F541B5">
              <w:rPr>
                <w:bCs/>
                <w:i/>
                <w:spacing w:val="0"/>
                <w:w w:val="100"/>
                <w:sz w:val="14"/>
                <w:szCs w:val="14"/>
                <w:lang w:eastAsia="zh-CN"/>
              </w:rPr>
              <w:t xml:space="preserve"> (число)</w:t>
            </w:r>
          </w:p>
        </w:tc>
        <w:tc>
          <w:tcPr>
            <w:tcW w:w="119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jc w:val="right"/>
              <w:rPr>
                <w:bCs/>
                <w:i/>
                <w:spacing w:val="0"/>
                <w:w w:val="100"/>
                <w:sz w:val="14"/>
                <w:szCs w:val="14"/>
                <w:lang w:eastAsia="zh-CN"/>
              </w:rPr>
            </w:pPr>
            <w:r w:rsidRPr="00F541B5">
              <w:rPr>
                <w:bCs/>
                <w:i/>
                <w:spacing w:val="0"/>
                <w:w w:val="100"/>
                <w:sz w:val="14"/>
                <w:szCs w:val="14"/>
                <w:lang w:eastAsia="zh-CN"/>
              </w:rPr>
              <w:t>Женщины</w:t>
            </w:r>
            <w:r>
              <w:rPr>
                <w:bCs/>
                <w:i/>
                <w:spacing w:val="0"/>
                <w:w w:val="100"/>
                <w:sz w:val="14"/>
                <w:szCs w:val="14"/>
                <w:lang w:eastAsia="zh-CN"/>
              </w:rPr>
              <w:br/>
            </w:r>
            <w:r w:rsidRPr="00F541B5">
              <w:rPr>
                <w:bCs/>
                <w:i/>
                <w:spacing w:val="0"/>
                <w:w w:val="100"/>
                <w:sz w:val="14"/>
                <w:szCs w:val="14"/>
                <w:lang w:eastAsia="zh-CN"/>
              </w:rPr>
              <w:t xml:space="preserve"> (число)</w:t>
            </w:r>
          </w:p>
        </w:tc>
        <w:tc>
          <w:tcPr>
            <w:tcW w:w="159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jc w:val="right"/>
              <w:rPr>
                <w:bCs/>
                <w:i/>
                <w:spacing w:val="0"/>
                <w:w w:val="100"/>
                <w:sz w:val="14"/>
                <w:szCs w:val="14"/>
                <w:lang w:eastAsia="zh-CN"/>
              </w:rPr>
            </w:pPr>
            <w:r w:rsidRPr="00F541B5">
              <w:rPr>
                <w:bCs/>
                <w:i/>
                <w:spacing w:val="0"/>
                <w:w w:val="100"/>
                <w:sz w:val="14"/>
                <w:szCs w:val="14"/>
                <w:lang w:eastAsia="zh-CN"/>
              </w:rPr>
              <w:t>Мужчины</w:t>
            </w:r>
            <w:r>
              <w:rPr>
                <w:bCs/>
                <w:i/>
                <w:spacing w:val="0"/>
                <w:w w:val="100"/>
                <w:sz w:val="14"/>
                <w:szCs w:val="14"/>
                <w:lang w:eastAsia="zh-CN"/>
              </w:rPr>
              <w:br/>
            </w:r>
            <w:r w:rsidRPr="00F541B5">
              <w:rPr>
                <w:bCs/>
                <w:i/>
                <w:spacing w:val="0"/>
                <w:w w:val="100"/>
                <w:sz w:val="14"/>
                <w:szCs w:val="14"/>
                <w:lang w:eastAsia="zh-CN"/>
              </w:rPr>
              <w:t xml:space="preserve"> (в</w:t>
            </w:r>
            <w:r w:rsidR="004C298C">
              <w:rPr>
                <w:bCs/>
                <w:i/>
                <w:spacing w:val="0"/>
                <w:w w:val="100"/>
                <w:sz w:val="14"/>
                <w:szCs w:val="14"/>
                <w:lang w:eastAsia="zh-CN"/>
              </w:rPr>
              <w:t> процента</w:t>
            </w:r>
            <w:r w:rsidRPr="00F541B5">
              <w:rPr>
                <w:bCs/>
                <w:i/>
                <w:spacing w:val="0"/>
                <w:w w:val="100"/>
                <w:sz w:val="14"/>
                <w:szCs w:val="14"/>
                <w:lang w:eastAsia="zh-CN"/>
              </w:rPr>
              <w:t>х)</w:t>
            </w:r>
          </w:p>
        </w:tc>
        <w:tc>
          <w:tcPr>
            <w:tcW w:w="1580" w:type="dxa"/>
            <w:tcBorders>
              <w:top w:val="single" w:sz="4" w:space="0" w:color="000000"/>
              <w:bottom w:val="single" w:sz="12" w:space="0" w:color="000000"/>
            </w:tcBorders>
            <w:shd w:val="clear" w:color="auto" w:fill="auto"/>
            <w:vAlign w:val="bottom"/>
          </w:tcPr>
          <w:p w:rsidR="00102068" w:rsidRPr="00F541B5" w:rsidRDefault="00102068" w:rsidP="006505E8">
            <w:pPr>
              <w:spacing w:before="40" w:after="40" w:line="240" w:lineRule="auto"/>
              <w:jc w:val="right"/>
              <w:rPr>
                <w:bCs/>
                <w:i/>
                <w:spacing w:val="0"/>
                <w:w w:val="100"/>
                <w:sz w:val="14"/>
                <w:szCs w:val="14"/>
                <w:lang w:eastAsia="zh-CN"/>
              </w:rPr>
            </w:pPr>
            <w:r w:rsidRPr="00F541B5">
              <w:rPr>
                <w:bCs/>
                <w:i/>
                <w:spacing w:val="0"/>
                <w:w w:val="100"/>
                <w:sz w:val="14"/>
                <w:szCs w:val="14"/>
                <w:lang w:eastAsia="zh-CN"/>
              </w:rPr>
              <w:t>Женщины</w:t>
            </w:r>
            <w:r>
              <w:rPr>
                <w:bCs/>
                <w:i/>
                <w:spacing w:val="0"/>
                <w:w w:val="100"/>
                <w:sz w:val="14"/>
                <w:szCs w:val="14"/>
                <w:lang w:eastAsia="zh-CN"/>
              </w:rPr>
              <w:br/>
            </w:r>
            <w:r w:rsidRPr="00F541B5">
              <w:rPr>
                <w:bCs/>
                <w:i/>
                <w:spacing w:val="0"/>
                <w:w w:val="100"/>
                <w:sz w:val="14"/>
                <w:szCs w:val="14"/>
                <w:lang w:eastAsia="zh-CN"/>
              </w:rPr>
              <w:t xml:space="preserve"> (в</w:t>
            </w:r>
            <w:r w:rsidR="004C298C">
              <w:rPr>
                <w:bCs/>
                <w:i/>
                <w:spacing w:val="0"/>
                <w:w w:val="100"/>
                <w:sz w:val="14"/>
                <w:szCs w:val="14"/>
                <w:lang w:eastAsia="zh-CN"/>
              </w:rPr>
              <w:t> процента</w:t>
            </w:r>
            <w:r w:rsidRPr="00F541B5">
              <w:rPr>
                <w:bCs/>
                <w:i/>
                <w:spacing w:val="0"/>
                <w:w w:val="100"/>
                <w:sz w:val="14"/>
                <w:szCs w:val="14"/>
                <w:lang w:eastAsia="zh-CN"/>
              </w:rPr>
              <w:t>х)</w:t>
            </w:r>
          </w:p>
        </w:tc>
      </w:tr>
      <w:tr w:rsidR="00102068" w:rsidTr="006505E8">
        <w:trPr>
          <w:trHeight w:val="255"/>
        </w:trPr>
        <w:tc>
          <w:tcPr>
            <w:tcW w:w="3270" w:type="dxa"/>
            <w:shd w:val="clear" w:color="auto" w:fill="auto"/>
          </w:tcPr>
          <w:p w:rsidR="00102068" w:rsidRPr="00FE1DEE" w:rsidRDefault="00102068" w:rsidP="006505E8">
            <w:pPr>
              <w:spacing w:before="120" w:after="40" w:line="240" w:lineRule="auto"/>
              <w:rPr>
                <w:spacing w:val="0"/>
                <w:w w:val="100"/>
                <w:sz w:val="17"/>
                <w:szCs w:val="17"/>
                <w:lang w:eastAsia="zh-CN"/>
              </w:rPr>
            </w:pPr>
            <w:r w:rsidRPr="00FE1DEE">
              <w:rPr>
                <w:spacing w:val="0"/>
                <w:w w:val="100"/>
                <w:sz w:val="17"/>
                <w:szCs w:val="17"/>
                <w:lang w:eastAsia="zh-CN"/>
              </w:rPr>
              <w:t>Общий базовый курс</w:t>
            </w:r>
          </w:p>
        </w:tc>
        <w:tc>
          <w:tcPr>
            <w:tcW w:w="720" w:type="dxa"/>
            <w:shd w:val="clear" w:color="auto" w:fill="auto"/>
            <w:vAlign w:val="bottom"/>
          </w:tcPr>
          <w:p w:rsidR="00102068" w:rsidRPr="00FE1DEE" w:rsidRDefault="00102068" w:rsidP="006505E8">
            <w:pPr>
              <w:spacing w:before="120" w:after="40" w:line="240" w:lineRule="auto"/>
              <w:jc w:val="right"/>
              <w:rPr>
                <w:spacing w:val="0"/>
                <w:w w:val="100"/>
                <w:sz w:val="17"/>
                <w:szCs w:val="17"/>
                <w:lang w:eastAsia="zh-CN"/>
              </w:rPr>
            </w:pPr>
            <w:r w:rsidRPr="00FE1DEE">
              <w:rPr>
                <w:spacing w:val="0"/>
                <w:w w:val="100"/>
                <w:sz w:val="17"/>
                <w:szCs w:val="17"/>
                <w:lang w:eastAsia="zh-CN"/>
              </w:rPr>
              <w:t>84</w:t>
            </w:r>
          </w:p>
        </w:tc>
        <w:tc>
          <w:tcPr>
            <w:tcW w:w="1250" w:type="dxa"/>
            <w:shd w:val="clear" w:color="auto" w:fill="auto"/>
            <w:vAlign w:val="bottom"/>
          </w:tcPr>
          <w:p w:rsidR="00102068" w:rsidRPr="00FE1DEE" w:rsidRDefault="00102068" w:rsidP="006505E8">
            <w:pPr>
              <w:spacing w:before="120" w:after="40" w:line="240" w:lineRule="auto"/>
              <w:jc w:val="right"/>
              <w:rPr>
                <w:spacing w:val="0"/>
                <w:w w:val="100"/>
                <w:sz w:val="17"/>
                <w:szCs w:val="17"/>
                <w:lang w:eastAsia="zh-CN"/>
              </w:rPr>
            </w:pPr>
            <w:r w:rsidRPr="00FE1DEE">
              <w:rPr>
                <w:spacing w:val="0"/>
                <w:w w:val="100"/>
                <w:sz w:val="17"/>
                <w:szCs w:val="17"/>
                <w:lang w:eastAsia="zh-CN"/>
              </w:rPr>
              <w:t>42</w:t>
            </w:r>
          </w:p>
        </w:tc>
        <w:tc>
          <w:tcPr>
            <w:tcW w:w="1190" w:type="dxa"/>
            <w:shd w:val="clear" w:color="auto" w:fill="auto"/>
            <w:vAlign w:val="bottom"/>
          </w:tcPr>
          <w:p w:rsidR="00102068" w:rsidRPr="00FE1DEE" w:rsidRDefault="00102068" w:rsidP="006505E8">
            <w:pPr>
              <w:spacing w:before="120" w:after="40" w:line="240" w:lineRule="auto"/>
              <w:jc w:val="right"/>
              <w:rPr>
                <w:spacing w:val="0"/>
                <w:w w:val="100"/>
                <w:sz w:val="17"/>
                <w:szCs w:val="17"/>
                <w:lang w:eastAsia="zh-CN"/>
              </w:rPr>
            </w:pPr>
            <w:r w:rsidRPr="00FE1DEE">
              <w:rPr>
                <w:spacing w:val="0"/>
                <w:w w:val="100"/>
                <w:sz w:val="17"/>
                <w:szCs w:val="17"/>
                <w:lang w:eastAsia="zh-CN"/>
              </w:rPr>
              <w:t>42</w:t>
            </w:r>
          </w:p>
        </w:tc>
        <w:tc>
          <w:tcPr>
            <w:tcW w:w="1590" w:type="dxa"/>
            <w:shd w:val="clear" w:color="auto" w:fill="auto"/>
            <w:vAlign w:val="bottom"/>
          </w:tcPr>
          <w:p w:rsidR="00102068" w:rsidRPr="00FE1DEE" w:rsidRDefault="00102068" w:rsidP="006505E8">
            <w:pPr>
              <w:spacing w:before="120" w:after="40" w:line="240" w:lineRule="auto"/>
              <w:jc w:val="right"/>
              <w:rPr>
                <w:spacing w:val="0"/>
                <w:w w:val="100"/>
                <w:sz w:val="17"/>
                <w:szCs w:val="17"/>
                <w:lang w:eastAsia="zh-CN"/>
              </w:rPr>
            </w:pPr>
            <w:r w:rsidRPr="00FE1DEE">
              <w:rPr>
                <w:spacing w:val="0"/>
                <w:w w:val="100"/>
                <w:sz w:val="17"/>
                <w:szCs w:val="17"/>
                <w:lang w:eastAsia="zh-CN"/>
              </w:rPr>
              <w:t>50</w:t>
            </w:r>
          </w:p>
        </w:tc>
        <w:tc>
          <w:tcPr>
            <w:tcW w:w="1580" w:type="dxa"/>
            <w:shd w:val="clear" w:color="auto" w:fill="auto"/>
            <w:vAlign w:val="bottom"/>
          </w:tcPr>
          <w:p w:rsidR="00102068" w:rsidRPr="00FE1DEE" w:rsidRDefault="00102068" w:rsidP="006505E8">
            <w:pPr>
              <w:spacing w:before="120" w:after="40" w:line="240" w:lineRule="auto"/>
              <w:jc w:val="right"/>
              <w:rPr>
                <w:spacing w:val="0"/>
                <w:w w:val="100"/>
                <w:sz w:val="17"/>
                <w:szCs w:val="17"/>
              </w:rPr>
            </w:pPr>
            <w:r w:rsidRPr="00FE1DEE">
              <w:rPr>
                <w:spacing w:val="0"/>
                <w:w w:val="100"/>
                <w:sz w:val="17"/>
                <w:szCs w:val="17"/>
                <w:lang w:eastAsia="zh-CN"/>
              </w:rPr>
              <w:t>50</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Базовый курс профессионального обучения</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6</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5</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16,7</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83,3</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Базовый курс обучения промышленным специальностям</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76</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72</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4</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94,7</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5,3</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Квалификационный экзамен</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941</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287</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654</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30,5</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69,5</w:t>
            </w:r>
          </w:p>
        </w:tc>
      </w:tr>
      <w:tr w:rsidR="00102068" w:rsidTr="006505E8">
        <w:trPr>
          <w:trHeight w:val="255"/>
        </w:trPr>
        <w:tc>
          <w:tcPr>
            <w:tcW w:w="3270" w:type="dxa"/>
            <w:shd w:val="clear" w:color="auto" w:fill="auto"/>
          </w:tcPr>
          <w:p w:rsidR="00102068" w:rsidRPr="00F541B5" w:rsidRDefault="00102068" w:rsidP="006505E8">
            <w:pPr>
              <w:spacing w:before="40" w:after="40" w:line="240" w:lineRule="auto"/>
              <w:rPr>
                <w:spacing w:val="0"/>
                <w:w w:val="100"/>
                <w:sz w:val="17"/>
                <w:szCs w:val="17"/>
              </w:rPr>
            </w:pPr>
            <w:r w:rsidRPr="00F541B5">
              <w:rPr>
                <w:spacing w:val="0"/>
                <w:w w:val="100"/>
                <w:sz w:val="17"/>
                <w:szCs w:val="17"/>
              </w:rPr>
              <w:t>Профессиональные права</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599</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234</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365</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39,1</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60,9</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Выпускной экзамен по промышленной специальности</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691</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525</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166</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76</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24</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Экзамен на звание подмастерья</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560</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447</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113</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79,8</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20,2</w:t>
            </w:r>
          </w:p>
        </w:tc>
      </w:tr>
      <w:tr w:rsidR="00102068" w:rsidTr="006505E8">
        <w:trPr>
          <w:trHeight w:val="255"/>
        </w:trPr>
        <w:tc>
          <w:tcPr>
            <w:tcW w:w="3270" w:type="dxa"/>
            <w:shd w:val="clear" w:color="auto" w:fill="auto"/>
          </w:tcPr>
          <w:p w:rsidR="00102068" w:rsidRPr="00F541B5" w:rsidRDefault="00102068" w:rsidP="006505E8">
            <w:pPr>
              <w:spacing w:before="40" w:after="40" w:line="240" w:lineRule="auto"/>
              <w:rPr>
                <w:spacing w:val="0"/>
                <w:w w:val="100"/>
                <w:sz w:val="17"/>
                <w:szCs w:val="17"/>
              </w:rPr>
            </w:pPr>
            <w:r w:rsidRPr="00F541B5">
              <w:rPr>
                <w:spacing w:val="0"/>
                <w:w w:val="100"/>
                <w:sz w:val="17"/>
                <w:szCs w:val="17"/>
              </w:rPr>
              <w:t>Профессиональный экзамен на уровне средней школы</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634</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299</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335</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47,2</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52,8</w:t>
            </w:r>
          </w:p>
        </w:tc>
      </w:tr>
      <w:tr w:rsidR="00102068" w:rsidTr="006505E8">
        <w:trPr>
          <w:trHeight w:val="255"/>
        </w:trPr>
        <w:tc>
          <w:tcPr>
            <w:tcW w:w="3270" w:type="dxa"/>
            <w:shd w:val="clear" w:color="auto" w:fill="auto"/>
          </w:tcPr>
          <w:p w:rsidR="00102068" w:rsidRPr="00FE1DEE" w:rsidRDefault="00102068" w:rsidP="006505E8">
            <w:pPr>
              <w:spacing w:before="40" w:after="40" w:line="240" w:lineRule="auto"/>
              <w:rPr>
                <w:spacing w:val="0"/>
                <w:w w:val="100"/>
                <w:sz w:val="17"/>
                <w:szCs w:val="17"/>
                <w:lang w:eastAsia="zh-CN"/>
              </w:rPr>
            </w:pPr>
            <w:r w:rsidRPr="00FE1DEE">
              <w:rPr>
                <w:spacing w:val="0"/>
                <w:w w:val="100"/>
                <w:sz w:val="17"/>
                <w:szCs w:val="17"/>
                <w:lang w:eastAsia="zh-CN"/>
              </w:rPr>
              <w:t>Экзамен об окончании средней</w:t>
            </w:r>
            <w:r>
              <w:rPr>
                <w:spacing w:val="0"/>
                <w:w w:val="100"/>
                <w:sz w:val="17"/>
                <w:szCs w:val="17"/>
                <w:lang w:eastAsia="zh-CN"/>
              </w:rPr>
              <w:t xml:space="preserve"> </w:t>
            </w:r>
            <w:r w:rsidRPr="00FE1DEE">
              <w:rPr>
                <w:spacing w:val="0"/>
                <w:w w:val="100"/>
                <w:sz w:val="17"/>
                <w:szCs w:val="17"/>
                <w:lang w:eastAsia="zh-CN"/>
              </w:rPr>
              <w:t>общеобразовательной школы</w:t>
            </w:r>
          </w:p>
        </w:tc>
        <w:tc>
          <w:tcPr>
            <w:tcW w:w="72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2 627</w:t>
            </w:r>
          </w:p>
        </w:tc>
        <w:tc>
          <w:tcPr>
            <w:tcW w:w="125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1 094</w:t>
            </w:r>
          </w:p>
        </w:tc>
        <w:tc>
          <w:tcPr>
            <w:tcW w:w="11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1,533</w:t>
            </w:r>
          </w:p>
        </w:tc>
        <w:tc>
          <w:tcPr>
            <w:tcW w:w="1590" w:type="dxa"/>
            <w:shd w:val="clear" w:color="auto" w:fill="auto"/>
            <w:vAlign w:val="bottom"/>
          </w:tcPr>
          <w:p w:rsidR="00102068" w:rsidRPr="00FE1DEE" w:rsidRDefault="00102068" w:rsidP="006505E8">
            <w:pPr>
              <w:spacing w:before="40" w:after="40" w:line="240" w:lineRule="auto"/>
              <w:jc w:val="right"/>
              <w:rPr>
                <w:spacing w:val="0"/>
                <w:w w:val="100"/>
                <w:sz w:val="17"/>
                <w:szCs w:val="17"/>
                <w:lang w:eastAsia="zh-CN"/>
              </w:rPr>
            </w:pPr>
            <w:r w:rsidRPr="00FE1DEE">
              <w:rPr>
                <w:spacing w:val="0"/>
                <w:w w:val="100"/>
                <w:sz w:val="17"/>
                <w:szCs w:val="17"/>
                <w:lang w:eastAsia="zh-CN"/>
              </w:rPr>
              <w:t>416</w:t>
            </w:r>
          </w:p>
        </w:tc>
        <w:tc>
          <w:tcPr>
            <w:tcW w:w="1580" w:type="dxa"/>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spacing w:val="0"/>
                <w:w w:val="100"/>
                <w:sz w:val="17"/>
                <w:szCs w:val="17"/>
                <w:lang w:eastAsia="zh-CN"/>
              </w:rPr>
              <w:t>58,4</w:t>
            </w:r>
          </w:p>
        </w:tc>
      </w:tr>
      <w:tr w:rsidR="00102068" w:rsidTr="006505E8">
        <w:trPr>
          <w:trHeight w:val="255"/>
        </w:trPr>
        <w:tc>
          <w:tcPr>
            <w:tcW w:w="3270" w:type="dxa"/>
            <w:tcBorders>
              <w:bottom w:val="single" w:sz="12" w:space="0" w:color="000000"/>
            </w:tcBorders>
            <w:shd w:val="clear" w:color="auto" w:fill="auto"/>
          </w:tcPr>
          <w:p w:rsidR="00102068" w:rsidRPr="00FE1DEE" w:rsidRDefault="00102068" w:rsidP="006505E8">
            <w:pPr>
              <w:spacing w:before="40" w:after="40" w:line="240" w:lineRule="auto"/>
              <w:rPr>
                <w:bCs/>
                <w:spacing w:val="0"/>
                <w:w w:val="100"/>
                <w:sz w:val="17"/>
                <w:szCs w:val="17"/>
                <w:lang w:eastAsia="zh-CN"/>
              </w:rPr>
            </w:pPr>
            <w:r w:rsidRPr="00FE1DEE">
              <w:rPr>
                <w:bCs/>
                <w:spacing w:val="0"/>
                <w:w w:val="100"/>
                <w:sz w:val="17"/>
                <w:szCs w:val="17"/>
                <w:lang w:eastAsia="zh-CN"/>
              </w:rPr>
              <w:t>Всего</w:t>
            </w:r>
          </w:p>
        </w:tc>
        <w:tc>
          <w:tcPr>
            <w:tcW w:w="720" w:type="dxa"/>
            <w:tcBorders>
              <w:bottom w:val="single" w:sz="12" w:space="0" w:color="000000"/>
            </w:tcBorders>
            <w:shd w:val="clear" w:color="auto" w:fill="auto"/>
            <w:vAlign w:val="bottom"/>
          </w:tcPr>
          <w:p w:rsidR="00102068" w:rsidRPr="00FE1DEE" w:rsidRDefault="00102068" w:rsidP="006505E8">
            <w:pPr>
              <w:spacing w:before="40" w:after="40" w:line="240" w:lineRule="auto"/>
              <w:jc w:val="right"/>
              <w:rPr>
                <w:bCs/>
                <w:spacing w:val="0"/>
                <w:w w:val="100"/>
                <w:sz w:val="17"/>
                <w:szCs w:val="17"/>
                <w:lang w:eastAsia="zh-CN"/>
              </w:rPr>
            </w:pPr>
            <w:r w:rsidRPr="00FE1DEE">
              <w:rPr>
                <w:bCs/>
                <w:spacing w:val="0"/>
                <w:w w:val="100"/>
                <w:sz w:val="17"/>
                <w:szCs w:val="17"/>
                <w:lang w:eastAsia="zh-CN"/>
              </w:rPr>
              <w:t>6 218</w:t>
            </w:r>
          </w:p>
        </w:tc>
        <w:tc>
          <w:tcPr>
            <w:tcW w:w="1250" w:type="dxa"/>
            <w:tcBorders>
              <w:bottom w:val="single" w:sz="12" w:space="0" w:color="000000"/>
            </w:tcBorders>
            <w:shd w:val="clear" w:color="auto" w:fill="auto"/>
            <w:vAlign w:val="bottom"/>
          </w:tcPr>
          <w:p w:rsidR="00102068" w:rsidRPr="00FE1DEE" w:rsidRDefault="00102068" w:rsidP="006505E8">
            <w:pPr>
              <w:spacing w:before="40" w:after="40" w:line="240" w:lineRule="auto"/>
              <w:jc w:val="right"/>
              <w:rPr>
                <w:bCs/>
                <w:spacing w:val="0"/>
                <w:w w:val="100"/>
                <w:sz w:val="17"/>
                <w:szCs w:val="17"/>
                <w:lang w:eastAsia="zh-CN"/>
              </w:rPr>
            </w:pPr>
            <w:r w:rsidRPr="00FE1DEE">
              <w:rPr>
                <w:bCs/>
                <w:spacing w:val="0"/>
                <w:w w:val="100"/>
                <w:sz w:val="17"/>
                <w:szCs w:val="17"/>
                <w:lang w:eastAsia="zh-CN"/>
              </w:rPr>
              <w:t>3 001</w:t>
            </w:r>
          </w:p>
        </w:tc>
        <w:tc>
          <w:tcPr>
            <w:tcW w:w="1190" w:type="dxa"/>
            <w:tcBorders>
              <w:bottom w:val="single" w:sz="12" w:space="0" w:color="000000"/>
            </w:tcBorders>
            <w:shd w:val="clear" w:color="auto" w:fill="auto"/>
            <w:vAlign w:val="bottom"/>
          </w:tcPr>
          <w:p w:rsidR="00102068" w:rsidRPr="00FE1DEE" w:rsidRDefault="00102068" w:rsidP="006505E8">
            <w:pPr>
              <w:spacing w:before="40" w:after="40" w:line="240" w:lineRule="auto"/>
              <w:jc w:val="right"/>
              <w:rPr>
                <w:bCs/>
                <w:spacing w:val="0"/>
                <w:w w:val="100"/>
                <w:sz w:val="17"/>
                <w:szCs w:val="17"/>
                <w:lang w:eastAsia="zh-CN"/>
              </w:rPr>
            </w:pPr>
            <w:r w:rsidRPr="00FE1DEE">
              <w:rPr>
                <w:bCs/>
                <w:spacing w:val="0"/>
                <w:w w:val="100"/>
                <w:sz w:val="17"/>
                <w:szCs w:val="17"/>
                <w:lang w:eastAsia="zh-CN"/>
              </w:rPr>
              <w:t>3 217</w:t>
            </w:r>
          </w:p>
        </w:tc>
        <w:tc>
          <w:tcPr>
            <w:tcW w:w="1590" w:type="dxa"/>
            <w:tcBorders>
              <w:bottom w:val="single" w:sz="12" w:space="0" w:color="000000"/>
            </w:tcBorders>
            <w:shd w:val="clear" w:color="auto" w:fill="auto"/>
            <w:vAlign w:val="bottom"/>
          </w:tcPr>
          <w:p w:rsidR="00102068" w:rsidRPr="00FE1DEE" w:rsidRDefault="00102068" w:rsidP="006505E8">
            <w:pPr>
              <w:spacing w:before="40" w:after="40" w:line="240" w:lineRule="auto"/>
              <w:jc w:val="right"/>
              <w:rPr>
                <w:bCs/>
                <w:spacing w:val="0"/>
                <w:w w:val="100"/>
                <w:sz w:val="17"/>
                <w:szCs w:val="17"/>
                <w:lang w:eastAsia="zh-CN"/>
              </w:rPr>
            </w:pPr>
            <w:r w:rsidRPr="00FE1DEE">
              <w:rPr>
                <w:bCs/>
                <w:spacing w:val="0"/>
                <w:w w:val="100"/>
                <w:sz w:val="17"/>
                <w:szCs w:val="17"/>
                <w:lang w:eastAsia="zh-CN"/>
              </w:rPr>
              <w:t>48,3</w:t>
            </w:r>
          </w:p>
        </w:tc>
        <w:tc>
          <w:tcPr>
            <w:tcW w:w="1580" w:type="dxa"/>
            <w:tcBorders>
              <w:bottom w:val="single" w:sz="12" w:space="0" w:color="000000"/>
            </w:tcBorders>
            <w:shd w:val="clear" w:color="auto" w:fill="auto"/>
            <w:vAlign w:val="bottom"/>
          </w:tcPr>
          <w:p w:rsidR="00102068" w:rsidRPr="00FE1DEE" w:rsidRDefault="00102068" w:rsidP="006505E8">
            <w:pPr>
              <w:spacing w:before="40" w:after="40" w:line="240" w:lineRule="auto"/>
              <w:jc w:val="right"/>
              <w:rPr>
                <w:spacing w:val="0"/>
                <w:w w:val="100"/>
                <w:sz w:val="17"/>
                <w:szCs w:val="17"/>
              </w:rPr>
            </w:pPr>
            <w:r w:rsidRPr="00FE1DEE">
              <w:rPr>
                <w:bCs/>
                <w:spacing w:val="0"/>
                <w:w w:val="100"/>
                <w:sz w:val="17"/>
                <w:szCs w:val="17"/>
                <w:lang w:eastAsia="zh-CN"/>
              </w:rPr>
              <w:t>51,7</w:t>
            </w:r>
          </w:p>
        </w:tc>
      </w:tr>
    </w:tbl>
    <w:p w:rsidR="00462B91" w:rsidRPr="00462B91" w:rsidRDefault="00462B91" w:rsidP="00462B91">
      <w:pPr>
        <w:pStyle w:val="SingleTxtG"/>
        <w:spacing w:after="0" w:line="120" w:lineRule="exact"/>
        <w:rPr>
          <w:sz w:val="10"/>
        </w:rPr>
      </w:pPr>
    </w:p>
    <w:p w:rsidR="00102068" w:rsidRDefault="00462B91" w:rsidP="00102068">
      <w:pPr>
        <w:pStyle w:val="SingleTxtG"/>
        <w:spacing w:before="120"/>
      </w:pPr>
      <w:r w:rsidRPr="004E3C3F">
        <w:tab/>
      </w:r>
      <w:r w:rsidR="00102068">
        <w:t xml:space="preserve">Женщины также </w:t>
      </w:r>
      <w:r w:rsidR="00102068" w:rsidRPr="00F541B5">
        <w:t>численно</w:t>
      </w:r>
      <w:r w:rsidR="00102068">
        <w:t xml:space="preserve"> превосходят мужчин среди выпускников университетов. В 2010/2011 учебном</w:t>
      </w:r>
      <w:r w:rsidR="004C298C">
        <w:t> году</w:t>
      </w:r>
      <w:r w:rsidR="00102068">
        <w:t xml:space="preserve"> 4 281</w:t>
      </w:r>
      <w:r w:rsidR="004C298C">
        <w:t> человек</w:t>
      </w:r>
      <w:r w:rsidR="00102068">
        <w:t xml:space="preserve"> завершил обучение в университете либо получил докторскую степень. Женщины составили чуть менее 65</w:t>
      </w:r>
      <w:r w:rsidR="004C298C">
        <w:t> процентов</w:t>
      </w:r>
      <w:r w:rsidR="00102068">
        <w:t xml:space="preserve"> выпускников. По сравнению с 2009/2010 учебным годом число выпускников увеличилось на 4,8</w:t>
      </w:r>
      <w:r w:rsidR="004C298C">
        <w:t> процента</w:t>
      </w:r>
      <w:r w:rsidR="00102068">
        <w:t>.</w:t>
      </w:r>
    </w:p>
    <w:p w:rsidR="00462B91" w:rsidRPr="00462B91" w:rsidRDefault="00462B91" w:rsidP="00462B91">
      <w:pPr>
        <w:pStyle w:val="SingleTxtG"/>
        <w:spacing w:after="0" w:line="120" w:lineRule="exact"/>
        <w:jc w:val="left"/>
        <w:rPr>
          <w:b/>
          <w:sz w:val="10"/>
        </w:rPr>
      </w:pPr>
    </w:p>
    <w:p w:rsidR="00102068" w:rsidRDefault="00102068" w:rsidP="00102068">
      <w:pPr>
        <w:pStyle w:val="SingleTxtG"/>
        <w:spacing w:after="0"/>
        <w:jc w:val="left"/>
        <w:rPr>
          <w:b/>
        </w:rPr>
      </w:pPr>
      <w:r w:rsidRPr="00F541B5">
        <w:rPr>
          <w:b/>
        </w:rPr>
        <w:t>Число выпускников университетов в разбивке по курсам обучения и полу, 2010/2011 учебный год</w:t>
      </w:r>
    </w:p>
    <w:p w:rsidR="00102068" w:rsidRPr="002A2AF8" w:rsidRDefault="00363E39" w:rsidP="00102068">
      <w:pPr>
        <w:pStyle w:val="SingleTxtG"/>
        <w:spacing w:line="240" w:lineRule="auto"/>
        <w:ind w:left="0" w:right="0"/>
        <w:jc w:val="center"/>
      </w:pPr>
      <w:r>
        <w:rPr>
          <w:noProof/>
          <w:lang w:val="en-GB" w:eastAsia="en-GB"/>
        </w:rPr>
        <w:drawing>
          <wp:inline distT="0" distB="0" distL="0" distR="0">
            <wp:extent cx="6130925" cy="1559560"/>
            <wp:effectExtent l="0" t="0" r="0" b="254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30925" cy="1559560"/>
                    </a:xfrm>
                    <a:prstGeom prst="rect">
                      <a:avLst/>
                    </a:prstGeom>
                    <a:noFill/>
                  </pic:spPr>
                </pic:pic>
              </a:graphicData>
            </a:graphic>
          </wp:inline>
        </w:drawing>
      </w:r>
    </w:p>
    <w:p w:rsidR="00102068" w:rsidRPr="002A2AF8" w:rsidRDefault="00102068" w:rsidP="00102068">
      <w:pPr>
        <w:pStyle w:val="SingleTxtG"/>
        <w:jc w:val="left"/>
        <w:rPr>
          <w:i/>
          <w:sz w:val="18"/>
          <w:szCs w:val="18"/>
        </w:rPr>
      </w:pPr>
      <w:r w:rsidRPr="002A2AF8">
        <w:rPr>
          <w:b/>
          <w:i/>
          <w:sz w:val="18"/>
          <w:szCs w:val="18"/>
        </w:rPr>
        <w:t>Источник:</w:t>
      </w:r>
      <w:r w:rsidRPr="002A2AF8">
        <w:rPr>
          <w:i/>
          <w:sz w:val="18"/>
          <w:szCs w:val="18"/>
        </w:rPr>
        <w:t xml:space="preserve"> Статистическое управление Исландии, 2012 год.</w:t>
      </w:r>
    </w:p>
    <w:p w:rsidR="00462B91" w:rsidRPr="00462B91" w:rsidRDefault="00462B91" w:rsidP="00462B91">
      <w:pPr>
        <w:pStyle w:val="SingleTxtG"/>
        <w:spacing w:after="0" w:line="120" w:lineRule="exact"/>
        <w:rPr>
          <w:sz w:val="10"/>
        </w:rPr>
      </w:pPr>
    </w:p>
    <w:p w:rsidR="00102068" w:rsidRPr="004E3C3F" w:rsidRDefault="00462B91" w:rsidP="00102068">
      <w:pPr>
        <w:pStyle w:val="SingleTxtG"/>
      </w:pPr>
      <w:r w:rsidRPr="004E3C3F">
        <w:tab/>
      </w:r>
      <w:r w:rsidR="00102068">
        <w:t>В сентябре 2012</w:t>
      </w:r>
      <w:r w:rsidR="004C298C">
        <w:t> года</w:t>
      </w:r>
      <w:r w:rsidR="00102068">
        <w:t xml:space="preserve"> был опубликован доклад о решении проблем гендерного равенства в Университете Исландии за 2008–2011 годы. Представленные ниже графические материалы основаны на данных этого доклада. </w:t>
      </w:r>
    </w:p>
    <w:p w:rsidR="00102068" w:rsidRPr="002A2AF8" w:rsidRDefault="00462B91" w:rsidP="00462B91">
      <w:pPr>
        <w:pStyle w:val="SingleTxtG"/>
        <w:rPr>
          <w:b/>
        </w:rPr>
      </w:pPr>
      <w:r w:rsidRPr="00462B91">
        <w:br/>
      </w:r>
      <w:r w:rsidR="00102068" w:rsidRPr="002A2AF8">
        <w:rPr>
          <w:b/>
        </w:rPr>
        <w:t>Соотношение мужчин и</w:t>
      </w:r>
      <w:r w:rsidR="004E3C3F">
        <w:rPr>
          <w:b/>
        </w:rPr>
        <w:t> женщин</w:t>
      </w:r>
      <w:r w:rsidR="00102068" w:rsidRPr="002A2AF8">
        <w:rPr>
          <w:b/>
        </w:rPr>
        <w:t xml:space="preserve"> в Университете Исландии, 1989–2011 годы</w:t>
      </w:r>
    </w:p>
    <w:p w:rsidR="00102068" w:rsidRDefault="00363E39" w:rsidP="00102068">
      <w:pPr>
        <w:pStyle w:val="SingleTxtG"/>
        <w:spacing w:after="0" w:line="240" w:lineRule="auto"/>
        <w:jc w:val="center"/>
        <w:rPr>
          <w:sz w:val="24"/>
          <w:szCs w:val="24"/>
        </w:rPr>
      </w:pPr>
      <w:r>
        <w:rPr>
          <w:noProof/>
          <w:sz w:val="24"/>
          <w:szCs w:val="24"/>
          <w:lang w:val="en-GB" w:eastAsia="en-GB"/>
        </w:rPr>
        <mc:AlternateContent>
          <mc:Choice Requires="wps">
            <w:drawing>
              <wp:anchor distT="0" distB="0" distL="114300" distR="114300" simplePos="0" relativeHeight="251650560" behindDoc="0" locked="0" layoutInCell="1" allowOverlap="1">
                <wp:simplePos x="0" y="0"/>
                <wp:positionH relativeFrom="column">
                  <wp:posOffset>3679190</wp:posOffset>
                </wp:positionH>
                <wp:positionV relativeFrom="paragraph">
                  <wp:posOffset>75565</wp:posOffset>
                </wp:positionV>
                <wp:extent cx="311150" cy="285750"/>
                <wp:effectExtent l="0" t="0" r="0" b="0"/>
                <wp:wrapNone/>
                <wp:docPr id="1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Pr="00BE076D" w:rsidRDefault="00102068" w:rsidP="00102068">
                            <w:pPr>
                              <w:spacing w:line="240" w:lineRule="auto"/>
                              <w:rPr>
                                <w:spacing w:val="0"/>
                                <w:w w:val="100"/>
                                <w:sz w:val="16"/>
                                <w:szCs w:val="16"/>
                              </w:rPr>
                            </w:pPr>
                            <w:r w:rsidRPr="00BE076D">
                              <w:rPr>
                                <w:spacing w:val="0"/>
                                <w:w w:val="100"/>
                                <w:sz w:val="16"/>
                                <w:szCs w:val="16"/>
                              </w:rPr>
                              <w:t>Муж-</w:t>
                            </w:r>
                            <w:r w:rsidRPr="00BE076D">
                              <w:rPr>
                                <w:spacing w:val="0"/>
                                <w:w w:val="100"/>
                                <w:sz w:val="16"/>
                                <w:szCs w:val="16"/>
                              </w:rPr>
                              <w:br/>
                              <w:t>чины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1" type="#_x0000_t202" style="position:absolute;left:0;text-align:left;margin-left:289.7pt;margin-top:5.95pt;width:24.5pt;height:2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" stroked="f">
                <v:textbox inset="0,0,0,0">
                  <w:txbxContent>
                    <w:p w:rsidR="00102068" w:rsidRPr="00BE076D" w:rsidRDefault="00102068" w:rsidP="00102068">
                      <w:pPr>
                        <w:spacing w:line="240" w:lineRule="auto"/>
                        <w:rPr>
                          <w:spacing w:val="0"/>
                          <w:w w:val="100"/>
                          <w:sz w:val="16"/>
                          <w:szCs w:val="16"/>
                        </w:rPr>
                      </w:pPr>
                      <w:r w:rsidRPr="00BE076D">
                        <w:rPr>
                          <w:spacing w:val="0"/>
                          <w:w w:val="100"/>
                          <w:sz w:val="16"/>
                          <w:szCs w:val="16"/>
                        </w:rPr>
                        <w:t>Муж-</w:t>
                      </w:r>
                      <w:r w:rsidRPr="00BE076D">
                        <w:rPr>
                          <w:spacing w:val="0"/>
                          <w:w w:val="100"/>
                          <w:sz w:val="16"/>
                          <w:szCs w:val="16"/>
                        </w:rPr>
                        <w:br/>
                        <w:t>чины</w:t>
                      </w:r>
                    </w:p>
                  </w:txbxContent>
                </v:textbox>
              </v:shape>
            </w:pict>
          </mc:Fallback>
        </mc:AlternateContent>
      </w:r>
      <w:r>
        <w:rPr>
          <w:noProof/>
          <w:sz w:val="24"/>
          <w:szCs w:val="24"/>
          <w:lang w:val="en-GB" w:eastAsia="en-GB"/>
        </w:rPr>
        <mc:AlternateContent>
          <mc:Choice Requires="wps">
            <w:drawing>
              <wp:anchor distT="0" distB="0" distL="114300" distR="114300" simplePos="0" relativeHeight="251649536" behindDoc="0" locked="0" layoutInCell="1" allowOverlap="1">
                <wp:simplePos x="0" y="0"/>
                <wp:positionH relativeFrom="column">
                  <wp:posOffset>3190240</wp:posOffset>
                </wp:positionH>
                <wp:positionV relativeFrom="paragraph">
                  <wp:posOffset>69215</wp:posOffset>
                </wp:positionV>
                <wp:extent cx="330200" cy="273050"/>
                <wp:effectExtent l="0" t="0" r="0" b="0"/>
                <wp:wrapNone/>
                <wp:docPr id="1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2068" w:rsidRPr="00BE076D" w:rsidRDefault="00102068" w:rsidP="00102068">
                            <w:pPr>
                              <w:spacing w:line="240" w:lineRule="auto"/>
                              <w:rPr>
                                <w:spacing w:val="0"/>
                                <w:w w:val="100"/>
                                <w:sz w:val="16"/>
                                <w:szCs w:val="16"/>
                              </w:rPr>
                            </w:pPr>
                            <w:r w:rsidRPr="00BE076D">
                              <w:rPr>
                                <w:spacing w:val="0"/>
                                <w:w w:val="100"/>
                                <w:sz w:val="16"/>
                                <w:szCs w:val="16"/>
                              </w:rPr>
                              <w:t>Жен-</w:t>
                            </w:r>
                            <w:r w:rsidRPr="00BE076D">
                              <w:rPr>
                                <w:spacing w:val="0"/>
                                <w:w w:val="100"/>
                                <w:sz w:val="16"/>
                                <w:szCs w:val="16"/>
                              </w:rPr>
                              <w:br/>
                              <w:t>щины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2" type="#_x0000_t202" style="position:absolute;left:0;text-align:left;margin-left:251.2pt;margin-top:5.45pt;width:26pt;height:2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" stroked="f">
                <v:textbox inset="0,0,0,0">
                  <w:txbxContent>
                    <w:p w:rsidR="00102068" w:rsidRPr="00BE076D" w:rsidRDefault="00102068" w:rsidP="00102068">
                      <w:pPr>
                        <w:spacing w:line="240" w:lineRule="auto"/>
                        <w:rPr>
                          <w:spacing w:val="0"/>
                          <w:w w:val="100"/>
                          <w:sz w:val="16"/>
                          <w:szCs w:val="16"/>
                        </w:rPr>
                      </w:pPr>
                      <w:r w:rsidRPr="00BE076D">
                        <w:rPr>
                          <w:spacing w:val="0"/>
                          <w:w w:val="100"/>
                          <w:sz w:val="16"/>
                          <w:szCs w:val="16"/>
                        </w:rPr>
                        <w:t>Жен-</w:t>
                      </w:r>
                      <w:r w:rsidRPr="00BE076D">
                        <w:rPr>
                          <w:spacing w:val="0"/>
                          <w:w w:val="100"/>
                          <w:sz w:val="16"/>
                          <w:szCs w:val="16"/>
                        </w:rPr>
                        <w:br/>
                        <w:t>щины</w:t>
                      </w:r>
                    </w:p>
                  </w:txbxContent>
                </v:textbox>
              </v:shape>
            </w:pict>
          </mc:Fallback>
        </mc:AlternateContent>
      </w:r>
      <w:r>
        <w:rPr>
          <w:noProof/>
          <w:sz w:val="24"/>
          <w:szCs w:val="24"/>
          <w:lang w:val="en-GB" w:eastAsia="en-GB"/>
        </w:rPr>
        <w:drawing>
          <wp:inline distT="0" distB="0" distL="0" distR="0">
            <wp:extent cx="5400040" cy="25552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40" cy="2555240"/>
                    </a:xfrm>
                    <a:prstGeom prst="rect">
                      <a:avLst/>
                    </a:prstGeom>
                    <a:solidFill>
                      <a:srgbClr val="FFFFFF"/>
                    </a:solidFill>
                    <a:ln>
                      <a:noFill/>
                    </a:ln>
                  </pic:spPr>
                </pic:pic>
              </a:graphicData>
            </a:graphic>
          </wp:inline>
        </w:drawing>
      </w:r>
    </w:p>
    <w:p w:rsidR="00102068" w:rsidRPr="00E730DD" w:rsidRDefault="00102068" w:rsidP="00102068">
      <w:pPr>
        <w:pStyle w:val="SingleTxtG"/>
        <w:spacing w:line="240" w:lineRule="auto"/>
        <w:rPr>
          <w:i/>
          <w:sz w:val="18"/>
          <w:szCs w:val="18"/>
        </w:rPr>
      </w:pPr>
      <w:r w:rsidRPr="00E730DD">
        <w:rPr>
          <w:b/>
          <w:i/>
          <w:sz w:val="18"/>
          <w:szCs w:val="18"/>
        </w:rPr>
        <w:t>Источник:</w:t>
      </w:r>
      <w:r w:rsidRPr="00E730DD">
        <w:rPr>
          <w:i/>
          <w:sz w:val="18"/>
          <w:szCs w:val="18"/>
        </w:rPr>
        <w:t xml:space="preserve"> Университет Исландии, 2012 год.</w:t>
      </w:r>
    </w:p>
    <w:p w:rsidR="00462B91" w:rsidRPr="00462B91" w:rsidRDefault="00462B91" w:rsidP="00462B91">
      <w:pPr>
        <w:pStyle w:val="SingleTxtG"/>
        <w:spacing w:after="0" w:line="120" w:lineRule="exact"/>
        <w:rPr>
          <w:sz w:val="10"/>
        </w:rPr>
      </w:pPr>
    </w:p>
    <w:p w:rsidR="00102068" w:rsidRDefault="00462B91" w:rsidP="00102068">
      <w:pPr>
        <w:pStyle w:val="SingleTxtG"/>
      </w:pPr>
      <w:r w:rsidRPr="004E3C3F">
        <w:tab/>
      </w:r>
      <w:r w:rsidR="00102068">
        <w:t>Женщины также численно превосходят мужчин среди лиц, получающих последипломное образование в Университете Исландии, составляя 70</w:t>
      </w:r>
      <w:r w:rsidR="004C298C">
        <w:t> процентов</w:t>
      </w:r>
      <w:r w:rsidR="00102068">
        <w:t xml:space="preserve"> учащихся магистратуры и 64</w:t>
      </w:r>
      <w:r w:rsidR="004C298C">
        <w:t> процента</w:t>
      </w:r>
      <w:r w:rsidR="00102068">
        <w:t xml:space="preserve"> учащихся докторантуры. </w:t>
      </w:r>
    </w:p>
    <w:p w:rsidR="00462B91" w:rsidRPr="00462B91" w:rsidRDefault="00462B91" w:rsidP="00462B91">
      <w:pPr>
        <w:pStyle w:val="SingleTxtG"/>
        <w:spacing w:after="0" w:line="120" w:lineRule="exact"/>
        <w:jc w:val="left"/>
        <w:rPr>
          <w:b/>
          <w:sz w:val="10"/>
        </w:rPr>
      </w:pPr>
    </w:p>
    <w:p w:rsidR="00462B91" w:rsidRPr="00462B91" w:rsidRDefault="00462B91" w:rsidP="00462B91">
      <w:pPr>
        <w:pStyle w:val="SingleTxtG"/>
        <w:spacing w:after="0" w:line="120" w:lineRule="exact"/>
        <w:jc w:val="left"/>
        <w:rPr>
          <w:b/>
          <w:sz w:val="10"/>
        </w:rPr>
      </w:pPr>
    </w:p>
    <w:p w:rsidR="00102068" w:rsidRPr="002A2AF8" w:rsidRDefault="00102068" w:rsidP="00102068">
      <w:pPr>
        <w:pStyle w:val="SingleTxtG"/>
        <w:jc w:val="left"/>
        <w:rPr>
          <w:b/>
        </w:rPr>
      </w:pPr>
      <w:r w:rsidRPr="002A2AF8">
        <w:rPr>
          <w:b/>
        </w:rPr>
        <w:t>Соотношение мужчин и</w:t>
      </w:r>
      <w:r w:rsidR="004E3C3F">
        <w:rPr>
          <w:b/>
        </w:rPr>
        <w:t> женщин</w:t>
      </w:r>
      <w:r w:rsidRPr="002A2AF8">
        <w:rPr>
          <w:b/>
        </w:rPr>
        <w:t>, получающих степень магистра в</w:t>
      </w:r>
      <w:r>
        <w:rPr>
          <w:b/>
        </w:rPr>
        <w:t> </w:t>
      </w:r>
      <w:r w:rsidRPr="002A2AF8">
        <w:rPr>
          <w:b/>
        </w:rPr>
        <w:t>Университете Исландии, 1989–2011 годы</w:t>
      </w:r>
    </w:p>
    <w:p w:rsidR="00102068" w:rsidRDefault="00363E39" w:rsidP="00102068">
      <w:pPr>
        <w:pStyle w:val="SingleTxtG"/>
        <w:rPr>
          <w:i/>
          <w:iCs/>
        </w:rPr>
      </w:pPr>
      <w:r>
        <w:rPr>
          <w:noProof/>
          <w:lang w:val="en-GB" w:eastAsia="en-GB"/>
        </w:rPr>
        <w:drawing>
          <wp:inline distT="0" distB="0" distL="0" distR="0">
            <wp:extent cx="5114925" cy="2597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14925" cy="2597150"/>
                    </a:xfrm>
                    <a:prstGeom prst="rect">
                      <a:avLst/>
                    </a:prstGeom>
                    <a:noFill/>
                  </pic:spPr>
                </pic:pic>
              </a:graphicData>
            </a:graphic>
          </wp:inline>
        </w:drawing>
      </w:r>
    </w:p>
    <w:p w:rsidR="00102068" w:rsidRPr="002A2AF8" w:rsidRDefault="00102068" w:rsidP="00102068">
      <w:pPr>
        <w:pStyle w:val="SingleTxtG"/>
        <w:rPr>
          <w:i/>
          <w:sz w:val="18"/>
          <w:szCs w:val="18"/>
        </w:rPr>
      </w:pPr>
      <w:r w:rsidRPr="002A2AF8">
        <w:rPr>
          <w:b/>
          <w:i/>
          <w:sz w:val="18"/>
          <w:szCs w:val="18"/>
        </w:rPr>
        <w:t>Источник:</w:t>
      </w:r>
      <w:r w:rsidRPr="002A2AF8">
        <w:rPr>
          <w:i/>
          <w:sz w:val="18"/>
          <w:szCs w:val="18"/>
        </w:rPr>
        <w:t xml:space="preserve"> Университет Исландии, 2012 год. </w:t>
      </w:r>
    </w:p>
    <w:p w:rsidR="00102068" w:rsidRPr="00F70CC5" w:rsidRDefault="00462B91" w:rsidP="00462B91">
      <w:pPr>
        <w:pStyle w:val="SingleTxtG"/>
        <w:rPr>
          <w:b/>
        </w:rPr>
      </w:pPr>
      <w:r>
        <w:br w:type="page"/>
      </w:r>
      <w:r w:rsidR="00102068" w:rsidRPr="00F70CC5">
        <w:rPr>
          <w:b/>
        </w:rPr>
        <w:t>Соотношение мужчин и</w:t>
      </w:r>
      <w:r w:rsidR="004E3C3F">
        <w:rPr>
          <w:b/>
        </w:rPr>
        <w:t> женщин</w:t>
      </w:r>
      <w:r w:rsidR="00102068" w:rsidRPr="00F70CC5">
        <w:rPr>
          <w:b/>
        </w:rPr>
        <w:t xml:space="preserve"> среди лиц, обучающихся в докторантуре Университета Исландии, 1989–2011 годы</w:t>
      </w:r>
    </w:p>
    <w:p w:rsidR="00102068" w:rsidRDefault="00363E39" w:rsidP="00102068">
      <w:pPr>
        <w:pStyle w:val="SingleTxtG"/>
        <w:rPr>
          <w:i/>
          <w:iCs/>
        </w:rPr>
      </w:pPr>
      <w:r>
        <w:rPr>
          <w:noProof/>
          <w:lang w:val="en-GB" w:eastAsia="en-GB"/>
        </w:rPr>
        <w:drawing>
          <wp:inline distT="0" distB="0" distL="0" distR="0">
            <wp:extent cx="5182235" cy="26581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82235" cy="2658110"/>
                    </a:xfrm>
                    <a:prstGeom prst="rect">
                      <a:avLst/>
                    </a:prstGeom>
                    <a:noFill/>
                  </pic:spPr>
                </pic:pic>
              </a:graphicData>
            </a:graphic>
          </wp:inline>
        </w:drawing>
      </w:r>
    </w:p>
    <w:p w:rsidR="00102068" w:rsidRPr="00F70CC5" w:rsidRDefault="00102068" w:rsidP="00102068">
      <w:pPr>
        <w:pStyle w:val="SingleTxtG"/>
        <w:rPr>
          <w:i/>
          <w:sz w:val="18"/>
          <w:szCs w:val="18"/>
        </w:rPr>
      </w:pPr>
      <w:r w:rsidRPr="00F70CC5">
        <w:rPr>
          <w:b/>
          <w:i/>
          <w:sz w:val="18"/>
          <w:szCs w:val="18"/>
        </w:rPr>
        <w:t>Источник:</w:t>
      </w:r>
      <w:r w:rsidRPr="00F70CC5">
        <w:rPr>
          <w:i/>
          <w:sz w:val="18"/>
          <w:szCs w:val="18"/>
        </w:rPr>
        <w:t xml:space="preserve"> Университет Исландии, 2012 год.</w:t>
      </w:r>
    </w:p>
    <w:p w:rsidR="00462B91" w:rsidRPr="00462B91" w:rsidRDefault="00462B91" w:rsidP="00462B91">
      <w:pPr>
        <w:pStyle w:val="SingleTxtG"/>
        <w:spacing w:after="0" w:line="120" w:lineRule="exact"/>
        <w:rPr>
          <w:sz w:val="10"/>
        </w:rPr>
      </w:pPr>
    </w:p>
    <w:p w:rsidR="00102068" w:rsidRDefault="00462B91" w:rsidP="00102068">
      <w:pPr>
        <w:pStyle w:val="SingleTxtG"/>
      </w:pPr>
      <w:r w:rsidRPr="004E3C3F">
        <w:tab/>
      </w:r>
      <w:r w:rsidR="00102068">
        <w:t xml:space="preserve">Женщины составляют большинство студентов каждого факультета данного университета, за исключением факультета технических и естественных наук, где их </w:t>
      </w:r>
      <w:r w:rsidR="00102068" w:rsidRPr="00F70CC5">
        <w:t>доля</w:t>
      </w:r>
      <w:r w:rsidR="00102068">
        <w:t xml:space="preserve"> равна 40</w:t>
      </w:r>
      <w:r w:rsidR="004C298C">
        <w:t> процента</w:t>
      </w:r>
      <w:r w:rsidR="00102068">
        <w:t>м.</w:t>
      </w:r>
    </w:p>
    <w:p w:rsidR="00462B91" w:rsidRPr="00462B91" w:rsidRDefault="00462B91" w:rsidP="00462B91">
      <w:pPr>
        <w:pStyle w:val="SingleTxtG"/>
        <w:spacing w:after="0" w:line="120" w:lineRule="exact"/>
        <w:jc w:val="left"/>
        <w:rPr>
          <w:b/>
          <w:sz w:val="10"/>
        </w:rPr>
      </w:pPr>
    </w:p>
    <w:p w:rsidR="00462B91" w:rsidRPr="00462B91" w:rsidRDefault="00462B91" w:rsidP="00462B91">
      <w:pPr>
        <w:pStyle w:val="SingleTxtG"/>
        <w:spacing w:after="0" w:line="120" w:lineRule="exact"/>
        <w:jc w:val="left"/>
        <w:rPr>
          <w:b/>
          <w:sz w:val="10"/>
        </w:rPr>
      </w:pPr>
    </w:p>
    <w:p w:rsidR="00102068" w:rsidRPr="00F70CC5" w:rsidRDefault="00102068" w:rsidP="00102068">
      <w:pPr>
        <w:pStyle w:val="SingleTxtG"/>
        <w:jc w:val="left"/>
        <w:rPr>
          <w:b/>
        </w:rPr>
      </w:pPr>
      <w:r w:rsidRPr="00F70CC5">
        <w:rPr>
          <w:b/>
        </w:rPr>
        <w:t>Соотношение мужчин и</w:t>
      </w:r>
      <w:r w:rsidR="004E3C3F">
        <w:rPr>
          <w:b/>
        </w:rPr>
        <w:t> женщин</w:t>
      </w:r>
      <w:r w:rsidRPr="00F70CC5">
        <w:rPr>
          <w:b/>
        </w:rPr>
        <w:t xml:space="preserve"> среди студентов Университета Исландии, 1989–2011 годы</w:t>
      </w:r>
    </w:p>
    <w:p w:rsidR="00102068" w:rsidRDefault="00363E39" w:rsidP="00102068">
      <w:pPr>
        <w:pStyle w:val="SingleTxtG"/>
        <w:ind w:left="907" w:right="0"/>
        <w:jc w:val="left"/>
        <w:rPr>
          <w:i/>
          <w:iCs/>
        </w:rPr>
      </w:pPr>
      <w:r>
        <w:rPr>
          <w:noProof/>
          <w:lang w:val="en-GB" w:eastAsia="en-GB"/>
        </w:rPr>
        <w:drawing>
          <wp:inline distT="0" distB="0" distL="0" distR="0">
            <wp:extent cx="5590540" cy="244221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0540" cy="2442210"/>
                    </a:xfrm>
                    <a:prstGeom prst="rect">
                      <a:avLst/>
                    </a:prstGeom>
                    <a:noFill/>
                  </pic:spPr>
                </pic:pic>
              </a:graphicData>
            </a:graphic>
          </wp:inline>
        </w:drawing>
      </w:r>
    </w:p>
    <w:p w:rsidR="00102068" w:rsidRPr="006B2350" w:rsidRDefault="00102068" w:rsidP="00102068">
      <w:pPr>
        <w:pStyle w:val="SingleTxtG"/>
        <w:rPr>
          <w:i/>
          <w:sz w:val="18"/>
          <w:szCs w:val="18"/>
        </w:rPr>
      </w:pPr>
      <w:r w:rsidRPr="006B2350">
        <w:rPr>
          <w:b/>
          <w:i/>
          <w:sz w:val="18"/>
          <w:szCs w:val="18"/>
        </w:rPr>
        <w:t>Источник:</w:t>
      </w:r>
      <w:r w:rsidRPr="006B2350">
        <w:rPr>
          <w:i/>
          <w:sz w:val="18"/>
          <w:szCs w:val="18"/>
        </w:rPr>
        <w:t xml:space="preserve"> Университет Исландии, 2012 год. </w:t>
      </w:r>
    </w:p>
    <w:p w:rsidR="00102068" w:rsidRPr="004E3C3F" w:rsidRDefault="00462B91" w:rsidP="00102068">
      <w:pPr>
        <w:pStyle w:val="SingleTxtG"/>
      </w:pPr>
      <w:r>
        <w:br w:type="page"/>
      </w:r>
      <w:r w:rsidRPr="00462B91">
        <w:tab/>
      </w:r>
      <w:r w:rsidR="00102068">
        <w:t>Начиная с 1980</w:t>
      </w:r>
      <w:r w:rsidR="004C298C">
        <w:t> года</w:t>
      </w:r>
      <w:r w:rsidR="004E3C3F">
        <w:t> женщин</w:t>
      </w:r>
      <w:r w:rsidR="00102068">
        <w:t>ы составляли более половины выпускников университетов. В 1995–1998</w:t>
      </w:r>
      <w:r w:rsidR="004C298C">
        <w:t> года</w:t>
      </w:r>
      <w:r w:rsidR="00102068">
        <w:t>х их доля среди выпускников педагогических специальностей достигала 80–90</w:t>
      </w:r>
      <w:r w:rsidR="004C298C">
        <w:t> процентов</w:t>
      </w:r>
      <w:r w:rsidR="00102068">
        <w:t>. Это пока никак не отразилось на доле</w:t>
      </w:r>
      <w:r w:rsidR="004E3C3F">
        <w:t> женщин</w:t>
      </w:r>
      <w:r w:rsidR="00102068">
        <w:t>, занимающих руководящие должности в системе школьного образования. Тем не менее можно отметить некоторое увеличение числа</w:t>
      </w:r>
      <w:r w:rsidR="004E3C3F">
        <w:t> женщин</w:t>
      </w:r>
      <w:r w:rsidR="00102068">
        <w:t xml:space="preserve">, работающих директорами и/или заместителями директоров средних школ, дающих обязательное образование, и средних школ </w:t>
      </w:r>
      <w:r w:rsidR="00102068" w:rsidRPr="006B2350">
        <w:t>второй</w:t>
      </w:r>
      <w:r w:rsidR="00102068">
        <w:t xml:space="preserve"> ступени. </w:t>
      </w:r>
    </w:p>
    <w:p w:rsidR="00462B91" w:rsidRPr="004E3C3F" w:rsidRDefault="00462B91" w:rsidP="00462B91">
      <w:pPr>
        <w:pStyle w:val="SingleTxtG"/>
        <w:spacing w:after="0" w:line="120" w:lineRule="exact"/>
        <w:rPr>
          <w:sz w:val="10"/>
        </w:rPr>
      </w:pPr>
    </w:p>
    <w:p w:rsidR="00462B91" w:rsidRPr="004E3C3F" w:rsidRDefault="00462B91" w:rsidP="00462B91">
      <w:pPr>
        <w:pStyle w:val="SingleTxtG"/>
        <w:spacing w:after="0" w:line="120" w:lineRule="exact"/>
        <w:rPr>
          <w:b/>
          <w:sz w:val="10"/>
        </w:rPr>
      </w:pPr>
    </w:p>
    <w:p w:rsidR="00102068" w:rsidRPr="004E3C3F" w:rsidRDefault="00462B91" w:rsidP="00462B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Наука</w:t>
      </w:r>
    </w:p>
    <w:p w:rsidR="00462B91" w:rsidRPr="004E3C3F" w:rsidRDefault="00462B91" w:rsidP="00462B91">
      <w:pPr>
        <w:pStyle w:val="SingleTxt"/>
        <w:spacing w:after="0" w:line="120" w:lineRule="exact"/>
        <w:rPr>
          <w:sz w:val="10"/>
        </w:rPr>
      </w:pPr>
    </w:p>
    <w:p w:rsidR="00462B91" w:rsidRPr="004E3C3F" w:rsidRDefault="00462B91" w:rsidP="00462B91">
      <w:pPr>
        <w:pStyle w:val="SingleTxt"/>
        <w:spacing w:after="0" w:line="120" w:lineRule="exact"/>
        <w:rPr>
          <w:sz w:val="10"/>
        </w:rPr>
      </w:pPr>
    </w:p>
    <w:p w:rsidR="00102068" w:rsidRDefault="00462B91" w:rsidP="00102068">
      <w:pPr>
        <w:pStyle w:val="SingleTxtG"/>
      </w:pPr>
      <w:r w:rsidRPr="004E3C3F">
        <w:tab/>
      </w:r>
      <w:r w:rsidR="00102068">
        <w:t xml:space="preserve">Фонды, действующие под руководством Министерства образования, науки и культуры и в соответствии с законами о поддерживаемых правительством научных </w:t>
      </w:r>
      <w:r w:rsidR="00102068" w:rsidRPr="006B2350">
        <w:t>исследованиях</w:t>
      </w:r>
      <w:r w:rsidR="00102068">
        <w:t xml:space="preserve">, регулярно собирают информацию о подателях заявлений и получателях субсидий в разбивке по полу с целью оценить поддержку, оказываемую ими представителям каждого пола, и предотвратить </w:t>
      </w:r>
      <w:r w:rsidR="00102068" w:rsidRPr="00E0361F">
        <w:t>гендерную</w:t>
      </w:r>
      <w:r w:rsidR="00102068">
        <w:t xml:space="preserve"> дискриминацию. Наряду с этим осуществляется сбор информации о мнениях, которые играют свою роль при назначении комитетов по предоставлению субсидий. Конечная цель данного проекта заключается в проверке предоставления равного объема финансирования на реализацию проектов, осуществляемых мужчинами и</w:t>
      </w:r>
      <w:r w:rsidR="004E3C3F">
        <w:t> женщин</w:t>
      </w:r>
      <w:r w:rsidR="00102068">
        <w:t>ами.</w:t>
      </w:r>
    </w:p>
    <w:p w:rsidR="00102068" w:rsidRDefault="00462B91" w:rsidP="00102068">
      <w:pPr>
        <w:pStyle w:val="SingleTxtG"/>
      </w:pPr>
      <w:r w:rsidRPr="004E3C3F">
        <w:tab/>
      </w:r>
      <w:r w:rsidR="00102068" w:rsidRPr="006B2350">
        <w:t>Центр</w:t>
      </w:r>
      <w:r w:rsidR="00102068">
        <w:t xml:space="preserve"> передового опыта (EDDA) представляет собой форум для проведения современных критических исследований в области социологии, политики и культуры, в рамках которых особое внимание уделяется равенству и многообразию. Центр объявил своей первоочередной задачей проведение мультидисциплинарных исследований и создал широкую сеть контактов с университетами и научно-исследовательскими институтами в Исландии и за рубежом. Он также занимался организацией конференций и других мероприятий и стремился повлиять на процесс разработки государственной политики. В последние три</w:t>
      </w:r>
      <w:r w:rsidR="004C298C">
        <w:t> года</w:t>
      </w:r>
      <w:r w:rsidR="00102068">
        <w:t xml:space="preserve"> Центр поддержал множество исследовательских проектов по вопросам гендерного равенства и организовал более 40 мероприятий, включая конференции, семинары и лекции, в приоритетных областях своей деятельности.</w:t>
      </w:r>
    </w:p>
    <w:p w:rsidR="00102068" w:rsidRDefault="00462B91" w:rsidP="00102068">
      <w:pPr>
        <w:pStyle w:val="SingleTxtG"/>
      </w:pPr>
      <w:r w:rsidRPr="004E3C3F">
        <w:tab/>
      </w:r>
      <w:r w:rsidR="00102068">
        <w:t>Центр по изучению многообразия и проведению гендерных исследований (MARK) служит форумом для проведения анализа и повышения осведомленности в отношении прав</w:t>
      </w:r>
      <w:r w:rsidR="004C298C">
        <w:t> человек</w:t>
      </w:r>
      <w:r w:rsidR="00102068">
        <w:t>а, дискриминации, равенства, гендерных исследований и многообразия на факультете общественных наук Университета Исландии. Центр MARK был создан в 2011</w:t>
      </w:r>
      <w:r w:rsidR="004C298C">
        <w:t> году</w:t>
      </w:r>
      <w:r w:rsidR="00102068">
        <w:t xml:space="preserve"> в целях проведения и поощрения исследований в указанных областях, установления контактов с научными работниками и аналитическими центрами в Исландии и за рубежом, обучения студентов методам проведения исследований, налаживания более тесных связей между обучением и исследовательской деятельностью, предоставления консультаций и услуг, касающихся организации исследований, и повышения осведомленности об изучаемых областях. В этом центре действует комитет из пяти</w:t>
      </w:r>
      <w:r w:rsidR="004C298C">
        <w:t> человек</w:t>
      </w:r>
      <w:r w:rsidR="00102068">
        <w:t>, который сотрудничает с консультативным советом, состоящим из заинтересованных лиц и участников деятельности в сферах интересов центра, которые предоставляют правлению консультации и поддержку.</w:t>
      </w:r>
    </w:p>
    <w:p w:rsidR="00102068" w:rsidRDefault="00462B91" w:rsidP="00102068">
      <w:pPr>
        <w:pStyle w:val="SingleTxtG"/>
      </w:pPr>
      <w:r w:rsidRPr="004E3C3F">
        <w:tab/>
      </w:r>
      <w:r w:rsidR="00102068" w:rsidRPr="006B2350">
        <w:t>Центр</w:t>
      </w:r>
      <w:r w:rsidR="00102068">
        <w:t xml:space="preserve"> исследований по проблемам</w:t>
      </w:r>
      <w:r w:rsidR="004E3C3F">
        <w:t> женщин</w:t>
      </w:r>
      <w:r w:rsidR="00102068">
        <w:t xml:space="preserve"> и гендерным проблемам при Университете Исландии (RIKK) представляет собой многопрофильное учреждение, действующее с 1991</w:t>
      </w:r>
      <w:r w:rsidR="004C298C">
        <w:t> года</w:t>
      </w:r>
      <w:r w:rsidR="00102068">
        <w:t xml:space="preserve"> и занимающее ведущие позиции в сфере организации исследований по проблемам</w:t>
      </w:r>
      <w:r w:rsidR="004E3C3F">
        <w:t> женщин</w:t>
      </w:r>
      <w:r w:rsidR="00102068">
        <w:t>, гендерным проблемам и проблемам обеспечения равенства в Исландии. Его главная цель состоит в содействии проведению гендерных исследований и обнародовании и распространении их результатов. Для достижения этой цели им проводятся курсы, лекции и конференции и выпускаются публикации. Центр RIKK предназначен для предоставления информации и консультаций в отношении исследований по проблемам</w:t>
      </w:r>
      <w:r w:rsidR="004E3C3F">
        <w:t> женщин</w:t>
      </w:r>
      <w:r w:rsidR="00102068">
        <w:t xml:space="preserve"> и гендерным проблемам, развития контактов с исследовательскими организациями в Исландии и за рубежом и поддержки и поощрения исследований по проблемам</w:t>
      </w:r>
      <w:r w:rsidR="004E3C3F">
        <w:t> женщин</w:t>
      </w:r>
      <w:r w:rsidR="00102068">
        <w:t xml:space="preserve"> на разных кафедрах и факультетах Университета Исландии.</w:t>
      </w:r>
    </w:p>
    <w:p w:rsidR="00102068" w:rsidRPr="004E3C3F" w:rsidRDefault="00462B91" w:rsidP="00102068">
      <w:pPr>
        <w:pStyle w:val="SingleTxtG"/>
      </w:pPr>
      <w:r w:rsidRPr="004E3C3F">
        <w:tab/>
      </w:r>
      <w:r w:rsidR="00102068" w:rsidRPr="006B2350">
        <w:t>С</w:t>
      </w:r>
      <w:r w:rsidR="00102068">
        <w:t xml:space="preserve"> дополнительной информацией можно ознакомиться в предыдущих докладах. </w:t>
      </w:r>
    </w:p>
    <w:p w:rsidR="00462B91" w:rsidRPr="004E3C3F" w:rsidRDefault="00462B91" w:rsidP="00462B91">
      <w:pPr>
        <w:pStyle w:val="SingleTxtG"/>
        <w:spacing w:after="0" w:line="120" w:lineRule="exact"/>
        <w:rPr>
          <w:sz w:val="10"/>
        </w:rPr>
      </w:pPr>
    </w:p>
    <w:p w:rsidR="00462B91" w:rsidRPr="004E3C3F" w:rsidRDefault="00462B91" w:rsidP="00462B91">
      <w:pPr>
        <w:pStyle w:val="SingleTxtG"/>
        <w:spacing w:after="0" w:line="120" w:lineRule="exact"/>
        <w:rPr>
          <w:b/>
          <w:sz w:val="10"/>
        </w:rPr>
      </w:pPr>
    </w:p>
    <w:p w:rsidR="00102068" w:rsidRDefault="00462B91" w:rsidP="00462B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C3F">
        <w:tab/>
      </w:r>
      <w:r w:rsidRPr="004E3C3F">
        <w:tab/>
      </w:r>
      <w:r w:rsidR="00102068">
        <w:t xml:space="preserve">Подпункт </w:t>
      </w:r>
      <w:r w:rsidRPr="004E3C3F">
        <w:t>(</w:t>
      </w:r>
      <w:r w:rsidR="00102068">
        <w:t>d)</w:t>
      </w:r>
    </w:p>
    <w:p w:rsidR="00462B91" w:rsidRPr="00462B91" w:rsidRDefault="00462B91" w:rsidP="00462B91">
      <w:pPr>
        <w:pStyle w:val="SingleTxtG"/>
        <w:spacing w:after="0" w:line="120" w:lineRule="exact"/>
        <w:rPr>
          <w:sz w:val="10"/>
        </w:rPr>
      </w:pPr>
    </w:p>
    <w:p w:rsidR="00462B91" w:rsidRPr="00462B91" w:rsidRDefault="00462B91" w:rsidP="00462B91">
      <w:pPr>
        <w:pStyle w:val="SingleTxtG"/>
        <w:spacing w:after="0" w:line="120" w:lineRule="exact"/>
        <w:rPr>
          <w:sz w:val="10"/>
        </w:rPr>
      </w:pPr>
    </w:p>
    <w:p w:rsidR="00102068" w:rsidRPr="004E3C3F" w:rsidRDefault="00462B91" w:rsidP="00102068">
      <w:pPr>
        <w:pStyle w:val="SingleTxtG"/>
      </w:pPr>
      <w:r w:rsidRPr="00462B91">
        <w:tab/>
      </w:r>
      <w:r w:rsidR="00102068">
        <w:t>Соответствующая информация представлена в предыдущих докладах правительства Исландии.</w:t>
      </w:r>
    </w:p>
    <w:p w:rsidR="00462B91" w:rsidRPr="004E3C3F" w:rsidRDefault="00462B91" w:rsidP="00462B91">
      <w:pPr>
        <w:pStyle w:val="SingleTxt"/>
        <w:spacing w:after="0" w:line="120" w:lineRule="exact"/>
        <w:rPr>
          <w:sz w:val="10"/>
        </w:rPr>
      </w:pPr>
    </w:p>
    <w:p w:rsidR="00462B91" w:rsidRPr="004E3C3F" w:rsidRDefault="00462B91" w:rsidP="00462B91">
      <w:pPr>
        <w:pStyle w:val="SingleTxt"/>
        <w:spacing w:after="0" w:line="120" w:lineRule="exact"/>
        <w:rPr>
          <w:sz w:val="10"/>
        </w:rPr>
      </w:pPr>
    </w:p>
    <w:p w:rsidR="00102068" w:rsidRPr="004E3C3F" w:rsidRDefault="00462B91" w:rsidP="00462B9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E3C3F">
        <w:tab/>
      </w:r>
      <w:r w:rsidRPr="004E3C3F">
        <w:tab/>
      </w:r>
      <w:r w:rsidR="00102068">
        <w:t xml:space="preserve">Подпункт </w:t>
      </w:r>
      <w:r w:rsidRPr="004E3C3F">
        <w:t>(</w:t>
      </w:r>
      <w:r w:rsidR="00102068">
        <w:t>e)</w:t>
      </w:r>
    </w:p>
    <w:p w:rsidR="00462B91" w:rsidRPr="004E3C3F" w:rsidRDefault="00462B91" w:rsidP="00462B91">
      <w:pPr>
        <w:pStyle w:val="SingleTxt"/>
        <w:spacing w:after="0" w:line="120" w:lineRule="exact"/>
        <w:rPr>
          <w:sz w:val="10"/>
        </w:rPr>
      </w:pPr>
    </w:p>
    <w:p w:rsidR="00462B91" w:rsidRPr="004E3C3F" w:rsidRDefault="00462B91" w:rsidP="00462B91">
      <w:pPr>
        <w:pStyle w:val="SingleTxt"/>
        <w:spacing w:after="0" w:line="120" w:lineRule="exact"/>
        <w:rPr>
          <w:sz w:val="10"/>
        </w:rPr>
      </w:pPr>
    </w:p>
    <w:p w:rsidR="00102068" w:rsidRDefault="00462B91" w:rsidP="00102068">
      <w:pPr>
        <w:pStyle w:val="SingleTxtG"/>
      </w:pPr>
      <w:r w:rsidRPr="004E3C3F">
        <w:tab/>
      </w:r>
      <w:r w:rsidR="00102068">
        <w:t xml:space="preserve">На рынке труда предлагаются программы обучения, повышения квалификации и переподготовки различных видов, причем в последние годы выбор этих курсов </w:t>
      </w:r>
      <w:r w:rsidR="00102068" w:rsidRPr="006B2350">
        <w:t>значительно</w:t>
      </w:r>
      <w:r w:rsidR="00102068">
        <w:t xml:space="preserve"> расширился, а их качество повысилось. </w:t>
      </w:r>
    </w:p>
    <w:p w:rsidR="00102068" w:rsidRDefault="004E3C3F" w:rsidP="00102068">
      <w:pPr>
        <w:pStyle w:val="SingleTxtG"/>
      </w:pPr>
      <w:r w:rsidRPr="004E3C3F">
        <w:tab/>
      </w:r>
      <w:r w:rsidR="00102068" w:rsidRPr="006B2350">
        <w:t>В</w:t>
      </w:r>
      <w:r w:rsidR="00102068">
        <w:t xml:space="preserve"> 2005</w:t>
      </w:r>
      <w:r w:rsidR="004C298C">
        <w:t> году</w:t>
      </w:r>
      <w:r w:rsidR="00102068">
        <w:t xml:space="preserve"> был учрежден специальный фонд научных исследований</w:t>
      </w:r>
      <w:r>
        <w:t> —</w:t>
      </w:r>
      <w:r w:rsidR="00102068">
        <w:t xml:space="preserve"> Фонд гендерного равенства. Деятельность данного фонда направлена на создание стимулов для проведения исследований по гендерным вопросам и укрепление гендерного равенства. Особое внимание уделяется проектам, осуществляемым молодыми учеными, и проектам на соискание докторской степени. Первый грант данного фонда был предоставлен в 2006</w:t>
      </w:r>
      <w:r w:rsidR="004C298C">
        <w:t> году</w:t>
      </w:r>
      <w:r w:rsidR="00102068">
        <w:t>. До того момента, когда экономический коллапс 2008</w:t>
      </w:r>
      <w:r w:rsidR="004C298C">
        <w:t> года</w:t>
      </w:r>
      <w:r w:rsidR="00102068">
        <w:t xml:space="preserve"> заставил приостановить реализацию данного проекта, были выданы еще два гранта. В 2012</w:t>
      </w:r>
      <w:r w:rsidR="004C298C">
        <w:t> году</w:t>
      </w:r>
      <w:r w:rsidR="00102068">
        <w:t xml:space="preserve"> выдача грантов возобновилась. После обращения в фонд 13</w:t>
      </w:r>
      <w:r w:rsidR="004C298C">
        <w:t> человек</w:t>
      </w:r>
      <w:r w:rsidR="00102068">
        <w:t xml:space="preserve"> были предоставлены гранты на реализацию 5 проектов. Информацию об исследованиях и проектах, субсидируемых данным фондом, необходимо сделать доступной в онлайновом режиме, с тем чтобы повысить их полезность для борьбы за установление равенства между мужчинами и</w:t>
      </w:r>
      <w:r>
        <w:t> женщин</w:t>
      </w:r>
      <w:r w:rsidR="00102068">
        <w:t>ами.</w:t>
      </w:r>
    </w:p>
    <w:p w:rsidR="00102068" w:rsidRDefault="004E3C3F" w:rsidP="00102068">
      <w:pPr>
        <w:pStyle w:val="SingleTxtG"/>
      </w:pPr>
      <w:r w:rsidRPr="004E3C3F">
        <w:tab/>
      </w:r>
      <w:r w:rsidR="00102068" w:rsidRPr="006B2350">
        <w:t>Фонд</w:t>
      </w:r>
      <w:r w:rsidR="00102068">
        <w:t xml:space="preserve"> проектов по обеспечению гендерного равенства уже упоминался в тексте настоящего доклада в связи с правительственным планом действий. Этот фонд предоставил 20 млн. исландских крон на реализацию различных проектов, выделив 4 млн. исландских крон Министерству социального обеспечения на финансирование должности руководителя проекта по установлению предусмотренной планом действий равной оплаты труда для мужчин и</w:t>
      </w:r>
      <w:r>
        <w:t> женщин</w:t>
      </w:r>
      <w:r w:rsidR="00102068">
        <w:t>, 2 млн. исландских крон Министерству образования, науки и культуры на поддержку обучения по вопросам гендерного равенства в начальных школах, 1,5 млн. исландских крон на создание Европейского центра технических знаний для</w:t>
      </w:r>
      <w:r>
        <w:t> женщин</w:t>
      </w:r>
      <w:r w:rsidR="00102068">
        <w:t xml:space="preserve"> при Университете Рейкьявика и т. д. </w:t>
      </w:r>
    </w:p>
    <w:p w:rsidR="00102068" w:rsidRDefault="004E3C3F" w:rsidP="00102068">
      <w:pPr>
        <w:pStyle w:val="SingleTxtG"/>
      </w:pPr>
      <w:r>
        <w:tab/>
      </w:r>
      <w:r w:rsidR="00102068" w:rsidRPr="006B2350">
        <w:t>Соответствующая</w:t>
      </w:r>
      <w:r w:rsidR="00102068">
        <w:t xml:space="preserve"> информация представлена в предыдущих докладах правительства Исландии.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 xml:space="preserve">Подпункт </w:t>
      </w:r>
      <w:r>
        <w:t>(</w:t>
      </w:r>
      <w:r w:rsidR="00102068">
        <w:t>f)</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 xml:space="preserve">В исландском обществе отсев девочек не считается серьезной проблемой, поскольку девочки гораздо реже, чем мальчики, бросают учебу в школе. При этом отсев мальчиков </w:t>
      </w:r>
      <w:r w:rsidR="00102068" w:rsidRPr="006B2350">
        <w:t>вызывает</w:t>
      </w:r>
      <w:r w:rsidR="00102068">
        <w:t xml:space="preserve"> растущую обеспокоенность. В 2014</w:t>
      </w:r>
      <w:r w:rsidR="004C298C">
        <w:t> году</w:t>
      </w:r>
      <w:r w:rsidR="00102068">
        <w:t xml:space="preserve"> Министерство образования, науки и культуры определило две главных цели реформы образовательной системы: формирование надлежащих навыков чтения у 90 процентов учащихся начальных школ и увеличение доли учащихся, завершающих обучение в средней школе, до 60</w:t>
      </w:r>
      <w:r w:rsidR="004C298C">
        <w:t> процентов</w:t>
      </w:r>
      <w:r w:rsidR="00102068">
        <w:t>. В целях борьбы с отсевом планируется перестроить цикл обучения в средней школе, уменьшив его продолжительность. С дополнительной информацией можно ознакомиться в предыдущих докладах.</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 xml:space="preserve">Подпункт </w:t>
      </w:r>
      <w:r>
        <w:t>(</w:t>
      </w:r>
      <w:r w:rsidR="00102068">
        <w:t>g)</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2005</w:t>
      </w:r>
      <w:r w:rsidR="004C298C">
        <w:t> году</w:t>
      </w:r>
      <w:r w:rsidR="00102068">
        <w:t xml:space="preserve"> Министерство образования, науки и культуры оказало Центру по вопросам равенства мужчин и</w:t>
      </w:r>
      <w:r>
        <w:t> женщин</w:t>
      </w:r>
      <w:r w:rsidR="00102068">
        <w:t xml:space="preserve"> поддержку в проведении исследования стереотипов в спорте и средствах массовой информации (</w:t>
      </w:r>
      <w:r w:rsidR="004C298C">
        <w:t>«</w:t>
      </w:r>
      <w:r w:rsidR="00102068">
        <w:t xml:space="preserve">Спорт, средства массовой </w:t>
      </w:r>
      <w:r w:rsidR="00102068" w:rsidRPr="006B2350">
        <w:t>информации</w:t>
      </w:r>
      <w:r w:rsidR="00102068">
        <w:t xml:space="preserve"> и стереотипы</w:t>
      </w:r>
      <w:r w:rsidR="004C298C">
        <w:t>»</w:t>
      </w:r>
      <w:r w:rsidR="00102068">
        <w:t>). Это исследование являлось частью европейского проекта и проводилось под руководством Центра. В число стран</w:t>
      </w:r>
      <w:r>
        <w:t xml:space="preserve"> —  </w:t>
      </w:r>
      <w:r w:rsidR="00102068">
        <w:t>участниц проекта также входили Австрия, Италия, Литва и Норвегия. Один из выводов, сделанных по результатам исследования, заключался в том, что</w:t>
      </w:r>
      <w:r>
        <w:t> женщин</w:t>
      </w:r>
      <w:r w:rsidR="00102068">
        <w:t>ы крайне мало представлены в спортивных репортажах средств массовой информации: 87,14 процента новостей спорта были посвящены мужчинам, в то время как</w:t>
      </w:r>
      <w:r>
        <w:t> женщин</w:t>
      </w:r>
      <w:r w:rsidR="00102068">
        <w:t>ы были в центре внимания лишь в 9,7</w:t>
      </w:r>
      <w:r w:rsidR="004C298C">
        <w:t> процента</w:t>
      </w:r>
      <w:r w:rsidR="00102068">
        <w:t xml:space="preserve"> случаев. Освещение в средствах массовой информации участия</w:t>
      </w:r>
      <w:r>
        <w:t> женщин</w:t>
      </w:r>
      <w:r w:rsidR="00102068">
        <w:t xml:space="preserve"> в спортивных мероприятиях указывает на то, что оно является менее важным, нежели участие в них мужчин. Число</w:t>
      </w:r>
      <w:r>
        <w:t> женщин</w:t>
      </w:r>
      <w:r w:rsidR="00102068">
        <w:t xml:space="preserve">, работающих спортивными обозревателями, весьма невелико. </w:t>
      </w:r>
    </w:p>
    <w:p w:rsidR="00102068" w:rsidRDefault="004E3C3F" w:rsidP="00102068">
      <w:pPr>
        <w:pStyle w:val="SingleTxtG"/>
        <w:rPr>
          <w:bCs/>
        </w:rPr>
      </w:pPr>
      <w:r>
        <w:tab/>
      </w:r>
      <w:r w:rsidR="00102068" w:rsidRPr="006B2350">
        <w:t>Параллельно</w:t>
      </w:r>
      <w:r w:rsidR="00102068">
        <w:t xml:space="preserve"> с этим была предпринята попытка установить равенство между мужчинами и</w:t>
      </w:r>
      <w:r>
        <w:t> женщин</w:t>
      </w:r>
      <w:r w:rsidR="00102068">
        <w:t>ами в рамках спортивного движения, которая, в частности, предусматривала уделение особого внимания субсидиям на цели реализации проектов, касающихся участия девочек в спортивных мероприятиях. Созданный министерством Фонд развития спорта предоставил субсидию на поддержку баскетбола для девушек. Многие ассоциации в рамках спортивного движения приступили к разработке планов действий по искоренению гендерной дискриминации. В рамках Национальной олимпийской и спортивной ассоциации Исландии был учрежден специальный фонд для поддержки спортсменок, добившихся высоких результатов.</w:t>
      </w:r>
      <w:r w:rsidR="00102068">
        <w:rPr>
          <w:bCs/>
        </w:rPr>
        <w:t xml:space="preserve"> Члены национальной ассоциации могут ходатайствовать о признании их организации образцовой ассоциацией в случае их соответствия определенным стандартам, т. е. нормам, касающимся обеспечения гендерного равенства. В 2008</w:t>
      </w:r>
      <w:r w:rsidR="004C298C">
        <w:rPr>
          <w:bCs/>
        </w:rPr>
        <w:t> году</w:t>
      </w:r>
      <w:r w:rsidR="00102068">
        <w:rPr>
          <w:bCs/>
        </w:rPr>
        <w:t xml:space="preserve"> образцовыми были признаны восемнадцать ассоциаций.</w:t>
      </w:r>
    </w:p>
    <w:p w:rsidR="004E3C3F" w:rsidRPr="004E3C3F" w:rsidRDefault="004E3C3F" w:rsidP="004E3C3F">
      <w:pPr>
        <w:pStyle w:val="SingleTxtG"/>
        <w:spacing w:after="0" w:line="120" w:lineRule="exact"/>
        <w:rPr>
          <w:bCs/>
          <w:sz w:val="10"/>
        </w:rPr>
      </w:pPr>
    </w:p>
    <w:p w:rsidR="004E3C3F" w:rsidRPr="004E3C3F" w:rsidRDefault="004E3C3F" w:rsidP="004E3C3F">
      <w:pPr>
        <w:pStyle w:val="SingleTxtG"/>
        <w:spacing w:after="0" w:line="120" w:lineRule="exact"/>
        <w:rPr>
          <w:b/>
          <w:bCs/>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 xml:space="preserve">Подпункт </w:t>
      </w:r>
      <w:r>
        <w:t>(</w:t>
      </w:r>
      <w:r w:rsidR="00102068">
        <w:t>h)</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2010</w:t>
      </w:r>
      <w:r w:rsidR="004C298C">
        <w:t> году</w:t>
      </w:r>
      <w:r w:rsidR="00102068">
        <w:t xml:space="preserve"> Министерство образования, науки и культуры издало справочное пособие (</w:t>
      </w:r>
      <w:r w:rsidR="00102068">
        <w:rPr>
          <w:i/>
        </w:rPr>
        <w:t>Kynungabók</w:t>
      </w:r>
      <w:r w:rsidR="00102068">
        <w:t xml:space="preserve">) по вопросам, касающимся половой принадлежности и </w:t>
      </w:r>
      <w:r w:rsidR="00102068" w:rsidRPr="006B2350">
        <w:t>гендерного</w:t>
      </w:r>
      <w:r w:rsidR="00102068">
        <w:t xml:space="preserve"> равенства. Публикация данного пособия стала началом осуществления новой стратегии в сфере образования, согласно которой основополагающими принципами всех проектов, ориентированных на школы, должны быть равенство, демократия, грамотность, устойчивое развитие, творчество и здоровье. Цель его издания заключалась в том, чтобы дать реальное представление о воздействии гендерного фактора на положение в обществе и побудить молодых граждан к анализу различных аспектов формирования гендерной идентичности и влияния, которое оно оказывает на жизнь молодежи. Данное пособие было предназначено для лиц в возрасте 15–25 лет и предполагало охват учащихся на трех ступенях обучения. Предполагается, что оно окажется полезным для всех лиц, деятельность которых связана с воспитанием и обучением. Экземпляры пособия, напечатанного большим тиражом, были направлены в школы, библиотеки и другие государственные учреждения. Веб-страница данного проекта время от времени обновляется. Пользователи могут получить печатные экземпляры пособия, однако им чаще всего рекомендуется посетить эту веб-страницу. С дополнительной информацией можно ознакомиться в предыдущих докладах.</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Pr="004E3C3F"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r w:rsidR="00102068">
        <w:t>Статья 11</w:t>
      </w:r>
      <w:r>
        <w:br/>
      </w: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 xml:space="preserve">Пункт 1, подпункты </w:t>
      </w:r>
      <w:r>
        <w:t>(</w:t>
      </w:r>
      <w:r w:rsidR="00102068">
        <w:t>a)–</w:t>
      </w:r>
      <w:r>
        <w:t>(</w:t>
      </w:r>
      <w:r w:rsidR="00102068">
        <w:t>c)</w:t>
      </w: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Женщины </w:t>
      </w:r>
      <w:r w:rsidR="00102068">
        <w:t>на рынке труда</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Исландии зафиксированы высокие показатели занятости как</w:t>
      </w:r>
      <w:r>
        <w:t> женщин</w:t>
      </w:r>
      <w:r w:rsidR="00102068">
        <w:t>, так и мужчин. С 1970</w:t>
      </w:r>
      <w:r>
        <w:noBreakHyphen/>
        <w:t xml:space="preserve">х </w:t>
      </w:r>
      <w:r w:rsidR="00102068">
        <w:t>годов уровень экономической активности</w:t>
      </w:r>
      <w:r>
        <w:t> женщин</w:t>
      </w:r>
      <w:r w:rsidR="00102068">
        <w:t xml:space="preserve"> практически совпадает с уровнем активности мужчин. В четвертом квартале 2013</w:t>
      </w:r>
      <w:r w:rsidR="004C298C">
        <w:t> года</w:t>
      </w:r>
      <w:r w:rsidR="00102068">
        <w:t xml:space="preserve"> численность занятого населения составляла 176</w:t>
      </w:r>
      <w:r>
        <w:t> </w:t>
      </w:r>
      <w:r w:rsidR="00102068">
        <w:t>200</w:t>
      </w:r>
      <w:r w:rsidR="004C298C">
        <w:t> человек</w:t>
      </w:r>
      <w:r w:rsidR="00102068">
        <w:t xml:space="preserve">, что </w:t>
      </w:r>
      <w:r w:rsidR="00102068" w:rsidRPr="006B2350">
        <w:t>соответствовало</w:t>
      </w:r>
      <w:r w:rsidR="00102068">
        <w:t xml:space="preserve"> 77 процентам численности лиц трудоспособного возраста. В период с четвертого квартала 2012</w:t>
      </w:r>
      <w:r w:rsidR="004C298C">
        <w:t> года</w:t>
      </w:r>
      <w:r w:rsidR="00102068">
        <w:t xml:space="preserve"> по четвертый квартал 2013</w:t>
      </w:r>
      <w:r w:rsidR="004C298C">
        <w:t> года</w:t>
      </w:r>
      <w:r w:rsidR="00102068">
        <w:t xml:space="preserve"> число занятых лиц увеличилось в общей сложности на 7800</w:t>
      </w:r>
      <w:r w:rsidR="004C298C">
        <w:t> человек</w:t>
      </w:r>
      <w:r w:rsidR="00102068">
        <w:t>, т. е. примерно на 2 процентных пункта. Доля занятых</w:t>
      </w:r>
      <w:r>
        <w:t> женщин</w:t>
      </w:r>
      <w:r w:rsidR="00102068">
        <w:t>, численность которых возросла на 4 тыс.</w:t>
      </w:r>
      <w:r w:rsidR="004C298C">
        <w:t> человек</w:t>
      </w:r>
      <w:r w:rsidR="00102068">
        <w:t>, составляла 78,2 процента, а доля занятых мужчин</w:t>
      </w:r>
      <w:r>
        <w:t xml:space="preserve"> —  </w:t>
      </w:r>
      <w:r w:rsidR="00102068">
        <w:t>79,3</w:t>
      </w:r>
      <w:r w:rsidR="004C298C">
        <w:t> процента</w:t>
      </w:r>
      <w:r w:rsidR="00102068">
        <w:t>. В этот же период 2012</w:t>
      </w:r>
      <w:r w:rsidR="004C298C">
        <w:t> года</w:t>
      </w:r>
      <w:r w:rsidR="00102068">
        <w:t xml:space="preserve"> доля работающих</w:t>
      </w:r>
      <w:r>
        <w:t> женщин</w:t>
      </w:r>
      <w:r w:rsidR="00102068">
        <w:t xml:space="preserve"> достигла 76,1</w:t>
      </w:r>
      <w:r w:rsidR="004C298C">
        <w:t> процента</w:t>
      </w:r>
      <w:r w:rsidR="00102068">
        <w:t>, а доля работающих мужчин</w:t>
      </w:r>
      <w:r>
        <w:t xml:space="preserve"> —  </w:t>
      </w:r>
      <w:r w:rsidR="00102068">
        <w:t>81,3</w:t>
      </w:r>
      <w:r w:rsidR="004C298C">
        <w:t> процента</w:t>
      </w:r>
      <w:r w:rsidR="00102068">
        <w:t>.</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Pr="006B2350" w:rsidRDefault="00102068" w:rsidP="00102068">
      <w:pPr>
        <w:pStyle w:val="SingleTxtG"/>
        <w:jc w:val="left"/>
        <w:rPr>
          <w:b/>
          <w:i/>
          <w:lang w:eastAsia="zh-CN"/>
        </w:rPr>
      </w:pPr>
      <w:r w:rsidRPr="006B2350">
        <w:rPr>
          <w:b/>
        </w:rPr>
        <w:t>Данные об исландском рынке труда, 2012 год</w:t>
      </w:r>
    </w:p>
    <w:tbl>
      <w:tblPr>
        <w:tblW w:w="0" w:type="auto"/>
        <w:tblInd w:w="1276" w:type="dxa"/>
        <w:tblLayout w:type="fixed"/>
        <w:tblCellMar>
          <w:left w:w="0" w:type="dxa"/>
          <w:right w:w="0" w:type="dxa"/>
        </w:tblCellMar>
        <w:tblLook w:val="0000" w:firstRow="0" w:lastRow="0" w:firstColumn="0" w:lastColumn="0" w:noHBand="0" w:noVBand="0"/>
      </w:tblPr>
      <w:tblGrid>
        <w:gridCol w:w="5528"/>
        <w:gridCol w:w="993"/>
        <w:gridCol w:w="992"/>
      </w:tblGrid>
      <w:tr w:rsidR="00102068" w:rsidTr="006505E8">
        <w:trPr>
          <w:trHeight w:val="300"/>
          <w:tblHeader/>
        </w:trPr>
        <w:tc>
          <w:tcPr>
            <w:tcW w:w="5528" w:type="dxa"/>
            <w:tcBorders>
              <w:top w:val="single" w:sz="4" w:space="0" w:color="000000"/>
              <w:bottom w:val="single" w:sz="12" w:space="0" w:color="000000"/>
            </w:tcBorders>
            <w:shd w:val="clear" w:color="auto" w:fill="auto"/>
            <w:vAlign w:val="bottom"/>
          </w:tcPr>
          <w:p w:rsidR="00102068" w:rsidRPr="006B2350" w:rsidRDefault="00102068" w:rsidP="006505E8">
            <w:pPr>
              <w:spacing w:before="80" w:after="80" w:line="240" w:lineRule="auto"/>
              <w:rPr>
                <w:bCs/>
                <w:i/>
                <w:spacing w:val="0"/>
                <w:w w:val="100"/>
                <w:sz w:val="14"/>
                <w:szCs w:val="14"/>
                <w:lang w:eastAsia="zh-CN"/>
              </w:rPr>
            </w:pPr>
            <w:r w:rsidRPr="006B2350">
              <w:rPr>
                <w:i/>
                <w:spacing w:val="0"/>
                <w:w w:val="100"/>
                <w:sz w:val="14"/>
                <w:szCs w:val="14"/>
                <w:lang w:eastAsia="zh-CN"/>
              </w:rPr>
              <w:t> </w:t>
            </w:r>
          </w:p>
        </w:tc>
        <w:tc>
          <w:tcPr>
            <w:tcW w:w="993" w:type="dxa"/>
            <w:tcBorders>
              <w:top w:val="single" w:sz="4" w:space="0" w:color="000000"/>
              <w:bottom w:val="single" w:sz="12" w:space="0" w:color="000000"/>
            </w:tcBorders>
            <w:shd w:val="clear" w:color="auto" w:fill="auto"/>
            <w:vAlign w:val="bottom"/>
          </w:tcPr>
          <w:p w:rsidR="00102068" w:rsidRPr="006B2350" w:rsidRDefault="00102068" w:rsidP="006505E8">
            <w:pPr>
              <w:spacing w:before="80" w:after="80" w:line="240" w:lineRule="auto"/>
              <w:ind w:left="113"/>
              <w:jc w:val="right"/>
              <w:rPr>
                <w:bCs/>
                <w:i/>
                <w:spacing w:val="0"/>
                <w:w w:val="100"/>
                <w:sz w:val="14"/>
                <w:szCs w:val="14"/>
                <w:lang w:eastAsia="zh-CN"/>
              </w:rPr>
            </w:pPr>
            <w:r w:rsidRPr="006B2350">
              <w:rPr>
                <w:bCs/>
                <w:i/>
                <w:spacing w:val="0"/>
                <w:w w:val="100"/>
                <w:sz w:val="14"/>
                <w:szCs w:val="14"/>
                <w:lang w:eastAsia="zh-CN"/>
              </w:rPr>
              <w:t>Женщины</w:t>
            </w:r>
          </w:p>
        </w:tc>
        <w:tc>
          <w:tcPr>
            <w:tcW w:w="992" w:type="dxa"/>
            <w:tcBorders>
              <w:top w:val="single" w:sz="4" w:space="0" w:color="000000"/>
              <w:bottom w:val="single" w:sz="12" w:space="0" w:color="000000"/>
            </w:tcBorders>
            <w:shd w:val="clear" w:color="auto" w:fill="auto"/>
            <w:vAlign w:val="bottom"/>
          </w:tcPr>
          <w:p w:rsidR="00102068" w:rsidRPr="006B2350" w:rsidRDefault="00102068" w:rsidP="006505E8">
            <w:pPr>
              <w:spacing w:before="80" w:after="80" w:line="240" w:lineRule="auto"/>
              <w:ind w:left="113"/>
              <w:jc w:val="right"/>
              <w:rPr>
                <w:spacing w:val="0"/>
                <w:w w:val="100"/>
                <w:sz w:val="14"/>
                <w:szCs w:val="14"/>
              </w:rPr>
            </w:pPr>
            <w:r w:rsidRPr="006B2350">
              <w:rPr>
                <w:bCs/>
                <w:i/>
                <w:spacing w:val="0"/>
                <w:w w:val="100"/>
                <w:sz w:val="14"/>
                <w:szCs w:val="14"/>
                <w:lang w:eastAsia="zh-CN"/>
              </w:rPr>
              <w:t>Мужчины</w:t>
            </w:r>
          </w:p>
        </w:tc>
      </w:tr>
      <w:tr w:rsidR="00102068" w:rsidTr="006505E8">
        <w:trPr>
          <w:trHeight w:val="300"/>
        </w:trPr>
        <w:tc>
          <w:tcPr>
            <w:tcW w:w="5528" w:type="dxa"/>
            <w:tcBorders>
              <w:top w:val="single" w:sz="12" w:space="0" w:color="000000"/>
            </w:tcBorders>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Общее число наемных работников</w:t>
            </w:r>
          </w:p>
        </w:tc>
        <w:tc>
          <w:tcPr>
            <w:tcW w:w="993" w:type="dxa"/>
            <w:tcBorders>
              <w:top w:val="single" w:sz="12" w:space="0" w:color="000000"/>
            </w:tcBorders>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86 100</w:t>
            </w:r>
          </w:p>
        </w:tc>
        <w:tc>
          <w:tcPr>
            <w:tcW w:w="992" w:type="dxa"/>
            <w:tcBorders>
              <w:top w:val="single" w:sz="12" w:space="0" w:color="000000"/>
            </w:tcBorders>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94 000</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Доля</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48</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52</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Участие (лица в возрасте 16–74 лет) в</w:t>
            </w:r>
            <w:r w:rsidR="004C298C">
              <w:rPr>
                <w:spacing w:val="0"/>
                <w:w w:val="100"/>
                <w:sz w:val="17"/>
                <w:szCs w:val="17"/>
                <w:lang w:eastAsia="zh-CN"/>
              </w:rPr>
              <w:t> процента</w:t>
            </w:r>
            <w:r w:rsidRPr="006B2350">
              <w:rPr>
                <w:spacing w:val="0"/>
                <w:w w:val="100"/>
                <w:sz w:val="17"/>
                <w:szCs w:val="17"/>
                <w:lang w:eastAsia="zh-CN"/>
              </w:rPr>
              <w:t xml:space="preserve">х </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78</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83</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Доля наемных работников (лица в возрасте 16–74 лет) в</w:t>
            </w:r>
            <w:r w:rsidR="004C298C">
              <w:rPr>
                <w:spacing w:val="0"/>
                <w:w w:val="100"/>
                <w:sz w:val="17"/>
                <w:szCs w:val="17"/>
                <w:lang w:eastAsia="zh-CN"/>
              </w:rPr>
              <w:t> процента</w:t>
            </w:r>
            <w:r w:rsidRPr="006B2350">
              <w:rPr>
                <w:spacing w:val="0"/>
                <w:w w:val="100"/>
                <w:sz w:val="17"/>
                <w:szCs w:val="17"/>
                <w:lang w:eastAsia="zh-CN"/>
              </w:rPr>
              <w:t xml:space="preserve">х </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73</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78</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Полная занятость (&gt;35 часов в неделю) в</w:t>
            </w:r>
            <w:r w:rsidR="004C298C">
              <w:rPr>
                <w:spacing w:val="0"/>
                <w:w w:val="100"/>
                <w:sz w:val="17"/>
                <w:szCs w:val="17"/>
                <w:lang w:eastAsia="zh-CN"/>
              </w:rPr>
              <w:t> процента</w:t>
            </w:r>
            <w:r w:rsidRPr="006B2350">
              <w:rPr>
                <w:spacing w:val="0"/>
                <w:w w:val="100"/>
                <w:sz w:val="17"/>
                <w:szCs w:val="17"/>
                <w:lang w:eastAsia="zh-CN"/>
              </w:rPr>
              <w:t>х</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65</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86</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Частичная занятость (&lt;35 часов в неделю) в</w:t>
            </w:r>
            <w:r w:rsidR="004C298C">
              <w:rPr>
                <w:spacing w:val="0"/>
                <w:w w:val="100"/>
                <w:sz w:val="17"/>
                <w:szCs w:val="17"/>
                <w:lang w:eastAsia="zh-CN"/>
              </w:rPr>
              <w:t> процента</w:t>
            </w:r>
            <w:r w:rsidRPr="006B2350">
              <w:rPr>
                <w:spacing w:val="0"/>
                <w:w w:val="100"/>
                <w:sz w:val="17"/>
                <w:szCs w:val="17"/>
                <w:lang w:eastAsia="zh-CN"/>
              </w:rPr>
              <w:t>х</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35</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14</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Среднее количество часов работы в неделю</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35</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44</w:t>
            </w:r>
          </w:p>
        </w:tc>
      </w:tr>
      <w:tr w:rsidR="00102068" w:rsidTr="006505E8">
        <w:trPr>
          <w:trHeight w:val="300"/>
        </w:trPr>
        <w:tc>
          <w:tcPr>
            <w:tcW w:w="5528" w:type="dxa"/>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Среднее количество часов работы в неделю при полной занятости</w:t>
            </w:r>
          </w:p>
        </w:tc>
        <w:tc>
          <w:tcPr>
            <w:tcW w:w="993"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41</w:t>
            </w:r>
          </w:p>
        </w:tc>
        <w:tc>
          <w:tcPr>
            <w:tcW w:w="992" w:type="dxa"/>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47</w:t>
            </w:r>
          </w:p>
        </w:tc>
      </w:tr>
      <w:tr w:rsidR="00102068" w:rsidTr="006505E8">
        <w:trPr>
          <w:trHeight w:val="300"/>
        </w:trPr>
        <w:tc>
          <w:tcPr>
            <w:tcW w:w="5528" w:type="dxa"/>
            <w:tcBorders>
              <w:bottom w:val="single" w:sz="12" w:space="0" w:color="000000"/>
            </w:tcBorders>
            <w:shd w:val="clear" w:color="auto" w:fill="auto"/>
          </w:tcPr>
          <w:p w:rsidR="00102068" w:rsidRPr="006B2350" w:rsidRDefault="00102068" w:rsidP="006505E8">
            <w:pPr>
              <w:spacing w:before="40" w:after="40" w:line="240" w:lineRule="auto"/>
              <w:rPr>
                <w:spacing w:val="0"/>
                <w:w w:val="100"/>
                <w:sz w:val="17"/>
                <w:szCs w:val="17"/>
                <w:lang w:eastAsia="zh-CN"/>
              </w:rPr>
            </w:pPr>
            <w:r w:rsidRPr="006B2350">
              <w:rPr>
                <w:spacing w:val="0"/>
                <w:w w:val="100"/>
                <w:sz w:val="17"/>
                <w:szCs w:val="17"/>
                <w:lang w:eastAsia="zh-CN"/>
              </w:rPr>
              <w:t>Доля безработных в</w:t>
            </w:r>
            <w:r w:rsidR="004C298C">
              <w:rPr>
                <w:spacing w:val="0"/>
                <w:w w:val="100"/>
                <w:sz w:val="17"/>
                <w:szCs w:val="17"/>
                <w:lang w:eastAsia="zh-CN"/>
              </w:rPr>
              <w:t> процента</w:t>
            </w:r>
            <w:r w:rsidRPr="006B2350">
              <w:rPr>
                <w:spacing w:val="0"/>
                <w:w w:val="100"/>
                <w:sz w:val="17"/>
                <w:szCs w:val="17"/>
                <w:lang w:eastAsia="zh-CN"/>
              </w:rPr>
              <w:t>х</w:t>
            </w:r>
          </w:p>
        </w:tc>
        <w:tc>
          <w:tcPr>
            <w:tcW w:w="993" w:type="dxa"/>
            <w:tcBorders>
              <w:bottom w:val="single" w:sz="12" w:space="0" w:color="000000"/>
            </w:tcBorders>
            <w:shd w:val="clear" w:color="auto" w:fill="auto"/>
            <w:vAlign w:val="bottom"/>
          </w:tcPr>
          <w:p w:rsidR="00102068" w:rsidRPr="006B2350" w:rsidRDefault="00102068" w:rsidP="006505E8">
            <w:pPr>
              <w:spacing w:before="40" w:after="40" w:line="240" w:lineRule="auto"/>
              <w:ind w:left="113"/>
              <w:jc w:val="right"/>
              <w:rPr>
                <w:spacing w:val="0"/>
                <w:w w:val="100"/>
                <w:sz w:val="17"/>
                <w:szCs w:val="17"/>
                <w:lang w:eastAsia="zh-CN"/>
              </w:rPr>
            </w:pPr>
            <w:r w:rsidRPr="006B2350">
              <w:rPr>
                <w:spacing w:val="0"/>
                <w:w w:val="100"/>
                <w:sz w:val="17"/>
                <w:szCs w:val="17"/>
                <w:lang w:eastAsia="zh-CN"/>
              </w:rPr>
              <w:t>5,7</w:t>
            </w:r>
          </w:p>
        </w:tc>
        <w:tc>
          <w:tcPr>
            <w:tcW w:w="992" w:type="dxa"/>
            <w:tcBorders>
              <w:bottom w:val="single" w:sz="12" w:space="0" w:color="000000"/>
            </w:tcBorders>
            <w:shd w:val="clear" w:color="auto" w:fill="auto"/>
            <w:vAlign w:val="bottom"/>
          </w:tcPr>
          <w:p w:rsidR="00102068" w:rsidRPr="006B2350" w:rsidRDefault="00102068" w:rsidP="006505E8">
            <w:pPr>
              <w:spacing w:before="40" w:after="40" w:line="240" w:lineRule="auto"/>
              <w:ind w:left="113"/>
              <w:jc w:val="right"/>
              <w:rPr>
                <w:spacing w:val="0"/>
                <w:w w:val="100"/>
                <w:sz w:val="17"/>
                <w:szCs w:val="17"/>
              </w:rPr>
            </w:pPr>
            <w:r w:rsidRPr="006B2350">
              <w:rPr>
                <w:spacing w:val="0"/>
                <w:w w:val="100"/>
                <w:sz w:val="17"/>
                <w:szCs w:val="17"/>
                <w:lang w:eastAsia="zh-CN"/>
              </w:rPr>
              <w:t>6,4</w:t>
            </w:r>
          </w:p>
        </w:tc>
      </w:tr>
    </w:tbl>
    <w:p w:rsidR="004E3C3F" w:rsidRDefault="004E3C3F" w:rsidP="00102068">
      <w:pPr>
        <w:pStyle w:val="SingleTxtG"/>
        <w:spacing w:before="120"/>
      </w:pPr>
    </w:p>
    <w:p w:rsidR="00102068" w:rsidRDefault="004E3C3F" w:rsidP="00102068">
      <w:pPr>
        <w:pStyle w:val="SingleTxtG"/>
        <w:spacing w:before="120"/>
        <w:rPr>
          <w:b/>
          <w:bCs/>
        </w:rPr>
      </w:pPr>
      <w:r>
        <w:tab/>
      </w:r>
      <w:r w:rsidR="00102068">
        <w:t>Из лиц, имевших работу в четвертом квартале 2013</w:t>
      </w:r>
      <w:r w:rsidR="004C298C">
        <w:t> года</w:t>
      </w:r>
      <w:r w:rsidR="00102068">
        <w:t>, 144</w:t>
      </w:r>
      <w:r>
        <w:t> 000</w:t>
      </w:r>
      <w:r w:rsidR="004C298C">
        <w:t> человек</w:t>
      </w:r>
      <w:r w:rsidR="00102068">
        <w:t xml:space="preserve"> (73,4 процента) работали на условиях полной </w:t>
      </w:r>
      <w:r w:rsidR="00102068" w:rsidRPr="006B2350">
        <w:t>занятости</w:t>
      </w:r>
      <w:r w:rsidR="00102068">
        <w:t>, а 46</w:t>
      </w:r>
      <w:r>
        <w:t> </w:t>
      </w:r>
      <w:r w:rsidR="00102068">
        <w:t>900</w:t>
      </w:r>
      <w:r w:rsidR="004C298C">
        <w:t> человек</w:t>
      </w:r>
      <w:r w:rsidR="00102068">
        <w:t xml:space="preserve"> (26,6 процента)</w:t>
      </w:r>
      <w:r>
        <w:t xml:space="preserve"> —  </w:t>
      </w:r>
      <w:r w:rsidR="00102068">
        <w:t>на условиях частичной занятости. С четвертого квартала 2012</w:t>
      </w:r>
      <w:r w:rsidR="004C298C">
        <w:t> года</w:t>
      </w:r>
      <w:r w:rsidR="00102068">
        <w:t xml:space="preserve"> показатель полной занятости увеличился на 2500</w:t>
      </w:r>
      <w:r w:rsidR="004C298C">
        <w:t> человек</w:t>
      </w:r>
      <w:r w:rsidR="00102068">
        <w:t>, а показатель частичной занятости</w:t>
      </w:r>
      <w:r>
        <w:t xml:space="preserve"> —  </w:t>
      </w:r>
      <w:r w:rsidR="00102068">
        <w:t>на 5300</w:t>
      </w:r>
      <w:r w:rsidR="004C298C">
        <w:t> человек</w:t>
      </w:r>
      <w:r w:rsidR="00102068">
        <w:t>. В четвертом квартале 2013</w:t>
      </w:r>
      <w:r w:rsidR="004C298C">
        <w:t> года</w:t>
      </w:r>
      <w:r w:rsidR="00102068">
        <w:t xml:space="preserve"> работу на полную ставку имели 61,7</w:t>
      </w:r>
      <w:r w:rsidR="004C298C">
        <w:t> процента</w:t>
      </w:r>
      <w:r w:rsidR="00102068">
        <w:t xml:space="preserve"> работающих</w:t>
      </w:r>
      <w:r>
        <w:t> женщин</w:t>
      </w:r>
      <w:r w:rsidR="00102068">
        <w:t>; соответствующий показатель для мужчин составлял 84,3</w:t>
      </w:r>
      <w:r w:rsidR="004C298C">
        <w:t> процента</w:t>
      </w:r>
      <w:r w:rsidR="00102068">
        <w:t>. Безработными в четвертом квартале 2013</w:t>
      </w:r>
      <w:r w:rsidR="004C298C">
        <w:t> года</w:t>
      </w:r>
      <w:r w:rsidR="00102068">
        <w:t xml:space="preserve"> являлись в среднем 8400</w:t>
      </w:r>
      <w:r w:rsidR="004C298C">
        <w:t> человек</w:t>
      </w:r>
      <w:r w:rsidR="00102068">
        <w:t>, что соответствовало 4,5</w:t>
      </w:r>
      <w:r w:rsidR="004C298C">
        <w:t> процента</w:t>
      </w:r>
      <w:r w:rsidR="00102068">
        <w:t xml:space="preserve"> рабочей силы. По сравнению с четвертым кварталом 2012</w:t>
      </w:r>
      <w:r w:rsidR="004C298C">
        <w:t> года</w:t>
      </w:r>
      <w:r w:rsidR="00102068">
        <w:t xml:space="preserve"> число безработных практически не изменилось, в то время как их доля возросла на 0,2 процентных пункта. В четвертом квартале 2013</w:t>
      </w:r>
      <w:r w:rsidR="004C298C">
        <w:t> года</w:t>
      </w:r>
      <w:r w:rsidR="00102068">
        <w:t xml:space="preserve"> доля безработных достигала 4,4</w:t>
      </w:r>
      <w:r w:rsidR="004C298C">
        <w:t> процента</w:t>
      </w:r>
      <w:r w:rsidR="00102068">
        <w:t xml:space="preserve"> для</w:t>
      </w:r>
      <w:r>
        <w:t> женщин</w:t>
      </w:r>
      <w:r w:rsidR="00102068">
        <w:t xml:space="preserve"> и 4,6 процента для мужчин; соответствующие показатели за четвертый квартал 2012 года составляли 4 и 5,4</w:t>
      </w:r>
      <w:r w:rsidR="004C298C">
        <w:t> процента</w:t>
      </w:r>
      <w:r w:rsidR="00102068">
        <w:t xml:space="preserve">. </w:t>
      </w:r>
    </w:p>
    <w:p w:rsidR="004E3C3F" w:rsidRPr="004E3C3F" w:rsidRDefault="004E3C3F" w:rsidP="004E3C3F">
      <w:pPr>
        <w:pStyle w:val="SingleTxtG"/>
        <w:spacing w:after="0" w:line="120" w:lineRule="exact"/>
        <w:jc w:val="left"/>
        <w:rPr>
          <w:b/>
          <w:sz w:val="10"/>
        </w:rPr>
      </w:pPr>
    </w:p>
    <w:p w:rsidR="00102068" w:rsidRPr="006B2350" w:rsidRDefault="00102068" w:rsidP="00102068">
      <w:pPr>
        <w:pStyle w:val="SingleTxtG"/>
        <w:jc w:val="left"/>
        <w:rPr>
          <w:b/>
        </w:rPr>
      </w:pPr>
      <w:r w:rsidRPr="006B2350">
        <w:rPr>
          <w:b/>
        </w:rPr>
        <w:t>Относительные показатели безработицы, 1990−2012 годы</w:t>
      </w:r>
    </w:p>
    <w:p w:rsidR="00102068" w:rsidRDefault="00363E39" w:rsidP="00102068">
      <w:pPr>
        <w:pStyle w:val="SingleTxtG"/>
        <w:rPr>
          <w:i/>
          <w:iCs/>
        </w:rPr>
      </w:pPr>
      <w:r>
        <w:rPr>
          <w:noProof/>
          <w:lang w:val="en-GB" w:eastAsia="en-GB"/>
        </w:rPr>
        <w:drawing>
          <wp:inline distT="0" distB="0" distL="0" distR="0">
            <wp:extent cx="4485640" cy="22250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85640" cy="2225040"/>
                    </a:xfrm>
                    <a:prstGeom prst="rect">
                      <a:avLst/>
                    </a:prstGeom>
                    <a:noFill/>
                  </pic:spPr>
                </pic:pic>
              </a:graphicData>
            </a:graphic>
          </wp:inline>
        </w:drawing>
      </w:r>
    </w:p>
    <w:p w:rsidR="00102068" w:rsidRPr="00214C43" w:rsidRDefault="00102068" w:rsidP="004E3C3F">
      <w:pPr>
        <w:pStyle w:val="FootnoteText"/>
        <w:tabs>
          <w:tab w:val="right" w:pos="1476"/>
          <w:tab w:val="left" w:pos="1548"/>
          <w:tab w:val="right" w:pos="1836"/>
          <w:tab w:val="left" w:pos="1908"/>
        </w:tabs>
        <w:ind w:left="1548" w:hanging="288"/>
      </w:pPr>
      <w:r w:rsidRPr="004E3C3F">
        <w:rPr>
          <w:i/>
        </w:rPr>
        <w:t>Источник</w:t>
      </w:r>
      <w:r w:rsidRPr="00214C43">
        <w:rPr>
          <w:b/>
        </w:rPr>
        <w:t>:</w:t>
      </w:r>
      <w:r w:rsidRPr="00214C43">
        <w:t xml:space="preserve"> Статистическое управление Исландии, 2013 год.</w:t>
      </w: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Для лиц, имевших работу в неделю проведения обследования в четвертом квартале 2013</w:t>
      </w:r>
      <w:r w:rsidR="004C298C">
        <w:t> года</w:t>
      </w:r>
      <w:r w:rsidR="00102068">
        <w:t>, средняя продолжительность рабочей недели составляла 38,9 часа: 34,2 часа для</w:t>
      </w:r>
      <w:r>
        <w:t> женщин</w:t>
      </w:r>
      <w:r w:rsidR="00102068">
        <w:t xml:space="preserve"> и 43,1 часа для мужчин. Средняя продолжительность отработанного времени для лиц, работающих на условиях полной занятости, составляла 44,9 часа в неделю: </w:t>
      </w:r>
      <w:r w:rsidR="00102068" w:rsidRPr="00214C43">
        <w:t>41</w:t>
      </w:r>
      <w:r w:rsidR="00102068">
        <w:t>,4 часа для</w:t>
      </w:r>
      <w:r>
        <w:t> женщин</w:t>
      </w:r>
      <w:r w:rsidR="00102068">
        <w:t xml:space="preserve"> и 47,2 часа для мужчин. Средний показатель для частично занятых лиц был равен 21,8 часа в неделю: 22,5 часа для</w:t>
      </w:r>
      <w:r>
        <w:t> женщин</w:t>
      </w:r>
      <w:r w:rsidR="00102068">
        <w:t xml:space="preserve"> и 21,8 часа для мужчин. Было установлено, что в четвертом квартале 2012</w:t>
      </w:r>
      <w:r w:rsidR="004C298C">
        <w:t> года</w:t>
      </w:r>
      <w:r w:rsidR="00102068">
        <w:t xml:space="preserve"> средняя продолжительность рабочей недели составляла 38,7 часа: 34,3 часа для</w:t>
      </w:r>
      <w:r>
        <w:t> женщин</w:t>
      </w:r>
      <w:r w:rsidR="00102068">
        <w:t xml:space="preserve"> и 46,7 часа для мужчин. Средний показатель при полной занятости был равен 44,2 часа, а при частичной занятости</w:t>
      </w:r>
      <w:r>
        <w:t xml:space="preserve"> —  </w:t>
      </w:r>
      <w:r w:rsidR="00102068">
        <w:t xml:space="preserve">21,7 часа.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Продолжительность рабочего времени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В период с 2006 по 2009 год продолжительность рабочей недели для обоих полов несколько сократилась. В 2005</w:t>
      </w:r>
      <w:r w:rsidR="004C298C">
        <w:t> году</w:t>
      </w:r>
      <w:r w:rsidR="00102068">
        <w:t xml:space="preserve"> средняя рабочая неделя для лиц в возрасте 16–74 лет составляла 42,2 часа. В 2007</w:t>
      </w:r>
      <w:r w:rsidR="004C298C">
        <w:t> году</w:t>
      </w:r>
      <w:r w:rsidR="00102068">
        <w:t xml:space="preserve"> этот показатель снизился до 41,9 часа. По данным </w:t>
      </w:r>
      <w:r w:rsidR="00102068" w:rsidRPr="00214C43">
        <w:t>Статистического</w:t>
      </w:r>
      <w:r w:rsidR="00102068">
        <w:t xml:space="preserve"> управления Исландии позднее средняя продолжительность рабочей недели стала еще меньше, составив </w:t>
      </w:r>
      <w:r w:rsidR="00102068" w:rsidRPr="00214C43">
        <w:t>46,1</w:t>
      </w:r>
      <w:r w:rsidR="00102068">
        <w:t xml:space="preserve"> часа в 2008</w:t>
      </w:r>
      <w:r w:rsidR="004C298C">
        <w:t> году</w:t>
      </w:r>
      <w:r w:rsidR="00102068">
        <w:t>, 39,6 часа в 2009 году и 39,5 часа в 2010</w:t>
      </w:r>
      <w:r w:rsidR="004C298C">
        <w:t> году</w:t>
      </w:r>
      <w:r w:rsidR="00102068">
        <w:t>.</w:t>
      </w:r>
    </w:p>
    <w:p w:rsidR="00102068" w:rsidRDefault="004E3C3F" w:rsidP="00102068">
      <w:pPr>
        <w:pStyle w:val="SingleTxtG"/>
      </w:pPr>
      <w:r>
        <w:tab/>
      </w:r>
      <w:r w:rsidR="00102068">
        <w:t>Средний показатель для мужчин был равен 46,2 часа в неделю в 2008</w:t>
      </w:r>
      <w:r w:rsidR="004C298C">
        <w:t> году</w:t>
      </w:r>
      <w:r w:rsidR="00102068">
        <w:t>, 43,8 часа в неделю в 2009</w:t>
      </w:r>
      <w:r w:rsidR="004C298C">
        <w:t> году</w:t>
      </w:r>
      <w:r w:rsidR="00102068">
        <w:t xml:space="preserve"> и 43,6 часа в неделю в 2010</w:t>
      </w:r>
      <w:r w:rsidR="004C298C">
        <w:t> году</w:t>
      </w:r>
      <w:r w:rsidR="00102068">
        <w:t>. Средний показатель для</w:t>
      </w:r>
      <w:r>
        <w:t> женщин</w:t>
      </w:r>
      <w:r w:rsidR="00102068">
        <w:t xml:space="preserve"> составлял 35,8 часа работы в неделю в 2008</w:t>
      </w:r>
      <w:r w:rsidR="004C298C">
        <w:t> году</w:t>
      </w:r>
      <w:r w:rsidR="00102068">
        <w:t>, 34,9 часа в неделю в 2009 году и 34,8 часа в неделю в 2010</w:t>
      </w:r>
      <w:r w:rsidR="004C298C">
        <w:t> году</w:t>
      </w:r>
      <w:r w:rsidR="00102068">
        <w:t>. В этот период рабочая неделя для мужчин стала на 2,5 часа короче, в то время как ее средняя продолжительность для</w:t>
      </w:r>
      <w:r>
        <w:t> женщин</w:t>
      </w:r>
      <w:r w:rsidR="00102068">
        <w:t xml:space="preserve"> сократилась всего на 1 час.</w:t>
      </w:r>
    </w:p>
    <w:p w:rsidR="00102068" w:rsidRDefault="004E3C3F" w:rsidP="00102068">
      <w:pPr>
        <w:pStyle w:val="SingleTxtG"/>
      </w:pPr>
      <w:r>
        <w:tab/>
      </w:r>
      <w:r w:rsidR="00102068">
        <w:t>Что касается продолжительности рабочего времени при полной занятости, то в 2008 году она в среднем составляла 46,3 часа в неделю. Средний показатель для мужчин, входивших в эту группу, был равен 48,9 часа в неделю, а средний показатель для</w:t>
      </w:r>
      <w:r>
        <w:t xml:space="preserve"> женщин —  </w:t>
      </w:r>
      <w:r w:rsidR="00102068">
        <w:t>42 часа в неделю. Общий средний показатель за 2009 год составил 44,8 часа: 47,0 часа в неделю для мужчин и 41,3 часа в неделю для</w:t>
      </w:r>
      <w:r>
        <w:t> женщин</w:t>
      </w:r>
      <w:r w:rsidR="00102068">
        <w:t>. Вышеприведенные показатели позволяют сделать вывод о том, что еженедельное количество часов работы сокращалось для обоих полов. Кроме того,</w:t>
      </w:r>
      <w:r>
        <w:t> женщин</w:t>
      </w:r>
      <w:r w:rsidR="00102068">
        <w:t>ы, работающие на условиях полной занятости, по всей видимости, имеют менее продолжительную рабочую неделю, нежели мужчины, хотя различия между ними ежегодно сокращаются.</w:t>
      </w:r>
    </w:p>
    <w:p w:rsidR="00102068" w:rsidRDefault="004E3C3F" w:rsidP="00102068">
      <w:pPr>
        <w:pStyle w:val="SingleTxtG"/>
      </w:pPr>
      <w:r>
        <w:tab/>
      </w:r>
      <w:r w:rsidR="00102068">
        <w:t>В 2012</w:t>
      </w:r>
      <w:r w:rsidR="004C298C">
        <w:t> году</w:t>
      </w:r>
      <w:r w:rsidR="00102068">
        <w:t xml:space="preserve"> тогдашний министр социального обеспечения назначил рабочую </w:t>
      </w:r>
      <w:r w:rsidR="00102068" w:rsidRPr="00214C43">
        <w:t>группу</w:t>
      </w:r>
      <w:r w:rsidR="00102068">
        <w:t xml:space="preserve"> по обеспечению согласованности семейной жизни и трудовой деятельности. В ее состав вошли представители Конфедерации исландских работодателей, Исландской конфедерации труда, Союза государственных и муниципальных служащих, Ассоциации выпускников университетов, Исландской ассоциации по правам</w:t>
      </w:r>
      <w:r>
        <w:t> женщин</w:t>
      </w:r>
      <w:r w:rsidR="00102068">
        <w:t xml:space="preserve">, Федерации женских обществ Исландии и Ассоциации феминисток Исландии. Задачи этой группы заключались в проведении работы в соответствии с общим планом действий, предоставлении работодателям и активным участникам рынка труда возможностей для интеграции семейной жизни и трудовой деятельности, продолжении мероприятий существовавших ранее комитетов по решению данной проблемы и, наконец, в изучении вопроса о возможности сокращения рабочей недели до 36 часов. </w:t>
      </w:r>
    </w:p>
    <w:p w:rsidR="00102068" w:rsidRDefault="004E3C3F" w:rsidP="00102068">
      <w:pPr>
        <w:pStyle w:val="SingleTxtG"/>
      </w:pPr>
      <w:r>
        <w:tab/>
      </w:r>
      <w:r w:rsidR="00102068">
        <w:t>На состоявшемся в 2011</w:t>
      </w:r>
      <w:r w:rsidR="004C298C">
        <w:t> году</w:t>
      </w:r>
      <w:r w:rsidR="00102068">
        <w:t xml:space="preserve"> совещании министров стран Северной Европы, занимающихся вопросами гендерного равенства, комитету должностных лиц было </w:t>
      </w:r>
      <w:r w:rsidR="00102068" w:rsidRPr="00214C43">
        <w:t>рекомендовано</w:t>
      </w:r>
      <w:r w:rsidR="00102068">
        <w:t xml:space="preserve"> укреплять сотрудничество в сфере обеспечения равенства между мужчинами и</w:t>
      </w:r>
      <w:r>
        <w:t> женщин</w:t>
      </w:r>
      <w:r w:rsidR="00102068">
        <w:t>ами. В целях формирования сети специалистов из стран Северной Европы в рамках министерств, отвечающих за обеспечение гендерного равенства, для обмена информацией о законодательстве, исследованиях, мерах и сотрудничестве была учреждена рабочая группа по вопросу равной оплаты труда. Эта группа собирает информацию о положении дел в странах Северной Европы и оказывает помощь в разработке исследовательского проекта по выявлению экономических последствий ситуации, при которой число</w:t>
      </w:r>
      <w:r>
        <w:t> женщин</w:t>
      </w:r>
      <w:r w:rsidR="00102068">
        <w:t xml:space="preserve">, работающих на условиях частичной занятости, превышает число мужчин. Данное исследование, получившее рабочее название </w:t>
      </w:r>
      <w:r w:rsidR="004C298C">
        <w:rPr>
          <w:i/>
          <w:iCs/>
        </w:rPr>
        <w:t>«</w:t>
      </w:r>
      <w:r w:rsidR="00102068">
        <w:rPr>
          <w:i/>
          <w:iCs/>
        </w:rPr>
        <w:t>Частичная занятость, гендерная принадлежность и распределение доходов</w:t>
      </w:r>
      <w:r w:rsidR="004C298C">
        <w:rPr>
          <w:i/>
          <w:iCs/>
        </w:rPr>
        <w:t>»</w:t>
      </w:r>
      <w:r w:rsidR="00102068">
        <w:rPr>
          <w:i/>
          <w:iCs/>
        </w:rPr>
        <w:t xml:space="preserve"> </w:t>
      </w:r>
      <w:r w:rsidR="00102068">
        <w:t>(</w:t>
      </w:r>
      <w:r w:rsidR="004C298C">
        <w:t>«</w:t>
      </w:r>
      <w:r w:rsidR="00102068">
        <w:rPr>
          <w:i/>
        </w:rPr>
        <w:t>Part-time Jobs, Gender and Income Distribution</w:t>
      </w:r>
      <w:r w:rsidR="004C298C">
        <w:t>»</w:t>
      </w:r>
      <w:r w:rsidR="00102068">
        <w:t xml:space="preserve">), должно быть опубликовано в два этапа, охватывающих сроки председательства Швеции и Исландии.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r>
        <w:rPr>
          <w:b/>
          <w:sz w:val="10"/>
        </w:rPr>
        <w:br w:type="page"/>
      </w: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Равная оплата труда</w:t>
      </w:r>
    </w:p>
    <w:p w:rsidR="004E3C3F" w:rsidRPr="004E3C3F" w:rsidRDefault="004E3C3F" w:rsidP="004E3C3F">
      <w:pPr>
        <w:spacing w:line="120" w:lineRule="exact"/>
        <w:rPr>
          <w:sz w:val="10"/>
        </w:rPr>
      </w:pPr>
    </w:p>
    <w:p w:rsidR="004E3C3F" w:rsidRPr="004E3C3F" w:rsidRDefault="004E3C3F" w:rsidP="004E3C3F">
      <w:pPr>
        <w:spacing w:line="120" w:lineRule="exact"/>
        <w:rPr>
          <w:sz w:val="10"/>
        </w:rPr>
      </w:pPr>
    </w:p>
    <w:p w:rsidR="00102068" w:rsidRDefault="004E3C3F" w:rsidP="00102068">
      <w:pPr>
        <w:pStyle w:val="SingleTxtG"/>
      </w:pPr>
      <w:r>
        <w:tab/>
      </w:r>
      <w:r w:rsidR="00102068">
        <w:t>Равная оплата труда является одной из основных задач борьбы за установление равенства между мужчинами и</w:t>
      </w:r>
      <w:r>
        <w:t> женщин</w:t>
      </w:r>
      <w:r w:rsidR="00102068">
        <w:t xml:space="preserve">ами на исландском рынке труда. Исследования свидетельствуют о том, что </w:t>
      </w:r>
      <w:r w:rsidR="00102068">
        <w:rPr>
          <w:iCs/>
        </w:rPr>
        <w:t>гендерные различия в ставках заработной платы до сих пор не устранены, хотя в последние один-два</w:t>
      </w:r>
      <w:r w:rsidR="004C298C">
        <w:rPr>
          <w:iCs/>
        </w:rPr>
        <w:t> года</w:t>
      </w:r>
      <w:r w:rsidR="00102068">
        <w:rPr>
          <w:iCs/>
        </w:rPr>
        <w:t xml:space="preserve"> в этой области были достигнуты важные результаты. В Исландии было проведено множество исследований по анализу гендерного разрыва в оплате </w:t>
      </w:r>
      <w:r w:rsidR="00102068" w:rsidRPr="00214C43">
        <w:t>труда</w:t>
      </w:r>
      <w:r w:rsidR="00102068">
        <w:rPr>
          <w:iCs/>
        </w:rPr>
        <w:t>, предусматривавших использование различных методов. Разница, сохраняющаяся после введения поправок с учетом всех остальных факторов, за исключением гендерной принадлежности, известна как нескорректированная разница в оплате труда мужчин и</w:t>
      </w:r>
      <w:r>
        <w:rPr>
          <w:iCs/>
        </w:rPr>
        <w:t> женщин</w:t>
      </w:r>
      <w:r w:rsidR="00102068">
        <w:rPr>
          <w:iCs/>
        </w:rPr>
        <w:t>. В ходе исследований, проведенных в последние несколько лет, было установлено, что этот показатель варьирует в интервале от 7 до 18</w:t>
      </w:r>
      <w:r w:rsidR="004C298C">
        <w:rPr>
          <w:iCs/>
        </w:rPr>
        <w:t> процентов</w:t>
      </w:r>
      <w:r w:rsidR="00102068">
        <w:rPr>
          <w:iCs/>
        </w:rPr>
        <w:t xml:space="preserve"> и зависит от применяемых методов и, не в последнюю очередь, от групп или географических регионов страны, на базе которых осуществляются обследования.</w:t>
      </w:r>
    </w:p>
    <w:p w:rsidR="004E3C3F" w:rsidRPr="004E3C3F" w:rsidRDefault="004E3C3F" w:rsidP="004E3C3F">
      <w:pPr>
        <w:pStyle w:val="SingleTxtG"/>
        <w:spacing w:after="0" w:line="120" w:lineRule="exact"/>
        <w:jc w:val="left"/>
        <w:rPr>
          <w:b/>
          <w:sz w:val="10"/>
        </w:rPr>
      </w:pPr>
    </w:p>
    <w:p w:rsidR="00102068" w:rsidRPr="00214C43" w:rsidRDefault="00102068" w:rsidP="00102068">
      <w:pPr>
        <w:pStyle w:val="SingleTxtG"/>
        <w:jc w:val="left"/>
        <w:rPr>
          <w:b/>
        </w:rPr>
      </w:pPr>
      <w:r w:rsidRPr="00214C43">
        <w:rPr>
          <w:b/>
        </w:rPr>
        <w:t>Заработная плата</w:t>
      </w:r>
      <w:r w:rsidR="004E3C3F">
        <w:rPr>
          <w:b/>
        </w:rPr>
        <w:t> женщин</w:t>
      </w:r>
      <w:r w:rsidRPr="00214C43">
        <w:rPr>
          <w:b/>
        </w:rPr>
        <w:t xml:space="preserve"> как доля заработной платы мужчин, 1981–2011 годы</w:t>
      </w:r>
    </w:p>
    <w:p w:rsidR="00102068" w:rsidRDefault="00363E39" w:rsidP="00102068">
      <w:pPr>
        <w:pStyle w:val="SingleTxtG"/>
        <w:ind w:left="0" w:right="0"/>
        <w:jc w:val="center"/>
        <w:rPr>
          <w:i/>
          <w:iCs/>
        </w:rPr>
      </w:pPr>
      <w:r>
        <w:rPr>
          <w:noProof/>
          <w:lang w:val="en-GB" w:eastAsia="en-GB"/>
        </w:rPr>
        <w:drawing>
          <wp:inline distT="0" distB="0" distL="0" distR="0">
            <wp:extent cx="5578475" cy="241427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78475" cy="2414270"/>
                    </a:xfrm>
                    <a:prstGeom prst="rect">
                      <a:avLst/>
                    </a:prstGeom>
                    <a:noFill/>
                  </pic:spPr>
                </pic:pic>
              </a:graphicData>
            </a:graphic>
          </wp:inline>
        </w:drawing>
      </w:r>
    </w:p>
    <w:p w:rsidR="00102068" w:rsidRPr="00214C43" w:rsidRDefault="00102068" w:rsidP="00102068">
      <w:pPr>
        <w:pStyle w:val="SingleTxtG"/>
        <w:spacing w:after="0"/>
        <w:rPr>
          <w:i/>
          <w:sz w:val="18"/>
          <w:szCs w:val="18"/>
        </w:rPr>
      </w:pPr>
      <w:r w:rsidRPr="00214C43">
        <w:rPr>
          <w:b/>
          <w:i/>
          <w:sz w:val="18"/>
          <w:szCs w:val="18"/>
        </w:rPr>
        <w:t xml:space="preserve">Источник: </w:t>
      </w:r>
      <w:r w:rsidRPr="00214C43">
        <w:rPr>
          <w:i/>
          <w:sz w:val="18"/>
          <w:szCs w:val="18"/>
        </w:rPr>
        <w:t>Статистическое управление Исландии, 2011 год.</w:t>
      </w:r>
    </w:p>
    <w:p w:rsidR="00102068" w:rsidRPr="004E3C3F" w:rsidRDefault="00102068"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Исследование, проведенное Статистическим управлением Исландии в 2010</w:t>
      </w:r>
      <w:r w:rsidR="004C298C">
        <w:t> году</w:t>
      </w:r>
      <w:r w:rsidR="00102068">
        <w:t xml:space="preserve"> по просьбе социальных партнеров, которое касалось заработной платы 185</w:t>
      </w:r>
      <w:r>
        <w:t> 000</w:t>
      </w:r>
      <w:r w:rsidR="004C298C">
        <w:t> человек</w:t>
      </w:r>
      <w:r w:rsidR="00102068">
        <w:t xml:space="preserve"> в частном секторе в период с 2000 по 2007 год, показало наличие гендерного разрыва в оплате труда, составляющего 9</w:t>
      </w:r>
      <w:r w:rsidR="004C298C">
        <w:t> процентов</w:t>
      </w:r>
      <w:r w:rsidR="00102068">
        <w:t>. Между совокупными доходами мужчин и</w:t>
      </w:r>
      <w:r>
        <w:t> женщин</w:t>
      </w:r>
      <w:r w:rsidR="00102068">
        <w:t xml:space="preserve"> до сих пор существуют значительные различия, однако за последние десять лет они уменьшились, поскольку в настоящее время</w:t>
      </w:r>
      <w:r>
        <w:t> женщин</w:t>
      </w:r>
      <w:r w:rsidR="00102068">
        <w:t>ы в среднем работают дольше, а рабочий день мужчин сокращается. В 1980-х</w:t>
      </w:r>
      <w:r w:rsidR="004C298C">
        <w:t> года</w:t>
      </w:r>
      <w:r w:rsidR="00102068">
        <w:t>х совокупные доходы</w:t>
      </w:r>
      <w:r>
        <w:t> женщин</w:t>
      </w:r>
      <w:r w:rsidR="00102068">
        <w:t xml:space="preserve"> составляли чуть более половины доходов мужчин; по данным последних обследований доля их доходов лежит в интервале от 68 до 82 процентов. Отчасти это объясняется тем, что число</w:t>
      </w:r>
      <w:r>
        <w:t> женщин</w:t>
      </w:r>
      <w:r w:rsidR="00102068">
        <w:t xml:space="preserve"> на рынке труда неуклонно возрастает. Женщины до сих пор находятся в меньшинстве среди лиц, пользующихся влиянием и занимающих руководящие должности, однако они составляют более половины специалистов среди высококвалифицированных рабочих в Исландии. Можно ожидать дальнейшего увеличения доли</w:t>
      </w:r>
      <w:r>
        <w:t> женщин</w:t>
      </w:r>
      <w:r w:rsidR="00102068">
        <w:t xml:space="preserve"> на должностях специалистов, поскольку сейчас более 60</w:t>
      </w:r>
      <w:r w:rsidR="004C298C">
        <w:t> процентов</w:t>
      </w:r>
      <w:r w:rsidR="00102068">
        <w:t xml:space="preserve"> выпускников, ежегодно покидающих стены исландских университетов, составляют</w:t>
      </w:r>
      <w:r>
        <w:t> женщин</w:t>
      </w:r>
      <w:r w:rsidR="00102068">
        <w:t>ы.</w:t>
      </w:r>
    </w:p>
    <w:p w:rsidR="00102068" w:rsidRDefault="004E3C3F" w:rsidP="00102068">
      <w:pPr>
        <w:pStyle w:val="SingleTxtG"/>
        <w:rPr>
          <w:bCs/>
          <w:iCs/>
        </w:rPr>
      </w:pPr>
      <w:r>
        <w:tab/>
      </w:r>
      <w:r w:rsidR="00102068">
        <w:t>В настоящее время осуществляются проекты по устранению трудноразрешимой проблемы гендерного разрыва в оплате труда. Наиболее важными из них являются стандарт равной оплаты труда и План действий по обеспечению равенства мужчин и</w:t>
      </w:r>
      <w:r>
        <w:t> женщин</w:t>
      </w:r>
      <w:r w:rsidR="00102068">
        <w:t xml:space="preserve"> в оплате труда, которые уже рассматривались в данном докладе.</w:t>
      </w:r>
    </w:p>
    <w:p w:rsidR="00102068" w:rsidRDefault="004E3C3F" w:rsidP="00102068">
      <w:pPr>
        <w:pStyle w:val="SingleTxtG"/>
      </w:pPr>
      <w:r>
        <w:tab/>
      </w:r>
      <w:r w:rsidR="00102068">
        <w:t>В ноябре 2014</w:t>
      </w:r>
      <w:r w:rsidR="004C298C">
        <w:t> года</w:t>
      </w:r>
      <w:r w:rsidR="00102068">
        <w:t xml:space="preserve"> в рамках мероприятий, приуроченных к</w:t>
      </w:r>
      <w:r w:rsidR="004C298C">
        <w:t> году</w:t>
      </w:r>
      <w:r w:rsidR="00102068">
        <w:t xml:space="preserve"> председательства Исландии в сотрудничестве стран Северной Европы, направленном на обеспечение гендерного равенства, будут проведены две конференции. Первая из них будет посвящена видам работ, предполагающих частичную занятость, и их влиянию на гендерное равенство на </w:t>
      </w:r>
      <w:r w:rsidR="00102068" w:rsidRPr="00214C43">
        <w:t>рынке</w:t>
      </w:r>
      <w:r w:rsidR="00102068">
        <w:t xml:space="preserve"> труда. Вторая конференция будет организована совместными усилиями рабочей группы стран Северной Европы по вопросам равной заработной платы и равенства на рынке труда и исландской рабочей группы по вопросам равной заработной платы. Основное внимание будет уделено теме равной оплаты труда. В ходе глобального форума </w:t>
      </w:r>
      <w:r w:rsidR="004C298C">
        <w:t>«</w:t>
      </w:r>
      <w:r w:rsidR="00102068">
        <w:t>Женщины в парламенте</w:t>
      </w:r>
      <w:r w:rsidR="004C298C">
        <w:t>»</w:t>
      </w:r>
      <w:r w:rsidR="00102068">
        <w:t>, состоявшегося в Брюсселе 27 ноября 2013</w:t>
      </w:r>
      <w:r w:rsidR="004C298C">
        <w:t> года</w:t>
      </w:r>
      <w:r w:rsidR="00102068">
        <w:t>, Исландия была названа глобальным лидером в деле устранения гендерного разрыва за выдающиеся достижения в этой области.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Отпуск по беременности и родам/в связи с отцовством</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 xml:space="preserve">Исландия уделяет первоочередное внимание предоставлению обоим родителям равных возможностей для заботы о семье и выполнения работы за пределами дома; опыт показывает, что один из ключевых факторов, позволяющих совмещать </w:t>
      </w:r>
      <w:r w:rsidR="00102068" w:rsidRPr="00214C43">
        <w:t>профессиональную</w:t>
      </w:r>
      <w:r w:rsidR="00102068">
        <w:t xml:space="preserve"> деятельность и семейную жизнь, состоит в предоставлении обоим родителям права на отпуск по беременности и родам/в связи с отцовством. В 2000</w:t>
      </w:r>
      <w:r w:rsidR="004C298C">
        <w:t> году</w:t>
      </w:r>
      <w:r w:rsidR="00102068">
        <w:t xml:space="preserve"> парламент принял принципиально новый закон в отношении отпуска по беременности и родам/в связи с отцовством и отпуска по уходу за ребенком, который предусматривал предоставление более широких прав, касающихся отпуска в связи с отцовством, нежели во многих других странах мира. Продолжительность общего отпуска была увеличена с шести до девяти месяцев; во время отпуска работающие родители получают 80</w:t>
      </w:r>
      <w:r w:rsidR="004C298C">
        <w:t> процентов</w:t>
      </w:r>
      <w:r w:rsidR="00102068">
        <w:t xml:space="preserve"> своего среднего оклада, выплачиваемого из специального фонда, который финансируется из страховых сборов. Кроме того, родители имеют равные права, поскольку отпуск распределяется между ними в равных долях. Отцам предоставляется трехмесячный отпуск, который не может быть передан другому лицу; матери также имеют право на трехмесячный отпуск; после этого родители по своему усмотрению распределяют между собой еще один отпуск той же продолжительности. Закон 2000</w:t>
      </w:r>
      <w:r w:rsidR="004C298C">
        <w:t> года</w:t>
      </w:r>
      <w:r w:rsidR="00102068">
        <w:t xml:space="preserve"> имел успех, поскольку своим правом на отпуск в связи с отцовством пользуются 90</w:t>
      </w:r>
      <w:r w:rsidR="004C298C">
        <w:t> процентов</w:t>
      </w:r>
      <w:r w:rsidR="00102068">
        <w:t xml:space="preserve"> отцов. Недавние исследования свидетельствуют о том, что к числу позитивных результатов предоставления отпуска в связи с отцовством в Исландии относятся более справедливое распределение домашних обязанностей и создание более справедливых условий на рынке труда в первые годы после его введения. После финансового кризиса, разразившегося осенью 2008</w:t>
      </w:r>
      <w:r w:rsidR="004C298C">
        <w:t> года</w:t>
      </w:r>
      <w:r w:rsidR="00102068">
        <w:t>, стало очевидно, что выплаты по линии фонда отпусков по беременности и родам, в связи с отцовством и по уходу за ребенком придется уменьшить, в результате чего максимальные выплаты были сокращены втрое, однако в 2012</w:t>
      </w:r>
      <w:r w:rsidR="004C298C">
        <w:t> году</w:t>
      </w:r>
      <w:r w:rsidR="00102068">
        <w:t xml:space="preserve"> их размер вновь увеличился и в настоящее время составляет 370 тыс. исландских крон в месяц. Экономический спад также послужил причиной того, что запланированное увеличение общего времени пребывания в отпуске с 9 до 12 месяцев было отложено, однако есть надежда, что это намерение будет реализовано, как только государство будет располагать необходимыми средствами.</w:t>
      </w:r>
    </w:p>
    <w:p w:rsidR="00102068" w:rsidRDefault="004E3C3F" w:rsidP="00102068">
      <w:pPr>
        <w:pStyle w:val="SingleTxtG"/>
      </w:pPr>
      <w:r>
        <w:tab/>
      </w:r>
      <w:r w:rsidR="00102068" w:rsidRPr="00214C43">
        <w:t>Еще</w:t>
      </w:r>
      <w:r w:rsidR="00102068">
        <w:t xml:space="preserve"> одним ключевым фактором, который позволяет родителям совместить семейную жизнь с работой вне дома, является наличие доступа в детские сады, куда родители могут отдать детей по завершении отпуска по уходу за ребенком. В декабре 2012</w:t>
      </w:r>
      <w:r w:rsidR="004C298C">
        <w:t> года</w:t>
      </w:r>
      <w:r w:rsidR="00102068">
        <w:t xml:space="preserve"> в Исландии действовали 265 дошкольных учреждений (детских садов); в 2011</w:t>
      </w:r>
      <w:r w:rsidR="004C298C">
        <w:t> году</w:t>
      </w:r>
      <w:r w:rsidR="00102068">
        <w:t xml:space="preserve"> в стране были зарегистрированы 472 </w:t>
      </w:r>
      <w:r w:rsidR="004C298C">
        <w:t>«</w:t>
      </w:r>
      <w:r w:rsidR="00102068">
        <w:t>дневных родителя</w:t>
      </w:r>
      <w:r w:rsidR="004C298C">
        <w:t>»</w:t>
      </w:r>
      <w:r w:rsidR="00102068">
        <w:t xml:space="preserve"> (присматривающих за детьми у себя дома).</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Выбор карьеры с учетом гендерного фактора</w:t>
      </w:r>
    </w:p>
    <w:p w:rsidR="004E3C3F" w:rsidRPr="004E3C3F" w:rsidRDefault="004E3C3F" w:rsidP="004E3C3F">
      <w:pPr>
        <w:spacing w:line="120" w:lineRule="exact"/>
        <w:rPr>
          <w:sz w:val="10"/>
        </w:rPr>
      </w:pPr>
    </w:p>
    <w:p w:rsidR="004E3C3F" w:rsidRPr="004E3C3F" w:rsidRDefault="004E3C3F" w:rsidP="004E3C3F">
      <w:pPr>
        <w:spacing w:line="120" w:lineRule="exact"/>
        <w:rPr>
          <w:sz w:val="10"/>
        </w:rPr>
      </w:pPr>
    </w:p>
    <w:p w:rsidR="00102068" w:rsidRDefault="004E3C3F" w:rsidP="00102068">
      <w:pPr>
        <w:pStyle w:val="SingleTxtG"/>
      </w:pPr>
      <w:r>
        <w:tab/>
      </w:r>
      <w:r w:rsidR="00102068">
        <w:t xml:space="preserve">Соответствующая информация представлена в разделе настоящего доклада, </w:t>
      </w:r>
      <w:r w:rsidR="00102068" w:rsidRPr="00214C43">
        <w:t>посвященном</w:t>
      </w:r>
      <w:r w:rsidR="00102068">
        <w:t xml:space="preserve"> </w:t>
      </w:r>
      <w:r w:rsidR="004C298C">
        <w:t>статье </w:t>
      </w:r>
      <w:r w:rsidR="00102068">
        <w:t>5, а также в предыдущих докладах правительства Исландии.</w:t>
      </w:r>
    </w:p>
    <w:p w:rsidR="004E3C3F" w:rsidRPr="004E3C3F" w:rsidRDefault="004E3C3F" w:rsidP="004E3C3F">
      <w:pPr>
        <w:pStyle w:val="SingleTxtG"/>
        <w:spacing w:after="0" w:line="120" w:lineRule="exact"/>
        <w:jc w:val="left"/>
        <w:rPr>
          <w:b/>
          <w:sz w:val="10"/>
        </w:rPr>
      </w:pPr>
    </w:p>
    <w:p w:rsidR="00102068" w:rsidRPr="00214C43" w:rsidRDefault="00102068" w:rsidP="00102068">
      <w:pPr>
        <w:pStyle w:val="SingleTxtG"/>
        <w:jc w:val="left"/>
        <w:rPr>
          <w:b/>
          <w:i/>
        </w:rPr>
      </w:pPr>
      <w:r w:rsidRPr="00214C43">
        <w:rPr>
          <w:b/>
        </w:rPr>
        <w:t>Распределение профессий в разбивке по полу, 2006–2012 годы (в</w:t>
      </w:r>
      <w:r w:rsidR="004C298C">
        <w:rPr>
          <w:b/>
        </w:rPr>
        <w:t> процента</w:t>
      </w:r>
      <w:r w:rsidRPr="00214C43">
        <w:rPr>
          <w:b/>
        </w:rPr>
        <w:t>х)</w:t>
      </w:r>
    </w:p>
    <w:tbl>
      <w:tblPr>
        <w:tblW w:w="0" w:type="auto"/>
        <w:tblInd w:w="1304" w:type="dxa"/>
        <w:tblLayout w:type="fixed"/>
        <w:tblCellMar>
          <w:left w:w="0" w:type="dxa"/>
          <w:right w:w="0" w:type="dxa"/>
        </w:tblCellMar>
        <w:tblLook w:val="0000" w:firstRow="0" w:lastRow="0" w:firstColumn="0" w:lastColumn="0" w:noHBand="0" w:noVBand="0"/>
      </w:tblPr>
      <w:tblGrid>
        <w:gridCol w:w="4050"/>
        <w:gridCol w:w="730"/>
        <w:gridCol w:w="720"/>
        <w:gridCol w:w="730"/>
        <w:gridCol w:w="730"/>
        <w:gridCol w:w="730"/>
        <w:gridCol w:w="728"/>
      </w:tblGrid>
      <w:tr w:rsidR="00102068" w:rsidTr="006505E8">
        <w:trPr>
          <w:trHeight w:val="240"/>
          <w:tblHeader/>
        </w:trPr>
        <w:tc>
          <w:tcPr>
            <w:tcW w:w="4050" w:type="dxa"/>
            <w:tcBorders>
              <w:top w:val="single" w:sz="4" w:space="0" w:color="000000"/>
              <w:bottom w:val="single" w:sz="12" w:space="0" w:color="000000"/>
            </w:tcBorders>
            <w:shd w:val="clear" w:color="auto" w:fill="auto"/>
            <w:vAlign w:val="bottom"/>
          </w:tcPr>
          <w:p w:rsidR="00102068" w:rsidRPr="00214C43" w:rsidRDefault="00102068" w:rsidP="006505E8">
            <w:pPr>
              <w:snapToGrid w:val="0"/>
              <w:spacing w:before="40" w:after="40" w:line="240" w:lineRule="auto"/>
              <w:rPr>
                <w:i/>
                <w:spacing w:val="0"/>
                <w:w w:val="100"/>
                <w:sz w:val="14"/>
                <w:szCs w:val="14"/>
              </w:rPr>
            </w:pPr>
          </w:p>
        </w:tc>
        <w:tc>
          <w:tcPr>
            <w:tcW w:w="730"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i/>
                <w:spacing w:val="0"/>
                <w:w w:val="100"/>
                <w:sz w:val="14"/>
                <w:szCs w:val="14"/>
              </w:rPr>
            </w:pPr>
            <w:r w:rsidRPr="00214C43">
              <w:rPr>
                <w:i/>
                <w:spacing w:val="0"/>
                <w:w w:val="100"/>
                <w:sz w:val="14"/>
                <w:szCs w:val="14"/>
              </w:rPr>
              <w:t>2006</w:t>
            </w:r>
          </w:p>
        </w:tc>
        <w:tc>
          <w:tcPr>
            <w:tcW w:w="720"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i/>
                <w:spacing w:val="0"/>
                <w:w w:val="100"/>
                <w:sz w:val="14"/>
                <w:szCs w:val="14"/>
              </w:rPr>
            </w:pPr>
            <w:r w:rsidRPr="00214C43">
              <w:rPr>
                <w:i/>
                <w:spacing w:val="0"/>
                <w:w w:val="100"/>
                <w:sz w:val="14"/>
                <w:szCs w:val="14"/>
              </w:rPr>
              <w:t>2007</w:t>
            </w:r>
          </w:p>
        </w:tc>
        <w:tc>
          <w:tcPr>
            <w:tcW w:w="730"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i/>
                <w:spacing w:val="0"/>
                <w:w w:val="100"/>
                <w:sz w:val="14"/>
                <w:szCs w:val="14"/>
              </w:rPr>
            </w:pPr>
            <w:r w:rsidRPr="00214C43">
              <w:rPr>
                <w:i/>
                <w:spacing w:val="0"/>
                <w:w w:val="100"/>
                <w:sz w:val="14"/>
                <w:szCs w:val="14"/>
              </w:rPr>
              <w:t>2009</w:t>
            </w:r>
          </w:p>
        </w:tc>
        <w:tc>
          <w:tcPr>
            <w:tcW w:w="730"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i/>
                <w:spacing w:val="0"/>
                <w:w w:val="100"/>
                <w:sz w:val="14"/>
                <w:szCs w:val="14"/>
              </w:rPr>
            </w:pPr>
            <w:r w:rsidRPr="00214C43">
              <w:rPr>
                <w:i/>
                <w:spacing w:val="0"/>
                <w:w w:val="100"/>
                <w:sz w:val="14"/>
                <w:szCs w:val="14"/>
              </w:rPr>
              <w:t>2010</w:t>
            </w:r>
          </w:p>
        </w:tc>
        <w:tc>
          <w:tcPr>
            <w:tcW w:w="730"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i/>
                <w:spacing w:val="0"/>
                <w:w w:val="100"/>
                <w:sz w:val="14"/>
                <w:szCs w:val="14"/>
              </w:rPr>
            </w:pPr>
            <w:r w:rsidRPr="00214C43">
              <w:rPr>
                <w:i/>
                <w:spacing w:val="0"/>
                <w:w w:val="100"/>
                <w:sz w:val="14"/>
                <w:szCs w:val="14"/>
              </w:rPr>
              <w:t>2011</w:t>
            </w:r>
          </w:p>
        </w:tc>
        <w:tc>
          <w:tcPr>
            <w:tcW w:w="728" w:type="dxa"/>
            <w:tcBorders>
              <w:top w:val="single" w:sz="4" w:space="0" w:color="000000"/>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4"/>
                <w:szCs w:val="14"/>
              </w:rPr>
            </w:pPr>
            <w:r w:rsidRPr="00214C43">
              <w:rPr>
                <w:i/>
                <w:spacing w:val="0"/>
                <w:w w:val="100"/>
                <w:sz w:val="14"/>
                <w:szCs w:val="14"/>
              </w:rPr>
              <w:t>2012</w:t>
            </w:r>
          </w:p>
        </w:tc>
      </w:tr>
      <w:tr w:rsidR="00102068" w:rsidTr="006505E8">
        <w:trPr>
          <w:trHeight w:val="240"/>
        </w:trPr>
        <w:tc>
          <w:tcPr>
            <w:tcW w:w="4050" w:type="dxa"/>
            <w:tcBorders>
              <w:top w:val="single" w:sz="12" w:space="0" w:color="000000"/>
            </w:tcBorders>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Старшие должностные лица и управляющие</w:t>
            </w:r>
          </w:p>
        </w:tc>
        <w:tc>
          <w:tcPr>
            <w:tcW w:w="730"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8,6</w:t>
            </w:r>
          </w:p>
        </w:tc>
        <w:tc>
          <w:tcPr>
            <w:tcW w:w="720"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9,3</w:t>
            </w:r>
          </w:p>
        </w:tc>
        <w:tc>
          <w:tcPr>
            <w:tcW w:w="730"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10,1</w:t>
            </w:r>
          </w:p>
        </w:tc>
        <w:tc>
          <w:tcPr>
            <w:tcW w:w="730"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8,7</w:t>
            </w:r>
          </w:p>
        </w:tc>
        <w:tc>
          <w:tcPr>
            <w:tcW w:w="730"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9,0</w:t>
            </w:r>
          </w:p>
        </w:tc>
        <w:tc>
          <w:tcPr>
            <w:tcW w:w="728" w:type="dxa"/>
            <w:tcBorders>
              <w:top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10,2</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11,1</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12,0</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11,0</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10,6</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12,0</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5,5</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8,1</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Специалисты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17,5</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21,4</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21,6</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15,5</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14,4</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16,7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16,4</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19,9</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24,1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26,5</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27,2</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Младшие специалисты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15,4</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15,5</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11,1</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11,4</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14,4</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13,2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13,5</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20,4</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22,8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18,4</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17,6</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Конторские служащие</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7,4</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4,5</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2,6</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1,8</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1,8</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13,1</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9,6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7,8</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7,4</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Работники торговли и поставщики услуг</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19,8</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19,4</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21,0</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21,3</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13,4</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14,5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14,8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15,2</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27,4</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28,1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24,6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26,2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29,4</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27,8</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Фермеры и рыбаки</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4,8</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3,9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4,4</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7,1</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7,0</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7,9</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7,2</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1,5</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Квалифицированные ремесленники</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13,2</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11,3</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21,6</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20,0</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20,9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21,0</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19,1</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3,2</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2,2</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2,7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3,0</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Операторы станков</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5,7</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4,5</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4,7</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9,8</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9,8</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8,6</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7,9</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8,1</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0,9</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0,7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1,1</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1,0</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1,2</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1,0</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rPr>
                <w:spacing w:val="0"/>
                <w:w w:val="100"/>
                <w:sz w:val="17"/>
                <w:szCs w:val="17"/>
              </w:rPr>
            </w:pPr>
            <w:r w:rsidRPr="00214C43">
              <w:rPr>
                <w:spacing w:val="0"/>
                <w:w w:val="100"/>
                <w:sz w:val="17"/>
                <w:szCs w:val="17"/>
              </w:rPr>
              <w:t>Разнорабочие</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7,6</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6,3</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5,6</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6,6</w:t>
            </w:r>
          </w:p>
        </w:tc>
      </w:tr>
      <w:tr w:rsidR="00102068" w:rsidTr="006505E8">
        <w:trPr>
          <w:trHeight w:val="240"/>
        </w:trPr>
        <w:tc>
          <w:tcPr>
            <w:tcW w:w="4050" w:type="dxa"/>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Мужчины</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7,6</w:t>
            </w:r>
          </w:p>
        </w:tc>
        <w:tc>
          <w:tcPr>
            <w:tcW w:w="72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8,7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5,7</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5,9</w:t>
            </w:r>
          </w:p>
        </w:tc>
        <w:tc>
          <w:tcPr>
            <w:tcW w:w="730"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5,7</w:t>
            </w:r>
          </w:p>
        </w:tc>
        <w:tc>
          <w:tcPr>
            <w:tcW w:w="728" w:type="dxa"/>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6,7</w:t>
            </w:r>
          </w:p>
        </w:tc>
      </w:tr>
      <w:tr w:rsidR="00102068" w:rsidTr="006505E8">
        <w:trPr>
          <w:trHeight w:val="240"/>
        </w:trPr>
        <w:tc>
          <w:tcPr>
            <w:tcW w:w="4050" w:type="dxa"/>
            <w:tcBorders>
              <w:bottom w:val="single" w:sz="12" w:space="0" w:color="000000"/>
            </w:tcBorders>
            <w:shd w:val="clear" w:color="auto" w:fill="auto"/>
          </w:tcPr>
          <w:p w:rsidR="00102068" w:rsidRPr="00214C43" w:rsidRDefault="00102068" w:rsidP="006505E8">
            <w:pPr>
              <w:spacing w:before="40" w:after="40" w:line="240" w:lineRule="auto"/>
              <w:ind w:left="170"/>
              <w:rPr>
                <w:spacing w:val="0"/>
                <w:w w:val="100"/>
                <w:sz w:val="17"/>
                <w:szCs w:val="17"/>
              </w:rPr>
            </w:pPr>
            <w:r w:rsidRPr="00214C43">
              <w:rPr>
                <w:spacing w:val="0"/>
                <w:w w:val="100"/>
                <w:sz w:val="17"/>
                <w:szCs w:val="17"/>
              </w:rPr>
              <w:t>Женщины</w:t>
            </w:r>
          </w:p>
        </w:tc>
        <w:tc>
          <w:tcPr>
            <w:tcW w:w="730"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7,5</w:t>
            </w:r>
          </w:p>
        </w:tc>
        <w:tc>
          <w:tcPr>
            <w:tcW w:w="720"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7,0</w:t>
            </w:r>
          </w:p>
        </w:tc>
        <w:tc>
          <w:tcPr>
            <w:tcW w:w="730"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6,9</w:t>
            </w:r>
          </w:p>
        </w:tc>
        <w:tc>
          <w:tcPr>
            <w:tcW w:w="730"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6,0</w:t>
            </w:r>
          </w:p>
        </w:tc>
        <w:tc>
          <w:tcPr>
            <w:tcW w:w="730"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5,5</w:t>
            </w:r>
          </w:p>
        </w:tc>
        <w:tc>
          <w:tcPr>
            <w:tcW w:w="728" w:type="dxa"/>
            <w:tcBorders>
              <w:bottom w:val="single" w:sz="12" w:space="0" w:color="000000"/>
            </w:tcBorders>
            <w:shd w:val="clear" w:color="auto" w:fill="auto"/>
            <w:vAlign w:val="bottom"/>
          </w:tcPr>
          <w:p w:rsidR="00102068" w:rsidRPr="00214C43" w:rsidRDefault="00102068" w:rsidP="006505E8">
            <w:pPr>
              <w:spacing w:before="40" w:after="40" w:line="240" w:lineRule="auto"/>
              <w:jc w:val="right"/>
              <w:rPr>
                <w:spacing w:val="0"/>
                <w:w w:val="100"/>
                <w:sz w:val="17"/>
                <w:szCs w:val="17"/>
              </w:rPr>
            </w:pPr>
            <w:r w:rsidRPr="00214C43">
              <w:rPr>
                <w:spacing w:val="0"/>
                <w:w w:val="100"/>
                <w:sz w:val="17"/>
                <w:szCs w:val="17"/>
              </w:rPr>
              <w:t>6,4</w:t>
            </w:r>
          </w:p>
        </w:tc>
      </w:tr>
    </w:tbl>
    <w:p w:rsidR="00102068" w:rsidRPr="007055DB" w:rsidRDefault="00102068" w:rsidP="004E3C3F">
      <w:pPr>
        <w:pStyle w:val="FootnoteText"/>
        <w:tabs>
          <w:tab w:val="right" w:pos="1476"/>
          <w:tab w:val="left" w:pos="1548"/>
          <w:tab w:val="right" w:pos="1836"/>
          <w:tab w:val="left" w:pos="1908"/>
        </w:tabs>
        <w:ind w:left="1548" w:hanging="288"/>
        <w:rPr>
          <w:color w:val="000000"/>
        </w:rPr>
      </w:pPr>
      <w:r w:rsidRPr="004E3C3F">
        <w:rPr>
          <w:i/>
        </w:rPr>
        <w:t>Источник</w:t>
      </w:r>
      <w:r w:rsidRPr="007055DB">
        <w:rPr>
          <w:b/>
        </w:rPr>
        <w:t>:</w:t>
      </w:r>
      <w:r w:rsidRPr="007055DB">
        <w:t xml:space="preserve"> Статистическое управление Исландии.</w:t>
      </w:r>
    </w:p>
    <w:p w:rsidR="004E3C3F" w:rsidRPr="004E3C3F" w:rsidRDefault="004E3C3F" w:rsidP="004E3C3F">
      <w:pPr>
        <w:pStyle w:val="SingleTxtG"/>
        <w:spacing w:after="0" w:line="120" w:lineRule="exact"/>
        <w:rPr>
          <w:sz w:val="10"/>
        </w:rPr>
      </w:pPr>
    </w:p>
    <w:p w:rsidR="00102068" w:rsidRDefault="004E3C3F" w:rsidP="00102068">
      <w:pPr>
        <w:pStyle w:val="SingleTxtG"/>
        <w:rPr>
          <w:iCs/>
        </w:rPr>
      </w:pPr>
      <w:r>
        <w:tab/>
      </w:r>
      <w:r w:rsidR="00102068">
        <w:t>Как видно из таблицы, число</w:t>
      </w:r>
      <w:r>
        <w:t> женщин</w:t>
      </w:r>
      <w:r w:rsidR="00102068">
        <w:t xml:space="preserve"> среди фермеров, рыбаков, ремесленников и операторов станков невелико. С другой стороны, их доля среди конторских служащих и в сфере услуг превышает долю мужчин. Соотношение полов является более сбалансированным среди высококвалифицированных рабочих и специалистов, однако среди управляющих и правительственных чиновников в Исландии</w:t>
      </w:r>
      <w:r>
        <w:t> женщин</w:t>
      </w:r>
      <w:r w:rsidR="00102068">
        <w:t>ы по-прежнему образуют немногочисленную группу. Исследование по изучению коренных причин низкой численности</w:t>
      </w:r>
      <w:r>
        <w:t> женщин</w:t>
      </w:r>
      <w:r w:rsidR="00102068">
        <w:t xml:space="preserve"> в рыболовной отрасли еще не завершено.</w:t>
      </w:r>
    </w:p>
    <w:p w:rsidR="00102068" w:rsidRDefault="004E3C3F" w:rsidP="00102068">
      <w:pPr>
        <w:pStyle w:val="SingleTxtG"/>
      </w:pPr>
      <w:r>
        <w:tab/>
      </w:r>
      <w:r w:rsidR="00102068">
        <w:t>Подготовлен План действий по обеспечению равенства мужчин и</w:t>
      </w:r>
      <w:r>
        <w:t> женщин</w:t>
      </w:r>
      <w:r w:rsidR="00102068">
        <w:t xml:space="preserve"> в оплате труда для сокращения различий в выборе профессии, обусловленных гендерной </w:t>
      </w:r>
      <w:r w:rsidR="00102068" w:rsidRPr="007055DB">
        <w:t>принадлежностью</w:t>
      </w:r>
      <w:r w:rsidR="00102068">
        <w:t>, цель которого заключается в устранении гендерных барьеров на рынке труда. В совместном заявлении правительства, пришедшего к власти в 2009 году, было отмечено, что при планировании бюджета и управлении экономической деятельностью следует руководствоваться принципом составления бюджета с учетом гендерного фактора. В соответствии с этим в апреле 2009</w:t>
      </w:r>
      <w:r w:rsidR="004C298C">
        <w:t> года</w:t>
      </w:r>
      <w:r w:rsidR="00102068">
        <w:t xml:space="preserve"> был учрежден руководящий комитет по вопросам составления бюджета с учетом гендерного фактора (БУГФ). Более подробная информация представлена в разделе настоящего доклада, посвященном </w:t>
      </w:r>
      <w:r w:rsidR="004C298C">
        <w:t>статье </w:t>
      </w:r>
      <w:r w:rsidR="00102068">
        <w:t>4.</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Женщины в руководящих органах коммерческих предприятий</w:t>
      </w:r>
    </w:p>
    <w:p w:rsidR="004E3C3F" w:rsidRPr="004E3C3F" w:rsidRDefault="004E3C3F" w:rsidP="004E3C3F">
      <w:pPr>
        <w:spacing w:line="120" w:lineRule="exact"/>
        <w:rPr>
          <w:sz w:val="10"/>
        </w:rPr>
      </w:pPr>
    </w:p>
    <w:p w:rsidR="004E3C3F" w:rsidRPr="004E3C3F" w:rsidRDefault="004E3C3F" w:rsidP="004E3C3F">
      <w:pPr>
        <w:spacing w:line="120" w:lineRule="exact"/>
        <w:rPr>
          <w:sz w:val="10"/>
        </w:rPr>
      </w:pPr>
    </w:p>
    <w:p w:rsidR="00102068" w:rsidRDefault="004E3C3F" w:rsidP="00102068">
      <w:pPr>
        <w:pStyle w:val="SingleTxtG"/>
      </w:pPr>
      <w:r>
        <w:tab/>
      </w:r>
      <w:r w:rsidR="00102068">
        <w:t xml:space="preserve">В своих заключительных замечаниях к последнему периодическому докладу </w:t>
      </w:r>
      <w:r w:rsidR="00102068" w:rsidRPr="00AE6316">
        <w:t>Исландии</w:t>
      </w:r>
      <w:r w:rsidR="00102068">
        <w:t xml:space="preserve"> (CEDAW/C/ICE/CO/6) Комитет </w:t>
      </w:r>
      <w:r w:rsidR="00102068">
        <w:rPr>
          <w:color w:val="000000"/>
        </w:rPr>
        <w:t>настоятельно призвал государство-участника укреплять его усилия по увеличению числа</w:t>
      </w:r>
      <w:r>
        <w:rPr>
          <w:color w:val="000000"/>
        </w:rPr>
        <w:t> женщин</w:t>
      </w:r>
      <w:r w:rsidR="00102068">
        <w:rPr>
          <w:color w:val="000000"/>
        </w:rPr>
        <w:t xml:space="preserve"> на руководящих должностях.</w:t>
      </w:r>
      <w:r w:rsidR="00102068">
        <w:t xml:space="preserve"> Он также рекомендовал </w:t>
      </w:r>
      <w:r w:rsidR="00102068">
        <w:rPr>
          <w:color w:val="000000"/>
        </w:rPr>
        <w:t xml:space="preserve">государству-участнику незамедлительно ввести в действие правовую норму, требующую от учреждений или компаний, в которых занято более 25 человек, готовить программы гендерного равенства или предусмотреть в рамках их политики в области занятости специальные положения, касающиеся гендерного равенства. </w:t>
      </w:r>
    </w:p>
    <w:p w:rsidR="00102068" w:rsidRPr="00AE6316" w:rsidRDefault="004E3C3F" w:rsidP="00102068">
      <w:pPr>
        <w:pStyle w:val="SingleTxtG"/>
      </w:pPr>
      <w:r>
        <w:tab/>
      </w:r>
      <w:r w:rsidR="00102068">
        <w:t>Рост потребности в привлечении большего числа</w:t>
      </w:r>
      <w:r>
        <w:t> женщин</w:t>
      </w:r>
      <w:r w:rsidR="00102068">
        <w:t xml:space="preserve"> к управлению страной в период после экономического кризиса не затронул предпринимательский сектор. Цель увеличения числа</w:t>
      </w:r>
      <w:r>
        <w:t> женщин</w:t>
      </w:r>
      <w:r w:rsidR="00102068">
        <w:t xml:space="preserve">, пользующихся влиянием и занимающих руководящие должности, на исландском рынке труда на протяжении долгого времени являлось частью правительственной политики в области обеспечения гендерного равенства, </w:t>
      </w:r>
      <w:r w:rsidR="00102068" w:rsidRPr="00AE6316">
        <w:t>однако</w:t>
      </w:r>
      <w:r w:rsidR="00102068">
        <w:t xml:space="preserve"> в период 1990–2012 годов темпы продвижения вперед в этой области были гораздо ниже, чем ожидалось. В 1999</w:t>
      </w:r>
      <w:r w:rsidR="004C298C">
        <w:t> году</w:t>
      </w:r>
      <w:r>
        <w:t> женщин</w:t>
      </w:r>
      <w:r w:rsidR="00102068">
        <w:t xml:space="preserve">ы составляли </w:t>
      </w:r>
      <w:r w:rsidR="00102068" w:rsidRPr="00AE6316">
        <w:t>15</w:t>
      </w:r>
      <w:r w:rsidR="004C298C">
        <w:t> процентов</w:t>
      </w:r>
      <w:r w:rsidR="00102068" w:rsidRPr="00AE6316">
        <w:t xml:space="preserve"> руководителей, после чего их доля увеличилась на 7 процентных пункта, достигнув 22</w:t>
      </w:r>
      <w:r w:rsidR="004C298C">
        <w:t> процентов</w:t>
      </w:r>
      <w:r w:rsidR="00102068" w:rsidRPr="00AE6316">
        <w:t xml:space="preserve"> в 2012</w:t>
      </w:r>
      <w:r w:rsidR="004C298C">
        <w:t> году</w:t>
      </w:r>
      <w:r w:rsidR="00102068" w:rsidRPr="00AE6316">
        <w:t>. Женщины чаще занимают руководящие должности на малых и средних предприятиях: в 2011</w:t>
      </w:r>
      <w:r w:rsidR="004C298C">
        <w:t> году</w:t>
      </w:r>
      <w:r>
        <w:t> женщин</w:t>
      </w:r>
      <w:r w:rsidR="00102068" w:rsidRPr="00AE6316">
        <w:t>ами являлись лишь 13</w:t>
      </w:r>
      <w:r w:rsidR="004C298C">
        <w:t> процентов</w:t>
      </w:r>
      <w:r w:rsidR="00102068" w:rsidRPr="00AE6316">
        <w:t xml:space="preserve"> руководителей 100 крупнейших компаний Исландии. Доля</w:t>
      </w:r>
      <w:r>
        <w:t> женщин</w:t>
      </w:r>
      <w:r w:rsidR="00102068" w:rsidRPr="00AE6316">
        <w:t xml:space="preserve"> в правлениях компаний составляла 22</w:t>
      </w:r>
      <w:r w:rsidR="004C298C">
        <w:t> процента</w:t>
      </w:r>
      <w:r w:rsidR="00102068" w:rsidRPr="00AE6316">
        <w:t xml:space="preserve"> в 1999</w:t>
      </w:r>
      <w:r w:rsidR="004C298C">
        <w:t> году</w:t>
      </w:r>
      <w:r w:rsidR="00102068" w:rsidRPr="00AE6316">
        <w:t xml:space="preserve"> и 24</w:t>
      </w:r>
      <w:r w:rsidR="004C298C">
        <w:t> процента</w:t>
      </w:r>
      <w:r w:rsidR="00102068" w:rsidRPr="00AE6316">
        <w:t xml:space="preserve"> в 2011</w:t>
      </w:r>
      <w:r w:rsidR="004C298C">
        <w:t> году</w:t>
      </w:r>
      <w:r w:rsidR="00102068" w:rsidRPr="00AE6316">
        <w:t>; иными словами, за эти 12 лет существенных изменений не произошло.</w:t>
      </w:r>
    </w:p>
    <w:p w:rsidR="00102068" w:rsidRDefault="004E3C3F" w:rsidP="00102068">
      <w:pPr>
        <w:pStyle w:val="SingleTxtG"/>
        <w:rPr>
          <w:iCs/>
        </w:rPr>
      </w:pPr>
      <w:r>
        <w:tab/>
      </w:r>
      <w:r w:rsidR="00102068">
        <w:t>В 2008</w:t>
      </w:r>
      <w:r w:rsidR="004C298C">
        <w:t> году</w:t>
      </w:r>
      <w:r w:rsidR="00102068">
        <w:t xml:space="preserve"> была продолжена работа по реализации проекта </w:t>
      </w:r>
      <w:r w:rsidR="004C298C">
        <w:t>«</w:t>
      </w:r>
      <w:r w:rsidR="00102068">
        <w:t>Индикаторы гендерного равенства</w:t>
      </w:r>
      <w:r w:rsidR="004C298C">
        <w:t>»</w:t>
      </w:r>
      <w:r w:rsidR="00102068">
        <w:t xml:space="preserve"> (</w:t>
      </w:r>
      <w:r w:rsidR="004C298C">
        <w:t>«</w:t>
      </w:r>
      <w:r w:rsidR="00102068">
        <w:rPr>
          <w:i/>
        </w:rPr>
        <w:t>Jafnréttiskennitala</w:t>
      </w:r>
      <w:r w:rsidR="004C298C">
        <w:t>»</w:t>
      </w:r>
      <w:r w:rsidR="00102068">
        <w:t>), в рамках которой было проанализировано положение в правлениях 100 крупнейших компаний Исландии с целью определить долю</w:t>
      </w:r>
      <w:r>
        <w:t> женщин</w:t>
      </w:r>
      <w:r w:rsidR="00102068">
        <w:t xml:space="preserve"> среди их членов. Другие правительственные проекты направлены на создание стимулов, побуждающих</w:t>
      </w:r>
      <w:r>
        <w:t> женщин</w:t>
      </w:r>
      <w:r w:rsidR="00102068">
        <w:t xml:space="preserve"> осуществлять свои предпринимательские идеи, и поддержку</w:t>
      </w:r>
      <w:r>
        <w:t> женщин</w:t>
      </w:r>
      <w:r w:rsidR="00102068">
        <w:t>, руководящих малыми или средними предприятиями.</w:t>
      </w:r>
    </w:p>
    <w:p w:rsidR="00102068" w:rsidRDefault="004E3C3F" w:rsidP="00102068">
      <w:pPr>
        <w:pStyle w:val="SingleTxtG"/>
      </w:pPr>
      <w:r>
        <w:tab/>
      </w:r>
      <w:r w:rsidR="00102068">
        <w:t>В марте 2010</w:t>
      </w:r>
      <w:r w:rsidR="004C298C">
        <w:t> года</w:t>
      </w:r>
      <w:r w:rsidR="00102068">
        <w:t xml:space="preserve"> в целях увеличения числа</w:t>
      </w:r>
      <w:r>
        <w:t> женщин</w:t>
      </w:r>
      <w:r w:rsidR="00102068">
        <w:t xml:space="preserve"> на руководящих должностях в </w:t>
      </w:r>
      <w:r w:rsidR="00102068" w:rsidRPr="00AE6316">
        <w:t>деловом</w:t>
      </w:r>
      <w:r w:rsidR="00102068">
        <w:t xml:space="preserve"> мире правительство включило в Закон об открытых компаниях с ограниченной ответственностью</w:t>
      </w:r>
      <w:r w:rsidR="004C298C">
        <w:t> № </w:t>
      </w:r>
      <w:r w:rsidR="00102068">
        <w:t>2/1995 с последующими поправками положение о соотношении полов в правлениях компаний с ограниченной ответственностью; оно применимо к компаниям с ограниченной ответственностью, в которых численность наемных работников в годовом исчислении превышает 50</w:t>
      </w:r>
      <w:r w:rsidR="004C298C">
        <w:t> человек</w:t>
      </w:r>
      <w:r w:rsidR="00102068">
        <w:t xml:space="preserve">. Статья 63 Закона об открытых компаниях с ограниченной ответственностью касается вопроса о соотношении полов и практически аналогична положению </w:t>
      </w:r>
      <w:r w:rsidR="004C298C">
        <w:t>статьи </w:t>
      </w:r>
      <w:r w:rsidR="00102068">
        <w:t>39 Закона о закрытых компаниях с ограниченной ответственностью</w:t>
      </w:r>
      <w:r w:rsidR="004C298C">
        <w:t> № </w:t>
      </w:r>
      <w:r w:rsidR="00102068">
        <w:t>138/1994 с последующими поправками; единственное различие между ними заключается в общем правиле, согласно которому в компаниях с ограниченной ответственностью правление должно состоять не менее чем из трех директоров, в то время как правление закрытых компаний с ограниченной ответственностью может состоять из одного или двух</w:t>
      </w:r>
      <w:r w:rsidR="004C298C">
        <w:t> человек</w:t>
      </w:r>
      <w:r w:rsidR="00102068">
        <w:t>. Сказанное означает, что все компании, в которых среднее число сотрудников составляет 50 и более</w:t>
      </w:r>
      <w:r w:rsidR="004C298C">
        <w:t> человек</w:t>
      </w:r>
      <w:r w:rsidR="00102068">
        <w:t>, должны соблюдать закон, касающийся соотношения полов в их правлениях. Компании, где среднее число сотрудников составляет менее 50</w:t>
      </w:r>
      <w:r w:rsidR="004C298C">
        <w:t> человек</w:t>
      </w:r>
      <w:r w:rsidR="00102068">
        <w:t>, не обязаны заботиться о соблюдении надлежащего соотношения мужчин и</w:t>
      </w:r>
      <w:r>
        <w:t> женщин</w:t>
      </w:r>
      <w:r w:rsidR="00102068">
        <w:t xml:space="preserve"> в их правлениях. Открытые компании с ограниченной ответственностью, в которых работают более 25</w:t>
      </w:r>
      <w:r w:rsidR="004C298C">
        <w:t> человек</w:t>
      </w:r>
      <w:r w:rsidR="00102068">
        <w:t>, также должны учитывать соотношение полов при назначении руководителей и направлять в Реестр компаний информацию о долях мужчин и</w:t>
      </w:r>
      <w:r>
        <w:t> женщин</w:t>
      </w:r>
      <w:r w:rsidR="00102068">
        <w:t xml:space="preserve"> среди их руководителей, персонала и членов правлений.</w:t>
      </w:r>
    </w:p>
    <w:p w:rsidR="00102068" w:rsidRDefault="004E3C3F" w:rsidP="00102068">
      <w:pPr>
        <w:pStyle w:val="SingleTxtG"/>
        <w:rPr>
          <w:b/>
        </w:rPr>
      </w:pPr>
      <w:r>
        <w:tab/>
      </w:r>
      <w:r w:rsidR="00102068">
        <w:t>Для компаний, к которым применимы указанные положения, был установлен трехлетний адаптационный период, завершившийся 1 сентября 2013</w:t>
      </w:r>
      <w:r w:rsidR="004C298C">
        <w:t> года</w:t>
      </w:r>
      <w:r w:rsidR="00102068">
        <w:t>. В пояснительных примечаниях к законопроекту, ставшему исландским законом, разъяснялось, что эта мера направлена на обеспечение более сбалансированного соотношения мужчин и</w:t>
      </w:r>
      <w:r>
        <w:t> женщин</w:t>
      </w:r>
      <w:r w:rsidR="00102068">
        <w:t xml:space="preserve"> на важных должностях как в открытых, так и в закрытых компаниях с ограниченной </w:t>
      </w:r>
      <w:r w:rsidR="00102068" w:rsidRPr="00AE6316">
        <w:t>ответственностью</w:t>
      </w:r>
      <w:r w:rsidR="00102068">
        <w:t>; предполагалось, что в предпринимательском секторе должны существовать разные варианты и что традиционная схема, при которой подавляющее большинство руководителей составляют лица одного пола, принадлежащие к одинаковым возрастным группам и имеющие аналогичную подготовку с точки зрения образования и опыта, чревата определенными опасностями. Министерство промышленности и инноваций отслеживает ситуацию в правлениях корпоративных организаций и изменения, произошедшие после введения нового законодательства. Последние данные свидетельствуют о том, что наметилась правильная тенденция, особенно если речь идет о более крупных предприятиях, однако цель данного закона, в соответствии с которой доля мужчин и</w:t>
      </w:r>
      <w:r>
        <w:t> женщин</w:t>
      </w:r>
      <w:r w:rsidR="00102068">
        <w:t xml:space="preserve"> в совете директоров компаний, где работают 50 и более</w:t>
      </w:r>
      <w:r w:rsidR="004C298C">
        <w:t> человек</w:t>
      </w:r>
      <w:r w:rsidR="00102068">
        <w:t>, должна составлять не менее 40</w:t>
      </w:r>
      <w:r w:rsidR="004C298C">
        <w:t> процентов</w:t>
      </w:r>
      <w:r w:rsidR="00102068">
        <w:t>, еще не достигнута. Вместе с тем следует отметить, что многие компании еще не провели ежегодные общие собрания за текущий (2014) год, поэтому более важную роль будет играть анализ ситуации, которая сложится в конце</w:t>
      </w:r>
      <w:r w:rsidR="004C298C">
        <w:t> года</w:t>
      </w:r>
      <w:r w:rsidR="00102068">
        <w:t>.</w:t>
      </w:r>
    </w:p>
    <w:p w:rsidR="00102068" w:rsidRPr="00AE6316" w:rsidRDefault="004E3C3F" w:rsidP="00102068">
      <w:pPr>
        <w:pStyle w:val="SingleTxtG"/>
        <w:jc w:val="left"/>
        <w:rPr>
          <w:b/>
        </w:rPr>
      </w:pPr>
      <w:r>
        <w:rPr>
          <w:b/>
        </w:rPr>
        <w:br w:type="page"/>
      </w:r>
      <w:r w:rsidR="00102068" w:rsidRPr="00AE6316">
        <w:rPr>
          <w:b/>
        </w:rPr>
        <w:t>Доля</w:t>
      </w:r>
      <w:r>
        <w:rPr>
          <w:b/>
        </w:rPr>
        <w:t> женщин</w:t>
      </w:r>
      <w:r w:rsidR="00102068" w:rsidRPr="00AE6316">
        <w:rPr>
          <w:b/>
        </w:rPr>
        <w:t xml:space="preserve"> на руководящих должностях предприятий, 2013 год</w:t>
      </w:r>
    </w:p>
    <w:tbl>
      <w:tblPr>
        <w:tblW w:w="0" w:type="auto"/>
        <w:tblInd w:w="1304" w:type="dxa"/>
        <w:tblLayout w:type="fixed"/>
        <w:tblCellMar>
          <w:left w:w="0" w:type="dxa"/>
          <w:right w:w="0" w:type="dxa"/>
        </w:tblCellMar>
        <w:tblLook w:val="0000" w:firstRow="0" w:lastRow="0" w:firstColumn="0" w:lastColumn="0" w:noHBand="0" w:noVBand="0"/>
      </w:tblPr>
      <w:tblGrid>
        <w:gridCol w:w="3400"/>
        <w:gridCol w:w="1250"/>
        <w:gridCol w:w="1417"/>
        <w:gridCol w:w="1276"/>
      </w:tblGrid>
      <w:tr w:rsidR="00102068" w:rsidTr="006505E8">
        <w:trPr>
          <w:trHeight w:val="255"/>
          <w:tblHeader/>
        </w:trPr>
        <w:tc>
          <w:tcPr>
            <w:tcW w:w="3400" w:type="dxa"/>
            <w:tcBorders>
              <w:top w:val="single" w:sz="4" w:space="0" w:color="000000"/>
              <w:bottom w:val="single" w:sz="12" w:space="0" w:color="000000"/>
            </w:tcBorders>
            <w:shd w:val="clear" w:color="auto" w:fill="auto"/>
            <w:vAlign w:val="bottom"/>
          </w:tcPr>
          <w:p w:rsidR="00102068" w:rsidRPr="00AE6316" w:rsidRDefault="00102068" w:rsidP="006505E8">
            <w:pPr>
              <w:spacing w:line="240" w:lineRule="auto"/>
              <w:rPr>
                <w:bCs/>
                <w:i/>
                <w:spacing w:val="0"/>
                <w:w w:val="100"/>
                <w:sz w:val="14"/>
                <w:szCs w:val="14"/>
                <w:lang w:eastAsia="zh-CN"/>
              </w:rPr>
            </w:pPr>
            <w:r w:rsidRPr="00AE6316">
              <w:rPr>
                <w:bCs/>
                <w:i/>
                <w:spacing w:val="0"/>
                <w:w w:val="100"/>
                <w:sz w:val="14"/>
                <w:szCs w:val="14"/>
                <w:lang w:eastAsia="zh-CN"/>
              </w:rPr>
              <w:t>Число наемных работников</w:t>
            </w:r>
          </w:p>
        </w:tc>
        <w:tc>
          <w:tcPr>
            <w:tcW w:w="1250" w:type="dxa"/>
            <w:tcBorders>
              <w:top w:val="single" w:sz="4" w:space="0" w:color="000000"/>
              <w:bottom w:val="single" w:sz="12" w:space="0" w:color="000000"/>
            </w:tcBorders>
            <w:shd w:val="clear" w:color="auto" w:fill="auto"/>
            <w:vAlign w:val="bottom"/>
          </w:tcPr>
          <w:p w:rsidR="00102068" w:rsidRPr="00AE6316" w:rsidRDefault="00102068" w:rsidP="006505E8">
            <w:pPr>
              <w:spacing w:line="240" w:lineRule="auto"/>
              <w:jc w:val="right"/>
              <w:rPr>
                <w:bCs/>
                <w:i/>
                <w:spacing w:val="0"/>
                <w:w w:val="100"/>
                <w:sz w:val="14"/>
                <w:szCs w:val="14"/>
                <w:lang w:eastAsia="zh-CN"/>
              </w:rPr>
            </w:pPr>
            <w:r w:rsidRPr="00AE6316">
              <w:rPr>
                <w:bCs/>
                <w:i/>
                <w:spacing w:val="0"/>
                <w:w w:val="100"/>
                <w:sz w:val="14"/>
                <w:szCs w:val="14"/>
                <w:lang w:eastAsia="zh-CN"/>
              </w:rPr>
              <w:t>Количество</w:t>
            </w:r>
            <w:r>
              <w:rPr>
                <w:bCs/>
                <w:i/>
                <w:spacing w:val="0"/>
                <w:w w:val="100"/>
                <w:sz w:val="14"/>
                <w:szCs w:val="14"/>
                <w:lang w:eastAsia="zh-CN"/>
              </w:rPr>
              <w:br/>
            </w:r>
            <w:r w:rsidRPr="00AE6316">
              <w:rPr>
                <w:bCs/>
                <w:i/>
                <w:spacing w:val="0"/>
                <w:w w:val="100"/>
                <w:sz w:val="14"/>
                <w:szCs w:val="14"/>
                <w:lang w:eastAsia="zh-CN"/>
              </w:rPr>
              <w:t xml:space="preserve"> предприятий</w:t>
            </w:r>
          </w:p>
        </w:tc>
        <w:tc>
          <w:tcPr>
            <w:tcW w:w="1417" w:type="dxa"/>
            <w:tcBorders>
              <w:top w:val="single" w:sz="4" w:space="0" w:color="000000"/>
              <w:bottom w:val="single" w:sz="12" w:space="0" w:color="000000"/>
            </w:tcBorders>
            <w:shd w:val="clear" w:color="auto" w:fill="auto"/>
            <w:vAlign w:val="bottom"/>
          </w:tcPr>
          <w:p w:rsidR="00102068" w:rsidRPr="00AE6316" w:rsidRDefault="00102068" w:rsidP="006505E8">
            <w:pPr>
              <w:spacing w:line="240" w:lineRule="auto"/>
              <w:jc w:val="right"/>
              <w:rPr>
                <w:bCs/>
                <w:i/>
                <w:spacing w:val="0"/>
                <w:w w:val="100"/>
                <w:sz w:val="14"/>
                <w:szCs w:val="14"/>
                <w:lang w:eastAsia="zh-CN"/>
              </w:rPr>
            </w:pPr>
            <w:r w:rsidRPr="00AE6316">
              <w:rPr>
                <w:bCs/>
                <w:i/>
                <w:spacing w:val="0"/>
                <w:w w:val="100"/>
                <w:sz w:val="14"/>
                <w:szCs w:val="14"/>
                <w:lang w:eastAsia="zh-CN"/>
              </w:rPr>
              <w:t>Доля</w:t>
            </w:r>
            <w:r w:rsidR="004E3C3F">
              <w:rPr>
                <w:bCs/>
                <w:i/>
                <w:spacing w:val="0"/>
                <w:w w:val="100"/>
                <w:sz w:val="14"/>
                <w:szCs w:val="14"/>
                <w:lang w:eastAsia="zh-CN"/>
              </w:rPr>
              <w:t> женщин</w:t>
            </w:r>
            <w:r w:rsidRPr="00AE6316">
              <w:rPr>
                <w:bCs/>
                <w:i/>
                <w:spacing w:val="0"/>
                <w:w w:val="100"/>
                <w:sz w:val="14"/>
                <w:szCs w:val="14"/>
                <w:lang w:eastAsia="zh-CN"/>
              </w:rPr>
              <w:t xml:space="preserve"> </w:t>
            </w:r>
            <w:r>
              <w:rPr>
                <w:bCs/>
                <w:i/>
                <w:spacing w:val="0"/>
                <w:w w:val="100"/>
                <w:sz w:val="14"/>
                <w:szCs w:val="14"/>
                <w:lang w:eastAsia="zh-CN"/>
              </w:rPr>
              <w:br/>
            </w:r>
            <w:r w:rsidRPr="00AE6316">
              <w:rPr>
                <w:bCs/>
                <w:i/>
                <w:spacing w:val="0"/>
                <w:w w:val="100"/>
                <w:sz w:val="14"/>
                <w:szCs w:val="14"/>
                <w:lang w:eastAsia="zh-CN"/>
              </w:rPr>
              <w:t>(в</w:t>
            </w:r>
            <w:r w:rsidR="004C298C">
              <w:rPr>
                <w:bCs/>
                <w:i/>
                <w:spacing w:val="0"/>
                <w:w w:val="100"/>
                <w:sz w:val="14"/>
                <w:szCs w:val="14"/>
                <w:lang w:eastAsia="zh-CN"/>
              </w:rPr>
              <w:t> процента</w:t>
            </w:r>
            <w:r w:rsidRPr="00AE6316">
              <w:rPr>
                <w:bCs/>
                <w:i/>
                <w:spacing w:val="0"/>
                <w:w w:val="100"/>
                <w:sz w:val="14"/>
                <w:szCs w:val="14"/>
                <w:lang w:eastAsia="zh-CN"/>
              </w:rPr>
              <w:t>х)</w:t>
            </w:r>
          </w:p>
        </w:tc>
        <w:tc>
          <w:tcPr>
            <w:tcW w:w="1276" w:type="dxa"/>
            <w:tcBorders>
              <w:top w:val="single" w:sz="4" w:space="0" w:color="000000"/>
              <w:bottom w:val="single" w:sz="12" w:space="0" w:color="000000"/>
            </w:tcBorders>
            <w:shd w:val="clear" w:color="auto" w:fill="auto"/>
            <w:vAlign w:val="bottom"/>
          </w:tcPr>
          <w:p w:rsidR="00102068" w:rsidRPr="00AE6316" w:rsidRDefault="00102068" w:rsidP="006505E8">
            <w:pPr>
              <w:spacing w:line="240" w:lineRule="auto"/>
              <w:jc w:val="right"/>
              <w:rPr>
                <w:bCs/>
                <w:i/>
                <w:spacing w:val="0"/>
                <w:w w:val="100"/>
                <w:sz w:val="14"/>
                <w:szCs w:val="14"/>
                <w:lang w:eastAsia="zh-CN"/>
              </w:rPr>
            </w:pPr>
            <w:r w:rsidRPr="00AE6316">
              <w:rPr>
                <w:bCs/>
                <w:i/>
                <w:spacing w:val="0"/>
                <w:w w:val="100"/>
                <w:sz w:val="14"/>
                <w:szCs w:val="14"/>
                <w:lang w:eastAsia="zh-CN"/>
              </w:rPr>
              <w:t xml:space="preserve">Изменения </w:t>
            </w:r>
          </w:p>
          <w:p w:rsidR="00102068" w:rsidRPr="00AE6316" w:rsidRDefault="00102068" w:rsidP="006505E8">
            <w:pPr>
              <w:spacing w:line="240" w:lineRule="auto"/>
              <w:jc w:val="right"/>
              <w:rPr>
                <w:spacing w:val="0"/>
                <w:w w:val="100"/>
                <w:sz w:val="14"/>
                <w:szCs w:val="14"/>
              </w:rPr>
            </w:pPr>
            <w:r w:rsidRPr="00AE6316">
              <w:rPr>
                <w:bCs/>
                <w:i/>
                <w:spacing w:val="0"/>
                <w:w w:val="100"/>
                <w:sz w:val="14"/>
                <w:szCs w:val="14"/>
                <w:lang w:eastAsia="zh-CN"/>
              </w:rPr>
              <w:t>после 2012</w:t>
            </w:r>
            <w:r w:rsidR="004C298C">
              <w:rPr>
                <w:bCs/>
                <w:i/>
                <w:spacing w:val="0"/>
                <w:w w:val="100"/>
                <w:sz w:val="14"/>
                <w:szCs w:val="14"/>
                <w:lang w:eastAsia="zh-CN"/>
              </w:rPr>
              <w:t> года</w:t>
            </w:r>
          </w:p>
        </w:tc>
      </w:tr>
      <w:tr w:rsidR="00102068" w:rsidTr="006505E8">
        <w:trPr>
          <w:trHeight w:val="255"/>
        </w:trPr>
        <w:tc>
          <w:tcPr>
            <w:tcW w:w="3400" w:type="dxa"/>
            <w:tcBorders>
              <w:top w:val="single" w:sz="12" w:space="0" w:color="000000"/>
            </w:tcBorders>
            <w:shd w:val="clear" w:color="auto" w:fill="auto"/>
          </w:tcPr>
          <w:p w:rsidR="00102068" w:rsidRPr="00AE6316" w:rsidRDefault="00102068" w:rsidP="006505E8">
            <w:pPr>
              <w:spacing w:before="120" w:after="40" w:line="240" w:lineRule="auto"/>
              <w:rPr>
                <w:spacing w:val="0"/>
                <w:w w:val="100"/>
                <w:sz w:val="17"/>
                <w:szCs w:val="17"/>
                <w:lang w:eastAsia="zh-CN"/>
              </w:rPr>
            </w:pPr>
            <w:r w:rsidRPr="00AE6316">
              <w:rPr>
                <w:bCs/>
                <w:iCs/>
                <w:spacing w:val="0"/>
                <w:w w:val="100"/>
                <w:sz w:val="17"/>
                <w:szCs w:val="17"/>
                <w:lang w:eastAsia="zh-CN"/>
              </w:rPr>
              <w:t>Исполнительные директора</w:t>
            </w:r>
          </w:p>
        </w:tc>
        <w:tc>
          <w:tcPr>
            <w:tcW w:w="1250" w:type="dxa"/>
            <w:tcBorders>
              <w:top w:val="single" w:sz="12" w:space="0" w:color="000000"/>
            </w:tcBorders>
            <w:shd w:val="clear" w:color="auto" w:fill="auto"/>
            <w:vAlign w:val="bottom"/>
          </w:tcPr>
          <w:p w:rsidR="00102068" w:rsidRPr="00AE6316" w:rsidRDefault="00102068" w:rsidP="006505E8">
            <w:pPr>
              <w:spacing w:before="120" w:after="40" w:line="240" w:lineRule="auto"/>
              <w:jc w:val="right"/>
              <w:rPr>
                <w:spacing w:val="0"/>
                <w:w w:val="100"/>
                <w:sz w:val="17"/>
                <w:szCs w:val="17"/>
                <w:lang w:eastAsia="zh-CN"/>
              </w:rPr>
            </w:pPr>
            <w:r w:rsidRPr="00AE6316">
              <w:rPr>
                <w:spacing w:val="0"/>
                <w:w w:val="100"/>
                <w:sz w:val="17"/>
                <w:szCs w:val="17"/>
                <w:lang w:eastAsia="zh-CN"/>
              </w:rPr>
              <w:t> </w:t>
            </w:r>
          </w:p>
        </w:tc>
        <w:tc>
          <w:tcPr>
            <w:tcW w:w="1417" w:type="dxa"/>
            <w:tcBorders>
              <w:top w:val="single" w:sz="12" w:space="0" w:color="000000"/>
            </w:tcBorders>
            <w:shd w:val="clear" w:color="auto" w:fill="auto"/>
            <w:vAlign w:val="bottom"/>
          </w:tcPr>
          <w:p w:rsidR="00102068" w:rsidRPr="00AE6316" w:rsidRDefault="00102068" w:rsidP="006505E8">
            <w:pPr>
              <w:spacing w:before="120" w:after="40" w:line="240" w:lineRule="auto"/>
              <w:jc w:val="right"/>
              <w:rPr>
                <w:spacing w:val="0"/>
                <w:w w:val="100"/>
                <w:sz w:val="17"/>
                <w:szCs w:val="17"/>
                <w:lang w:eastAsia="zh-CN"/>
              </w:rPr>
            </w:pPr>
            <w:r w:rsidRPr="00AE6316">
              <w:rPr>
                <w:spacing w:val="0"/>
                <w:w w:val="100"/>
                <w:sz w:val="17"/>
                <w:szCs w:val="17"/>
                <w:lang w:eastAsia="zh-CN"/>
              </w:rPr>
              <w:t> </w:t>
            </w:r>
          </w:p>
        </w:tc>
        <w:tc>
          <w:tcPr>
            <w:tcW w:w="1276" w:type="dxa"/>
            <w:tcBorders>
              <w:top w:val="single" w:sz="12" w:space="0" w:color="000000"/>
            </w:tcBorders>
            <w:shd w:val="clear" w:color="auto" w:fill="auto"/>
            <w:vAlign w:val="bottom"/>
          </w:tcPr>
          <w:p w:rsidR="00102068" w:rsidRPr="00AE6316" w:rsidRDefault="00102068" w:rsidP="006505E8">
            <w:pPr>
              <w:spacing w:before="120" w:after="40" w:line="240" w:lineRule="auto"/>
              <w:jc w:val="right"/>
              <w:rPr>
                <w:spacing w:val="0"/>
                <w:w w:val="100"/>
                <w:sz w:val="17"/>
                <w:szCs w:val="17"/>
              </w:rPr>
            </w:pPr>
            <w:r w:rsidRPr="00AE6316">
              <w:rPr>
                <w:spacing w:val="0"/>
                <w:w w:val="100"/>
                <w:sz w:val="17"/>
                <w:szCs w:val="17"/>
                <w:lang w:eastAsia="zh-CN"/>
              </w:rPr>
              <w:t> </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1–49</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9 946</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21,3</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Pr>
                <w:spacing w:val="0"/>
                <w:w w:val="100"/>
                <w:sz w:val="17"/>
                <w:szCs w:val="17"/>
                <w:lang w:eastAsia="zh-CN"/>
              </w:rPr>
              <w:t>–</w:t>
            </w:r>
            <w:r w:rsidRPr="00AE6316">
              <w:rPr>
                <w:spacing w:val="0"/>
                <w:w w:val="100"/>
                <w:sz w:val="17"/>
                <w:szCs w:val="17"/>
                <w:lang w:eastAsia="zh-CN"/>
              </w:rPr>
              <w:t>4,5</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50–99</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156</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13,5</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0,0</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100+</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175</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9,7</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4,2</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rPr>
                <w:spacing w:val="0"/>
                <w:w w:val="100"/>
                <w:sz w:val="17"/>
                <w:szCs w:val="17"/>
                <w:lang w:eastAsia="zh-CN"/>
              </w:rPr>
            </w:pPr>
            <w:r w:rsidRPr="00AE6316">
              <w:rPr>
                <w:spacing w:val="0"/>
                <w:w w:val="100"/>
                <w:sz w:val="17"/>
                <w:szCs w:val="17"/>
                <w:lang w:eastAsia="zh-CN"/>
              </w:rPr>
              <w:t> </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 </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 </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 </w:t>
            </w:r>
          </w:p>
        </w:tc>
      </w:tr>
      <w:tr w:rsidR="00102068" w:rsidTr="006505E8">
        <w:trPr>
          <w:trHeight w:val="255"/>
        </w:trPr>
        <w:tc>
          <w:tcPr>
            <w:tcW w:w="4650" w:type="dxa"/>
            <w:gridSpan w:val="2"/>
            <w:shd w:val="clear" w:color="auto" w:fill="auto"/>
          </w:tcPr>
          <w:p w:rsidR="00102068" w:rsidRPr="00AE6316" w:rsidRDefault="00102068" w:rsidP="006505E8">
            <w:pPr>
              <w:spacing w:before="40" w:after="40" w:line="240" w:lineRule="auto"/>
              <w:rPr>
                <w:spacing w:val="0"/>
                <w:w w:val="100"/>
                <w:sz w:val="17"/>
                <w:szCs w:val="17"/>
                <w:lang w:eastAsia="zh-CN"/>
              </w:rPr>
            </w:pPr>
            <w:r w:rsidRPr="00AE6316">
              <w:rPr>
                <w:bCs/>
                <w:iCs/>
                <w:spacing w:val="0"/>
                <w:w w:val="100"/>
                <w:sz w:val="17"/>
                <w:szCs w:val="17"/>
                <w:lang w:eastAsia="zh-CN"/>
              </w:rPr>
              <w:t>Председатели/члены правлений</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 </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 </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1–49</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30 113</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24,5</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Pr>
                <w:spacing w:val="0"/>
                <w:w w:val="100"/>
                <w:sz w:val="17"/>
                <w:szCs w:val="17"/>
                <w:lang w:eastAsia="zh-CN"/>
              </w:rPr>
              <w:t>–</w:t>
            </w:r>
            <w:r w:rsidRPr="00AE6316">
              <w:rPr>
                <w:spacing w:val="0"/>
                <w:w w:val="100"/>
                <w:sz w:val="17"/>
                <w:szCs w:val="17"/>
                <w:lang w:eastAsia="zh-CN"/>
              </w:rPr>
              <w:t>5,0</w:t>
            </w:r>
          </w:p>
        </w:tc>
      </w:tr>
      <w:tr w:rsidR="00102068" w:rsidTr="006505E8">
        <w:trPr>
          <w:trHeight w:val="255"/>
        </w:trPr>
        <w:tc>
          <w:tcPr>
            <w:tcW w:w="3400" w:type="dxa"/>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50–99</w:t>
            </w:r>
          </w:p>
        </w:tc>
        <w:tc>
          <w:tcPr>
            <w:tcW w:w="1250"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594</w:t>
            </w:r>
          </w:p>
        </w:tc>
        <w:tc>
          <w:tcPr>
            <w:tcW w:w="1417" w:type="dxa"/>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23,2</w:t>
            </w:r>
          </w:p>
        </w:tc>
        <w:tc>
          <w:tcPr>
            <w:tcW w:w="1276" w:type="dxa"/>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0.8</w:t>
            </w:r>
          </w:p>
        </w:tc>
      </w:tr>
      <w:tr w:rsidR="00102068" w:rsidTr="006505E8">
        <w:trPr>
          <w:trHeight w:val="255"/>
        </w:trPr>
        <w:tc>
          <w:tcPr>
            <w:tcW w:w="3400" w:type="dxa"/>
            <w:tcBorders>
              <w:bottom w:val="single" w:sz="12" w:space="0" w:color="000000"/>
            </w:tcBorders>
            <w:shd w:val="clear" w:color="auto" w:fill="auto"/>
          </w:tcPr>
          <w:p w:rsidR="00102068" w:rsidRPr="00AE6316" w:rsidRDefault="00102068" w:rsidP="006505E8">
            <w:pPr>
              <w:spacing w:before="40" w:after="40" w:line="240" w:lineRule="auto"/>
              <w:ind w:left="170"/>
              <w:rPr>
                <w:spacing w:val="0"/>
                <w:w w:val="100"/>
                <w:sz w:val="17"/>
                <w:szCs w:val="17"/>
                <w:lang w:eastAsia="zh-CN"/>
              </w:rPr>
            </w:pPr>
            <w:r w:rsidRPr="00AE6316">
              <w:rPr>
                <w:spacing w:val="0"/>
                <w:w w:val="100"/>
                <w:sz w:val="17"/>
                <w:szCs w:val="17"/>
                <w:lang w:eastAsia="zh-CN"/>
              </w:rPr>
              <w:t>100+</w:t>
            </w:r>
          </w:p>
        </w:tc>
        <w:tc>
          <w:tcPr>
            <w:tcW w:w="1250" w:type="dxa"/>
            <w:tcBorders>
              <w:bottom w:val="single" w:sz="12" w:space="0" w:color="000000"/>
            </w:tcBorders>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734</w:t>
            </w:r>
          </w:p>
        </w:tc>
        <w:tc>
          <w:tcPr>
            <w:tcW w:w="1417" w:type="dxa"/>
            <w:tcBorders>
              <w:bottom w:val="single" w:sz="12" w:space="0" w:color="000000"/>
            </w:tcBorders>
            <w:shd w:val="clear" w:color="auto" w:fill="auto"/>
            <w:vAlign w:val="bottom"/>
          </w:tcPr>
          <w:p w:rsidR="00102068" w:rsidRPr="00AE6316" w:rsidRDefault="00102068" w:rsidP="006505E8">
            <w:pPr>
              <w:spacing w:before="40" w:after="40" w:line="240" w:lineRule="auto"/>
              <w:jc w:val="right"/>
              <w:rPr>
                <w:spacing w:val="0"/>
                <w:w w:val="100"/>
                <w:sz w:val="17"/>
                <w:szCs w:val="17"/>
                <w:lang w:eastAsia="zh-CN"/>
              </w:rPr>
            </w:pPr>
            <w:r w:rsidRPr="00AE6316">
              <w:rPr>
                <w:spacing w:val="0"/>
                <w:w w:val="100"/>
                <w:sz w:val="17"/>
                <w:szCs w:val="17"/>
                <w:lang w:eastAsia="zh-CN"/>
              </w:rPr>
              <w:t>26,8</w:t>
            </w:r>
          </w:p>
        </w:tc>
        <w:tc>
          <w:tcPr>
            <w:tcW w:w="1276" w:type="dxa"/>
            <w:tcBorders>
              <w:bottom w:val="single" w:sz="12" w:space="0" w:color="000000"/>
            </w:tcBorders>
            <w:shd w:val="clear" w:color="auto" w:fill="auto"/>
            <w:vAlign w:val="bottom"/>
          </w:tcPr>
          <w:p w:rsidR="00102068" w:rsidRPr="00AE6316" w:rsidRDefault="00102068" w:rsidP="006505E8">
            <w:pPr>
              <w:spacing w:before="40" w:after="40" w:line="240" w:lineRule="auto"/>
              <w:jc w:val="right"/>
              <w:rPr>
                <w:spacing w:val="0"/>
                <w:w w:val="100"/>
                <w:sz w:val="17"/>
                <w:szCs w:val="17"/>
              </w:rPr>
            </w:pPr>
            <w:r w:rsidRPr="00AE6316">
              <w:rPr>
                <w:spacing w:val="0"/>
                <w:w w:val="100"/>
                <w:sz w:val="17"/>
                <w:szCs w:val="17"/>
                <w:lang w:eastAsia="zh-CN"/>
              </w:rPr>
              <w:t>4.3</w:t>
            </w:r>
          </w:p>
        </w:tc>
      </w:tr>
    </w:tbl>
    <w:p w:rsidR="004E3C3F" w:rsidRPr="004E3C3F" w:rsidRDefault="004E3C3F" w:rsidP="004E3C3F">
      <w:pPr>
        <w:pStyle w:val="SingleTxtG"/>
        <w:spacing w:after="0" w:line="120" w:lineRule="exact"/>
        <w:rPr>
          <w:b/>
          <w:i/>
          <w:sz w:val="10"/>
          <w:szCs w:val="18"/>
        </w:rPr>
      </w:pPr>
    </w:p>
    <w:p w:rsidR="00102068" w:rsidRDefault="00102068" w:rsidP="004E3C3F">
      <w:pPr>
        <w:pStyle w:val="FootnoteText"/>
        <w:tabs>
          <w:tab w:val="right" w:pos="1476"/>
          <w:tab w:val="left" w:pos="1548"/>
          <w:tab w:val="right" w:pos="1836"/>
          <w:tab w:val="left" w:pos="1908"/>
        </w:tabs>
        <w:ind w:left="1548" w:hanging="288"/>
      </w:pPr>
      <w:r w:rsidRPr="004E3C3F">
        <w:rPr>
          <w:i/>
        </w:rPr>
        <w:t>Источник</w:t>
      </w:r>
      <w:r w:rsidRPr="00AE6316">
        <w:rPr>
          <w:b/>
        </w:rPr>
        <w:t>:</w:t>
      </w:r>
      <w:r w:rsidRPr="00AE6316">
        <w:t xml:space="preserve"> Министерство промышленности и инноваций, 2013 год.</w:t>
      </w:r>
    </w:p>
    <w:p w:rsidR="004E3C3F" w:rsidRPr="004E3C3F" w:rsidRDefault="004E3C3F" w:rsidP="004E3C3F">
      <w:pPr>
        <w:pStyle w:val="FootnoteText"/>
        <w:tabs>
          <w:tab w:val="right" w:pos="1476"/>
          <w:tab w:val="left" w:pos="1548"/>
          <w:tab w:val="right" w:pos="1836"/>
          <w:tab w:val="left" w:pos="1908"/>
        </w:tabs>
        <w:spacing w:line="120" w:lineRule="exact"/>
        <w:ind w:left="1548" w:hanging="288"/>
        <w:rPr>
          <w:sz w:val="10"/>
        </w:rPr>
      </w:pPr>
    </w:p>
    <w:p w:rsidR="00102068" w:rsidRDefault="004E3C3F" w:rsidP="00102068">
      <w:pPr>
        <w:pStyle w:val="SingleTxtG"/>
      </w:pPr>
      <w:r>
        <w:tab/>
      </w:r>
      <w:r w:rsidR="00102068">
        <w:t>Приведенная таблица дает представление о положении дел осенью 2013</w:t>
      </w:r>
      <w:r w:rsidR="004C298C">
        <w:t> года</w:t>
      </w:r>
      <w:r w:rsidR="00102068">
        <w:t>. Как можно видеть, доля</w:t>
      </w:r>
      <w:r>
        <w:t> женщин</w:t>
      </w:r>
      <w:r w:rsidR="00102068">
        <w:t xml:space="preserve"> на руководящих должностях </w:t>
      </w:r>
      <w:r w:rsidR="00102068" w:rsidRPr="00AE6316">
        <w:t>предприятий</w:t>
      </w:r>
      <w:r w:rsidR="00102068">
        <w:t>, затронутых указанным законом, возросла, что свидетельствует об эффективности внесенных изменений.</w:t>
      </w:r>
    </w:p>
    <w:p w:rsidR="004E3C3F" w:rsidRPr="004E3C3F" w:rsidRDefault="004E3C3F" w:rsidP="004E3C3F">
      <w:pPr>
        <w:pStyle w:val="SingleTxtG"/>
        <w:spacing w:after="0" w:line="120" w:lineRule="exact"/>
        <w:rPr>
          <w:sz w:val="10"/>
        </w:rPr>
      </w:pPr>
    </w:p>
    <w:p w:rsidR="00102068" w:rsidRDefault="00102068" w:rsidP="00102068">
      <w:pPr>
        <w:pStyle w:val="SingleTxtG"/>
        <w:jc w:val="left"/>
        <w:rPr>
          <w:b/>
        </w:rPr>
      </w:pPr>
      <w:r w:rsidRPr="00AE6316">
        <w:rPr>
          <w:b/>
        </w:rPr>
        <w:t>Доля</w:t>
      </w:r>
      <w:r w:rsidR="004E3C3F">
        <w:rPr>
          <w:b/>
        </w:rPr>
        <w:t> женщин</w:t>
      </w:r>
      <w:r w:rsidRPr="00AE6316">
        <w:rPr>
          <w:b/>
        </w:rPr>
        <w:t xml:space="preserve"> на руководящих должностях предприятий в разбивке по размеру предприятий в 2011</w:t>
      </w:r>
      <w:r w:rsidR="004C298C">
        <w:rPr>
          <w:b/>
        </w:rPr>
        <w:t> году</w:t>
      </w:r>
    </w:p>
    <w:p w:rsidR="00102068" w:rsidRPr="00AE6316" w:rsidRDefault="00363E39" w:rsidP="00102068">
      <w:pPr>
        <w:pStyle w:val="SingleTxtG"/>
      </w:pPr>
      <w:r>
        <w:rPr>
          <w:noProof/>
          <w:lang w:val="en-GB" w:eastAsia="en-GB"/>
        </w:rPr>
        <w:drawing>
          <wp:inline distT="0" distB="0" distL="0" distR="0">
            <wp:extent cx="7225030" cy="2051050"/>
            <wp:effectExtent l="0" t="0" r="0"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25030" cy="2051050"/>
                    </a:xfrm>
                    <a:prstGeom prst="rect">
                      <a:avLst/>
                    </a:prstGeom>
                    <a:noFill/>
                  </pic:spPr>
                </pic:pic>
              </a:graphicData>
            </a:graphic>
          </wp:inline>
        </w:drawing>
      </w:r>
    </w:p>
    <w:p w:rsidR="00102068" w:rsidRDefault="00102068" w:rsidP="004E3C3F">
      <w:pPr>
        <w:pStyle w:val="FootnoteText"/>
        <w:tabs>
          <w:tab w:val="right" w:pos="1476"/>
          <w:tab w:val="left" w:pos="1548"/>
          <w:tab w:val="right" w:pos="1836"/>
          <w:tab w:val="left" w:pos="1908"/>
        </w:tabs>
        <w:ind w:left="1548" w:hanging="288"/>
      </w:pPr>
      <w:r w:rsidRPr="004E3C3F">
        <w:rPr>
          <w:i/>
        </w:rPr>
        <w:t>Источник</w:t>
      </w:r>
      <w:r w:rsidRPr="00AE6316">
        <w:rPr>
          <w:b/>
        </w:rPr>
        <w:t>:</w:t>
      </w:r>
      <w:r w:rsidRPr="00AE6316">
        <w:t xml:space="preserve"> Министерство промышленности и инноваций, 2013 год. </w:t>
      </w:r>
    </w:p>
    <w:p w:rsidR="004E3C3F" w:rsidRPr="004E3C3F" w:rsidRDefault="004E3C3F" w:rsidP="004E3C3F">
      <w:pPr>
        <w:pStyle w:val="FootnoteText"/>
        <w:tabs>
          <w:tab w:val="right" w:pos="1476"/>
          <w:tab w:val="left" w:pos="1548"/>
          <w:tab w:val="right" w:pos="1836"/>
          <w:tab w:val="left" w:pos="1908"/>
        </w:tabs>
        <w:spacing w:line="120" w:lineRule="exact"/>
        <w:ind w:left="1548" w:hanging="288"/>
        <w:rPr>
          <w:sz w:val="10"/>
        </w:rPr>
      </w:pPr>
    </w:p>
    <w:p w:rsidR="004E3C3F" w:rsidRPr="004E3C3F" w:rsidRDefault="004E3C3F" w:rsidP="004E3C3F">
      <w:pPr>
        <w:pStyle w:val="FootnoteText"/>
        <w:tabs>
          <w:tab w:val="right" w:pos="1476"/>
          <w:tab w:val="left" w:pos="1548"/>
          <w:tab w:val="right" w:pos="1836"/>
          <w:tab w:val="left" w:pos="1908"/>
        </w:tabs>
        <w:spacing w:line="120" w:lineRule="exact"/>
        <w:ind w:left="1548" w:hanging="288"/>
        <w:rPr>
          <w:sz w:val="10"/>
        </w:rPr>
      </w:pPr>
    </w:p>
    <w:p w:rsidR="00102068" w:rsidRDefault="004E3C3F" w:rsidP="00102068">
      <w:pPr>
        <w:pStyle w:val="SingleTxtG"/>
      </w:pPr>
      <w:r>
        <w:tab/>
      </w:r>
      <w:r w:rsidR="00102068">
        <w:t>В 2011</w:t>
      </w:r>
      <w:r w:rsidR="004C298C">
        <w:t> году</w:t>
      </w:r>
      <w:r w:rsidR="00102068">
        <w:t xml:space="preserve"> доля</w:t>
      </w:r>
      <w:r>
        <w:t> женщин</w:t>
      </w:r>
      <w:r w:rsidR="00102068">
        <w:t xml:space="preserve"> среди исполнительных </w:t>
      </w:r>
      <w:r w:rsidR="00102068" w:rsidRPr="00AE6316">
        <w:t>директоров</w:t>
      </w:r>
      <w:r w:rsidR="00102068">
        <w:t xml:space="preserve"> исландских предприятий составляла 20</w:t>
      </w:r>
      <w:r w:rsidR="004C298C">
        <w:t> процентов</w:t>
      </w:r>
      <w:r w:rsidR="00102068">
        <w:t>, а их доля от общего числа председателей и членов правлений</w:t>
      </w:r>
      <w:r>
        <w:t xml:space="preserve"> —  </w:t>
      </w:r>
      <w:r w:rsidR="00102068">
        <w:t>24</w:t>
      </w:r>
      <w:r w:rsidR="004C298C">
        <w:t> процента</w:t>
      </w:r>
      <w:r w:rsidR="00102068">
        <w:t>. Как показано в вышеприведенной таблице, доля</w:t>
      </w:r>
      <w:r>
        <w:t> женщин</w:t>
      </w:r>
      <w:r w:rsidR="00102068">
        <w:t xml:space="preserve"> на руководящих должностях обычно бывает выше в мелких компаниях.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rStyle w:val="Hyperlink"/>
          <w:b/>
          <w:sz w:val="10"/>
          <w:szCs w:val="24"/>
        </w:rPr>
      </w:pPr>
    </w:p>
    <w:p w:rsidR="00102068" w:rsidRPr="004E3C3F"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yperlink"/>
        </w:rPr>
      </w:pPr>
      <w:r w:rsidRPr="004E3C3F">
        <w:rPr>
          <w:rStyle w:val="Hyperlink"/>
        </w:rPr>
        <w:tab/>
      </w:r>
      <w:r w:rsidRPr="004E3C3F">
        <w:rPr>
          <w:rStyle w:val="Hyperlink"/>
        </w:rPr>
        <w:tab/>
      </w:r>
      <w:r w:rsidR="00102068" w:rsidRPr="004E3C3F">
        <w:rPr>
          <w:rStyle w:val="Hyperlink"/>
        </w:rPr>
        <w:t>Женщины и средства массовой информации</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Средства массовой информации на протяжении долгого времени оставались сферой, в которой доминировали мужчины. В последние десятилетия возрастало число</w:t>
      </w:r>
      <w:r>
        <w:t> женщин</w:t>
      </w:r>
      <w:r w:rsidR="00102068">
        <w:t>, являющихся членами Ассоциации исландских журналистов. В 1980</w:t>
      </w:r>
      <w:r w:rsidR="004C298C">
        <w:t> году</w:t>
      </w:r>
      <w:r w:rsidR="00102068">
        <w:t xml:space="preserve"> доля</w:t>
      </w:r>
      <w:r>
        <w:t> женщин</w:t>
      </w:r>
      <w:r w:rsidR="00102068">
        <w:t xml:space="preserve"> среди ее членов составляла 18</w:t>
      </w:r>
      <w:r w:rsidR="004C298C">
        <w:t> процентов</w:t>
      </w:r>
      <w:r w:rsidR="00102068">
        <w:t>, а в 1995</w:t>
      </w:r>
      <w:r w:rsidR="004C298C">
        <w:t> году</w:t>
      </w:r>
      <w:r w:rsidR="00102068">
        <w:t xml:space="preserve"> достигла 30 процентов; в 2007</w:t>
      </w:r>
      <w:r w:rsidR="004C298C">
        <w:t> году</w:t>
      </w:r>
      <w:r w:rsidR="00102068">
        <w:t xml:space="preserve"> этот показатель составил 36</w:t>
      </w:r>
      <w:r w:rsidR="004C298C">
        <w:t> процентов</w:t>
      </w:r>
      <w:r w:rsidR="00102068">
        <w:t>, а в 2011</w:t>
      </w:r>
      <w:r w:rsidR="004C298C">
        <w:t> году</w:t>
      </w:r>
      <w:r>
        <w:t xml:space="preserve"> —  </w:t>
      </w:r>
      <w:r w:rsidR="00102068">
        <w:t>37 процентов. Несмотря на увеличение данного показателя число</w:t>
      </w:r>
      <w:r>
        <w:t> женщин</w:t>
      </w:r>
      <w:r w:rsidR="00102068">
        <w:t>, занимающих должности редакторов отделов новостей и главных редакторов ежедневных газет, весьма невелико. Женщины ни разу не занимали должность руководителя телестанции, и лишь немногие из них работают в качестве редакторов теленовостей.</w:t>
      </w:r>
    </w:p>
    <w:p w:rsidR="00102068" w:rsidRDefault="004E3C3F" w:rsidP="00102068">
      <w:pPr>
        <w:pStyle w:val="SingleTxtG"/>
      </w:pPr>
      <w:r>
        <w:tab/>
      </w:r>
      <w:r w:rsidR="00102068">
        <w:t>После экономического кризиса 2008</w:t>
      </w:r>
      <w:r w:rsidR="004C298C">
        <w:t> года</w:t>
      </w:r>
      <w:r w:rsidR="00102068">
        <w:t xml:space="preserve"> на исландском рынке средств массовой информации произошли серьезные изменения. Количество выпусков газет было сокращено, многие журналисты потеряли работу, отдельные средства массовой информации сменили</w:t>
      </w:r>
      <w:r w:rsidR="00102068" w:rsidRPr="00AE6316">
        <w:t xml:space="preserve"> </w:t>
      </w:r>
      <w:r w:rsidR="00102068">
        <w:t>владельцев, а их деятельность подверглась реструктуризации. Исследование, проведенное в 2012</w:t>
      </w:r>
      <w:r w:rsidR="004C298C">
        <w:t> году</w:t>
      </w:r>
      <w:r w:rsidR="00102068">
        <w:t>, показало, что семь из каждых десяти журналистов и телеведущих являются мужчинами и что типичный исландский журналист/репортер</w:t>
      </w:r>
      <w:r>
        <w:t xml:space="preserve"> —  </w:t>
      </w:r>
      <w:r w:rsidR="00102068">
        <w:t>это мужчина в возрасте 42 лет, имеющий почти 14-летний опыт работы по специальности. Что касается журналисток, то они, как правило, на 7 лет младше своих коллег-мужчин и в среднем имеют опыт работы немногим более 8 лет. Заработная плата журналистов-мужчин несколько превышает заработную плату</w:t>
      </w:r>
      <w:r>
        <w:t> женщин</w:t>
      </w:r>
      <w:r w:rsidR="00102068">
        <w:t>, хотя различия являются незначительными, однако журналистки в два раза чаще имеют степень магистра и гораздо чаще посещают специальные курсы журналистики в процессе получения образования.</w:t>
      </w:r>
    </w:p>
    <w:p w:rsidR="00102068" w:rsidRDefault="004E3C3F" w:rsidP="00102068">
      <w:pPr>
        <w:pStyle w:val="SingleTxtG"/>
      </w:pPr>
      <w:r>
        <w:tab/>
      </w:r>
      <w:r w:rsidR="00102068">
        <w:t>Еще одно исследование, проведенное в 2013</w:t>
      </w:r>
      <w:r w:rsidR="004C298C">
        <w:t> году</w:t>
      </w:r>
      <w:r w:rsidR="00102068">
        <w:t>, показало, что журналистки гораздо реже своих коллег-мужчин готовят новостные материалы. Лишь 23</w:t>
      </w:r>
      <w:r w:rsidR="004C298C">
        <w:t> процента</w:t>
      </w:r>
      <w:r w:rsidR="00102068">
        <w:t xml:space="preserve"> подвергнутых анализу новостных материалов были подготовлены</w:t>
      </w:r>
      <w:r>
        <w:t> женщин</w:t>
      </w:r>
      <w:r w:rsidR="00102068" w:rsidRPr="00AE6316">
        <w:t>ами</w:t>
      </w:r>
      <w:r w:rsidR="00102068">
        <w:t>; кроме того, новостные репортажи</w:t>
      </w:r>
      <w:r>
        <w:t> женщин</w:t>
      </w:r>
      <w:r w:rsidR="00102068">
        <w:t xml:space="preserve"> реже появляются на первой полосе. Наряду с этим были выявлены существенные различия в тематике сообщений мужчин и</w:t>
      </w:r>
      <w:r>
        <w:t> женщин</w:t>
      </w:r>
      <w:r w:rsidR="00102068">
        <w:t>. Практически все репортажи на тему спорта, бизнеса и политики (97</w:t>
      </w:r>
      <w:r w:rsidR="004C298C">
        <w:t> процентов</w:t>
      </w:r>
      <w:r w:rsidR="00102068">
        <w:t xml:space="preserve"> спортивных репортажей, 95</w:t>
      </w:r>
      <w:r w:rsidR="004C298C">
        <w:t> процентов</w:t>
      </w:r>
      <w:r w:rsidR="00102068">
        <w:t xml:space="preserve"> деловых и экономических новостей и почти 92</w:t>
      </w:r>
      <w:r w:rsidR="004C298C">
        <w:t> процента</w:t>
      </w:r>
      <w:r w:rsidR="00102068">
        <w:t xml:space="preserve"> сообщений на политические темы) были подготовлены мужчинами. Что касается</w:t>
      </w:r>
      <w:r>
        <w:t> женщин</w:t>
      </w:r>
      <w:r w:rsidR="00102068">
        <w:t>, то в рассматриваемый период они подготовили чуть более половины проанализированных репортажей по вопросам культуры и здравоохранения и 66</w:t>
      </w:r>
      <w:r w:rsidR="004C298C">
        <w:t> процентов</w:t>
      </w:r>
      <w:r w:rsidR="00102068">
        <w:t xml:space="preserve"> сообщений, отнесенных к категории </w:t>
      </w:r>
      <w:r w:rsidR="004C298C">
        <w:t>«</w:t>
      </w:r>
      <w:r w:rsidR="00102068">
        <w:t>развлечения</w:t>
      </w:r>
      <w:r w:rsidR="004C298C">
        <w:t>»</w:t>
      </w:r>
      <w:r w:rsidR="00102068">
        <w:t xml:space="preserve"> и </w:t>
      </w:r>
      <w:r w:rsidR="004C298C">
        <w:t>«</w:t>
      </w:r>
      <w:r w:rsidR="00102068">
        <w:t>слухи</w:t>
      </w:r>
      <w:r w:rsidR="004C298C">
        <w:t>»</w:t>
      </w:r>
      <w:r w:rsidR="00102068">
        <w:t>.</w:t>
      </w:r>
    </w:p>
    <w:p w:rsidR="00102068" w:rsidRDefault="004E3C3F" w:rsidP="00102068">
      <w:pPr>
        <w:pStyle w:val="SingleTxtG"/>
      </w:pPr>
      <w:r>
        <w:tab/>
      </w:r>
      <w:r w:rsidR="00102068">
        <w:t>В июле 2006</w:t>
      </w:r>
      <w:r w:rsidR="004C298C">
        <w:t> года</w:t>
      </w:r>
      <w:r w:rsidR="00102068">
        <w:t xml:space="preserve"> комитет по обзору деятельности Фонда гарантий по кредитам для</w:t>
      </w:r>
      <w:r>
        <w:t> женщин</w:t>
      </w:r>
      <w:r w:rsidR="00102068">
        <w:t xml:space="preserve"> и связанных с этим вопросов предложил обеспечи</w:t>
      </w:r>
      <w:r w:rsidR="00102068">
        <w:rPr>
          <w:color w:val="000000"/>
        </w:rPr>
        <w:t>ть в рамках государственной системы поддержки кредитные гарантии для</w:t>
      </w:r>
      <w:r>
        <w:rPr>
          <w:color w:val="000000"/>
        </w:rPr>
        <w:t> женщин</w:t>
      </w:r>
      <w:r w:rsidR="00102068">
        <w:rPr>
          <w:color w:val="000000"/>
        </w:rPr>
        <w:t xml:space="preserve"> и субсидии на создание предприятий и провести оценку состояния государственных фондов, а в дальнейшем и политики распределения средств из таких фондов.</w:t>
      </w:r>
      <w:r w:rsidR="00102068">
        <w:t xml:space="preserve"> В марте 2011</w:t>
      </w:r>
      <w:r w:rsidR="004C298C">
        <w:t> года</w:t>
      </w:r>
      <w:r w:rsidR="00102068">
        <w:t xml:space="preserve"> было подписано соглашение о восстановлении Фонда гарантий по кредитам для</w:t>
      </w:r>
      <w:r>
        <w:t> женщин</w:t>
      </w:r>
      <w:r w:rsidR="00102068">
        <w:t xml:space="preserve"> под названием </w:t>
      </w:r>
      <w:r w:rsidR="004C298C">
        <w:t>«</w:t>
      </w:r>
      <w:r w:rsidR="00102068">
        <w:rPr>
          <w:i/>
        </w:rPr>
        <w:t>Svanni</w:t>
      </w:r>
      <w:r w:rsidR="004C298C">
        <w:t>»</w:t>
      </w:r>
      <w:r w:rsidR="00102068">
        <w:t>. Работой этого фонда руководят Министерство социального обеспечения, Министерство промышленности и инноваций и муниципалитет Рейкьявика. Первоначальный проект был рассчитан на период до конца 2014</w:t>
      </w:r>
      <w:r w:rsidR="004C298C">
        <w:t> года</w:t>
      </w:r>
      <w:r w:rsidR="00102068">
        <w:t>, однако в соответствии с новым планом действий в интересах равноправия мужчин и</w:t>
      </w:r>
      <w:r>
        <w:t> женщин</w:t>
      </w:r>
      <w:r w:rsidR="00102068">
        <w:t xml:space="preserve"> на период 2015–2018 годов его реализация будет продолжена.</w:t>
      </w:r>
    </w:p>
    <w:p w:rsidR="00102068" w:rsidRDefault="004E3C3F" w:rsidP="00102068">
      <w:pPr>
        <w:pStyle w:val="SingleTxtG"/>
      </w:pPr>
      <w:r>
        <w:tab/>
      </w:r>
      <w:r w:rsidR="00102068">
        <w:t xml:space="preserve">Фонд </w:t>
      </w:r>
      <w:r w:rsidR="004C298C">
        <w:t>«</w:t>
      </w:r>
      <w:r w:rsidR="00102068">
        <w:rPr>
          <w:i/>
        </w:rPr>
        <w:t>Svanni</w:t>
      </w:r>
      <w:r w:rsidR="004C298C">
        <w:t>»</w:t>
      </w:r>
      <w:r w:rsidR="00102068">
        <w:t xml:space="preserve"> предоставляет гарантии по кредитам для</w:t>
      </w:r>
      <w:r>
        <w:t> женщин</w:t>
      </w:r>
      <w:r w:rsidR="00102068">
        <w:t xml:space="preserve"> совместно с банком </w:t>
      </w:r>
      <w:r w:rsidR="004C298C">
        <w:t>«</w:t>
      </w:r>
      <w:r w:rsidR="00102068">
        <w:t>Ландсбанки</w:t>
      </w:r>
      <w:r w:rsidR="004C298C">
        <w:t>»</w:t>
      </w:r>
      <w:r w:rsidR="00102068">
        <w:t>. Фонд гарантирует выплату половины кредита, а банк</w:t>
      </w:r>
      <w:r>
        <w:t xml:space="preserve"> — </w:t>
      </w:r>
      <w:r w:rsidR="00102068">
        <w:t xml:space="preserve"> выплату второй его половины. </w:t>
      </w:r>
      <w:r w:rsidR="00102068" w:rsidRPr="00AE6316">
        <w:t>Субсидия предоставляется только в том случае, если</w:t>
      </w:r>
      <w:r>
        <w:t> женщин</w:t>
      </w:r>
      <w:r w:rsidR="00102068" w:rsidRPr="00AE6316">
        <w:t>е принадлежит не менее 50</w:t>
      </w:r>
      <w:r w:rsidR="004C298C">
        <w:t> процентов</w:t>
      </w:r>
      <w:r w:rsidR="00102068" w:rsidRPr="00AE6316">
        <w:t xml:space="preserve"> осуществляемого проекта, а его идея является инновационной и предполагает создание рабочих мест в долгосрочной перспективе.</w:t>
      </w:r>
      <w:r w:rsidR="00102068">
        <w:t xml:space="preserve"> Субсидии выдавались четыре раза. Осенью 2011</w:t>
      </w:r>
      <w:r w:rsidR="004C298C">
        <w:t> года</w:t>
      </w:r>
      <w:r w:rsidR="00102068">
        <w:t xml:space="preserve"> правлением фонда было рассмотрено 21 заявление и в пяти случаях были предоставлены гарантии по кредитам. В 2012</w:t>
      </w:r>
      <w:r w:rsidR="004C298C">
        <w:t> году</w:t>
      </w:r>
      <w:r w:rsidR="00102068">
        <w:t xml:space="preserve"> было подано 20 заявлений. В двух случаях администрация предоставила гарантии по кредитам. Осенью 2013</w:t>
      </w:r>
      <w:r w:rsidR="004C298C">
        <w:t> года</w:t>
      </w:r>
      <w:r w:rsidR="00102068">
        <w:t xml:space="preserve"> было получено 20 заявлений, в связи с двумя из которых были предоставлены гарантии по кредитам. С более подробной информацией о данном проекте можно ознакомиться на веб-сайте по адресу: </w:t>
      </w:r>
      <w:r w:rsidR="00102068">
        <w:rPr>
          <w:i/>
        </w:rPr>
        <w:t>svanni.is</w:t>
      </w:r>
      <w:r w:rsidR="00102068">
        <w:t xml:space="preserve">. </w:t>
      </w:r>
    </w:p>
    <w:p w:rsidR="00102068" w:rsidRDefault="00102068" w:rsidP="00102068">
      <w:pPr>
        <w:pStyle w:val="SingleTxtG"/>
        <w:ind w:left="2126" w:hanging="862"/>
        <w:rPr>
          <w:shd w:val="clear" w:color="auto" w:fill="FFFF00"/>
        </w:rPr>
      </w:pPr>
      <w:r>
        <w:tab/>
        <w:t>•</w:t>
      </w:r>
      <w:r>
        <w:tab/>
        <w:t>Начиная с 1991</w:t>
      </w:r>
      <w:r w:rsidR="004C298C">
        <w:t> года</w:t>
      </w:r>
      <w:r>
        <w:t xml:space="preserve"> Министерство социального обеспечения ежегодно предоставляло исландским</w:t>
      </w:r>
      <w:r w:rsidR="004E3C3F">
        <w:t> женщин</w:t>
      </w:r>
      <w:r>
        <w:t>ам-предпринимателям субсидии на сумму в 35 млн. исландских крон с целью побудить</w:t>
      </w:r>
      <w:r w:rsidR="004E3C3F">
        <w:t> женщин</w:t>
      </w:r>
      <w:r>
        <w:t xml:space="preserve"> к созданию собственных компаний и расширить их доступ к финансовой системе. Решение о выдаче субсидий принимается министерством, однако руководство фондом осуществляет Директорат труда.</w:t>
      </w:r>
    </w:p>
    <w:p w:rsidR="00102068" w:rsidRDefault="00102068" w:rsidP="00102068">
      <w:pPr>
        <w:pStyle w:val="SingleTxtG"/>
        <w:ind w:left="2126" w:hanging="862"/>
      </w:pPr>
      <w:r>
        <w:tab/>
      </w:r>
      <w:r w:rsidR="004E3C3F">
        <w:t>•</w:t>
      </w:r>
      <w:r>
        <w:tab/>
      </w:r>
      <w:r w:rsidRPr="00AE6316">
        <w:t>Субсидия предоставляется только в том случае, если</w:t>
      </w:r>
      <w:r w:rsidR="004E3C3F">
        <w:t> женщин</w:t>
      </w:r>
      <w:r w:rsidRPr="00AE6316">
        <w:t>е принадлежит не менее 50</w:t>
      </w:r>
      <w:r w:rsidR="004C298C">
        <w:t> процентов</w:t>
      </w:r>
      <w:r w:rsidRPr="00AE6316">
        <w:t xml:space="preserve"> осуществляемого проекта, а его идея является инновационной и предполагает создание рабочих мест в долгосрочной перспективе.</w:t>
      </w:r>
      <w:r>
        <w:t xml:space="preserve"> Предоставляемые субсидии предназначены для составления бизнес-планов, организации сбыта, разработки и совершенствования продукции и выплаты заработной платы сотрудникам для создания новой компании. Проект не может напрямую конкурировать с другими услугами, предоставляемыми на рынке.</w:t>
      </w:r>
    </w:p>
    <w:p w:rsidR="00102068" w:rsidRDefault="00102068" w:rsidP="00102068">
      <w:pPr>
        <w:pStyle w:val="SingleTxtG"/>
        <w:ind w:left="2126" w:hanging="862"/>
      </w:pPr>
      <w:r>
        <w:tab/>
      </w:r>
      <w:r w:rsidR="004E3C3F">
        <w:t>•</w:t>
      </w:r>
      <w:r>
        <w:tab/>
        <w:t xml:space="preserve">С заявлениями можно ознакомиться на веб-сайте </w:t>
      </w:r>
      <w:r>
        <w:rPr>
          <w:i/>
        </w:rPr>
        <w:t>atvinnumalkvenna.is</w:t>
      </w:r>
      <w:r>
        <w:t>. Их оценку осуществляет консультативный совет. Ежегодная процедура подачи заявлений начинается в январе; субсидии обычно предоставляются в апреле-мае. Получателям субсидий дается один год на завершение их проектов, после чего они должны представить отчет с оценкой проекта и анализ расходов на его реализацию.</w:t>
      </w:r>
    </w:p>
    <w:p w:rsidR="004E3C3F" w:rsidRPr="004E3C3F" w:rsidRDefault="004E3C3F" w:rsidP="004E3C3F">
      <w:pPr>
        <w:pStyle w:val="SingleTxtG"/>
        <w:spacing w:after="0" w:line="120" w:lineRule="exact"/>
        <w:ind w:left="2126" w:hanging="862"/>
        <w:rPr>
          <w:sz w:val="10"/>
        </w:rPr>
      </w:pPr>
    </w:p>
    <w:p w:rsidR="004E3C3F" w:rsidRPr="004E3C3F" w:rsidRDefault="004E3C3F" w:rsidP="004E3C3F">
      <w:pPr>
        <w:pStyle w:val="SingleTxtG"/>
        <w:spacing w:after="0" w:line="120" w:lineRule="exact"/>
        <w:ind w:left="2126" w:hanging="862"/>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Пункт 1, подпункт </w:t>
      </w:r>
      <w:r>
        <w:t>(</w:t>
      </w:r>
      <w:r w:rsidR="00102068">
        <w:t>e)</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Pr="00AE6316" w:rsidRDefault="004E3C3F" w:rsidP="00102068">
      <w:pPr>
        <w:pStyle w:val="SingleTxtG"/>
      </w:pPr>
      <w:r>
        <w:tab/>
      </w:r>
      <w:r w:rsidR="00102068">
        <w:t>Соответствующая информация представлена в предыдущих докладах.</w:t>
      </w:r>
    </w:p>
    <w:p w:rsidR="004E3C3F" w:rsidRPr="004E3C3F"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4E3C3F" w:rsidRPr="004E3C3F"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Пункт 1, подпункт </w:t>
      </w:r>
      <w:r>
        <w:t>(</w:t>
      </w:r>
      <w:r w:rsidR="00102068">
        <w:t>f)</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В июне 2010</w:t>
      </w:r>
      <w:r w:rsidR="004C298C">
        <w:t> года</w:t>
      </w:r>
      <w:r w:rsidR="00102068">
        <w:t xml:space="preserve"> правительство согласовало план действий по борьбе с преследованием и насилием на рабочем месте, в школах и в обществе. Был сформирован комитет по управлению проектами в области борьбы с запугиванием, состоящий из представителей трех </w:t>
      </w:r>
      <w:r w:rsidR="00102068" w:rsidRPr="00AE6316">
        <w:t>министерств</w:t>
      </w:r>
      <w:r w:rsidR="00102068">
        <w:t>, главная задача которого заключалась в проверке осуществления предложенных мер по недопущению преследования. В число указанных министерств вошли Министерство образования, науки и культуры, Министерство социального обеспечения и Министерство финансов и экономики. Основное внимание было уделено широкомасштабному сотрудничеству, направленному не только на обеспечение надлежащего результата, но и на содействие обсуждению данной темы и поддержание интереса к ней со стороны многих лиц.</w:t>
      </w:r>
    </w:p>
    <w:p w:rsidR="00102068" w:rsidRDefault="004E3C3F" w:rsidP="00102068">
      <w:pPr>
        <w:pStyle w:val="SingleTxtG"/>
      </w:pPr>
      <w:r>
        <w:tab/>
      </w:r>
      <w:r w:rsidR="00102068">
        <w:t>В соответствии с планом Министерство социального обеспечения пересмотрело действующее Постановление</w:t>
      </w:r>
      <w:r w:rsidR="004C298C">
        <w:t> № </w:t>
      </w:r>
      <w:r w:rsidR="00102068">
        <w:t>1000/2004 о мерах по борьбе с преследованием (запугиванием) на рабочем месте. Был учрежден комитет по данному вопросу, действующий под руководством министерства, но состоящий из представителей социальных партнеров. 16 апреля 2013</w:t>
      </w:r>
      <w:r w:rsidR="004C298C">
        <w:t> года</w:t>
      </w:r>
      <w:r w:rsidR="00102068">
        <w:t xml:space="preserve"> Министерство социального обеспечения на своем веб-сайте представило на рассмотрение проект постановления о мерах по борьбе с запугиванием, сексуальным домогательством и насилием на рабочем месте. Было получено несколько комментариев. В </w:t>
      </w:r>
      <w:r w:rsidR="00102068" w:rsidRPr="00AE6316">
        <w:t>настоящее</w:t>
      </w:r>
      <w:r w:rsidR="00102068">
        <w:t xml:space="preserve"> время ведется работа по внесению в проект необходимых изменений юридического характера до его публикации.</w:t>
      </w:r>
    </w:p>
    <w:p w:rsidR="00102068" w:rsidRDefault="004E3C3F" w:rsidP="00102068">
      <w:pPr>
        <w:pStyle w:val="SingleTxtG"/>
      </w:pPr>
      <w:r>
        <w:tab/>
      </w:r>
      <w:r w:rsidR="00102068">
        <w:t xml:space="preserve">См. также анализ определения </w:t>
      </w:r>
      <w:r w:rsidR="00102068" w:rsidRPr="00AE6316">
        <w:t>сексуального домогательства и дискриминации</w:t>
      </w:r>
      <w:r w:rsidR="00102068">
        <w:t xml:space="preserve"> в </w:t>
      </w:r>
      <w:r w:rsidR="00102068" w:rsidRPr="00AE6316">
        <w:t>разделе</w:t>
      </w:r>
      <w:r w:rsidR="00102068">
        <w:t xml:space="preserve"> настоящего доклада, посвященном </w:t>
      </w:r>
      <w:r w:rsidR="004C298C">
        <w:t>статье </w:t>
      </w:r>
      <w:r w:rsidR="00102068">
        <w:t xml:space="preserve">1. </w:t>
      </w:r>
    </w:p>
    <w:p w:rsidR="00102068" w:rsidRDefault="004E3C3F" w:rsidP="00102068">
      <w:pPr>
        <w:pStyle w:val="SingleTxtG"/>
        <w:rPr>
          <w:b/>
        </w:rPr>
      </w:pPr>
      <w:r>
        <w:tab/>
      </w:r>
      <w:r w:rsidR="00102068">
        <w:t>В апреле 2013</w:t>
      </w:r>
      <w:r w:rsidR="004C298C">
        <w:t> года</w:t>
      </w:r>
      <w:r w:rsidR="00102068">
        <w:t xml:space="preserve"> состоялся посвященный данному вопросу семинар </w:t>
      </w:r>
      <w:r w:rsidR="004C298C">
        <w:t>«</w:t>
      </w:r>
      <w:r w:rsidR="00102068">
        <w:t xml:space="preserve">Домогательство на рабочем месте: возможность контроля, результаты и ответственность за </w:t>
      </w:r>
      <w:r w:rsidR="00102068" w:rsidRPr="00AE6316">
        <w:t>издаваемые</w:t>
      </w:r>
      <w:r w:rsidR="00102068">
        <w:t xml:space="preserve"> распоряжения</w:t>
      </w:r>
      <w:r w:rsidR="004C298C">
        <w:t>»</w:t>
      </w:r>
      <w:r w:rsidR="00102068">
        <w:t>. Основное внимание было уделено анализу данной проблемы на базе существующих исследований, который показывает, что в 2008 и 2010</w:t>
      </w:r>
      <w:r w:rsidR="004C298C">
        <w:t> года</w:t>
      </w:r>
      <w:r w:rsidR="00102068">
        <w:t>х факты домогательства были зафиксированы в 10 процентах случаев как в отношении мужчин, так и в отношении</w:t>
      </w:r>
      <w:r>
        <w:t> женщин</w:t>
      </w:r>
      <w:r w:rsidR="00102068">
        <w:t xml:space="preserve">. Данный семинар был проведен в рамках мероприятий, направленных на повышение непосредственной осведомленности и расширение возможностей для предотвращения запугивания и принятия надлежащих мер в случаях домогательства на рабочем месте. </w:t>
      </w:r>
    </w:p>
    <w:p w:rsidR="004E3C3F" w:rsidRPr="004E3C3F"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4E3C3F" w:rsidRPr="004E3C3F"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Пункт 2</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 xml:space="preserve">Соответствующая информация представлена выше в разделе, посвященном данной статье, в контексте рассмотрения вопроса об отпуске по беременности и родам/в связи с </w:t>
      </w:r>
      <w:r w:rsidR="00102068" w:rsidRPr="00AE6316">
        <w:t>отцовством</w:t>
      </w:r>
      <w:r w:rsidR="00102068">
        <w:t xml:space="preserve"> и вопроса о совмещении семейной жизни и трудовой деятельности, а также в предыдущих докладах правительства Исландии.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12</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Пункт 1</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Д</w:t>
      </w:r>
      <w:r w:rsidR="00102068">
        <w:t>оступ к медицинскому обслуживанию</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Соответствующая информация представлена в предыдущих докладах.</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Состояние здоровья</w:t>
      </w:r>
      <w:r>
        <w:t> женщин</w:t>
      </w: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Курение</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Оценка частота курения проводилась четыре раза в год. Первые статистические данные за 2012 год подтвердили полученные ранее сведения о значительном ее снижении. Среди лиц в возрасте старше 18 лет 14,2</w:t>
      </w:r>
      <w:r w:rsidR="004C298C">
        <w:t> процента</w:t>
      </w:r>
      <w:r w:rsidR="00102068">
        <w:t xml:space="preserve"> признались, что курят каждый день, в то время как 2,3</w:t>
      </w:r>
      <w:r w:rsidR="004C298C">
        <w:t> процента</w:t>
      </w:r>
      <w:r w:rsidR="00102068">
        <w:t xml:space="preserve"> сообщили, что делают это реже. Между мужчинами и</w:t>
      </w:r>
      <w:r>
        <w:t> женщин</w:t>
      </w:r>
      <w:r w:rsidR="00102068">
        <w:t>ами были зафиксированы определенные различия: ежедневно курили 16,1</w:t>
      </w:r>
      <w:r w:rsidR="004C298C">
        <w:t> процента</w:t>
      </w:r>
      <w:r w:rsidR="00102068">
        <w:t xml:space="preserve"> мужчин и лишь 12,4</w:t>
      </w:r>
      <w:r w:rsidR="004C298C">
        <w:t> процента</w:t>
      </w:r>
      <w:r>
        <w:t> женщин</w:t>
      </w:r>
      <w:r w:rsidR="00102068">
        <w:t>. Наиболее высокая частота курения была зафиксирована среди лиц в возрасте 18–34 лет. Курильщиками являлись 22</w:t>
      </w:r>
      <w:r w:rsidR="004C298C">
        <w:t> процента</w:t>
      </w:r>
      <w:r w:rsidR="00102068">
        <w:t xml:space="preserve"> мужчин в возрасте 18–24 лет и 25</w:t>
      </w:r>
      <w:r w:rsidR="004C298C">
        <w:t> процентов</w:t>
      </w:r>
      <w:r w:rsidR="00102068">
        <w:t xml:space="preserve"> мужчин в возрасте 25–34 лет. Что касается</w:t>
      </w:r>
      <w:r>
        <w:t> женщин</w:t>
      </w:r>
      <w:r w:rsidR="00102068">
        <w:t>, то в возрастной группе 18–24 лет доля курильщиц составляла 21 процент, а в возрастной группе 25–34 лет</w:t>
      </w:r>
      <w:r>
        <w:t xml:space="preserve"> —  </w:t>
      </w:r>
      <w:r w:rsidR="00102068">
        <w:t>11</w:t>
      </w:r>
      <w:r w:rsidR="004C298C">
        <w:t> процентов</w:t>
      </w:r>
      <w:r w:rsidR="00102068">
        <w:t xml:space="preserve">. </w:t>
      </w:r>
    </w:p>
    <w:p w:rsidR="004E3C3F" w:rsidRPr="004E3C3F" w:rsidRDefault="004E3C3F" w:rsidP="004E3C3F">
      <w:pPr>
        <w:pStyle w:val="SingleTxtG"/>
        <w:spacing w:after="0" w:line="120" w:lineRule="exact"/>
        <w:rPr>
          <w:b/>
          <w:sz w:val="10"/>
        </w:rPr>
      </w:pPr>
    </w:p>
    <w:p w:rsidR="00102068" w:rsidRPr="0093499B" w:rsidRDefault="00102068" w:rsidP="00102068">
      <w:pPr>
        <w:pStyle w:val="SingleTxtG"/>
        <w:rPr>
          <w:b/>
          <w:i/>
          <w:lang w:eastAsia="is-IS"/>
        </w:rPr>
      </w:pPr>
      <w:r w:rsidRPr="0093499B">
        <w:rPr>
          <w:b/>
        </w:rPr>
        <w:t>Привычки к курению у лиц в возрасте 15–79 лет, 1990–2011 годы</w:t>
      </w:r>
    </w:p>
    <w:tbl>
      <w:tblPr>
        <w:tblW w:w="0" w:type="auto"/>
        <w:jc w:val="center"/>
        <w:tblLayout w:type="fixed"/>
        <w:tblCellMar>
          <w:left w:w="57" w:type="dxa"/>
          <w:right w:w="57" w:type="dxa"/>
        </w:tblCellMar>
        <w:tblLook w:val="0000" w:firstRow="0" w:lastRow="0" w:firstColumn="0" w:lastColumn="0" w:noHBand="0" w:noVBand="0"/>
      </w:tblPr>
      <w:tblGrid>
        <w:gridCol w:w="1190"/>
        <w:gridCol w:w="960"/>
        <w:gridCol w:w="1140"/>
        <w:gridCol w:w="1810"/>
        <w:gridCol w:w="1840"/>
        <w:gridCol w:w="1470"/>
        <w:gridCol w:w="1280"/>
      </w:tblGrid>
      <w:tr w:rsidR="00102068" w:rsidTr="006505E8">
        <w:trPr>
          <w:trHeight w:val="240"/>
          <w:tblHeader/>
          <w:jc w:val="center"/>
        </w:trPr>
        <w:tc>
          <w:tcPr>
            <w:tcW w:w="119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rPr>
                <w:i/>
                <w:spacing w:val="0"/>
                <w:w w:val="100"/>
                <w:sz w:val="14"/>
                <w:szCs w:val="14"/>
                <w:shd w:val="clear" w:color="auto" w:fill="FFFF00"/>
                <w:lang w:eastAsia="is-IS"/>
              </w:rPr>
            </w:pPr>
            <w:r w:rsidRPr="0093499B">
              <w:rPr>
                <w:bCs/>
                <w:i/>
                <w:spacing w:val="0"/>
                <w:w w:val="100"/>
                <w:sz w:val="14"/>
                <w:szCs w:val="14"/>
                <w:lang w:eastAsia="is-IS"/>
              </w:rPr>
              <w:t>Всего</w:t>
            </w:r>
          </w:p>
        </w:tc>
        <w:tc>
          <w:tcPr>
            <w:tcW w:w="960" w:type="dxa"/>
            <w:tcBorders>
              <w:top w:val="single" w:sz="4" w:space="0" w:color="000000"/>
              <w:bottom w:val="single" w:sz="12" w:space="0" w:color="000000"/>
            </w:tcBorders>
            <w:shd w:val="clear" w:color="auto" w:fill="auto"/>
            <w:vAlign w:val="bottom"/>
          </w:tcPr>
          <w:p w:rsidR="00102068" w:rsidRPr="0093499B" w:rsidRDefault="00102068" w:rsidP="006505E8">
            <w:pPr>
              <w:snapToGrid w:val="0"/>
              <w:spacing w:before="40" w:after="40" w:line="240" w:lineRule="auto"/>
              <w:jc w:val="right"/>
              <w:rPr>
                <w:i/>
                <w:spacing w:val="0"/>
                <w:w w:val="100"/>
                <w:sz w:val="14"/>
                <w:szCs w:val="14"/>
                <w:shd w:val="clear" w:color="auto" w:fill="FFFF00"/>
                <w:lang w:eastAsia="is-IS"/>
              </w:rPr>
            </w:pPr>
          </w:p>
        </w:tc>
        <w:tc>
          <w:tcPr>
            <w:tcW w:w="114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jc w:val="right"/>
              <w:rPr>
                <w:bCs/>
                <w:i/>
                <w:spacing w:val="0"/>
                <w:w w:val="100"/>
                <w:sz w:val="14"/>
                <w:szCs w:val="14"/>
                <w:lang w:eastAsia="is-IS"/>
              </w:rPr>
            </w:pPr>
            <w:r w:rsidRPr="0093499B">
              <w:rPr>
                <w:bCs/>
                <w:i/>
                <w:spacing w:val="0"/>
                <w:w w:val="100"/>
                <w:sz w:val="14"/>
                <w:szCs w:val="14"/>
                <w:lang w:eastAsia="is-IS"/>
              </w:rPr>
              <w:t>Никогда</w:t>
            </w:r>
            <w:r>
              <w:rPr>
                <w:bCs/>
                <w:i/>
                <w:spacing w:val="0"/>
                <w:w w:val="100"/>
                <w:sz w:val="14"/>
                <w:szCs w:val="14"/>
                <w:lang w:eastAsia="is-IS"/>
              </w:rPr>
              <w:br/>
            </w:r>
            <w:r w:rsidRPr="0093499B">
              <w:rPr>
                <w:bCs/>
                <w:i/>
                <w:spacing w:val="0"/>
                <w:w w:val="100"/>
                <w:sz w:val="14"/>
                <w:szCs w:val="14"/>
                <w:lang w:eastAsia="is-IS"/>
              </w:rPr>
              <w:t xml:space="preserve"> не курили</w:t>
            </w:r>
          </w:p>
        </w:tc>
        <w:tc>
          <w:tcPr>
            <w:tcW w:w="181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jc w:val="right"/>
              <w:rPr>
                <w:bCs/>
                <w:i/>
                <w:spacing w:val="0"/>
                <w:w w:val="100"/>
                <w:sz w:val="14"/>
                <w:szCs w:val="14"/>
                <w:lang w:eastAsia="is-IS"/>
              </w:rPr>
            </w:pPr>
            <w:r w:rsidRPr="0093499B">
              <w:rPr>
                <w:bCs/>
                <w:i/>
                <w:spacing w:val="0"/>
                <w:w w:val="100"/>
                <w:sz w:val="14"/>
                <w:szCs w:val="14"/>
                <w:lang w:eastAsia="is-IS"/>
              </w:rPr>
              <w:t xml:space="preserve">Бросили курить </w:t>
            </w:r>
            <w:r>
              <w:rPr>
                <w:bCs/>
                <w:i/>
                <w:spacing w:val="0"/>
                <w:w w:val="100"/>
                <w:sz w:val="14"/>
                <w:szCs w:val="14"/>
                <w:lang w:eastAsia="is-IS"/>
              </w:rPr>
              <w:br/>
            </w:r>
            <w:r w:rsidRPr="0093499B">
              <w:rPr>
                <w:bCs/>
                <w:i/>
                <w:spacing w:val="0"/>
                <w:w w:val="100"/>
                <w:sz w:val="14"/>
                <w:szCs w:val="14"/>
                <w:lang w:eastAsia="is-IS"/>
              </w:rPr>
              <w:t>больше</w:t>
            </w:r>
            <w:r w:rsidR="004C298C">
              <w:rPr>
                <w:bCs/>
                <w:i/>
                <w:spacing w:val="0"/>
                <w:w w:val="100"/>
                <w:sz w:val="14"/>
                <w:szCs w:val="14"/>
                <w:lang w:eastAsia="is-IS"/>
              </w:rPr>
              <w:t> года</w:t>
            </w:r>
            <w:r w:rsidRPr="0093499B">
              <w:rPr>
                <w:bCs/>
                <w:i/>
                <w:spacing w:val="0"/>
                <w:w w:val="100"/>
                <w:sz w:val="14"/>
                <w:szCs w:val="14"/>
                <w:lang w:eastAsia="is-IS"/>
              </w:rPr>
              <w:t xml:space="preserve"> назад</w:t>
            </w:r>
          </w:p>
        </w:tc>
        <w:tc>
          <w:tcPr>
            <w:tcW w:w="184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jc w:val="right"/>
              <w:rPr>
                <w:bCs/>
                <w:i/>
                <w:spacing w:val="0"/>
                <w:w w:val="100"/>
                <w:sz w:val="14"/>
                <w:szCs w:val="14"/>
                <w:lang w:eastAsia="is-IS"/>
              </w:rPr>
            </w:pPr>
            <w:r w:rsidRPr="0093499B">
              <w:rPr>
                <w:bCs/>
                <w:i/>
                <w:spacing w:val="0"/>
                <w:w w:val="100"/>
                <w:sz w:val="14"/>
                <w:szCs w:val="14"/>
                <w:lang w:eastAsia="is-IS"/>
              </w:rPr>
              <w:t xml:space="preserve">Бросили курить </w:t>
            </w:r>
            <w:r>
              <w:rPr>
                <w:bCs/>
                <w:i/>
                <w:spacing w:val="0"/>
                <w:w w:val="100"/>
                <w:sz w:val="14"/>
                <w:szCs w:val="14"/>
                <w:lang w:eastAsia="is-IS"/>
              </w:rPr>
              <w:br/>
            </w:r>
            <w:r w:rsidRPr="0093499B">
              <w:rPr>
                <w:bCs/>
                <w:i/>
                <w:spacing w:val="0"/>
                <w:w w:val="100"/>
                <w:sz w:val="14"/>
                <w:szCs w:val="14"/>
                <w:lang w:eastAsia="is-IS"/>
              </w:rPr>
              <w:t>меньше</w:t>
            </w:r>
            <w:r w:rsidR="004C298C">
              <w:rPr>
                <w:bCs/>
                <w:i/>
                <w:spacing w:val="0"/>
                <w:w w:val="100"/>
                <w:sz w:val="14"/>
                <w:szCs w:val="14"/>
                <w:lang w:eastAsia="is-IS"/>
              </w:rPr>
              <w:t> года</w:t>
            </w:r>
            <w:r w:rsidRPr="0093499B">
              <w:rPr>
                <w:bCs/>
                <w:i/>
                <w:spacing w:val="0"/>
                <w:w w:val="100"/>
                <w:sz w:val="14"/>
                <w:szCs w:val="14"/>
                <w:lang w:eastAsia="is-IS"/>
              </w:rPr>
              <w:t xml:space="preserve"> назад</w:t>
            </w:r>
          </w:p>
        </w:tc>
        <w:tc>
          <w:tcPr>
            <w:tcW w:w="147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jc w:val="right"/>
              <w:rPr>
                <w:bCs/>
                <w:i/>
                <w:spacing w:val="0"/>
                <w:w w:val="100"/>
                <w:sz w:val="14"/>
                <w:szCs w:val="14"/>
                <w:lang w:eastAsia="is-IS"/>
              </w:rPr>
            </w:pPr>
            <w:r w:rsidRPr="0093499B">
              <w:rPr>
                <w:bCs/>
                <w:i/>
                <w:spacing w:val="0"/>
                <w:w w:val="100"/>
                <w:sz w:val="14"/>
                <w:szCs w:val="14"/>
                <w:lang w:eastAsia="is-IS"/>
              </w:rPr>
              <w:t xml:space="preserve">Курят </w:t>
            </w:r>
            <w:r>
              <w:rPr>
                <w:bCs/>
                <w:i/>
                <w:spacing w:val="0"/>
                <w:w w:val="100"/>
                <w:sz w:val="14"/>
                <w:szCs w:val="14"/>
                <w:lang w:eastAsia="is-IS"/>
              </w:rPr>
              <w:br/>
            </w:r>
            <w:r w:rsidRPr="0093499B">
              <w:rPr>
                <w:bCs/>
                <w:i/>
                <w:spacing w:val="0"/>
                <w:w w:val="100"/>
                <w:sz w:val="14"/>
                <w:szCs w:val="14"/>
                <w:lang w:eastAsia="is-IS"/>
              </w:rPr>
              <w:t>время от времени</w:t>
            </w:r>
          </w:p>
        </w:tc>
        <w:tc>
          <w:tcPr>
            <w:tcW w:w="1280" w:type="dxa"/>
            <w:tcBorders>
              <w:top w:val="single" w:sz="4" w:space="0" w:color="000000"/>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4"/>
                <w:szCs w:val="14"/>
              </w:rPr>
            </w:pPr>
            <w:r w:rsidRPr="0093499B">
              <w:rPr>
                <w:bCs/>
                <w:i/>
                <w:spacing w:val="0"/>
                <w:w w:val="100"/>
                <w:sz w:val="14"/>
                <w:szCs w:val="14"/>
                <w:lang w:eastAsia="is-IS"/>
              </w:rPr>
              <w:t>Курят ежедневно</w:t>
            </w:r>
          </w:p>
        </w:tc>
      </w:tr>
      <w:tr w:rsidR="00102068" w:rsidTr="006505E8">
        <w:trPr>
          <w:trHeight w:val="240"/>
          <w:jc w:val="center"/>
        </w:trPr>
        <w:tc>
          <w:tcPr>
            <w:tcW w:w="1190" w:type="dxa"/>
            <w:tcBorders>
              <w:top w:val="single" w:sz="12" w:space="0" w:color="000000"/>
            </w:tcBorders>
            <w:shd w:val="clear" w:color="auto" w:fill="auto"/>
          </w:tcPr>
          <w:p w:rsidR="00102068" w:rsidRPr="0093499B" w:rsidRDefault="00102068" w:rsidP="006505E8">
            <w:pPr>
              <w:snapToGrid w:val="0"/>
              <w:spacing w:before="120" w:after="40" w:line="240" w:lineRule="auto"/>
              <w:rPr>
                <w:bCs/>
                <w:i/>
                <w:spacing w:val="0"/>
                <w:w w:val="100"/>
                <w:sz w:val="17"/>
                <w:szCs w:val="17"/>
                <w:lang w:eastAsia="is-IS"/>
              </w:rPr>
            </w:pPr>
          </w:p>
        </w:tc>
        <w:tc>
          <w:tcPr>
            <w:tcW w:w="960" w:type="dxa"/>
            <w:tcBorders>
              <w:top w:val="single" w:sz="12" w:space="0" w:color="000000"/>
            </w:tcBorders>
            <w:shd w:val="clear" w:color="auto" w:fill="auto"/>
            <w:vAlign w:val="bottom"/>
          </w:tcPr>
          <w:p w:rsidR="00102068" w:rsidRPr="0093499B" w:rsidRDefault="00102068" w:rsidP="006505E8">
            <w:pPr>
              <w:spacing w:before="120" w:after="40" w:line="240" w:lineRule="auto"/>
              <w:jc w:val="center"/>
              <w:rPr>
                <w:spacing w:val="0"/>
                <w:w w:val="100"/>
                <w:sz w:val="17"/>
                <w:szCs w:val="17"/>
                <w:lang w:eastAsia="is-IS"/>
              </w:rPr>
            </w:pPr>
            <w:r w:rsidRPr="0093499B">
              <w:rPr>
                <w:spacing w:val="0"/>
                <w:w w:val="100"/>
                <w:sz w:val="17"/>
                <w:szCs w:val="17"/>
                <w:lang w:eastAsia="is-IS"/>
              </w:rPr>
              <w:t>1990</w:t>
            </w:r>
          </w:p>
        </w:tc>
        <w:tc>
          <w:tcPr>
            <w:tcW w:w="1140" w:type="dxa"/>
            <w:tcBorders>
              <w:top w:val="single" w:sz="12" w:space="0" w:color="000000"/>
            </w:tcBorders>
            <w:shd w:val="clear" w:color="auto" w:fill="auto"/>
            <w:vAlign w:val="bottom"/>
          </w:tcPr>
          <w:p w:rsidR="00102068" w:rsidRPr="0093499B" w:rsidRDefault="00102068" w:rsidP="006505E8">
            <w:pPr>
              <w:spacing w:before="120" w:after="40" w:line="240" w:lineRule="auto"/>
              <w:jc w:val="right"/>
              <w:rPr>
                <w:spacing w:val="0"/>
                <w:w w:val="100"/>
                <w:sz w:val="17"/>
                <w:szCs w:val="17"/>
                <w:lang w:eastAsia="is-IS"/>
              </w:rPr>
            </w:pPr>
            <w:r w:rsidRPr="0093499B">
              <w:rPr>
                <w:spacing w:val="0"/>
                <w:w w:val="100"/>
                <w:sz w:val="17"/>
                <w:szCs w:val="17"/>
                <w:lang w:eastAsia="is-IS"/>
              </w:rPr>
              <w:t>41,1</w:t>
            </w:r>
          </w:p>
        </w:tc>
        <w:tc>
          <w:tcPr>
            <w:tcW w:w="1810" w:type="dxa"/>
            <w:tcBorders>
              <w:top w:val="single" w:sz="12" w:space="0" w:color="000000"/>
            </w:tcBorders>
            <w:shd w:val="clear" w:color="auto" w:fill="auto"/>
            <w:vAlign w:val="bottom"/>
          </w:tcPr>
          <w:p w:rsidR="00102068" w:rsidRPr="0093499B" w:rsidRDefault="00102068" w:rsidP="006505E8">
            <w:pPr>
              <w:spacing w:before="120" w:after="40" w:line="240" w:lineRule="auto"/>
              <w:jc w:val="right"/>
              <w:rPr>
                <w:spacing w:val="0"/>
                <w:w w:val="100"/>
                <w:sz w:val="17"/>
                <w:szCs w:val="17"/>
                <w:lang w:eastAsia="is-IS"/>
              </w:rPr>
            </w:pPr>
            <w:r w:rsidRPr="0093499B">
              <w:rPr>
                <w:spacing w:val="0"/>
                <w:w w:val="100"/>
                <w:sz w:val="17"/>
                <w:szCs w:val="17"/>
                <w:lang w:eastAsia="is-IS"/>
              </w:rPr>
              <w:t>20,7</w:t>
            </w:r>
          </w:p>
        </w:tc>
        <w:tc>
          <w:tcPr>
            <w:tcW w:w="1840" w:type="dxa"/>
            <w:tcBorders>
              <w:top w:val="single" w:sz="12" w:space="0" w:color="000000"/>
            </w:tcBorders>
            <w:shd w:val="clear" w:color="auto" w:fill="auto"/>
            <w:vAlign w:val="bottom"/>
          </w:tcPr>
          <w:p w:rsidR="00102068" w:rsidRPr="0093499B" w:rsidRDefault="00102068" w:rsidP="006505E8">
            <w:pPr>
              <w:spacing w:before="120" w:after="40" w:line="240" w:lineRule="auto"/>
              <w:jc w:val="right"/>
              <w:rPr>
                <w:spacing w:val="0"/>
                <w:w w:val="100"/>
                <w:sz w:val="17"/>
                <w:szCs w:val="17"/>
                <w:lang w:eastAsia="is-IS"/>
              </w:rPr>
            </w:pPr>
            <w:r w:rsidRPr="0093499B">
              <w:rPr>
                <w:spacing w:val="0"/>
                <w:w w:val="100"/>
                <w:sz w:val="17"/>
                <w:szCs w:val="17"/>
                <w:lang w:eastAsia="is-IS"/>
              </w:rPr>
              <w:t>4</w:t>
            </w:r>
          </w:p>
        </w:tc>
        <w:tc>
          <w:tcPr>
            <w:tcW w:w="1470" w:type="dxa"/>
            <w:tcBorders>
              <w:top w:val="single" w:sz="12" w:space="0" w:color="000000"/>
            </w:tcBorders>
            <w:shd w:val="clear" w:color="auto" w:fill="auto"/>
            <w:vAlign w:val="bottom"/>
          </w:tcPr>
          <w:p w:rsidR="00102068" w:rsidRPr="0093499B" w:rsidRDefault="00102068" w:rsidP="006505E8">
            <w:pPr>
              <w:spacing w:before="120" w:after="40" w:line="240" w:lineRule="auto"/>
              <w:jc w:val="right"/>
              <w:rPr>
                <w:spacing w:val="0"/>
                <w:w w:val="100"/>
                <w:sz w:val="17"/>
                <w:szCs w:val="17"/>
                <w:lang w:eastAsia="is-IS"/>
              </w:rPr>
            </w:pPr>
            <w:r w:rsidRPr="0093499B">
              <w:rPr>
                <w:spacing w:val="0"/>
                <w:w w:val="100"/>
                <w:sz w:val="17"/>
                <w:szCs w:val="17"/>
                <w:lang w:eastAsia="is-IS"/>
              </w:rPr>
              <w:t>3,9</w:t>
            </w:r>
          </w:p>
        </w:tc>
        <w:tc>
          <w:tcPr>
            <w:tcW w:w="1280" w:type="dxa"/>
            <w:tcBorders>
              <w:top w:val="single" w:sz="12" w:space="0" w:color="000000"/>
            </w:tcBorders>
            <w:shd w:val="clear" w:color="auto" w:fill="auto"/>
            <w:vAlign w:val="bottom"/>
          </w:tcPr>
          <w:p w:rsidR="00102068" w:rsidRPr="0093499B" w:rsidRDefault="00102068" w:rsidP="006505E8">
            <w:pPr>
              <w:spacing w:before="120" w:after="40" w:line="240" w:lineRule="auto"/>
              <w:jc w:val="right"/>
              <w:rPr>
                <w:spacing w:val="0"/>
                <w:w w:val="100"/>
                <w:sz w:val="17"/>
                <w:szCs w:val="17"/>
              </w:rPr>
            </w:pPr>
            <w:r w:rsidRPr="0093499B">
              <w:rPr>
                <w:spacing w:val="0"/>
                <w:w w:val="100"/>
                <w:sz w:val="17"/>
                <w:szCs w:val="17"/>
                <w:lang w:eastAsia="is-IS"/>
              </w:rPr>
              <w:t>30,3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1995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41,8</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22,2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5,6</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26,8</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47</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20,5</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5,8</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3,8</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22,9</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46,7</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26,5</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3,7</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19,5</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2006</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45,5</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4,7</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 xml:space="preserve"> 3,3</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19,3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2007</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46,6</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26,4</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19,4</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2008</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46,4</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27,3</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3,7</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17,8</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2009</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48,4</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28,7</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3,2</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15,8</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49,1</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3,4</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2011</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14,4</w:t>
            </w:r>
          </w:p>
        </w:tc>
      </w:tr>
      <w:tr w:rsidR="00102068" w:rsidTr="006505E8">
        <w:trPr>
          <w:trHeight w:val="240"/>
          <w:jc w:val="center"/>
        </w:trPr>
        <w:tc>
          <w:tcPr>
            <w:tcW w:w="1190" w:type="dxa"/>
            <w:shd w:val="clear" w:color="auto" w:fill="auto"/>
          </w:tcPr>
          <w:p w:rsidR="00102068" w:rsidRPr="0093499B" w:rsidRDefault="00102068" w:rsidP="006505E8">
            <w:pPr>
              <w:spacing w:before="40" w:after="40" w:line="240" w:lineRule="auto"/>
              <w:rPr>
                <w:spacing w:val="0"/>
                <w:w w:val="100"/>
                <w:sz w:val="17"/>
                <w:szCs w:val="17"/>
                <w:lang w:eastAsia="is-IS"/>
              </w:rPr>
            </w:pPr>
            <w:r w:rsidRPr="0093499B">
              <w:rPr>
                <w:bCs/>
                <w:spacing w:val="0"/>
                <w:w w:val="100"/>
                <w:sz w:val="17"/>
                <w:szCs w:val="17"/>
                <w:lang w:eastAsia="is-IS"/>
              </w:rPr>
              <w:t>Мужчины</w:t>
            </w:r>
          </w:p>
        </w:tc>
        <w:tc>
          <w:tcPr>
            <w:tcW w:w="960" w:type="dxa"/>
            <w:shd w:val="clear" w:color="auto" w:fill="auto"/>
            <w:vAlign w:val="bottom"/>
          </w:tcPr>
          <w:p w:rsidR="00102068" w:rsidRPr="0093499B" w:rsidRDefault="00102068" w:rsidP="006505E8">
            <w:pPr>
              <w:snapToGrid w:val="0"/>
              <w:spacing w:before="40" w:after="40" w:line="240" w:lineRule="auto"/>
              <w:jc w:val="center"/>
              <w:rPr>
                <w:spacing w:val="0"/>
                <w:w w:val="100"/>
                <w:sz w:val="17"/>
                <w:szCs w:val="17"/>
                <w:lang w:eastAsia="is-IS"/>
              </w:rPr>
            </w:pPr>
          </w:p>
        </w:tc>
        <w:tc>
          <w:tcPr>
            <w:tcW w:w="114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81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84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47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28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1990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36,3</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24,6</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30,8</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1995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39,2</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24,8</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3,8</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5,5</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26,7</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44,1</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22,9</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5,4</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23,3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46,6</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2,8</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19,5</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2006</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43,3</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28,4</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4,3</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21,3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2007</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45,1</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26,9</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3,4</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20,7</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2008</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44,3</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5,5</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20,3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2009</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3,7</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3,2</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15,9</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48,7</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29,3</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3,9</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14,5</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2011</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47,3</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30,1</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3,3</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14,6</w:t>
            </w:r>
          </w:p>
        </w:tc>
      </w:tr>
      <w:tr w:rsidR="00102068" w:rsidTr="006505E8">
        <w:trPr>
          <w:trHeight w:val="240"/>
          <w:jc w:val="center"/>
        </w:trPr>
        <w:tc>
          <w:tcPr>
            <w:tcW w:w="1190" w:type="dxa"/>
            <w:shd w:val="clear" w:color="auto" w:fill="auto"/>
          </w:tcPr>
          <w:p w:rsidR="00102068" w:rsidRPr="0093499B" w:rsidRDefault="00102068" w:rsidP="006505E8">
            <w:pPr>
              <w:spacing w:before="40" w:after="40" w:line="240" w:lineRule="auto"/>
              <w:rPr>
                <w:spacing w:val="0"/>
                <w:w w:val="100"/>
                <w:sz w:val="17"/>
                <w:szCs w:val="17"/>
                <w:lang w:eastAsia="is-IS"/>
              </w:rPr>
            </w:pPr>
            <w:r w:rsidRPr="0093499B">
              <w:rPr>
                <w:bCs/>
                <w:spacing w:val="0"/>
                <w:w w:val="100"/>
                <w:sz w:val="17"/>
                <w:szCs w:val="17"/>
                <w:lang w:eastAsia="is-IS"/>
              </w:rPr>
              <w:t>Женщины</w:t>
            </w:r>
          </w:p>
        </w:tc>
        <w:tc>
          <w:tcPr>
            <w:tcW w:w="960" w:type="dxa"/>
            <w:shd w:val="clear" w:color="auto" w:fill="auto"/>
            <w:vAlign w:val="bottom"/>
          </w:tcPr>
          <w:p w:rsidR="00102068" w:rsidRPr="0093499B" w:rsidRDefault="00102068" w:rsidP="006505E8">
            <w:pPr>
              <w:snapToGrid w:val="0"/>
              <w:spacing w:before="40" w:after="40" w:line="240" w:lineRule="auto"/>
              <w:jc w:val="center"/>
              <w:rPr>
                <w:spacing w:val="0"/>
                <w:w w:val="100"/>
                <w:sz w:val="17"/>
                <w:szCs w:val="17"/>
                <w:lang w:eastAsia="is-IS"/>
              </w:rPr>
            </w:pPr>
          </w:p>
        </w:tc>
        <w:tc>
          <w:tcPr>
            <w:tcW w:w="114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81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84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47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c>
          <w:tcPr>
            <w:tcW w:w="1280" w:type="dxa"/>
            <w:shd w:val="clear" w:color="auto" w:fill="auto"/>
            <w:vAlign w:val="bottom"/>
          </w:tcPr>
          <w:p w:rsidR="00102068" w:rsidRPr="0093499B" w:rsidRDefault="00102068" w:rsidP="006505E8">
            <w:pPr>
              <w:snapToGrid w:val="0"/>
              <w:spacing w:before="40" w:after="40" w:line="240" w:lineRule="auto"/>
              <w:jc w:val="right"/>
              <w:rPr>
                <w:bCs/>
                <w:spacing w:val="0"/>
                <w:w w:val="100"/>
                <w:sz w:val="17"/>
                <w:szCs w:val="17"/>
                <w:lang w:eastAsia="is-IS"/>
              </w:rPr>
            </w:pP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1990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45,6</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17,1</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4,1</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3,3</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29,9</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1995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44,5</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19,6</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3,3</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5,7</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26,9</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49,8</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18,2</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6,2</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3,2</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22,5</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2005</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46,7</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25,8</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3,6</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4,3</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19,5</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2006</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47,6</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26,1</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5</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3,8</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17,4</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2007</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48,1</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25,9</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3,8</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18,2</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2008</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48,5</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27,6</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4,1</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4,5</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15,3</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2009</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48,7</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28,3</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4,2</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3,2</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15,7</w:t>
            </w:r>
          </w:p>
        </w:tc>
      </w:tr>
      <w:tr w:rsidR="00102068" w:rsidTr="006505E8">
        <w:trPr>
          <w:trHeight w:val="240"/>
          <w:jc w:val="center"/>
        </w:trPr>
        <w:tc>
          <w:tcPr>
            <w:tcW w:w="1190" w:type="dxa"/>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2010</w:t>
            </w:r>
          </w:p>
        </w:tc>
        <w:tc>
          <w:tcPr>
            <w:tcW w:w="11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49,5</w:t>
            </w:r>
          </w:p>
        </w:tc>
        <w:tc>
          <w:tcPr>
            <w:tcW w:w="181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29,1</w:t>
            </w:r>
          </w:p>
        </w:tc>
        <w:tc>
          <w:tcPr>
            <w:tcW w:w="184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3</w:t>
            </w:r>
          </w:p>
        </w:tc>
        <w:tc>
          <w:tcPr>
            <w:tcW w:w="1470" w:type="dxa"/>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4,3</w:t>
            </w:r>
          </w:p>
        </w:tc>
        <w:tc>
          <w:tcPr>
            <w:tcW w:w="1280" w:type="dxa"/>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14,1</w:t>
            </w:r>
          </w:p>
        </w:tc>
      </w:tr>
      <w:tr w:rsidR="00102068" w:rsidTr="006505E8">
        <w:trPr>
          <w:trHeight w:val="240"/>
          <w:jc w:val="center"/>
        </w:trPr>
        <w:tc>
          <w:tcPr>
            <w:tcW w:w="1190" w:type="dxa"/>
            <w:tcBorders>
              <w:bottom w:val="single" w:sz="12" w:space="0" w:color="000000"/>
            </w:tcBorders>
            <w:shd w:val="clear" w:color="auto" w:fill="auto"/>
          </w:tcPr>
          <w:p w:rsidR="00102068" w:rsidRPr="0093499B" w:rsidRDefault="00102068" w:rsidP="006505E8">
            <w:pPr>
              <w:snapToGrid w:val="0"/>
              <w:spacing w:before="40" w:after="40" w:line="240" w:lineRule="auto"/>
              <w:rPr>
                <w:bCs/>
                <w:spacing w:val="0"/>
                <w:w w:val="100"/>
                <w:sz w:val="17"/>
                <w:szCs w:val="17"/>
                <w:lang w:eastAsia="is-IS"/>
              </w:rPr>
            </w:pPr>
          </w:p>
        </w:tc>
        <w:tc>
          <w:tcPr>
            <w:tcW w:w="960" w:type="dxa"/>
            <w:tcBorders>
              <w:bottom w:val="single" w:sz="12" w:space="0" w:color="000000"/>
            </w:tcBorders>
            <w:shd w:val="clear" w:color="auto" w:fill="auto"/>
            <w:vAlign w:val="bottom"/>
          </w:tcPr>
          <w:p w:rsidR="00102068" w:rsidRPr="0093499B" w:rsidRDefault="00102068" w:rsidP="006505E8">
            <w:pPr>
              <w:spacing w:before="40" w:after="40" w:line="240" w:lineRule="auto"/>
              <w:jc w:val="center"/>
              <w:rPr>
                <w:spacing w:val="0"/>
                <w:w w:val="100"/>
                <w:sz w:val="17"/>
                <w:szCs w:val="17"/>
                <w:lang w:eastAsia="is-IS"/>
              </w:rPr>
            </w:pPr>
            <w:r w:rsidRPr="0093499B">
              <w:rPr>
                <w:spacing w:val="0"/>
                <w:w w:val="100"/>
                <w:sz w:val="17"/>
                <w:szCs w:val="17"/>
                <w:lang w:eastAsia="is-IS"/>
              </w:rPr>
              <w:t>2011</w:t>
            </w:r>
          </w:p>
        </w:tc>
        <w:tc>
          <w:tcPr>
            <w:tcW w:w="1140" w:type="dxa"/>
            <w:tcBorders>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48,7</w:t>
            </w:r>
          </w:p>
        </w:tc>
        <w:tc>
          <w:tcPr>
            <w:tcW w:w="1810" w:type="dxa"/>
            <w:tcBorders>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27,9</w:t>
            </w:r>
          </w:p>
        </w:tc>
        <w:tc>
          <w:tcPr>
            <w:tcW w:w="1840" w:type="dxa"/>
            <w:tcBorders>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4,8</w:t>
            </w:r>
          </w:p>
        </w:tc>
        <w:tc>
          <w:tcPr>
            <w:tcW w:w="1470" w:type="dxa"/>
            <w:tcBorders>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7"/>
                <w:szCs w:val="17"/>
                <w:lang w:eastAsia="is-IS"/>
              </w:rPr>
            </w:pPr>
            <w:r w:rsidRPr="0093499B">
              <w:rPr>
                <w:spacing w:val="0"/>
                <w:w w:val="100"/>
                <w:sz w:val="17"/>
                <w:szCs w:val="17"/>
                <w:lang w:eastAsia="is-IS"/>
              </w:rPr>
              <w:t>4,4</w:t>
            </w:r>
          </w:p>
        </w:tc>
        <w:tc>
          <w:tcPr>
            <w:tcW w:w="1280" w:type="dxa"/>
            <w:tcBorders>
              <w:bottom w:val="single" w:sz="12" w:space="0" w:color="000000"/>
            </w:tcBorders>
            <w:shd w:val="clear" w:color="auto" w:fill="auto"/>
            <w:vAlign w:val="bottom"/>
          </w:tcPr>
          <w:p w:rsidR="00102068" w:rsidRPr="0093499B" w:rsidRDefault="00102068" w:rsidP="006505E8">
            <w:pPr>
              <w:spacing w:before="40" w:after="40" w:line="240" w:lineRule="auto"/>
              <w:jc w:val="right"/>
              <w:rPr>
                <w:spacing w:val="0"/>
                <w:w w:val="100"/>
                <w:sz w:val="17"/>
                <w:szCs w:val="17"/>
              </w:rPr>
            </w:pPr>
            <w:r w:rsidRPr="0093499B">
              <w:rPr>
                <w:spacing w:val="0"/>
                <w:w w:val="100"/>
                <w:sz w:val="17"/>
                <w:szCs w:val="17"/>
                <w:lang w:eastAsia="is-IS"/>
              </w:rPr>
              <w:t>14,2</w:t>
            </w:r>
          </w:p>
        </w:tc>
      </w:tr>
    </w:tbl>
    <w:p w:rsidR="004E3C3F" w:rsidRPr="004E3C3F" w:rsidRDefault="004E3C3F" w:rsidP="004E3C3F">
      <w:pPr>
        <w:pStyle w:val="SingleTxtG"/>
        <w:spacing w:after="0" w:line="120" w:lineRule="exact"/>
        <w:rPr>
          <w:b/>
          <w:i/>
          <w:sz w:val="10"/>
          <w:szCs w:val="18"/>
        </w:rPr>
      </w:pPr>
    </w:p>
    <w:p w:rsidR="00102068" w:rsidRPr="0093499B" w:rsidRDefault="00102068" w:rsidP="004E3C3F">
      <w:pPr>
        <w:pStyle w:val="FootnoteText"/>
        <w:tabs>
          <w:tab w:val="right" w:pos="1476"/>
          <w:tab w:val="left" w:pos="1548"/>
          <w:tab w:val="right" w:pos="1836"/>
          <w:tab w:val="left" w:pos="1908"/>
        </w:tabs>
        <w:ind w:left="1548" w:hanging="288"/>
      </w:pPr>
      <w:r w:rsidRPr="004E3C3F">
        <w:rPr>
          <w:i/>
        </w:rPr>
        <w:t>Источник</w:t>
      </w:r>
      <w:r w:rsidRPr="0093499B">
        <w:rPr>
          <w:b/>
        </w:rPr>
        <w:t>:</w:t>
      </w:r>
      <w:r w:rsidRPr="0093499B">
        <w:t xml:space="preserve"> Статистическое управление Исландии, 2012 год.</w:t>
      </w: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 xml:space="preserve">Многие признаки указывают на возросшее потребление исландцами нюхательного табака и его использование в качестве жевательного табака. С учетом </w:t>
      </w:r>
      <w:r w:rsidR="00102068" w:rsidRPr="0093499B">
        <w:t>этой</w:t>
      </w:r>
      <w:r w:rsidR="00102068">
        <w:t xml:space="preserve"> информации помимо традиционного анализа доли курильщиков было проведено тщательное исследование употребления бездымного табака среди исландцев. В выборку были включены свыше 3 тыс.</w:t>
      </w:r>
      <w:r w:rsidR="004C298C">
        <w:t> человек</w:t>
      </w:r>
      <w:r w:rsidR="00102068">
        <w:t xml:space="preserve"> в возрасте старше 18 лет из всех регионов страны; 48</w:t>
      </w:r>
      <w:r w:rsidR="004C298C">
        <w:t> процентов</w:t>
      </w:r>
      <w:r w:rsidR="00102068">
        <w:t xml:space="preserve"> из них ответили на заданные вопросы. Существует мало информации об употреблении нюхательного или жевательного табака исландскими</w:t>
      </w:r>
      <w:r>
        <w:t> женщин</w:t>
      </w:r>
      <w:r w:rsidR="00102068">
        <w:t>ами, однако имеющиеся данные свидетельствуют о том, что подобная практика не получила широкого распространения.</w:t>
      </w:r>
    </w:p>
    <w:p w:rsidR="00102068" w:rsidRDefault="004E3C3F" w:rsidP="00102068">
      <w:pPr>
        <w:pStyle w:val="SingleTxtG"/>
      </w:pPr>
      <w:r>
        <w:tab/>
      </w:r>
      <w:r w:rsidR="00102068">
        <w:t xml:space="preserve">Исследования по определению частоты курения подтверждают, что число </w:t>
      </w:r>
      <w:r w:rsidR="00102068" w:rsidRPr="0093499B">
        <w:t>курильщиков</w:t>
      </w:r>
      <w:r>
        <w:t xml:space="preserve"> —  </w:t>
      </w:r>
      <w:r w:rsidR="00102068">
        <w:t>как мужчин, так и</w:t>
      </w:r>
      <w:r>
        <w:t xml:space="preserve"> женщин —  </w:t>
      </w:r>
      <w:r w:rsidR="00102068">
        <w:t>снижается.</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Заболевания, передаваемые половым путем</w:t>
      </w:r>
    </w:p>
    <w:p w:rsidR="004E3C3F" w:rsidRPr="004E3C3F" w:rsidRDefault="004E3C3F" w:rsidP="004E3C3F">
      <w:pPr>
        <w:spacing w:line="120" w:lineRule="exact"/>
        <w:rPr>
          <w:sz w:val="10"/>
        </w:rPr>
      </w:pPr>
    </w:p>
    <w:p w:rsidR="004E3C3F" w:rsidRPr="004E3C3F" w:rsidRDefault="004E3C3F" w:rsidP="004E3C3F">
      <w:pPr>
        <w:spacing w:line="120" w:lineRule="exact"/>
        <w:rPr>
          <w:sz w:val="10"/>
        </w:rPr>
      </w:pPr>
    </w:p>
    <w:p w:rsidR="00102068" w:rsidRDefault="004E3C3F" w:rsidP="00102068">
      <w:pPr>
        <w:pStyle w:val="SingleTxtG"/>
      </w:pPr>
      <w:r>
        <w:tab/>
      </w:r>
      <w:r w:rsidR="00102068">
        <w:t>К концу 2012</w:t>
      </w:r>
      <w:r w:rsidR="004C298C">
        <w:t> года</w:t>
      </w:r>
      <w:r w:rsidR="00102068">
        <w:t xml:space="preserve"> глава эпидемиологической службы был проинформирован о 300 случаях ВИЧ-инфицирования в Исландии. У 66 пациентов из этой группы был диагностирован </w:t>
      </w:r>
      <w:r w:rsidR="00102068" w:rsidRPr="0093499B">
        <w:t>СПИД</w:t>
      </w:r>
      <w:r w:rsidR="00102068">
        <w:t>; в результате указанного заболевания умерли 39</w:t>
      </w:r>
      <w:r w:rsidR="004C298C">
        <w:t> человек</w:t>
      </w:r>
      <w:r w:rsidR="00102068">
        <w:t>. В число 300 ВИЧ-инфицированных вошли 90</w:t>
      </w:r>
      <w:r>
        <w:t> женщин</w:t>
      </w:r>
      <w:r w:rsidR="00102068">
        <w:t xml:space="preserve">; диагноз </w:t>
      </w:r>
      <w:r w:rsidR="004C298C">
        <w:t>«</w:t>
      </w:r>
      <w:r w:rsidR="00102068">
        <w:t>СПИД</w:t>
      </w:r>
      <w:r w:rsidR="004C298C">
        <w:t>»</w:t>
      </w:r>
      <w:r w:rsidR="00102068">
        <w:t xml:space="preserve"> был поставлен 10</w:t>
      </w:r>
      <w:r>
        <w:t> женщин</w:t>
      </w:r>
      <w:r w:rsidR="00102068">
        <w:t>ам. 6 из 39</w:t>
      </w:r>
      <w:r w:rsidR="004C298C">
        <w:t> человек</w:t>
      </w:r>
      <w:r w:rsidR="00102068">
        <w:t>, умерших от СПИДа, являлись</w:t>
      </w:r>
      <w:r>
        <w:t> женщин</w:t>
      </w:r>
      <w:r w:rsidR="00102068">
        <w:t xml:space="preserve">ами.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Ожидаемая продолжительность жизни</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На протяжении многих лет исландские</w:t>
      </w:r>
      <w:r>
        <w:t> женщин</w:t>
      </w:r>
      <w:r w:rsidR="00102068">
        <w:t>ы занимали ведущее место в мире по ожидаемой продолжительности жизни, однако в настоящее время они уступают</w:t>
      </w:r>
      <w:r>
        <w:t> женщин</w:t>
      </w:r>
      <w:r w:rsidR="00102068">
        <w:t>ам из других европейских стран. В 2010</w:t>
      </w:r>
      <w:r w:rsidR="004C298C">
        <w:t> году</w:t>
      </w:r>
      <w:r w:rsidR="00102068">
        <w:t xml:space="preserve"> средняя продолжительность жизни</w:t>
      </w:r>
      <w:r>
        <w:t> женщин</w:t>
      </w:r>
      <w:r w:rsidR="00102068">
        <w:t xml:space="preserve"> составила 83,7</w:t>
      </w:r>
      <w:r w:rsidR="004C298C">
        <w:t> года</w:t>
      </w:r>
      <w:r w:rsidR="00102068">
        <w:t>, благодаря чему Исландия заняла девятое место в Европе по данному показателю. В 2012</w:t>
      </w:r>
      <w:r w:rsidR="004C298C">
        <w:t> году</w:t>
      </w:r>
      <w:r w:rsidR="00102068">
        <w:t xml:space="preserve"> средняя ожидаемая продолжительность жизни при рождении для</w:t>
      </w:r>
      <w:r>
        <w:t> женщин</w:t>
      </w:r>
      <w:r w:rsidR="00102068">
        <w:t xml:space="preserve"> </w:t>
      </w:r>
      <w:r w:rsidR="00102068" w:rsidRPr="0093499B">
        <w:t>была</w:t>
      </w:r>
      <w:r w:rsidR="00102068">
        <w:t xml:space="preserve"> равна 83,9</w:t>
      </w:r>
      <w:r w:rsidR="004C298C">
        <w:t> года</w:t>
      </w:r>
      <w:r w:rsidR="00102068">
        <w:t>. Средняя продолжительность жизни</w:t>
      </w:r>
      <w:r>
        <w:t> женщин</w:t>
      </w:r>
      <w:r w:rsidR="00102068">
        <w:t xml:space="preserve"> в пятилетний период 2006–2010 годов составляла 83,3</w:t>
      </w:r>
      <w:r w:rsidR="004C298C">
        <w:t> года</w:t>
      </w:r>
      <w:r w:rsidR="00102068">
        <w:t>. В течение 2011</w:t>
      </w:r>
      <w:r w:rsidR="004C298C">
        <w:t> года</w:t>
      </w:r>
      <w:r w:rsidR="00102068">
        <w:t xml:space="preserve"> умерли 1 985</w:t>
      </w:r>
      <w:r w:rsidR="004C298C">
        <w:t> человек</w:t>
      </w:r>
      <w:r w:rsidR="00102068">
        <w:t>, проживавших в Исландии (998 мужчин и 987</w:t>
      </w:r>
      <w:r>
        <w:t> женщин</w:t>
      </w:r>
      <w:r w:rsidR="00102068">
        <w:t>). Уровень смертности, несколько сократившийся после 2010</w:t>
      </w:r>
      <w:r w:rsidR="004C298C">
        <w:t> года</w:t>
      </w:r>
      <w:r w:rsidR="00102068">
        <w:t xml:space="preserve">, составлял 6,2 случая на 1 тыс. жителей.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Рак</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С 1964</w:t>
      </w:r>
      <w:r w:rsidR="004C298C">
        <w:t> года</w:t>
      </w:r>
      <w:r w:rsidR="00102068">
        <w:t xml:space="preserve"> в стране осуществляется программа медицинских осмотров для выявления рака шейки матки, а с 1973</w:t>
      </w:r>
      <w:r w:rsidR="004C298C">
        <w:t> года</w:t>
      </w:r>
      <w:r>
        <w:t xml:space="preserve"> —  </w:t>
      </w:r>
      <w:r w:rsidR="00102068">
        <w:t>программа медицинских осмотров для обнаружения рака молочной железы. Всем</w:t>
      </w:r>
      <w:r>
        <w:t> женщин</w:t>
      </w:r>
      <w:r w:rsidR="00102068">
        <w:t>ам в возрасте от 20 до 69 лет предлагается раз в два</w:t>
      </w:r>
      <w:r w:rsidR="004C298C">
        <w:t> года</w:t>
      </w:r>
      <w:r w:rsidR="00102068">
        <w:t xml:space="preserve"> проходить проверку на предмет рака шейки матки, а</w:t>
      </w:r>
      <w:r>
        <w:t> женщин</w:t>
      </w:r>
      <w:r w:rsidR="00102068">
        <w:t>ам в возрасте от 40 до 69 лет рекомендуется раз в два</w:t>
      </w:r>
      <w:r w:rsidR="004C298C">
        <w:t> года</w:t>
      </w:r>
      <w:r w:rsidR="00102068">
        <w:t xml:space="preserve"> проходить осмотры на предмет рака молочной железы или маммографию. </w:t>
      </w:r>
    </w:p>
    <w:p w:rsidR="00102068" w:rsidRDefault="004E3C3F" w:rsidP="00102068">
      <w:pPr>
        <w:pStyle w:val="SingleTxtG"/>
      </w:pPr>
      <w:r>
        <w:tab/>
      </w:r>
      <w:r w:rsidR="00102068">
        <w:t>В 2006–2010</w:t>
      </w:r>
      <w:r w:rsidR="004C298C">
        <w:t> года</w:t>
      </w:r>
      <w:r w:rsidR="00102068">
        <w:t>х рак ежегодно диагностировали в среднем у 660</w:t>
      </w:r>
      <w:r>
        <w:t> женщин</w:t>
      </w:r>
      <w:r w:rsidR="00102068">
        <w:t>, что превышало соответствующий показатель за период 2001–2005 годов, когда этот диагноз ставился 609</w:t>
      </w:r>
      <w:r>
        <w:t> женщин</w:t>
      </w:r>
      <w:r w:rsidR="00102068">
        <w:t>ам. Значительно возросло число</w:t>
      </w:r>
      <w:r>
        <w:t> женщин</w:t>
      </w:r>
      <w:r w:rsidR="00102068">
        <w:t xml:space="preserve"> с диагнозом </w:t>
      </w:r>
      <w:r w:rsidR="004C298C">
        <w:t>«</w:t>
      </w:r>
      <w:r w:rsidR="00102068">
        <w:t>рак молочной железы</w:t>
      </w:r>
      <w:r w:rsidR="004C298C">
        <w:t>»</w:t>
      </w:r>
      <w:r w:rsidR="00102068">
        <w:t>. В период 2001–2005 годов средний годовой показатель был равен 159, тогда как в 2006–2010</w:t>
      </w:r>
      <w:r w:rsidR="004C298C">
        <w:t> года</w:t>
      </w:r>
      <w:r w:rsidR="00102068">
        <w:t>х он достиг 194. В 2001–2005</w:t>
      </w:r>
      <w:r w:rsidR="004C298C">
        <w:t> года</w:t>
      </w:r>
      <w:r w:rsidR="00102068">
        <w:t xml:space="preserve">х рак влагалища ежегодно диагностировался в среднем у 17 пациенток; в период 2006–2010 годов такой диагноз ежегодно ставился 15 </w:t>
      </w:r>
      <w:r w:rsidR="00102068" w:rsidRPr="0093499B">
        <w:t>пациенткам</w:t>
      </w:r>
      <w:r w:rsidR="00102068">
        <w:t>. В Исландии действуют программы активного скрининга на предмет выявления рака молочной железы и рака влагалища, в которых участвуют многие</w:t>
      </w:r>
      <w:r>
        <w:t> женщин</w:t>
      </w:r>
      <w:r w:rsidR="00102068">
        <w:t>ы.</w:t>
      </w:r>
    </w:p>
    <w:p w:rsidR="00102068" w:rsidRDefault="004E3C3F" w:rsidP="00102068">
      <w:pPr>
        <w:pStyle w:val="SingleTxtG"/>
      </w:pPr>
      <w:r>
        <w:tab/>
      </w:r>
      <w:r w:rsidR="00102068">
        <w:t>Осенью 2011</w:t>
      </w:r>
      <w:r w:rsidR="004C298C">
        <w:t> года</w:t>
      </w:r>
      <w:r w:rsidR="00102068">
        <w:t xml:space="preserve"> в соответствии с резолюцией, принятой парламентом в 2010</w:t>
      </w:r>
      <w:r w:rsidR="004C298C">
        <w:t> году</w:t>
      </w:r>
      <w:r w:rsidR="00102068">
        <w:t>, органы здравоохранения начали вакцинацию против ВПЧ (вируса папилломы</w:t>
      </w:r>
      <w:r w:rsidR="004C298C">
        <w:t> человек</w:t>
      </w:r>
      <w:r w:rsidR="00102068">
        <w:t xml:space="preserve">а). В </w:t>
      </w:r>
      <w:r w:rsidR="00102068" w:rsidRPr="0093499B">
        <w:t>настоящее</w:t>
      </w:r>
      <w:r w:rsidR="00102068">
        <w:t xml:space="preserve"> время эта вакцинация включена в общую программу вакцинации детей и охватывает всех девочек, учащихся в седьмых классах начальных школ. В 2001–2005</w:t>
      </w:r>
      <w:r w:rsidR="004C298C">
        <w:t> года</w:t>
      </w:r>
      <w:r w:rsidR="00102068">
        <w:t>х папилломавирусные инфекции ежегодно диагностировались у 17</w:t>
      </w:r>
      <w:r w:rsidR="004C298C">
        <w:t> человек</w:t>
      </w:r>
      <w:r w:rsidR="00102068">
        <w:t>, однако в 2006–2010</w:t>
      </w:r>
      <w:r w:rsidR="004C298C">
        <w:t> года</w:t>
      </w:r>
      <w:r w:rsidR="00102068">
        <w:t xml:space="preserve">х количество таких диагнозов уменьшилось до 15. </w:t>
      </w:r>
    </w:p>
    <w:p w:rsidR="00102068" w:rsidRDefault="004E3C3F" w:rsidP="00102068">
      <w:pPr>
        <w:pStyle w:val="SingleTxtG"/>
      </w:pPr>
      <w:r>
        <w:tab/>
      </w:r>
      <w:r w:rsidR="00102068">
        <w:t>В 2011</w:t>
      </w:r>
      <w:r w:rsidR="004C298C">
        <w:t> году</w:t>
      </w:r>
      <w:r w:rsidR="00102068">
        <w:t xml:space="preserve"> у 1283 исландских пациентов, включая 784</w:t>
      </w:r>
      <w:r>
        <w:t> женщин</w:t>
      </w:r>
      <w:r w:rsidR="00102068">
        <w:t>, был диагностирован хламидиоз. Разбивка случаев, зафиксированных в последние несколько лет, по возрасту пациентов указывает на то, что</w:t>
      </w:r>
      <w:r>
        <w:t> женщин</w:t>
      </w:r>
      <w:r w:rsidR="00102068">
        <w:t>ы заражаются в более молодом возрасте, нежели мужчины; это отражает модель сексуальной активности молодежи, поскольку известно, что девочки начинают половую жизнь раньше мальчиков.</w:t>
      </w:r>
    </w:p>
    <w:p w:rsidR="00102068" w:rsidRDefault="004E3C3F" w:rsidP="00102068">
      <w:pPr>
        <w:pStyle w:val="SingleTxtG"/>
        <w:rPr>
          <w:b/>
        </w:rPr>
      </w:pPr>
      <w:r>
        <w:tab/>
      </w:r>
      <w:r w:rsidR="00102068">
        <w:t>В первые девять месяцев 2011</w:t>
      </w:r>
      <w:r w:rsidR="004C298C">
        <w:t> года</w:t>
      </w:r>
      <w:r w:rsidR="00102068">
        <w:t xml:space="preserve"> было выявлено 23 новых случая гонореи, </w:t>
      </w:r>
      <w:r w:rsidR="00102068" w:rsidRPr="0093499B">
        <w:t>включая</w:t>
      </w:r>
      <w:r w:rsidR="00102068">
        <w:t xml:space="preserve"> 7 случаев инфицирования</w:t>
      </w:r>
      <w:r>
        <w:t> женщин</w:t>
      </w:r>
      <w:r w:rsidR="00102068">
        <w:t>. Средний возраст инфицированных лиц составляет 30 лет.</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Инвалидность</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Среди инвалидов, проживающих в Исландии, число</w:t>
      </w:r>
      <w:r>
        <w:t> женщин</w:t>
      </w:r>
      <w:r w:rsidR="00102068">
        <w:t xml:space="preserve"> превышает число мужчин. Данные о лицах с 75-процентной инвалидностью и оценки реабилитации показывают, что в 2011, 2012 и 2013</w:t>
      </w:r>
      <w:r w:rsidR="004C298C">
        <w:t> года</w:t>
      </w:r>
      <w:r w:rsidR="00102068">
        <w:t>х</w:t>
      </w:r>
      <w:r>
        <w:t> женщин</w:t>
      </w:r>
      <w:r w:rsidR="00102068">
        <w:t>ы составляли 60</w:t>
      </w:r>
      <w:r w:rsidR="004C298C">
        <w:t> процентов</w:t>
      </w:r>
      <w:r w:rsidR="00102068">
        <w:t xml:space="preserve"> от общего числа инвалидов.</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Суррогатное материнство</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2008</w:t>
      </w:r>
      <w:r w:rsidR="004C298C">
        <w:t> году</w:t>
      </w:r>
      <w:r w:rsidR="00102068">
        <w:t xml:space="preserve"> перед министром социального обеспечения была поставлена задача сформировать комитет по подготовке закона, разрешающего суррогатное материнство в </w:t>
      </w:r>
      <w:r w:rsidR="00102068" w:rsidRPr="0093499B">
        <w:t>благих</w:t>
      </w:r>
      <w:r w:rsidR="00102068">
        <w:t xml:space="preserve"> целях. Данный вопрос обсуждался в 2014</w:t>
      </w:r>
      <w:r w:rsidR="004C298C">
        <w:t> году</w:t>
      </w:r>
      <w:r w:rsidR="00102068">
        <w:t xml:space="preserve"> на заседании парламента, в ходе которого министр здравоохранения сообщил, что комитет продолжает работать, но законопроект будет представлен позднее.</w:t>
      </w:r>
    </w:p>
    <w:p w:rsidR="00102068" w:rsidRDefault="004E3C3F" w:rsidP="00102068">
      <w:pPr>
        <w:pStyle w:val="SingleTxtG"/>
      </w:pPr>
      <w:r>
        <w:tab/>
      </w:r>
      <w:r w:rsidR="00102068">
        <w:t xml:space="preserve">С дополнительной информацией можно ознакомиться в предыдущих докладах </w:t>
      </w:r>
      <w:r w:rsidR="00102068" w:rsidRPr="0093499B">
        <w:t>правительства</w:t>
      </w:r>
      <w:r w:rsidR="00102068">
        <w:t xml:space="preserve"> Исландии.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Аборты</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Первый закон, разрешающий прерывание беременности в Исландии, был принят в 1935</w:t>
      </w:r>
      <w:r w:rsidR="004C298C">
        <w:t> году</w:t>
      </w:r>
      <w:r w:rsidR="00102068">
        <w:t>; в 1975</w:t>
      </w:r>
      <w:r w:rsidR="004C298C">
        <w:t> году</w:t>
      </w:r>
      <w:r w:rsidR="00102068">
        <w:t xml:space="preserve"> он был заменен более либеральным законом. В настоящее время</w:t>
      </w:r>
      <w:r>
        <w:t> женщин</w:t>
      </w:r>
      <w:r w:rsidR="00102068">
        <w:t>ы имеют право на искусственный аборт до истечения двенадцатой недели беременности. В 2011</w:t>
      </w:r>
      <w:r w:rsidR="004C298C">
        <w:t> году</w:t>
      </w:r>
      <w:r w:rsidR="00102068">
        <w:t xml:space="preserve"> в Исландии было проведено 969 абортов, что примерно соответствует показателям за предыдущие годы. Это означает, что в 2011 году было проведено 216 абортов на 1 тыс. живорождений. </w:t>
      </w:r>
    </w:p>
    <w:p w:rsidR="00102068" w:rsidRDefault="00102068" w:rsidP="00102068">
      <w:pPr>
        <w:pStyle w:val="SingleTxtG"/>
        <w:keepNext/>
        <w:jc w:val="left"/>
      </w:pPr>
      <w:r>
        <w:rPr>
          <w:b/>
        </w:rPr>
        <w:t>Количество абортов в 1998–2011</w:t>
      </w:r>
      <w:r w:rsidR="004C298C">
        <w:rPr>
          <w:b/>
        </w:rPr>
        <w:t> года</w:t>
      </w:r>
      <w:r>
        <w:rPr>
          <w:b/>
        </w:rPr>
        <w:t>х</w:t>
      </w:r>
    </w:p>
    <w:p w:rsidR="00102068" w:rsidRDefault="00363E39" w:rsidP="00102068">
      <w:pPr>
        <w:pStyle w:val="SingleTxtG"/>
        <w:spacing w:line="240" w:lineRule="auto"/>
        <w:rPr>
          <w:i/>
          <w:iCs/>
          <w:sz w:val="24"/>
          <w:szCs w:val="24"/>
        </w:rPr>
      </w:pPr>
      <w:r>
        <w:rPr>
          <w:noProof/>
          <w:sz w:val="24"/>
          <w:szCs w:val="24"/>
          <w:lang w:val="en-GB" w:eastAsia="en-GB"/>
        </w:rPr>
        <w:drawing>
          <wp:inline distT="0" distB="0" distL="0" distR="0">
            <wp:extent cx="5400040" cy="218948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0040" cy="2189480"/>
                    </a:xfrm>
                    <a:prstGeom prst="rect">
                      <a:avLst/>
                    </a:prstGeom>
                    <a:solidFill>
                      <a:srgbClr val="FFFFFF"/>
                    </a:solidFill>
                    <a:ln>
                      <a:noFill/>
                    </a:ln>
                  </pic:spPr>
                </pic:pic>
              </a:graphicData>
            </a:graphic>
          </wp:inline>
        </w:drawing>
      </w:r>
    </w:p>
    <w:p w:rsidR="00102068" w:rsidRPr="0093499B" w:rsidRDefault="00102068" w:rsidP="00102068">
      <w:pPr>
        <w:pStyle w:val="SingleTxtG"/>
        <w:rPr>
          <w:i/>
          <w:sz w:val="18"/>
          <w:szCs w:val="18"/>
        </w:rPr>
      </w:pPr>
      <w:r w:rsidRPr="0093499B">
        <w:rPr>
          <w:b/>
          <w:i/>
          <w:sz w:val="18"/>
          <w:szCs w:val="18"/>
        </w:rPr>
        <w:t>Источник:</w:t>
      </w:r>
      <w:r w:rsidRPr="0093499B">
        <w:rPr>
          <w:i/>
          <w:sz w:val="18"/>
          <w:szCs w:val="18"/>
        </w:rPr>
        <w:t xml:space="preserve"> Статистическое управление Исландии, 2012 год.</w:t>
      </w:r>
    </w:p>
    <w:p w:rsidR="004E3C3F" w:rsidRPr="004E3C3F" w:rsidRDefault="004E3C3F" w:rsidP="004E3C3F">
      <w:pPr>
        <w:pStyle w:val="SingleTxtG"/>
        <w:spacing w:after="0" w:line="120" w:lineRule="exact"/>
        <w:jc w:val="left"/>
        <w:rPr>
          <w:b/>
          <w:sz w:val="10"/>
        </w:rPr>
      </w:pPr>
    </w:p>
    <w:p w:rsidR="004E3C3F" w:rsidRPr="004E3C3F" w:rsidRDefault="004E3C3F" w:rsidP="004E3C3F">
      <w:pPr>
        <w:pStyle w:val="SingleTxtG"/>
        <w:spacing w:after="0" w:line="120" w:lineRule="exact"/>
        <w:jc w:val="left"/>
        <w:rPr>
          <w:b/>
          <w:sz w:val="10"/>
        </w:rPr>
      </w:pPr>
    </w:p>
    <w:p w:rsidR="00102068" w:rsidRPr="0093499B" w:rsidRDefault="00102068" w:rsidP="00102068">
      <w:pPr>
        <w:pStyle w:val="SingleTxtG"/>
        <w:jc w:val="left"/>
        <w:rPr>
          <w:b/>
        </w:rPr>
      </w:pPr>
      <w:r w:rsidRPr="0093499B">
        <w:rPr>
          <w:b/>
        </w:rPr>
        <w:t>Количество абортов на 1 тыс.</w:t>
      </w:r>
      <w:r w:rsidR="004E3C3F">
        <w:rPr>
          <w:b/>
        </w:rPr>
        <w:t> женщин</w:t>
      </w:r>
      <w:r w:rsidRPr="0093499B">
        <w:rPr>
          <w:b/>
        </w:rPr>
        <w:t xml:space="preserve"> в разбивке по возрасту</w:t>
      </w:r>
    </w:p>
    <w:p w:rsidR="00102068" w:rsidRDefault="00363E39" w:rsidP="00102068">
      <w:pPr>
        <w:pStyle w:val="SingleTxtG"/>
        <w:spacing w:line="240" w:lineRule="auto"/>
        <w:rPr>
          <w:i/>
          <w:iCs/>
          <w:sz w:val="24"/>
          <w:szCs w:val="24"/>
        </w:rPr>
      </w:pPr>
      <w:r>
        <w:rPr>
          <w:noProof/>
          <w:sz w:val="24"/>
          <w:szCs w:val="24"/>
          <w:lang w:val="en-GB" w:eastAsia="en-GB"/>
        </w:rPr>
        <w:drawing>
          <wp:inline distT="0" distB="0" distL="0" distR="0">
            <wp:extent cx="527812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8120" cy="2743200"/>
                    </a:xfrm>
                    <a:prstGeom prst="rect">
                      <a:avLst/>
                    </a:prstGeom>
                    <a:solidFill>
                      <a:srgbClr val="FFFFFF"/>
                    </a:solidFill>
                    <a:ln>
                      <a:noFill/>
                    </a:ln>
                  </pic:spPr>
                </pic:pic>
              </a:graphicData>
            </a:graphic>
          </wp:inline>
        </w:drawing>
      </w:r>
    </w:p>
    <w:p w:rsidR="00102068" w:rsidRPr="0093499B" w:rsidRDefault="00102068" w:rsidP="00102068">
      <w:pPr>
        <w:pStyle w:val="SingleTxtG"/>
        <w:rPr>
          <w:i/>
          <w:sz w:val="18"/>
          <w:szCs w:val="18"/>
        </w:rPr>
      </w:pPr>
      <w:r w:rsidRPr="0093499B">
        <w:rPr>
          <w:b/>
          <w:i/>
          <w:sz w:val="18"/>
          <w:szCs w:val="18"/>
        </w:rPr>
        <w:t>Источник:</w:t>
      </w:r>
      <w:r w:rsidRPr="0093499B">
        <w:rPr>
          <w:i/>
          <w:sz w:val="18"/>
          <w:szCs w:val="18"/>
        </w:rPr>
        <w:t xml:space="preserve"> Директорат здравоохранения, 2013 год.</w:t>
      </w:r>
    </w:p>
    <w:p w:rsidR="00102068" w:rsidRDefault="004E3C3F" w:rsidP="00102068">
      <w:pPr>
        <w:pStyle w:val="SingleTxtG"/>
      </w:pPr>
      <w:r>
        <w:tab/>
      </w:r>
      <w:r w:rsidR="00102068">
        <w:t>Как видно из таблицы, за последние пятнадцать лет количество абортов у</w:t>
      </w:r>
      <w:r>
        <w:t> женщин</w:t>
      </w:r>
      <w:r w:rsidR="00102068">
        <w:t xml:space="preserve"> в возрасте менее 20 лет значительно сократилось. В последние годы уменьшилось количество больниц и медицинских центров, в которых проводится данная операция. В 2012</w:t>
      </w:r>
      <w:r w:rsidR="004C298C">
        <w:t> году</w:t>
      </w:r>
      <w:r w:rsidR="00102068">
        <w:t xml:space="preserve"> 90</w:t>
      </w:r>
      <w:r w:rsidR="004C298C">
        <w:t> процентов</w:t>
      </w:r>
      <w:r w:rsidR="00102068">
        <w:t xml:space="preserve"> абортов были проведены в Национальной больнице Рейкьявика и 8,1</w:t>
      </w:r>
      <w:r w:rsidR="004C298C">
        <w:t> процента</w:t>
      </w:r>
      <w:r>
        <w:t xml:space="preserve"> —  </w:t>
      </w:r>
      <w:r w:rsidR="00102068">
        <w:t>в больнице в Акюрейри. После 2008</w:t>
      </w:r>
      <w:r w:rsidR="004C298C">
        <w:t> года</w:t>
      </w:r>
      <w:r w:rsidR="00102068">
        <w:t xml:space="preserve"> общее количество абортов возросло с 900 в год до 980 в 2012</w:t>
      </w:r>
      <w:r w:rsidR="004C298C">
        <w:t> году</w:t>
      </w:r>
      <w:r w:rsidR="00102068">
        <w:t>. Количество операций по стерилизации</w:t>
      </w:r>
      <w:r>
        <w:t> женщин</w:t>
      </w:r>
      <w:r w:rsidR="00102068">
        <w:t xml:space="preserve"> в </w:t>
      </w:r>
      <w:r w:rsidR="00102068" w:rsidRPr="0093499B">
        <w:t>последние</w:t>
      </w:r>
      <w:r w:rsidR="00102068">
        <w:t xml:space="preserve"> годы сократилось: в настоящее время их доля составляет около 27</w:t>
      </w:r>
      <w:r w:rsidR="004C298C">
        <w:t> процентов</w:t>
      </w:r>
      <w:r w:rsidR="00102068">
        <w:t xml:space="preserve"> всех проводимых операций.</w:t>
      </w: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102068">
        <w:t>Пункт 2</w:t>
      </w:r>
      <w:r>
        <w:br/>
      </w:r>
      <w:r w:rsidR="00102068">
        <w:t>Рождаемость</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2010</w:t>
      </w:r>
      <w:r w:rsidR="004C298C">
        <w:t> году</w:t>
      </w:r>
      <w:r w:rsidR="00102068">
        <w:t xml:space="preserve"> в Исландии родились </w:t>
      </w:r>
      <w:r>
        <w:t>4</w:t>
      </w:r>
      <w:r w:rsidR="00102068">
        <w:t>907 детей, в том числе 2384 девочки. В 2011 году родились 4492</w:t>
      </w:r>
      <w:r>
        <w:t> ребенка</w:t>
      </w:r>
      <w:r w:rsidR="00102068">
        <w:t>, включая 2166 девочек; в 2012</w:t>
      </w:r>
      <w:r w:rsidR="004C298C">
        <w:t> году</w:t>
      </w:r>
      <w:r w:rsidR="00102068">
        <w:t xml:space="preserve"> в Исландии живыми родились 4533</w:t>
      </w:r>
      <w:r>
        <w:t> ребенка</w:t>
      </w:r>
      <w:r w:rsidR="00102068">
        <w:t>, 2216 из которых являлись девочками. Средний возраст матерей в последние годы практически не изменился; в 2008–2012</w:t>
      </w:r>
      <w:r w:rsidR="004C298C">
        <w:t> года</w:t>
      </w:r>
      <w:r w:rsidR="00102068">
        <w:t>х он находился в интервале от 29,6</w:t>
      </w:r>
      <w:r w:rsidR="004C298C">
        <w:t> года</w:t>
      </w:r>
      <w:r w:rsidR="00102068">
        <w:t xml:space="preserve"> (2008 год) до 29,9</w:t>
      </w:r>
      <w:r w:rsidR="004C298C">
        <w:t> года</w:t>
      </w:r>
      <w:r w:rsidR="00102068">
        <w:t xml:space="preserve"> (</w:t>
      </w:r>
      <w:r w:rsidR="00102068" w:rsidRPr="0093499B">
        <w:t>2011 и 2011 годы</w:t>
      </w:r>
      <w:r w:rsidR="00102068">
        <w:t>). В 2012</w:t>
      </w:r>
      <w:r w:rsidR="004C298C">
        <w:t> году</w:t>
      </w:r>
      <w:r w:rsidR="00102068">
        <w:t xml:space="preserve"> средний возраст матери при рождении первого</w:t>
      </w:r>
      <w:r>
        <w:t> ребенка</w:t>
      </w:r>
      <w:r w:rsidR="00102068">
        <w:t xml:space="preserve"> составлял 26,9 года. В 2011</w:t>
      </w:r>
      <w:r w:rsidR="004C298C">
        <w:t> году</w:t>
      </w:r>
      <w:r w:rsidR="00102068">
        <w:t xml:space="preserve"> в период беременности умерла одна</w:t>
      </w:r>
      <w:r>
        <w:t> женщин</w:t>
      </w:r>
      <w:r w:rsidR="00102068">
        <w:t>а; в 2010</w:t>
      </w:r>
      <w:r w:rsidR="004C298C">
        <w:t> году</w:t>
      </w:r>
      <w:r w:rsidR="00102068">
        <w:t xml:space="preserve"> не было зафиксировано ни одного случая смерти</w:t>
      </w:r>
      <w:r>
        <w:t> женщин</w:t>
      </w:r>
      <w:r w:rsidR="00102068">
        <w:t xml:space="preserve"> при родах.</w:t>
      </w:r>
    </w:p>
    <w:p w:rsidR="004E3C3F" w:rsidRPr="004E3C3F" w:rsidRDefault="004E3C3F" w:rsidP="004E3C3F">
      <w:pPr>
        <w:pStyle w:val="SingleTxtG"/>
        <w:spacing w:after="0" w:line="120" w:lineRule="exact"/>
        <w:jc w:val="left"/>
        <w:rPr>
          <w:b/>
          <w:sz w:val="10"/>
        </w:rPr>
      </w:pPr>
    </w:p>
    <w:p w:rsidR="00102068" w:rsidRPr="003A093E" w:rsidRDefault="00102068" w:rsidP="00102068">
      <w:pPr>
        <w:pStyle w:val="SingleTxtG"/>
        <w:jc w:val="left"/>
        <w:rPr>
          <w:b/>
          <w:shd w:val="clear" w:color="auto" w:fill="FFFF00"/>
        </w:rPr>
      </w:pPr>
      <w:r w:rsidRPr="003A093E">
        <w:rPr>
          <w:b/>
        </w:rPr>
        <w:t>Количество родов в 2007–2012</w:t>
      </w:r>
      <w:r w:rsidR="004C298C">
        <w:rPr>
          <w:b/>
        </w:rPr>
        <w:t> года</w:t>
      </w:r>
      <w:r w:rsidRPr="003A093E">
        <w:rPr>
          <w:b/>
        </w:rPr>
        <w:t>х</w:t>
      </w:r>
    </w:p>
    <w:tbl>
      <w:tblPr>
        <w:tblW w:w="0" w:type="auto"/>
        <w:tblInd w:w="26" w:type="dxa"/>
        <w:tblLayout w:type="fixed"/>
        <w:tblCellMar>
          <w:left w:w="0" w:type="dxa"/>
          <w:right w:w="0" w:type="dxa"/>
        </w:tblCellMar>
        <w:tblLook w:val="0000" w:firstRow="0" w:lastRow="0" w:firstColumn="0" w:lastColumn="0" w:noHBand="0" w:noVBand="0"/>
      </w:tblPr>
      <w:tblGrid>
        <w:gridCol w:w="2100"/>
        <w:gridCol w:w="960"/>
        <w:gridCol w:w="890"/>
        <w:gridCol w:w="870"/>
        <w:gridCol w:w="960"/>
        <w:gridCol w:w="970"/>
        <w:gridCol w:w="960"/>
        <w:gridCol w:w="1020"/>
        <w:gridCol w:w="850"/>
      </w:tblGrid>
      <w:tr w:rsidR="00102068" w:rsidTr="006505E8">
        <w:trPr>
          <w:tblHeader/>
        </w:trPr>
        <w:tc>
          <w:tcPr>
            <w:tcW w:w="210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rPr>
                <w:bCs/>
                <w:i/>
                <w:spacing w:val="0"/>
                <w:w w:val="100"/>
                <w:sz w:val="14"/>
                <w:szCs w:val="14"/>
                <w:shd w:val="clear" w:color="auto" w:fill="FFFF00"/>
                <w:lang w:eastAsia="zh-CN"/>
              </w:rPr>
            </w:pPr>
          </w:p>
        </w:tc>
        <w:tc>
          <w:tcPr>
            <w:tcW w:w="96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1959</w:t>
            </w:r>
          </w:p>
        </w:tc>
        <w:tc>
          <w:tcPr>
            <w:tcW w:w="89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1960</w:t>
            </w:r>
          </w:p>
        </w:tc>
        <w:tc>
          <w:tcPr>
            <w:tcW w:w="87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2007</w:t>
            </w:r>
          </w:p>
        </w:tc>
        <w:tc>
          <w:tcPr>
            <w:tcW w:w="96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2008</w:t>
            </w:r>
          </w:p>
        </w:tc>
        <w:tc>
          <w:tcPr>
            <w:tcW w:w="97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2009</w:t>
            </w:r>
          </w:p>
        </w:tc>
        <w:tc>
          <w:tcPr>
            <w:tcW w:w="96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2010</w:t>
            </w:r>
          </w:p>
        </w:tc>
        <w:tc>
          <w:tcPr>
            <w:tcW w:w="102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Cs/>
                <w:i/>
                <w:spacing w:val="0"/>
                <w:w w:val="100"/>
                <w:sz w:val="14"/>
                <w:szCs w:val="14"/>
                <w:lang w:eastAsia="zh-CN"/>
              </w:rPr>
            </w:pPr>
            <w:r w:rsidRPr="003A093E">
              <w:rPr>
                <w:bCs/>
                <w:i/>
                <w:spacing w:val="0"/>
                <w:w w:val="100"/>
                <w:sz w:val="14"/>
                <w:szCs w:val="14"/>
                <w:lang w:eastAsia="zh-CN"/>
              </w:rPr>
              <w:t>2011</w:t>
            </w:r>
          </w:p>
        </w:tc>
        <w:tc>
          <w:tcPr>
            <w:tcW w:w="85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4"/>
                <w:szCs w:val="14"/>
              </w:rPr>
            </w:pPr>
            <w:r w:rsidRPr="003A093E">
              <w:rPr>
                <w:bCs/>
                <w:i/>
                <w:spacing w:val="0"/>
                <w:w w:val="100"/>
                <w:sz w:val="14"/>
                <w:szCs w:val="14"/>
                <w:lang w:eastAsia="zh-CN"/>
              </w:rPr>
              <w:t>2012</w:t>
            </w:r>
          </w:p>
        </w:tc>
      </w:tr>
      <w:tr w:rsidR="00102068" w:rsidTr="006505E8">
        <w:trPr>
          <w:trHeight w:val="402"/>
        </w:trPr>
        <w:tc>
          <w:tcPr>
            <w:tcW w:w="210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Роды</w:t>
            </w:r>
          </w:p>
        </w:tc>
        <w:tc>
          <w:tcPr>
            <w:tcW w:w="96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spacing w:val="0"/>
                <w:w w:val="100"/>
                <w:sz w:val="17"/>
                <w:szCs w:val="17"/>
                <w:lang w:eastAsia="zh-CN"/>
              </w:rPr>
            </w:pPr>
            <w:r w:rsidRPr="003A093E">
              <w:rPr>
                <w:spacing w:val="0"/>
                <w:w w:val="100"/>
                <w:sz w:val="17"/>
                <w:szCs w:val="17"/>
                <w:lang w:eastAsia="zh-CN"/>
              </w:rPr>
              <w:t>4 837</w:t>
            </w:r>
          </w:p>
        </w:tc>
        <w:tc>
          <w:tcPr>
            <w:tcW w:w="89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4 916</w:t>
            </w:r>
          </w:p>
        </w:tc>
        <w:tc>
          <w:tcPr>
            <w:tcW w:w="87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4 560</w:t>
            </w:r>
          </w:p>
        </w:tc>
        <w:tc>
          <w:tcPr>
            <w:tcW w:w="96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4 835</w:t>
            </w:r>
          </w:p>
        </w:tc>
        <w:tc>
          <w:tcPr>
            <w:tcW w:w="97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5 026</w:t>
            </w:r>
          </w:p>
        </w:tc>
        <w:tc>
          <w:tcPr>
            <w:tcW w:w="96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4 907</w:t>
            </w:r>
          </w:p>
        </w:tc>
        <w:tc>
          <w:tcPr>
            <w:tcW w:w="102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4 492</w:t>
            </w:r>
          </w:p>
        </w:tc>
        <w:tc>
          <w:tcPr>
            <w:tcW w:w="850" w:type="dxa"/>
            <w:tcBorders>
              <w:top w:val="single" w:sz="12" w:space="0" w:color="000000"/>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4 533</w:t>
            </w:r>
          </w:p>
        </w:tc>
      </w:tr>
    </w:tbl>
    <w:p w:rsidR="00102068" w:rsidRPr="003A093E" w:rsidRDefault="00102068" w:rsidP="00102068">
      <w:pPr>
        <w:pStyle w:val="SingleTxtG"/>
        <w:rPr>
          <w:i/>
          <w:sz w:val="18"/>
          <w:szCs w:val="18"/>
        </w:rPr>
      </w:pPr>
      <w:r w:rsidRPr="003A093E">
        <w:rPr>
          <w:b/>
          <w:i/>
          <w:sz w:val="18"/>
          <w:szCs w:val="18"/>
        </w:rPr>
        <w:t>Источник:</w:t>
      </w:r>
      <w:r w:rsidRPr="003A093E">
        <w:rPr>
          <w:i/>
          <w:sz w:val="18"/>
          <w:szCs w:val="18"/>
        </w:rPr>
        <w:t xml:space="preserve"> Статистическое управление Исландии, 2013 год.</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t>В</w:t>
      </w:r>
      <w:r w:rsidR="00102068">
        <w:t xml:space="preserve"> 2011</w:t>
      </w:r>
      <w:r w:rsidR="004C298C">
        <w:t> году</w:t>
      </w:r>
      <w:r w:rsidR="00102068">
        <w:t xml:space="preserve"> коэффициент младенческой смертности был равен 0,9 на 1 тыс. живорождений, а в 2012</w:t>
      </w:r>
      <w:r w:rsidR="004C298C">
        <w:t> году</w:t>
      </w:r>
      <w:r>
        <w:t xml:space="preserve"> —  </w:t>
      </w:r>
      <w:r w:rsidR="00102068">
        <w:t>1,1 на 1 тыс. живорождений. Это самый низкий показатель, зафиксированный в Европе.</w:t>
      </w:r>
    </w:p>
    <w:p w:rsidR="00102068" w:rsidRDefault="00102068" w:rsidP="00102068">
      <w:pPr>
        <w:pStyle w:val="SingleTxtG"/>
      </w:pPr>
      <w:r w:rsidRPr="003A093E">
        <w:t>По</w:t>
      </w:r>
      <w:r>
        <w:t xml:space="preserve"> причинам экономического характера количество вариантов, которыми могут воспользоваться родители при выборе места рождения своего</w:t>
      </w:r>
      <w:r w:rsidR="004E3C3F">
        <w:t> ребенка</w:t>
      </w:r>
      <w:r>
        <w:t>, уменьшилось. Сокращение штатов местных медицинских центров вынуждает будущих родителей ехать в более крупные центры для получения необходимой акушерской помощи. Количество домашних родов увеличилось по сравнению с предыдущим десятилетием. Если в 2003</w:t>
      </w:r>
      <w:r w:rsidR="004C298C">
        <w:t> году</w:t>
      </w:r>
      <w:r>
        <w:t xml:space="preserve"> в домашних условиях на свет появились всего 26 детей, а в 2004</w:t>
      </w:r>
      <w:r w:rsidR="004C298C">
        <w:t> году</w:t>
      </w:r>
      <w:r w:rsidR="004E3C3F">
        <w:t xml:space="preserve"> —  </w:t>
      </w:r>
      <w:r>
        <w:t>25 детей, то в 2011</w:t>
      </w:r>
      <w:r w:rsidR="004C298C">
        <w:t> году</w:t>
      </w:r>
      <w:r>
        <w:t xml:space="preserve"> их число достигло 94.</w:t>
      </w:r>
    </w:p>
    <w:p w:rsidR="004E3C3F" w:rsidRPr="004E3C3F" w:rsidRDefault="004E3C3F" w:rsidP="004E3C3F">
      <w:pPr>
        <w:pStyle w:val="SingleTxtG"/>
        <w:spacing w:after="0" w:line="120" w:lineRule="exact"/>
        <w:jc w:val="left"/>
        <w:rPr>
          <w:b/>
          <w:sz w:val="10"/>
        </w:rPr>
      </w:pPr>
    </w:p>
    <w:p w:rsidR="00102068" w:rsidRPr="003A093E" w:rsidRDefault="00102068" w:rsidP="00102068">
      <w:pPr>
        <w:pStyle w:val="SingleTxtG"/>
        <w:jc w:val="left"/>
        <w:rPr>
          <w:b/>
          <w:bCs/>
          <w:i/>
          <w:lang w:eastAsia="zh-CN"/>
        </w:rPr>
      </w:pPr>
      <w:r w:rsidRPr="003A093E">
        <w:rPr>
          <w:b/>
        </w:rPr>
        <w:t>Роды в Исландии в 2011</w:t>
      </w:r>
      <w:r w:rsidR="004C298C">
        <w:rPr>
          <w:b/>
        </w:rPr>
        <w:t> году</w:t>
      </w:r>
      <w:r w:rsidRPr="003A093E">
        <w:rPr>
          <w:b/>
        </w:rPr>
        <w:t xml:space="preserve"> в разбивке по месту их проведения</w:t>
      </w:r>
    </w:p>
    <w:tbl>
      <w:tblPr>
        <w:tblW w:w="0" w:type="auto"/>
        <w:tblInd w:w="1247" w:type="dxa"/>
        <w:tblLayout w:type="fixed"/>
        <w:tblCellMar>
          <w:left w:w="0" w:type="dxa"/>
          <w:right w:w="0" w:type="dxa"/>
        </w:tblCellMar>
        <w:tblLook w:val="0000" w:firstRow="0" w:lastRow="0" w:firstColumn="0" w:lastColumn="0" w:noHBand="0" w:noVBand="0"/>
      </w:tblPr>
      <w:tblGrid>
        <w:gridCol w:w="2751"/>
        <w:gridCol w:w="1470"/>
        <w:gridCol w:w="1310"/>
        <w:gridCol w:w="910"/>
        <w:gridCol w:w="1870"/>
      </w:tblGrid>
      <w:tr w:rsidR="00102068" w:rsidTr="006505E8">
        <w:trPr>
          <w:trHeight w:val="300"/>
          <w:tblHeader/>
        </w:trPr>
        <w:tc>
          <w:tcPr>
            <w:tcW w:w="2751"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rPr>
                <w:i/>
                <w:spacing w:val="0"/>
                <w:w w:val="100"/>
                <w:sz w:val="14"/>
                <w:szCs w:val="14"/>
                <w:lang w:eastAsia="zh-CN"/>
              </w:rPr>
            </w:pPr>
            <w:r w:rsidRPr="003A093E">
              <w:rPr>
                <w:bCs/>
                <w:i/>
                <w:spacing w:val="0"/>
                <w:w w:val="100"/>
                <w:sz w:val="14"/>
                <w:szCs w:val="14"/>
                <w:lang w:eastAsia="zh-CN"/>
              </w:rPr>
              <w:t>Место рождения</w:t>
            </w:r>
          </w:p>
        </w:tc>
        <w:tc>
          <w:tcPr>
            <w:tcW w:w="147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ind w:left="113"/>
              <w:jc w:val="right"/>
              <w:rPr>
                <w:bCs/>
                <w:i/>
                <w:spacing w:val="0"/>
                <w:w w:val="100"/>
                <w:sz w:val="14"/>
                <w:szCs w:val="14"/>
                <w:lang w:eastAsia="zh-CN"/>
              </w:rPr>
            </w:pPr>
            <w:r w:rsidRPr="003A093E">
              <w:rPr>
                <w:i/>
                <w:spacing w:val="0"/>
                <w:w w:val="100"/>
                <w:sz w:val="14"/>
                <w:szCs w:val="14"/>
                <w:lang w:eastAsia="zh-CN"/>
              </w:rPr>
              <w:t>Количество родов</w:t>
            </w:r>
          </w:p>
        </w:tc>
        <w:tc>
          <w:tcPr>
            <w:tcW w:w="131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ind w:left="113"/>
              <w:jc w:val="right"/>
              <w:rPr>
                <w:i/>
                <w:spacing w:val="0"/>
                <w:w w:val="100"/>
                <w:sz w:val="14"/>
                <w:szCs w:val="14"/>
                <w:lang w:eastAsia="zh-CN"/>
              </w:rPr>
            </w:pPr>
            <w:r w:rsidRPr="003A093E">
              <w:rPr>
                <w:bCs/>
                <w:i/>
                <w:spacing w:val="0"/>
                <w:w w:val="100"/>
                <w:sz w:val="14"/>
                <w:szCs w:val="14"/>
                <w:lang w:eastAsia="zh-CN"/>
              </w:rPr>
              <w:t>Двойни или тройни</w:t>
            </w:r>
          </w:p>
        </w:tc>
        <w:tc>
          <w:tcPr>
            <w:tcW w:w="91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ind w:left="113"/>
              <w:jc w:val="right"/>
              <w:rPr>
                <w:i/>
                <w:spacing w:val="0"/>
                <w:w w:val="100"/>
                <w:sz w:val="14"/>
                <w:szCs w:val="14"/>
                <w:lang w:eastAsia="zh-CN"/>
              </w:rPr>
            </w:pPr>
            <w:r w:rsidRPr="003A093E">
              <w:rPr>
                <w:i/>
                <w:spacing w:val="0"/>
                <w:w w:val="100"/>
                <w:sz w:val="14"/>
                <w:szCs w:val="14"/>
                <w:lang w:eastAsia="zh-CN"/>
              </w:rPr>
              <w:t>Всего</w:t>
            </w:r>
          </w:p>
        </w:tc>
        <w:tc>
          <w:tcPr>
            <w:tcW w:w="187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ind w:left="113"/>
              <w:jc w:val="right"/>
              <w:rPr>
                <w:spacing w:val="0"/>
                <w:w w:val="100"/>
                <w:sz w:val="14"/>
                <w:szCs w:val="14"/>
              </w:rPr>
            </w:pPr>
            <w:r w:rsidRPr="003A093E">
              <w:rPr>
                <w:i/>
                <w:spacing w:val="0"/>
                <w:w w:val="100"/>
                <w:sz w:val="14"/>
                <w:szCs w:val="14"/>
                <w:lang w:eastAsia="zh-CN"/>
              </w:rPr>
              <w:t>Доля (в</w:t>
            </w:r>
            <w:r w:rsidR="004C298C">
              <w:rPr>
                <w:i/>
                <w:spacing w:val="0"/>
                <w:w w:val="100"/>
                <w:sz w:val="14"/>
                <w:szCs w:val="14"/>
                <w:lang w:eastAsia="zh-CN"/>
              </w:rPr>
              <w:t> процента</w:t>
            </w:r>
            <w:r w:rsidRPr="003A093E">
              <w:rPr>
                <w:i/>
                <w:spacing w:val="0"/>
                <w:w w:val="100"/>
                <w:sz w:val="14"/>
                <w:szCs w:val="14"/>
                <w:lang w:eastAsia="zh-CN"/>
              </w:rPr>
              <w:t>х)</w:t>
            </w:r>
          </w:p>
        </w:tc>
      </w:tr>
      <w:tr w:rsidR="00102068" w:rsidTr="006505E8">
        <w:trPr>
          <w:trHeight w:val="300"/>
        </w:trPr>
        <w:tc>
          <w:tcPr>
            <w:tcW w:w="2751" w:type="dxa"/>
            <w:shd w:val="clear" w:color="auto" w:fill="auto"/>
          </w:tcPr>
          <w:p w:rsidR="00102068" w:rsidRPr="003A093E" w:rsidRDefault="00102068" w:rsidP="006505E8">
            <w:pPr>
              <w:spacing w:before="120" w:after="40" w:line="240" w:lineRule="auto"/>
              <w:rPr>
                <w:spacing w:val="0"/>
                <w:w w:val="100"/>
                <w:sz w:val="17"/>
                <w:szCs w:val="17"/>
                <w:lang w:eastAsia="zh-CN"/>
              </w:rPr>
            </w:pPr>
            <w:r w:rsidRPr="003A093E">
              <w:rPr>
                <w:spacing w:val="0"/>
                <w:w w:val="100"/>
                <w:sz w:val="17"/>
                <w:szCs w:val="17"/>
                <w:lang w:eastAsia="zh-CN"/>
              </w:rPr>
              <w:t>Национальная больница, Рейкьявик</w:t>
            </w:r>
          </w:p>
        </w:tc>
        <w:tc>
          <w:tcPr>
            <w:tcW w:w="1470" w:type="dxa"/>
            <w:shd w:val="clear" w:color="auto" w:fill="auto"/>
            <w:vAlign w:val="bottom"/>
          </w:tcPr>
          <w:p w:rsidR="00102068" w:rsidRPr="003A093E" w:rsidRDefault="00102068" w:rsidP="006505E8">
            <w:pPr>
              <w:spacing w:before="120" w:after="40" w:line="240" w:lineRule="auto"/>
              <w:ind w:left="113"/>
              <w:jc w:val="right"/>
              <w:rPr>
                <w:spacing w:val="0"/>
                <w:w w:val="100"/>
                <w:sz w:val="17"/>
                <w:szCs w:val="17"/>
                <w:lang w:eastAsia="zh-CN"/>
              </w:rPr>
            </w:pPr>
            <w:r w:rsidRPr="003A093E">
              <w:rPr>
                <w:spacing w:val="0"/>
                <w:w w:val="100"/>
                <w:sz w:val="17"/>
                <w:szCs w:val="17"/>
                <w:lang w:eastAsia="zh-CN"/>
              </w:rPr>
              <w:t>3 241</w:t>
            </w:r>
          </w:p>
        </w:tc>
        <w:tc>
          <w:tcPr>
            <w:tcW w:w="1310" w:type="dxa"/>
            <w:shd w:val="clear" w:color="auto" w:fill="auto"/>
            <w:vAlign w:val="bottom"/>
          </w:tcPr>
          <w:p w:rsidR="00102068" w:rsidRPr="003A093E" w:rsidRDefault="00102068" w:rsidP="006505E8">
            <w:pPr>
              <w:spacing w:before="120" w:after="40" w:line="240" w:lineRule="auto"/>
              <w:ind w:left="113"/>
              <w:jc w:val="right"/>
              <w:rPr>
                <w:spacing w:val="0"/>
                <w:w w:val="100"/>
                <w:sz w:val="17"/>
                <w:szCs w:val="17"/>
                <w:lang w:eastAsia="zh-CN"/>
              </w:rPr>
            </w:pPr>
            <w:r w:rsidRPr="003A093E">
              <w:rPr>
                <w:spacing w:val="0"/>
                <w:w w:val="100"/>
                <w:sz w:val="17"/>
                <w:szCs w:val="17"/>
                <w:lang w:eastAsia="zh-CN"/>
              </w:rPr>
              <w:t>52</w:t>
            </w:r>
          </w:p>
        </w:tc>
        <w:tc>
          <w:tcPr>
            <w:tcW w:w="910" w:type="dxa"/>
            <w:shd w:val="clear" w:color="auto" w:fill="auto"/>
            <w:vAlign w:val="bottom"/>
          </w:tcPr>
          <w:p w:rsidR="00102068" w:rsidRPr="003A093E" w:rsidRDefault="00102068" w:rsidP="006505E8">
            <w:pPr>
              <w:spacing w:before="120" w:after="40" w:line="240" w:lineRule="auto"/>
              <w:ind w:left="113"/>
              <w:jc w:val="right"/>
              <w:rPr>
                <w:spacing w:val="0"/>
                <w:w w:val="100"/>
                <w:sz w:val="17"/>
                <w:szCs w:val="17"/>
                <w:lang w:eastAsia="zh-CN"/>
              </w:rPr>
            </w:pPr>
            <w:r w:rsidRPr="003A093E">
              <w:rPr>
                <w:spacing w:val="0"/>
                <w:w w:val="100"/>
                <w:sz w:val="17"/>
                <w:szCs w:val="17"/>
                <w:lang w:eastAsia="zh-CN"/>
              </w:rPr>
              <w:t>3 293</w:t>
            </w:r>
          </w:p>
        </w:tc>
        <w:tc>
          <w:tcPr>
            <w:tcW w:w="1870" w:type="dxa"/>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lang w:eastAsia="zh-CN"/>
              </w:rPr>
              <w:t>73,3</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Больница в Акюрейри</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393</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4</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397</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8,9</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Медицинский центр в Акранесе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300</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303</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6,8</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Медицинский центр в Судурнэсе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138</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138</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3,1</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Медицинский центр в Сельфоссе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91</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91</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2,1</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Больница в Исафьордюре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59</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59</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1,3</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Больница в Нескёйпстадюре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63</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63</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1,4</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Больница в Вестманнаэйяре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36</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36</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0,8</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Больница в Сёйдауркроукюре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2</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2</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0,0</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Медицинский центр в Хёбне</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3</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0,1</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Роды по дороге в больницу</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1</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1</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0,0</w:t>
            </w:r>
          </w:p>
        </w:tc>
      </w:tr>
      <w:tr w:rsidR="00102068" w:rsidTr="006505E8">
        <w:trPr>
          <w:trHeight w:val="300"/>
        </w:trPr>
        <w:tc>
          <w:tcPr>
            <w:tcW w:w="2751" w:type="dxa"/>
            <w:shd w:val="clear" w:color="auto" w:fill="auto"/>
          </w:tcPr>
          <w:p w:rsidR="00102068" w:rsidRPr="003A093E" w:rsidRDefault="00102068" w:rsidP="006505E8">
            <w:pPr>
              <w:spacing w:before="40" w:after="40" w:line="240" w:lineRule="auto"/>
              <w:rPr>
                <w:spacing w:val="0"/>
                <w:w w:val="100"/>
                <w:sz w:val="17"/>
                <w:szCs w:val="17"/>
                <w:lang w:eastAsia="zh-CN"/>
              </w:rPr>
            </w:pPr>
            <w:r w:rsidRPr="003A093E">
              <w:rPr>
                <w:spacing w:val="0"/>
                <w:w w:val="100"/>
                <w:sz w:val="17"/>
                <w:szCs w:val="17"/>
                <w:lang w:eastAsia="zh-CN"/>
              </w:rPr>
              <w:t>Домашние роды</w:t>
            </w:r>
          </w:p>
        </w:tc>
        <w:tc>
          <w:tcPr>
            <w:tcW w:w="14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94</w:t>
            </w:r>
          </w:p>
        </w:tc>
        <w:tc>
          <w:tcPr>
            <w:tcW w:w="13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0</w:t>
            </w:r>
          </w:p>
        </w:tc>
        <w:tc>
          <w:tcPr>
            <w:tcW w:w="9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lang w:eastAsia="zh-CN"/>
              </w:rPr>
            </w:pPr>
            <w:r w:rsidRPr="003A093E">
              <w:rPr>
                <w:spacing w:val="0"/>
                <w:w w:val="100"/>
                <w:sz w:val="17"/>
                <w:szCs w:val="17"/>
                <w:lang w:eastAsia="zh-CN"/>
              </w:rPr>
              <w:t>94</w:t>
            </w:r>
          </w:p>
        </w:tc>
        <w:tc>
          <w:tcPr>
            <w:tcW w:w="187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lang w:eastAsia="zh-CN"/>
              </w:rPr>
              <w:t>2,1</w:t>
            </w:r>
          </w:p>
        </w:tc>
      </w:tr>
      <w:tr w:rsidR="00102068" w:rsidTr="006505E8">
        <w:trPr>
          <w:trHeight w:val="300"/>
        </w:trPr>
        <w:tc>
          <w:tcPr>
            <w:tcW w:w="2751" w:type="dxa"/>
            <w:tcBorders>
              <w:bottom w:val="single" w:sz="12" w:space="0" w:color="000000"/>
            </w:tcBorders>
            <w:shd w:val="clear" w:color="auto" w:fill="auto"/>
          </w:tcPr>
          <w:p w:rsidR="00102068" w:rsidRPr="003A093E" w:rsidRDefault="00102068" w:rsidP="006505E8">
            <w:pPr>
              <w:spacing w:before="40" w:after="40" w:line="240" w:lineRule="auto"/>
              <w:rPr>
                <w:b/>
                <w:bCs/>
                <w:spacing w:val="0"/>
                <w:w w:val="100"/>
                <w:sz w:val="17"/>
                <w:szCs w:val="17"/>
                <w:lang w:eastAsia="zh-CN"/>
              </w:rPr>
            </w:pPr>
            <w:r w:rsidRPr="003A093E">
              <w:rPr>
                <w:b/>
                <w:bCs/>
                <w:spacing w:val="0"/>
                <w:w w:val="100"/>
                <w:sz w:val="17"/>
                <w:szCs w:val="17"/>
                <w:lang w:eastAsia="zh-CN"/>
              </w:rPr>
              <w:t>Всего</w:t>
            </w:r>
          </w:p>
        </w:tc>
        <w:tc>
          <w:tcPr>
            <w:tcW w:w="147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lang w:eastAsia="zh-CN"/>
              </w:rPr>
            </w:pPr>
            <w:r w:rsidRPr="003A093E">
              <w:rPr>
                <w:b/>
                <w:bCs/>
                <w:spacing w:val="0"/>
                <w:w w:val="100"/>
                <w:sz w:val="17"/>
                <w:szCs w:val="17"/>
                <w:lang w:eastAsia="zh-CN"/>
              </w:rPr>
              <w:t>4 421</w:t>
            </w:r>
          </w:p>
        </w:tc>
        <w:tc>
          <w:tcPr>
            <w:tcW w:w="131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lang w:eastAsia="zh-CN"/>
              </w:rPr>
            </w:pPr>
            <w:r w:rsidRPr="003A093E">
              <w:rPr>
                <w:b/>
                <w:bCs/>
                <w:spacing w:val="0"/>
                <w:w w:val="100"/>
                <w:sz w:val="17"/>
                <w:szCs w:val="17"/>
                <w:lang w:eastAsia="zh-CN"/>
              </w:rPr>
              <w:t>59</w:t>
            </w:r>
          </w:p>
        </w:tc>
        <w:tc>
          <w:tcPr>
            <w:tcW w:w="91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lang w:eastAsia="zh-CN"/>
              </w:rPr>
            </w:pPr>
            <w:r w:rsidRPr="003A093E">
              <w:rPr>
                <w:b/>
                <w:bCs/>
                <w:spacing w:val="0"/>
                <w:w w:val="100"/>
                <w:sz w:val="17"/>
                <w:szCs w:val="17"/>
                <w:lang w:eastAsia="zh-CN"/>
              </w:rPr>
              <w:t>4 480</w:t>
            </w:r>
          </w:p>
        </w:tc>
        <w:tc>
          <w:tcPr>
            <w:tcW w:w="187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b/>
                <w:bCs/>
                <w:spacing w:val="0"/>
                <w:w w:val="100"/>
                <w:sz w:val="17"/>
                <w:szCs w:val="17"/>
                <w:lang w:eastAsia="zh-CN"/>
              </w:rPr>
              <w:t> </w:t>
            </w:r>
          </w:p>
        </w:tc>
      </w:tr>
    </w:tbl>
    <w:p w:rsidR="004E3C3F" w:rsidRPr="004E3C3F" w:rsidRDefault="004E3C3F" w:rsidP="004E3C3F">
      <w:pPr>
        <w:pStyle w:val="FootnoteText"/>
        <w:tabs>
          <w:tab w:val="right" w:pos="1476"/>
          <w:tab w:val="left" w:pos="1548"/>
          <w:tab w:val="right" w:pos="1836"/>
          <w:tab w:val="left" w:pos="1908"/>
        </w:tabs>
        <w:spacing w:line="120" w:lineRule="exact"/>
        <w:ind w:left="1548" w:hanging="288"/>
        <w:rPr>
          <w:b/>
          <w:sz w:val="10"/>
        </w:rPr>
      </w:pPr>
    </w:p>
    <w:p w:rsidR="00102068" w:rsidRPr="003A093E" w:rsidRDefault="00102068" w:rsidP="004E3C3F">
      <w:pPr>
        <w:pStyle w:val="FootnoteText"/>
        <w:tabs>
          <w:tab w:val="right" w:pos="1476"/>
          <w:tab w:val="left" w:pos="1548"/>
          <w:tab w:val="right" w:pos="1836"/>
          <w:tab w:val="left" w:pos="1908"/>
        </w:tabs>
        <w:ind w:left="1548" w:hanging="288"/>
      </w:pPr>
      <w:r w:rsidRPr="004E3C3F">
        <w:rPr>
          <w:i/>
        </w:rPr>
        <w:t>Источник</w:t>
      </w:r>
      <w:r w:rsidRPr="003A093E">
        <w:rPr>
          <w:b/>
        </w:rPr>
        <w:t>:</w:t>
      </w:r>
      <w:r w:rsidRPr="003A093E">
        <w:t xml:space="preserve"> Реестр рождений, Национальная больница, 2012 год.</w:t>
      </w: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По данным реестра рождений, который ведет Национальная больница, в 2011</w:t>
      </w:r>
      <w:r w:rsidR="004C298C">
        <w:t> году</w:t>
      </w:r>
      <w:r w:rsidR="00102068">
        <w:t xml:space="preserve"> после искусственного оплодотворения у 175 матерей родились 192</w:t>
      </w:r>
      <w:r>
        <w:t> ребенка</w:t>
      </w:r>
      <w:r w:rsidR="00102068">
        <w:t>. В 2010 году после такой процедуры у 170 матерей родилось 182</w:t>
      </w:r>
      <w:r>
        <w:t> ребенка</w:t>
      </w:r>
      <w:r w:rsidR="00102068">
        <w:t xml:space="preserve">. Доля детей, </w:t>
      </w:r>
      <w:r w:rsidR="00102068" w:rsidRPr="003A093E">
        <w:t>зачатых</w:t>
      </w:r>
      <w:r w:rsidR="00102068">
        <w:t xml:space="preserve"> при помощи искусственного оплодотворения, увеличилась с 3,8</w:t>
      </w:r>
      <w:r w:rsidR="004C298C">
        <w:t> процента</w:t>
      </w:r>
      <w:r w:rsidR="00102068">
        <w:t xml:space="preserve"> в 2010</w:t>
      </w:r>
      <w:r w:rsidR="004C298C">
        <w:t> году</w:t>
      </w:r>
      <w:r w:rsidR="00102068">
        <w:t xml:space="preserve"> до 4,3</w:t>
      </w:r>
      <w:r w:rsidR="004C298C">
        <w:t> процента</w:t>
      </w:r>
      <w:r w:rsidR="00102068">
        <w:t xml:space="preserve"> в 2011</w:t>
      </w:r>
      <w:r w:rsidR="004C298C">
        <w:t> году</w:t>
      </w:r>
      <w:r w:rsidR="00102068">
        <w:t>. В 2007–2009</w:t>
      </w:r>
      <w:r w:rsidR="004C298C">
        <w:t> года</w:t>
      </w:r>
      <w:r w:rsidR="00102068">
        <w:t>х этот долевой показатель составлял от 3,3 до 3,4</w:t>
      </w:r>
      <w:r w:rsidR="004C298C">
        <w:t> процента</w:t>
      </w:r>
      <w:r w:rsidR="00102068">
        <w:t>. В 2008</w:t>
      </w:r>
      <w:r w:rsidR="004C298C">
        <w:t> году</w:t>
      </w:r>
      <w:r w:rsidR="00102068">
        <w:t xml:space="preserve"> вступил в силу новый закон, позволяющий одиноким</w:t>
      </w:r>
      <w:r>
        <w:t> женщин</w:t>
      </w:r>
      <w:r w:rsidR="00102068">
        <w:t>ам прибегать к искусственному оплодотворению. До этого времени подвергнуться подобной процедуре могли только замужние</w:t>
      </w:r>
      <w:r>
        <w:t> женщин</w:t>
      </w:r>
      <w:r w:rsidR="00102068">
        <w:t>ы либо</w:t>
      </w:r>
      <w:r>
        <w:t> женщин</w:t>
      </w:r>
      <w:r w:rsidR="00102068">
        <w:t>ы, состоящие в зарегистрированных отношениях.</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13</w:t>
      </w:r>
      <w:r>
        <w:br/>
      </w:r>
      <w:r>
        <w:tab/>
      </w:r>
      <w:r>
        <w:tab/>
      </w:r>
      <w:r w:rsidR="00102068">
        <w:t xml:space="preserve">Подпункты </w:t>
      </w:r>
      <w:r>
        <w:t>(</w:t>
      </w:r>
      <w:r w:rsidR="00102068">
        <w:t xml:space="preserve">a) и </w:t>
      </w:r>
      <w:r>
        <w:t>(</w:t>
      </w:r>
      <w:r w:rsidR="00102068">
        <w:t>b)</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 xml:space="preserve">Соответствующая информация представлена в предыдущих докладах. </w:t>
      </w: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Подпункт </w:t>
      </w:r>
      <w:r>
        <w:t>(</w:t>
      </w:r>
      <w:r w:rsidR="00102068">
        <w:t>c)</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соответствии с Законом</w:t>
      </w:r>
      <w:r w:rsidR="004C298C">
        <w:t> № </w:t>
      </w:r>
      <w:r w:rsidR="00102068">
        <w:t>57/2009 и Постановлением</w:t>
      </w:r>
      <w:r w:rsidR="004C298C">
        <w:t> № </w:t>
      </w:r>
      <w:r w:rsidR="00102068">
        <w:t xml:space="preserve">834/2009 творческим работникам ежегодно выплачиваются субсидии на их работу и оплату путевых расходов. Эти субсидии поступают по линии шести фондов: фонда дизайнеров, фонда художников, фонда </w:t>
      </w:r>
      <w:r w:rsidR="00102068" w:rsidRPr="003A093E">
        <w:t>писателей</w:t>
      </w:r>
      <w:r w:rsidR="00102068">
        <w:t>, фонда артистов, фонда музыкантов и фонда композиторов. Официальную ответственность за распределение субсидий несет парламент, однако получателей выбирает совет директоров и отдельные комитеты каждого фонда.</w:t>
      </w:r>
    </w:p>
    <w:p w:rsidR="00102068" w:rsidRDefault="004E3C3F" w:rsidP="00102068">
      <w:pPr>
        <w:pStyle w:val="SingleTxtG"/>
      </w:pPr>
      <w:r>
        <w:tab/>
      </w:r>
      <w:r w:rsidR="00102068">
        <w:t>В 2014</w:t>
      </w:r>
      <w:r w:rsidR="004C298C">
        <w:t> году</w:t>
      </w:r>
      <w:r w:rsidR="00102068">
        <w:t xml:space="preserve"> от отдельных лиц и групп поступило 773 заявления; субсидии получили </w:t>
      </w:r>
      <w:r w:rsidR="00102068" w:rsidRPr="003A093E">
        <w:t>245</w:t>
      </w:r>
      <w:r w:rsidR="00102068">
        <w:t xml:space="preserve"> заявителей. </w:t>
      </w:r>
    </w:p>
    <w:p w:rsidR="004E3C3F" w:rsidRPr="004E3C3F" w:rsidRDefault="004E3C3F" w:rsidP="004E3C3F">
      <w:pPr>
        <w:pStyle w:val="SingleTxtG"/>
        <w:spacing w:after="0" w:line="120" w:lineRule="exact"/>
        <w:rPr>
          <w:sz w:val="10"/>
        </w:rPr>
      </w:pPr>
    </w:p>
    <w:p w:rsidR="00102068" w:rsidRPr="003A093E" w:rsidRDefault="00102068" w:rsidP="00102068">
      <w:pPr>
        <w:pStyle w:val="SingleTxtG"/>
        <w:jc w:val="left"/>
        <w:rPr>
          <w:b/>
        </w:rPr>
      </w:pPr>
      <w:r w:rsidRPr="003A093E">
        <w:rPr>
          <w:b/>
        </w:rPr>
        <w:t>Субсидии для творческих работников в 2014</w:t>
      </w:r>
      <w:r w:rsidR="004C298C">
        <w:rPr>
          <w:b/>
        </w:rPr>
        <w:t> году</w:t>
      </w:r>
    </w:p>
    <w:tbl>
      <w:tblPr>
        <w:tblW w:w="0" w:type="auto"/>
        <w:jc w:val="center"/>
        <w:tblLayout w:type="fixed"/>
        <w:tblCellMar>
          <w:left w:w="0" w:type="dxa"/>
          <w:right w:w="0" w:type="dxa"/>
        </w:tblCellMar>
        <w:tblLook w:val="0000" w:firstRow="0" w:lastRow="0" w:firstColumn="0" w:lastColumn="0" w:noHBand="0" w:noVBand="0"/>
      </w:tblPr>
      <w:tblGrid>
        <w:gridCol w:w="1850"/>
        <w:gridCol w:w="1610"/>
        <w:gridCol w:w="1810"/>
        <w:gridCol w:w="1480"/>
        <w:gridCol w:w="1410"/>
        <w:gridCol w:w="1420"/>
      </w:tblGrid>
      <w:tr w:rsidR="00102068" w:rsidTr="006505E8">
        <w:trPr>
          <w:trHeight w:val="240"/>
          <w:tblHeader/>
          <w:jc w:val="center"/>
        </w:trPr>
        <w:tc>
          <w:tcPr>
            <w:tcW w:w="185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rPr>
                <w:i/>
                <w:spacing w:val="0"/>
                <w:w w:val="100"/>
                <w:sz w:val="14"/>
                <w:szCs w:val="14"/>
              </w:rPr>
            </w:pPr>
            <w:r w:rsidRPr="003A093E">
              <w:rPr>
                <w:i/>
                <w:spacing w:val="0"/>
                <w:w w:val="100"/>
                <w:sz w:val="14"/>
                <w:szCs w:val="14"/>
              </w:rPr>
              <w:t>Фонд</w:t>
            </w:r>
          </w:p>
        </w:tc>
        <w:tc>
          <w:tcPr>
            <w:tcW w:w="161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jc w:val="right"/>
              <w:rPr>
                <w:i/>
                <w:spacing w:val="0"/>
                <w:w w:val="100"/>
                <w:sz w:val="14"/>
                <w:szCs w:val="14"/>
              </w:rPr>
            </w:pPr>
            <w:r w:rsidRPr="003A093E">
              <w:rPr>
                <w:i/>
                <w:spacing w:val="0"/>
                <w:w w:val="100"/>
                <w:sz w:val="14"/>
                <w:szCs w:val="14"/>
              </w:rPr>
              <w:t xml:space="preserve">Общее </w:t>
            </w:r>
          </w:p>
          <w:p w:rsidR="00102068" w:rsidRPr="003A093E" w:rsidRDefault="00102068" w:rsidP="006505E8">
            <w:pPr>
              <w:spacing w:line="240" w:lineRule="auto"/>
              <w:jc w:val="right"/>
              <w:rPr>
                <w:i/>
                <w:spacing w:val="0"/>
                <w:w w:val="100"/>
                <w:sz w:val="14"/>
                <w:szCs w:val="14"/>
              </w:rPr>
            </w:pPr>
            <w:r w:rsidRPr="003A093E">
              <w:rPr>
                <w:i/>
                <w:spacing w:val="0"/>
                <w:w w:val="100"/>
                <w:sz w:val="14"/>
                <w:szCs w:val="14"/>
              </w:rPr>
              <w:t>количество</w:t>
            </w:r>
            <w:r>
              <w:rPr>
                <w:i/>
                <w:spacing w:val="0"/>
                <w:w w:val="100"/>
                <w:sz w:val="14"/>
                <w:szCs w:val="14"/>
              </w:rPr>
              <w:t xml:space="preserve"> </w:t>
            </w:r>
            <w:r w:rsidRPr="003A093E">
              <w:rPr>
                <w:i/>
                <w:spacing w:val="0"/>
                <w:w w:val="100"/>
                <w:sz w:val="14"/>
                <w:szCs w:val="14"/>
              </w:rPr>
              <w:t>заявлений</w:t>
            </w:r>
          </w:p>
        </w:tc>
        <w:tc>
          <w:tcPr>
            <w:tcW w:w="181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jc w:val="right"/>
              <w:rPr>
                <w:i/>
                <w:spacing w:val="0"/>
                <w:w w:val="100"/>
                <w:sz w:val="14"/>
                <w:szCs w:val="14"/>
              </w:rPr>
            </w:pPr>
            <w:r w:rsidRPr="003A093E">
              <w:rPr>
                <w:i/>
                <w:spacing w:val="0"/>
                <w:w w:val="100"/>
                <w:sz w:val="14"/>
                <w:szCs w:val="14"/>
              </w:rPr>
              <w:t xml:space="preserve">Физические лица, </w:t>
            </w:r>
          </w:p>
          <w:p w:rsidR="00102068" w:rsidRPr="003A093E" w:rsidRDefault="00102068" w:rsidP="006505E8">
            <w:pPr>
              <w:spacing w:line="240" w:lineRule="auto"/>
              <w:jc w:val="right"/>
              <w:rPr>
                <w:i/>
                <w:spacing w:val="0"/>
                <w:w w:val="100"/>
                <w:sz w:val="14"/>
                <w:szCs w:val="14"/>
              </w:rPr>
            </w:pPr>
            <w:r w:rsidRPr="003A093E">
              <w:rPr>
                <w:i/>
                <w:spacing w:val="0"/>
                <w:w w:val="100"/>
                <w:sz w:val="14"/>
                <w:szCs w:val="14"/>
              </w:rPr>
              <w:t>получившие субсидии</w:t>
            </w:r>
          </w:p>
        </w:tc>
        <w:tc>
          <w:tcPr>
            <w:tcW w:w="148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jc w:val="right"/>
              <w:rPr>
                <w:i/>
                <w:spacing w:val="0"/>
                <w:w w:val="100"/>
                <w:sz w:val="14"/>
                <w:szCs w:val="14"/>
              </w:rPr>
            </w:pPr>
            <w:r w:rsidRPr="003A093E">
              <w:rPr>
                <w:i/>
                <w:spacing w:val="0"/>
                <w:w w:val="100"/>
                <w:sz w:val="14"/>
                <w:szCs w:val="14"/>
              </w:rPr>
              <w:t xml:space="preserve">Мужчины, </w:t>
            </w:r>
            <w:r>
              <w:rPr>
                <w:i/>
                <w:spacing w:val="0"/>
                <w:w w:val="100"/>
                <w:sz w:val="14"/>
                <w:szCs w:val="14"/>
              </w:rPr>
              <w:br/>
            </w:r>
            <w:r w:rsidRPr="003A093E">
              <w:rPr>
                <w:i/>
                <w:spacing w:val="0"/>
                <w:w w:val="100"/>
                <w:sz w:val="14"/>
                <w:szCs w:val="14"/>
              </w:rPr>
              <w:t>получившие субсидии</w:t>
            </w:r>
          </w:p>
        </w:tc>
        <w:tc>
          <w:tcPr>
            <w:tcW w:w="141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jc w:val="right"/>
              <w:rPr>
                <w:i/>
                <w:spacing w:val="0"/>
                <w:w w:val="100"/>
                <w:sz w:val="14"/>
                <w:szCs w:val="14"/>
              </w:rPr>
            </w:pPr>
            <w:r w:rsidRPr="003A093E">
              <w:rPr>
                <w:i/>
                <w:spacing w:val="0"/>
                <w:w w:val="100"/>
                <w:sz w:val="14"/>
                <w:szCs w:val="14"/>
              </w:rPr>
              <w:t xml:space="preserve">Женщины, </w:t>
            </w:r>
            <w:r>
              <w:rPr>
                <w:i/>
                <w:spacing w:val="0"/>
                <w:w w:val="100"/>
                <w:sz w:val="14"/>
                <w:szCs w:val="14"/>
              </w:rPr>
              <w:br/>
            </w:r>
            <w:r w:rsidRPr="003A093E">
              <w:rPr>
                <w:i/>
                <w:spacing w:val="0"/>
                <w:w w:val="100"/>
                <w:sz w:val="14"/>
                <w:szCs w:val="14"/>
              </w:rPr>
              <w:t>получившие субсидии</w:t>
            </w:r>
          </w:p>
        </w:tc>
        <w:tc>
          <w:tcPr>
            <w:tcW w:w="1420" w:type="dxa"/>
            <w:tcBorders>
              <w:top w:val="single" w:sz="4" w:space="0" w:color="000000"/>
              <w:bottom w:val="single" w:sz="12" w:space="0" w:color="000000"/>
            </w:tcBorders>
            <w:shd w:val="clear" w:color="auto" w:fill="auto"/>
            <w:vAlign w:val="bottom"/>
          </w:tcPr>
          <w:p w:rsidR="00102068" w:rsidRPr="003A093E" w:rsidRDefault="00102068" w:rsidP="006505E8">
            <w:pPr>
              <w:spacing w:line="240" w:lineRule="auto"/>
              <w:jc w:val="right"/>
              <w:rPr>
                <w:i/>
                <w:spacing w:val="0"/>
                <w:w w:val="100"/>
                <w:sz w:val="14"/>
                <w:szCs w:val="14"/>
              </w:rPr>
            </w:pPr>
            <w:r w:rsidRPr="003A093E">
              <w:rPr>
                <w:i/>
                <w:spacing w:val="0"/>
                <w:w w:val="100"/>
                <w:sz w:val="14"/>
                <w:szCs w:val="14"/>
              </w:rPr>
              <w:t xml:space="preserve">Группы, </w:t>
            </w:r>
          </w:p>
          <w:p w:rsidR="00102068" w:rsidRPr="003A093E" w:rsidRDefault="00102068" w:rsidP="006505E8">
            <w:pPr>
              <w:spacing w:line="240" w:lineRule="auto"/>
              <w:jc w:val="right"/>
              <w:rPr>
                <w:spacing w:val="0"/>
                <w:w w:val="100"/>
                <w:sz w:val="14"/>
                <w:szCs w:val="14"/>
              </w:rPr>
            </w:pPr>
            <w:r w:rsidRPr="003A093E">
              <w:rPr>
                <w:i/>
                <w:spacing w:val="0"/>
                <w:w w:val="100"/>
                <w:sz w:val="14"/>
                <w:szCs w:val="14"/>
              </w:rPr>
              <w:t>получившие субсидии</w:t>
            </w:r>
          </w:p>
        </w:tc>
      </w:tr>
      <w:tr w:rsidR="00102068" w:rsidTr="006505E8">
        <w:trPr>
          <w:trHeight w:val="240"/>
          <w:jc w:val="center"/>
        </w:trPr>
        <w:tc>
          <w:tcPr>
            <w:tcW w:w="1850" w:type="dxa"/>
            <w:tcBorders>
              <w:top w:val="single" w:sz="12" w:space="0" w:color="000000"/>
            </w:tcBorders>
            <w:shd w:val="clear" w:color="auto" w:fill="auto"/>
          </w:tcPr>
          <w:p w:rsidR="00102068" w:rsidRPr="003A093E" w:rsidRDefault="00102068" w:rsidP="006505E8">
            <w:pPr>
              <w:spacing w:before="120" w:after="40" w:line="240" w:lineRule="auto"/>
              <w:rPr>
                <w:spacing w:val="0"/>
                <w:w w:val="100"/>
                <w:sz w:val="17"/>
                <w:szCs w:val="17"/>
              </w:rPr>
            </w:pPr>
            <w:r w:rsidRPr="003A093E">
              <w:rPr>
                <w:spacing w:val="0"/>
                <w:w w:val="100"/>
                <w:sz w:val="17"/>
                <w:szCs w:val="17"/>
              </w:rPr>
              <w:t>Фонд дизайнеров</w:t>
            </w:r>
          </w:p>
        </w:tc>
        <w:tc>
          <w:tcPr>
            <w:tcW w:w="1610" w:type="dxa"/>
            <w:tcBorders>
              <w:top w:val="single" w:sz="12" w:space="0" w:color="000000"/>
            </w:tcBorders>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rPr>
              <w:t>49</w:t>
            </w:r>
          </w:p>
        </w:tc>
        <w:tc>
          <w:tcPr>
            <w:tcW w:w="1810" w:type="dxa"/>
            <w:tcBorders>
              <w:top w:val="single" w:sz="12" w:space="0" w:color="000000"/>
            </w:tcBorders>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rPr>
              <w:t>9</w:t>
            </w:r>
          </w:p>
        </w:tc>
        <w:tc>
          <w:tcPr>
            <w:tcW w:w="1480" w:type="dxa"/>
            <w:tcBorders>
              <w:top w:val="single" w:sz="12" w:space="0" w:color="000000"/>
            </w:tcBorders>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rPr>
              <w:t>3</w:t>
            </w:r>
          </w:p>
        </w:tc>
        <w:tc>
          <w:tcPr>
            <w:tcW w:w="1410" w:type="dxa"/>
            <w:tcBorders>
              <w:top w:val="single" w:sz="12" w:space="0" w:color="000000"/>
            </w:tcBorders>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rPr>
              <w:t>6</w:t>
            </w:r>
          </w:p>
        </w:tc>
        <w:tc>
          <w:tcPr>
            <w:tcW w:w="1420" w:type="dxa"/>
            <w:tcBorders>
              <w:top w:val="single" w:sz="12" w:space="0" w:color="000000"/>
            </w:tcBorders>
            <w:shd w:val="clear" w:color="auto" w:fill="auto"/>
            <w:vAlign w:val="bottom"/>
          </w:tcPr>
          <w:p w:rsidR="00102068" w:rsidRPr="003A093E" w:rsidRDefault="00102068" w:rsidP="006505E8">
            <w:pPr>
              <w:spacing w:before="120" w:after="40" w:line="240" w:lineRule="auto"/>
              <w:ind w:left="113"/>
              <w:jc w:val="right"/>
              <w:rPr>
                <w:spacing w:val="0"/>
                <w:w w:val="100"/>
                <w:sz w:val="17"/>
                <w:szCs w:val="17"/>
              </w:rPr>
            </w:pPr>
            <w:r w:rsidRPr="003A093E">
              <w:rPr>
                <w:spacing w:val="0"/>
                <w:w w:val="100"/>
                <w:sz w:val="17"/>
                <w:szCs w:val="17"/>
              </w:rPr>
              <w:t>5</w:t>
            </w:r>
          </w:p>
        </w:tc>
      </w:tr>
      <w:tr w:rsidR="00102068" w:rsidTr="006505E8">
        <w:trPr>
          <w:trHeight w:val="240"/>
          <w:jc w:val="center"/>
        </w:trPr>
        <w:tc>
          <w:tcPr>
            <w:tcW w:w="1850"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художников</w:t>
            </w:r>
          </w:p>
        </w:tc>
        <w:tc>
          <w:tcPr>
            <w:tcW w:w="16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220</w:t>
            </w:r>
          </w:p>
        </w:tc>
        <w:tc>
          <w:tcPr>
            <w:tcW w:w="18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61</w:t>
            </w:r>
          </w:p>
        </w:tc>
        <w:tc>
          <w:tcPr>
            <w:tcW w:w="148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32</w:t>
            </w:r>
          </w:p>
        </w:tc>
        <w:tc>
          <w:tcPr>
            <w:tcW w:w="14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29</w:t>
            </w:r>
          </w:p>
        </w:tc>
        <w:tc>
          <w:tcPr>
            <w:tcW w:w="142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4</w:t>
            </w:r>
          </w:p>
        </w:tc>
      </w:tr>
      <w:tr w:rsidR="00102068" w:rsidTr="006505E8">
        <w:trPr>
          <w:trHeight w:val="240"/>
          <w:jc w:val="center"/>
        </w:trPr>
        <w:tc>
          <w:tcPr>
            <w:tcW w:w="1850"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писателей</w:t>
            </w:r>
          </w:p>
        </w:tc>
        <w:tc>
          <w:tcPr>
            <w:tcW w:w="16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183</w:t>
            </w:r>
          </w:p>
        </w:tc>
        <w:tc>
          <w:tcPr>
            <w:tcW w:w="18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70</w:t>
            </w:r>
          </w:p>
        </w:tc>
        <w:tc>
          <w:tcPr>
            <w:tcW w:w="148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40</w:t>
            </w:r>
          </w:p>
        </w:tc>
        <w:tc>
          <w:tcPr>
            <w:tcW w:w="14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30</w:t>
            </w:r>
          </w:p>
        </w:tc>
        <w:tc>
          <w:tcPr>
            <w:tcW w:w="142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0</w:t>
            </w:r>
          </w:p>
        </w:tc>
      </w:tr>
      <w:tr w:rsidR="00102068" w:rsidTr="006505E8">
        <w:trPr>
          <w:trHeight w:val="240"/>
          <w:jc w:val="center"/>
        </w:trPr>
        <w:tc>
          <w:tcPr>
            <w:tcW w:w="1850"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артистов</w:t>
            </w:r>
          </w:p>
        </w:tc>
        <w:tc>
          <w:tcPr>
            <w:tcW w:w="16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155</w:t>
            </w:r>
          </w:p>
        </w:tc>
        <w:tc>
          <w:tcPr>
            <w:tcW w:w="18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4</w:t>
            </w:r>
          </w:p>
        </w:tc>
        <w:tc>
          <w:tcPr>
            <w:tcW w:w="148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w:t>
            </w:r>
          </w:p>
        </w:tc>
        <w:tc>
          <w:tcPr>
            <w:tcW w:w="14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3</w:t>
            </w:r>
          </w:p>
        </w:tc>
        <w:tc>
          <w:tcPr>
            <w:tcW w:w="142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16</w:t>
            </w:r>
          </w:p>
        </w:tc>
      </w:tr>
      <w:tr w:rsidR="00102068" w:rsidTr="006505E8">
        <w:trPr>
          <w:trHeight w:val="240"/>
          <w:jc w:val="center"/>
        </w:trPr>
        <w:tc>
          <w:tcPr>
            <w:tcW w:w="1850"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музыкантов</w:t>
            </w:r>
          </w:p>
        </w:tc>
        <w:tc>
          <w:tcPr>
            <w:tcW w:w="16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94</w:t>
            </w:r>
          </w:p>
        </w:tc>
        <w:tc>
          <w:tcPr>
            <w:tcW w:w="18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20</w:t>
            </w:r>
          </w:p>
        </w:tc>
        <w:tc>
          <w:tcPr>
            <w:tcW w:w="148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9</w:t>
            </w:r>
          </w:p>
        </w:tc>
        <w:tc>
          <w:tcPr>
            <w:tcW w:w="14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11</w:t>
            </w:r>
          </w:p>
        </w:tc>
        <w:tc>
          <w:tcPr>
            <w:tcW w:w="142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4</w:t>
            </w:r>
          </w:p>
        </w:tc>
      </w:tr>
      <w:tr w:rsidR="00102068" w:rsidTr="006505E8">
        <w:trPr>
          <w:trHeight w:val="240"/>
          <w:jc w:val="center"/>
        </w:trPr>
        <w:tc>
          <w:tcPr>
            <w:tcW w:w="1850"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композиторов</w:t>
            </w:r>
          </w:p>
        </w:tc>
        <w:tc>
          <w:tcPr>
            <w:tcW w:w="16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73</w:t>
            </w:r>
          </w:p>
        </w:tc>
        <w:tc>
          <w:tcPr>
            <w:tcW w:w="18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23</w:t>
            </w:r>
          </w:p>
        </w:tc>
        <w:tc>
          <w:tcPr>
            <w:tcW w:w="148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20</w:t>
            </w:r>
          </w:p>
        </w:tc>
        <w:tc>
          <w:tcPr>
            <w:tcW w:w="141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3</w:t>
            </w:r>
          </w:p>
        </w:tc>
        <w:tc>
          <w:tcPr>
            <w:tcW w:w="1420" w:type="dxa"/>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spacing w:val="0"/>
                <w:w w:val="100"/>
                <w:sz w:val="17"/>
                <w:szCs w:val="17"/>
              </w:rPr>
              <w:t>11</w:t>
            </w:r>
          </w:p>
        </w:tc>
      </w:tr>
      <w:tr w:rsidR="00102068" w:rsidTr="006505E8">
        <w:trPr>
          <w:trHeight w:val="240"/>
          <w:jc w:val="center"/>
        </w:trPr>
        <w:tc>
          <w:tcPr>
            <w:tcW w:w="1850" w:type="dxa"/>
            <w:tcBorders>
              <w:bottom w:val="single" w:sz="12" w:space="0" w:color="000000"/>
            </w:tcBorders>
            <w:shd w:val="clear" w:color="auto" w:fill="auto"/>
          </w:tcPr>
          <w:p w:rsidR="00102068" w:rsidRPr="003A093E" w:rsidRDefault="00102068" w:rsidP="006505E8">
            <w:pPr>
              <w:spacing w:before="40" w:after="40" w:line="240" w:lineRule="auto"/>
              <w:rPr>
                <w:b/>
                <w:bCs/>
                <w:spacing w:val="0"/>
                <w:w w:val="100"/>
                <w:sz w:val="17"/>
                <w:szCs w:val="17"/>
              </w:rPr>
            </w:pPr>
            <w:r w:rsidRPr="003A093E">
              <w:rPr>
                <w:b/>
                <w:bCs/>
                <w:spacing w:val="0"/>
                <w:w w:val="100"/>
                <w:sz w:val="17"/>
                <w:szCs w:val="17"/>
              </w:rPr>
              <w:t>Всего</w:t>
            </w:r>
          </w:p>
        </w:tc>
        <w:tc>
          <w:tcPr>
            <w:tcW w:w="161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rPr>
            </w:pPr>
            <w:r w:rsidRPr="003A093E">
              <w:rPr>
                <w:b/>
                <w:bCs/>
                <w:spacing w:val="0"/>
                <w:w w:val="100"/>
                <w:sz w:val="17"/>
                <w:szCs w:val="17"/>
              </w:rPr>
              <w:t>774</w:t>
            </w:r>
          </w:p>
        </w:tc>
        <w:tc>
          <w:tcPr>
            <w:tcW w:w="181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rPr>
            </w:pPr>
            <w:r w:rsidRPr="003A093E">
              <w:rPr>
                <w:b/>
                <w:bCs/>
                <w:spacing w:val="0"/>
                <w:w w:val="100"/>
                <w:sz w:val="17"/>
                <w:szCs w:val="17"/>
              </w:rPr>
              <w:t>187</w:t>
            </w:r>
          </w:p>
        </w:tc>
        <w:tc>
          <w:tcPr>
            <w:tcW w:w="148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rPr>
            </w:pPr>
            <w:r w:rsidRPr="003A093E">
              <w:rPr>
                <w:b/>
                <w:bCs/>
                <w:spacing w:val="0"/>
                <w:w w:val="100"/>
                <w:sz w:val="17"/>
                <w:szCs w:val="17"/>
              </w:rPr>
              <w:t>105</w:t>
            </w:r>
          </w:p>
        </w:tc>
        <w:tc>
          <w:tcPr>
            <w:tcW w:w="141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b/>
                <w:bCs/>
                <w:spacing w:val="0"/>
                <w:w w:val="100"/>
                <w:sz w:val="17"/>
                <w:szCs w:val="17"/>
              </w:rPr>
            </w:pPr>
            <w:r w:rsidRPr="003A093E">
              <w:rPr>
                <w:b/>
                <w:bCs/>
                <w:spacing w:val="0"/>
                <w:w w:val="100"/>
                <w:sz w:val="17"/>
                <w:szCs w:val="17"/>
              </w:rPr>
              <w:t>82</w:t>
            </w:r>
          </w:p>
        </w:tc>
        <w:tc>
          <w:tcPr>
            <w:tcW w:w="1420" w:type="dxa"/>
            <w:tcBorders>
              <w:bottom w:val="single" w:sz="12" w:space="0" w:color="000000"/>
            </w:tcBorders>
            <w:shd w:val="clear" w:color="auto" w:fill="auto"/>
            <w:vAlign w:val="bottom"/>
          </w:tcPr>
          <w:p w:rsidR="00102068" w:rsidRPr="003A093E" w:rsidRDefault="00102068" w:rsidP="006505E8">
            <w:pPr>
              <w:spacing w:before="40" w:after="40" w:line="240" w:lineRule="auto"/>
              <w:ind w:left="113"/>
              <w:jc w:val="right"/>
              <w:rPr>
                <w:spacing w:val="0"/>
                <w:w w:val="100"/>
                <w:sz w:val="17"/>
                <w:szCs w:val="17"/>
              </w:rPr>
            </w:pPr>
            <w:r w:rsidRPr="003A093E">
              <w:rPr>
                <w:b/>
                <w:bCs/>
                <w:spacing w:val="0"/>
                <w:w w:val="100"/>
                <w:sz w:val="17"/>
                <w:szCs w:val="17"/>
              </w:rPr>
              <w:t>40</w:t>
            </w:r>
          </w:p>
        </w:tc>
      </w:tr>
    </w:tbl>
    <w:p w:rsidR="00102068" w:rsidRPr="003A093E" w:rsidRDefault="00102068" w:rsidP="004E3C3F">
      <w:pPr>
        <w:pStyle w:val="FootnoteText"/>
        <w:tabs>
          <w:tab w:val="right" w:pos="216"/>
          <w:tab w:val="left" w:pos="288"/>
          <w:tab w:val="right" w:pos="576"/>
          <w:tab w:val="left" w:pos="648"/>
        </w:tabs>
        <w:ind w:left="288" w:hanging="288"/>
        <w:rPr>
          <w:b/>
        </w:rPr>
      </w:pPr>
      <w:r w:rsidRPr="004E3C3F">
        <w:rPr>
          <w:i/>
        </w:rPr>
        <w:t>Источник</w:t>
      </w:r>
      <w:r w:rsidRPr="003A093E">
        <w:rPr>
          <w:b/>
        </w:rPr>
        <w:t>:</w:t>
      </w:r>
      <w:r w:rsidRPr="003A093E">
        <w:t xml:space="preserve"> Субсидии для творческих работников на выполнение их работы и оплату путевых расходов (пресс-релиз), </w:t>
      </w:r>
      <w:r w:rsidR="004E3C3F">
        <w:br/>
      </w:r>
      <w:r w:rsidRPr="003A093E">
        <w:t>2014 год.</w:t>
      </w:r>
    </w:p>
    <w:p w:rsidR="00102068" w:rsidRDefault="004E3C3F" w:rsidP="00102068">
      <w:pPr>
        <w:pStyle w:val="SingleTxtG"/>
        <w:rPr>
          <w:b/>
        </w:rPr>
      </w:pPr>
      <w:r>
        <w:rPr>
          <w:b/>
        </w:rPr>
        <w:br w:type="page"/>
      </w:r>
      <w:r w:rsidR="00102068" w:rsidRPr="003A093E">
        <w:rPr>
          <w:b/>
        </w:rPr>
        <w:t>Субсидии для творческих работников в 2013</w:t>
      </w:r>
      <w:r w:rsidR="004C298C">
        <w:rPr>
          <w:b/>
        </w:rPr>
        <w:t> году</w:t>
      </w:r>
    </w:p>
    <w:p w:rsidR="004E3C3F" w:rsidRPr="004E3C3F" w:rsidRDefault="004E3C3F" w:rsidP="004E3C3F">
      <w:pPr>
        <w:pStyle w:val="SingleTxtG"/>
        <w:spacing w:after="0" w:line="120" w:lineRule="exact"/>
        <w:rPr>
          <w:b/>
          <w:sz w:val="10"/>
        </w:rPr>
      </w:pPr>
    </w:p>
    <w:tbl>
      <w:tblPr>
        <w:tblW w:w="0" w:type="auto"/>
        <w:jc w:val="center"/>
        <w:tblLayout w:type="fixed"/>
        <w:tblCellMar>
          <w:left w:w="0" w:type="dxa"/>
          <w:right w:w="0" w:type="dxa"/>
        </w:tblCellMar>
        <w:tblLook w:val="0000" w:firstRow="0" w:lastRow="0" w:firstColumn="0" w:lastColumn="0" w:noHBand="0" w:noVBand="0"/>
      </w:tblPr>
      <w:tblGrid>
        <w:gridCol w:w="1959"/>
        <w:gridCol w:w="1491"/>
        <w:gridCol w:w="1769"/>
        <w:gridCol w:w="1581"/>
        <w:gridCol w:w="1420"/>
        <w:gridCol w:w="1535"/>
      </w:tblGrid>
      <w:tr w:rsidR="00102068" w:rsidTr="006505E8">
        <w:trPr>
          <w:trHeight w:val="240"/>
          <w:tblHeader/>
          <w:jc w:val="center"/>
        </w:trPr>
        <w:tc>
          <w:tcPr>
            <w:tcW w:w="1959"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rPr>
                <w:i/>
                <w:spacing w:val="0"/>
                <w:w w:val="100"/>
                <w:sz w:val="14"/>
                <w:szCs w:val="14"/>
              </w:rPr>
            </w:pPr>
            <w:r w:rsidRPr="003A093E">
              <w:rPr>
                <w:i/>
                <w:spacing w:val="0"/>
                <w:w w:val="100"/>
                <w:sz w:val="14"/>
                <w:szCs w:val="14"/>
              </w:rPr>
              <w:t>Фонд</w:t>
            </w:r>
          </w:p>
        </w:tc>
        <w:tc>
          <w:tcPr>
            <w:tcW w:w="1491"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 xml:space="preserve">Общее </w:t>
            </w:r>
          </w:p>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количество заявлений</w:t>
            </w:r>
          </w:p>
        </w:tc>
        <w:tc>
          <w:tcPr>
            <w:tcW w:w="1769"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 xml:space="preserve">Физические лица, </w:t>
            </w:r>
          </w:p>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получившие субсидии</w:t>
            </w:r>
          </w:p>
        </w:tc>
        <w:tc>
          <w:tcPr>
            <w:tcW w:w="1581"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 xml:space="preserve">Мужчины, </w:t>
            </w:r>
            <w:r w:rsidRPr="003A093E">
              <w:rPr>
                <w:i/>
                <w:spacing w:val="0"/>
                <w:w w:val="100"/>
                <w:sz w:val="14"/>
                <w:szCs w:val="14"/>
              </w:rPr>
              <w:br/>
              <w:t>получившие субсидии</w:t>
            </w:r>
          </w:p>
        </w:tc>
        <w:tc>
          <w:tcPr>
            <w:tcW w:w="1420"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Женщины,</w:t>
            </w:r>
            <w:r>
              <w:rPr>
                <w:i/>
                <w:spacing w:val="0"/>
                <w:w w:val="100"/>
                <w:sz w:val="14"/>
                <w:szCs w:val="14"/>
              </w:rPr>
              <w:br/>
            </w:r>
            <w:r w:rsidRPr="003A093E">
              <w:rPr>
                <w:i/>
                <w:spacing w:val="0"/>
                <w:w w:val="100"/>
                <w:sz w:val="14"/>
                <w:szCs w:val="14"/>
              </w:rPr>
              <w:t xml:space="preserve"> получившие субсидии</w:t>
            </w:r>
          </w:p>
        </w:tc>
        <w:tc>
          <w:tcPr>
            <w:tcW w:w="1535" w:type="dxa"/>
            <w:tcBorders>
              <w:top w:val="single" w:sz="4" w:space="0" w:color="000000"/>
              <w:bottom w:val="single" w:sz="12" w:space="0" w:color="000000"/>
            </w:tcBorders>
            <w:shd w:val="clear" w:color="auto" w:fill="auto"/>
            <w:vAlign w:val="bottom"/>
          </w:tcPr>
          <w:p w:rsidR="00102068" w:rsidRPr="003A093E" w:rsidRDefault="00102068" w:rsidP="006505E8">
            <w:pPr>
              <w:spacing w:before="40" w:after="40" w:line="240" w:lineRule="auto"/>
              <w:jc w:val="right"/>
              <w:rPr>
                <w:i/>
                <w:spacing w:val="0"/>
                <w:w w:val="100"/>
                <w:sz w:val="14"/>
                <w:szCs w:val="14"/>
              </w:rPr>
            </w:pPr>
            <w:r w:rsidRPr="003A093E">
              <w:rPr>
                <w:i/>
                <w:spacing w:val="0"/>
                <w:w w:val="100"/>
                <w:sz w:val="14"/>
                <w:szCs w:val="14"/>
              </w:rPr>
              <w:t xml:space="preserve">Группы, </w:t>
            </w:r>
          </w:p>
          <w:p w:rsidR="00102068" w:rsidRPr="003A093E" w:rsidRDefault="00102068" w:rsidP="006505E8">
            <w:pPr>
              <w:spacing w:before="40" w:after="40" w:line="240" w:lineRule="auto"/>
              <w:jc w:val="right"/>
              <w:rPr>
                <w:spacing w:val="0"/>
                <w:w w:val="100"/>
                <w:sz w:val="14"/>
                <w:szCs w:val="14"/>
              </w:rPr>
            </w:pPr>
            <w:r w:rsidRPr="003A093E">
              <w:rPr>
                <w:i/>
                <w:spacing w:val="0"/>
                <w:w w:val="100"/>
                <w:sz w:val="14"/>
                <w:szCs w:val="14"/>
              </w:rPr>
              <w:t>получившие субсидии</w:t>
            </w:r>
          </w:p>
        </w:tc>
      </w:tr>
      <w:tr w:rsidR="00102068" w:rsidTr="006505E8">
        <w:trPr>
          <w:trHeight w:val="240"/>
          <w:jc w:val="center"/>
        </w:trPr>
        <w:tc>
          <w:tcPr>
            <w:tcW w:w="1959" w:type="dxa"/>
            <w:tcBorders>
              <w:top w:val="single" w:sz="12" w:space="0" w:color="000000"/>
            </w:tcBorders>
            <w:shd w:val="clear" w:color="auto" w:fill="auto"/>
          </w:tcPr>
          <w:p w:rsidR="00102068" w:rsidRPr="003A093E" w:rsidRDefault="00102068" w:rsidP="006505E8">
            <w:pPr>
              <w:spacing w:before="120" w:after="40" w:line="240" w:lineRule="auto"/>
              <w:rPr>
                <w:spacing w:val="0"/>
                <w:w w:val="100"/>
                <w:sz w:val="17"/>
                <w:szCs w:val="17"/>
              </w:rPr>
            </w:pPr>
            <w:r w:rsidRPr="003A093E">
              <w:rPr>
                <w:spacing w:val="0"/>
                <w:w w:val="100"/>
                <w:sz w:val="17"/>
                <w:szCs w:val="17"/>
              </w:rPr>
              <w:t>Фонд дизайнеров</w:t>
            </w:r>
          </w:p>
        </w:tc>
        <w:tc>
          <w:tcPr>
            <w:tcW w:w="1491" w:type="dxa"/>
            <w:tcBorders>
              <w:top w:val="single" w:sz="12" w:space="0" w:color="000000"/>
            </w:tcBorders>
            <w:shd w:val="clear" w:color="auto" w:fill="auto"/>
            <w:vAlign w:val="bottom"/>
          </w:tcPr>
          <w:p w:rsidR="00102068" w:rsidRPr="003A093E" w:rsidRDefault="00102068" w:rsidP="006505E8">
            <w:pPr>
              <w:spacing w:before="120" w:after="40" w:line="240" w:lineRule="auto"/>
              <w:jc w:val="right"/>
              <w:rPr>
                <w:spacing w:val="0"/>
                <w:w w:val="100"/>
                <w:sz w:val="17"/>
                <w:szCs w:val="17"/>
              </w:rPr>
            </w:pPr>
            <w:r w:rsidRPr="003A093E">
              <w:rPr>
                <w:spacing w:val="0"/>
                <w:w w:val="100"/>
                <w:sz w:val="17"/>
                <w:szCs w:val="17"/>
              </w:rPr>
              <w:t>46</w:t>
            </w:r>
          </w:p>
        </w:tc>
        <w:tc>
          <w:tcPr>
            <w:tcW w:w="1769" w:type="dxa"/>
            <w:tcBorders>
              <w:top w:val="single" w:sz="12" w:space="0" w:color="000000"/>
            </w:tcBorders>
            <w:shd w:val="clear" w:color="auto" w:fill="auto"/>
            <w:vAlign w:val="bottom"/>
          </w:tcPr>
          <w:p w:rsidR="00102068" w:rsidRPr="003A093E" w:rsidRDefault="00102068" w:rsidP="006505E8">
            <w:pPr>
              <w:spacing w:before="120" w:after="40" w:line="240" w:lineRule="auto"/>
              <w:jc w:val="right"/>
              <w:rPr>
                <w:spacing w:val="0"/>
                <w:w w:val="100"/>
                <w:sz w:val="17"/>
                <w:szCs w:val="17"/>
              </w:rPr>
            </w:pPr>
            <w:r w:rsidRPr="003A093E">
              <w:rPr>
                <w:spacing w:val="0"/>
                <w:w w:val="100"/>
                <w:sz w:val="17"/>
                <w:szCs w:val="17"/>
              </w:rPr>
              <w:t>10</w:t>
            </w:r>
          </w:p>
        </w:tc>
        <w:tc>
          <w:tcPr>
            <w:tcW w:w="1581" w:type="dxa"/>
            <w:tcBorders>
              <w:top w:val="single" w:sz="12" w:space="0" w:color="000000"/>
            </w:tcBorders>
            <w:shd w:val="clear" w:color="auto" w:fill="auto"/>
            <w:vAlign w:val="bottom"/>
          </w:tcPr>
          <w:p w:rsidR="00102068" w:rsidRPr="003A093E" w:rsidRDefault="00102068" w:rsidP="006505E8">
            <w:pPr>
              <w:spacing w:before="120" w:after="40" w:line="240" w:lineRule="auto"/>
              <w:jc w:val="right"/>
              <w:rPr>
                <w:spacing w:val="0"/>
                <w:w w:val="100"/>
                <w:sz w:val="17"/>
                <w:szCs w:val="17"/>
              </w:rPr>
            </w:pPr>
            <w:r w:rsidRPr="003A093E">
              <w:rPr>
                <w:spacing w:val="0"/>
                <w:w w:val="100"/>
                <w:sz w:val="17"/>
                <w:szCs w:val="17"/>
              </w:rPr>
              <w:t>0</w:t>
            </w:r>
          </w:p>
        </w:tc>
        <w:tc>
          <w:tcPr>
            <w:tcW w:w="1420" w:type="dxa"/>
            <w:tcBorders>
              <w:top w:val="single" w:sz="12" w:space="0" w:color="000000"/>
            </w:tcBorders>
            <w:shd w:val="clear" w:color="auto" w:fill="auto"/>
            <w:vAlign w:val="bottom"/>
          </w:tcPr>
          <w:p w:rsidR="00102068" w:rsidRPr="003A093E" w:rsidRDefault="00102068" w:rsidP="006505E8">
            <w:pPr>
              <w:spacing w:before="120" w:after="40" w:line="240" w:lineRule="auto"/>
              <w:jc w:val="right"/>
              <w:rPr>
                <w:spacing w:val="0"/>
                <w:w w:val="100"/>
                <w:sz w:val="17"/>
                <w:szCs w:val="17"/>
              </w:rPr>
            </w:pPr>
            <w:r w:rsidRPr="003A093E">
              <w:rPr>
                <w:spacing w:val="0"/>
                <w:w w:val="100"/>
                <w:sz w:val="17"/>
                <w:szCs w:val="17"/>
              </w:rPr>
              <w:t>10</w:t>
            </w:r>
          </w:p>
        </w:tc>
        <w:tc>
          <w:tcPr>
            <w:tcW w:w="1535" w:type="dxa"/>
            <w:tcBorders>
              <w:top w:val="single" w:sz="12" w:space="0" w:color="000000"/>
            </w:tcBorders>
            <w:shd w:val="clear" w:color="auto" w:fill="auto"/>
            <w:vAlign w:val="bottom"/>
          </w:tcPr>
          <w:p w:rsidR="00102068" w:rsidRPr="003A093E" w:rsidRDefault="00102068" w:rsidP="006505E8">
            <w:pPr>
              <w:spacing w:before="120" w:after="40" w:line="240" w:lineRule="auto"/>
              <w:jc w:val="right"/>
              <w:rPr>
                <w:spacing w:val="0"/>
                <w:w w:val="100"/>
                <w:sz w:val="17"/>
                <w:szCs w:val="17"/>
              </w:rPr>
            </w:pPr>
            <w:r w:rsidRPr="003A093E">
              <w:rPr>
                <w:spacing w:val="0"/>
                <w:w w:val="100"/>
                <w:sz w:val="17"/>
                <w:szCs w:val="17"/>
              </w:rPr>
              <w:t>4</w:t>
            </w:r>
          </w:p>
        </w:tc>
      </w:tr>
      <w:tr w:rsidR="00102068" w:rsidTr="006505E8">
        <w:trPr>
          <w:trHeight w:val="240"/>
          <w:jc w:val="center"/>
        </w:trPr>
        <w:tc>
          <w:tcPr>
            <w:tcW w:w="1959"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художников</w:t>
            </w:r>
          </w:p>
        </w:tc>
        <w:tc>
          <w:tcPr>
            <w:tcW w:w="149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222</w:t>
            </w:r>
          </w:p>
        </w:tc>
        <w:tc>
          <w:tcPr>
            <w:tcW w:w="1769"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59</w:t>
            </w:r>
          </w:p>
        </w:tc>
        <w:tc>
          <w:tcPr>
            <w:tcW w:w="158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29</w:t>
            </w:r>
          </w:p>
        </w:tc>
        <w:tc>
          <w:tcPr>
            <w:tcW w:w="1420"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30</w:t>
            </w:r>
          </w:p>
        </w:tc>
        <w:tc>
          <w:tcPr>
            <w:tcW w:w="1535"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w:t>
            </w:r>
          </w:p>
        </w:tc>
      </w:tr>
      <w:tr w:rsidR="00102068" w:rsidTr="006505E8">
        <w:trPr>
          <w:trHeight w:val="240"/>
          <w:jc w:val="center"/>
        </w:trPr>
        <w:tc>
          <w:tcPr>
            <w:tcW w:w="1959"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писателей</w:t>
            </w:r>
          </w:p>
        </w:tc>
        <w:tc>
          <w:tcPr>
            <w:tcW w:w="149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185</w:t>
            </w:r>
          </w:p>
        </w:tc>
        <w:tc>
          <w:tcPr>
            <w:tcW w:w="1769"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73</w:t>
            </w:r>
          </w:p>
        </w:tc>
        <w:tc>
          <w:tcPr>
            <w:tcW w:w="158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43</w:t>
            </w:r>
          </w:p>
        </w:tc>
        <w:tc>
          <w:tcPr>
            <w:tcW w:w="1420"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30</w:t>
            </w:r>
          </w:p>
        </w:tc>
        <w:tc>
          <w:tcPr>
            <w:tcW w:w="1535"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0</w:t>
            </w:r>
          </w:p>
        </w:tc>
      </w:tr>
      <w:tr w:rsidR="00102068" w:rsidTr="006505E8">
        <w:trPr>
          <w:trHeight w:val="240"/>
          <w:jc w:val="center"/>
        </w:trPr>
        <w:tc>
          <w:tcPr>
            <w:tcW w:w="1959"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артистов</w:t>
            </w:r>
          </w:p>
        </w:tc>
        <w:tc>
          <w:tcPr>
            <w:tcW w:w="149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116</w:t>
            </w:r>
          </w:p>
        </w:tc>
        <w:tc>
          <w:tcPr>
            <w:tcW w:w="1769"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5</w:t>
            </w:r>
          </w:p>
        </w:tc>
        <w:tc>
          <w:tcPr>
            <w:tcW w:w="158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0</w:t>
            </w:r>
          </w:p>
        </w:tc>
        <w:tc>
          <w:tcPr>
            <w:tcW w:w="1420"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5</w:t>
            </w:r>
          </w:p>
        </w:tc>
        <w:tc>
          <w:tcPr>
            <w:tcW w:w="1535"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w:t>
            </w:r>
          </w:p>
        </w:tc>
      </w:tr>
      <w:tr w:rsidR="00102068" w:rsidTr="006505E8">
        <w:trPr>
          <w:trHeight w:val="240"/>
          <w:jc w:val="center"/>
        </w:trPr>
        <w:tc>
          <w:tcPr>
            <w:tcW w:w="1959"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музыкантов</w:t>
            </w:r>
          </w:p>
        </w:tc>
        <w:tc>
          <w:tcPr>
            <w:tcW w:w="149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111</w:t>
            </w:r>
          </w:p>
        </w:tc>
        <w:tc>
          <w:tcPr>
            <w:tcW w:w="1769"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23</w:t>
            </w:r>
          </w:p>
        </w:tc>
        <w:tc>
          <w:tcPr>
            <w:tcW w:w="158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12</w:t>
            </w:r>
          </w:p>
        </w:tc>
        <w:tc>
          <w:tcPr>
            <w:tcW w:w="1420"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11</w:t>
            </w:r>
          </w:p>
        </w:tc>
        <w:tc>
          <w:tcPr>
            <w:tcW w:w="1535"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w:t>
            </w:r>
          </w:p>
        </w:tc>
      </w:tr>
      <w:tr w:rsidR="00102068" w:rsidTr="006505E8">
        <w:trPr>
          <w:trHeight w:val="240"/>
          <w:jc w:val="center"/>
        </w:trPr>
        <w:tc>
          <w:tcPr>
            <w:tcW w:w="1959" w:type="dxa"/>
            <w:shd w:val="clear" w:color="auto" w:fill="auto"/>
          </w:tcPr>
          <w:p w:rsidR="00102068" w:rsidRPr="003A093E" w:rsidRDefault="00102068" w:rsidP="006505E8">
            <w:pPr>
              <w:spacing w:before="40" w:after="40" w:line="240" w:lineRule="auto"/>
              <w:rPr>
                <w:spacing w:val="0"/>
                <w:w w:val="100"/>
                <w:sz w:val="17"/>
                <w:szCs w:val="17"/>
              </w:rPr>
            </w:pPr>
            <w:r w:rsidRPr="003A093E">
              <w:rPr>
                <w:spacing w:val="0"/>
                <w:w w:val="100"/>
                <w:sz w:val="17"/>
                <w:szCs w:val="17"/>
              </w:rPr>
              <w:t>Фонд композиторов</w:t>
            </w:r>
          </w:p>
        </w:tc>
        <w:tc>
          <w:tcPr>
            <w:tcW w:w="149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92</w:t>
            </w:r>
          </w:p>
        </w:tc>
        <w:tc>
          <w:tcPr>
            <w:tcW w:w="1769"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24</w:t>
            </w:r>
          </w:p>
        </w:tc>
        <w:tc>
          <w:tcPr>
            <w:tcW w:w="1581"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21</w:t>
            </w:r>
          </w:p>
        </w:tc>
        <w:tc>
          <w:tcPr>
            <w:tcW w:w="1420"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3</w:t>
            </w:r>
          </w:p>
        </w:tc>
        <w:tc>
          <w:tcPr>
            <w:tcW w:w="1535" w:type="dxa"/>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spacing w:val="0"/>
                <w:w w:val="100"/>
                <w:sz w:val="17"/>
                <w:szCs w:val="17"/>
              </w:rPr>
              <w:t>0</w:t>
            </w:r>
          </w:p>
        </w:tc>
      </w:tr>
      <w:tr w:rsidR="00102068" w:rsidTr="006505E8">
        <w:trPr>
          <w:trHeight w:val="240"/>
          <w:jc w:val="center"/>
        </w:trPr>
        <w:tc>
          <w:tcPr>
            <w:tcW w:w="1959" w:type="dxa"/>
            <w:tcBorders>
              <w:bottom w:val="single" w:sz="12" w:space="0" w:color="000000"/>
            </w:tcBorders>
            <w:shd w:val="clear" w:color="auto" w:fill="auto"/>
          </w:tcPr>
          <w:p w:rsidR="00102068" w:rsidRPr="003A093E" w:rsidRDefault="00102068" w:rsidP="006505E8">
            <w:pPr>
              <w:spacing w:before="40" w:after="40" w:line="240" w:lineRule="auto"/>
              <w:rPr>
                <w:b/>
                <w:bCs/>
                <w:spacing w:val="0"/>
                <w:w w:val="100"/>
                <w:sz w:val="17"/>
                <w:szCs w:val="17"/>
              </w:rPr>
            </w:pPr>
            <w:r w:rsidRPr="003A093E">
              <w:rPr>
                <w:b/>
                <w:bCs/>
                <w:spacing w:val="0"/>
                <w:w w:val="100"/>
                <w:sz w:val="17"/>
                <w:szCs w:val="17"/>
              </w:rPr>
              <w:t>Всего</w:t>
            </w:r>
          </w:p>
        </w:tc>
        <w:tc>
          <w:tcPr>
            <w:tcW w:w="1491" w:type="dxa"/>
            <w:tcBorders>
              <w:bottom w:val="single" w:sz="12" w:space="0" w:color="000000"/>
            </w:tcBorders>
            <w:shd w:val="clear" w:color="auto" w:fill="auto"/>
            <w:vAlign w:val="bottom"/>
          </w:tcPr>
          <w:p w:rsidR="00102068" w:rsidRPr="003A093E" w:rsidRDefault="00102068" w:rsidP="006505E8">
            <w:pPr>
              <w:spacing w:before="40" w:after="40" w:line="240" w:lineRule="auto"/>
              <w:jc w:val="right"/>
              <w:rPr>
                <w:b/>
                <w:bCs/>
                <w:spacing w:val="0"/>
                <w:w w:val="100"/>
                <w:sz w:val="17"/>
                <w:szCs w:val="17"/>
              </w:rPr>
            </w:pPr>
            <w:r w:rsidRPr="003A093E">
              <w:rPr>
                <w:b/>
                <w:bCs/>
                <w:spacing w:val="0"/>
                <w:w w:val="100"/>
                <w:sz w:val="17"/>
                <w:szCs w:val="17"/>
              </w:rPr>
              <w:t>772</w:t>
            </w:r>
          </w:p>
        </w:tc>
        <w:tc>
          <w:tcPr>
            <w:tcW w:w="1769" w:type="dxa"/>
            <w:tcBorders>
              <w:bottom w:val="single" w:sz="12" w:space="0" w:color="000000"/>
            </w:tcBorders>
            <w:shd w:val="clear" w:color="auto" w:fill="auto"/>
            <w:vAlign w:val="bottom"/>
          </w:tcPr>
          <w:p w:rsidR="00102068" w:rsidRPr="003A093E" w:rsidRDefault="00102068" w:rsidP="006505E8">
            <w:pPr>
              <w:spacing w:before="40" w:after="40" w:line="240" w:lineRule="auto"/>
              <w:jc w:val="right"/>
              <w:rPr>
                <w:b/>
                <w:bCs/>
                <w:spacing w:val="0"/>
                <w:w w:val="100"/>
                <w:sz w:val="17"/>
                <w:szCs w:val="17"/>
              </w:rPr>
            </w:pPr>
            <w:r w:rsidRPr="003A093E">
              <w:rPr>
                <w:b/>
                <w:bCs/>
                <w:spacing w:val="0"/>
                <w:w w:val="100"/>
                <w:sz w:val="17"/>
                <w:szCs w:val="17"/>
              </w:rPr>
              <w:t>194</w:t>
            </w:r>
          </w:p>
        </w:tc>
        <w:tc>
          <w:tcPr>
            <w:tcW w:w="1581" w:type="dxa"/>
            <w:tcBorders>
              <w:bottom w:val="single" w:sz="12" w:space="0" w:color="000000"/>
            </w:tcBorders>
            <w:shd w:val="clear" w:color="auto" w:fill="auto"/>
            <w:vAlign w:val="bottom"/>
          </w:tcPr>
          <w:p w:rsidR="00102068" w:rsidRPr="003A093E" w:rsidRDefault="00102068" w:rsidP="006505E8">
            <w:pPr>
              <w:spacing w:before="40" w:after="40" w:line="240" w:lineRule="auto"/>
              <w:jc w:val="right"/>
              <w:rPr>
                <w:b/>
                <w:bCs/>
                <w:spacing w:val="0"/>
                <w:w w:val="100"/>
                <w:sz w:val="17"/>
                <w:szCs w:val="17"/>
              </w:rPr>
            </w:pPr>
            <w:r w:rsidRPr="003A093E">
              <w:rPr>
                <w:b/>
                <w:bCs/>
                <w:spacing w:val="0"/>
                <w:w w:val="100"/>
                <w:sz w:val="17"/>
                <w:szCs w:val="17"/>
              </w:rPr>
              <w:t>105</w:t>
            </w:r>
          </w:p>
        </w:tc>
        <w:tc>
          <w:tcPr>
            <w:tcW w:w="1420" w:type="dxa"/>
            <w:tcBorders>
              <w:bottom w:val="single" w:sz="12" w:space="0" w:color="000000"/>
            </w:tcBorders>
            <w:shd w:val="clear" w:color="auto" w:fill="auto"/>
            <w:vAlign w:val="bottom"/>
          </w:tcPr>
          <w:p w:rsidR="00102068" w:rsidRPr="003A093E" w:rsidRDefault="00102068" w:rsidP="006505E8">
            <w:pPr>
              <w:spacing w:before="40" w:after="40" w:line="240" w:lineRule="auto"/>
              <w:jc w:val="right"/>
              <w:rPr>
                <w:b/>
                <w:bCs/>
                <w:spacing w:val="0"/>
                <w:w w:val="100"/>
                <w:sz w:val="17"/>
                <w:szCs w:val="17"/>
              </w:rPr>
            </w:pPr>
            <w:r w:rsidRPr="003A093E">
              <w:rPr>
                <w:b/>
                <w:bCs/>
                <w:spacing w:val="0"/>
                <w:w w:val="100"/>
                <w:sz w:val="17"/>
                <w:szCs w:val="17"/>
              </w:rPr>
              <w:t>89</w:t>
            </w:r>
          </w:p>
        </w:tc>
        <w:tc>
          <w:tcPr>
            <w:tcW w:w="1535" w:type="dxa"/>
            <w:tcBorders>
              <w:bottom w:val="single" w:sz="12" w:space="0" w:color="000000"/>
            </w:tcBorders>
            <w:shd w:val="clear" w:color="auto" w:fill="auto"/>
            <w:vAlign w:val="bottom"/>
          </w:tcPr>
          <w:p w:rsidR="00102068" w:rsidRPr="003A093E" w:rsidRDefault="00102068" w:rsidP="006505E8">
            <w:pPr>
              <w:spacing w:before="40" w:after="40" w:line="240" w:lineRule="auto"/>
              <w:jc w:val="right"/>
              <w:rPr>
                <w:spacing w:val="0"/>
                <w:w w:val="100"/>
                <w:sz w:val="17"/>
                <w:szCs w:val="17"/>
              </w:rPr>
            </w:pPr>
            <w:r w:rsidRPr="003A093E">
              <w:rPr>
                <w:b/>
                <w:bCs/>
                <w:spacing w:val="0"/>
                <w:w w:val="100"/>
                <w:sz w:val="17"/>
                <w:szCs w:val="17"/>
              </w:rPr>
              <w:t>10</w:t>
            </w:r>
          </w:p>
        </w:tc>
      </w:tr>
    </w:tbl>
    <w:p w:rsidR="004E3C3F" w:rsidRPr="004E3C3F" w:rsidRDefault="004E3C3F" w:rsidP="004E3C3F">
      <w:pPr>
        <w:pStyle w:val="FootnoteText"/>
        <w:tabs>
          <w:tab w:val="right" w:pos="1476"/>
          <w:tab w:val="left" w:pos="1548"/>
          <w:tab w:val="right" w:pos="1836"/>
          <w:tab w:val="left" w:pos="1908"/>
        </w:tabs>
        <w:spacing w:line="120" w:lineRule="exact"/>
        <w:ind w:left="1548" w:hanging="288"/>
        <w:rPr>
          <w:i/>
          <w:sz w:val="10"/>
        </w:rPr>
      </w:pPr>
    </w:p>
    <w:p w:rsidR="00102068" w:rsidRPr="003A093E" w:rsidRDefault="00102068" w:rsidP="004E3C3F">
      <w:pPr>
        <w:pStyle w:val="FootnoteText"/>
        <w:tabs>
          <w:tab w:val="right" w:pos="216"/>
          <w:tab w:val="left" w:pos="288"/>
          <w:tab w:val="right" w:pos="576"/>
          <w:tab w:val="left" w:pos="648"/>
        </w:tabs>
        <w:ind w:left="288" w:hanging="288"/>
      </w:pPr>
      <w:r w:rsidRPr="004E3C3F">
        <w:rPr>
          <w:i/>
        </w:rPr>
        <w:t>Источник</w:t>
      </w:r>
      <w:r w:rsidRPr="003A093E">
        <w:rPr>
          <w:b/>
        </w:rPr>
        <w:t>:</w:t>
      </w:r>
      <w:r w:rsidRPr="003A093E">
        <w:t xml:space="preserve"> Субсидии для творческих работников на выполнение их работы и оплату путевых расходов (пресс-релиз), 2013</w:t>
      </w:r>
      <w:r w:rsidR="004E3C3F">
        <w:t> </w:t>
      </w:r>
      <w:r w:rsidRPr="003A093E">
        <w:t>год.</w:t>
      </w: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 xml:space="preserve">Женщины составляют большинство дизайнеров и артистов, получающих субсидии. Мужчины же составляют значительное большинство </w:t>
      </w:r>
      <w:r w:rsidR="00102068" w:rsidRPr="003A093E">
        <w:t>получающих</w:t>
      </w:r>
      <w:r w:rsidR="00102068">
        <w:t xml:space="preserve"> субсидии композиторов. Среди писателей число мужчин, которым предоставляются субсидии, несколько превышает число</w:t>
      </w:r>
      <w:r>
        <w:t> женщин</w:t>
      </w:r>
      <w:r w:rsidR="00102068">
        <w:t>. Среди музыкантов и художников не выявлено существенных различий между получателями субсидий мужского и женского полов.</w:t>
      </w:r>
    </w:p>
    <w:p w:rsidR="00102068" w:rsidRDefault="004E3C3F" w:rsidP="00102068">
      <w:pPr>
        <w:pStyle w:val="SingleTxtG"/>
      </w:pPr>
      <w:r>
        <w:tab/>
      </w:r>
      <w:r w:rsidR="00102068">
        <w:t>Соответствующие сведения также представлены в разделе настоящего доклада, посвященном рассмотрению подпункта</w:t>
      </w:r>
      <w:r>
        <w:t> (</w:t>
      </w:r>
      <w:r w:rsidR="00102068">
        <w:t xml:space="preserve">g) </w:t>
      </w:r>
      <w:r w:rsidR="004C298C">
        <w:t>статьи </w:t>
      </w:r>
      <w:r w:rsidR="00102068">
        <w:t xml:space="preserve">10. С дополнительной информацией можно </w:t>
      </w:r>
      <w:r w:rsidR="00102068" w:rsidRPr="003A093E">
        <w:t>ознакомиться</w:t>
      </w:r>
      <w:r w:rsidR="00102068">
        <w:t xml:space="preserve"> в предыдущих докладах.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14</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Женщины, проживающие в сельских районах</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начале 2014</w:t>
      </w:r>
      <w:r w:rsidR="004C298C">
        <w:t> года</w:t>
      </w:r>
      <w:r w:rsidR="00102068">
        <w:t xml:space="preserve"> в Исландии проживал 325</w:t>
      </w:r>
      <w:r>
        <w:t> </w:t>
      </w:r>
      <w:r w:rsidR="00102068">
        <w:t>671</w:t>
      </w:r>
      <w:r w:rsidR="004C298C">
        <w:t> человек</w:t>
      </w:r>
      <w:r w:rsidR="00102068">
        <w:t>, в том числе 162 353 женщины и 163</w:t>
      </w:r>
      <w:r>
        <w:t> </w:t>
      </w:r>
      <w:r w:rsidR="00102068">
        <w:t>318 мужчин; 116</w:t>
      </w:r>
      <w:r>
        <w:t> </w:t>
      </w:r>
      <w:r w:rsidR="00102068">
        <w:t>970</w:t>
      </w:r>
      <w:r w:rsidR="004C298C">
        <w:t> человек</w:t>
      </w:r>
      <w:r w:rsidR="00102068">
        <w:t xml:space="preserve"> (35,9</w:t>
      </w:r>
      <w:r w:rsidR="004C298C">
        <w:t> процента</w:t>
      </w:r>
      <w:r w:rsidR="00102068">
        <w:t>) живут за пределами столичного региона; 59 770 (51,1</w:t>
      </w:r>
      <w:r w:rsidR="004C298C">
        <w:t> процента</w:t>
      </w:r>
      <w:r w:rsidR="00102068">
        <w:t>) из них являются мужчинами, а 57</w:t>
      </w:r>
      <w:r>
        <w:t> </w:t>
      </w:r>
      <w:r w:rsidR="00102068">
        <w:t>200 (48,9</w:t>
      </w:r>
      <w:r w:rsidR="004C298C">
        <w:t> процента</w:t>
      </w:r>
      <w:r w:rsidR="00102068">
        <w:t>)</w:t>
      </w:r>
      <w:r>
        <w:t xml:space="preserve"> —  женщин</w:t>
      </w:r>
      <w:r w:rsidR="00102068">
        <w:t xml:space="preserve">ами. Районы, находящиеся за пределами столичного региона, именуются </w:t>
      </w:r>
      <w:r w:rsidR="004C298C">
        <w:t>«</w:t>
      </w:r>
      <w:r w:rsidR="00102068" w:rsidRPr="003A093E">
        <w:t>сельскими</w:t>
      </w:r>
      <w:r w:rsidR="00102068">
        <w:t xml:space="preserve"> районами</w:t>
      </w:r>
      <w:r w:rsidR="004C298C">
        <w:t>»</w:t>
      </w:r>
      <w:r w:rsidR="00102068">
        <w:t>.</w:t>
      </w:r>
    </w:p>
    <w:p w:rsidR="00102068" w:rsidRDefault="004E3C3F" w:rsidP="00102068">
      <w:pPr>
        <w:pStyle w:val="SingleTxtG"/>
      </w:pPr>
      <w:r>
        <w:tab/>
      </w:r>
      <w:r w:rsidR="00102068">
        <w:t>В 2008</w:t>
      </w:r>
      <w:r w:rsidR="004C298C">
        <w:t> году</w:t>
      </w:r>
      <w:r w:rsidR="00102068">
        <w:t xml:space="preserve"> доля безработных мужчин в столичном регионе совпадала с их долей в сельских районах (1,5</w:t>
      </w:r>
      <w:r w:rsidR="004C298C">
        <w:t> процента</w:t>
      </w:r>
      <w:r w:rsidR="00102068">
        <w:t>), однако в 2009</w:t>
      </w:r>
      <w:r w:rsidR="004C298C">
        <w:t> году</w:t>
      </w:r>
      <w:r w:rsidR="00102068">
        <w:t xml:space="preserve"> число безработных в столичном регионе </w:t>
      </w:r>
      <w:r w:rsidR="00102068" w:rsidRPr="003A093E">
        <w:t>возросло</w:t>
      </w:r>
      <w:r w:rsidR="00102068">
        <w:t xml:space="preserve"> до 10,0</w:t>
      </w:r>
      <w:r w:rsidR="004C298C">
        <w:t> процента</w:t>
      </w:r>
      <w:r w:rsidR="00102068">
        <w:t xml:space="preserve"> и лишь до 6,7</w:t>
      </w:r>
      <w:r w:rsidR="004C298C">
        <w:t> процента</w:t>
      </w:r>
      <w:r w:rsidR="00102068">
        <w:t xml:space="preserve"> в сельской местности. В 2008</w:t>
      </w:r>
      <w:r w:rsidR="004C298C">
        <w:t> году</w:t>
      </w:r>
      <w:r w:rsidR="00102068">
        <w:t xml:space="preserve"> соответствующие показатели для</w:t>
      </w:r>
      <w:r>
        <w:t> женщин</w:t>
      </w:r>
      <w:r w:rsidR="00102068">
        <w:t xml:space="preserve"> составляли 1,5</w:t>
      </w:r>
      <w:r w:rsidR="004C298C">
        <w:t> процента</w:t>
      </w:r>
      <w:r w:rsidR="00102068">
        <w:t xml:space="preserve"> в столичном регионе и 2,4</w:t>
      </w:r>
      <w:r w:rsidR="004C298C">
        <w:t> процента</w:t>
      </w:r>
      <w:r w:rsidR="00102068">
        <w:t xml:space="preserve"> в сельских районах. В 2009</w:t>
      </w:r>
      <w:r w:rsidR="004C298C">
        <w:t> году</w:t>
      </w:r>
      <w:r w:rsidR="00102068">
        <w:t xml:space="preserve"> доля безработных</w:t>
      </w:r>
      <w:r>
        <w:t> женщин</w:t>
      </w:r>
      <w:r w:rsidR="00102068">
        <w:t xml:space="preserve"> в столичном регионе (7,3</w:t>
      </w:r>
      <w:r w:rsidR="004C298C">
        <w:t> процента</w:t>
      </w:r>
      <w:r w:rsidR="00102068">
        <w:t>) превышала их долю в сельской местности (6,6</w:t>
      </w:r>
      <w:r w:rsidR="004C298C">
        <w:t> процента</w:t>
      </w:r>
      <w:r w:rsidR="00102068">
        <w:t xml:space="preserve">). </w:t>
      </w:r>
    </w:p>
    <w:p w:rsidR="00102068" w:rsidRDefault="004E3C3F" w:rsidP="00102068">
      <w:pPr>
        <w:pStyle w:val="SingleTxtG"/>
      </w:pPr>
      <w:r>
        <w:tab/>
      </w:r>
      <w:r w:rsidR="00102068">
        <w:t xml:space="preserve">В Стратегическом региональном плане для Исландии на 2010–2013 годы в качество особых факторов, которые следует учитывать, определены равенство и участие обоих полов в экономической деятельности. Исландский институт регионального развития </w:t>
      </w:r>
      <w:r w:rsidR="00102068" w:rsidRPr="003A093E">
        <w:t>приступил</w:t>
      </w:r>
      <w:r w:rsidR="00102068">
        <w:t xml:space="preserve"> к работе по анализу причин гендерных различий в ставках заработной платы с целью подготовить предложение относительно плана действий, направленного на устранение разрыва в оплате труда в сельских районах Исландии. Данный проект является результатом интеграции подходов к учету гендерного фактора и установлению равенства в связи с пересмотром Стратегического регионального плана для Исландии на 2010–2013 годы. Надлежащее финансирование исследовательского проекта по изучению предполагаемого разрыва в оплате труда в различных районах страны еще не обеспечено, однако планируется дважды в год контролировать ход работ по его реализации.</w:t>
      </w:r>
    </w:p>
    <w:p w:rsidR="00102068" w:rsidRDefault="004E3C3F" w:rsidP="00102068">
      <w:pPr>
        <w:pStyle w:val="SingleTxtG"/>
      </w:pPr>
      <w:r>
        <w:tab/>
      </w:r>
      <w:r w:rsidR="00102068">
        <w:t>В 2014</w:t>
      </w:r>
      <w:r w:rsidR="004C298C">
        <w:t> году</w:t>
      </w:r>
      <w:r w:rsidR="00102068">
        <w:t xml:space="preserve"> должно было начаться осуществление исследовательского проекта по анализу ставок заработной платы мужчин и</w:t>
      </w:r>
      <w:r>
        <w:t> женщин</w:t>
      </w:r>
      <w:r w:rsidR="00102068">
        <w:t xml:space="preserve">, работающих в сельском хозяйстве и в море. Двум указанным сферам деятельности отведено значительное место в </w:t>
      </w:r>
      <w:r w:rsidR="00102068" w:rsidRPr="003A093E">
        <w:t>большинстве</w:t>
      </w:r>
      <w:r w:rsidR="00102068">
        <w:t xml:space="preserve"> сельских районов Исландии. Данный проект также направлен на выбор соответствующих учебных предметов на уровне средней школы и университета для мужчин и</w:t>
      </w:r>
      <w:r>
        <w:t> женщин</w:t>
      </w:r>
      <w:r w:rsidR="00102068">
        <w:t>.</w:t>
      </w:r>
    </w:p>
    <w:p w:rsidR="00102068" w:rsidRDefault="004E3C3F" w:rsidP="00102068">
      <w:pPr>
        <w:pStyle w:val="SingleTxtG"/>
      </w:pPr>
      <w:r>
        <w:tab/>
      </w:r>
      <w:r w:rsidR="00102068">
        <w:t>Соответствующая информация представлена в разделе доклада, посвященном статье 3, где рассматривалась прошедшая с участием Исландии пятьдесят шестая сессия Комиссии по положению</w:t>
      </w:r>
      <w:r>
        <w:t> женщин</w:t>
      </w:r>
      <w:r w:rsidR="00102068">
        <w:t xml:space="preserve">, приоритетной темой которой являлось </w:t>
      </w:r>
      <w:r w:rsidR="00102068" w:rsidRPr="003A093E">
        <w:t>расширение</w:t>
      </w:r>
      <w:r w:rsidR="00102068">
        <w:t xml:space="preserve"> прав и возможностей сельских</w:t>
      </w:r>
      <w:r>
        <w:t> женщин</w:t>
      </w:r>
      <w:r w:rsidR="00102068">
        <w:t>.</w:t>
      </w:r>
    </w:p>
    <w:p w:rsidR="00102068" w:rsidRDefault="004E3C3F" w:rsidP="00102068">
      <w:pPr>
        <w:pStyle w:val="SingleTxtG"/>
      </w:pPr>
      <w:r>
        <w:tab/>
      </w:r>
      <w:r w:rsidR="00102068">
        <w:t xml:space="preserve">С более подробной информацией можно ознакомиться в предыдущих </w:t>
      </w:r>
      <w:r w:rsidR="00102068" w:rsidRPr="003A093E">
        <w:t>докладах</w:t>
      </w:r>
      <w:r w:rsidR="00102068">
        <w:t xml:space="preserve">. </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15</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Pr="003A093E" w:rsidRDefault="004E3C3F" w:rsidP="00102068">
      <w:pPr>
        <w:pStyle w:val="SingleTxtG"/>
      </w:pPr>
      <w:r>
        <w:tab/>
      </w:r>
      <w:r w:rsidR="00102068">
        <w:t xml:space="preserve">Соответствующая информация представлена в предыдущих докладах. </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Статья 16</w:t>
      </w:r>
    </w:p>
    <w:p w:rsidR="004E3C3F" w:rsidRPr="004E3C3F" w:rsidRDefault="004E3C3F" w:rsidP="004E3C3F">
      <w:pPr>
        <w:pStyle w:val="SingleTxt"/>
        <w:spacing w:after="0" w:line="120" w:lineRule="exact"/>
        <w:rPr>
          <w:bCs/>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102068">
        <w:rPr>
          <w:bCs/>
        </w:rPr>
        <w:t>Пункт</w:t>
      </w:r>
      <w:r w:rsidR="00102068">
        <w:t xml:space="preserve"> 1, подпункты </w:t>
      </w:r>
      <w:r>
        <w:t>(</w:t>
      </w:r>
      <w:r w:rsidR="00102068">
        <w:t>a)–</w:t>
      </w:r>
      <w:r>
        <w:t>(</w:t>
      </w:r>
      <w:r w:rsidR="00102068">
        <w:t>b)</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 xml:space="preserve">Соответствующая информация представлена в предыдущих </w:t>
      </w:r>
      <w:r w:rsidR="00102068" w:rsidRPr="003A093E">
        <w:t>докладах</w:t>
      </w:r>
      <w:r w:rsidR="00102068">
        <w:t>.</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 xml:space="preserve">Подпункт </w:t>
      </w:r>
      <w:r>
        <w:t>(</w:t>
      </w:r>
      <w:r w:rsidR="00102068">
        <w:t>c)</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102068" w:rsidP="004E3C3F">
      <w:pPr>
        <w:pStyle w:val="SingleTxtG"/>
        <w:tabs>
          <w:tab w:val="right" w:pos="1701"/>
        </w:tabs>
        <w:ind w:left="1742" w:hanging="475"/>
        <w:rPr>
          <w:b/>
          <w:bCs/>
        </w:rPr>
      </w:pPr>
      <w:r>
        <w:tab/>
        <w:t>•</w:t>
      </w:r>
      <w:r>
        <w:tab/>
        <w:t>В 2009</w:t>
      </w:r>
      <w:r w:rsidR="004C298C">
        <w:t> году</w:t>
      </w:r>
      <w:r>
        <w:t xml:space="preserve"> было заключено гораздо меньше браков, чем в предыдущие годы. Количество венчаний сократилось, в то время как количество гражданских церемоний бракосочетания осталось прежним. За последние 25 лет коэффициент разводов практически не изменился: разводами заканчиваются примерно 35</w:t>
      </w:r>
      <w:r w:rsidR="004C298C">
        <w:t> процентов</w:t>
      </w:r>
      <w:r>
        <w:t xml:space="preserve"> всех браков. По данным Статистического управления Исландии в 2009</w:t>
      </w:r>
      <w:r w:rsidR="004C298C">
        <w:t> году</w:t>
      </w:r>
      <w:r>
        <w:t xml:space="preserve"> вступили в брак 1 546 пар, что гораздо меньше показателей за предыдущие годы. В 2007 году в Исландии заключили брак 1979 пар, что является рекордным показателем. В 2011</w:t>
      </w:r>
      <w:r w:rsidR="004C298C">
        <w:t> году</w:t>
      </w:r>
      <w:r>
        <w:t xml:space="preserve"> число вступивших в брак пар стало еще меньше, сократившись до 1458. Подавляющее большинство браков заключаются после внебрачного сожительства: около 83</w:t>
      </w:r>
      <w:r w:rsidR="004C298C">
        <w:t> процентов</w:t>
      </w:r>
      <w:r>
        <w:t xml:space="preserve"> всех пар вступили в брак после проживания в течение какого-то времени в гражданском браке.</w:t>
      </w:r>
    </w:p>
    <w:p w:rsidR="00102068" w:rsidRPr="00562A9A" w:rsidRDefault="00102068" w:rsidP="00102068">
      <w:pPr>
        <w:pStyle w:val="SingleTxtG"/>
        <w:keepNext/>
        <w:rPr>
          <w:b/>
        </w:rPr>
      </w:pPr>
      <w:r w:rsidRPr="00562A9A">
        <w:rPr>
          <w:b/>
        </w:rPr>
        <w:t>Браки и разводы в Исландии, 1995–2011 годы</w:t>
      </w:r>
    </w:p>
    <w:p w:rsidR="00102068" w:rsidRDefault="00363E39" w:rsidP="00102068">
      <w:pPr>
        <w:pStyle w:val="SingleTxtG"/>
        <w:rPr>
          <w:i/>
        </w:rPr>
      </w:pPr>
      <w:r>
        <w:rPr>
          <w:noProof/>
          <w:lang w:val="en-GB" w:eastAsia="en-GB"/>
        </w:rPr>
        <w:drawing>
          <wp:inline distT="0" distB="0" distL="0" distR="0">
            <wp:extent cx="4852670" cy="254127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52670" cy="2541270"/>
                    </a:xfrm>
                    <a:prstGeom prst="rect">
                      <a:avLst/>
                    </a:prstGeom>
                    <a:noFill/>
                  </pic:spPr>
                </pic:pic>
              </a:graphicData>
            </a:graphic>
          </wp:inline>
        </w:drawing>
      </w:r>
    </w:p>
    <w:p w:rsidR="00102068" w:rsidRPr="00C173F1" w:rsidRDefault="00102068" w:rsidP="004E3C3F">
      <w:pPr>
        <w:pStyle w:val="FootnoteText"/>
        <w:tabs>
          <w:tab w:val="right" w:pos="1476"/>
          <w:tab w:val="left" w:pos="1548"/>
          <w:tab w:val="right" w:pos="1836"/>
          <w:tab w:val="left" w:pos="1908"/>
        </w:tabs>
        <w:ind w:left="1548" w:hanging="288"/>
      </w:pPr>
      <w:r w:rsidRPr="004E3C3F">
        <w:rPr>
          <w:i/>
        </w:rPr>
        <w:t>Источник</w:t>
      </w:r>
      <w:r w:rsidRPr="00C173F1">
        <w:rPr>
          <w:b/>
        </w:rPr>
        <w:t>:</w:t>
      </w:r>
      <w:r w:rsidRPr="00C173F1">
        <w:t xml:space="preserve"> Статистическое управление Исландии, 2012 год.</w:t>
      </w:r>
    </w:p>
    <w:p w:rsidR="004E3C3F" w:rsidRPr="004E3C3F" w:rsidRDefault="004E3C3F" w:rsidP="004E3C3F">
      <w:pPr>
        <w:pStyle w:val="SingleTxtG"/>
        <w:tabs>
          <w:tab w:val="right" w:pos="1701"/>
        </w:tabs>
        <w:spacing w:after="0" w:line="120" w:lineRule="exact"/>
        <w:ind w:left="1742" w:hanging="475"/>
        <w:rPr>
          <w:sz w:val="10"/>
        </w:rPr>
      </w:pPr>
    </w:p>
    <w:p w:rsidR="00102068" w:rsidRDefault="00102068" w:rsidP="004E3C3F">
      <w:pPr>
        <w:pStyle w:val="SingleTxtG"/>
        <w:tabs>
          <w:tab w:val="right" w:pos="1701"/>
        </w:tabs>
        <w:ind w:left="1742" w:hanging="475"/>
      </w:pPr>
      <w:r>
        <w:tab/>
        <w:t>•</w:t>
      </w:r>
      <w:r>
        <w:tab/>
        <w:t>Отношения сожительства начинаются в гораздо более молодом возрасте, нежели вступление в брак. В 2011</w:t>
      </w:r>
      <w:r w:rsidR="004C298C">
        <w:t> году</w:t>
      </w:r>
      <w:r>
        <w:t xml:space="preserve"> в Исландии было зафиксировано 516 разводов. Доля разводов не менялась на протяжении последних 25 лет. </w:t>
      </w:r>
    </w:p>
    <w:p w:rsidR="00102068" w:rsidRDefault="00102068" w:rsidP="004E3C3F">
      <w:pPr>
        <w:pStyle w:val="SingleTxtG"/>
        <w:tabs>
          <w:tab w:val="right" w:pos="1701"/>
        </w:tabs>
        <w:ind w:left="1742" w:hanging="475"/>
      </w:pPr>
      <w:r>
        <w:tab/>
        <w:t>•</w:t>
      </w:r>
      <w:r>
        <w:tab/>
        <w:t>По данным Статистического управления Исландии с 2002</w:t>
      </w:r>
      <w:r w:rsidR="004C298C">
        <w:t> года</w:t>
      </w:r>
      <w:r>
        <w:t xml:space="preserve"> нормой для разведенных родителей является совместная опека над несовершеннолетними детьми; данная процедура стала юридически доступной в 1992</w:t>
      </w:r>
      <w:r w:rsidR="004C298C">
        <w:t> году</w:t>
      </w:r>
      <w:r>
        <w:t>. В 2008</w:t>
      </w:r>
      <w:r w:rsidR="004C298C">
        <w:t> году</w:t>
      </w:r>
      <w:r>
        <w:t xml:space="preserve"> решение о совместной опеке над несовершеннолетними детьми было принято в отношении 90,7</w:t>
      </w:r>
      <w:r w:rsidR="004C298C">
        <w:t> процента</w:t>
      </w:r>
      <w:r>
        <w:t xml:space="preserve"> дел, касавшихся 517 детей. При этом 47 детей воспитывались матерью, а 6 детей находились на воспитании отца. Число родителей, отдающих предпочтение совместной опеке над несовершеннолетними детьми, возрастает. В 2009</w:t>
      </w:r>
      <w:r w:rsidR="004C298C">
        <w:t> году</w:t>
      </w:r>
      <w:r>
        <w:t xml:space="preserve"> совместную опеку в 92</w:t>
      </w:r>
      <w:r w:rsidR="004C298C">
        <w:t> процента</w:t>
      </w:r>
      <w:r>
        <w:t>х случаев осуществляли 596 родителей. Матери были назначены единственными опекунами 41</w:t>
      </w:r>
      <w:r w:rsidR="004E3C3F">
        <w:t> ребенка</w:t>
      </w:r>
      <w:r>
        <w:t>, в то время как отцам была предоставлена опека над 4 детьми. В 2010</w:t>
      </w:r>
      <w:r w:rsidR="004C298C">
        <w:t> году</w:t>
      </w:r>
      <w:r>
        <w:t xml:space="preserve"> решение о совместной опеке было принято в 94,5 процента случаев. В 2011</w:t>
      </w:r>
      <w:r w:rsidR="004C298C">
        <w:t> году</w:t>
      </w:r>
      <w:r>
        <w:t xml:space="preserve"> матери были назначены единственными опекунами 58 из 615 детей, в то время как под опеку отца как единственного опекуна был передан только 1 ребенок. По всем остальным делам было вынесено решение о совместной опеке.</w:t>
      </w:r>
    </w:p>
    <w:p w:rsidR="004E3C3F" w:rsidRPr="004E3C3F" w:rsidRDefault="004E3C3F" w:rsidP="004E3C3F">
      <w:pPr>
        <w:pStyle w:val="SingleTxtG"/>
        <w:tabs>
          <w:tab w:val="right" w:pos="1701"/>
        </w:tabs>
        <w:spacing w:after="0" w:line="120" w:lineRule="exact"/>
        <w:ind w:left="1742" w:hanging="475"/>
        <w:rPr>
          <w:sz w:val="10"/>
        </w:rPr>
      </w:pPr>
    </w:p>
    <w:p w:rsidR="00102068" w:rsidRPr="00562A9A" w:rsidRDefault="004E3C3F" w:rsidP="004E3C3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rsidRPr="00562A9A">
        <w:t>Опекуны, 1994–2011 годы</w:t>
      </w:r>
    </w:p>
    <w:p w:rsidR="00102068" w:rsidRDefault="00363E39" w:rsidP="00102068">
      <w:pPr>
        <w:pStyle w:val="SingleTxtG"/>
        <w:spacing w:line="240" w:lineRule="auto"/>
        <w:ind w:left="0" w:right="0"/>
        <w:jc w:val="center"/>
        <w:rPr>
          <w:i/>
          <w:iCs/>
          <w:sz w:val="24"/>
          <w:szCs w:val="24"/>
        </w:rPr>
      </w:pPr>
      <w:r>
        <w:rPr>
          <w:noProof/>
          <w:sz w:val="24"/>
          <w:szCs w:val="24"/>
          <w:lang w:val="en-GB" w:eastAsia="en-GB"/>
        </w:rPr>
        <w:drawing>
          <wp:inline distT="0" distB="0" distL="0" distR="0">
            <wp:extent cx="4939030" cy="2555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39030" cy="2555875"/>
                    </a:xfrm>
                    <a:prstGeom prst="rect">
                      <a:avLst/>
                    </a:prstGeom>
                    <a:noFill/>
                  </pic:spPr>
                </pic:pic>
              </a:graphicData>
            </a:graphic>
          </wp:inline>
        </w:drawing>
      </w:r>
    </w:p>
    <w:p w:rsidR="004E3C3F" w:rsidRPr="004E3C3F" w:rsidRDefault="004E3C3F" w:rsidP="004E3C3F">
      <w:pPr>
        <w:pStyle w:val="SingleTxtG"/>
        <w:spacing w:after="0" w:line="120" w:lineRule="exact"/>
        <w:rPr>
          <w:b/>
          <w:i/>
          <w:sz w:val="10"/>
          <w:szCs w:val="18"/>
        </w:rPr>
      </w:pPr>
    </w:p>
    <w:p w:rsidR="00102068" w:rsidRPr="00AC4B8E" w:rsidRDefault="00102068" w:rsidP="004E3C3F">
      <w:pPr>
        <w:pStyle w:val="FootnoteText"/>
        <w:tabs>
          <w:tab w:val="right" w:pos="1476"/>
          <w:tab w:val="left" w:pos="1548"/>
          <w:tab w:val="right" w:pos="1836"/>
          <w:tab w:val="left" w:pos="1908"/>
        </w:tabs>
        <w:ind w:left="1548" w:hanging="288"/>
      </w:pPr>
      <w:r w:rsidRPr="004E3C3F">
        <w:rPr>
          <w:i/>
        </w:rPr>
        <w:t>Источник</w:t>
      </w:r>
      <w:r w:rsidRPr="00AC4B8E">
        <w:rPr>
          <w:b/>
        </w:rPr>
        <w:t>:</w:t>
      </w:r>
      <w:r w:rsidRPr="00AC4B8E">
        <w:t xml:space="preserve"> Статистическое управление Исландии, 2012 год.</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Совместная опека над несовершеннолетними детьми чаще практикуется после распада гражданского брака, нежели после развода. Это привело к созданию более справедливых условий для мужчин и</w:t>
      </w:r>
      <w:r>
        <w:t> женщин</w:t>
      </w:r>
      <w:r w:rsidR="00102068">
        <w:t xml:space="preserve">, поскольку родители делят между </w:t>
      </w:r>
      <w:r w:rsidR="00102068" w:rsidRPr="00AC4B8E">
        <w:t>собой</w:t>
      </w:r>
      <w:r w:rsidR="00102068">
        <w:t xml:space="preserve"> ответственность за воспитание детей, а не перекладывают эту задачу на плечи матери, что считалось нормой на протяжении многих десятилетий. </w:t>
      </w:r>
    </w:p>
    <w:p w:rsidR="004E3C3F" w:rsidRPr="004E3C3F" w:rsidRDefault="004E3C3F" w:rsidP="004E3C3F">
      <w:pPr>
        <w:pStyle w:val="SingleTxtG"/>
        <w:spacing w:after="0" w:line="120" w:lineRule="exact"/>
        <w:rPr>
          <w:sz w:val="10"/>
        </w:rPr>
      </w:pPr>
    </w:p>
    <w:p w:rsidR="00102068" w:rsidRPr="00562A9A" w:rsidRDefault="004E3C3F" w:rsidP="004E3C3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rsidRPr="00562A9A">
        <w:t>Опека после разводов, 1994−2011 годы</w:t>
      </w:r>
    </w:p>
    <w:p w:rsidR="00102068" w:rsidRDefault="00363E39" w:rsidP="00102068">
      <w:pPr>
        <w:pStyle w:val="SingleTxtG"/>
        <w:rPr>
          <w:i/>
          <w:iCs/>
        </w:rPr>
      </w:pPr>
      <w:r>
        <w:rPr>
          <w:noProof/>
          <w:lang w:val="en-GB" w:eastAsia="en-GB"/>
        </w:rPr>
        <w:drawing>
          <wp:inline distT="0" distB="0" distL="0" distR="0">
            <wp:extent cx="4935855" cy="26231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35855" cy="2623185"/>
                    </a:xfrm>
                    <a:prstGeom prst="rect">
                      <a:avLst/>
                    </a:prstGeom>
                    <a:noFill/>
                  </pic:spPr>
                </pic:pic>
              </a:graphicData>
            </a:graphic>
          </wp:inline>
        </w:drawing>
      </w:r>
    </w:p>
    <w:p w:rsidR="00102068" w:rsidRPr="004E3C3F" w:rsidRDefault="00102068" w:rsidP="004E3C3F">
      <w:pPr>
        <w:pStyle w:val="FootnoteText"/>
        <w:tabs>
          <w:tab w:val="right" w:pos="1476"/>
          <w:tab w:val="left" w:pos="1548"/>
          <w:tab w:val="right" w:pos="1836"/>
          <w:tab w:val="left" w:pos="1908"/>
        </w:tabs>
        <w:spacing w:line="120" w:lineRule="exact"/>
        <w:ind w:left="1548" w:hanging="288"/>
        <w:rPr>
          <w:sz w:val="10"/>
        </w:rPr>
      </w:pPr>
      <w:r w:rsidRPr="004E3C3F">
        <w:rPr>
          <w:i/>
        </w:rPr>
        <w:t>Источник</w:t>
      </w:r>
      <w:r w:rsidRPr="00AC4B8E">
        <w:rPr>
          <w:b/>
        </w:rPr>
        <w:t>:</w:t>
      </w:r>
      <w:r w:rsidRPr="00AC4B8E">
        <w:t xml:space="preserve"> Статистическое управление Исландии, 2012 год. </w:t>
      </w:r>
    </w:p>
    <w:p w:rsidR="004E3C3F" w:rsidRPr="004E3C3F" w:rsidRDefault="004E3C3F" w:rsidP="004E3C3F">
      <w:pPr>
        <w:pStyle w:val="FootnoteText"/>
        <w:tabs>
          <w:tab w:val="right" w:pos="1476"/>
          <w:tab w:val="left" w:pos="1548"/>
          <w:tab w:val="right" w:pos="1836"/>
          <w:tab w:val="left" w:pos="1908"/>
        </w:tabs>
        <w:spacing w:line="120" w:lineRule="exact"/>
        <w:ind w:left="1548" w:hanging="288"/>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102068">
        <w:t xml:space="preserve">Подпункты </w:t>
      </w:r>
      <w:r>
        <w:t>(</w:t>
      </w:r>
      <w:r w:rsidR="00102068">
        <w:t>d)–</w:t>
      </w:r>
      <w:r>
        <w:t>(</w:t>
      </w:r>
      <w:r w:rsidR="00102068">
        <w:t>h)</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 xml:space="preserve">Соответствующая информация представлена в </w:t>
      </w:r>
      <w:r w:rsidR="00102068" w:rsidRPr="00AC4B8E">
        <w:t>предыдущих</w:t>
      </w:r>
      <w:r w:rsidR="00102068">
        <w:t xml:space="preserve"> докладах Исландии.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Пункт 2</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102068">
      <w:pPr>
        <w:pStyle w:val="SingleTxtG"/>
      </w:pPr>
      <w:r>
        <w:tab/>
      </w:r>
      <w:r w:rsidR="00102068">
        <w:t>Соответствующая информация представлена в предыдущих докладах Исландии.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Ответ на заключительные замечания Комитета</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102068">
      <w:pPr>
        <w:pStyle w:val="SingleTxtG"/>
      </w:pPr>
      <w:r>
        <w:tab/>
      </w:r>
      <w:r w:rsidR="00102068">
        <w:t>8</w:t>
      </w:r>
      <w:r w:rsidR="004C298C">
        <w:t> июля</w:t>
      </w:r>
      <w:r w:rsidR="00102068">
        <w:t xml:space="preserve"> 2008</w:t>
      </w:r>
      <w:r w:rsidR="004C298C">
        <w:t> года</w:t>
      </w:r>
      <w:r w:rsidR="00102068">
        <w:t xml:space="preserve"> Комитет по ликвидации дискриминации в отношении</w:t>
      </w:r>
      <w:r>
        <w:t> женщин</w:t>
      </w:r>
      <w:r w:rsidR="00102068">
        <w:t xml:space="preserve"> рассмотрел пятый и шестой периодические доклады Исландии (CEDAW/C/ICE/5 и CEDAW/C/ICE/6). В своих заключительных замечаниях (CEDAW/C/ICE/CO/6) Комитет просил </w:t>
      </w:r>
      <w:r w:rsidR="00102068" w:rsidRPr="00AC4B8E">
        <w:t>Исландию</w:t>
      </w:r>
      <w:r w:rsidR="00102068">
        <w:t xml:space="preserve"> представить в течение двух лет в письменном виде информацию о мерах, принятых для выполнения рекомендаций, содержащихся в </w:t>
      </w:r>
      <w:r w:rsidR="004C298C">
        <w:t>пункте </w:t>
      </w:r>
      <w:r w:rsidR="00102068">
        <w:t>24 заключительных замечаний. Ответ правительства Исландии на указанные рекомендации был отправлен в мае 2011</w:t>
      </w:r>
      <w:r w:rsidR="004C298C">
        <w:t> года</w:t>
      </w:r>
      <w:r w:rsidR="00102068">
        <w:t xml:space="preserve"> и рассмотрен на сорок девятой сессии Комитета в июле 2011</w:t>
      </w:r>
      <w:r w:rsidR="004C298C">
        <w:t> года</w:t>
      </w:r>
      <w:r w:rsidR="00102068">
        <w:t>.</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t>Выполнение закона</w:t>
      </w:r>
      <w:r w:rsidR="004C298C">
        <w:t> № </w:t>
      </w:r>
      <w:r w:rsidR="00102068">
        <w:t>61/2007 о проституции</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sz w:val="10"/>
        </w:rPr>
      </w:pPr>
    </w:p>
    <w:p w:rsidR="00102068" w:rsidRDefault="004E3C3F" w:rsidP="00102068">
      <w:pPr>
        <w:pStyle w:val="SingleTxtG"/>
      </w:pPr>
      <w:r>
        <w:tab/>
      </w:r>
      <w:r w:rsidR="00102068">
        <w:t xml:space="preserve">После представления правительством Исландии шестого доклада о выполнении Конвенции и его последующего рассмотрения на сорок первой сессии Комитета в </w:t>
      </w:r>
      <w:r w:rsidR="00102068" w:rsidRPr="00AC4B8E">
        <w:t>Уголовный</w:t>
      </w:r>
      <w:r w:rsidR="00102068">
        <w:t xml:space="preserve"> кодекс Исландии были внесены поправки. </w:t>
      </w:r>
    </w:p>
    <w:p w:rsidR="00102068" w:rsidRDefault="004E3C3F" w:rsidP="00102068">
      <w:pPr>
        <w:pStyle w:val="SingleTxtG"/>
      </w:pPr>
      <w:r>
        <w:tab/>
      </w:r>
      <w:r w:rsidR="00102068" w:rsidRPr="00AC4B8E">
        <w:t>Законом</w:t>
      </w:r>
      <w:r w:rsidR="004C298C">
        <w:t> № </w:t>
      </w:r>
      <w:r w:rsidR="00102068">
        <w:t>54/2009, который был принят 30 апреля 2010</w:t>
      </w:r>
      <w:r w:rsidR="004C298C">
        <w:t> года</w:t>
      </w:r>
      <w:r w:rsidR="00102068">
        <w:t>, в статью 206 Уголовного кодекса (закон</w:t>
      </w:r>
      <w:r w:rsidR="004C298C">
        <w:t> № </w:t>
      </w:r>
      <w:r w:rsidR="00102068">
        <w:t xml:space="preserve">19/1940) были внесены поправки в соответствии со шведским прецедентом, с тем чтобы ввести уголовное наказание за покупку услуг проституток; при этом за продажу таких услуг проституткой наказание не предусматривается. </w:t>
      </w:r>
    </w:p>
    <w:p w:rsidR="00102068" w:rsidRDefault="004E3C3F" w:rsidP="00102068">
      <w:pPr>
        <w:pStyle w:val="SingleTxtG"/>
      </w:pPr>
      <w:r>
        <w:tab/>
      </w:r>
      <w:r w:rsidR="00102068" w:rsidRPr="00AC4B8E">
        <w:t>Покупка</w:t>
      </w:r>
      <w:r w:rsidR="00102068">
        <w:t xml:space="preserve"> услуг проституток или обещание оплатить эти услуги карается штрафами или лишением свободы на срок до одного</w:t>
      </w:r>
      <w:r w:rsidR="004C298C">
        <w:t> года</w:t>
      </w:r>
      <w:r w:rsidR="00102068">
        <w:t xml:space="preserve"> (в соответствии с первым пунктом). Если нарушение совершается в отношении несовершеннолетнего, нарушитель может быть оштрафован или лишен свободы на срок до двух лет (в соответствии со вторым пунктом). В соответствии с третьим пунктом любое лицо, основой деятельности или доходов которого является использование проституции других лиц, карается тюремным заключением сроком до четырех лет. В соответствии с четвертым пунктом такая же мера наказания применяется за привлечение</w:t>
      </w:r>
      <w:r>
        <w:t> ребенка</w:t>
      </w:r>
      <w:r w:rsidR="00102068">
        <w:t xml:space="preserve"> в возрасте до 18 лет к занятию проституцией путем обмана, побуждения или содействия. Аналогичная мера наказания также применяется в случае содействия въезду какого-либо лица на территорию Исландии или выезду из страны для того, чтобы зарабатывать на жизнь посредством проституции (пятый пункт). В шестом </w:t>
      </w:r>
      <w:r w:rsidR="004C298C">
        <w:t>пункте </w:t>
      </w:r>
      <w:r w:rsidR="00102068">
        <w:t>говорится, что любое лицо, которое прибегает к обману и подстрекательству или выполняет функции посредника для того, чтобы побуждать других лиц вступать в половую связь или другие сексуальные отношения за вознаграждение или чтобы получать доход от проституции, практикуемой другими лицами, например сдавая в аренду помещения или каким-либо иным способом, наказывается лишением свободы на срок до четырех лет либо штрафом или лишением свободы на срок до одного</w:t>
      </w:r>
      <w:r w:rsidR="004C298C">
        <w:t> года</w:t>
      </w:r>
      <w:r w:rsidR="00102068">
        <w:t xml:space="preserve"> при наличии смягчающих обстоятельств. Наконец, в соответствии с седьмым пунктом любое лицо, которое посредством рекламы, находящейся в открытом доступе, предлагает, организует или стремится вступить в половые сношения с другим лицом в обмен на плату, наказывается штрафом или лишением свободы сроком до шести месяцев. </w:t>
      </w:r>
    </w:p>
    <w:p w:rsidR="00102068" w:rsidRDefault="004E3C3F" w:rsidP="00102068">
      <w:pPr>
        <w:pStyle w:val="SingleTxtG"/>
      </w:pPr>
      <w:r>
        <w:tab/>
      </w:r>
      <w:r w:rsidR="00102068" w:rsidRPr="00AC4B8E">
        <w:t>В</w:t>
      </w:r>
      <w:r w:rsidR="00102068">
        <w:t xml:space="preserve"> судах Исландии рассматривался ряд дел, в которых применялись вышеперечисленные положения. 2 июня 2010 года окружной суд Рейкьявика рассмотрел первые дела в отношении 11 подозреваемых в покупке услуг проституток. В результате 9 мужчин были оштрафованы (7</w:t>
      </w:r>
      <w:r w:rsidR="004C298C">
        <w:t> человек</w:t>
      </w:r>
      <w:r w:rsidR="00102068">
        <w:t xml:space="preserve"> на 80 тыс. исландских крон, 1</w:t>
      </w:r>
      <w:r w:rsidR="004C298C">
        <w:t> человек</w:t>
      </w:r>
      <w:r>
        <w:t xml:space="preserve"> —  </w:t>
      </w:r>
      <w:r w:rsidR="00102068">
        <w:t>на 40 тыс. исландских крон, и 1</w:t>
      </w:r>
      <w:r w:rsidR="004C298C">
        <w:t> человек</w:t>
      </w:r>
      <w:r>
        <w:t xml:space="preserve"> —  </w:t>
      </w:r>
      <w:r w:rsidR="00102068">
        <w:t>на 120 тыс. исландских крон), а еще 2</w:t>
      </w:r>
      <w:r>
        <w:t xml:space="preserve"> —  </w:t>
      </w:r>
      <w:r w:rsidR="00102068">
        <w:t>оправданы.</w:t>
      </w:r>
    </w:p>
    <w:p w:rsidR="00102068" w:rsidRDefault="004E3C3F" w:rsidP="00102068">
      <w:pPr>
        <w:pStyle w:val="SingleTxtG"/>
      </w:pPr>
      <w:r>
        <w:tab/>
      </w:r>
      <w:r w:rsidR="00102068" w:rsidRPr="00AC4B8E">
        <w:t>В</w:t>
      </w:r>
      <w:r w:rsidR="00102068">
        <w:t xml:space="preserve"> результате рассмотрения в Верховном суде дела</w:t>
      </w:r>
      <w:r w:rsidR="004C298C">
        <w:t> № </w:t>
      </w:r>
      <w:r w:rsidR="00102068">
        <w:t xml:space="preserve">105/2010 ответчик был признан виновным в нарушении третьего, шестого и седьмого пунктов </w:t>
      </w:r>
      <w:r w:rsidR="004C298C">
        <w:t>статьи </w:t>
      </w:r>
      <w:r w:rsidR="00102068">
        <w:t xml:space="preserve">206 Уголовного кодекса. Было установлено, что ответчик </w:t>
      </w:r>
      <w:r w:rsidR="00102068">
        <w:rPr>
          <w:i/>
        </w:rPr>
        <w:t xml:space="preserve">X </w:t>
      </w:r>
      <w:r w:rsidR="00102068">
        <w:t xml:space="preserve">предлагал за плату сексуальные услуги </w:t>
      </w:r>
      <w:r w:rsidR="00102068">
        <w:rPr>
          <w:i/>
        </w:rPr>
        <w:t xml:space="preserve">E, F </w:t>
      </w:r>
      <w:r w:rsidR="00102068">
        <w:t xml:space="preserve">и </w:t>
      </w:r>
      <w:r w:rsidR="00102068">
        <w:rPr>
          <w:i/>
        </w:rPr>
        <w:t>G</w:t>
      </w:r>
      <w:r w:rsidR="00102068">
        <w:t xml:space="preserve"> и действовал в качестве посредника, например, арендовал жилой дом для встреч с клиентами, фотографировал жертв и размещал в интернете рекламные объявления об услугах проституток. С учетом тяжести преступлений</w:t>
      </w:r>
      <w:r w:rsidR="00102068">
        <w:rPr>
          <w:i/>
          <w:iCs/>
        </w:rPr>
        <w:t xml:space="preserve"> X</w:t>
      </w:r>
      <w:r w:rsidR="00102068">
        <w:t xml:space="preserve">, включая контрабанду наркотиков, и масштабов деятельности проституток </w:t>
      </w:r>
      <w:r w:rsidR="00102068">
        <w:rPr>
          <w:i/>
        </w:rPr>
        <w:t>X</w:t>
      </w:r>
      <w:r w:rsidR="00102068">
        <w:t xml:space="preserve"> был приговорен к трем с половиной</w:t>
      </w:r>
      <w:r w:rsidR="004C298C">
        <w:t> года</w:t>
      </w:r>
      <w:r w:rsidR="00102068">
        <w:t xml:space="preserve">м тюремного заключения. </w:t>
      </w:r>
    </w:p>
    <w:p w:rsidR="004E3C3F" w:rsidRPr="004E3C3F" w:rsidRDefault="004E3C3F" w:rsidP="004E3C3F">
      <w:pPr>
        <w:pStyle w:val="SingleTxtG"/>
        <w:spacing w:after="0" w:line="120" w:lineRule="exact"/>
        <w:rPr>
          <w:sz w:val="10"/>
        </w:rPr>
      </w:pPr>
    </w:p>
    <w:p w:rsidR="004E3C3F" w:rsidRPr="004E3C3F" w:rsidRDefault="004E3C3F" w:rsidP="004E3C3F">
      <w:pPr>
        <w:pStyle w:val="H1"/>
        <w:spacing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Усиление мер по предотвращению и пресечению торговли людьми, особенно</w:t>
      </w:r>
      <w:r>
        <w:t> женщин</w:t>
      </w:r>
      <w:r w:rsidR="00102068">
        <w:t>ами и девочками, и тщательному расследованию таких случаев</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 xml:space="preserve">В марте 2009 года парламент Исландии утвердил Национальный план действий по борьбе с торговлей людьми. Этот план действий размещен в интернете на английском языке. Его цель заключается в укреплении координации действий, необходимых для предотвращения торговли людьми в Исландии, и в дальнейшем изучении проблемы торговли людьми. Кроме того, в нем перечислены меры, направленные на предотвращение торговли людьми, </w:t>
      </w:r>
      <w:r w:rsidR="00102068" w:rsidRPr="00AC4B8E">
        <w:t>просвещение</w:t>
      </w:r>
      <w:r w:rsidR="00102068">
        <w:t xml:space="preserve"> по этому вопросу и обеспечение жертвам помощи и защиты. Особое внимание уделено мероприятиям, призванным облегчить судебное преследование виновных.</w:t>
      </w:r>
    </w:p>
    <w:p w:rsidR="00102068" w:rsidRDefault="004E3C3F" w:rsidP="00102068">
      <w:pPr>
        <w:pStyle w:val="SingleTxtG"/>
      </w:pPr>
      <w:r>
        <w:tab/>
      </w:r>
      <w:r w:rsidR="00102068">
        <w:t xml:space="preserve">В октябре 2009 года после утверждения плана действий была создана группа специалистов и координаторов по борьбе с торговлей людьми. Эта группа была сформирована с целью обеспечить всесторонний анализ и получение полной информации по проблеме торговли людьми в Исландии. Данная группа состояла из представителей Министерства внутренних дел (бывшего Министерства юстиции), Министерства иностранных </w:t>
      </w:r>
      <w:r w:rsidR="00102068" w:rsidRPr="00AC4B8E">
        <w:t>дел</w:t>
      </w:r>
      <w:r w:rsidR="00102068">
        <w:t xml:space="preserve">, Министерства социального обеспечения (бывшего Министерства социальной защиты и социального обеспечения и Министерства здравоохранения), Национального комиссара полиции, Директората иммиграции и НПО </w:t>
      </w:r>
      <w:r w:rsidR="004C298C">
        <w:t>«</w:t>
      </w:r>
      <w:r w:rsidR="00102068">
        <w:rPr>
          <w:i/>
        </w:rPr>
        <w:t>Kvennaathvarfið</w:t>
      </w:r>
      <w:r w:rsidR="004C298C">
        <w:t>»</w:t>
      </w:r>
      <w:r w:rsidR="00102068">
        <w:t xml:space="preserve"> (Женский приют) и </w:t>
      </w:r>
      <w:r w:rsidR="004C298C">
        <w:t>«</w:t>
      </w:r>
      <w:r w:rsidR="00102068">
        <w:rPr>
          <w:i/>
        </w:rPr>
        <w:t>Stígamót</w:t>
      </w:r>
      <w:r w:rsidR="004C298C">
        <w:t>»</w:t>
      </w:r>
      <w:r w:rsidR="00102068">
        <w:rPr>
          <w:i/>
        </w:rPr>
        <w:t xml:space="preserve"> </w:t>
      </w:r>
      <w:r w:rsidR="00102068">
        <w:t>(Образовательно-консультационный центр для жертв сексуального насилия).</w:t>
      </w:r>
    </w:p>
    <w:p w:rsidR="00102068" w:rsidRDefault="004E3C3F" w:rsidP="00102068">
      <w:pPr>
        <w:pStyle w:val="SingleTxtG"/>
      </w:pPr>
      <w:r>
        <w:tab/>
      </w:r>
      <w:r w:rsidR="00102068">
        <w:t>Роль группы заключалась в отслеживании признаков торговли людьми, выявлении возможных жертв и присвоении им соответствующего статуса, а также в обеспечении жертвам защиты и содействия, сборе информации и проведении информационно-просветительских мероприятий по вопросам торговли людьми. Группа также предоставляла консультации государственным органам и контролировала выполнение Плана действий по борьбе с торговлей людьми. В рамках группы специалистов и координаторов по борьбе с торговлей людьми было создано подразделение быстрого реагирования; оно отвечает за принятие первоначальных мер по оказанию помощи жертвам торговли людьми и обеспечению их защиты, включая предоставление неотложной помощи, безопасного убежища, услуг по переводу и правовой помощи.</w:t>
      </w:r>
    </w:p>
    <w:p w:rsidR="00102068" w:rsidRDefault="004E3C3F" w:rsidP="00102068">
      <w:pPr>
        <w:pStyle w:val="SingleTxtG"/>
      </w:pPr>
      <w:r>
        <w:tab/>
      </w:r>
      <w:r w:rsidR="00102068">
        <w:t>26 апреля 2013</w:t>
      </w:r>
      <w:r w:rsidR="004C298C">
        <w:t> года</w:t>
      </w:r>
      <w:r w:rsidR="00102068">
        <w:t xml:space="preserve"> был принят новый Национальный план действий по борьбе с торговлей людьми на 2013–2016 годы, сменивший план, который </w:t>
      </w:r>
      <w:r w:rsidR="00102068" w:rsidRPr="002D5C12">
        <w:t>осуществлялся</w:t>
      </w:r>
      <w:r w:rsidR="00102068">
        <w:t xml:space="preserve"> в период с 2009 по конец 2012</w:t>
      </w:r>
      <w:r w:rsidR="004C298C">
        <w:t> года</w:t>
      </w:r>
      <w:r w:rsidR="00102068">
        <w:t xml:space="preserve">. Более подробная информация представлена в разделе настоящего доклада, посвященном </w:t>
      </w:r>
      <w:r w:rsidR="004C298C">
        <w:t>статье </w:t>
      </w:r>
      <w:r w:rsidR="00102068">
        <w:t>6.</w:t>
      </w:r>
    </w:p>
    <w:p w:rsidR="00102068" w:rsidRDefault="004E3C3F" w:rsidP="004E3C3F">
      <w:pPr>
        <w:pStyle w:val="SingleTxt"/>
      </w:pPr>
      <w:r>
        <w:tab/>
      </w:r>
      <w:r w:rsidR="00102068">
        <w:t xml:space="preserve">Торговля людьми входит в сферу действия Общего уголовного кодекса. Законом № 149/2009, принятым парламентом 18 декабря 2009 года, в статью 227 а) закона № 19/1940 </w:t>
      </w:r>
      <w:r w:rsidR="00102068" w:rsidRPr="002D5C12">
        <w:t>Уголовного</w:t>
      </w:r>
      <w:r w:rsidR="00102068">
        <w:t xml:space="preserve"> кодекса о торговле людьми была внесена поправка, с тем чтобы привести правовое определение торговли людьми, используемое в Исландии, в соответствие с Европейской конвенцией о противодействии торговле людьми и Палермским протоколом. Соответствующие </w:t>
      </w:r>
      <w:r w:rsidR="004C298C">
        <w:t>статьи </w:t>
      </w:r>
      <w:r w:rsidR="00102068">
        <w:t>гласят (</w:t>
      </w:r>
      <w:r w:rsidR="00102068">
        <w:rPr>
          <w:i/>
          <w:iCs/>
        </w:rPr>
        <w:t>неофициальный перевод</w:t>
      </w:r>
      <w:r w:rsidR="00102068">
        <w:t>):</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rsidRPr="002D5C12">
        <w:t>Статья 6, пункт 20</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Pr="002D5C12" w:rsidRDefault="004E3C3F" w:rsidP="00102068">
      <w:pPr>
        <w:pStyle w:val="SingleTxtG"/>
        <w:rPr>
          <w:i/>
        </w:rPr>
      </w:pPr>
      <w:r>
        <w:rPr>
          <w:i/>
        </w:rPr>
        <w:tab/>
      </w:r>
      <w:r w:rsidR="00102068" w:rsidRPr="002D5C12">
        <w:rPr>
          <w:i/>
        </w:rPr>
        <w:t>В соответствии с Уголовным кодексом Исландии также предусматриваются наказания за следующие правонарушения, даже если они были совершены за пределами Государства Исландия и вне зависимости от того, кем является нарушитель:</w:t>
      </w:r>
    </w:p>
    <w:p w:rsidR="00102068" w:rsidRPr="002D5C12" w:rsidRDefault="00102068" w:rsidP="00102068">
      <w:pPr>
        <w:pStyle w:val="SingleTxtG"/>
        <w:rPr>
          <w:i/>
        </w:rPr>
      </w:pPr>
      <w:r w:rsidRPr="002D5C12">
        <w:rPr>
          <w:i/>
        </w:rPr>
        <w:t>[…]</w:t>
      </w:r>
    </w:p>
    <w:p w:rsidR="00102068" w:rsidRDefault="00102068" w:rsidP="00102068">
      <w:pPr>
        <w:pStyle w:val="SingleTxtG"/>
        <w:rPr>
          <w:i/>
        </w:rPr>
      </w:pPr>
      <w:r w:rsidRPr="002D5C12">
        <w:rPr>
          <w:i/>
        </w:rPr>
        <w:t>20.</w:t>
      </w:r>
      <w:r w:rsidRPr="002D5C12">
        <w:rPr>
          <w:i/>
        </w:rPr>
        <w:tab/>
        <w:t>В случае правонарушений, перечисленных в Конвенции Совета Европы о противодействии торговле людьми от 3 мая 2005 года.</w:t>
      </w:r>
    </w:p>
    <w:p w:rsidR="004E3C3F" w:rsidRPr="004E3C3F" w:rsidRDefault="004E3C3F" w:rsidP="004E3C3F">
      <w:pPr>
        <w:pStyle w:val="SingleTxtG"/>
        <w:spacing w:after="0" w:line="120" w:lineRule="exact"/>
        <w:rPr>
          <w:i/>
          <w:sz w:val="10"/>
        </w:rPr>
      </w:pPr>
    </w:p>
    <w:p w:rsidR="004E3C3F" w:rsidRPr="004E3C3F" w:rsidRDefault="004E3C3F" w:rsidP="004E3C3F">
      <w:pPr>
        <w:pStyle w:val="SingleTxtG"/>
        <w:spacing w:after="0" w:line="120" w:lineRule="exact"/>
        <w:rPr>
          <w:i/>
          <w:sz w:val="10"/>
        </w:rPr>
      </w:pPr>
    </w:p>
    <w:p w:rsidR="00102068" w:rsidRDefault="004E3C3F" w:rsidP="004E3C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102068" w:rsidRPr="002D5C12">
        <w:t>Статья 227 a</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Pr="002D5C12" w:rsidRDefault="00102068" w:rsidP="00102068">
      <w:pPr>
        <w:pStyle w:val="SingleTxtG"/>
        <w:rPr>
          <w:i/>
        </w:rPr>
      </w:pPr>
      <w:r w:rsidRPr="002D5C12">
        <w:rPr>
          <w:i/>
        </w:rPr>
        <w:t>Любое лицо, признанное виновным в одном или нескольких перечисленных ниже действиях, совершенных с целью сексуального использования лица или для принудительного труда или для изъятия его органов, будет караться за торговлю людьми тюремным заключением сроком до восьми лет:</w:t>
      </w:r>
    </w:p>
    <w:p w:rsidR="00102068" w:rsidRPr="002D5C12" w:rsidRDefault="00102068" w:rsidP="00102068">
      <w:pPr>
        <w:pStyle w:val="SingleTxtG"/>
        <w:rPr>
          <w:i/>
        </w:rPr>
      </w:pPr>
      <w:r w:rsidRPr="002D5C12">
        <w:rPr>
          <w:i/>
        </w:rPr>
        <w:t>1.</w:t>
      </w:r>
      <w:r w:rsidRPr="002D5C12">
        <w:rPr>
          <w:i/>
        </w:rPr>
        <w:tab/>
        <w:t>Сводничество, перевозка, передача, содержание у себя в доме или согласие на пребывание у себя в доме лица, подвергнувшегося незаконному использованию силы по смыслу статьи 225 или лишенного свободы согласно определению статьи 226, или подвергнувшегося угрозам согласно определению статьи 233, или подвергнувшегося незаконным обманным действиям путем провоцирования, внушения или использования его недостаточного понимания обстоятельств или использования его уязвимого положения.</w:t>
      </w:r>
    </w:p>
    <w:p w:rsidR="00102068" w:rsidRPr="002D5C12" w:rsidRDefault="00102068" w:rsidP="00102068">
      <w:pPr>
        <w:pStyle w:val="SingleTxtG"/>
        <w:rPr>
          <w:i/>
        </w:rPr>
      </w:pPr>
      <w:r w:rsidRPr="002D5C12">
        <w:rPr>
          <w:i/>
        </w:rPr>
        <w:t>2.</w:t>
      </w:r>
      <w:r w:rsidRPr="002D5C12">
        <w:rPr>
          <w:i/>
        </w:rPr>
        <w:tab/>
        <w:t>Сводничество, перевозка, передача, содержание у себя в доме или согласие на пребывание у себя в доме лица младше 18 лет.</w:t>
      </w:r>
    </w:p>
    <w:p w:rsidR="00102068" w:rsidRPr="002D5C12" w:rsidRDefault="00102068" w:rsidP="00102068">
      <w:pPr>
        <w:pStyle w:val="SingleTxtG"/>
        <w:rPr>
          <w:i/>
        </w:rPr>
      </w:pPr>
      <w:r w:rsidRPr="002D5C12">
        <w:rPr>
          <w:i/>
        </w:rPr>
        <w:t>3.</w:t>
      </w:r>
      <w:r w:rsidRPr="002D5C12">
        <w:rPr>
          <w:i/>
        </w:rPr>
        <w:tab/>
        <w:t>Предоставление платы или другого вознаграждения с целью получения разрешения на эксплуатацию у лица, имеющего контроль над другим лицом.</w:t>
      </w:r>
    </w:p>
    <w:p w:rsidR="00102068" w:rsidRPr="002D5C12" w:rsidRDefault="00102068" w:rsidP="00102068">
      <w:pPr>
        <w:pStyle w:val="SingleTxtG"/>
        <w:rPr>
          <w:i/>
        </w:rPr>
      </w:pPr>
      <w:r w:rsidRPr="002D5C12">
        <w:rPr>
          <w:i/>
        </w:rPr>
        <w:t xml:space="preserve">Та же мера наказания применяется к лицу, принимающему плату или другое вознаграждение, в соответствии с абзацем 3 первого пункта. </w:t>
      </w:r>
    </w:p>
    <w:p w:rsidR="00102068" w:rsidRPr="002D5C12" w:rsidRDefault="00102068" w:rsidP="00102068">
      <w:pPr>
        <w:pStyle w:val="SingleTxtG"/>
        <w:rPr>
          <w:i/>
        </w:rPr>
      </w:pPr>
      <w:r w:rsidRPr="002D5C12">
        <w:rPr>
          <w:i/>
        </w:rPr>
        <w:t>Если нарушение в соответствии с первым пунктом совершается в отношении</w:t>
      </w:r>
      <w:r w:rsidR="004E3C3F">
        <w:rPr>
          <w:i/>
        </w:rPr>
        <w:t> ребенка</w:t>
      </w:r>
      <w:r w:rsidRPr="002D5C12">
        <w:rPr>
          <w:i/>
        </w:rPr>
        <w:t>, это рассматривается в качестве отягчающего обстоятельства при определении строгости наказания.</w:t>
      </w:r>
    </w:p>
    <w:p w:rsidR="00102068" w:rsidRPr="002D5C12" w:rsidRDefault="00102068" w:rsidP="00102068">
      <w:pPr>
        <w:pStyle w:val="SingleTxtG"/>
        <w:rPr>
          <w:i/>
        </w:rPr>
      </w:pPr>
      <w:r w:rsidRPr="002D5C12">
        <w:rPr>
          <w:i/>
        </w:rPr>
        <w:t>Та же мера наказания применяется по отношению к лицу, которое виновно в совершении одного или более из нижеперечисленных действий с целью содействия торговле людьми:</w:t>
      </w:r>
    </w:p>
    <w:p w:rsidR="00102068" w:rsidRPr="002D5C12" w:rsidRDefault="00102068" w:rsidP="00102068">
      <w:pPr>
        <w:pStyle w:val="SingleTxtG"/>
        <w:rPr>
          <w:i/>
        </w:rPr>
      </w:pPr>
      <w:r w:rsidRPr="002D5C12">
        <w:rPr>
          <w:i/>
        </w:rPr>
        <w:t>1.</w:t>
      </w:r>
      <w:r w:rsidRPr="002D5C12">
        <w:rPr>
          <w:i/>
        </w:rPr>
        <w:tab/>
        <w:t>Подделка документа, дающего право на поездки или удостоверяющего личность.</w:t>
      </w:r>
    </w:p>
    <w:p w:rsidR="00102068" w:rsidRPr="002D5C12" w:rsidRDefault="00102068" w:rsidP="00102068">
      <w:pPr>
        <w:pStyle w:val="SingleTxtG"/>
        <w:rPr>
          <w:i/>
        </w:rPr>
      </w:pPr>
      <w:r w:rsidRPr="002D5C12">
        <w:rPr>
          <w:i/>
        </w:rPr>
        <w:t>2.</w:t>
      </w:r>
      <w:r w:rsidRPr="002D5C12">
        <w:rPr>
          <w:i/>
        </w:rPr>
        <w:tab/>
        <w:t>Покупка или предоставление такого документа.</w:t>
      </w:r>
    </w:p>
    <w:p w:rsidR="00102068" w:rsidRDefault="00102068" w:rsidP="00102068">
      <w:pPr>
        <w:pStyle w:val="SingleTxtG"/>
        <w:rPr>
          <w:i/>
        </w:rPr>
      </w:pPr>
      <w:r w:rsidRPr="002D5C12">
        <w:rPr>
          <w:i/>
        </w:rPr>
        <w:t>3.</w:t>
      </w:r>
      <w:r w:rsidRPr="002D5C12">
        <w:rPr>
          <w:i/>
        </w:rPr>
        <w:tab/>
        <w:t>Удержание, изъятие, повреждение или уничтожение документа, дающего право на поездки или удостоверяющего личность, который принадлежит другому лицу.</w:t>
      </w:r>
    </w:p>
    <w:p w:rsidR="004E3C3F" w:rsidRPr="004E3C3F" w:rsidRDefault="004E3C3F" w:rsidP="004E3C3F">
      <w:pPr>
        <w:pStyle w:val="SingleTxtG"/>
        <w:spacing w:after="0" w:line="120" w:lineRule="exact"/>
        <w:rPr>
          <w:i/>
          <w:sz w:val="10"/>
        </w:rPr>
      </w:pPr>
    </w:p>
    <w:p w:rsidR="004E3C3F" w:rsidRPr="004E3C3F" w:rsidRDefault="004E3C3F" w:rsidP="004E3C3F">
      <w:pPr>
        <w:pStyle w:val="SingleTxtG"/>
        <w:spacing w:after="0" w:line="120" w:lineRule="exact"/>
        <w:rPr>
          <w:i/>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2D5C12">
        <w:t>Привлечение к ответственности и наказание виновных в торговле</w:t>
      </w:r>
      <w:r w:rsidR="00102068">
        <w:t xml:space="preserve"> </w:t>
      </w:r>
      <w:r w:rsidR="00102068" w:rsidRPr="002D5C12">
        <w:t>людьми в соответствии со степенью тяжести совершенных ими преступлений</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Как указано выше, максимальной мерой наказания/санкцией за такие правонарушения является лишение свободы на 8 лет. Закон</w:t>
      </w:r>
      <w:r w:rsidR="004C298C">
        <w:t> № </w:t>
      </w:r>
      <w:r w:rsidR="00102068">
        <w:t>72/2011, который вступил в силу 10</w:t>
      </w:r>
      <w:r w:rsidR="004C298C">
        <w:t> июня</w:t>
      </w:r>
      <w:r w:rsidR="00102068">
        <w:t xml:space="preserve"> 2011</w:t>
      </w:r>
      <w:r w:rsidR="004C298C">
        <w:t> года</w:t>
      </w:r>
      <w:r w:rsidR="00102068">
        <w:t xml:space="preserve">, увеличил максимальное наказание за </w:t>
      </w:r>
      <w:r w:rsidR="00102068" w:rsidRPr="002D5C12">
        <w:t>нарушения</w:t>
      </w:r>
      <w:r w:rsidR="00102068">
        <w:t xml:space="preserve"> </w:t>
      </w:r>
      <w:r w:rsidR="004C298C">
        <w:t>статьи </w:t>
      </w:r>
      <w:r w:rsidR="00102068">
        <w:t>227 a) о торговле людьми с 8 до 12 лет лишения свободы. Суды Исландии рассмотрели три дела, касающиеся торговли людьми и других обвинений.</w:t>
      </w:r>
    </w:p>
    <w:p w:rsidR="00102068" w:rsidRDefault="00102068" w:rsidP="00102068">
      <w:pPr>
        <w:pStyle w:val="SingleTxtG"/>
      </w:pPr>
      <w:r>
        <w:tab/>
        <w:t>a)</w:t>
      </w:r>
      <w:r>
        <w:tab/>
        <w:t xml:space="preserve">1 декабря 2009 года гражданин Исландии, являющийся уроженцем Экваториальной Гвинеи, был осужден окружным судом Рейкьянeса по </w:t>
      </w:r>
      <w:r>
        <w:br/>
        <w:t>делу № S-676/2009. Обвиняемого признали невиновным в торговле людьми, но приговорили к тюремному заключению сроком на два с половиной</w:t>
      </w:r>
      <w:r w:rsidR="004C298C">
        <w:t> года</w:t>
      </w:r>
      <w:r>
        <w:t xml:space="preserve"> за сутенерство и другие правонарушения. 3 июня 2010 года в результате апелляции, поданной в Верховный суд, срок тюремного </w:t>
      </w:r>
      <w:r w:rsidRPr="002D5C12">
        <w:t>заключения</w:t>
      </w:r>
      <w:r>
        <w:t xml:space="preserve"> был продлен до трех с половиной лет (см. дело № 105/2010, о котором говорилось выше). Предполагаемой жертвой торговли людьми по данному делу являлась гражданка Словении, завербованная через Испанию. Пострадавшая получала всю необходимую помощь независимо от результатов рассмотрения дела в суде.</w:t>
      </w:r>
    </w:p>
    <w:p w:rsidR="00102068" w:rsidRDefault="00102068" w:rsidP="00102068">
      <w:pPr>
        <w:pStyle w:val="SingleTxtG"/>
      </w:pPr>
      <w:r>
        <w:tab/>
        <w:t>b)</w:t>
      </w:r>
      <w:r>
        <w:tab/>
        <w:t>8 марта 2010 года окружной суд Рейкьянеса признал виновными пятерых граждан Литвы по делу № S-1064/2009, касавшемуся торговли людьми; при этом одного обвиняемого оправдали. Остальных приговорили к пяти</w:t>
      </w:r>
      <w:r w:rsidR="004C298C">
        <w:t> года</w:t>
      </w:r>
      <w:r>
        <w:t>м тюремного заключения. 16 июня 2010 года в результате апелляции, поданной в Верховный суд, одного из обвиняемых приговорили к пяти</w:t>
      </w:r>
      <w:r w:rsidR="004C298C">
        <w:t> года</w:t>
      </w:r>
      <w:r>
        <w:t>м тюремного заключения, а четверых – к четырем</w:t>
      </w:r>
      <w:r w:rsidR="004C298C">
        <w:t> года</w:t>
      </w:r>
      <w:r>
        <w:t>м. Пострадавшей по данному делу являлась молодая</w:t>
      </w:r>
      <w:r w:rsidR="004E3C3F">
        <w:t> женщин</w:t>
      </w:r>
      <w:r w:rsidRPr="002D5C12">
        <w:t>а</w:t>
      </w:r>
      <w:r>
        <w:t> – гражданка Литвы, завербованная в Литве. Следует отметить, что в данном случае приговор основывался на доказанном намерении сексуальной эксплуатации; фактической сексуальной эксплуатации удалось избежать благодаря раннему вмешательству. Пострадавшая в течение длительного времени получала всю необходимую помощь.</w:t>
      </w:r>
    </w:p>
    <w:p w:rsidR="00102068" w:rsidRDefault="00102068" w:rsidP="00102068">
      <w:pPr>
        <w:pStyle w:val="SingleTxtG"/>
      </w:pPr>
      <w:r>
        <w:tab/>
        <w:t>c)</w:t>
      </w:r>
      <w:r>
        <w:tab/>
        <w:t xml:space="preserve">9 июля 2010 года гражданин Исландии, являющийся уроженцем Экваториальной Гвинеи (тот же правонарушитель, что и в первом деле, описанном выше), был осужден окружным судом Рейкьянеса по делу № S-190/2010. Ответчика признали невиновным в торговле людьми, однако приговорили к 15 месяцам </w:t>
      </w:r>
      <w:r w:rsidRPr="002D5C12">
        <w:t>тюремного</w:t>
      </w:r>
      <w:r>
        <w:t xml:space="preserve"> заключения за сутенерство и другие правонарушения. Пострадавшей по данному делу являлась молодая</w:t>
      </w:r>
      <w:r w:rsidR="004E3C3F">
        <w:t> женщин</w:t>
      </w:r>
      <w:r>
        <w:t>а из Экваториальной Гвинеи, которая получила всю необходимую помощь.</w:t>
      </w:r>
    </w:p>
    <w:p w:rsidR="00102068" w:rsidRDefault="004E3C3F" w:rsidP="00102068">
      <w:pPr>
        <w:pStyle w:val="SingleTxtG"/>
      </w:pPr>
      <w:r>
        <w:tab/>
      </w:r>
      <w:r w:rsidR="00102068">
        <w:t xml:space="preserve">С дополнительной информацией можно ознакомиться в разделе настоящего доклада, посвященном </w:t>
      </w:r>
      <w:r w:rsidR="004C298C">
        <w:t>статье </w:t>
      </w:r>
      <w:r w:rsidR="00102068">
        <w:t>6.</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Расследование деятельности незаконных стрип-клубов посредством проведения исследований и опросов</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pPr>
      <w:r>
        <w:tab/>
      </w:r>
      <w:r w:rsidR="00102068">
        <w:t>В 1990-х</w:t>
      </w:r>
      <w:r w:rsidR="004C298C">
        <w:t> года</w:t>
      </w:r>
      <w:r w:rsidR="00102068">
        <w:t xml:space="preserve">х в Исландии было создано множество стрип-клубов. </w:t>
      </w:r>
      <w:r w:rsidR="00102068" w:rsidRPr="002D5C12">
        <w:t>Стриптизерши</w:t>
      </w:r>
      <w:r w:rsidR="00102068">
        <w:t xml:space="preserve"> выступали на столах, расположенных на открытых площадках, либо в закрытых помещениях, исполняя </w:t>
      </w:r>
      <w:r w:rsidR="004C298C">
        <w:t>«</w:t>
      </w:r>
      <w:r w:rsidR="00102068">
        <w:t>приватные танцы</w:t>
      </w:r>
      <w:r w:rsidR="004C298C">
        <w:t>»</w:t>
      </w:r>
      <w:r w:rsidR="00102068">
        <w:t>. Первоначально стриптиз считался искусством, и</w:t>
      </w:r>
      <w:r>
        <w:t> женщин</w:t>
      </w:r>
      <w:r w:rsidR="00102068">
        <w:t>ы, которых привозили в страну для работы в стрип-клубах, получали временные разрешения на работу как артистки. До принятия Закона № 66/2000, вносящего поправки в Закон</w:t>
      </w:r>
      <w:r w:rsidR="004C298C">
        <w:t> № </w:t>
      </w:r>
      <w:r w:rsidR="00102068">
        <w:t>67/1985, специального юридического определения стрип-клубов не существовало. Впоследствии отдельные муниципалитеты могли устанавливать дополнительные условия в отношении лицензирования деятельности подобных ресторанов. Такие условия были введены в Рейкьявике в 2002</w:t>
      </w:r>
      <w:r w:rsidR="004C298C">
        <w:t> году</w:t>
      </w:r>
      <w:r w:rsidR="00102068">
        <w:t>, когда были запрещены приватные танцы и появление в толпе обнаженных танцоров. Позднее Верховный суд Исландии признал законность данного запрета.</w:t>
      </w:r>
    </w:p>
    <w:p w:rsidR="00102068" w:rsidRDefault="004E3C3F" w:rsidP="00102068">
      <w:pPr>
        <w:pStyle w:val="SingleTxtG"/>
      </w:pPr>
      <w:r>
        <w:tab/>
      </w:r>
      <w:r w:rsidR="00102068">
        <w:t>Закон</w:t>
      </w:r>
      <w:r w:rsidR="004C298C">
        <w:t> № </w:t>
      </w:r>
      <w:r w:rsidR="00102068">
        <w:t>85/2007 фактически запретил стриптиз, хотя в отношении отдельных ресторанов могли допускаться исключения. Позднее</w:t>
      </w:r>
      <w:r>
        <w:t xml:space="preserve"> —  </w:t>
      </w:r>
      <w:r w:rsidR="00102068">
        <w:t>в 2010</w:t>
      </w:r>
      <w:r w:rsidR="004C298C">
        <w:t> году</w:t>
      </w:r>
      <w:r>
        <w:t xml:space="preserve"> —  </w:t>
      </w:r>
      <w:r w:rsidR="00102068">
        <w:t xml:space="preserve">положения, предусматривавшие возможность выдачи разрешений на отступление от законодательства, были </w:t>
      </w:r>
      <w:r w:rsidR="00102068" w:rsidRPr="002D5C12">
        <w:t>отменены</w:t>
      </w:r>
      <w:r w:rsidR="00102068">
        <w:t xml:space="preserve">. Эти положения оставались в силе, с определенными ограничениями, до марта 2010 года, когда парламент принял Закон № 18/2010, аннулирующий положение об исключениях статьи 4 Закона № 85/2007 о ресторанах и ночных клубах, который регулировал деятельность таких клубов. </w:t>
      </w:r>
    </w:p>
    <w:p w:rsidR="00102068" w:rsidRDefault="004E3C3F" w:rsidP="00102068">
      <w:pPr>
        <w:pStyle w:val="SingleTxtG"/>
      </w:pPr>
      <w:r>
        <w:tab/>
      </w:r>
      <w:r w:rsidR="00102068">
        <w:t>В конце 2013</w:t>
      </w:r>
      <w:r w:rsidR="004C298C">
        <w:t> года</w:t>
      </w:r>
      <w:r w:rsidR="00102068">
        <w:t xml:space="preserve"> в парламенте было выдвинуто предложение о пересмотре правил, касающихся лицензирования деятельности ресторанов, с целью воспрепятствовать созданию так называемых </w:t>
      </w:r>
      <w:r w:rsidR="004C298C">
        <w:t>«</w:t>
      </w:r>
      <w:r w:rsidR="00102068">
        <w:t>клубов шампанского</w:t>
      </w:r>
      <w:r w:rsidR="004C298C">
        <w:t>»</w:t>
      </w:r>
      <w:r w:rsidR="00102068">
        <w:t>, эксплуатирующих наготу персонала и предоставляющих клиентам возможность пообщаться с сотрудниками в приватной обстановке. Сейчас данное предложение обсуждается в рамках Комитета по судебным делам и подготовке судей.</w:t>
      </w:r>
    </w:p>
    <w:p w:rsidR="00102068" w:rsidRDefault="004E3C3F" w:rsidP="00102068">
      <w:pPr>
        <w:pStyle w:val="SingleTxtG"/>
      </w:pPr>
      <w:r>
        <w:tab/>
      </w:r>
      <w:r w:rsidR="00102068">
        <w:t xml:space="preserve">Это означает, что в настоящее время стрип-клубы в Исландии запрещены законом; </w:t>
      </w:r>
      <w:r w:rsidR="00102068" w:rsidRPr="002D5C12">
        <w:t>они</w:t>
      </w:r>
      <w:r w:rsidR="00102068">
        <w:t xml:space="preserve"> либо закрылись, либо изменили род своей деятельности. Полиция контролирует деятельность ночных клубов, и по состоянию на сегодняшний день никаких нарушений Закона № 18/2010 выявлено не было.</w:t>
      </w:r>
    </w:p>
    <w:p w:rsidR="00102068" w:rsidRDefault="004E3C3F" w:rsidP="00102068">
      <w:pPr>
        <w:pStyle w:val="SingleTxtG"/>
      </w:pPr>
      <w:r>
        <w:tab/>
      </w:r>
      <w:r w:rsidR="00102068">
        <w:t xml:space="preserve">Полиция провела расследование в отношении </w:t>
      </w:r>
      <w:r w:rsidR="004C298C">
        <w:t>«</w:t>
      </w:r>
      <w:r w:rsidR="00102068">
        <w:t>клубов шампанского</w:t>
      </w:r>
      <w:r w:rsidR="004C298C">
        <w:t>»</w:t>
      </w:r>
      <w:r w:rsidR="00102068">
        <w:t xml:space="preserve"> в Рейкьявике в связи с заявлениями о проституции, отмывании денег и торговле наркотиками. По </w:t>
      </w:r>
      <w:r w:rsidR="00102068" w:rsidRPr="002D5C12">
        <w:t>утверждению</w:t>
      </w:r>
      <w:r w:rsidR="00102068">
        <w:t xml:space="preserve"> полиции расследование, касающееся этих клубов в Рейкьявике, близится к завершению. После окончания расследования генеральный прокурор примет решение по поводу дальнейших действий. Сотрудники полиции также уделяли серьезное внимание новым местам, обеспечивающим условия для занятий проституцией. Поводом для беспокойства является то обстоятельство, что после прекращения деятельности </w:t>
      </w:r>
      <w:r w:rsidR="004C298C">
        <w:t>«</w:t>
      </w:r>
      <w:r w:rsidR="00102068">
        <w:t>клубов шампанского</w:t>
      </w:r>
      <w:r w:rsidR="004C298C">
        <w:t>»</w:t>
      </w:r>
      <w:r w:rsidR="00102068">
        <w:t xml:space="preserve"> базой для занятий проституцией могли стать интернет-сайты знакомств и местные бары и рестораны.</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bCs/>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102068">
        <w:t>Усиление международного сотрудничества для противодействия торговле людьми, обеспечение защиты прав</w:t>
      </w:r>
      <w:r>
        <w:t> женщин</w:t>
      </w:r>
      <w:r w:rsidR="00102068">
        <w:t xml:space="preserve"> и девочек, ставших жертвами торговли людьми, и создание нормативно-правовой базы для защиты жертв и свидетелей</w:t>
      </w:r>
    </w:p>
    <w:p w:rsidR="004E3C3F" w:rsidRPr="004E3C3F" w:rsidRDefault="004E3C3F" w:rsidP="004E3C3F">
      <w:pPr>
        <w:pStyle w:val="SingleTxtG"/>
        <w:keepNext/>
        <w:keepLines/>
        <w:spacing w:after="0" w:line="120" w:lineRule="exact"/>
        <w:rPr>
          <w:i/>
          <w:sz w:val="10"/>
        </w:rPr>
      </w:pPr>
    </w:p>
    <w:p w:rsidR="004E3C3F" w:rsidRPr="004E3C3F" w:rsidRDefault="004E3C3F" w:rsidP="004E3C3F">
      <w:pPr>
        <w:pStyle w:val="SingleTxtG"/>
        <w:keepNext/>
        <w:keepLines/>
        <w:spacing w:after="0" w:line="120" w:lineRule="exact"/>
        <w:rPr>
          <w:i/>
          <w:sz w:val="10"/>
        </w:rPr>
      </w:pPr>
    </w:p>
    <w:p w:rsidR="00102068" w:rsidRDefault="004E3C3F" w:rsidP="004E3C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2D5C12">
        <w:t>Усиление международного сотрудничества для противодействия торговле людьми</w:t>
      </w:r>
    </w:p>
    <w:p w:rsidR="004E3C3F" w:rsidRPr="004E3C3F" w:rsidRDefault="004E3C3F" w:rsidP="004E3C3F">
      <w:pPr>
        <w:pStyle w:val="SingleTxt"/>
        <w:spacing w:after="0" w:line="120" w:lineRule="exact"/>
        <w:rPr>
          <w:sz w:val="10"/>
        </w:rPr>
      </w:pPr>
    </w:p>
    <w:p w:rsidR="00102068" w:rsidRDefault="004E3C3F" w:rsidP="00102068">
      <w:pPr>
        <w:pStyle w:val="SingleTxtG"/>
        <w:rPr>
          <w:i/>
          <w:iCs/>
        </w:rPr>
      </w:pPr>
      <w:r>
        <w:tab/>
      </w:r>
      <w:r w:rsidR="00102068">
        <w:t xml:space="preserve">В целях решения этих вопросов Исландия сотрудничает с </w:t>
      </w:r>
      <w:r w:rsidR="00102068" w:rsidRPr="002D5C12">
        <w:t>Организацией</w:t>
      </w:r>
      <w:r w:rsidR="00102068">
        <w:t xml:space="preserve"> по безопасности и сотрудничеству в Европе, Советом государств Балтийского моря (СГБМ), Международной организацией по миграции (МОМ), Советом министров стран Северной Европы, Управлением Организации Объединенных Наций по наркотикам и преступности (ЮНОДК) и Советом Европы. Региональное сотрудничество в рамках СГБМ приносит особенно заметные результаты в решении самых актуальных вопросов и проблем, с которыми сталкивается регион. Исландия активно участвует в работе его целевой группы по противодействию торговле людьми. В число ее проектов входят исследования по вопросу о механизмах сотрудничества в странах и регионе, осуществляемые совместно с ЮНОДК; исследования по сбору и распространению данных в странах и в регионе; организация курсов подготовки для дипломатов и сотрудников консульских служб по вопросу о торговле людьми; проект, касающийся выявления торговли людьми в форме эксплуатации труда; и изучение меморандумов о взаимопонимании и передовой практики в этой области.</w:t>
      </w:r>
    </w:p>
    <w:p w:rsidR="004E3C3F" w:rsidRPr="004E3C3F" w:rsidRDefault="004E3C3F" w:rsidP="004E3C3F">
      <w:pPr>
        <w:pStyle w:val="SingleTxtG"/>
        <w:spacing w:after="0" w:line="120" w:lineRule="exact"/>
        <w:rPr>
          <w:i/>
          <w:sz w:val="10"/>
        </w:rPr>
      </w:pPr>
    </w:p>
    <w:p w:rsidR="00102068" w:rsidRPr="00A1298E" w:rsidRDefault="004E3C3F" w:rsidP="004E3C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A1298E">
        <w:t>Обеспечение защиты прав</w:t>
      </w:r>
      <w:r>
        <w:t> женщин</w:t>
      </w:r>
      <w:r w:rsidR="00102068" w:rsidRPr="00A1298E">
        <w:t xml:space="preserve"> и девочек, ставших жертвами торговли людьми</w:t>
      </w:r>
    </w:p>
    <w:p w:rsidR="004E3C3F" w:rsidRPr="004E3C3F" w:rsidRDefault="004E3C3F" w:rsidP="004E3C3F">
      <w:pPr>
        <w:pStyle w:val="SingleTxtG"/>
        <w:spacing w:after="0" w:line="120" w:lineRule="exact"/>
        <w:rPr>
          <w:sz w:val="10"/>
        </w:rPr>
      </w:pPr>
    </w:p>
    <w:p w:rsidR="00102068" w:rsidRDefault="004E3C3F" w:rsidP="00102068">
      <w:pPr>
        <w:pStyle w:val="SingleTxtG"/>
        <w:rPr>
          <w:i/>
          <w:iCs/>
        </w:rPr>
      </w:pPr>
      <w:r>
        <w:tab/>
      </w:r>
      <w:r w:rsidR="00102068">
        <w:t xml:space="preserve">Жертвы торговли людьми в Исландии, вне зависимости от их национальности или правового статуса в этой стране, или предполагаемые жертвы предполагаемых нарушений законодательства Исландии получают все необходимые услуги, будь то медицинское обслуживание, социальные (в том числе предоставление </w:t>
      </w:r>
      <w:r w:rsidR="00102068" w:rsidRPr="00A1298E">
        <w:t>надлежащего</w:t>
      </w:r>
      <w:r w:rsidR="00102068">
        <w:t xml:space="preserve"> жилья), финансовые или правовые услуги, когда они попадают в поле зрения группы специалистов и координаторов по борьбе с торговлей людьми в Исландии или получают направление в эту группу (мера 2 Национального плана действий по борьбе с торговлей людьми), которая действует в соответствии с </w:t>
      </w:r>
      <w:r w:rsidR="004C298C">
        <w:t>«</w:t>
      </w:r>
      <w:r w:rsidR="00102068">
        <w:t>политикой низкого порога</w:t>
      </w:r>
      <w:r w:rsidR="004C298C">
        <w:t>»</w:t>
      </w:r>
      <w:r w:rsidR="00102068">
        <w:t>. Вплоть до этого момента они могут проживать в убежищах для</w:t>
      </w:r>
      <w:r>
        <w:t> женщин</w:t>
      </w:r>
      <w:r w:rsidR="00102068">
        <w:t xml:space="preserve"> и получать консультации в консультационных центрах для жертв сексуального насилия или у местных властей (социальных служб) (это лишь некоторые примеры предоставлявшихся форм помощи, которые также оказываются вне зависимости от правового статуса жертв). Состав группы специалистов и координаторов подобран таким образом, чтобы обеспечить всеобъемлющий и целостный подход к оказанию помощи жертвам. Получив вид на жительство в данном качестве </w:t>
      </w:r>
      <w:r w:rsidR="00102068" w:rsidRPr="00A1298E">
        <w:t>(см. пункты 18 и 19 ниже)</w:t>
      </w:r>
      <w:r w:rsidR="00102068">
        <w:t>, предполагаемые жертвы получают все связанные с этим юридические права. В связи с этим также следует упомянуть, что потенциальные жертвы могут на основании судебной процедуры получить право на анонимность и право давать показания в отсутствие предполагаемых правонарушителей или, при необходимости, посредством видео-/аудиосвязи. Что касается несовершеннолетних, которые могут стать жертвами торговли людьми (подобных прецедентов в Исландии пока не зарегистрировано), то согласно Национальному плану действий по борьбе с торговлей людьми соответствующие дела должны рассматриваться на основании Закона о защите детей (меры 10 и 11 указанного плана).</w:t>
      </w:r>
    </w:p>
    <w:p w:rsidR="004E3C3F" w:rsidRPr="004E3C3F" w:rsidRDefault="004E3C3F" w:rsidP="004E3C3F">
      <w:pPr>
        <w:pStyle w:val="SingleTxtG"/>
        <w:keepNext/>
        <w:spacing w:after="0" w:line="120" w:lineRule="exact"/>
        <w:rPr>
          <w:i/>
          <w:sz w:val="10"/>
        </w:rPr>
      </w:pPr>
    </w:p>
    <w:p w:rsidR="00102068" w:rsidRPr="00A1298E" w:rsidRDefault="004E3C3F" w:rsidP="004E3C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A1298E">
        <w:t xml:space="preserve">Создание нормативно-правовой базы для защиты жертв и свидетелей </w:t>
      </w:r>
    </w:p>
    <w:p w:rsidR="004E3C3F" w:rsidRPr="004E3C3F" w:rsidRDefault="004E3C3F" w:rsidP="004E3C3F">
      <w:pPr>
        <w:pStyle w:val="SingleTxtG"/>
        <w:spacing w:after="0" w:line="120" w:lineRule="exact"/>
        <w:rPr>
          <w:sz w:val="10"/>
        </w:rPr>
      </w:pPr>
    </w:p>
    <w:p w:rsidR="00102068" w:rsidRDefault="004E3C3F" w:rsidP="00102068">
      <w:pPr>
        <w:pStyle w:val="SingleTxtG"/>
      </w:pPr>
      <w:r>
        <w:tab/>
      </w:r>
      <w:r w:rsidR="00102068">
        <w:t>Несмотря на парламентские дискуссии по данному вопросу, в Исландии нет специальных правовых норм о защите жертв или свидетелей торговли людьми. В</w:t>
      </w:r>
      <w:r w:rsidR="00102068">
        <w:rPr>
          <w:lang w:val="en-US"/>
        </w:rPr>
        <w:t> </w:t>
      </w:r>
      <w:r w:rsidR="00102068">
        <w:t>настоящее время Министерство внутренних дел анализирует целесообразность внесения в законодательство соответствующих поправок. В 2010 году Национальный комиссар полиции утвердил рекомендации по работе с делами, связанными с торговлей людьми, где предусматривается, что в каждом случае необходимо оценивать риски и принимать соответствующие меры защиты. Эта процедура соблюдалась в отношении дел, которые уже рассматривались в Исландии; в некоторых случаях как жертвам, так и свидетелям предоставлялась полномасштабная защита и устанавливалось оборудование для ведения наблюдения и обеспечения безопасности их жилищ.</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b/>
          <w:bCs/>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A1298E">
        <w:t>Ратификация Протокола о предупреждении и пресечении торговли людьми, особенно</w:t>
      </w:r>
      <w:r>
        <w:t> женщин</w:t>
      </w:r>
      <w:r w:rsidR="00102068" w:rsidRPr="00A1298E">
        <w:t>ами и детьми, и наказании за нее и</w:t>
      </w:r>
      <w:r w:rsidR="00102068">
        <w:rPr>
          <w:lang w:val="en-US"/>
        </w:rPr>
        <w:t> </w:t>
      </w:r>
      <w:r w:rsidR="00102068" w:rsidRPr="00A1298E">
        <w:t>Конвенции Совета Европы о противодействии торговле людьми</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rPr>
          <w:shd w:val="clear" w:color="auto" w:fill="FFFF00"/>
        </w:rPr>
      </w:pPr>
      <w:r>
        <w:tab/>
      </w:r>
      <w:r w:rsidR="00102068">
        <w:t>Конвенция Организации Объединенных Наций против транснациональной организованной преступности была ратифицирована Исландией 13 мая 2010 года, а Протокол о предупреждении и пресечении торговли людьми, особенно</w:t>
      </w:r>
      <w:r>
        <w:t> женщин</w:t>
      </w:r>
      <w:r w:rsidR="00102068">
        <w:t>ами и детьми, и наказании за нее – 22 июня 2010 года.</w:t>
      </w:r>
    </w:p>
    <w:p w:rsidR="00102068" w:rsidRDefault="004E3C3F" w:rsidP="00102068">
      <w:pPr>
        <w:pStyle w:val="SingleTxtG"/>
      </w:pPr>
      <w:r>
        <w:tab/>
      </w:r>
      <w:r w:rsidR="00102068" w:rsidRPr="00A1298E">
        <w:t xml:space="preserve">Как указано в разделе настоящего доклада, посвященном </w:t>
      </w:r>
      <w:r w:rsidR="004C298C">
        <w:t>статье </w:t>
      </w:r>
      <w:r w:rsidR="00102068" w:rsidRPr="00A1298E">
        <w:t>6, Конвенция Совета Европы о противодействии торговле людьми была ратифицирована Исландией 23</w:t>
      </w:r>
      <w:r w:rsidR="00102068">
        <w:rPr>
          <w:lang w:val="en-US"/>
        </w:rPr>
        <w:t> </w:t>
      </w:r>
      <w:r w:rsidR="00102068" w:rsidRPr="00A1298E">
        <w:t>февраля 2012</w:t>
      </w:r>
      <w:r w:rsidR="004C298C">
        <w:t> года</w:t>
      </w:r>
      <w:r w:rsidR="00102068" w:rsidRPr="00A1298E">
        <w:t xml:space="preserve"> и вступила в силу в отношении Исландии 1</w:t>
      </w:r>
      <w:r w:rsidR="004C298C">
        <w:t> июня</w:t>
      </w:r>
      <w:r w:rsidR="00102068" w:rsidRPr="00A1298E">
        <w:t xml:space="preserve"> того же</w:t>
      </w:r>
      <w:r w:rsidR="004C298C">
        <w:t> года</w:t>
      </w:r>
      <w:r w:rsidR="00102068" w:rsidRPr="00A1298E">
        <w:t>.</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t>Доклад относительно a) статистических данных, связанных с</w:t>
      </w:r>
      <w:r w:rsidR="00102068">
        <w:rPr>
          <w:lang w:val="en-US"/>
        </w:rPr>
        <w:t> </w:t>
      </w:r>
      <w:r w:rsidR="00102068">
        <w:t>торговлей людьми и проституцией, и b) информации о</w:t>
      </w:r>
      <w:r w:rsidR="00102068">
        <w:rPr>
          <w:lang w:val="en-US"/>
        </w:rPr>
        <w:t> </w:t>
      </w:r>
      <w:r w:rsidR="00102068">
        <w:t>воздействии декриминализации проституции на использование</w:t>
      </w:r>
      <w:r>
        <w:t> женщин</w:t>
      </w:r>
      <w:r w:rsidR="00102068">
        <w:t>ами своих прав</w:t>
      </w:r>
      <w:r w:rsidR="004C298C">
        <w:t> человек</w:t>
      </w:r>
      <w:r w:rsidR="00102068">
        <w:t xml:space="preserve">а </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G"/>
        <w:rPr>
          <w:shd w:val="clear" w:color="auto" w:fill="FFFF00"/>
        </w:rPr>
      </w:pPr>
      <w:r>
        <w:tab/>
      </w:r>
      <w:r w:rsidR="00102068">
        <w:t>В своих заключительных замечаниях (CEDAW/C/ICE/CO/6) Комитет рекомендовал представить в следующем периодическом докладе статистические данные о торговле людьми и проституции и информацию о созданной системе и прогрессе в деле ратификации Конвенции Совета Европы о противодействии торговле людьми.</w:t>
      </w:r>
    </w:p>
    <w:p w:rsidR="00102068" w:rsidRDefault="004E3C3F" w:rsidP="00102068">
      <w:pPr>
        <w:pStyle w:val="SingleTxtG"/>
      </w:pPr>
      <w:r>
        <w:tab/>
      </w:r>
      <w:r w:rsidR="00102068" w:rsidRPr="00F34CB2">
        <w:t xml:space="preserve">Как указано в разделе настоящего доклада, посвященном </w:t>
      </w:r>
      <w:r w:rsidR="004C298C">
        <w:t>статье </w:t>
      </w:r>
      <w:r w:rsidR="00102068" w:rsidRPr="00F34CB2">
        <w:t>6, Конвенция Совета Европы о противодействии торговле людьми была ратифицирована Исландией 23</w:t>
      </w:r>
      <w:r w:rsidR="00102068">
        <w:rPr>
          <w:lang w:val="en-US"/>
        </w:rPr>
        <w:t> </w:t>
      </w:r>
      <w:r w:rsidR="00102068" w:rsidRPr="00F34CB2">
        <w:t>февраля 2012</w:t>
      </w:r>
      <w:r w:rsidR="004C298C">
        <w:t> года</w:t>
      </w:r>
      <w:r w:rsidR="00102068" w:rsidRPr="00F34CB2">
        <w:t xml:space="preserve"> и вступила в силу в отношении Исландии 1</w:t>
      </w:r>
      <w:r w:rsidR="004C298C">
        <w:t> июня</w:t>
      </w:r>
      <w:r w:rsidR="00102068" w:rsidRPr="00F34CB2">
        <w:t xml:space="preserve"> того же</w:t>
      </w:r>
      <w:r w:rsidR="004C298C">
        <w:t> года</w:t>
      </w:r>
      <w:r w:rsidR="00102068" w:rsidRPr="00F34CB2">
        <w:t xml:space="preserve">. </w:t>
      </w:r>
      <w:r w:rsidR="00102068">
        <w:t xml:space="preserve">С более подробной информацией можно ознакомиться в разделе настоящего доклада, посвященном </w:t>
      </w:r>
      <w:r w:rsidR="004C298C">
        <w:t>статье </w:t>
      </w:r>
      <w:r w:rsidR="00102068">
        <w:t xml:space="preserve">6. </w:t>
      </w:r>
    </w:p>
    <w:p w:rsidR="00102068" w:rsidRDefault="004E3C3F" w:rsidP="00102068">
      <w:pPr>
        <w:pStyle w:val="SingleTxtG"/>
      </w:pPr>
      <w:r>
        <w:tab/>
      </w:r>
      <w:r w:rsidR="00102068">
        <w:t xml:space="preserve">Информация о проституции и торговле людьми была получена у Национального комиссара, комиссаров полиции Рейкьявика и Судурнэса, социальных служб </w:t>
      </w:r>
      <w:r w:rsidR="00102068" w:rsidRPr="00F34CB2">
        <w:t>Акюрейри</w:t>
      </w:r>
      <w:r w:rsidR="00102068">
        <w:t>, Хабнарфьордюра, Коупавогюра, Рейкьянесбайра и Рейкьявика, Образовательно-консультационного центра для жертв сексуального насилия и Женского приюта.</w:t>
      </w:r>
    </w:p>
    <w:p w:rsidR="00102068" w:rsidRDefault="004E3C3F" w:rsidP="00102068">
      <w:pPr>
        <w:pStyle w:val="SingleTxtG"/>
      </w:pPr>
      <w:r>
        <w:tab/>
      </w:r>
      <w:r w:rsidR="00102068">
        <w:t xml:space="preserve">Как уже упоминалось выше, по исландскому законодательству проституция не является наказуемым деянием. Статья 206 Уголовного кодекса не ограничивается действиями, связанными с проституцией. Существует множество причин и мотивов, по </w:t>
      </w:r>
      <w:r w:rsidR="00102068" w:rsidRPr="00F34CB2">
        <w:t>которым</w:t>
      </w:r>
      <w:r w:rsidR="00102068">
        <w:t xml:space="preserve"> те или иные лица занимаются проституцией. Проституция может служить для молодежи способом получения финансовых средств, позволяющих им строить свою жизнь по собственному усмотрению. Распространенными проблемами лиц, занимающихся проституцией, являются совершенные в их отношении акты сексуального насилия, отсутствие родительского надзора в период воспитания и наркомания. Известно также, что</w:t>
      </w:r>
      <w:r>
        <w:t> женщин</w:t>
      </w:r>
      <w:r w:rsidR="00102068">
        <w:t>ы, живущие в условиях нищеты, торгуют собой, чтобы помочь себе и своим детям. Зачастую последствия проституции становятся очевидными лишь после курсов терапии, продолжающихся в течение многих месяцев.</w:t>
      </w:r>
    </w:p>
    <w:p w:rsidR="00102068" w:rsidRDefault="004E3C3F" w:rsidP="00102068">
      <w:pPr>
        <w:pStyle w:val="SingleTxtG"/>
      </w:pPr>
      <w:r>
        <w:tab/>
      </w:r>
      <w:r w:rsidR="00102068">
        <w:t xml:space="preserve">Оценить масштабы проституции в Исландии </w:t>
      </w:r>
      <w:r w:rsidR="00102068" w:rsidRPr="00F34CB2">
        <w:t>весьма</w:t>
      </w:r>
      <w:r w:rsidR="00102068">
        <w:t xml:space="preserve"> непросто. Как отмечается в отчетах Образовательно-консультационного центра для жертв сексуального насилия, границы между проституцией и торговлей людьми не всегда ясны. </w:t>
      </w:r>
    </w:p>
    <w:p w:rsidR="00102068" w:rsidRDefault="004E3C3F" w:rsidP="00102068">
      <w:pPr>
        <w:pStyle w:val="SingleTxtG"/>
      </w:pPr>
      <w:r>
        <w:tab/>
      </w:r>
      <w:r w:rsidR="00102068">
        <w:t xml:space="preserve">В настоящее время Министерство социального обеспечения ведет с Женским приютом переговоры о временном размещении жертв торговли людьми на период </w:t>
      </w:r>
      <w:r w:rsidR="00102068" w:rsidRPr="00F34CB2">
        <w:t>проведения</w:t>
      </w:r>
      <w:r w:rsidR="00102068">
        <w:t xml:space="preserve"> дальнейшей работы по решению данной проблемы.</w:t>
      </w:r>
    </w:p>
    <w:p w:rsidR="00102068" w:rsidRDefault="004E3C3F" w:rsidP="00102068">
      <w:pPr>
        <w:pStyle w:val="SingleTxtG"/>
      </w:pPr>
      <w:r>
        <w:tab/>
      </w:r>
      <w:r w:rsidR="00102068">
        <w:t xml:space="preserve">По данным Национального комиссара количество зарегистрированных нарушений </w:t>
      </w:r>
      <w:r w:rsidR="004C298C">
        <w:t>статьи </w:t>
      </w:r>
      <w:r w:rsidR="00102068">
        <w:t xml:space="preserve">206 Уголовного кодекса существенным образом возросло, о чем свидетельствует </w:t>
      </w:r>
      <w:r w:rsidR="00102068" w:rsidRPr="00F34CB2">
        <w:t>представленная</w:t>
      </w:r>
      <w:r w:rsidR="00102068">
        <w:t xml:space="preserve"> ниже таблица. В ней указано лишь количество дел, связанных с нарушением </w:t>
      </w:r>
      <w:r w:rsidR="004C298C">
        <w:t>статьи </w:t>
      </w:r>
      <w:r w:rsidR="00102068">
        <w:t>206, которые были изучены Национальным комиссаром. В связи с этим в представленные количественные показатели не включены данные о жертвах проституции.</w:t>
      </w:r>
    </w:p>
    <w:p w:rsidR="004E3C3F" w:rsidRPr="004E3C3F" w:rsidRDefault="004E3C3F" w:rsidP="004E3C3F">
      <w:pPr>
        <w:pStyle w:val="SingleTxtG"/>
        <w:spacing w:after="0" w:line="120" w:lineRule="exact"/>
        <w:rPr>
          <w:sz w:val="10"/>
        </w:rPr>
      </w:pPr>
    </w:p>
    <w:p w:rsidR="00102068" w:rsidRPr="00F34CB2" w:rsidRDefault="00102068" w:rsidP="00102068">
      <w:pPr>
        <w:pStyle w:val="SingleTxtG"/>
        <w:rPr>
          <w:b/>
        </w:rPr>
      </w:pPr>
      <w:r w:rsidRPr="00F34CB2">
        <w:rPr>
          <w:b/>
        </w:rPr>
        <w:t xml:space="preserve">Зарегистрированные нарушения </w:t>
      </w:r>
      <w:r w:rsidR="004C298C">
        <w:rPr>
          <w:b/>
        </w:rPr>
        <w:t>статьи </w:t>
      </w:r>
      <w:r w:rsidRPr="00F34CB2">
        <w:rPr>
          <w:b/>
        </w:rPr>
        <w:t>206 Уголовного кодекса</w:t>
      </w:r>
    </w:p>
    <w:tbl>
      <w:tblPr>
        <w:tblW w:w="0" w:type="auto"/>
        <w:tblInd w:w="1304" w:type="dxa"/>
        <w:tblLayout w:type="fixed"/>
        <w:tblCellMar>
          <w:left w:w="0" w:type="dxa"/>
          <w:right w:w="0" w:type="dxa"/>
        </w:tblCellMar>
        <w:tblLook w:val="0000" w:firstRow="0" w:lastRow="0" w:firstColumn="0" w:lastColumn="0" w:noHBand="0" w:noVBand="0"/>
      </w:tblPr>
      <w:tblGrid>
        <w:gridCol w:w="2536"/>
        <w:gridCol w:w="1263"/>
        <w:gridCol w:w="1134"/>
        <w:gridCol w:w="993"/>
        <w:gridCol w:w="1417"/>
      </w:tblGrid>
      <w:tr w:rsidR="00102068" w:rsidTr="006505E8">
        <w:trPr>
          <w:trHeight w:val="240"/>
          <w:tblHeader/>
        </w:trPr>
        <w:tc>
          <w:tcPr>
            <w:tcW w:w="2536" w:type="dxa"/>
            <w:tcBorders>
              <w:top w:val="single" w:sz="4" w:space="0" w:color="000000"/>
              <w:bottom w:val="single" w:sz="12" w:space="0" w:color="000000"/>
            </w:tcBorders>
            <w:shd w:val="clear" w:color="auto" w:fill="auto"/>
            <w:vAlign w:val="bottom"/>
          </w:tcPr>
          <w:p w:rsidR="00102068" w:rsidRPr="00F34CB2" w:rsidRDefault="00102068" w:rsidP="006505E8">
            <w:pPr>
              <w:spacing w:before="80" w:after="80" w:line="240" w:lineRule="auto"/>
              <w:rPr>
                <w:bCs/>
                <w:i/>
                <w:spacing w:val="0"/>
                <w:w w:val="100"/>
                <w:sz w:val="14"/>
                <w:szCs w:val="14"/>
                <w:lang w:eastAsia="is-IS"/>
              </w:rPr>
            </w:pPr>
            <w:r w:rsidRPr="00F34CB2">
              <w:rPr>
                <w:bCs/>
                <w:i/>
                <w:spacing w:val="0"/>
                <w:w w:val="100"/>
                <w:sz w:val="14"/>
                <w:szCs w:val="14"/>
                <w:lang w:eastAsia="is-IS"/>
              </w:rPr>
              <w:t>Год</w:t>
            </w:r>
          </w:p>
        </w:tc>
        <w:tc>
          <w:tcPr>
            <w:tcW w:w="1263" w:type="dxa"/>
            <w:tcBorders>
              <w:top w:val="single" w:sz="4" w:space="0" w:color="000000"/>
              <w:bottom w:val="single" w:sz="12" w:space="0" w:color="000000"/>
            </w:tcBorders>
            <w:shd w:val="clear" w:color="auto" w:fill="auto"/>
            <w:vAlign w:val="bottom"/>
          </w:tcPr>
          <w:p w:rsidR="00102068" w:rsidRPr="00F34CB2" w:rsidRDefault="00102068" w:rsidP="006505E8">
            <w:pPr>
              <w:spacing w:before="80" w:after="80" w:line="240" w:lineRule="auto"/>
              <w:ind w:left="113"/>
              <w:jc w:val="right"/>
              <w:rPr>
                <w:bCs/>
                <w:i/>
                <w:spacing w:val="0"/>
                <w:w w:val="100"/>
                <w:sz w:val="14"/>
                <w:szCs w:val="14"/>
                <w:lang w:eastAsia="is-IS"/>
              </w:rPr>
            </w:pPr>
            <w:r w:rsidRPr="00F34CB2">
              <w:rPr>
                <w:bCs/>
                <w:i/>
                <w:spacing w:val="0"/>
                <w:w w:val="100"/>
                <w:sz w:val="14"/>
                <w:szCs w:val="14"/>
                <w:lang w:eastAsia="is-IS"/>
              </w:rPr>
              <w:t>2010</w:t>
            </w:r>
          </w:p>
        </w:tc>
        <w:tc>
          <w:tcPr>
            <w:tcW w:w="1134" w:type="dxa"/>
            <w:tcBorders>
              <w:top w:val="single" w:sz="4" w:space="0" w:color="000000"/>
              <w:bottom w:val="single" w:sz="12" w:space="0" w:color="000000"/>
            </w:tcBorders>
            <w:shd w:val="clear" w:color="auto" w:fill="auto"/>
            <w:vAlign w:val="bottom"/>
          </w:tcPr>
          <w:p w:rsidR="00102068" w:rsidRPr="00F34CB2" w:rsidRDefault="00102068" w:rsidP="006505E8">
            <w:pPr>
              <w:spacing w:before="80" w:after="80" w:line="240" w:lineRule="auto"/>
              <w:ind w:left="113"/>
              <w:jc w:val="right"/>
              <w:rPr>
                <w:bCs/>
                <w:i/>
                <w:spacing w:val="0"/>
                <w:w w:val="100"/>
                <w:sz w:val="14"/>
                <w:szCs w:val="14"/>
                <w:lang w:eastAsia="is-IS"/>
              </w:rPr>
            </w:pPr>
            <w:r w:rsidRPr="00F34CB2">
              <w:rPr>
                <w:bCs/>
                <w:i/>
                <w:spacing w:val="0"/>
                <w:w w:val="100"/>
                <w:sz w:val="14"/>
                <w:szCs w:val="14"/>
                <w:lang w:eastAsia="is-IS"/>
              </w:rPr>
              <w:t>2011</w:t>
            </w:r>
          </w:p>
        </w:tc>
        <w:tc>
          <w:tcPr>
            <w:tcW w:w="993" w:type="dxa"/>
            <w:tcBorders>
              <w:top w:val="single" w:sz="4" w:space="0" w:color="000000"/>
              <w:bottom w:val="single" w:sz="12" w:space="0" w:color="000000"/>
            </w:tcBorders>
            <w:shd w:val="clear" w:color="auto" w:fill="auto"/>
            <w:vAlign w:val="bottom"/>
          </w:tcPr>
          <w:p w:rsidR="00102068" w:rsidRPr="00F34CB2" w:rsidRDefault="00102068" w:rsidP="006505E8">
            <w:pPr>
              <w:spacing w:before="80" w:after="80" w:line="240" w:lineRule="auto"/>
              <w:ind w:left="113"/>
              <w:jc w:val="right"/>
              <w:rPr>
                <w:bCs/>
                <w:i/>
                <w:spacing w:val="0"/>
                <w:w w:val="100"/>
                <w:sz w:val="14"/>
                <w:szCs w:val="14"/>
                <w:lang w:eastAsia="is-IS"/>
              </w:rPr>
            </w:pPr>
            <w:r w:rsidRPr="00F34CB2">
              <w:rPr>
                <w:bCs/>
                <w:i/>
                <w:spacing w:val="0"/>
                <w:w w:val="100"/>
                <w:sz w:val="14"/>
                <w:szCs w:val="14"/>
                <w:lang w:eastAsia="is-IS"/>
              </w:rPr>
              <w:t>2012</w:t>
            </w:r>
          </w:p>
        </w:tc>
        <w:tc>
          <w:tcPr>
            <w:tcW w:w="1417" w:type="dxa"/>
            <w:tcBorders>
              <w:top w:val="single" w:sz="4" w:space="0" w:color="000000"/>
              <w:bottom w:val="single" w:sz="12" w:space="0" w:color="000000"/>
            </w:tcBorders>
            <w:shd w:val="clear" w:color="auto" w:fill="auto"/>
            <w:vAlign w:val="bottom"/>
          </w:tcPr>
          <w:p w:rsidR="00102068" w:rsidRPr="00F34CB2" w:rsidRDefault="00102068" w:rsidP="006505E8">
            <w:pPr>
              <w:spacing w:before="80" w:after="80" w:line="240" w:lineRule="auto"/>
              <w:ind w:left="113"/>
              <w:jc w:val="right"/>
              <w:rPr>
                <w:spacing w:val="0"/>
                <w:w w:val="100"/>
                <w:sz w:val="14"/>
                <w:szCs w:val="14"/>
              </w:rPr>
            </w:pPr>
            <w:r w:rsidRPr="00F34CB2">
              <w:rPr>
                <w:bCs/>
                <w:i/>
                <w:spacing w:val="0"/>
                <w:w w:val="100"/>
                <w:sz w:val="14"/>
                <w:szCs w:val="14"/>
                <w:lang w:eastAsia="is-IS"/>
              </w:rPr>
              <w:t>2013</w:t>
            </w:r>
          </w:p>
        </w:tc>
      </w:tr>
      <w:tr w:rsidR="00102068" w:rsidTr="006505E8">
        <w:trPr>
          <w:trHeight w:val="240"/>
        </w:trPr>
        <w:tc>
          <w:tcPr>
            <w:tcW w:w="2536" w:type="dxa"/>
            <w:tcBorders>
              <w:top w:val="single" w:sz="12" w:space="0" w:color="000000"/>
              <w:bottom w:val="single" w:sz="12" w:space="0" w:color="000000"/>
            </w:tcBorders>
            <w:shd w:val="clear" w:color="auto" w:fill="auto"/>
          </w:tcPr>
          <w:p w:rsidR="00102068" w:rsidRPr="00F34CB2" w:rsidRDefault="00102068" w:rsidP="006505E8">
            <w:pPr>
              <w:spacing w:before="120" w:after="40" w:line="240" w:lineRule="auto"/>
              <w:rPr>
                <w:spacing w:val="0"/>
                <w:w w:val="100"/>
                <w:sz w:val="17"/>
                <w:szCs w:val="17"/>
                <w:lang w:eastAsia="is-IS"/>
              </w:rPr>
            </w:pPr>
            <w:r w:rsidRPr="00F34CB2">
              <w:rPr>
                <w:spacing w:val="0"/>
                <w:w w:val="100"/>
                <w:sz w:val="17"/>
                <w:szCs w:val="17"/>
                <w:lang w:eastAsia="is-IS"/>
              </w:rPr>
              <w:t>Количество нарушений</w:t>
            </w:r>
          </w:p>
        </w:tc>
        <w:tc>
          <w:tcPr>
            <w:tcW w:w="1263" w:type="dxa"/>
            <w:tcBorders>
              <w:top w:val="single" w:sz="12" w:space="0" w:color="000000"/>
              <w:bottom w:val="single" w:sz="12" w:space="0" w:color="000000"/>
            </w:tcBorders>
            <w:shd w:val="clear" w:color="auto" w:fill="auto"/>
            <w:vAlign w:val="bottom"/>
          </w:tcPr>
          <w:p w:rsidR="00102068" w:rsidRPr="00F34CB2" w:rsidRDefault="00102068" w:rsidP="006505E8">
            <w:pPr>
              <w:spacing w:before="120" w:after="40" w:line="240" w:lineRule="auto"/>
              <w:ind w:left="113"/>
              <w:jc w:val="right"/>
              <w:rPr>
                <w:spacing w:val="0"/>
                <w:w w:val="100"/>
                <w:sz w:val="17"/>
                <w:szCs w:val="17"/>
                <w:lang w:eastAsia="is-IS"/>
              </w:rPr>
            </w:pPr>
            <w:r w:rsidRPr="00F34CB2">
              <w:rPr>
                <w:spacing w:val="0"/>
                <w:w w:val="100"/>
                <w:sz w:val="17"/>
                <w:szCs w:val="17"/>
                <w:lang w:eastAsia="is-IS"/>
              </w:rPr>
              <w:t>37</w:t>
            </w:r>
          </w:p>
        </w:tc>
        <w:tc>
          <w:tcPr>
            <w:tcW w:w="1134" w:type="dxa"/>
            <w:tcBorders>
              <w:top w:val="single" w:sz="12" w:space="0" w:color="000000"/>
              <w:bottom w:val="single" w:sz="12" w:space="0" w:color="000000"/>
            </w:tcBorders>
            <w:shd w:val="clear" w:color="auto" w:fill="auto"/>
            <w:vAlign w:val="bottom"/>
          </w:tcPr>
          <w:p w:rsidR="00102068" w:rsidRPr="00F34CB2" w:rsidRDefault="00102068" w:rsidP="006505E8">
            <w:pPr>
              <w:spacing w:before="120" w:after="40" w:line="240" w:lineRule="auto"/>
              <w:ind w:left="113"/>
              <w:jc w:val="right"/>
              <w:rPr>
                <w:spacing w:val="0"/>
                <w:w w:val="100"/>
                <w:sz w:val="17"/>
                <w:szCs w:val="17"/>
                <w:lang w:eastAsia="is-IS"/>
              </w:rPr>
            </w:pPr>
            <w:r w:rsidRPr="00F34CB2">
              <w:rPr>
                <w:spacing w:val="0"/>
                <w:w w:val="100"/>
                <w:sz w:val="17"/>
                <w:szCs w:val="17"/>
                <w:lang w:eastAsia="is-IS"/>
              </w:rPr>
              <w:t>13</w:t>
            </w:r>
          </w:p>
        </w:tc>
        <w:tc>
          <w:tcPr>
            <w:tcW w:w="993" w:type="dxa"/>
            <w:tcBorders>
              <w:top w:val="single" w:sz="12" w:space="0" w:color="000000"/>
              <w:bottom w:val="single" w:sz="12" w:space="0" w:color="000000"/>
            </w:tcBorders>
            <w:shd w:val="clear" w:color="auto" w:fill="auto"/>
            <w:vAlign w:val="bottom"/>
          </w:tcPr>
          <w:p w:rsidR="00102068" w:rsidRPr="00F34CB2" w:rsidRDefault="00102068" w:rsidP="006505E8">
            <w:pPr>
              <w:spacing w:before="120" w:after="40" w:line="240" w:lineRule="auto"/>
              <w:ind w:left="113"/>
              <w:jc w:val="right"/>
              <w:rPr>
                <w:spacing w:val="0"/>
                <w:w w:val="100"/>
                <w:sz w:val="17"/>
                <w:szCs w:val="17"/>
                <w:lang w:eastAsia="is-IS"/>
              </w:rPr>
            </w:pPr>
            <w:r w:rsidRPr="00F34CB2">
              <w:rPr>
                <w:spacing w:val="0"/>
                <w:w w:val="100"/>
                <w:sz w:val="17"/>
                <w:szCs w:val="17"/>
                <w:lang w:eastAsia="is-IS"/>
              </w:rPr>
              <w:t>24</w:t>
            </w:r>
          </w:p>
        </w:tc>
        <w:tc>
          <w:tcPr>
            <w:tcW w:w="1417" w:type="dxa"/>
            <w:tcBorders>
              <w:top w:val="single" w:sz="12" w:space="0" w:color="000000"/>
              <w:bottom w:val="single" w:sz="12" w:space="0" w:color="000000"/>
            </w:tcBorders>
            <w:shd w:val="clear" w:color="auto" w:fill="auto"/>
            <w:vAlign w:val="bottom"/>
          </w:tcPr>
          <w:p w:rsidR="00102068" w:rsidRPr="00F34CB2" w:rsidRDefault="00102068" w:rsidP="006505E8">
            <w:pPr>
              <w:spacing w:before="120" w:after="40" w:line="240" w:lineRule="auto"/>
              <w:ind w:left="113"/>
              <w:jc w:val="right"/>
              <w:rPr>
                <w:spacing w:val="0"/>
                <w:w w:val="100"/>
                <w:sz w:val="17"/>
                <w:szCs w:val="17"/>
              </w:rPr>
            </w:pPr>
            <w:r w:rsidRPr="00F34CB2">
              <w:rPr>
                <w:spacing w:val="0"/>
                <w:w w:val="100"/>
                <w:sz w:val="17"/>
                <w:szCs w:val="17"/>
                <w:lang w:eastAsia="is-IS"/>
              </w:rPr>
              <w:t>175*</w:t>
            </w:r>
          </w:p>
        </w:tc>
      </w:tr>
    </w:tbl>
    <w:p w:rsidR="004E3C3F" w:rsidRPr="004E3C3F" w:rsidRDefault="004E3C3F" w:rsidP="004E3C3F">
      <w:pPr>
        <w:pStyle w:val="SingleTxtG"/>
        <w:spacing w:after="0" w:line="120" w:lineRule="exact"/>
        <w:rPr>
          <w:sz w:val="10"/>
          <w:szCs w:val="18"/>
        </w:rPr>
      </w:pPr>
    </w:p>
    <w:p w:rsidR="00102068" w:rsidRDefault="004E3C3F" w:rsidP="004E3C3F">
      <w:pPr>
        <w:pStyle w:val="FootnoteText"/>
        <w:tabs>
          <w:tab w:val="right" w:pos="1476"/>
          <w:tab w:val="left" w:pos="1548"/>
          <w:tab w:val="right" w:pos="1836"/>
          <w:tab w:val="left" w:pos="1908"/>
        </w:tabs>
        <w:ind w:left="1548" w:hanging="288"/>
      </w:pPr>
      <w:r>
        <w:tab/>
      </w:r>
      <w:r w:rsidR="00102068" w:rsidRPr="004E3C3F">
        <w:rPr>
          <w:vertAlign w:val="superscript"/>
        </w:rPr>
        <w:t>*</w:t>
      </w:r>
      <w:r>
        <w:tab/>
      </w:r>
      <w:r w:rsidR="00102068" w:rsidRPr="00F34CB2">
        <w:t>Предварительный показатель.</w:t>
      </w:r>
      <w:r>
        <w:t>)</w:t>
      </w:r>
    </w:p>
    <w:p w:rsidR="004E3C3F" w:rsidRPr="004E3C3F" w:rsidRDefault="004E3C3F" w:rsidP="004E3C3F">
      <w:pPr>
        <w:pStyle w:val="SingleTxtG"/>
        <w:spacing w:after="0" w:line="120" w:lineRule="exact"/>
        <w:rPr>
          <w:sz w:val="10"/>
          <w:szCs w:val="18"/>
        </w:rPr>
      </w:pPr>
    </w:p>
    <w:p w:rsidR="00102068" w:rsidRDefault="004E3C3F" w:rsidP="00102068">
      <w:pPr>
        <w:pStyle w:val="SingleTxtG"/>
      </w:pPr>
      <w:r>
        <w:tab/>
      </w:r>
      <w:r w:rsidR="00102068">
        <w:t xml:space="preserve">Каждое дело может быть связано с различными нарушениями, совершенными одним или несколькими лицами. В таблицу </w:t>
      </w:r>
      <w:r w:rsidR="00102068" w:rsidRPr="00F34CB2">
        <w:t>включены</w:t>
      </w:r>
      <w:r w:rsidR="00102068">
        <w:t xml:space="preserve"> все зарегистрированные нарушения за указанный временной период.</w:t>
      </w:r>
    </w:p>
    <w:p w:rsidR="00102068" w:rsidRDefault="004E3C3F" w:rsidP="00102068">
      <w:pPr>
        <w:pStyle w:val="SingleTxtG"/>
      </w:pPr>
      <w:r>
        <w:tab/>
      </w:r>
      <w:r w:rsidR="00102068">
        <w:t>Комиссар полиции Рейкьявика рассмотрел дела 30</w:t>
      </w:r>
      <w:r w:rsidR="004C298C">
        <w:t> человек</w:t>
      </w:r>
      <w:r w:rsidR="00102068">
        <w:t>, которые были отнесены к категории жертв проституции в период с 2011 по 2014 год.</w:t>
      </w:r>
    </w:p>
    <w:tbl>
      <w:tblPr>
        <w:tblW w:w="0" w:type="auto"/>
        <w:jc w:val="center"/>
        <w:tblLayout w:type="fixed"/>
        <w:tblCellMar>
          <w:left w:w="0" w:type="dxa"/>
          <w:right w:w="0" w:type="dxa"/>
        </w:tblCellMar>
        <w:tblLook w:val="0000" w:firstRow="0" w:lastRow="0" w:firstColumn="0" w:lastColumn="0" w:noHBand="0" w:noVBand="0"/>
      </w:tblPr>
      <w:tblGrid>
        <w:gridCol w:w="1940"/>
        <w:gridCol w:w="780"/>
        <w:gridCol w:w="1650"/>
        <w:gridCol w:w="1580"/>
        <w:gridCol w:w="1190"/>
        <w:gridCol w:w="1310"/>
        <w:gridCol w:w="1190"/>
      </w:tblGrid>
      <w:tr w:rsidR="00102068" w:rsidTr="006505E8">
        <w:trPr>
          <w:tblHeader/>
          <w:jc w:val="center"/>
        </w:trPr>
        <w:tc>
          <w:tcPr>
            <w:tcW w:w="194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rPr>
                <w:spacing w:val="0"/>
                <w:w w:val="100"/>
                <w:sz w:val="14"/>
                <w:szCs w:val="14"/>
              </w:rPr>
            </w:pPr>
          </w:p>
        </w:tc>
        <w:tc>
          <w:tcPr>
            <w:tcW w:w="78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i/>
                <w:iCs/>
                <w:spacing w:val="0"/>
                <w:w w:val="100"/>
                <w:sz w:val="14"/>
                <w:szCs w:val="14"/>
              </w:rPr>
            </w:pPr>
            <w:r w:rsidRPr="003A22A4">
              <w:rPr>
                <w:i/>
                <w:iCs/>
                <w:spacing w:val="0"/>
                <w:w w:val="100"/>
                <w:sz w:val="14"/>
                <w:szCs w:val="14"/>
              </w:rPr>
              <w:t>Всего</w:t>
            </w:r>
          </w:p>
        </w:tc>
        <w:tc>
          <w:tcPr>
            <w:tcW w:w="165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i/>
                <w:iCs/>
                <w:spacing w:val="0"/>
                <w:w w:val="100"/>
                <w:sz w:val="14"/>
                <w:szCs w:val="14"/>
              </w:rPr>
            </w:pPr>
            <w:r w:rsidRPr="003A22A4">
              <w:rPr>
                <w:i/>
                <w:iCs/>
                <w:spacing w:val="0"/>
                <w:w w:val="100"/>
                <w:sz w:val="14"/>
                <w:szCs w:val="14"/>
              </w:rPr>
              <w:t>Граждане</w:t>
            </w:r>
            <w:r w:rsidRPr="003A22A4">
              <w:rPr>
                <w:i/>
                <w:iCs/>
                <w:spacing w:val="0"/>
                <w:w w:val="100"/>
                <w:sz w:val="14"/>
                <w:szCs w:val="14"/>
              </w:rPr>
              <w:br/>
              <w:t xml:space="preserve"> Исландии</w:t>
            </w:r>
          </w:p>
        </w:tc>
        <w:tc>
          <w:tcPr>
            <w:tcW w:w="158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i/>
                <w:iCs/>
                <w:spacing w:val="0"/>
                <w:w w:val="100"/>
                <w:sz w:val="14"/>
                <w:szCs w:val="14"/>
              </w:rPr>
            </w:pPr>
            <w:r w:rsidRPr="003A22A4">
              <w:rPr>
                <w:i/>
                <w:iCs/>
                <w:spacing w:val="0"/>
                <w:w w:val="100"/>
                <w:sz w:val="14"/>
                <w:szCs w:val="14"/>
              </w:rPr>
              <w:t>Иностранные граждане</w:t>
            </w:r>
          </w:p>
        </w:tc>
        <w:tc>
          <w:tcPr>
            <w:tcW w:w="119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i/>
                <w:iCs/>
                <w:spacing w:val="0"/>
                <w:w w:val="100"/>
                <w:sz w:val="14"/>
                <w:szCs w:val="14"/>
              </w:rPr>
            </w:pPr>
            <w:r w:rsidRPr="003A22A4">
              <w:rPr>
                <w:i/>
                <w:iCs/>
                <w:spacing w:val="0"/>
                <w:w w:val="100"/>
                <w:sz w:val="14"/>
                <w:szCs w:val="14"/>
              </w:rPr>
              <w:t>&lt;20 лет</w:t>
            </w:r>
          </w:p>
        </w:tc>
        <w:tc>
          <w:tcPr>
            <w:tcW w:w="131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i/>
                <w:iCs/>
                <w:spacing w:val="0"/>
                <w:w w:val="100"/>
                <w:sz w:val="14"/>
                <w:szCs w:val="14"/>
              </w:rPr>
            </w:pPr>
            <w:r w:rsidRPr="003A22A4">
              <w:rPr>
                <w:i/>
                <w:iCs/>
                <w:spacing w:val="0"/>
                <w:w w:val="100"/>
                <w:sz w:val="14"/>
                <w:szCs w:val="14"/>
              </w:rPr>
              <w:t>21–30 лет</w:t>
            </w:r>
          </w:p>
        </w:tc>
        <w:tc>
          <w:tcPr>
            <w:tcW w:w="1190" w:type="dxa"/>
            <w:tcBorders>
              <w:top w:val="single" w:sz="4" w:space="0" w:color="000000"/>
              <w:bottom w:val="single" w:sz="12" w:space="0" w:color="000000"/>
            </w:tcBorders>
            <w:shd w:val="clear" w:color="auto" w:fill="auto"/>
            <w:vAlign w:val="bottom"/>
          </w:tcPr>
          <w:p w:rsidR="00102068" w:rsidRPr="003A22A4" w:rsidRDefault="00102068" w:rsidP="006505E8">
            <w:pPr>
              <w:spacing w:before="40" w:after="40" w:line="240" w:lineRule="auto"/>
              <w:jc w:val="right"/>
              <w:rPr>
                <w:spacing w:val="0"/>
                <w:w w:val="100"/>
                <w:sz w:val="14"/>
                <w:szCs w:val="14"/>
              </w:rPr>
            </w:pPr>
            <w:r w:rsidRPr="003A22A4">
              <w:rPr>
                <w:i/>
                <w:iCs/>
                <w:spacing w:val="0"/>
                <w:w w:val="100"/>
                <w:sz w:val="14"/>
                <w:szCs w:val="14"/>
              </w:rPr>
              <w:t>&gt;30 лет</w:t>
            </w:r>
          </w:p>
        </w:tc>
      </w:tr>
      <w:tr w:rsidR="00102068" w:rsidTr="006505E8">
        <w:trPr>
          <w:trHeight w:hRule="exact" w:val="115"/>
          <w:tblHeader/>
          <w:jc w:val="center"/>
        </w:trPr>
        <w:tc>
          <w:tcPr>
            <w:tcW w:w="194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rPr>
                <w:i/>
                <w:spacing w:val="0"/>
                <w:w w:val="100"/>
                <w:sz w:val="17"/>
                <w:szCs w:val="17"/>
              </w:rPr>
            </w:pPr>
          </w:p>
        </w:tc>
        <w:tc>
          <w:tcPr>
            <w:tcW w:w="78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c>
          <w:tcPr>
            <w:tcW w:w="165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c>
          <w:tcPr>
            <w:tcW w:w="158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c>
          <w:tcPr>
            <w:tcW w:w="119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c>
          <w:tcPr>
            <w:tcW w:w="131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c>
          <w:tcPr>
            <w:tcW w:w="1190" w:type="dxa"/>
            <w:tcBorders>
              <w:top w:val="single" w:sz="12" w:space="0" w:color="000000"/>
            </w:tcBorders>
            <w:shd w:val="clear" w:color="auto" w:fill="auto"/>
            <w:vAlign w:val="bottom"/>
          </w:tcPr>
          <w:p w:rsidR="00102068" w:rsidRPr="00F34CB2" w:rsidRDefault="00102068" w:rsidP="006505E8">
            <w:pPr>
              <w:snapToGrid w:val="0"/>
              <w:spacing w:before="40" w:after="40" w:line="240" w:lineRule="auto"/>
              <w:jc w:val="right"/>
              <w:rPr>
                <w:spacing w:val="0"/>
                <w:w w:val="100"/>
                <w:sz w:val="17"/>
                <w:szCs w:val="17"/>
              </w:rPr>
            </w:pPr>
          </w:p>
        </w:tc>
      </w:tr>
      <w:tr w:rsidR="00102068" w:rsidTr="006505E8">
        <w:trPr>
          <w:jc w:val="center"/>
        </w:trPr>
        <w:tc>
          <w:tcPr>
            <w:tcW w:w="194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rPr>
                <w:spacing w:val="0"/>
                <w:w w:val="100"/>
                <w:sz w:val="17"/>
                <w:szCs w:val="17"/>
              </w:rPr>
            </w:pPr>
            <w:r w:rsidRPr="00F34CB2">
              <w:rPr>
                <w:spacing w:val="0"/>
                <w:w w:val="100"/>
                <w:sz w:val="17"/>
                <w:szCs w:val="17"/>
              </w:rPr>
              <w:t>Женщины</w:t>
            </w:r>
          </w:p>
        </w:tc>
        <w:tc>
          <w:tcPr>
            <w:tcW w:w="78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23</w:t>
            </w:r>
          </w:p>
        </w:tc>
        <w:tc>
          <w:tcPr>
            <w:tcW w:w="165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11</w:t>
            </w:r>
          </w:p>
        </w:tc>
        <w:tc>
          <w:tcPr>
            <w:tcW w:w="158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12</w:t>
            </w:r>
          </w:p>
        </w:tc>
        <w:tc>
          <w:tcPr>
            <w:tcW w:w="119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4</w:t>
            </w:r>
          </w:p>
        </w:tc>
        <w:tc>
          <w:tcPr>
            <w:tcW w:w="131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7</w:t>
            </w:r>
          </w:p>
        </w:tc>
        <w:tc>
          <w:tcPr>
            <w:tcW w:w="1190" w:type="dxa"/>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10</w:t>
            </w:r>
          </w:p>
        </w:tc>
      </w:tr>
      <w:tr w:rsidR="00102068" w:rsidTr="006505E8">
        <w:trPr>
          <w:jc w:val="center"/>
        </w:trPr>
        <w:tc>
          <w:tcPr>
            <w:tcW w:w="194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rPr>
                <w:spacing w:val="0"/>
                <w:w w:val="100"/>
                <w:sz w:val="17"/>
                <w:szCs w:val="17"/>
              </w:rPr>
            </w:pPr>
            <w:r w:rsidRPr="00F34CB2">
              <w:rPr>
                <w:spacing w:val="0"/>
                <w:w w:val="100"/>
                <w:sz w:val="17"/>
                <w:szCs w:val="17"/>
              </w:rPr>
              <w:t>Мужчины</w:t>
            </w:r>
          </w:p>
        </w:tc>
        <w:tc>
          <w:tcPr>
            <w:tcW w:w="78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7</w:t>
            </w:r>
          </w:p>
        </w:tc>
        <w:tc>
          <w:tcPr>
            <w:tcW w:w="165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7</w:t>
            </w:r>
          </w:p>
        </w:tc>
        <w:tc>
          <w:tcPr>
            <w:tcW w:w="158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0</w:t>
            </w:r>
          </w:p>
        </w:tc>
        <w:tc>
          <w:tcPr>
            <w:tcW w:w="119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3</w:t>
            </w:r>
          </w:p>
        </w:tc>
        <w:tc>
          <w:tcPr>
            <w:tcW w:w="131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2</w:t>
            </w:r>
          </w:p>
        </w:tc>
        <w:tc>
          <w:tcPr>
            <w:tcW w:w="1190" w:type="dxa"/>
            <w:tcBorders>
              <w:bottom w:val="single" w:sz="12" w:space="0" w:color="000000"/>
            </w:tcBorders>
            <w:shd w:val="clear" w:color="auto" w:fill="auto"/>
            <w:vAlign w:val="bottom"/>
          </w:tcPr>
          <w:p w:rsidR="00102068" w:rsidRPr="00F34CB2" w:rsidRDefault="00102068" w:rsidP="006505E8">
            <w:pPr>
              <w:tabs>
                <w:tab w:val="left" w:pos="288"/>
                <w:tab w:val="left" w:pos="576"/>
                <w:tab w:val="left" w:pos="864"/>
                <w:tab w:val="left" w:pos="1152"/>
              </w:tabs>
              <w:spacing w:before="40" w:after="40" w:line="240" w:lineRule="auto"/>
              <w:jc w:val="right"/>
              <w:rPr>
                <w:spacing w:val="0"/>
                <w:w w:val="100"/>
                <w:sz w:val="17"/>
                <w:szCs w:val="17"/>
              </w:rPr>
            </w:pPr>
            <w:r w:rsidRPr="00F34CB2">
              <w:rPr>
                <w:spacing w:val="0"/>
                <w:w w:val="100"/>
                <w:sz w:val="17"/>
                <w:szCs w:val="17"/>
              </w:rPr>
              <w:t>2</w:t>
            </w:r>
          </w:p>
        </w:tc>
      </w:tr>
    </w:tbl>
    <w:p w:rsidR="004E3C3F" w:rsidRPr="004E3C3F" w:rsidRDefault="004E3C3F" w:rsidP="004E3C3F">
      <w:pPr>
        <w:pStyle w:val="SingleTxtG"/>
        <w:spacing w:after="0" w:line="120" w:lineRule="exact"/>
        <w:rPr>
          <w:sz w:val="10"/>
        </w:rPr>
      </w:pPr>
    </w:p>
    <w:p w:rsidR="00102068" w:rsidRDefault="004E3C3F" w:rsidP="00102068">
      <w:pPr>
        <w:pStyle w:val="SingleTxtG"/>
        <w:spacing w:before="120"/>
      </w:pPr>
      <w:r>
        <w:tab/>
      </w:r>
      <w:r w:rsidR="00102068">
        <w:t>В сентябре 2011</w:t>
      </w:r>
      <w:r w:rsidR="004C298C">
        <w:t> года</w:t>
      </w:r>
      <w:r w:rsidR="00102068">
        <w:t xml:space="preserve"> открылся центр приема </w:t>
      </w:r>
      <w:r w:rsidR="004C298C">
        <w:rPr>
          <w:i/>
          <w:iCs/>
        </w:rPr>
        <w:t>«</w:t>
      </w:r>
      <w:r w:rsidR="00102068">
        <w:rPr>
          <w:i/>
        </w:rPr>
        <w:t>Kristínarhús</w:t>
      </w:r>
      <w:r w:rsidR="004C298C">
        <w:t>»</w:t>
      </w:r>
      <w:r w:rsidR="00102068">
        <w:t xml:space="preserve">. Инициативу по открытию этого центра, </w:t>
      </w:r>
      <w:r w:rsidR="00102068" w:rsidRPr="00F34CB2">
        <w:t>предназначенного</w:t>
      </w:r>
      <w:r w:rsidR="00102068">
        <w:t xml:space="preserve"> специально для</w:t>
      </w:r>
      <w:r>
        <w:t> женщин</w:t>
      </w:r>
      <w:r w:rsidR="00102068">
        <w:t>, которые прежде занимались проституцией или были затронуты проблемой торговли людьми, взял на себя Образовательно-консультационный центр для жертв сексуального насилия. Необходимые средства на обеспечение деятельности центра предоставило государство; дополнительное финансирование было получено посредством проведения кампании по сбору средств. Кроме того, центру приема была оказана помощь в размещении лиц, приезжающих в Рейкьявик на собеседование в Образовательно-консультационном центре, наряду с выполнением его главной задачи. Центр приема располагает возможностями для размещения в отдельных комнатах 4-5</w:t>
      </w:r>
      <w:r>
        <w:t> женщин</w:t>
      </w:r>
      <w:r w:rsidR="00102068">
        <w:t xml:space="preserve">. </w:t>
      </w:r>
    </w:p>
    <w:p w:rsidR="00102068" w:rsidRDefault="004E3C3F" w:rsidP="00102068">
      <w:pPr>
        <w:pStyle w:val="SingleTxtG"/>
      </w:pPr>
      <w:r>
        <w:tab/>
      </w:r>
      <w:r w:rsidR="00102068" w:rsidRPr="00F34CB2">
        <w:t>Со</w:t>
      </w:r>
      <w:r w:rsidR="00102068">
        <w:t xml:space="preserve"> времени создания центра приема и до его закрытия в нем находились 27</w:t>
      </w:r>
      <w:r>
        <w:t> женщин</w:t>
      </w:r>
      <w:r w:rsidR="00102068">
        <w:t>: 15 иностранок и 12 гражданок Исландии. 13 из проживавших в нем</w:t>
      </w:r>
      <w:r>
        <w:t> женщин</w:t>
      </w:r>
      <w:r w:rsidR="00102068">
        <w:t xml:space="preserve"> страдали психическими расстройствами; 15 лечились от наркомании. В 2011</w:t>
      </w:r>
      <w:r w:rsidR="004C298C">
        <w:t> году</w:t>
      </w:r>
      <w:r w:rsidR="00102068">
        <w:t xml:space="preserve"> в центре проживали 5</w:t>
      </w:r>
      <w:r>
        <w:t> женщин</w:t>
      </w:r>
      <w:r w:rsidR="00102068">
        <w:t>, находившихся в нем 127 дней со времени его открытия в сентябре до конца</w:t>
      </w:r>
      <w:r w:rsidR="004C298C">
        <w:t> года</w:t>
      </w:r>
      <w:r w:rsidR="00102068">
        <w:t>. В 2012</w:t>
      </w:r>
      <w:r w:rsidR="004C298C">
        <w:t> году</w:t>
      </w:r>
      <w:r w:rsidR="00102068">
        <w:t xml:space="preserve"> в центре проживали 20</w:t>
      </w:r>
      <w:r>
        <w:t> женщин</w:t>
      </w:r>
      <w:r w:rsidR="00102068">
        <w:t xml:space="preserve"> и 9 детей, находившиеся в нем в общей сложности 1148 дней. Большинству</w:t>
      </w:r>
      <w:r>
        <w:t> женщин</w:t>
      </w:r>
      <w:r w:rsidR="00102068">
        <w:t xml:space="preserve"> еще не исполнилось 40 лет, однако 2 из них уже достигли 50-летнего возраста. 15 из 20</w:t>
      </w:r>
      <w:r w:rsidR="00102068">
        <w:rPr>
          <w:lang w:val="en-US"/>
        </w:rPr>
        <w:t> </w:t>
      </w:r>
      <w:r w:rsidR="00102068">
        <w:t>женщин находились в центре приема по причинам, связанным с проституцией или торговлей людьми. В 2013</w:t>
      </w:r>
      <w:r w:rsidR="004C298C">
        <w:t> году</w:t>
      </w:r>
      <w:r w:rsidR="00102068">
        <w:t xml:space="preserve"> в центре находились 5 детей; точные данные о численности находившихся в нем</w:t>
      </w:r>
      <w:r>
        <w:t> женщин</w:t>
      </w:r>
      <w:r w:rsidR="00102068">
        <w:t xml:space="preserve"> отсутствуют. Все</w:t>
      </w:r>
      <w:r>
        <w:t> женщин</w:t>
      </w:r>
      <w:r w:rsidR="00102068">
        <w:t>ы, проживавшие в центре, были младше 40 лет. В течение</w:t>
      </w:r>
      <w:r w:rsidR="004C298C">
        <w:t> года</w:t>
      </w:r>
      <w:r w:rsidR="00102068">
        <w:t xml:space="preserve"> они находились в центре в общей сложности 1 тыс. дней; одни из них проводили там пару дней, в то время как другие оставались в нем на весь год. </w:t>
      </w:r>
    </w:p>
    <w:p w:rsidR="00102068" w:rsidRDefault="004E3C3F" w:rsidP="00102068">
      <w:pPr>
        <w:pStyle w:val="SingleTxtG"/>
      </w:pPr>
      <w:r>
        <w:tab/>
      </w:r>
      <w:r w:rsidR="00102068" w:rsidRPr="00F34CB2">
        <w:t>В</w:t>
      </w:r>
      <w:r w:rsidR="00102068">
        <w:t xml:space="preserve"> 2012</w:t>
      </w:r>
      <w:r w:rsidR="004C298C">
        <w:t> году</w:t>
      </w:r>
      <w:r w:rsidR="00102068">
        <w:t xml:space="preserve"> центру приема было предоставлено дополнительное финансирование на сумму в 15 млн. исландских крон. Министерство внутренних дел выделило 6 млн. исландских крон на поддержку мероприятий по оказанию помощи возможным жертвам торговли людьми и 700 тыс. исландских крон на установку камер системы безопасности на территории центра приема. В 2013</w:t>
      </w:r>
      <w:r w:rsidR="004C298C">
        <w:t> году</w:t>
      </w:r>
      <w:r w:rsidR="00102068">
        <w:t xml:space="preserve"> на цели обеспечения деятельности центра была выдана специальная субсидия в размере 25 млн. исландских крон. </w:t>
      </w:r>
    </w:p>
    <w:p w:rsidR="00102068" w:rsidRDefault="004E3C3F" w:rsidP="00102068">
      <w:pPr>
        <w:pStyle w:val="SingleTxtG"/>
      </w:pPr>
      <w:r>
        <w:tab/>
      </w:r>
      <w:r w:rsidR="00102068" w:rsidRPr="00F34CB2">
        <w:t>В</w:t>
      </w:r>
      <w:r w:rsidR="00102068">
        <w:t xml:space="preserve"> январе 2014</w:t>
      </w:r>
      <w:r w:rsidR="004C298C">
        <w:t> года</w:t>
      </w:r>
      <w:r w:rsidR="00102068">
        <w:t xml:space="preserve"> по истечении двухлетнего периода проведения эксперимента центр приема был закрыт. Управление его деятельностью оказалось весьма непростым делом, требующим комплексного подхода. Выяснилось, что совместное пребывание стольких</w:t>
      </w:r>
      <w:r>
        <w:t> женщин</w:t>
      </w:r>
      <w:r w:rsidR="00102068">
        <w:t xml:space="preserve"> на территории одного учреждения не является приемлемым решением данной проблемы. Многие из этих</w:t>
      </w:r>
      <w:r>
        <w:t> женщин</w:t>
      </w:r>
      <w:r w:rsidR="00102068">
        <w:t xml:space="preserve"> пытались справиться с психическими расстройствами или проблемами, связанными со злоупотреблением наркотическими средствами. Особенно сложной задачей для сотрудников и добровольцев, работавших в данном центре, стало взаимодействие с детьми. Персонал Образовательно-консультационного центра пояснил, что для оказания приезжающим</w:t>
      </w:r>
      <w:r>
        <w:t> женщин</w:t>
      </w:r>
      <w:r w:rsidR="00102068">
        <w:t>ам профессиональной помощи с учетом сложного положения, в котором они находятся, потребуются дополнительные финансовые средства.</w:t>
      </w:r>
    </w:p>
    <w:p w:rsidR="00102068" w:rsidRDefault="004E3C3F" w:rsidP="00102068">
      <w:pPr>
        <w:pStyle w:val="SingleTxtG"/>
      </w:pPr>
      <w:r>
        <w:tab/>
      </w:r>
      <w:r w:rsidR="00102068" w:rsidRPr="00F34CB2">
        <w:t>Одновременно</w:t>
      </w:r>
      <w:r w:rsidR="00102068">
        <w:t xml:space="preserve"> с объявлением о закрытии центра приема Образовательно-консультационный центр просил направить выделенные средства на совершенствование других аспектов работы организации: повышение качества услуг, оказываемых физическим лицам за пределами района Рейкьявика, и предоставление дополнительных услуг нуждающимся мужчинам и инвалидам. Образовательно-консультационный центр просил использовать средства, предоставленные центру приема, для создания двух новых должностей в рамках вышеупомянутых проектов. В 2014</w:t>
      </w:r>
      <w:r w:rsidR="004C298C">
        <w:t> году</w:t>
      </w:r>
      <w:r w:rsidR="00102068">
        <w:t xml:space="preserve"> финансирование, предназначенное для центра приема, было передано указанной организации, с тем чтобы она позаботилась об осуществлении соответствующих проектов. </w:t>
      </w:r>
    </w:p>
    <w:p w:rsidR="00102068" w:rsidRDefault="004E3C3F" w:rsidP="00102068">
      <w:pPr>
        <w:pStyle w:val="SingleTxtG"/>
      </w:pPr>
      <w:r>
        <w:tab/>
      </w:r>
      <w:r w:rsidR="00102068" w:rsidRPr="00F34CB2">
        <w:t>Последствия</w:t>
      </w:r>
      <w:r w:rsidR="00102068">
        <w:t xml:space="preserve"> закрытия центра приема минимальны для вопросов, не относящихся к сфере расследования дел о торговле людьми. В отсутствие продуманных решений проблемы жилья органам охраны правопорядка и добровольцам будет труднее завоевать доверие потерпевших. При наличии жилья жертвы торговли людьми и проституции становятся более заметными. Опасность состоит в том, что достигнутые к настоящему времени результаты лечения будут утрачены. Закрытие центра приема никак не отразилось на положении организаций, обслуживающих жертв проституции. После этого количество посещений Женского приюта не увеличилось.</w:t>
      </w:r>
    </w:p>
    <w:p w:rsidR="00102068" w:rsidRDefault="004E3C3F" w:rsidP="00102068">
      <w:pPr>
        <w:pStyle w:val="SingleTxtG"/>
      </w:pPr>
      <w:r>
        <w:tab/>
      </w:r>
      <w:r w:rsidR="00102068" w:rsidRPr="00F34CB2">
        <w:t>Даже</w:t>
      </w:r>
      <w:r w:rsidR="00102068">
        <w:t xml:space="preserve"> после закрытия центра приема у лиц, которые хотели бы перестать заниматься проституцией, остаются соответствующие возможности. Муниципальные социальные службы предоставляют информацию и инструкции в отношении социальных прав и социальной и персональной поддержки в соответствии со статьей 16 Закона о социальных службах местных органов управления. Специалисты, действующие на муниципальном уровне, обеспечивают социальную терапию для жертв проституции. В случае если на попечении жертвы находится ребенок, анализируется положение этого</w:t>
      </w:r>
      <w:r>
        <w:t> ребенка</w:t>
      </w:r>
      <w:r w:rsidR="00102068">
        <w:t>, и соответствующая информация при необходимости направляется органам защиты детей.</w:t>
      </w:r>
    </w:p>
    <w:p w:rsidR="00102068" w:rsidRDefault="004E3C3F" w:rsidP="00102068">
      <w:pPr>
        <w:pStyle w:val="SingleTxtG"/>
      </w:pPr>
      <w:r>
        <w:tab/>
      </w:r>
      <w:r w:rsidR="00102068" w:rsidRPr="00F34CB2">
        <w:t>Образовательно</w:t>
      </w:r>
      <w:r w:rsidR="00102068">
        <w:t>-консультационный центр предоставляет консультации, проводит беседы и организует группы взаимопомощи для лиц, которые хотели бы перестать заниматься проституцией. Он также предложил координировать мероприятия по вопросам, касающимся таких лиц. Предполагается, что группа, о которой идет речь, не требует особых подходов к решению проблемы обеспечения жилья.</w:t>
      </w:r>
    </w:p>
    <w:p w:rsidR="00102068" w:rsidRDefault="004E3C3F" w:rsidP="00102068">
      <w:pPr>
        <w:pStyle w:val="SingleTxtG"/>
      </w:pPr>
      <w:r>
        <w:tab/>
      </w:r>
      <w:r w:rsidR="00102068" w:rsidRPr="00F34CB2">
        <w:t>Как</w:t>
      </w:r>
      <w:r w:rsidR="00102068">
        <w:t xml:space="preserve"> представляется, проституция в Исландии тесно связана с торговлей наркотиками. Лечебные учреждения предлагают свою помощь лицам с наркотической зависимостью. Женский приют открыт для всех жертв проституции. </w:t>
      </w:r>
    </w:p>
    <w:p w:rsidR="00102068" w:rsidRDefault="004E3C3F" w:rsidP="00102068">
      <w:pPr>
        <w:pStyle w:val="SingleTxtG"/>
      </w:pPr>
      <w:r>
        <w:tab/>
      </w:r>
      <w:r w:rsidR="00102068" w:rsidRPr="00F34CB2">
        <w:t>Принимая</w:t>
      </w:r>
      <w:r w:rsidR="00102068">
        <w:t xml:space="preserve"> во внимание количество зарегистрированных нарушений </w:t>
      </w:r>
      <w:r w:rsidR="004C298C">
        <w:t>статьи </w:t>
      </w:r>
      <w:r w:rsidR="00102068">
        <w:t>206 Уголовного кодекса, важно, чтобы все социальные и медицинские службы, включая учреждения, оказывающие терапевтические услуги, учитывали, что получатель услуг может являться жертвой проституции или торговли людьми. Необходимо обеспечивать доступную помощь, оказываемую без какого-либо предубеждения. Государственные служащие должны быть хорошо осведомлены о признаках проституции и возможных способах решения проблем потерпевших. Специалисты, работающие с лицами, которые хотели бы порвать с проституцией, должны иметь необходимую мотивацию. Опыт центра приема показывает, что жертвам проституции бывает весьма непросто расстаться со своей прежней деятельностью. Необходимо обеспечить дальнейшее сотрудничество между социальными органами и органами здравоохранения, предусматривающее участие НПО. Наряду с этим следует активизировать сотрудничество с органами охраны правопорядка. Совместная деятельность различных правительственных ведомств в сфере борьбы с торговлей людьми принесла хорошие результаты.</w:t>
      </w:r>
    </w:p>
    <w:p w:rsidR="004E3C3F" w:rsidRPr="004E3C3F" w:rsidRDefault="004E3C3F" w:rsidP="004E3C3F">
      <w:pPr>
        <w:pStyle w:val="SingleTxtG"/>
        <w:spacing w:after="0" w:line="120" w:lineRule="exact"/>
        <w:rPr>
          <w:sz w:val="10"/>
        </w:rPr>
      </w:pPr>
    </w:p>
    <w:p w:rsidR="004E3C3F" w:rsidRPr="004E3C3F" w:rsidRDefault="004E3C3F" w:rsidP="004E3C3F">
      <w:pPr>
        <w:pStyle w:val="SingleTxtG"/>
        <w:spacing w:after="0" w:line="120" w:lineRule="exact"/>
        <w:rPr>
          <w:sz w:val="10"/>
        </w:rPr>
      </w:pPr>
    </w:p>
    <w:p w:rsidR="00102068" w:rsidRDefault="004E3C3F" w:rsidP="004E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068" w:rsidRPr="00F34CB2">
        <w:t>Информация о воздействии декриминализации проституции на</w:t>
      </w:r>
      <w:r w:rsidR="00102068">
        <w:rPr>
          <w:lang w:val="en-US"/>
        </w:rPr>
        <w:t> </w:t>
      </w:r>
      <w:r w:rsidR="00102068" w:rsidRPr="00F34CB2">
        <w:t>использование</w:t>
      </w:r>
      <w:r>
        <w:t> женщин</w:t>
      </w:r>
      <w:r w:rsidR="00102068" w:rsidRPr="00F34CB2">
        <w:t>ами своих прав</w:t>
      </w:r>
      <w:r w:rsidR="004C298C">
        <w:t> человек</w:t>
      </w:r>
      <w:r w:rsidR="00102068" w:rsidRPr="00F34CB2">
        <w:t>а</w:t>
      </w:r>
    </w:p>
    <w:p w:rsidR="004E3C3F" w:rsidRPr="004E3C3F" w:rsidRDefault="004E3C3F" w:rsidP="004E3C3F">
      <w:pPr>
        <w:pStyle w:val="SingleTxt"/>
        <w:spacing w:after="0" w:line="120" w:lineRule="exact"/>
        <w:rPr>
          <w:sz w:val="10"/>
        </w:rPr>
      </w:pPr>
    </w:p>
    <w:p w:rsidR="004E3C3F" w:rsidRPr="004E3C3F" w:rsidRDefault="004E3C3F" w:rsidP="004E3C3F">
      <w:pPr>
        <w:pStyle w:val="SingleTxt"/>
        <w:spacing w:after="0" w:line="120" w:lineRule="exact"/>
        <w:rPr>
          <w:sz w:val="10"/>
        </w:rPr>
      </w:pPr>
    </w:p>
    <w:p w:rsidR="00102068" w:rsidRDefault="004E3C3F" w:rsidP="00102068">
      <w:pPr>
        <w:pStyle w:val="SingleTxt"/>
      </w:pPr>
      <w:r>
        <w:tab/>
      </w:r>
      <w:r w:rsidR="00102068">
        <w:t>Со времени декриминализации проституции, т. е. после того, как Законом</w:t>
      </w:r>
      <w:r w:rsidR="00102068">
        <w:rPr>
          <w:lang w:val="en-US"/>
        </w:rPr>
        <w:t> </w:t>
      </w:r>
      <w:r w:rsidR="00102068">
        <w:t>№</w:t>
      </w:r>
      <w:r w:rsidR="00102068">
        <w:rPr>
          <w:lang w:val="en-US"/>
        </w:rPr>
        <w:t> </w:t>
      </w:r>
      <w:r w:rsidR="00102068">
        <w:t>54/2009, который, как указано выше, был введен в действие 30 апреля 2010</w:t>
      </w:r>
      <w:r w:rsidR="004C298C">
        <w:t> года</w:t>
      </w:r>
      <w:r w:rsidR="00102068">
        <w:t xml:space="preserve">, в </w:t>
      </w:r>
      <w:r w:rsidR="004C298C">
        <w:t>статью </w:t>
      </w:r>
      <w:r w:rsidR="00102068">
        <w:t xml:space="preserve">206 Уголовного кодекса (№ 19/1940) были внесены очередные поправки, прошло совсем немного времени. В связи с этим количество информации о воздействии </w:t>
      </w:r>
      <w:r w:rsidR="00102068" w:rsidRPr="00F34CB2">
        <w:t>декриминализации</w:t>
      </w:r>
      <w:r w:rsidR="00102068">
        <w:t xml:space="preserve"> весьма невелико, а надежные исследования или статистические данные, на которые можно было бы сослаться, отсутствуют.</w:t>
      </w:r>
    </w:p>
    <w:p w:rsidR="004E3C3F" w:rsidRPr="004E3C3F" w:rsidRDefault="00363E39" w:rsidP="004E3C3F">
      <w:pPr>
        <w:pStyle w:val="SingleTxt"/>
        <w:spacing w:after="0" w:line="240" w:lineRule="auto"/>
      </w:pPr>
      <w:r>
        <w:rPr>
          <w:noProof/>
          <w:w w:val="100"/>
          <w:lang w:val="en-GB" w:eastAsia="en-GB"/>
        </w:rPr>
        <mc:AlternateContent>
          <mc:Choice Requires="wps">
            <w:drawing>
              <wp:anchor distT="0" distB="0" distL="114300" distR="114300" simplePos="0" relativeHeight="251652608" behindDoc="0" locked="0" layoutInCell="1" allowOverlap="1">
                <wp:simplePos x="0" y="0"/>
                <wp:positionH relativeFrom="column">
                  <wp:posOffset>2669540</wp:posOffset>
                </wp:positionH>
                <wp:positionV relativeFrom="paragraph">
                  <wp:posOffset>381000</wp:posOffset>
                </wp:positionV>
                <wp:extent cx="914400" cy="0"/>
                <wp:effectExtent l="0" t="0" r="0" b="0"/>
                <wp:wrapNone/>
                <wp:docPr id="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H0EgIAACg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AWu&#10;IfQSAgAAKAQAAA4AAAAAAAAAAAAAAAAALgIAAGRycy9lMm9Eb2MueG1sUEsBAi0AFAAGAAgAAAAh&#10;ALEnoefeAAAACQEAAA8AAAAAAAAAAAAAAAAAbAQAAGRycy9kb3ducmV2LnhtbFBLBQYAAAAABAAE&#10;APMAAAB3BQAAAAA=&#10;" strokecolor="#010000" strokeweight=".25pt"/>
            </w:pict>
          </mc:Fallback>
        </mc:AlternateContent>
      </w:r>
    </w:p>
    <w:sectPr w:rsidR="004E3C3F" w:rsidRPr="004E3C3F" w:rsidSect="006E753A">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2T10:12:00Z" w:initials="Start">
    <w:p w:rsidR="00761D8B" w:rsidRDefault="006E753A">
      <w:pPr>
        <w:pStyle w:val="CommentText"/>
        <w:rPr>
          <w:lang w:val="en-US"/>
        </w:rPr>
      </w:pPr>
      <w:r>
        <w:fldChar w:fldCharType="begin"/>
      </w:r>
      <w:r w:rsidRPr="00102068">
        <w:rPr>
          <w:rStyle w:val="CommentReference"/>
          <w:lang w:val="en-US"/>
        </w:rPr>
        <w:instrText xml:space="preserve"> </w:instrText>
      </w:r>
      <w:r w:rsidRPr="00102068">
        <w:rPr>
          <w:lang w:val="en-US"/>
        </w:rPr>
        <w:instrText>PAGE \# "'Page: '#'</w:instrText>
      </w:r>
      <w:r w:rsidRPr="00102068">
        <w:rPr>
          <w:lang w:val="en-US"/>
        </w:rPr>
        <w:br/>
        <w:instrText>'"</w:instrText>
      </w:r>
      <w:r w:rsidRPr="00102068">
        <w:rPr>
          <w:rStyle w:val="CommentReference"/>
          <w:lang w:val="en-US"/>
        </w:rPr>
        <w:instrText xml:space="preserve"> </w:instrText>
      </w:r>
      <w:r>
        <w:fldChar w:fldCharType="end"/>
      </w:r>
      <w:r>
        <w:rPr>
          <w:rStyle w:val="CommentReference"/>
        </w:rPr>
        <w:annotationRef/>
      </w:r>
      <w:r w:rsidR="00761D8B">
        <w:rPr>
          <w:lang w:val="en-US"/>
        </w:rPr>
        <w:t>&lt;&lt;ODS JOB NO&gt;&gt;N1451450R&lt;&lt;ODS JOB NO&gt;&gt;</w:t>
      </w:r>
    </w:p>
    <w:p w:rsidR="00761D8B" w:rsidRDefault="00761D8B">
      <w:pPr>
        <w:pStyle w:val="CommentText"/>
        <w:rPr>
          <w:lang w:val="en-US"/>
        </w:rPr>
      </w:pPr>
      <w:r>
        <w:rPr>
          <w:lang w:val="en-US"/>
        </w:rPr>
        <w:t>&lt;&lt;ODS DOC SYMBOL1&gt;&gt;CEDAW/C/ISL/7-8&lt;&lt;ODS DOC SYMBOL1&gt;&gt;</w:t>
      </w:r>
    </w:p>
    <w:p w:rsidR="006E753A" w:rsidRPr="00102068" w:rsidRDefault="00761D8B">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055" w:rsidRDefault="00427055" w:rsidP="008A1A7A">
      <w:pPr>
        <w:spacing w:line="240" w:lineRule="auto"/>
      </w:pPr>
      <w:r>
        <w:separator/>
      </w:r>
    </w:p>
  </w:endnote>
  <w:endnote w:type="continuationSeparator" w:id="0">
    <w:p w:rsidR="00427055" w:rsidRDefault="00427055"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61D8B" w:rsidTr="00761D8B">
      <w:tc>
        <w:tcPr>
          <w:tcW w:w="5033" w:type="dxa"/>
          <w:shd w:val="clear" w:color="auto" w:fill="auto"/>
          <w:vAlign w:val="bottom"/>
        </w:tcPr>
        <w:p w:rsidR="00761D8B" w:rsidRPr="00761D8B" w:rsidRDefault="00761D8B" w:rsidP="00761D8B">
          <w:pPr>
            <w:pStyle w:val="Footer"/>
            <w:rPr>
              <w:color w:val="000000"/>
            </w:rPr>
          </w:pPr>
          <w:r>
            <w:fldChar w:fldCharType="begin"/>
          </w:r>
          <w:r>
            <w:instrText xml:space="preserve"> PAGE  \* Arabic  \* MERGEFORMAT </w:instrText>
          </w:r>
          <w:r>
            <w:fldChar w:fldCharType="separate"/>
          </w:r>
          <w:r w:rsidR="0072475B">
            <w:rPr>
              <w:noProof/>
            </w:rPr>
            <w:t>2</w:t>
          </w:r>
          <w:r>
            <w:fldChar w:fldCharType="end"/>
          </w:r>
          <w:r>
            <w:t>/</w:t>
          </w:r>
          <w:fldSimple w:instr=" NUMPAGES  \* Arabic  \* MERGEFORMAT ">
            <w:r w:rsidR="0072475B">
              <w:rPr>
                <w:noProof/>
              </w:rPr>
              <w:t>2</w:t>
            </w:r>
          </w:fldSimple>
        </w:p>
      </w:tc>
      <w:tc>
        <w:tcPr>
          <w:tcW w:w="5033" w:type="dxa"/>
          <w:shd w:val="clear" w:color="auto" w:fill="auto"/>
          <w:vAlign w:val="bottom"/>
        </w:tcPr>
        <w:p w:rsidR="00761D8B" w:rsidRPr="00761D8B" w:rsidRDefault="00761D8B" w:rsidP="00761D8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4E3C">
            <w:rPr>
              <w:b w:val="0"/>
              <w:color w:val="000000"/>
              <w:sz w:val="14"/>
            </w:rPr>
            <w:t>14-59621</w:t>
          </w:r>
          <w:r>
            <w:rPr>
              <w:b w:val="0"/>
              <w:color w:val="000000"/>
              <w:sz w:val="14"/>
            </w:rPr>
            <w:fldChar w:fldCharType="end"/>
          </w:r>
        </w:p>
      </w:tc>
    </w:tr>
  </w:tbl>
  <w:p w:rsidR="006E753A" w:rsidRPr="00761D8B" w:rsidRDefault="006E753A" w:rsidP="00761D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61D8B" w:rsidTr="00761D8B">
      <w:tc>
        <w:tcPr>
          <w:tcW w:w="5033" w:type="dxa"/>
          <w:shd w:val="clear" w:color="auto" w:fill="auto"/>
          <w:vAlign w:val="bottom"/>
        </w:tcPr>
        <w:p w:rsidR="00761D8B" w:rsidRPr="00761D8B" w:rsidRDefault="00761D8B" w:rsidP="00761D8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4E3C">
            <w:rPr>
              <w:b w:val="0"/>
              <w:color w:val="000000"/>
              <w:sz w:val="14"/>
            </w:rPr>
            <w:t>14-59621</w:t>
          </w:r>
          <w:r>
            <w:rPr>
              <w:b w:val="0"/>
              <w:color w:val="000000"/>
              <w:sz w:val="14"/>
            </w:rPr>
            <w:fldChar w:fldCharType="end"/>
          </w:r>
        </w:p>
      </w:tc>
      <w:tc>
        <w:tcPr>
          <w:tcW w:w="5033" w:type="dxa"/>
          <w:shd w:val="clear" w:color="auto" w:fill="auto"/>
          <w:vAlign w:val="bottom"/>
        </w:tcPr>
        <w:p w:rsidR="00761D8B" w:rsidRPr="00761D8B" w:rsidRDefault="00761D8B" w:rsidP="00761D8B">
          <w:pPr>
            <w:pStyle w:val="Footer"/>
            <w:jc w:val="right"/>
          </w:pPr>
          <w:r>
            <w:fldChar w:fldCharType="begin"/>
          </w:r>
          <w:r>
            <w:instrText xml:space="preserve"> PAGE  \* Arabic  \* MERGEFORMAT </w:instrText>
          </w:r>
          <w:r>
            <w:fldChar w:fldCharType="separate"/>
          </w:r>
          <w:r w:rsidR="003D4E3C">
            <w:rPr>
              <w:noProof/>
            </w:rPr>
            <w:t>95</w:t>
          </w:r>
          <w:r>
            <w:fldChar w:fldCharType="end"/>
          </w:r>
          <w:r>
            <w:t>/</w:t>
          </w:r>
          <w:fldSimple w:instr=" NUMPAGES  \* Arabic  \* MERGEFORMAT ">
            <w:r w:rsidR="003D4E3C">
              <w:rPr>
                <w:noProof/>
              </w:rPr>
              <w:t>95</w:t>
            </w:r>
          </w:fldSimple>
        </w:p>
      </w:tc>
    </w:tr>
  </w:tbl>
  <w:p w:rsidR="006E753A" w:rsidRPr="00761D8B" w:rsidRDefault="006E753A" w:rsidP="00761D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53A" w:rsidRDefault="00363E39">
    <w:pPr>
      <w:pStyle w:val="Footer"/>
    </w:pPr>
    <w:r>
      <w:rPr>
        <w:noProof/>
        <w:lang w:val="en-GB" w:eastAsia="en-GB"/>
      </w:rPr>
      <w:drawing>
        <wp:anchor distT="0" distB="0" distL="114300" distR="114300" simplePos="0" relativeHeight="251657728" behindDoc="0" locked="0" layoutInCell="1" allowOverlap="1">
          <wp:simplePos x="0" y="0"/>
          <wp:positionH relativeFrom="page">
            <wp:posOffset>6303645</wp:posOffset>
          </wp:positionH>
          <wp:positionV relativeFrom="page">
            <wp:posOffset>8686800</wp:posOffset>
          </wp:positionV>
          <wp:extent cx="697230" cy="697230"/>
          <wp:effectExtent l="0" t="0" r="7620" b="7620"/>
          <wp:wrapNone/>
          <wp:docPr id="1" name="Picture 1" descr="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amp;Size =1&amp;Lang = R"/>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69723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33"/>
    </w:tblGrid>
    <w:tr w:rsidR="006E753A" w:rsidTr="006E753A">
      <w:tc>
        <w:tcPr>
          <w:tcW w:w="3830" w:type="dxa"/>
        </w:tcPr>
        <w:p w:rsidR="006E753A" w:rsidRPr="00761D8B" w:rsidRDefault="006E753A" w:rsidP="006E753A">
          <w:pPr>
            <w:pStyle w:val="ReleaseDate"/>
            <w:rPr>
              <w:color w:val="010000"/>
              <w:lang w:val="en-US"/>
            </w:rPr>
          </w:pPr>
          <w:r>
            <w:t xml:space="preserve">14-59621 </w:t>
          </w:r>
          <w:r w:rsidR="004C298C">
            <w:rPr>
              <w:lang w:val="en-US"/>
            </w:rPr>
            <w:t xml:space="preserve">X </w:t>
          </w:r>
          <w:r>
            <w:t>(R)</w:t>
          </w:r>
          <w:r w:rsidR="00761D8B">
            <w:rPr>
              <w:color w:val="010000"/>
            </w:rPr>
            <w:t xml:space="preserve">    101014    </w:t>
          </w:r>
          <w:r w:rsidR="00761D8B">
            <w:rPr>
              <w:color w:val="010000"/>
              <w:lang w:val="en-US"/>
            </w:rPr>
            <w:t>0</w:t>
          </w:r>
          <w:r w:rsidR="009A7AE9">
            <w:rPr>
              <w:color w:val="010000"/>
              <w:lang w:val="en-US"/>
            </w:rPr>
            <w:t>2</w:t>
          </w:r>
          <w:r w:rsidR="00761D8B">
            <w:rPr>
              <w:color w:val="010000"/>
              <w:lang w:val="en-US"/>
            </w:rPr>
            <w:t>07</w:t>
          </w:r>
          <w:r>
            <w:rPr>
              <w:color w:val="010000"/>
            </w:rPr>
            <w:t>1</w:t>
          </w:r>
          <w:r w:rsidR="00761D8B">
            <w:rPr>
              <w:color w:val="010000"/>
              <w:lang w:val="en-US"/>
            </w:rPr>
            <w:t>5</w:t>
          </w:r>
        </w:p>
        <w:p w:rsidR="006E753A" w:rsidRPr="006E753A" w:rsidRDefault="006E753A" w:rsidP="006E753A">
          <w:pPr>
            <w:spacing w:before="80" w:line="210" w:lineRule="exact"/>
            <w:rPr>
              <w:rFonts w:ascii="Barcode 3 of 9 by request" w:hAnsi="Barcode 3 of 9 by request"/>
              <w:w w:val="100"/>
              <w:sz w:val="24"/>
            </w:rPr>
          </w:pPr>
          <w:r>
            <w:rPr>
              <w:rFonts w:ascii="Barcode 3 of 9 by request" w:hAnsi="Barcode 3 of 9 by request"/>
              <w:w w:val="100"/>
              <w:sz w:val="24"/>
            </w:rPr>
            <w:t>*1459621(R)*</w:t>
          </w:r>
        </w:p>
      </w:tc>
      <w:tc>
        <w:tcPr>
          <w:tcW w:w="5033" w:type="dxa"/>
        </w:tcPr>
        <w:p w:rsidR="006E753A" w:rsidRDefault="00363E39" w:rsidP="006E753A">
          <w:pPr>
            <w:pStyle w:val="Footer"/>
            <w:spacing w:line="240" w:lineRule="atLeast"/>
            <w:jc w:val="right"/>
            <w:rPr>
              <w:b w:val="0"/>
              <w:sz w:val="20"/>
            </w:rPr>
          </w:pPr>
          <w:r>
            <w:rPr>
              <w:b w:val="0"/>
              <w:noProof/>
              <w:sz w:val="20"/>
              <w:lang w:val="en-GB" w:eastAsia="en-GB"/>
            </w:rPr>
            <w:drawing>
              <wp:inline distT="0" distB="0" distL="0" distR="0">
                <wp:extent cx="2702560" cy="233680"/>
                <wp:effectExtent l="0" t="0" r="2540" b="0"/>
                <wp:docPr id="16" name="Picture 16"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cycle_Russi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2560" cy="233680"/>
                        </a:xfrm>
                        <a:prstGeom prst="rect">
                          <a:avLst/>
                        </a:prstGeom>
                        <a:noFill/>
                        <a:ln>
                          <a:noFill/>
                        </a:ln>
                      </pic:spPr>
                    </pic:pic>
                  </a:graphicData>
                </a:graphic>
              </wp:inline>
            </w:drawing>
          </w:r>
        </w:p>
      </w:tc>
    </w:tr>
  </w:tbl>
  <w:p w:rsidR="006E753A" w:rsidRPr="006E753A" w:rsidRDefault="006E753A" w:rsidP="006E753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055" w:rsidRPr="004C298C" w:rsidRDefault="00427055" w:rsidP="004C298C">
      <w:pPr>
        <w:pStyle w:val="Footer"/>
        <w:spacing w:after="80"/>
        <w:ind w:left="792"/>
        <w:rPr>
          <w:sz w:val="16"/>
        </w:rPr>
      </w:pPr>
      <w:r w:rsidRPr="004C298C">
        <w:rPr>
          <w:sz w:val="16"/>
        </w:rPr>
        <w:t>__________________</w:t>
      </w:r>
    </w:p>
  </w:footnote>
  <w:footnote w:type="continuationSeparator" w:id="0">
    <w:p w:rsidR="00427055" w:rsidRPr="004C298C" w:rsidRDefault="00427055" w:rsidP="004C298C">
      <w:pPr>
        <w:pStyle w:val="Footer"/>
        <w:spacing w:after="80"/>
        <w:ind w:left="792"/>
        <w:rPr>
          <w:sz w:val="16"/>
        </w:rPr>
      </w:pPr>
      <w:r w:rsidRPr="004C298C">
        <w:rPr>
          <w:sz w:val="16"/>
        </w:rPr>
        <w:t>__________________</w:t>
      </w:r>
    </w:p>
  </w:footnote>
  <w:footnote w:id="1">
    <w:p w:rsidR="00102068" w:rsidRPr="00761D8B" w:rsidRDefault="00102068" w:rsidP="004C298C">
      <w:pPr>
        <w:pStyle w:val="FootnoteText"/>
        <w:tabs>
          <w:tab w:val="right" w:pos="1195"/>
          <w:tab w:val="left" w:pos="1267"/>
          <w:tab w:val="left" w:pos="1742"/>
          <w:tab w:val="left" w:pos="2218"/>
          <w:tab w:val="left" w:pos="2693"/>
        </w:tabs>
        <w:ind w:left="1267" w:right="1260" w:hanging="432"/>
        <w:rPr>
          <w:spacing w:val="0"/>
          <w:w w:val="100"/>
          <w:kern w:val="0"/>
        </w:rPr>
      </w:pPr>
      <w:r w:rsidRPr="0093115E">
        <w:rPr>
          <w:spacing w:val="0"/>
          <w:w w:val="100"/>
          <w:kern w:val="0"/>
        </w:rPr>
        <w:tab/>
      </w:r>
      <w:r w:rsidRPr="00761D8B">
        <w:rPr>
          <w:rStyle w:val="FootnoteReference"/>
          <w:sz w:val="20"/>
          <w:szCs w:val="22"/>
        </w:rPr>
        <w:t>*</w:t>
      </w:r>
      <w:r w:rsidRPr="0093115E">
        <w:rPr>
          <w:spacing w:val="0"/>
          <w:w w:val="100"/>
          <w:kern w:val="0"/>
        </w:rPr>
        <w:tab/>
      </w:r>
      <w:r w:rsidR="00761D8B" w:rsidRPr="00761D8B">
        <w:rPr>
          <w:spacing w:val="4"/>
        </w:rPr>
        <w:t>Переиздано по техническим причинам 1 июля 15 го</w:t>
      </w:r>
      <w:r w:rsidR="00761D8B">
        <w:rPr>
          <w:spacing w:val="4"/>
        </w:rPr>
        <w:t>да: ранее документ был выпущен</w:t>
      </w:r>
      <w:r w:rsidR="00761D8B" w:rsidRPr="00761D8B">
        <w:rPr>
          <w:spacing w:val="4"/>
        </w:rPr>
        <w:br/>
        <w:t>под условным обозначением CEDAW/C/ICE/7–8.</w:t>
      </w:r>
    </w:p>
    <w:p w:rsidR="00761D8B" w:rsidRPr="00761D8B" w:rsidRDefault="00761D8B" w:rsidP="004C298C">
      <w:pPr>
        <w:pStyle w:val="FootnoteText"/>
        <w:tabs>
          <w:tab w:val="right" w:pos="1195"/>
          <w:tab w:val="left" w:pos="1267"/>
          <w:tab w:val="left" w:pos="1742"/>
          <w:tab w:val="left" w:pos="2218"/>
          <w:tab w:val="left" w:pos="2693"/>
        </w:tabs>
        <w:ind w:left="1267" w:right="1260" w:hanging="432"/>
        <w:rPr>
          <w:spacing w:val="0"/>
          <w:w w:val="100"/>
          <w:kern w:val="0"/>
        </w:rPr>
      </w:pPr>
      <w:r w:rsidRPr="00761D8B">
        <w:rPr>
          <w:spacing w:val="0"/>
          <w:w w:val="100"/>
          <w:kern w:val="0"/>
        </w:rPr>
        <w:tab/>
      </w:r>
      <w:r w:rsidRPr="00761D8B">
        <w:rPr>
          <w:rStyle w:val="FootnoteReference"/>
          <w:sz w:val="20"/>
          <w:szCs w:val="22"/>
        </w:rPr>
        <w:t>**</w:t>
      </w:r>
      <w:r w:rsidRPr="00761D8B">
        <w:rPr>
          <w:spacing w:val="0"/>
          <w:w w:val="100"/>
          <w:kern w:val="0"/>
        </w:rPr>
        <w:tab/>
      </w:r>
      <w:r w:rsidRPr="00761D8B">
        <w:rPr>
          <w:spacing w:val="4"/>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61D8B" w:rsidTr="00761D8B">
      <w:trPr>
        <w:trHeight w:hRule="exact" w:val="864"/>
      </w:trPr>
      <w:tc>
        <w:tcPr>
          <w:tcW w:w="4838" w:type="dxa"/>
          <w:shd w:val="clear" w:color="auto" w:fill="auto"/>
          <w:vAlign w:val="bottom"/>
        </w:tcPr>
        <w:p w:rsidR="00761D8B" w:rsidRPr="00761D8B" w:rsidRDefault="00761D8B" w:rsidP="00761D8B">
          <w:pPr>
            <w:pStyle w:val="Header"/>
            <w:spacing w:after="80"/>
            <w:rPr>
              <w:b/>
            </w:rPr>
          </w:pPr>
          <w:r>
            <w:rPr>
              <w:b/>
            </w:rPr>
            <w:fldChar w:fldCharType="begin"/>
          </w:r>
          <w:r>
            <w:rPr>
              <w:b/>
            </w:rPr>
            <w:instrText xml:space="preserve"> DOCVARIABLE "sss1" \* MERGEFORMAT </w:instrText>
          </w:r>
          <w:r>
            <w:rPr>
              <w:b/>
            </w:rPr>
            <w:fldChar w:fldCharType="separate"/>
          </w:r>
          <w:r w:rsidR="003D4E3C">
            <w:rPr>
              <w:b/>
            </w:rPr>
            <w:t>CEDAW/C/ISL/7-8</w:t>
          </w:r>
          <w:r>
            <w:rPr>
              <w:b/>
            </w:rPr>
            <w:fldChar w:fldCharType="end"/>
          </w:r>
        </w:p>
      </w:tc>
      <w:tc>
        <w:tcPr>
          <w:tcW w:w="5033" w:type="dxa"/>
          <w:shd w:val="clear" w:color="auto" w:fill="auto"/>
          <w:vAlign w:val="bottom"/>
        </w:tcPr>
        <w:p w:rsidR="00761D8B" w:rsidRDefault="00761D8B" w:rsidP="00761D8B">
          <w:pPr>
            <w:pStyle w:val="Header"/>
          </w:pPr>
        </w:p>
      </w:tc>
    </w:tr>
  </w:tbl>
  <w:p w:rsidR="006E753A" w:rsidRPr="00761D8B" w:rsidRDefault="006E753A" w:rsidP="00761D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61D8B" w:rsidTr="00761D8B">
      <w:trPr>
        <w:trHeight w:hRule="exact" w:val="864"/>
      </w:trPr>
      <w:tc>
        <w:tcPr>
          <w:tcW w:w="4838" w:type="dxa"/>
          <w:shd w:val="clear" w:color="auto" w:fill="auto"/>
          <w:vAlign w:val="bottom"/>
        </w:tcPr>
        <w:p w:rsidR="00761D8B" w:rsidRDefault="00761D8B" w:rsidP="00761D8B">
          <w:pPr>
            <w:pStyle w:val="Header"/>
          </w:pPr>
        </w:p>
      </w:tc>
      <w:tc>
        <w:tcPr>
          <w:tcW w:w="5033" w:type="dxa"/>
          <w:shd w:val="clear" w:color="auto" w:fill="auto"/>
          <w:vAlign w:val="bottom"/>
        </w:tcPr>
        <w:p w:rsidR="00761D8B" w:rsidRPr="00761D8B" w:rsidRDefault="00761D8B" w:rsidP="00761D8B">
          <w:pPr>
            <w:pStyle w:val="Header"/>
            <w:spacing w:after="80"/>
            <w:jc w:val="right"/>
            <w:rPr>
              <w:b/>
            </w:rPr>
          </w:pPr>
          <w:r>
            <w:rPr>
              <w:b/>
            </w:rPr>
            <w:fldChar w:fldCharType="begin"/>
          </w:r>
          <w:r>
            <w:rPr>
              <w:b/>
            </w:rPr>
            <w:instrText xml:space="preserve"> DOCVARIABLE "sss1" \* MERGEFORMAT </w:instrText>
          </w:r>
          <w:r>
            <w:rPr>
              <w:b/>
            </w:rPr>
            <w:fldChar w:fldCharType="separate"/>
          </w:r>
          <w:r w:rsidR="003D4E3C">
            <w:rPr>
              <w:b/>
            </w:rPr>
            <w:t>CEDAW/C/ISL/7-8</w:t>
          </w:r>
          <w:r>
            <w:rPr>
              <w:b/>
            </w:rPr>
            <w:fldChar w:fldCharType="end"/>
          </w:r>
        </w:p>
      </w:tc>
    </w:tr>
  </w:tbl>
  <w:p w:rsidR="006E753A" w:rsidRPr="00761D8B" w:rsidRDefault="006E753A" w:rsidP="00761D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6E753A" w:rsidTr="006E753A">
      <w:trPr>
        <w:trHeight w:hRule="exact" w:val="864"/>
      </w:trPr>
      <w:tc>
        <w:tcPr>
          <w:tcW w:w="4421" w:type="dxa"/>
          <w:gridSpan w:val="2"/>
          <w:tcBorders>
            <w:bottom w:val="single" w:sz="4" w:space="0" w:color="auto"/>
          </w:tcBorders>
          <w:shd w:val="clear" w:color="auto" w:fill="auto"/>
          <w:vAlign w:val="bottom"/>
        </w:tcPr>
        <w:p w:rsidR="006E753A" w:rsidRPr="006E753A" w:rsidRDefault="006E753A" w:rsidP="006E753A">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6E753A" w:rsidRDefault="006E753A" w:rsidP="006E753A">
          <w:pPr>
            <w:pStyle w:val="Header"/>
            <w:spacing w:after="120"/>
          </w:pPr>
        </w:p>
      </w:tc>
      <w:tc>
        <w:tcPr>
          <w:tcW w:w="5213" w:type="dxa"/>
          <w:gridSpan w:val="3"/>
          <w:tcBorders>
            <w:bottom w:val="single" w:sz="4" w:space="0" w:color="auto"/>
          </w:tcBorders>
          <w:shd w:val="clear" w:color="auto" w:fill="auto"/>
          <w:vAlign w:val="bottom"/>
        </w:tcPr>
        <w:p w:rsidR="006E753A" w:rsidRPr="00761D8B" w:rsidRDefault="00761D8B" w:rsidP="00761D8B">
          <w:pPr>
            <w:pStyle w:val="Header"/>
            <w:spacing w:after="20"/>
            <w:jc w:val="right"/>
            <w:rPr>
              <w:position w:val="-4"/>
              <w:sz w:val="20"/>
              <w:lang w:val="en-US"/>
            </w:rPr>
          </w:pPr>
          <w:r>
            <w:rPr>
              <w:position w:val="-4"/>
              <w:sz w:val="40"/>
            </w:rPr>
            <w:t>CEDAW</w:t>
          </w:r>
          <w:r>
            <w:rPr>
              <w:position w:val="-4"/>
              <w:sz w:val="20"/>
            </w:rPr>
            <w:t>/C/ISL/7-8</w:t>
          </w:r>
          <w:r>
            <w:rPr>
              <w:position w:val="-4"/>
              <w:sz w:val="20"/>
              <w:lang w:val="en-US"/>
            </w:rPr>
            <w:t>*</w:t>
          </w:r>
        </w:p>
      </w:tc>
    </w:tr>
    <w:tr w:rsidR="006E753A" w:rsidRPr="00102068" w:rsidTr="006E753A">
      <w:trPr>
        <w:trHeight w:hRule="exact" w:val="2880"/>
      </w:trPr>
      <w:tc>
        <w:tcPr>
          <w:tcW w:w="1267" w:type="dxa"/>
          <w:tcBorders>
            <w:top w:val="single" w:sz="4" w:space="0" w:color="auto"/>
            <w:bottom w:val="single" w:sz="12" w:space="0" w:color="auto"/>
          </w:tcBorders>
          <w:shd w:val="clear" w:color="auto" w:fill="auto"/>
        </w:tcPr>
        <w:p w:rsidR="006E753A" w:rsidRDefault="006E753A" w:rsidP="006E753A">
          <w:pPr>
            <w:pStyle w:val="Header"/>
            <w:spacing w:before="109"/>
          </w:pPr>
          <w:r>
            <w:t xml:space="preserve"> </w:t>
          </w:r>
          <w:r w:rsidR="00363E39">
            <w:rPr>
              <w:noProof/>
              <w:lang w:val="en-GB" w:eastAsia="en-GB"/>
            </w:rPr>
            <w:drawing>
              <wp:inline distT="0" distB="0" distL="0" distR="0">
                <wp:extent cx="711200" cy="594360"/>
                <wp:effectExtent l="0" t="0" r="0" b="0"/>
                <wp:docPr id="15" name="Picture 1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4360"/>
                        </a:xfrm>
                        <a:prstGeom prst="rect">
                          <a:avLst/>
                        </a:prstGeom>
                        <a:noFill/>
                        <a:ln>
                          <a:noFill/>
                        </a:ln>
                      </pic:spPr>
                    </pic:pic>
                  </a:graphicData>
                </a:graphic>
              </wp:inline>
            </w:drawing>
          </w:r>
        </w:p>
        <w:p w:rsidR="006E753A" w:rsidRPr="006E753A" w:rsidRDefault="006E753A" w:rsidP="006E753A">
          <w:pPr>
            <w:pStyle w:val="Header"/>
            <w:spacing w:before="109"/>
          </w:pPr>
        </w:p>
      </w:tc>
      <w:tc>
        <w:tcPr>
          <w:tcW w:w="5227" w:type="dxa"/>
          <w:gridSpan w:val="3"/>
          <w:tcBorders>
            <w:top w:val="single" w:sz="4" w:space="0" w:color="auto"/>
            <w:bottom w:val="single" w:sz="12" w:space="0" w:color="auto"/>
          </w:tcBorders>
          <w:shd w:val="clear" w:color="auto" w:fill="auto"/>
        </w:tcPr>
        <w:p w:rsidR="006E753A" w:rsidRPr="006E753A" w:rsidRDefault="006E753A" w:rsidP="006E753A">
          <w:pPr>
            <w:pStyle w:val="XLarge"/>
            <w:spacing w:before="109" w:line="330" w:lineRule="exact"/>
            <w:rPr>
              <w:sz w:val="34"/>
            </w:rPr>
          </w:pPr>
          <w:r>
            <w:rPr>
              <w:sz w:val="34"/>
            </w:rPr>
            <w:t>Конвенция о ликвидации всех форм дискриминации в отношении</w:t>
          </w:r>
          <w:r w:rsidR="004E3C3F">
            <w:rPr>
              <w:sz w:val="34"/>
            </w:rPr>
            <w:t> женщин</w:t>
          </w:r>
        </w:p>
      </w:tc>
      <w:tc>
        <w:tcPr>
          <w:tcW w:w="245" w:type="dxa"/>
          <w:tcBorders>
            <w:top w:val="single" w:sz="4" w:space="0" w:color="auto"/>
            <w:bottom w:val="single" w:sz="12" w:space="0" w:color="auto"/>
          </w:tcBorders>
          <w:shd w:val="clear" w:color="auto" w:fill="auto"/>
        </w:tcPr>
        <w:p w:rsidR="006E753A" w:rsidRPr="006E753A" w:rsidRDefault="006E753A" w:rsidP="006E753A">
          <w:pPr>
            <w:pStyle w:val="Header"/>
            <w:spacing w:before="109"/>
          </w:pPr>
        </w:p>
      </w:tc>
      <w:tc>
        <w:tcPr>
          <w:tcW w:w="3140" w:type="dxa"/>
          <w:tcBorders>
            <w:top w:val="single" w:sz="4" w:space="0" w:color="auto"/>
            <w:bottom w:val="single" w:sz="12" w:space="0" w:color="auto"/>
          </w:tcBorders>
          <w:shd w:val="clear" w:color="auto" w:fill="auto"/>
        </w:tcPr>
        <w:p w:rsidR="006E753A" w:rsidRPr="00102068" w:rsidRDefault="006E753A" w:rsidP="006E753A">
          <w:pPr>
            <w:pStyle w:val="Distribution"/>
            <w:rPr>
              <w:color w:val="000000"/>
              <w:lang w:val="en-US"/>
            </w:rPr>
          </w:pPr>
          <w:r w:rsidRPr="00102068">
            <w:rPr>
              <w:color w:val="000000"/>
              <w:lang w:val="en-US"/>
            </w:rPr>
            <w:t>Distr.: General</w:t>
          </w:r>
        </w:p>
        <w:p w:rsidR="006E753A" w:rsidRPr="00102068" w:rsidRDefault="006E753A" w:rsidP="006E753A">
          <w:pPr>
            <w:pStyle w:val="Publication"/>
            <w:rPr>
              <w:color w:val="000000"/>
              <w:lang w:val="en-US"/>
            </w:rPr>
          </w:pPr>
          <w:r w:rsidRPr="00102068">
            <w:rPr>
              <w:color w:val="000000"/>
              <w:lang w:val="en-US"/>
            </w:rPr>
            <w:t>22 August 2014</w:t>
          </w:r>
        </w:p>
        <w:p w:rsidR="006E753A" w:rsidRPr="00102068" w:rsidRDefault="006E753A" w:rsidP="006E753A">
          <w:pPr>
            <w:rPr>
              <w:color w:val="000000"/>
              <w:lang w:val="en-US"/>
            </w:rPr>
          </w:pPr>
          <w:r w:rsidRPr="00102068">
            <w:rPr>
              <w:color w:val="000000"/>
              <w:lang w:val="en-US"/>
            </w:rPr>
            <w:t>Russian</w:t>
          </w:r>
        </w:p>
        <w:p w:rsidR="006E753A" w:rsidRPr="00102068" w:rsidRDefault="006E753A" w:rsidP="006E753A">
          <w:pPr>
            <w:pStyle w:val="Original"/>
            <w:rPr>
              <w:color w:val="000000"/>
              <w:lang w:val="en-US"/>
            </w:rPr>
          </w:pPr>
          <w:r w:rsidRPr="00102068">
            <w:rPr>
              <w:color w:val="000000"/>
              <w:lang w:val="en-US"/>
            </w:rPr>
            <w:t>Original: English</w:t>
          </w:r>
        </w:p>
        <w:p w:rsidR="006E753A" w:rsidRPr="00102068" w:rsidRDefault="006E753A" w:rsidP="006E753A">
          <w:pPr>
            <w:rPr>
              <w:lang w:val="en-US"/>
            </w:rPr>
          </w:pPr>
        </w:p>
      </w:tc>
    </w:tr>
  </w:tbl>
  <w:p w:rsidR="006E753A" w:rsidRPr="00102068" w:rsidRDefault="006E753A" w:rsidP="006E753A">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Heading9"/>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singleLevel"/>
    <w:tmpl w:val="00000002"/>
    <w:name w:val="WW8Num12"/>
    <w:lvl w:ilvl="0">
      <w:start w:val="1"/>
      <w:numFmt w:val="bullet"/>
      <w:lvlText w:val="•"/>
      <w:lvlJc w:val="left"/>
      <w:pPr>
        <w:tabs>
          <w:tab w:val="num" w:pos="1701"/>
        </w:tabs>
        <w:ind w:left="1701" w:hanging="170"/>
      </w:pPr>
      <w:rPr>
        <w:rFonts w:ascii="Times New Roman" w:hAnsi="Times New Roman" w:cs="Times New Roman"/>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3"/>
  </w:num>
  <w:num w:numId="2">
    <w:abstractNumId w:val="14"/>
  </w:num>
  <w:num w:numId="3">
    <w:abstractNumId w:val="8"/>
  </w:num>
  <w:num w:numId="4">
    <w:abstractNumId w:val="3"/>
  </w:num>
  <w:num w:numId="5">
    <w:abstractNumId w:val="2"/>
  </w:num>
  <w:num w:numId="6">
    <w:abstractNumId w:val="1"/>
  </w:num>
  <w:num w:numId="7">
    <w:abstractNumId w:val="0"/>
  </w:num>
  <w:num w:numId="8">
    <w:abstractNumId w:val="18"/>
  </w:num>
  <w:num w:numId="9">
    <w:abstractNumId w:val="15"/>
  </w:num>
  <w:num w:numId="10">
    <w:abstractNumId w:val="17"/>
  </w:num>
  <w:num w:numId="11">
    <w:abstractNumId w:val="19"/>
  </w:num>
  <w:num w:numId="12">
    <w:abstractNumId w:val="12"/>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59621*"/>
    <w:docVar w:name="CreationDt" w:val="10/10/2014 12:07 PM"/>
    <w:docVar w:name="DocCategory" w:val="Doc"/>
    <w:docVar w:name="DocType" w:val="Final"/>
    <w:docVar w:name="FooterJN" w:val="14-59621"/>
    <w:docVar w:name="jobn" w:val="14-59621 (R)"/>
    <w:docVar w:name="jobnDT" w:val="14-59621 (R)   101014"/>
    <w:docVar w:name="jobnDTDT" w:val="14-59621 (R)   101014   101014"/>
    <w:docVar w:name="JobNo" w:val="1459621R"/>
    <w:docVar w:name="JobNo2" w:val="1451450R"/>
    <w:docVar w:name="OandT" w:val=" "/>
    <w:docVar w:name="sss1" w:val="CEDAW/C/ISL/7-8"/>
    <w:docVar w:name="sss2" w:val="-"/>
    <w:docVar w:name="Symbol1" w:val="CEDAW/C/ISL/7-8"/>
    <w:docVar w:name="Symbol2" w:val="-"/>
  </w:docVars>
  <w:rsids>
    <w:rsidRoot w:val="009C239F"/>
    <w:rsid w:val="00004615"/>
    <w:rsid w:val="00004756"/>
    <w:rsid w:val="00024A67"/>
    <w:rsid w:val="0003171F"/>
    <w:rsid w:val="00033C1F"/>
    <w:rsid w:val="000513EF"/>
    <w:rsid w:val="0005420D"/>
    <w:rsid w:val="00055EA2"/>
    <w:rsid w:val="00067A90"/>
    <w:rsid w:val="00070C37"/>
    <w:rsid w:val="000A111E"/>
    <w:rsid w:val="000C67BC"/>
    <w:rsid w:val="000E4411"/>
    <w:rsid w:val="000F1ACD"/>
    <w:rsid w:val="000F5D07"/>
    <w:rsid w:val="00102068"/>
    <w:rsid w:val="00105B0E"/>
    <w:rsid w:val="001444A3"/>
    <w:rsid w:val="00153645"/>
    <w:rsid w:val="00153E8C"/>
    <w:rsid w:val="00161F29"/>
    <w:rsid w:val="00162E88"/>
    <w:rsid w:val="001726A4"/>
    <w:rsid w:val="00177361"/>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E1F79"/>
    <w:rsid w:val="002F5C45"/>
    <w:rsid w:val="002F6149"/>
    <w:rsid w:val="00326F5F"/>
    <w:rsid w:val="00337D91"/>
    <w:rsid w:val="00350756"/>
    <w:rsid w:val="00363E39"/>
    <w:rsid w:val="003658B0"/>
    <w:rsid w:val="0039505F"/>
    <w:rsid w:val="003A150E"/>
    <w:rsid w:val="003C2842"/>
    <w:rsid w:val="003D0825"/>
    <w:rsid w:val="003D2003"/>
    <w:rsid w:val="003D4C41"/>
    <w:rsid w:val="003D4E3C"/>
    <w:rsid w:val="003D5DA2"/>
    <w:rsid w:val="003E5193"/>
    <w:rsid w:val="00427055"/>
    <w:rsid w:val="00427FE5"/>
    <w:rsid w:val="00433222"/>
    <w:rsid w:val="00436F13"/>
    <w:rsid w:val="004420FB"/>
    <w:rsid w:val="004504A6"/>
    <w:rsid w:val="00460D23"/>
    <w:rsid w:val="00462B91"/>
    <w:rsid w:val="004645DD"/>
    <w:rsid w:val="004A7499"/>
    <w:rsid w:val="004B1314"/>
    <w:rsid w:val="004C298C"/>
    <w:rsid w:val="004D275F"/>
    <w:rsid w:val="004D656E"/>
    <w:rsid w:val="004E3C3F"/>
    <w:rsid w:val="004E6443"/>
    <w:rsid w:val="005121DC"/>
    <w:rsid w:val="00513113"/>
    <w:rsid w:val="00515869"/>
    <w:rsid w:val="005214BA"/>
    <w:rsid w:val="00524A24"/>
    <w:rsid w:val="005251C4"/>
    <w:rsid w:val="00526E12"/>
    <w:rsid w:val="00533411"/>
    <w:rsid w:val="0054563F"/>
    <w:rsid w:val="005469E1"/>
    <w:rsid w:val="00552E08"/>
    <w:rsid w:val="0056579C"/>
    <w:rsid w:val="00567706"/>
    <w:rsid w:val="005734C2"/>
    <w:rsid w:val="00574AA1"/>
    <w:rsid w:val="0057633B"/>
    <w:rsid w:val="00580502"/>
    <w:rsid w:val="00590EDF"/>
    <w:rsid w:val="005933CB"/>
    <w:rsid w:val="005A1D01"/>
    <w:rsid w:val="005C2B1F"/>
    <w:rsid w:val="005D38B6"/>
    <w:rsid w:val="005D7642"/>
    <w:rsid w:val="005E0A46"/>
    <w:rsid w:val="005E7DCF"/>
    <w:rsid w:val="005F6E5C"/>
    <w:rsid w:val="00602F9D"/>
    <w:rsid w:val="00616B8D"/>
    <w:rsid w:val="006261A6"/>
    <w:rsid w:val="0063491E"/>
    <w:rsid w:val="00635AF8"/>
    <w:rsid w:val="00646363"/>
    <w:rsid w:val="006505E8"/>
    <w:rsid w:val="00655212"/>
    <w:rsid w:val="00657EE4"/>
    <w:rsid w:val="006A1698"/>
    <w:rsid w:val="006A1D06"/>
    <w:rsid w:val="006A3F10"/>
    <w:rsid w:val="006E753A"/>
    <w:rsid w:val="006F3683"/>
    <w:rsid w:val="00700738"/>
    <w:rsid w:val="00705549"/>
    <w:rsid w:val="0071210D"/>
    <w:rsid w:val="0071605E"/>
    <w:rsid w:val="00716BC5"/>
    <w:rsid w:val="00723115"/>
    <w:rsid w:val="00724550"/>
    <w:rsid w:val="0072475B"/>
    <w:rsid w:val="00736A19"/>
    <w:rsid w:val="00745258"/>
    <w:rsid w:val="00761D8B"/>
    <w:rsid w:val="00781ACA"/>
    <w:rsid w:val="00787B44"/>
    <w:rsid w:val="00795A5A"/>
    <w:rsid w:val="007B098D"/>
    <w:rsid w:val="007B1DE5"/>
    <w:rsid w:val="007B5785"/>
    <w:rsid w:val="007B5CF3"/>
    <w:rsid w:val="007C62D1"/>
    <w:rsid w:val="007C706F"/>
    <w:rsid w:val="007E0E39"/>
    <w:rsid w:val="007E2B60"/>
    <w:rsid w:val="00803EC5"/>
    <w:rsid w:val="00821CE2"/>
    <w:rsid w:val="00830FF8"/>
    <w:rsid w:val="00844407"/>
    <w:rsid w:val="00853E2A"/>
    <w:rsid w:val="008541E9"/>
    <w:rsid w:val="00856EEB"/>
    <w:rsid w:val="00873DDD"/>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5649D"/>
    <w:rsid w:val="00984EE4"/>
    <w:rsid w:val="0099354F"/>
    <w:rsid w:val="009A7AE9"/>
    <w:rsid w:val="009B3444"/>
    <w:rsid w:val="009B5DCD"/>
    <w:rsid w:val="009C239F"/>
    <w:rsid w:val="009D6E3D"/>
    <w:rsid w:val="009E5064"/>
    <w:rsid w:val="009F0808"/>
    <w:rsid w:val="00A14F1D"/>
    <w:rsid w:val="00A1703F"/>
    <w:rsid w:val="00A63339"/>
    <w:rsid w:val="00A90F41"/>
    <w:rsid w:val="00A9600A"/>
    <w:rsid w:val="00A96C80"/>
    <w:rsid w:val="00AA0ABF"/>
    <w:rsid w:val="00AA27C2"/>
    <w:rsid w:val="00AD6322"/>
    <w:rsid w:val="00AD78B1"/>
    <w:rsid w:val="00AE015A"/>
    <w:rsid w:val="00AF0B91"/>
    <w:rsid w:val="00B33139"/>
    <w:rsid w:val="00B5129B"/>
    <w:rsid w:val="00B56376"/>
    <w:rsid w:val="00B606B7"/>
    <w:rsid w:val="00B77FC0"/>
    <w:rsid w:val="00BB052D"/>
    <w:rsid w:val="00BB1F92"/>
    <w:rsid w:val="00BB5B7F"/>
    <w:rsid w:val="00BD2F16"/>
    <w:rsid w:val="00BE448A"/>
    <w:rsid w:val="00BE531D"/>
    <w:rsid w:val="00BF3D60"/>
    <w:rsid w:val="00BF5FCB"/>
    <w:rsid w:val="00C16B93"/>
    <w:rsid w:val="00C2210E"/>
    <w:rsid w:val="00C2524E"/>
    <w:rsid w:val="00C32802"/>
    <w:rsid w:val="00C40B0B"/>
    <w:rsid w:val="00C60105"/>
    <w:rsid w:val="00C623BF"/>
    <w:rsid w:val="00C70D59"/>
    <w:rsid w:val="00C7432F"/>
    <w:rsid w:val="00C77473"/>
    <w:rsid w:val="00CA2CF3"/>
    <w:rsid w:val="00CB519E"/>
    <w:rsid w:val="00CC5B37"/>
    <w:rsid w:val="00CD2ED3"/>
    <w:rsid w:val="00CD3C62"/>
    <w:rsid w:val="00CF021B"/>
    <w:rsid w:val="00CF066B"/>
    <w:rsid w:val="00CF07BE"/>
    <w:rsid w:val="00D028FF"/>
    <w:rsid w:val="00D05963"/>
    <w:rsid w:val="00D1470E"/>
    <w:rsid w:val="00D20AA4"/>
    <w:rsid w:val="00D434AF"/>
    <w:rsid w:val="00D61BB7"/>
    <w:rsid w:val="00D7165D"/>
    <w:rsid w:val="00D75705"/>
    <w:rsid w:val="00D961D6"/>
    <w:rsid w:val="00D97B17"/>
    <w:rsid w:val="00DA1A4A"/>
    <w:rsid w:val="00DC1E7E"/>
    <w:rsid w:val="00DC7A5F"/>
    <w:rsid w:val="00DD6A66"/>
    <w:rsid w:val="00DF1CF0"/>
    <w:rsid w:val="00E04C73"/>
    <w:rsid w:val="00E079A3"/>
    <w:rsid w:val="00E15D7D"/>
    <w:rsid w:val="00E17234"/>
    <w:rsid w:val="00E261F5"/>
    <w:rsid w:val="00E375DA"/>
    <w:rsid w:val="00E6111E"/>
    <w:rsid w:val="00E616D0"/>
    <w:rsid w:val="00E62CCE"/>
    <w:rsid w:val="00E65C07"/>
    <w:rsid w:val="00E8225E"/>
    <w:rsid w:val="00E90547"/>
    <w:rsid w:val="00E970B0"/>
    <w:rsid w:val="00EA1656"/>
    <w:rsid w:val="00EA1819"/>
    <w:rsid w:val="00EB646E"/>
    <w:rsid w:val="00EC6F5D"/>
    <w:rsid w:val="00EF1FBD"/>
    <w:rsid w:val="00F07DDF"/>
    <w:rsid w:val="00F16256"/>
    <w:rsid w:val="00F231E8"/>
    <w:rsid w:val="00F33544"/>
    <w:rsid w:val="00F35ACF"/>
    <w:rsid w:val="00F624BD"/>
    <w:rsid w:val="00F62A5E"/>
    <w:rsid w:val="00F7235F"/>
    <w:rsid w:val="00F74A39"/>
    <w:rsid w:val="00F85203"/>
    <w:rsid w:val="00F92676"/>
    <w:rsid w:val="00F94262"/>
    <w:rsid w:val="00F979A8"/>
    <w:rsid w:val="00FA1B93"/>
    <w:rsid w:val="00FA5551"/>
    <w:rsid w:val="00FA7C7A"/>
    <w:rsid w:val="00FD213B"/>
    <w:rsid w:val="00FD3CE8"/>
    <w:rsid w:val="00FE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semiHidden="0" w:unhideWhenUsed="0"/>
    <w:lsdException w:name="footer" w:semiHidden="0" w:unhideWhenUsed="0"/>
    <w:lsdException w:name="index heading" w:uiPriority="99"/>
    <w:lsdException w:name="caption" w:qFormat="1"/>
    <w:lsdException w:name="table of figures" w:uiPriority="99"/>
    <w:lsdException w:name="line number" w:semiHidden="0" w:unhideWhenUsed="0"/>
    <w:lsdException w:name="table of authorities" w:uiPriority="99"/>
    <w:lsdException w:name="macro"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Table Web 3"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R,Table_G"/>
    <w:basedOn w:val="Normal"/>
    <w:next w:val="Normal"/>
    <w:link w:val="Heading1Char"/>
    <w:qFormat/>
    <w:rsid w:val="0088396E"/>
    <w:pPr>
      <w:keepNext/>
      <w:spacing w:before="240" w:after="60"/>
      <w:outlineLvl w:val="0"/>
    </w:pPr>
    <w:rPr>
      <w:rFonts w:ascii="Arial" w:eastAsia="SimSun" w:hAnsi="Arial"/>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rPr>
  </w:style>
  <w:style w:type="paragraph" w:styleId="Heading4">
    <w:name w:val="heading 4"/>
    <w:basedOn w:val="Normal"/>
    <w:next w:val="Normal"/>
    <w:link w:val="Heading4Char"/>
    <w:qFormat/>
    <w:rsid w:val="00102068"/>
    <w:pPr>
      <w:keepNext/>
      <w:numPr>
        <w:ilvl w:val="3"/>
        <w:numId w:val="13"/>
      </w:numPr>
      <w:spacing w:before="240" w:after="60" w:line="240" w:lineRule="atLeast"/>
      <w:ind w:left="864" w:hanging="144"/>
      <w:outlineLvl w:val="3"/>
    </w:pPr>
    <w:rPr>
      <w:rFonts w:eastAsia="Times New Roman"/>
      <w:b/>
      <w:bCs/>
      <w:sz w:val="28"/>
      <w:szCs w:val="28"/>
    </w:rPr>
  </w:style>
  <w:style w:type="paragraph" w:styleId="Heading5">
    <w:name w:val="heading 5"/>
    <w:basedOn w:val="Normal"/>
    <w:next w:val="Normal"/>
    <w:link w:val="Heading5Char"/>
    <w:qFormat/>
    <w:rsid w:val="00102068"/>
    <w:pPr>
      <w:numPr>
        <w:ilvl w:val="4"/>
        <w:numId w:val="13"/>
      </w:numPr>
      <w:spacing w:before="240" w:after="60" w:line="240" w:lineRule="atLeast"/>
      <w:ind w:left="1008" w:hanging="432"/>
      <w:outlineLvl w:val="4"/>
    </w:pPr>
    <w:rPr>
      <w:rFonts w:eastAsia="Times New Roman"/>
      <w:b/>
      <w:bCs/>
      <w:i/>
      <w:iCs/>
      <w:sz w:val="26"/>
      <w:szCs w:val="26"/>
    </w:rPr>
  </w:style>
  <w:style w:type="paragraph" w:styleId="Heading6">
    <w:name w:val="heading 6"/>
    <w:basedOn w:val="Normal"/>
    <w:next w:val="Normal"/>
    <w:link w:val="Heading6Char"/>
    <w:qFormat/>
    <w:rsid w:val="00102068"/>
    <w:pPr>
      <w:numPr>
        <w:ilvl w:val="5"/>
        <w:numId w:val="13"/>
      </w:numPr>
      <w:spacing w:before="240" w:after="60" w:line="240" w:lineRule="atLeast"/>
      <w:ind w:left="1152" w:hanging="432"/>
      <w:outlineLvl w:val="5"/>
    </w:pPr>
    <w:rPr>
      <w:rFonts w:eastAsia="Times New Roman"/>
      <w:b/>
      <w:bCs/>
      <w:sz w:val="22"/>
    </w:rPr>
  </w:style>
  <w:style w:type="paragraph" w:styleId="Heading7">
    <w:name w:val="heading 7"/>
    <w:basedOn w:val="Normal"/>
    <w:next w:val="Normal"/>
    <w:link w:val="Heading7Char"/>
    <w:qFormat/>
    <w:rsid w:val="00102068"/>
    <w:pPr>
      <w:numPr>
        <w:ilvl w:val="6"/>
        <w:numId w:val="13"/>
      </w:numPr>
      <w:spacing w:before="240" w:after="60" w:line="240" w:lineRule="atLeast"/>
      <w:ind w:left="1296" w:hanging="288"/>
      <w:outlineLvl w:val="6"/>
    </w:pPr>
    <w:rPr>
      <w:rFonts w:eastAsia="Times New Roman"/>
      <w:sz w:val="24"/>
      <w:szCs w:val="20"/>
    </w:rPr>
  </w:style>
  <w:style w:type="paragraph" w:styleId="Heading8">
    <w:name w:val="heading 8"/>
    <w:basedOn w:val="Normal"/>
    <w:next w:val="Normal"/>
    <w:link w:val="Heading8Char"/>
    <w:qFormat/>
    <w:rsid w:val="00102068"/>
    <w:pPr>
      <w:numPr>
        <w:ilvl w:val="7"/>
        <w:numId w:val="13"/>
      </w:numPr>
      <w:spacing w:before="240" w:after="60" w:line="240" w:lineRule="atLeast"/>
      <w:ind w:left="1440" w:hanging="432"/>
      <w:outlineLvl w:val="7"/>
    </w:pPr>
    <w:rPr>
      <w:rFonts w:eastAsia="Times New Roman"/>
      <w:i/>
      <w:iCs/>
      <w:sz w:val="24"/>
      <w:szCs w:val="20"/>
    </w:rPr>
  </w:style>
  <w:style w:type="paragraph" w:styleId="Heading9">
    <w:name w:val="heading 9"/>
    <w:basedOn w:val="Normal"/>
    <w:next w:val="Normal"/>
    <w:link w:val="Heading9Char"/>
    <w:qFormat/>
    <w:rsid w:val="00102068"/>
    <w:pPr>
      <w:numPr>
        <w:ilvl w:val="8"/>
        <w:numId w:val="13"/>
      </w:numPr>
      <w:spacing w:before="240" w:after="60" w:line="240" w:lineRule="atLeast"/>
      <w:ind w:left="1584" w:hanging="144"/>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R"/>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R Char"/>
    <w:link w:val="Footer"/>
    <w:rsid w:val="00BE531D"/>
    <w:rPr>
      <w:rFonts w:ascii="Times New Roman" w:hAnsi="Times New Roman"/>
      <w:b/>
      <w:sz w:val="17"/>
      <w:lang w:val="ru-RU"/>
    </w:rPr>
  </w:style>
  <w:style w:type="paragraph" w:styleId="Header">
    <w:name w:val="header"/>
    <w:aliases w:val="6_GR"/>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R Char"/>
    <w:link w:val="Header"/>
    <w:rsid w:val="00BE531D"/>
    <w:rPr>
      <w:rFonts w:ascii="Times New Roman" w:hAnsi="Times New Roman"/>
      <w:sz w:val="17"/>
      <w:lang w:val="ru-RU"/>
    </w:rPr>
  </w:style>
  <w:style w:type="character" w:customStyle="1" w:styleId="Heading1Char">
    <w:name w:val="Heading 1 Char"/>
    <w:aliases w:val="Table_GR Char,Table_G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R,5_G, Char,Footnote Text Blue,EUMC_Lábjegyzetszöveg + 13 pt,Félkövér,Dolt,Középre zárt Char,Középre zárt Char Char,Középre zárt,Märk,Footnote Text Char1,Footnote Text Char Char,Footnote Text Char2 Char Char,fn,f Char Char,f Char,f,f1"/>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R Char,5_G Char, Char Char,Footnote Text Blue Char,EUMC_Lábjegyzetszöveg + 13 pt Char,Félkövér Char,Dolt Char,Középre zárt Char Char1,Középre zárt Char Char Char,Középre zárt Char1,Märk Char,Footnote Text Char1 Char,fn Char,f Char1"/>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4_G,ftref,Ref,de nota al pie"/>
    <w:unhideWhenUsed/>
    <w:rsid w:val="00EC6F5D"/>
    <w:rPr>
      <w:spacing w:val="-5"/>
      <w:w w:val="130"/>
      <w:position w:val="-4"/>
      <w:vertAlign w:val="superscript"/>
    </w:rPr>
  </w:style>
  <w:style w:type="paragraph" w:styleId="EndnoteText">
    <w:name w:val="endnote text"/>
    <w:aliases w:val="2_GR"/>
    <w:basedOn w:val="Normal"/>
    <w:link w:val="EndnoteTextChar"/>
    <w:unhideWhenUsed/>
    <w:rsid w:val="00515869"/>
    <w:pPr>
      <w:suppressAutoHyphens/>
      <w:spacing w:line="240" w:lineRule="auto"/>
    </w:pPr>
    <w:rPr>
      <w:spacing w:val="5"/>
      <w:w w:val="104"/>
      <w:szCs w:val="20"/>
    </w:rPr>
  </w:style>
  <w:style w:type="character" w:customStyle="1" w:styleId="EndnoteTextChar">
    <w:name w:val="Endnote Text Char"/>
    <w:aliases w:val="2_GR Char"/>
    <w:link w:val="EndnoteText"/>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6E753A"/>
    <w:rPr>
      <w:sz w:val="16"/>
      <w:szCs w:val="16"/>
    </w:rPr>
  </w:style>
  <w:style w:type="paragraph" w:styleId="CommentText">
    <w:name w:val="annotation text"/>
    <w:basedOn w:val="Normal"/>
    <w:link w:val="CommentTextChar"/>
    <w:uiPriority w:val="99"/>
    <w:unhideWhenUsed/>
    <w:rsid w:val="006E753A"/>
    <w:rPr>
      <w:szCs w:val="20"/>
    </w:rPr>
  </w:style>
  <w:style w:type="character" w:customStyle="1" w:styleId="CommentTextChar">
    <w:name w:val="Comment Text Char"/>
    <w:link w:val="CommentText"/>
    <w:uiPriority w:val="99"/>
    <w:rsid w:val="006E753A"/>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6E753A"/>
    <w:rPr>
      <w:b/>
      <w:bCs/>
    </w:rPr>
  </w:style>
  <w:style w:type="character" w:customStyle="1" w:styleId="CommentSubjectChar">
    <w:name w:val="Comment Subject Char"/>
    <w:link w:val="CommentSubject"/>
    <w:uiPriority w:val="99"/>
    <w:semiHidden/>
    <w:rsid w:val="006E753A"/>
    <w:rPr>
      <w:rFonts w:ascii="Times New Roman" w:hAnsi="Times New Roman" w:cs="Times New Roman"/>
      <w:b/>
      <w:bCs/>
      <w:spacing w:val="4"/>
      <w:w w:val="103"/>
      <w:kern w:val="14"/>
      <w:lang w:eastAsia="en-US"/>
    </w:rPr>
  </w:style>
  <w:style w:type="character" w:customStyle="1" w:styleId="Heading4Char">
    <w:name w:val="Heading 4 Char"/>
    <w:link w:val="Heading4"/>
    <w:rsid w:val="00102068"/>
    <w:rPr>
      <w:rFonts w:ascii="Times New Roman" w:eastAsia="Times New Roman" w:hAnsi="Times New Roman" w:cs="Times New Roman"/>
      <w:b/>
      <w:bCs/>
      <w:spacing w:val="4"/>
      <w:w w:val="103"/>
      <w:kern w:val="14"/>
      <w:sz w:val="28"/>
      <w:szCs w:val="28"/>
      <w:lang w:eastAsia="en-US"/>
    </w:rPr>
  </w:style>
  <w:style w:type="character" w:customStyle="1" w:styleId="Heading5Char">
    <w:name w:val="Heading 5 Char"/>
    <w:link w:val="Heading5"/>
    <w:rsid w:val="00102068"/>
    <w:rPr>
      <w:rFonts w:ascii="Times New Roman" w:eastAsia="Times New Roman" w:hAnsi="Times New Roman" w:cs="Times New Roman"/>
      <w:b/>
      <w:bCs/>
      <w:i/>
      <w:iCs/>
      <w:spacing w:val="4"/>
      <w:w w:val="103"/>
      <w:kern w:val="14"/>
      <w:sz w:val="26"/>
      <w:szCs w:val="26"/>
      <w:lang w:eastAsia="en-US"/>
    </w:rPr>
  </w:style>
  <w:style w:type="character" w:customStyle="1" w:styleId="Heading6Char">
    <w:name w:val="Heading 6 Char"/>
    <w:link w:val="Heading6"/>
    <w:rsid w:val="00102068"/>
    <w:rPr>
      <w:rFonts w:ascii="Times New Roman" w:eastAsia="Times New Roman" w:hAnsi="Times New Roman" w:cs="Times New Roman"/>
      <w:b/>
      <w:bCs/>
      <w:spacing w:val="4"/>
      <w:w w:val="103"/>
      <w:kern w:val="14"/>
      <w:sz w:val="22"/>
      <w:szCs w:val="22"/>
      <w:lang w:eastAsia="en-US"/>
    </w:rPr>
  </w:style>
  <w:style w:type="character" w:customStyle="1" w:styleId="Heading7Char">
    <w:name w:val="Heading 7 Char"/>
    <w:link w:val="Heading7"/>
    <w:rsid w:val="00102068"/>
    <w:rPr>
      <w:rFonts w:ascii="Times New Roman" w:eastAsia="Times New Roman" w:hAnsi="Times New Roman" w:cs="Times New Roman"/>
      <w:spacing w:val="4"/>
      <w:w w:val="103"/>
      <w:kern w:val="14"/>
      <w:sz w:val="24"/>
      <w:lang w:eastAsia="en-US"/>
    </w:rPr>
  </w:style>
  <w:style w:type="character" w:customStyle="1" w:styleId="Heading8Char">
    <w:name w:val="Heading 8 Char"/>
    <w:link w:val="Heading8"/>
    <w:rsid w:val="00102068"/>
    <w:rPr>
      <w:rFonts w:ascii="Times New Roman" w:eastAsia="Times New Roman" w:hAnsi="Times New Roman" w:cs="Times New Roman"/>
      <w:i/>
      <w:iCs/>
      <w:spacing w:val="4"/>
      <w:w w:val="103"/>
      <w:kern w:val="14"/>
      <w:sz w:val="24"/>
      <w:lang w:eastAsia="en-US"/>
    </w:rPr>
  </w:style>
  <w:style w:type="character" w:customStyle="1" w:styleId="Heading9Char">
    <w:name w:val="Heading 9 Char"/>
    <w:link w:val="Heading9"/>
    <w:rsid w:val="00102068"/>
    <w:rPr>
      <w:rFonts w:ascii="Arial" w:eastAsia="Times New Roman" w:hAnsi="Arial"/>
      <w:spacing w:val="4"/>
      <w:w w:val="103"/>
      <w:kern w:val="14"/>
      <w:sz w:val="22"/>
      <w:szCs w:val="22"/>
      <w:lang w:eastAsia="en-US"/>
    </w:rPr>
  </w:style>
  <w:style w:type="paragraph" w:customStyle="1" w:styleId="SLGR">
    <w:name w:val="__S_L_GR"/>
    <w:basedOn w:val="Normal"/>
    <w:next w:val="Normal"/>
    <w:rsid w:val="00102068"/>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rsid w:val="00102068"/>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rsid w:val="00102068"/>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rsid w:val="00102068"/>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rsid w:val="00102068"/>
    <w:pPr>
      <w:numPr>
        <w:numId w:val="8"/>
      </w:numPr>
      <w:spacing w:after="120" w:line="240" w:lineRule="atLeast"/>
      <w:ind w:right="1134"/>
      <w:jc w:val="both"/>
    </w:pPr>
    <w:rPr>
      <w:rFonts w:eastAsia="Times New Roman"/>
      <w:szCs w:val="20"/>
      <w:lang w:eastAsia="ru-RU"/>
    </w:rPr>
  </w:style>
  <w:style w:type="paragraph" w:customStyle="1" w:styleId="Bullet2GR">
    <w:name w:val="_Bullet 2_GR"/>
    <w:basedOn w:val="Normal"/>
    <w:rsid w:val="00102068"/>
    <w:pPr>
      <w:numPr>
        <w:numId w:val="9"/>
      </w:numPr>
      <w:spacing w:after="120" w:line="240" w:lineRule="atLeast"/>
      <w:ind w:right="1134"/>
      <w:jc w:val="both"/>
    </w:pPr>
    <w:rPr>
      <w:rFonts w:eastAsia="Times New Roman"/>
      <w:szCs w:val="20"/>
      <w:lang w:eastAsia="ru-RU"/>
    </w:rPr>
  </w:style>
  <w:style w:type="numbering" w:styleId="111111">
    <w:name w:val="Outline List 2"/>
    <w:basedOn w:val="NoList"/>
    <w:semiHidden/>
    <w:rsid w:val="00102068"/>
    <w:pPr>
      <w:numPr>
        <w:numId w:val="11"/>
      </w:numPr>
    </w:pPr>
  </w:style>
  <w:style w:type="numbering" w:styleId="1ai">
    <w:name w:val="Outline List 1"/>
    <w:basedOn w:val="NoList"/>
    <w:semiHidden/>
    <w:rsid w:val="00102068"/>
    <w:pPr>
      <w:numPr>
        <w:numId w:val="12"/>
      </w:numPr>
    </w:pPr>
  </w:style>
  <w:style w:type="paragraph" w:styleId="HTMLAddress">
    <w:name w:val="HTML Address"/>
    <w:basedOn w:val="Normal"/>
    <w:link w:val="HTMLAddressChar"/>
    <w:semiHidden/>
    <w:rsid w:val="00102068"/>
    <w:pPr>
      <w:spacing w:line="240" w:lineRule="atLeast"/>
    </w:pPr>
    <w:rPr>
      <w:rFonts w:eastAsia="Times New Roman"/>
      <w:i/>
      <w:iCs/>
      <w:szCs w:val="20"/>
    </w:rPr>
  </w:style>
  <w:style w:type="character" w:customStyle="1" w:styleId="HTMLAddressChar">
    <w:name w:val="HTML Address Char"/>
    <w:link w:val="HTMLAddress"/>
    <w:semiHidden/>
    <w:rsid w:val="00102068"/>
    <w:rPr>
      <w:rFonts w:ascii="Times New Roman" w:eastAsia="Times New Roman" w:hAnsi="Times New Roman" w:cs="Times New Roman"/>
      <w:i/>
      <w:iCs/>
      <w:spacing w:val="4"/>
      <w:w w:val="103"/>
      <w:kern w:val="14"/>
      <w:lang w:eastAsia="en-US"/>
    </w:rPr>
  </w:style>
  <w:style w:type="paragraph" w:styleId="EnvelopeAddress">
    <w:name w:val="envelope address"/>
    <w:basedOn w:val="Normal"/>
    <w:semiHidden/>
    <w:rsid w:val="00102068"/>
    <w:pPr>
      <w:framePr w:w="7920" w:h="1980" w:hRule="exact" w:hSpace="180" w:wrap="auto" w:hAnchor="page" w:xAlign="center" w:yAlign="bottom"/>
      <w:spacing w:line="240" w:lineRule="atLeast"/>
      <w:ind w:left="2880"/>
    </w:pPr>
    <w:rPr>
      <w:rFonts w:ascii="Arial" w:eastAsia="Times New Roman" w:hAnsi="Arial" w:cs="Arial"/>
      <w:sz w:val="24"/>
      <w:szCs w:val="20"/>
    </w:rPr>
  </w:style>
  <w:style w:type="paragraph" w:styleId="Date">
    <w:name w:val="Date"/>
    <w:basedOn w:val="Normal"/>
    <w:next w:val="Normal"/>
    <w:link w:val="DateChar"/>
    <w:semiHidden/>
    <w:rsid w:val="00102068"/>
    <w:pPr>
      <w:spacing w:line="240" w:lineRule="atLeast"/>
    </w:pPr>
    <w:rPr>
      <w:rFonts w:eastAsia="Times New Roman"/>
      <w:szCs w:val="20"/>
    </w:rPr>
  </w:style>
  <w:style w:type="character" w:customStyle="1" w:styleId="DateChar">
    <w:name w:val="Date Char"/>
    <w:link w:val="Date"/>
    <w:semiHidden/>
    <w:rsid w:val="00102068"/>
    <w:rPr>
      <w:rFonts w:ascii="Times New Roman" w:eastAsia="Times New Roman" w:hAnsi="Times New Roman" w:cs="Times New Roman"/>
      <w:spacing w:val="4"/>
      <w:w w:val="103"/>
      <w:kern w:val="14"/>
      <w:lang w:eastAsia="en-US"/>
    </w:rPr>
  </w:style>
  <w:style w:type="paragraph" w:styleId="ListBullet5">
    <w:name w:val="List Bullet 5"/>
    <w:basedOn w:val="Normal"/>
    <w:semiHidden/>
    <w:rsid w:val="00102068"/>
    <w:pPr>
      <w:numPr>
        <w:numId w:val="17"/>
      </w:numPr>
      <w:spacing w:line="240" w:lineRule="atLeast"/>
    </w:pPr>
    <w:rPr>
      <w:rFonts w:eastAsia="Times New Roman"/>
      <w:szCs w:val="20"/>
    </w:rPr>
  </w:style>
  <w:style w:type="table" w:styleId="TableGrid">
    <w:name w:val="Table Grid"/>
    <w:basedOn w:val="TableNormal"/>
    <w:rsid w:val="00102068"/>
    <w:pPr>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102068"/>
    <w:pPr>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EndnoteReference">
    <w:name w:val="endnote reference"/>
    <w:aliases w:val="1_GR"/>
    <w:rsid w:val="00102068"/>
    <w:rPr>
      <w:rFonts w:ascii="Times New Roman" w:hAnsi="Times New Roman"/>
      <w:dstrike w:val="0"/>
      <w:spacing w:val="-5"/>
      <w:w w:val="130"/>
      <w:position w:val="-4"/>
      <w:sz w:val="18"/>
      <w:vertAlign w:val="superscript"/>
    </w:rPr>
  </w:style>
  <w:style w:type="character" w:styleId="PageNumber">
    <w:name w:val="page number"/>
    <w:aliases w:val="7_GR"/>
    <w:rsid w:val="00102068"/>
    <w:rPr>
      <w:rFonts w:ascii="Times New Roman" w:hAnsi="Times New Roman"/>
      <w:b/>
      <w:sz w:val="18"/>
    </w:rPr>
  </w:style>
  <w:style w:type="paragraph" w:customStyle="1" w:styleId="ParaNoGR">
    <w:name w:val="_ParaNo._GR"/>
    <w:basedOn w:val="Normal"/>
    <w:next w:val="Normal"/>
    <w:rsid w:val="00102068"/>
    <w:pPr>
      <w:numPr>
        <w:numId w:val="10"/>
      </w:numPr>
      <w:tabs>
        <w:tab w:val="left" w:pos="567"/>
      </w:tabs>
      <w:spacing w:after="120" w:line="240" w:lineRule="atLeast"/>
      <w:ind w:right="1134"/>
      <w:jc w:val="both"/>
      <w:outlineLvl w:val="0"/>
    </w:pPr>
    <w:rPr>
      <w:rFonts w:eastAsia="Times New Roman"/>
      <w:szCs w:val="20"/>
      <w:lang w:eastAsia="ru-RU"/>
    </w:rPr>
  </w:style>
  <w:style w:type="character" w:styleId="HTMLAcronym">
    <w:name w:val="HTML Acronym"/>
    <w:semiHidden/>
    <w:rsid w:val="00102068"/>
  </w:style>
  <w:style w:type="table" w:styleId="TableWeb1">
    <w:name w:val="Table Web 1"/>
    <w:basedOn w:val="TableNormal"/>
    <w:semiHidden/>
    <w:rsid w:val="00102068"/>
    <w:pPr>
      <w:spacing w:after="120" w:line="20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02068"/>
    <w:pPr>
      <w:spacing w:after="120" w:line="20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ChGR">
    <w:name w:val="_ H _Ch_GR Знак"/>
    <w:link w:val="HChGR0"/>
    <w:rsid w:val="00102068"/>
    <w:rPr>
      <w:b/>
      <w:spacing w:val="4"/>
      <w:w w:val="103"/>
      <w:kern w:val="14"/>
      <w:sz w:val="28"/>
    </w:rPr>
  </w:style>
  <w:style w:type="character" w:styleId="Emphasis">
    <w:name w:val="Emphasis"/>
    <w:qFormat/>
    <w:rsid w:val="00102068"/>
    <w:rPr>
      <w:i/>
      <w:iCs/>
    </w:rPr>
  </w:style>
  <w:style w:type="paragraph" w:styleId="NoteHeading">
    <w:name w:val="Note Heading"/>
    <w:basedOn w:val="Normal"/>
    <w:next w:val="Normal"/>
    <w:link w:val="NoteHeadingChar"/>
    <w:semiHidden/>
    <w:rsid w:val="00102068"/>
    <w:pPr>
      <w:spacing w:line="240" w:lineRule="atLeast"/>
    </w:pPr>
    <w:rPr>
      <w:rFonts w:eastAsia="Times New Roman"/>
      <w:szCs w:val="20"/>
    </w:rPr>
  </w:style>
  <w:style w:type="character" w:customStyle="1" w:styleId="NoteHeadingChar">
    <w:name w:val="Note Heading Char"/>
    <w:link w:val="NoteHeading"/>
    <w:semiHidden/>
    <w:rsid w:val="00102068"/>
    <w:rPr>
      <w:rFonts w:ascii="Times New Roman" w:eastAsia="Times New Roman" w:hAnsi="Times New Roman" w:cs="Times New Roman"/>
      <w:spacing w:val="4"/>
      <w:w w:val="103"/>
      <w:kern w:val="14"/>
      <w:lang w:eastAsia="en-US"/>
    </w:rPr>
  </w:style>
  <w:style w:type="table" w:styleId="TableElegant">
    <w:name w:val="Table Elegant"/>
    <w:basedOn w:val="TableNormal"/>
    <w:semiHidden/>
    <w:rsid w:val="00102068"/>
    <w:pPr>
      <w:spacing w:after="120" w:line="20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102068"/>
    <w:pPr>
      <w:spacing w:after="120" w:line="20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02068"/>
    <w:pPr>
      <w:spacing w:after="120" w:line="20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102068"/>
    <w:rPr>
      <w:rFonts w:ascii="Courier New" w:hAnsi="Courier New" w:cs="Courier New"/>
      <w:sz w:val="20"/>
      <w:szCs w:val="20"/>
    </w:rPr>
  </w:style>
  <w:style w:type="table" w:styleId="TableClassic1">
    <w:name w:val="Table Classic 1"/>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02068"/>
    <w:pPr>
      <w:spacing w:after="120" w:line="20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102068"/>
    <w:rPr>
      <w:rFonts w:ascii="Courier New" w:hAnsi="Courier New" w:cs="Courier New"/>
      <w:sz w:val="20"/>
      <w:szCs w:val="20"/>
    </w:rPr>
  </w:style>
  <w:style w:type="paragraph" w:styleId="BodyText">
    <w:name w:val="Body Text"/>
    <w:basedOn w:val="Normal"/>
    <w:link w:val="BodyTextChar"/>
    <w:semiHidden/>
    <w:rsid w:val="00102068"/>
    <w:pPr>
      <w:spacing w:line="240" w:lineRule="atLeast"/>
    </w:pPr>
    <w:rPr>
      <w:rFonts w:eastAsia="Times New Roman"/>
      <w:szCs w:val="20"/>
    </w:rPr>
  </w:style>
  <w:style w:type="character" w:customStyle="1" w:styleId="BodyTextChar">
    <w:name w:val="Body Text Char"/>
    <w:link w:val="BodyText"/>
    <w:semiHidden/>
    <w:rsid w:val="00102068"/>
    <w:rPr>
      <w:rFonts w:ascii="Times New Roman" w:eastAsia="Times New Roman" w:hAnsi="Times New Roman" w:cs="Times New Roman"/>
      <w:spacing w:val="4"/>
      <w:w w:val="103"/>
      <w:kern w:val="14"/>
      <w:lang w:eastAsia="en-US"/>
    </w:rPr>
  </w:style>
  <w:style w:type="paragraph" w:styleId="BodyTextFirstIndent">
    <w:name w:val="Body Text First Indent"/>
    <w:basedOn w:val="BodyText"/>
    <w:link w:val="BodyTextFirstIndentChar"/>
    <w:semiHidden/>
    <w:rsid w:val="00102068"/>
    <w:pPr>
      <w:ind w:firstLine="210"/>
    </w:pPr>
  </w:style>
  <w:style w:type="character" w:customStyle="1" w:styleId="BodyTextFirstIndentChar">
    <w:name w:val="Body Text First Indent Char"/>
    <w:basedOn w:val="BodyTextChar"/>
    <w:link w:val="BodyTextFirstIndent"/>
    <w:semiHidden/>
    <w:rsid w:val="00102068"/>
    <w:rPr>
      <w:rFonts w:ascii="Times New Roman" w:eastAsia="Times New Roman" w:hAnsi="Times New Roman" w:cs="Times New Roman"/>
      <w:spacing w:val="4"/>
      <w:w w:val="103"/>
      <w:kern w:val="14"/>
      <w:lang w:eastAsia="en-US"/>
    </w:rPr>
  </w:style>
  <w:style w:type="paragraph" w:styleId="BodyTextIndent">
    <w:name w:val="Body Text Indent"/>
    <w:basedOn w:val="Normal"/>
    <w:link w:val="BodyTextIndentChar"/>
    <w:semiHidden/>
    <w:rsid w:val="00102068"/>
    <w:pPr>
      <w:spacing w:line="240" w:lineRule="atLeast"/>
      <w:ind w:left="283"/>
    </w:pPr>
    <w:rPr>
      <w:rFonts w:eastAsia="Times New Roman"/>
      <w:szCs w:val="20"/>
    </w:rPr>
  </w:style>
  <w:style w:type="character" w:customStyle="1" w:styleId="BodyTextIndentChar">
    <w:name w:val="Body Text Indent Char"/>
    <w:link w:val="BodyTextIndent"/>
    <w:semiHidden/>
    <w:rsid w:val="00102068"/>
    <w:rPr>
      <w:rFonts w:ascii="Times New Roman" w:eastAsia="Times New Roman" w:hAnsi="Times New Roman" w:cs="Times New Roman"/>
      <w:spacing w:val="4"/>
      <w:w w:val="103"/>
      <w:kern w:val="14"/>
      <w:lang w:eastAsia="en-US"/>
    </w:rPr>
  </w:style>
  <w:style w:type="paragraph" w:styleId="BodyTextFirstIndent2">
    <w:name w:val="Body Text First Indent 2"/>
    <w:basedOn w:val="BodyTextIndent"/>
    <w:link w:val="BodyTextFirstIndent2Char"/>
    <w:semiHidden/>
    <w:rsid w:val="00102068"/>
    <w:pPr>
      <w:ind w:firstLine="210"/>
    </w:pPr>
  </w:style>
  <w:style w:type="character" w:customStyle="1" w:styleId="BodyTextFirstIndent2Char">
    <w:name w:val="Body Text First Indent 2 Char"/>
    <w:basedOn w:val="BodyTextIndentChar"/>
    <w:link w:val="BodyTextFirstIndent2"/>
    <w:semiHidden/>
    <w:rsid w:val="00102068"/>
    <w:rPr>
      <w:rFonts w:ascii="Times New Roman" w:eastAsia="Times New Roman" w:hAnsi="Times New Roman" w:cs="Times New Roman"/>
      <w:spacing w:val="4"/>
      <w:w w:val="103"/>
      <w:kern w:val="14"/>
      <w:lang w:eastAsia="en-US"/>
    </w:rPr>
  </w:style>
  <w:style w:type="paragraph" w:styleId="ListBullet">
    <w:name w:val="List Bullet"/>
    <w:basedOn w:val="Normal"/>
    <w:semiHidden/>
    <w:rsid w:val="00102068"/>
    <w:pPr>
      <w:tabs>
        <w:tab w:val="num" w:pos="360"/>
      </w:tabs>
      <w:spacing w:line="240" w:lineRule="atLeast"/>
      <w:ind w:left="360" w:hanging="360"/>
    </w:pPr>
    <w:rPr>
      <w:rFonts w:eastAsia="Times New Roman"/>
      <w:szCs w:val="20"/>
    </w:rPr>
  </w:style>
  <w:style w:type="paragraph" w:styleId="ListBullet2">
    <w:name w:val="List Bullet 2"/>
    <w:basedOn w:val="Normal"/>
    <w:semiHidden/>
    <w:rsid w:val="00102068"/>
    <w:pPr>
      <w:numPr>
        <w:numId w:val="14"/>
      </w:numPr>
      <w:spacing w:line="240" w:lineRule="atLeast"/>
    </w:pPr>
    <w:rPr>
      <w:rFonts w:eastAsia="Times New Roman"/>
      <w:szCs w:val="20"/>
    </w:rPr>
  </w:style>
  <w:style w:type="paragraph" w:styleId="ListBullet3">
    <w:name w:val="List Bullet 3"/>
    <w:basedOn w:val="Normal"/>
    <w:semiHidden/>
    <w:rsid w:val="00102068"/>
    <w:pPr>
      <w:numPr>
        <w:numId w:val="15"/>
      </w:numPr>
      <w:spacing w:line="240" w:lineRule="atLeast"/>
    </w:pPr>
    <w:rPr>
      <w:rFonts w:eastAsia="Times New Roman"/>
      <w:szCs w:val="20"/>
    </w:rPr>
  </w:style>
  <w:style w:type="paragraph" w:styleId="ListBullet4">
    <w:name w:val="List Bullet 4"/>
    <w:basedOn w:val="Normal"/>
    <w:semiHidden/>
    <w:rsid w:val="00102068"/>
    <w:pPr>
      <w:numPr>
        <w:numId w:val="16"/>
      </w:numPr>
      <w:spacing w:line="240" w:lineRule="atLeast"/>
    </w:pPr>
    <w:rPr>
      <w:rFonts w:eastAsia="Times New Roman"/>
      <w:szCs w:val="20"/>
    </w:rPr>
  </w:style>
  <w:style w:type="paragraph" w:styleId="Title">
    <w:name w:val="Title"/>
    <w:basedOn w:val="Normal"/>
    <w:link w:val="TitleChar"/>
    <w:qFormat/>
    <w:rsid w:val="00102068"/>
    <w:pPr>
      <w:spacing w:before="240" w:after="60" w:line="240" w:lineRule="atLeast"/>
      <w:jc w:val="center"/>
      <w:outlineLvl w:val="0"/>
    </w:pPr>
    <w:rPr>
      <w:rFonts w:ascii="Arial" w:eastAsia="Times New Roman" w:hAnsi="Arial" w:cs="Arial"/>
      <w:b/>
      <w:bCs/>
      <w:kern w:val="28"/>
      <w:sz w:val="32"/>
      <w:szCs w:val="32"/>
    </w:rPr>
  </w:style>
  <w:style w:type="character" w:customStyle="1" w:styleId="TitleChar">
    <w:name w:val="Title Char"/>
    <w:link w:val="Title"/>
    <w:rsid w:val="00102068"/>
    <w:rPr>
      <w:rFonts w:ascii="Arial" w:eastAsia="Times New Roman" w:hAnsi="Arial"/>
      <w:b/>
      <w:bCs/>
      <w:spacing w:val="4"/>
      <w:w w:val="103"/>
      <w:kern w:val="28"/>
      <w:sz w:val="32"/>
      <w:szCs w:val="32"/>
      <w:lang w:eastAsia="en-US"/>
    </w:rPr>
  </w:style>
  <w:style w:type="character" w:styleId="LineNumber">
    <w:name w:val="line number"/>
    <w:rsid w:val="00102068"/>
  </w:style>
  <w:style w:type="character" w:styleId="HTMLSample">
    <w:name w:val="HTML Sample"/>
    <w:semiHidden/>
    <w:rsid w:val="00102068"/>
    <w:rPr>
      <w:rFonts w:ascii="Courier New" w:hAnsi="Courier New" w:cs="Courier New"/>
    </w:rPr>
  </w:style>
  <w:style w:type="paragraph" w:styleId="EnvelopeReturn">
    <w:name w:val="envelope return"/>
    <w:basedOn w:val="Normal"/>
    <w:semiHidden/>
    <w:rsid w:val="00102068"/>
    <w:pPr>
      <w:spacing w:line="240" w:lineRule="atLeast"/>
    </w:pPr>
    <w:rPr>
      <w:rFonts w:ascii="Arial" w:eastAsia="Times New Roman" w:hAnsi="Arial" w:cs="Arial"/>
      <w:szCs w:val="20"/>
    </w:rPr>
  </w:style>
  <w:style w:type="table" w:styleId="Table3Deffects1">
    <w:name w:val="Table 3D effects 1"/>
    <w:basedOn w:val="TableNormal"/>
    <w:semiHidden/>
    <w:rsid w:val="00102068"/>
    <w:pPr>
      <w:spacing w:after="120" w:line="20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02068"/>
    <w:pPr>
      <w:spacing w:after="120" w:line="20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02068"/>
    <w:pPr>
      <w:spacing w:after="120" w:line="20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102068"/>
    <w:pPr>
      <w:spacing w:line="240" w:lineRule="atLeast"/>
    </w:pPr>
    <w:rPr>
      <w:rFonts w:eastAsia="Times New Roman"/>
      <w:sz w:val="24"/>
      <w:szCs w:val="20"/>
    </w:rPr>
  </w:style>
  <w:style w:type="paragraph" w:styleId="NormalIndent">
    <w:name w:val="Normal Indent"/>
    <w:basedOn w:val="Normal"/>
    <w:semiHidden/>
    <w:rsid w:val="00102068"/>
    <w:pPr>
      <w:spacing w:line="240" w:lineRule="atLeast"/>
      <w:ind w:left="567"/>
    </w:pPr>
    <w:rPr>
      <w:rFonts w:eastAsia="Times New Roman"/>
      <w:szCs w:val="20"/>
    </w:rPr>
  </w:style>
  <w:style w:type="character" w:styleId="HTMLDefinition">
    <w:name w:val="HTML Definition"/>
    <w:semiHidden/>
    <w:rsid w:val="00102068"/>
    <w:rPr>
      <w:i/>
      <w:iCs/>
    </w:rPr>
  </w:style>
  <w:style w:type="paragraph" w:styleId="BodyText2">
    <w:name w:val="Body Text 2"/>
    <w:basedOn w:val="Normal"/>
    <w:link w:val="BodyText2Char"/>
    <w:semiHidden/>
    <w:rsid w:val="00102068"/>
    <w:pPr>
      <w:spacing w:line="480" w:lineRule="auto"/>
    </w:pPr>
    <w:rPr>
      <w:rFonts w:eastAsia="Times New Roman"/>
      <w:szCs w:val="20"/>
    </w:rPr>
  </w:style>
  <w:style w:type="character" w:customStyle="1" w:styleId="BodyText2Char">
    <w:name w:val="Body Text 2 Char"/>
    <w:link w:val="BodyText2"/>
    <w:semiHidden/>
    <w:rsid w:val="00102068"/>
    <w:rPr>
      <w:rFonts w:ascii="Times New Roman" w:eastAsia="Times New Roman" w:hAnsi="Times New Roman" w:cs="Times New Roman"/>
      <w:spacing w:val="4"/>
      <w:w w:val="103"/>
      <w:kern w:val="14"/>
      <w:lang w:eastAsia="en-US"/>
    </w:rPr>
  </w:style>
  <w:style w:type="paragraph" w:styleId="BodyText3">
    <w:name w:val="Body Text 3"/>
    <w:basedOn w:val="Normal"/>
    <w:link w:val="BodyText3Char"/>
    <w:semiHidden/>
    <w:rsid w:val="00102068"/>
    <w:pPr>
      <w:spacing w:line="240" w:lineRule="atLeast"/>
    </w:pPr>
    <w:rPr>
      <w:rFonts w:eastAsia="Times New Roman"/>
      <w:sz w:val="16"/>
      <w:szCs w:val="16"/>
    </w:rPr>
  </w:style>
  <w:style w:type="character" w:customStyle="1" w:styleId="BodyText3Char">
    <w:name w:val="Body Text 3 Char"/>
    <w:link w:val="BodyText3"/>
    <w:semiHidden/>
    <w:rsid w:val="00102068"/>
    <w:rPr>
      <w:rFonts w:ascii="Times New Roman" w:eastAsia="Times New Roman" w:hAnsi="Times New Roman" w:cs="Times New Roman"/>
      <w:spacing w:val="4"/>
      <w:w w:val="103"/>
      <w:kern w:val="14"/>
      <w:sz w:val="16"/>
      <w:szCs w:val="16"/>
      <w:lang w:eastAsia="en-US"/>
    </w:rPr>
  </w:style>
  <w:style w:type="paragraph" w:styleId="BodyTextIndent2">
    <w:name w:val="Body Text Indent 2"/>
    <w:basedOn w:val="Normal"/>
    <w:link w:val="BodyTextIndent2Char"/>
    <w:semiHidden/>
    <w:rsid w:val="00102068"/>
    <w:pPr>
      <w:spacing w:line="480" w:lineRule="auto"/>
      <w:ind w:left="283"/>
    </w:pPr>
    <w:rPr>
      <w:rFonts w:eastAsia="Times New Roman"/>
      <w:szCs w:val="20"/>
    </w:rPr>
  </w:style>
  <w:style w:type="character" w:customStyle="1" w:styleId="BodyTextIndent2Char">
    <w:name w:val="Body Text Indent 2 Char"/>
    <w:link w:val="BodyTextIndent2"/>
    <w:semiHidden/>
    <w:rsid w:val="00102068"/>
    <w:rPr>
      <w:rFonts w:ascii="Times New Roman" w:eastAsia="Times New Roman" w:hAnsi="Times New Roman" w:cs="Times New Roman"/>
      <w:spacing w:val="4"/>
      <w:w w:val="103"/>
      <w:kern w:val="14"/>
      <w:lang w:eastAsia="en-US"/>
    </w:rPr>
  </w:style>
  <w:style w:type="paragraph" w:styleId="BodyTextIndent3">
    <w:name w:val="Body Text Indent 3"/>
    <w:basedOn w:val="Normal"/>
    <w:link w:val="BodyTextIndent3Char"/>
    <w:semiHidden/>
    <w:rsid w:val="00102068"/>
    <w:pPr>
      <w:spacing w:line="240" w:lineRule="atLeast"/>
      <w:ind w:left="283"/>
    </w:pPr>
    <w:rPr>
      <w:rFonts w:eastAsia="Times New Roman"/>
      <w:sz w:val="16"/>
      <w:szCs w:val="16"/>
    </w:rPr>
  </w:style>
  <w:style w:type="character" w:customStyle="1" w:styleId="BodyTextIndent3Char">
    <w:name w:val="Body Text Indent 3 Char"/>
    <w:link w:val="BodyTextIndent3"/>
    <w:semiHidden/>
    <w:rsid w:val="00102068"/>
    <w:rPr>
      <w:rFonts w:ascii="Times New Roman" w:eastAsia="Times New Roman" w:hAnsi="Times New Roman" w:cs="Times New Roman"/>
      <w:spacing w:val="4"/>
      <w:w w:val="103"/>
      <w:kern w:val="14"/>
      <w:sz w:val="16"/>
      <w:szCs w:val="16"/>
      <w:lang w:eastAsia="en-US"/>
    </w:rPr>
  </w:style>
  <w:style w:type="character" w:styleId="HTMLVariable">
    <w:name w:val="HTML Variable"/>
    <w:semiHidden/>
    <w:rsid w:val="00102068"/>
    <w:rPr>
      <w:i/>
      <w:iCs/>
    </w:rPr>
  </w:style>
  <w:style w:type="character" w:styleId="HTMLTypewriter">
    <w:name w:val="HTML Typewriter"/>
    <w:semiHidden/>
    <w:rsid w:val="00102068"/>
    <w:rPr>
      <w:rFonts w:ascii="Courier New" w:hAnsi="Courier New" w:cs="Courier New"/>
      <w:sz w:val="20"/>
      <w:szCs w:val="20"/>
    </w:rPr>
  </w:style>
  <w:style w:type="paragraph" w:styleId="Subtitle">
    <w:name w:val="Subtitle"/>
    <w:basedOn w:val="Normal"/>
    <w:link w:val="SubtitleChar"/>
    <w:qFormat/>
    <w:rsid w:val="00102068"/>
    <w:pPr>
      <w:spacing w:after="60" w:line="240" w:lineRule="atLeast"/>
      <w:jc w:val="center"/>
      <w:outlineLvl w:val="1"/>
    </w:pPr>
    <w:rPr>
      <w:rFonts w:ascii="Arial" w:eastAsia="Times New Roman" w:hAnsi="Arial" w:cs="Arial"/>
      <w:sz w:val="24"/>
      <w:szCs w:val="20"/>
    </w:rPr>
  </w:style>
  <w:style w:type="character" w:customStyle="1" w:styleId="SubtitleChar">
    <w:name w:val="Subtitle Char"/>
    <w:link w:val="Subtitle"/>
    <w:rsid w:val="00102068"/>
    <w:rPr>
      <w:rFonts w:ascii="Arial" w:eastAsia="Times New Roman" w:hAnsi="Arial"/>
      <w:spacing w:val="4"/>
      <w:w w:val="103"/>
      <w:kern w:val="14"/>
      <w:sz w:val="24"/>
      <w:lang w:eastAsia="en-US"/>
    </w:rPr>
  </w:style>
  <w:style w:type="paragraph" w:styleId="Signature">
    <w:name w:val="Signature"/>
    <w:basedOn w:val="Normal"/>
    <w:link w:val="SignatureChar"/>
    <w:semiHidden/>
    <w:rsid w:val="00102068"/>
    <w:pPr>
      <w:spacing w:line="240" w:lineRule="atLeast"/>
      <w:ind w:left="4252"/>
    </w:pPr>
    <w:rPr>
      <w:rFonts w:eastAsia="Times New Roman"/>
      <w:szCs w:val="20"/>
    </w:rPr>
  </w:style>
  <w:style w:type="character" w:customStyle="1" w:styleId="SignatureChar">
    <w:name w:val="Signature Char"/>
    <w:link w:val="Signature"/>
    <w:semiHidden/>
    <w:rsid w:val="00102068"/>
    <w:rPr>
      <w:rFonts w:ascii="Times New Roman" w:eastAsia="Times New Roman" w:hAnsi="Times New Roman" w:cs="Times New Roman"/>
      <w:spacing w:val="4"/>
      <w:w w:val="103"/>
      <w:kern w:val="14"/>
      <w:lang w:eastAsia="en-US"/>
    </w:rPr>
  </w:style>
  <w:style w:type="paragraph" w:styleId="Salutation">
    <w:name w:val="Salutation"/>
    <w:basedOn w:val="Normal"/>
    <w:next w:val="Normal"/>
    <w:link w:val="SalutationChar"/>
    <w:semiHidden/>
    <w:rsid w:val="00102068"/>
    <w:pPr>
      <w:spacing w:line="240" w:lineRule="atLeast"/>
    </w:pPr>
    <w:rPr>
      <w:rFonts w:eastAsia="Times New Roman"/>
      <w:szCs w:val="20"/>
    </w:rPr>
  </w:style>
  <w:style w:type="character" w:customStyle="1" w:styleId="SalutationChar">
    <w:name w:val="Salutation Char"/>
    <w:link w:val="Salutation"/>
    <w:semiHidden/>
    <w:rsid w:val="00102068"/>
    <w:rPr>
      <w:rFonts w:ascii="Times New Roman" w:eastAsia="Times New Roman" w:hAnsi="Times New Roman" w:cs="Times New Roman"/>
      <w:spacing w:val="4"/>
      <w:w w:val="103"/>
      <w:kern w:val="14"/>
      <w:lang w:eastAsia="en-US"/>
    </w:rPr>
  </w:style>
  <w:style w:type="paragraph" w:styleId="ListContinue3">
    <w:name w:val="List Continue 3"/>
    <w:basedOn w:val="Normal"/>
    <w:semiHidden/>
    <w:rsid w:val="00102068"/>
    <w:pPr>
      <w:spacing w:line="240" w:lineRule="atLeast"/>
      <w:ind w:left="849"/>
    </w:pPr>
    <w:rPr>
      <w:rFonts w:eastAsia="Times New Roman"/>
      <w:szCs w:val="20"/>
    </w:rPr>
  </w:style>
  <w:style w:type="paragraph" w:styleId="ListContinue4">
    <w:name w:val="List Continue 4"/>
    <w:basedOn w:val="Normal"/>
    <w:semiHidden/>
    <w:rsid w:val="00102068"/>
    <w:pPr>
      <w:spacing w:line="240" w:lineRule="atLeast"/>
      <w:ind w:left="1132"/>
    </w:pPr>
    <w:rPr>
      <w:rFonts w:eastAsia="Times New Roman"/>
      <w:szCs w:val="20"/>
    </w:rPr>
  </w:style>
  <w:style w:type="paragraph" w:styleId="ListContinue5">
    <w:name w:val="List Continue 5"/>
    <w:basedOn w:val="Normal"/>
    <w:semiHidden/>
    <w:rsid w:val="00102068"/>
    <w:pPr>
      <w:spacing w:line="240" w:lineRule="atLeast"/>
      <w:ind w:left="1415"/>
    </w:pPr>
    <w:rPr>
      <w:rFonts w:eastAsia="Times New Roman"/>
      <w:szCs w:val="20"/>
    </w:rPr>
  </w:style>
  <w:style w:type="character" w:styleId="FollowedHyperlink">
    <w:name w:val="FollowedHyperlink"/>
    <w:semiHidden/>
    <w:rsid w:val="00102068"/>
    <w:rPr>
      <w:color w:val="0000FF"/>
      <w:u w:val="none"/>
    </w:rPr>
  </w:style>
  <w:style w:type="table" w:styleId="TableSimple2">
    <w:name w:val="Table Simple 2"/>
    <w:basedOn w:val="TableNormal"/>
    <w:semiHidden/>
    <w:rsid w:val="00102068"/>
    <w:pPr>
      <w:spacing w:after="120" w:line="20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102068"/>
    <w:pPr>
      <w:spacing w:line="240" w:lineRule="atLeast"/>
      <w:ind w:left="4252"/>
    </w:pPr>
    <w:rPr>
      <w:rFonts w:eastAsia="Times New Roman"/>
      <w:szCs w:val="20"/>
    </w:rPr>
  </w:style>
  <w:style w:type="character" w:customStyle="1" w:styleId="ClosingChar">
    <w:name w:val="Closing Char"/>
    <w:link w:val="Closing"/>
    <w:semiHidden/>
    <w:rsid w:val="00102068"/>
    <w:rPr>
      <w:rFonts w:ascii="Times New Roman" w:eastAsia="Times New Roman" w:hAnsi="Times New Roman" w:cs="Times New Roman"/>
      <w:spacing w:val="4"/>
      <w:w w:val="103"/>
      <w:kern w:val="14"/>
      <w:lang w:eastAsia="en-US"/>
    </w:rPr>
  </w:style>
  <w:style w:type="table" w:styleId="TableGrid1">
    <w:name w:val="Table Grid 1"/>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02068"/>
    <w:pPr>
      <w:spacing w:after="120" w:line="20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02068"/>
    <w:pPr>
      <w:spacing w:after="120" w:line="20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02068"/>
    <w:pPr>
      <w:spacing w:after="120" w:line="20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02068"/>
    <w:pPr>
      <w:spacing w:after="120" w:line="20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02068"/>
    <w:pPr>
      <w:spacing w:after="120" w:line="20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102068"/>
    <w:pPr>
      <w:spacing w:line="240" w:lineRule="atLeast"/>
      <w:ind w:left="283" w:hanging="283"/>
    </w:pPr>
    <w:rPr>
      <w:rFonts w:eastAsia="Times New Roman"/>
      <w:szCs w:val="20"/>
    </w:rPr>
  </w:style>
  <w:style w:type="paragraph" w:styleId="List2">
    <w:name w:val="List 2"/>
    <w:basedOn w:val="Normal"/>
    <w:semiHidden/>
    <w:rsid w:val="00102068"/>
    <w:pPr>
      <w:spacing w:line="240" w:lineRule="atLeast"/>
      <w:ind w:left="566" w:hanging="283"/>
    </w:pPr>
    <w:rPr>
      <w:rFonts w:eastAsia="Times New Roman"/>
      <w:szCs w:val="20"/>
    </w:rPr>
  </w:style>
  <w:style w:type="paragraph" w:styleId="List3">
    <w:name w:val="List 3"/>
    <w:basedOn w:val="Normal"/>
    <w:semiHidden/>
    <w:rsid w:val="00102068"/>
    <w:pPr>
      <w:spacing w:line="240" w:lineRule="atLeast"/>
      <w:ind w:left="849" w:hanging="283"/>
    </w:pPr>
    <w:rPr>
      <w:rFonts w:eastAsia="Times New Roman"/>
      <w:szCs w:val="20"/>
    </w:rPr>
  </w:style>
  <w:style w:type="paragraph" w:styleId="List4">
    <w:name w:val="List 4"/>
    <w:basedOn w:val="Normal"/>
    <w:semiHidden/>
    <w:rsid w:val="00102068"/>
    <w:pPr>
      <w:spacing w:line="240" w:lineRule="atLeast"/>
      <w:ind w:left="1132" w:hanging="283"/>
    </w:pPr>
    <w:rPr>
      <w:rFonts w:eastAsia="Times New Roman"/>
      <w:szCs w:val="20"/>
    </w:rPr>
  </w:style>
  <w:style w:type="paragraph" w:styleId="List5">
    <w:name w:val="List 5"/>
    <w:basedOn w:val="Normal"/>
    <w:semiHidden/>
    <w:rsid w:val="00102068"/>
    <w:pPr>
      <w:spacing w:line="240" w:lineRule="atLeast"/>
      <w:ind w:left="1415" w:hanging="283"/>
    </w:pPr>
    <w:rPr>
      <w:rFonts w:eastAsia="Times New Roman"/>
      <w:szCs w:val="20"/>
    </w:rPr>
  </w:style>
  <w:style w:type="paragraph" w:styleId="HTMLPreformatted">
    <w:name w:val="HTML Preformatted"/>
    <w:basedOn w:val="Normal"/>
    <w:link w:val="HTMLPreformattedChar"/>
    <w:semiHidden/>
    <w:rsid w:val="00102068"/>
    <w:pPr>
      <w:spacing w:line="240" w:lineRule="atLeast"/>
    </w:pPr>
    <w:rPr>
      <w:rFonts w:ascii="Courier New" w:eastAsia="Times New Roman" w:hAnsi="Courier New" w:cs="Courier New"/>
      <w:szCs w:val="20"/>
    </w:rPr>
  </w:style>
  <w:style w:type="character" w:customStyle="1" w:styleId="HTMLPreformattedChar">
    <w:name w:val="HTML Preformatted Char"/>
    <w:link w:val="HTMLPreformatted"/>
    <w:semiHidden/>
    <w:rsid w:val="00102068"/>
    <w:rPr>
      <w:rFonts w:ascii="Courier New" w:eastAsia="Times New Roman" w:hAnsi="Courier New" w:cs="Courier New"/>
      <w:spacing w:val="4"/>
      <w:w w:val="103"/>
      <w:kern w:val="14"/>
      <w:lang w:eastAsia="en-US"/>
    </w:rPr>
  </w:style>
  <w:style w:type="numbering" w:styleId="ArticleSection">
    <w:name w:val="Outline List 3"/>
    <w:basedOn w:val="NoList"/>
    <w:semiHidden/>
    <w:rsid w:val="00102068"/>
    <w:pPr>
      <w:numPr>
        <w:numId w:val="18"/>
      </w:numPr>
    </w:pPr>
  </w:style>
  <w:style w:type="table" w:styleId="TableColumns1">
    <w:name w:val="Table Columns 1"/>
    <w:basedOn w:val="TableNormal"/>
    <w:semiHidden/>
    <w:rsid w:val="00102068"/>
    <w:pPr>
      <w:spacing w:after="120" w:line="20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02068"/>
    <w:pPr>
      <w:spacing w:after="120" w:line="20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02068"/>
    <w:pPr>
      <w:spacing w:after="120" w:line="20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02068"/>
    <w:pPr>
      <w:spacing w:after="120" w:line="20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02068"/>
    <w:pPr>
      <w:spacing w:after="120" w:line="20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102068"/>
    <w:rPr>
      <w:b/>
      <w:bCs/>
    </w:rPr>
  </w:style>
  <w:style w:type="table" w:styleId="TableList1">
    <w:name w:val="Table List 1"/>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02068"/>
    <w:pPr>
      <w:spacing w:after="120" w:line="20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02068"/>
    <w:pPr>
      <w:spacing w:after="120" w:line="20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102068"/>
    <w:pPr>
      <w:spacing w:after="120" w:line="20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02068"/>
    <w:pPr>
      <w:spacing w:after="120" w:line="20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02068"/>
    <w:pPr>
      <w:spacing w:after="120" w:line="20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102068"/>
    <w:pPr>
      <w:spacing w:line="240" w:lineRule="atLeast"/>
      <w:ind w:left="1440" w:right="1440"/>
    </w:pPr>
    <w:rPr>
      <w:rFonts w:eastAsia="Times New Roman"/>
      <w:szCs w:val="20"/>
    </w:rPr>
  </w:style>
  <w:style w:type="character" w:styleId="HTMLCite">
    <w:name w:val="HTML Cite"/>
    <w:semiHidden/>
    <w:rsid w:val="00102068"/>
    <w:rPr>
      <w:i/>
      <w:iCs/>
    </w:rPr>
  </w:style>
  <w:style w:type="paragraph" w:styleId="E-mailSignature">
    <w:name w:val="E-mail Signature"/>
    <w:basedOn w:val="Normal"/>
    <w:link w:val="E-mailSignatureChar"/>
    <w:semiHidden/>
    <w:rsid w:val="00102068"/>
    <w:pPr>
      <w:spacing w:line="240" w:lineRule="atLeast"/>
    </w:pPr>
    <w:rPr>
      <w:rFonts w:eastAsia="Times New Roman"/>
      <w:szCs w:val="20"/>
    </w:rPr>
  </w:style>
  <w:style w:type="character" w:customStyle="1" w:styleId="E-mailSignatureChar">
    <w:name w:val="E-mail Signature Char"/>
    <w:link w:val="E-mailSignature"/>
    <w:semiHidden/>
    <w:rsid w:val="00102068"/>
    <w:rPr>
      <w:rFonts w:ascii="Times New Roman" w:eastAsia="Times New Roman" w:hAnsi="Times New Roman" w:cs="Times New Roman"/>
      <w:spacing w:val="4"/>
      <w:w w:val="103"/>
      <w:kern w:val="14"/>
      <w:lang w:eastAsia="en-US"/>
    </w:rPr>
  </w:style>
  <w:style w:type="character" w:styleId="Hyperlink">
    <w:name w:val="Hyperlink"/>
    <w:semiHidden/>
    <w:rsid w:val="00102068"/>
    <w:rPr>
      <w:color w:val="0000FF"/>
      <w:u w:val="none"/>
    </w:rPr>
  </w:style>
  <w:style w:type="paragraph" w:customStyle="1" w:styleId="SingleTxtG">
    <w:name w:val="_ Single Txt_G"/>
    <w:basedOn w:val="Normal"/>
    <w:link w:val="SingleTxtGChar"/>
    <w:rsid w:val="00102068"/>
    <w:pPr>
      <w:tabs>
        <w:tab w:val="left" w:pos="1701"/>
        <w:tab w:val="left" w:pos="2126"/>
        <w:tab w:val="left" w:pos="2552"/>
      </w:tabs>
      <w:suppressAutoHyphens/>
      <w:spacing w:after="120" w:line="240" w:lineRule="atLeast"/>
      <w:ind w:left="1264" w:right="1264"/>
      <w:jc w:val="both"/>
    </w:pPr>
    <w:rPr>
      <w:rFonts w:eastAsia="Times New Roman"/>
      <w:spacing w:val="0"/>
      <w:w w:val="100"/>
      <w:kern w:val="0"/>
      <w:szCs w:val="20"/>
    </w:rPr>
  </w:style>
  <w:style w:type="paragraph" w:customStyle="1" w:styleId="H1GR">
    <w:name w:val="_ H_1_GR"/>
    <w:basedOn w:val="Normal"/>
    <w:next w:val="Normal"/>
    <w:link w:val="H1GR0"/>
    <w:rsid w:val="00102068"/>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
    <w:name w:val="_ H_2/3_GR"/>
    <w:basedOn w:val="Normal"/>
    <w:next w:val="Normal"/>
    <w:link w:val="H23GR0"/>
    <w:rsid w:val="00102068"/>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H4GR">
    <w:name w:val="_ H_4_GR"/>
    <w:basedOn w:val="Normal"/>
    <w:next w:val="Normal"/>
    <w:rsid w:val="00102068"/>
    <w:pPr>
      <w:keepNext/>
      <w:keepLines/>
      <w:tabs>
        <w:tab w:val="right" w:pos="851"/>
      </w:tabs>
      <w:suppressAutoHyphens/>
      <w:spacing w:before="40" w:after="120" w:line="240" w:lineRule="auto"/>
      <w:outlineLvl w:val="3"/>
    </w:pPr>
    <w:rPr>
      <w:rFonts w:eastAsia="Times New Roman"/>
      <w:i/>
      <w:spacing w:val="3"/>
      <w:szCs w:val="20"/>
      <w:lang w:eastAsia="ru-RU"/>
    </w:rPr>
  </w:style>
  <w:style w:type="paragraph" w:customStyle="1" w:styleId="H56GR">
    <w:name w:val="_ H_5/6_GR"/>
    <w:basedOn w:val="Normal"/>
    <w:next w:val="Normal"/>
    <w:rsid w:val="00102068"/>
    <w:pPr>
      <w:keepNext/>
      <w:keepLines/>
      <w:tabs>
        <w:tab w:val="right" w:pos="851"/>
      </w:tabs>
      <w:suppressAutoHyphens/>
      <w:spacing w:before="240" w:after="120"/>
      <w:ind w:left="1134" w:right="1134" w:hanging="1134"/>
    </w:pPr>
    <w:rPr>
      <w:rFonts w:eastAsia="Times New Roman"/>
      <w:szCs w:val="20"/>
      <w:lang w:eastAsia="ru-RU"/>
    </w:rPr>
  </w:style>
  <w:style w:type="table" w:styleId="TableProfessional">
    <w:name w:val="Table Professional"/>
    <w:basedOn w:val="TableNormal"/>
    <w:semiHidden/>
    <w:rsid w:val="00102068"/>
    <w:pPr>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102068"/>
    <w:pPr>
      <w:keepNext/>
      <w:keepLines/>
      <w:tabs>
        <w:tab w:val="right" w:pos="851"/>
      </w:tabs>
      <w:suppressAutoHyphens/>
      <w:spacing w:before="360" w:after="240" w:line="300" w:lineRule="exact"/>
      <w:ind w:left="1134" w:right="1134" w:hanging="1134"/>
    </w:pPr>
    <w:rPr>
      <w:rFonts w:ascii="Calibri" w:hAnsi="Calibri" w:cs="Arial"/>
      <w:b/>
      <w:sz w:val="28"/>
      <w:szCs w:val="20"/>
      <w:lang w:eastAsia="ru-RU"/>
    </w:rPr>
  </w:style>
  <w:style w:type="paragraph" w:customStyle="1" w:styleId="HMGR">
    <w:name w:val="_ H __M_GR"/>
    <w:basedOn w:val="Normal"/>
    <w:next w:val="Normal"/>
    <w:rsid w:val="00102068"/>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styleId="TOAHeading">
    <w:name w:val="toa heading"/>
    <w:basedOn w:val="Normal"/>
    <w:next w:val="Normal"/>
    <w:semiHidden/>
    <w:rsid w:val="00102068"/>
    <w:pPr>
      <w:spacing w:before="120" w:line="240" w:lineRule="atLeast"/>
    </w:pPr>
    <w:rPr>
      <w:rFonts w:ascii="Arial" w:eastAsia="Times New Roman" w:hAnsi="Arial" w:cs="Arial"/>
      <w:b/>
      <w:bCs/>
      <w:sz w:val="24"/>
      <w:szCs w:val="20"/>
    </w:rPr>
  </w:style>
  <w:style w:type="paragraph" w:customStyle="1" w:styleId="SingleTxtGR">
    <w:name w:val="_ Single Txt_GR"/>
    <w:basedOn w:val="Normal"/>
    <w:link w:val="SingleTxtGR0"/>
    <w:rsid w:val="00102068"/>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styleId="PlainText">
    <w:name w:val="Plain Text"/>
    <w:basedOn w:val="Normal"/>
    <w:link w:val="PlainTextChar"/>
    <w:semiHidden/>
    <w:rsid w:val="00102068"/>
    <w:pPr>
      <w:spacing w:line="240" w:lineRule="atLeast"/>
    </w:pPr>
    <w:rPr>
      <w:rFonts w:ascii="Courier New" w:eastAsia="Times New Roman" w:hAnsi="Courier New" w:cs="Courier New"/>
      <w:szCs w:val="20"/>
    </w:rPr>
  </w:style>
  <w:style w:type="character" w:customStyle="1" w:styleId="PlainTextChar">
    <w:name w:val="Plain Text Char"/>
    <w:link w:val="PlainText"/>
    <w:semiHidden/>
    <w:rsid w:val="00102068"/>
    <w:rPr>
      <w:rFonts w:ascii="Courier New" w:eastAsia="Times New Roman" w:hAnsi="Courier New" w:cs="Courier New"/>
      <w:spacing w:val="4"/>
      <w:w w:val="103"/>
      <w:kern w:val="14"/>
      <w:lang w:eastAsia="en-US"/>
    </w:rPr>
  </w:style>
  <w:style w:type="paragraph" w:styleId="MessageHeader">
    <w:name w:val="Message Header"/>
    <w:basedOn w:val="Normal"/>
    <w:link w:val="MessageHeaderChar"/>
    <w:semiHidden/>
    <w:rsid w:val="0010206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z w:val="24"/>
      <w:szCs w:val="20"/>
    </w:rPr>
  </w:style>
  <w:style w:type="character" w:customStyle="1" w:styleId="MessageHeaderChar">
    <w:name w:val="Message Header Char"/>
    <w:link w:val="MessageHeader"/>
    <w:semiHidden/>
    <w:rsid w:val="00102068"/>
    <w:rPr>
      <w:rFonts w:ascii="Arial" w:eastAsia="Times New Roman" w:hAnsi="Arial"/>
      <w:spacing w:val="4"/>
      <w:w w:val="103"/>
      <w:kern w:val="14"/>
      <w:sz w:val="24"/>
      <w:shd w:val="pct20" w:color="auto" w:fill="auto"/>
      <w:lang w:eastAsia="en-US"/>
    </w:rPr>
  </w:style>
  <w:style w:type="character" w:customStyle="1" w:styleId="SingleTxtGChar">
    <w:name w:val="_ Single Txt_G Char"/>
    <w:link w:val="SingleTxtG"/>
    <w:rsid w:val="00102068"/>
    <w:rPr>
      <w:rFonts w:ascii="Times New Roman" w:eastAsia="Times New Roman" w:hAnsi="Times New Roman" w:cs="Times New Roman"/>
      <w:lang w:eastAsia="en-US"/>
    </w:rPr>
  </w:style>
  <w:style w:type="table" w:customStyle="1" w:styleId="TabNum">
    <w:name w:val="_TabNum"/>
    <w:basedOn w:val="TableNormal"/>
    <w:rsid w:val="00102068"/>
    <w:pPr>
      <w:spacing w:before="40" w:after="40" w:line="220" w:lineRule="exact"/>
      <w:jc w:val="right"/>
    </w:pPr>
    <w:rPr>
      <w:rFonts w:ascii="Times New Roman" w:eastAsia="Times New Roman" w:hAnsi="Times New Roman" w:cs="Times New Roman"/>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02068"/>
    <w:pPr>
      <w:spacing w:before="40" w:after="120" w:line="240" w:lineRule="atLeast"/>
    </w:pPr>
    <w:rPr>
      <w:rFonts w:ascii="Times New Roman" w:eastAsia="Times New Roman" w:hAnsi="Times New Roman" w:cs="Times New Roman"/>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23GR0">
    <w:name w:val="_ H_2/3_GR Знак"/>
    <w:link w:val="H23GR"/>
    <w:rsid w:val="00102068"/>
    <w:rPr>
      <w:rFonts w:ascii="Times New Roman" w:eastAsia="Times New Roman" w:hAnsi="Times New Roman" w:cs="Times New Roman"/>
      <w:b/>
      <w:spacing w:val="4"/>
      <w:w w:val="103"/>
      <w:kern w:val="14"/>
    </w:rPr>
  </w:style>
  <w:style w:type="character" w:customStyle="1" w:styleId="SingleTxtGR0">
    <w:name w:val="_ Single Txt_GR Знак"/>
    <w:link w:val="SingleTxtGR"/>
    <w:rsid w:val="00102068"/>
    <w:rPr>
      <w:rFonts w:ascii="Times New Roman" w:eastAsia="Times New Roman" w:hAnsi="Times New Roman" w:cs="Times New Roman"/>
      <w:spacing w:val="4"/>
      <w:w w:val="103"/>
      <w:kern w:val="14"/>
      <w:lang w:eastAsia="en-US"/>
    </w:rPr>
  </w:style>
  <w:style w:type="character" w:customStyle="1" w:styleId="H1GR0">
    <w:name w:val="_ H_1_GR Знак"/>
    <w:link w:val="H1GR"/>
    <w:rsid w:val="00102068"/>
    <w:rPr>
      <w:rFonts w:ascii="Times New Roman" w:eastAsia="Times New Roman" w:hAnsi="Times New Roman" w:cs="Times New Roman"/>
      <w:b/>
      <w:spacing w:val="4"/>
      <w:w w:val="103"/>
      <w:kern w:val="14"/>
      <w:sz w:val="24"/>
    </w:rPr>
  </w:style>
  <w:style w:type="paragraph" w:customStyle="1" w:styleId="HMG">
    <w:name w:val="_ H __M_G"/>
    <w:basedOn w:val="Normal"/>
    <w:next w:val="Normal"/>
    <w:rsid w:val="0010206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10206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customStyle="1" w:styleId="a">
    <w:name w:val="Символ сноски"/>
    <w:rsid w:val="00102068"/>
  </w:style>
  <w:style w:type="character" w:customStyle="1" w:styleId="WW8Num12z0">
    <w:name w:val="WW8Num12z0"/>
    <w:rsid w:val="00102068"/>
    <w:rPr>
      <w:rFonts w:ascii="Times New Roman" w:hAnsi="Times New Roman" w:cs="Times New Roman"/>
    </w:rPr>
  </w:style>
  <w:style w:type="character" w:customStyle="1" w:styleId="WW8Num12z1">
    <w:name w:val="WW8Num12z1"/>
    <w:rsid w:val="00102068"/>
    <w:rPr>
      <w:rFonts w:ascii="Courier New" w:hAnsi="Courier New" w:cs="Courier New"/>
    </w:rPr>
  </w:style>
  <w:style w:type="character" w:customStyle="1" w:styleId="WW8Num12z2">
    <w:name w:val="WW8Num12z2"/>
    <w:rsid w:val="00102068"/>
    <w:rPr>
      <w:rFonts w:ascii="Wingdings" w:hAnsi="Wingdings" w:cs="Wingdings"/>
    </w:rPr>
  </w:style>
  <w:style w:type="character" w:customStyle="1" w:styleId="WW8Num12z3">
    <w:name w:val="WW8Num12z3"/>
    <w:rsid w:val="00102068"/>
    <w:rPr>
      <w:rFonts w:ascii="Symbol" w:hAnsi="Symbol" w:cs="Symbol"/>
    </w:rPr>
  </w:style>
  <w:style w:type="character" w:customStyle="1" w:styleId="a0">
    <w:name w:val="Символы концевой сноски"/>
    <w:rsid w:val="00102068"/>
  </w:style>
  <w:style w:type="paragraph" w:customStyle="1" w:styleId="a1">
    <w:name w:val="Заголовок"/>
    <w:basedOn w:val="Normal"/>
    <w:next w:val="BodyText"/>
    <w:rsid w:val="00102068"/>
    <w:pPr>
      <w:keepNext/>
      <w:widowControl w:val="0"/>
      <w:suppressAutoHyphens/>
      <w:spacing w:before="240" w:after="120" w:line="240" w:lineRule="auto"/>
    </w:pPr>
    <w:rPr>
      <w:rFonts w:ascii="Arial" w:eastAsia="Microsoft YaHei" w:hAnsi="Arial" w:cs="Mangal"/>
      <w:spacing w:val="0"/>
      <w:w w:val="100"/>
      <w:kern w:val="1"/>
      <w:sz w:val="28"/>
      <w:szCs w:val="28"/>
      <w:lang w:eastAsia="zh-CN" w:bidi="hi-IN"/>
    </w:rPr>
  </w:style>
  <w:style w:type="paragraph" w:styleId="Caption">
    <w:name w:val="caption"/>
    <w:basedOn w:val="Normal"/>
    <w:qFormat/>
    <w:rsid w:val="00102068"/>
    <w:pPr>
      <w:widowControl w:val="0"/>
      <w:suppressLineNumbers/>
      <w:suppressAutoHyphens/>
      <w:spacing w:before="120" w:after="120" w:line="240" w:lineRule="auto"/>
    </w:pPr>
    <w:rPr>
      <w:rFonts w:eastAsia="SimSun" w:cs="Mangal"/>
      <w:i/>
      <w:iCs/>
      <w:spacing w:val="0"/>
      <w:w w:val="100"/>
      <w:kern w:val="1"/>
      <w:sz w:val="24"/>
      <w:szCs w:val="24"/>
      <w:lang w:eastAsia="zh-CN" w:bidi="hi-IN"/>
    </w:rPr>
  </w:style>
  <w:style w:type="paragraph" w:customStyle="1" w:styleId="1">
    <w:name w:val="Указатель1"/>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H1G">
    <w:name w:val="_ H_1_G"/>
    <w:basedOn w:val="Normal"/>
    <w:next w:val="Normal"/>
    <w:rsid w:val="00102068"/>
    <w:pPr>
      <w:keepNext/>
      <w:keepLines/>
      <w:widowControl w:val="0"/>
      <w:suppressAutoHyphens/>
      <w:spacing w:before="360" w:after="240" w:line="270" w:lineRule="exact"/>
      <w:ind w:left="1134" w:right="1134" w:hanging="1134"/>
    </w:pPr>
    <w:rPr>
      <w:rFonts w:eastAsia="SimSun" w:cs="Mangal"/>
      <w:b/>
      <w:spacing w:val="0"/>
      <w:w w:val="100"/>
      <w:kern w:val="1"/>
      <w:sz w:val="24"/>
      <w:szCs w:val="24"/>
      <w:lang w:eastAsia="zh-CN" w:bidi="hi-IN"/>
    </w:rPr>
  </w:style>
  <w:style w:type="paragraph" w:customStyle="1" w:styleId="H23G">
    <w:name w:val="_ H_2/3_G"/>
    <w:basedOn w:val="Normal"/>
    <w:next w:val="Normal"/>
    <w:rsid w:val="00102068"/>
    <w:pPr>
      <w:keepNext/>
      <w:keepLines/>
      <w:widowControl w:val="0"/>
      <w:suppressAutoHyphens/>
      <w:spacing w:before="240" w:after="120"/>
      <w:ind w:left="1134" w:right="1134" w:hanging="1134"/>
    </w:pPr>
    <w:rPr>
      <w:rFonts w:eastAsia="SimSun" w:cs="Mangal"/>
      <w:b/>
      <w:spacing w:val="0"/>
      <w:w w:val="100"/>
      <w:kern w:val="1"/>
      <w:sz w:val="24"/>
      <w:szCs w:val="24"/>
      <w:lang w:eastAsia="zh-CN" w:bidi="hi-IN"/>
    </w:rPr>
  </w:style>
  <w:style w:type="paragraph" w:customStyle="1" w:styleId="a2">
    <w:name w:val="Содержимое таблицы"/>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Bullet1G">
    <w:name w:val="_Bullet 1_G"/>
    <w:basedOn w:val="Normal"/>
    <w:rsid w:val="00102068"/>
    <w:pPr>
      <w:widowControl w:val="0"/>
      <w:suppressAutoHyphens/>
      <w:spacing w:after="120" w:line="240" w:lineRule="auto"/>
      <w:ind w:right="1134"/>
      <w:jc w:val="both"/>
    </w:pPr>
    <w:rPr>
      <w:rFonts w:eastAsia="SimSun" w:cs="Mangal"/>
      <w:spacing w:val="0"/>
      <w:w w:val="100"/>
      <w:kern w:val="1"/>
      <w:sz w:val="24"/>
      <w:szCs w:val="24"/>
      <w:lang w:eastAsia="zh-CN" w:bidi="hi-IN"/>
    </w:rPr>
  </w:style>
  <w:style w:type="paragraph" w:customStyle="1" w:styleId="a3">
    <w:name w:val="Заголовок таблицы"/>
    <w:basedOn w:val="a2"/>
    <w:rsid w:val="00102068"/>
    <w:pPr>
      <w:jc w:val="center"/>
    </w:pPr>
    <w:rPr>
      <w:b/>
      <w:bCs/>
    </w:rPr>
  </w:style>
  <w:style w:type="paragraph" w:customStyle="1" w:styleId="Heading">
    <w:name w:val="Heading"/>
    <w:basedOn w:val="Normal"/>
    <w:next w:val="BodyText"/>
    <w:rsid w:val="00102068"/>
    <w:pPr>
      <w:keepNext/>
      <w:widowControl w:val="0"/>
      <w:suppressAutoHyphens/>
      <w:spacing w:before="240" w:after="120" w:line="240" w:lineRule="auto"/>
    </w:pPr>
    <w:rPr>
      <w:rFonts w:ascii="Arial" w:eastAsia="Microsoft YaHei" w:hAnsi="Arial" w:cs="Mangal"/>
      <w:spacing w:val="0"/>
      <w:w w:val="100"/>
      <w:kern w:val="1"/>
      <w:sz w:val="28"/>
      <w:szCs w:val="28"/>
      <w:lang w:eastAsia="zh-CN" w:bidi="hi-IN"/>
    </w:rPr>
  </w:style>
  <w:style w:type="paragraph" w:customStyle="1" w:styleId="Index">
    <w:name w:val="Index"/>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TableContents">
    <w:name w:val="Table Contents"/>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TableHeading">
    <w:name w:val="Table Heading"/>
    <w:basedOn w:val="TableContents"/>
    <w:rsid w:val="00102068"/>
    <w:pPr>
      <w:jc w:val="center"/>
    </w:pPr>
    <w:rPr>
      <w:b/>
      <w:bCs/>
    </w:rPr>
  </w:style>
  <w:style w:type="character" w:customStyle="1" w:styleId="DefaultParagraphFont1">
    <w:name w:val="Default Paragraph Font1"/>
    <w:rsid w:val="00102068"/>
  </w:style>
  <w:style w:type="character" w:customStyle="1" w:styleId="FootnoteCharacters">
    <w:name w:val="Footnote Characters"/>
    <w:rsid w:val="00102068"/>
    <w:rPr>
      <w:spacing w:val="-5"/>
      <w:w w:val="130"/>
      <w:vertAlign w:val="superscript"/>
    </w:rPr>
  </w:style>
  <w:style w:type="paragraph" w:styleId="Revision">
    <w:name w:val="Revision"/>
    <w:hidden/>
    <w:uiPriority w:val="99"/>
    <w:semiHidden/>
    <w:rsid w:val="004C298C"/>
    <w:rPr>
      <w:rFonts w:ascii="Times New Roman" w:hAnsi="Times New Roman" w:cs="Times New Roman"/>
      <w:spacing w:val="4"/>
      <w:w w:val="103"/>
      <w:kern w:val="14"/>
      <w:szCs w:val="22"/>
      <w:lang w:val="ru-RU"/>
    </w:rPr>
  </w:style>
  <w:style w:type="paragraph" w:styleId="BalloonText">
    <w:name w:val="Balloon Text"/>
    <w:basedOn w:val="Normal"/>
    <w:link w:val="BalloonTextChar"/>
    <w:uiPriority w:val="99"/>
    <w:semiHidden/>
    <w:unhideWhenUsed/>
    <w:rsid w:val="004C298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C298C"/>
    <w:rPr>
      <w:rFonts w:ascii="Tahoma" w:hAnsi="Tahoma" w:cs="Tahoma"/>
      <w:spacing w:val="4"/>
      <w:w w:val="103"/>
      <w:kern w:val="14"/>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semiHidden="0" w:unhideWhenUsed="0"/>
    <w:lsdException w:name="footer" w:semiHidden="0" w:unhideWhenUsed="0"/>
    <w:lsdException w:name="index heading" w:uiPriority="99"/>
    <w:lsdException w:name="caption" w:qFormat="1"/>
    <w:lsdException w:name="table of figures" w:uiPriority="99"/>
    <w:lsdException w:name="line number" w:semiHidden="0" w:unhideWhenUsed="0"/>
    <w:lsdException w:name="table of authorities" w:uiPriority="99"/>
    <w:lsdException w:name="macro"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Table Web 3"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R,Table_G"/>
    <w:basedOn w:val="Normal"/>
    <w:next w:val="Normal"/>
    <w:link w:val="Heading1Char"/>
    <w:qFormat/>
    <w:rsid w:val="0088396E"/>
    <w:pPr>
      <w:keepNext/>
      <w:spacing w:before="240" w:after="60"/>
      <w:outlineLvl w:val="0"/>
    </w:pPr>
    <w:rPr>
      <w:rFonts w:ascii="Arial" w:eastAsia="SimSun" w:hAnsi="Arial"/>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rPr>
  </w:style>
  <w:style w:type="paragraph" w:styleId="Heading4">
    <w:name w:val="heading 4"/>
    <w:basedOn w:val="Normal"/>
    <w:next w:val="Normal"/>
    <w:link w:val="Heading4Char"/>
    <w:qFormat/>
    <w:rsid w:val="00102068"/>
    <w:pPr>
      <w:keepNext/>
      <w:numPr>
        <w:ilvl w:val="3"/>
        <w:numId w:val="13"/>
      </w:numPr>
      <w:spacing w:before="240" w:after="60" w:line="240" w:lineRule="atLeast"/>
      <w:ind w:left="864" w:hanging="144"/>
      <w:outlineLvl w:val="3"/>
    </w:pPr>
    <w:rPr>
      <w:rFonts w:eastAsia="Times New Roman"/>
      <w:b/>
      <w:bCs/>
      <w:sz w:val="28"/>
      <w:szCs w:val="28"/>
    </w:rPr>
  </w:style>
  <w:style w:type="paragraph" w:styleId="Heading5">
    <w:name w:val="heading 5"/>
    <w:basedOn w:val="Normal"/>
    <w:next w:val="Normal"/>
    <w:link w:val="Heading5Char"/>
    <w:qFormat/>
    <w:rsid w:val="00102068"/>
    <w:pPr>
      <w:numPr>
        <w:ilvl w:val="4"/>
        <w:numId w:val="13"/>
      </w:numPr>
      <w:spacing w:before="240" w:after="60" w:line="240" w:lineRule="atLeast"/>
      <w:ind w:left="1008" w:hanging="432"/>
      <w:outlineLvl w:val="4"/>
    </w:pPr>
    <w:rPr>
      <w:rFonts w:eastAsia="Times New Roman"/>
      <w:b/>
      <w:bCs/>
      <w:i/>
      <w:iCs/>
      <w:sz w:val="26"/>
      <w:szCs w:val="26"/>
    </w:rPr>
  </w:style>
  <w:style w:type="paragraph" w:styleId="Heading6">
    <w:name w:val="heading 6"/>
    <w:basedOn w:val="Normal"/>
    <w:next w:val="Normal"/>
    <w:link w:val="Heading6Char"/>
    <w:qFormat/>
    <w:rsid w:val="00102068"/>
    <w:pPr>
      <w:numPr>
        <w:ilvl w:val="5"/>
        <w:numId w:val="13"/>
      </w:numPr>
      <w:spacing w:before="240" w:after="60" w:line="240" w:lineRule="atLeast"/>
      <w:ind w:left="1152" w:hanging="432"/>
      <w:outlineLvl w:val="5"/>
    </w:pPr>
    <w:rPr>
      <w:rFonts w:eastAsia="Times New Roman"/>
      <w:b/>
      <w:bCs/>
      <w:sz w:val="22"/>
    </w:rPr>
  </w:style>
  <w:style w:type="paragraph" w:styleId="Heading7">
    <w:name w:val="heading 7"/>
    <w:basedOn w:val="Normal"/>
    <w:next w:val="Normal"/>
    <w:link w:val="Heading7Char"/>
    <w:qFormat/>
    <w:rsid w:val="00102068"/>
    <w:pPr>
      <w:numPr>
        <w:ilvl w:val="6"/>
        <w:numId w:val="13"/>
      </w:numPr>
      <w:spacing w:before="240" w:after="60" w:line="240" w:lineRule="atLeast"/>
      <w:ind w:left="1296" w:hanging="288"/>
      <w:outlineLvl w:val="6"/>
    </w:pPr>
    <w:rPr>
      <w:rFonts w:eastAsia="Times New Roman"/>
      <w:sz w:val="24"/>
      <w:szCs w:val="20"/>
    </w:rPr>
  </w:style>
  <w:style w:type="paragraph" w:styleId="Heading8">
    <w:name w:val="heading 8"/>
    <w:basedOn w:val="Normal"/>
    <w:next w:val="Normal"/>
    <w:link w:val="Heading8Char"/>
    <w:qFormat/>
    <w:rsid w:val="00102068"/>
    <w:pPr>
      <w:numPr>
        <w:ilvl w:val="7"/>
        <w:numId w:val="13"/>
      </w:numPr>
      <w:spacing w:before="240" w:after="60" w:line="240" w:lineRule="atLeast"/>
      <w:ind w:left="1440" w:hanging="432"/>
      <w:outlineLvl w:val="7"/>
    </w:pPr>
    <w:rPr>
      <w:rFonts w:eastAsia="Times New Roman"/>
      <w:i/>
      <w:iCs/>
      <w:sz w:val="24"/>
      <w:szCs w:val="20"/>
    </w:rPr>
  </w:style>
  <w:style w:type="paragraph" w:styleId="Heading9">
    <w:name w:val="heading 9"/>
    <w:basedOn w:val="Normal"/>
    <w:next w:val="Normal"/>
    <w:link w:val="Heading9Char"/>
    <w:qFormat/>
    <w:rsid w:val="00102068"/>
    <w:pPr>
      <w:numPr>
        <w:ilvl w:val="8"/>
        <w:numId w:val="13"/>
      </w:numPr>
      <w:spacing w:before="240" w:after="60" w:line="240" w:lineRule="atLeast"/>
      <w:ind w:left="1584" w:hanging="144"/>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R"/>
    <w:basedOn w:val="Normal"/>
    <w:link w:val="FooterChar"/>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R Char"/>
    <w:link w:val="Footer"/>
    <w:rsid w:val="00BE531D"/>
    <w:rPr>
      <w:rFonts w:ascii="Times New Roman" w:hAnsi="Times New Roman"/>
      <w:b/>
      <w:sz w:val="17"/>
      <w:lang w:val="ru-RU"/>
    </w:rPr>
  </w:style>
  <w:style w:type="paragraph" w:styleId="Header">
    <w:name w:val="header"/>
    <w:aliases w:val="6_GR"/>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R Char"/>
    <w:link w:val="Header"/>
    <w:rsid w:val="00BE531D"/>
    <w:rPr>
      <w:rFonts w:ascii="Times New Roman" w:hAnsi="Times New Roman"/>
      <w:sz w:val="17"/>
      <w:lang w:val="ru-RU"/>
    </w:rPr>
  </w:style>
  <w:style w:type="character" w:customStyle="1" w:styleId="Heading1Char">
    <w:name w:val="Heading 1 Char"/>
    <w:aliases w:val="Table_GR Char,Table_G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R,5_G, Char,Footnote Text Blue,EUMC_Lábjegyzetszöveg + 13 pt,Félkövér,Dolt,Középre zárt Char,Középre zárt Char Char,Középre zárt,Märk,Footnote Text Char1,Footnote Text Char Char,Footnote Text Char2 Char Char,fn,f Char Char,f Char,f,f1"/>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R Char,5_G Char, Char Char,Footnote Text Blue Char,EUMC_Lábjegyzetszöveg + 13 pt Char,Félkövér Char,Dolt Char,Középre zárt Char Char1,Középre zárt Char Char Char,Középre zárt Char1,Märk Char,Footnote Text Char1 Char,fn Char,f Char1"/>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4_G,ftref,Ref,de nota al pie"/>
    <w:unhideWhenUsed/>
    <w:rsid w:val="00EC6F5D"/>
    <w:rPr>
      <w:spacing w:val="-5"/>
      <w:w w:val="130"/>
      <w:position w:val="-4"/>
      <w:vertAlign w:val="superscript"/>
    </w:rPr>
  </w:style>
  <w:style w:type="paragraph" w:styleId="EndnoteText">
    <w:name w:val="endnote text"/>
    <w:aliases w:val="2_GR"/>
    <w:basedOn w:val="Normal"/>
    <w:link w:val="EndnoteTextChar"/>
    <w:unhideWhenUsed/>
    <w:rsid w:val="00515869"/>
    <w:pPr>
      <w:suppressAutoHyphens/>
      <w:spacing w:line="240" w:lineRule="auto"/>
    </w:pPr>
    <w:rPr>
      <w:spacing w:val="5"/>
      <w:w w:val="104"/>
      <w:szCs w:val="20"/>
    </w:rPr>
  </w:style>
  <w:style w:type="character" w:customStyle="1" w:styleId="EndnoteTextChar">
    <w:name w:val="Endnote Text Char"/>
    <w:aliases w:val="2_GR Char"/>
    <w:link w:val="EndnoteText"/>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6E753A"/>
    <w:rPr>
      <w:sz w:val="16"/>
      <w:szCs w:val="16"/>
    </w:rPr>
  </w:style>
  <w:style w:type="paragraph" w:styleId="CommentText">
    <w:name w:val="annotation text"/>
    <w:basedOn w:val="Normal"/>
    <w:link w:val="CommentTextChar"/>
    <w:uiPriority w:val="99"/>
    <w:unhideWhenUsed/>
    <w:rsid w:val="006E753A"/>
    <w:rPr>
      <w:szCs w:val="20"/>
    </w:rPr>
  </w:style>
  <w:style w:type="character" w:customStyle="1" w:styleId="CommentTextChar">
    <w:name w:val="Comment Text Char"/>
    <w:link w:val="CommentText"/>
    <w:uiPriority w:val="99"/>
    <w:rsid w:val="006E753A"/>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6E753A"/>
    <w:rPr>
      <w:b/>
      <w:bCs/>
    </w:rPr>
  </w:style>
  <w:style w:type="character" w:customStyle="1" w:styleId="CommentSubjectChar">
    <w:name w:val="Comment Subject Char"/>
    <w:link w:val="CommentSubject"/>
    <w:uiPriority w:val="99"/>
    <w:semiHidden/>
    <w:rsid w:val="006E753A"/>
    <w:rPr>
      <w:rFonts w:ascii="Times New Roman" w:hAnsi="Times New Roman" w:cs="Times New Roman"/>
      <w:b/>
      <w:bCs/>
      <w:spacing w:val="4"/>
      <w:w w:val="103"/>
      <w:kern w:val="14"/>
      <w:lang w:eastAsia="en-US"/>
    </w:rPr>
  </w:style>
  <w:style w:type="character" w:customStyle="1" w:styleId="Heading4Char">
    <w:name w:val="Heading 4 Char"/>
    <w:link w:val="Heading4"/>
    <w:rsid w:val="00102068"/>
    <w:rPr>
      <w:rFonts w:ascii="Times New Roman" w:eastAsia="Times New Roman" w:hAnsi="Times New Roman" w:cs="Times New Roman"/>
      <w:b/>
      <w:bCs/>
      <w:spacing w:val="4"/>
      <w:w w:val="103"/>
      <w:kern w:val="14"/>
      <w:sz w:val="28"/>
      <w:szCs w:val="28"/>
      <w:lang w:eastAsia="en-US"/>
    </w:rPr>
  </w:style>
  <w:style w:type="character" w:customStyle="1" w:styleId="Heading5Char">
    <w:name w:val="Heading 5 Char"/>
    <w:link w:val="Heading5"/>
    <w:rsid w:val="00102068"/>
    <w:rPr>
      <w:rFonts w:ascii="Times New Roman" w:eastAsia="Times New Roman" w:hAnsi="Times New Roman" w:cs="Times New Roman"/>
      <w:b/>
      <w:bCs/>
      <w:i/>
      <w:iCs/>
      <w:spacing w:val="4"/>
      <w:w w:val="103"/>
      <w:kern w:val="14"/>
      <w:sz w:val="26"/>
      <w:szCs w:val="26"/>
      <w:lang w:eastAsia="en-US"/>
    </w:rPr>
  </w:style>
  <w:style w:type="character" w:customStyle="1" w:styleId="Heading6Char">
    <w:name w:val="Heading 6 Char"/>
    <w:link w:val="Heading6"/>
    <w:rsid w:val="00102068"/>
    <w:rPr>
      <w:rFonts w:ascii="Times New Roman" w:eastAsia="Times New Roman" w:hAnsi="Times New Roman" w:cs="Times New Roman"/>
      <w:b/>
      <w:bCs/>
      <w:spacing w:val="4"/>
      <w:w w:val="103"/>
      <w:kern w:val="14"/>
      <w:sz w:val="22"/>
      <w:szCs w:val="22"/>
      <w:lang w:eastAsia="en-US"/>
    </w:rPr>
  </w:style>
  <w:style w:type="character" w:customStyle="1" w:styleId="Heading7Char">
    <w:name w:val="Heading 7 Char"/>
    <w:link w:val="Heading7"/>
    <w:rsid w:val="00102068"/>
    <w:rPr>
      <w:rFonts w:ascii="Times New Roman" w:eastAsia="Times New Roman" w:hAnsi="Times New Roman" w:cs="Times New Roman"/>
      <w:spacing w:val="4"/>
      <w:w w:val="103"/>
      <w:kern w:val="14"/>
      <w:sz w:val="24"/>
      <w:lang w:eastAsia="en-US"/>
    </w:rPr>
  </w:style>
  <w:style w:type="character" w:customStyle="1" w:styleId="Heading8Char">
    <w:name w:val="Heading 8 Char"/>
    <w:link w:val="Heading8"/>
    <w:rsid w:val="00102068"/>
    <w:rPr>
      <w:rFonts w:ascii="Times New Roman" w:eastAsia="Times New Roman" w:hAnsi="Times New Roman" w:cs="Times New Roman"/>
      <w:i/>
      <w:iCs/>
      <w:spacing w:val="4"/>
      <w:w w:val="103"/>
      <w:kern w:val="14"/>
      <w:sz w:val="24"/>
      <w:lang w:eastAsia="en-US"/>
    </w:rPr>
  </w:style>
  <w:style w:type="character" w:customStyle="1" w:styleId="Heading9Char">
    <w:name w:val="Heading 9 Char"/>
    <w:link w:val="Heading9"/>
    <w:rsid w:val="00102068"/>
    <w:rPr>
      <w:rFonts w:ascii="Arial" w:eastAsia="Times New Roman" w:hAnsi="Arial"/>
      <w:spacing w:val="4"/>
      <w:w w:val="103"/>
      <w:kern w:val="14"/>
      <w:sz w:val="22"/>
      <w:szCs w:val="22"/>
      <w:lang w:eastAsia="en-US"/>
    </w:rPr>
  </w:style>
  <w:style w:type="paragraph" w:customStyle="1" w:styleId="SLGR">
    <w:name w:val="__S_L_GR"/>
    <w:basedOn w:val="Normal"/>
    <w:next w:val="Normal"/>
    <w:rsid w:val="00102068"/>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rsid w:val="00102068"/>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rsid w:val="00102068"/>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rsid w:val="00102068"/>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rsid w:val="00102068"/>
    <w:pPr>
      <w:numPr>
        <w:numId w:val="8"/>
      </w:numPr>
      <w:spacing w:after="120" w:line="240" w:lineRule="atLeast"/>
      <w:ind w:right="1134"/>
      <w:jc w:val="both"/>
    </w:pPr>
    <w:rPr>
      <w:rFonts w:eastAsia="Times New Roman"/>
      <w:szCs w:val="20"/>
      <w:lang w:eastAsia="ru-RU"/>
    </w:rPr>
  </w:style>
  <w:style w:type="paragraph" w:customStyle="1" w:styleId="Bullet2GR">
    <w:name w:val="_Bullet 2_GR"/>
    <w:basedOn w:val="Normal"/>
    <w:rsid w:val="00102068"/>
    <w:pPr>
      <w:numPr>
        <w:numId w:val="9"/>
      </w:numPr>
      <w:spacing w:after="120" w:line="240" w:lineRule="atLeast"/>
      <w:ind w:right="1134"/>
      <w:jc w:val="both"/>
    </w:pPr>
    <w:rPr>
      <w:rFonts w:eastAsia="Times New Roman"/>
      <w:szCs w:val="20"/>
      <w:lang w:eastAsia="ru-RU"/>
    </w:rPr>
  </w:style>
  <w:style w:type="numbering" w:styleId="111111">
    <w:name w:val="Outline List 2"/>
    <w:basedOn w:val="NoList"/>
    <w:semiHidden/>
    <w:rsid w:val="00102068"/>
    <w:pPr>
      <w:numPr>
        <w:numId w:val="11"/>
      </w:numPr>
    </w:pPr>
  </w:style>
  <w:style w:type="numbering" w:styleId="1ai">
    <w:name w:val="Outline List 1"/>
    <w:basedOn w:val="NoList"/>
    <w:semiHidden/>
    <w:rsid w:val="00102068"/>
    <w:pPr>
      <w:numPr>
        <w:numId w:val="12"/>
      </w:numPr>
    </w:pPr>
  </w:style>
  <w:style w:type="paragraph" w:styleId="HTMLAddress">
    <w:name w:val="HTML Address"/>
    <w:basedOn w:val="Normal"/>
    <w:link w:val="HTMLAddressChar"/>
    <w:semiHidden/>
    <w:rsid w:val="00102068"/>
    <w:pPr>
      <w:spacing w:line="240" w:lineRule="atLeast"/>
    </w:pPr>
    <w:rPr>
      <w:rFonts w:eastAsia="Times New Roman"/>
      <w:i/>
      <w:iCs/>
      <w:szCs w:val="20"/>
    </w:rPr>
  </w:style>
  <w:style w:type="character" w:customStyle="1" w:styleId="HTMLAddressChar">
    <w:name w:val="HTML Address Char"/>
    <w:link w:val="HTMLAddress"/>
    <w:semiHidden/>
    <w:rsid w:val="00102068"/>
    <w:rPr>
      <w:rFonts w:ascii="Times New Roman" w:eastAsia="Times New Roman" w:hAnsi="Times New Roman" w:cs="Times New Roman"/>
      <w:i/>
      <w:iCs/>
      <w:spacing w:val="4"/>
      <w:w w:val="103"/>
      <w:kern w:val="14"/>
      <w:lang w:eastAsia="en-US"/>
    </w:rPr>
  </w:style>
  <w:style w:type="paragraph" w:styleId="EnvelopeAddress">
    <w:name w:val="envelope address"/>
    <w:basedOn w:val="Normal"/>
    <w:semiHidden/>
    <w:rsid w:val="00102068"/>
    <w:pPr>
      <w:framePr w:w="7920" w:h="1980" w:hRule="exact" w:hSpace="180" w:wrap="auto" w:hAnchor="page" w:xAlign="center" w:yAlign="bottom"/>
      <w:spacing w:line="240" w:lineRule="atLeast"/>
      <w:ind w:left="2880"/>
    </w:pPr>
    <w:rPr>
      <w:rFonts w:ascii="Arial" w:eastAsia="Times New Roman" w:hAnsi="Arial" w:cs="Arial"/>
      <w:sz w:val="24"/>
      <w:szCs w:val="20"/>
    </w:rPr>
  </w:style>
  <w:style w:type="paragraph" w:styleId="Date">
    <w:name w:val="Date"/>
    <w:basedOn w:val="Normal"/>
    <w:next w:val="Normal"/>
    <w:link w:val="DateChar"/>
    <w:semiHidden/>
    <w:rsid w:val="00102068"/>
    <w:pPr>
      <w:spacing w:line="240" w:lineRule="atLeast"/>
    </w:pPr>
    <w:rPr>
      <w:rFonts w:eastAsia="Times New Roman"/>
      <w:szCs w:val="20"/>
    </w:rPr>
  </w:style>
  <w:style w:type="character" w:customStyle="1" w:styleId="DateChar">
    <w:name w:val="Date Char"/>
    <w:link w:val="Date"/>
    <w:semiHidden/>
    <w:rsid w:val="00102068"/>
    <w:rPr>
      <w:rFonts w:ascii="Times New Roman" w:eastAsia="Times New Roman" w:hAnsi="Times New Roman" w:cs="Times New Roman"/>
      <w:spacing w:val="4"/>
      <w:w w:val="103"/>
      <w:kern w:val="14"/>
      <w:lang w:eastAsia="en-US"/>
    </w:rPr>
  </w:style>
  <w:style w:type="paragraph" w:styleId="ListBullet5">
    <w:name w:val="List Bullet 5"/>
    <w:basedOn w:val="Normal"/>
    <w:semiHidden/>
    <w:rsid w:val="00102068"/>
    <w:pPr>
      <w:numPr>
        <w:numId w:val="17"/>
      </w:numPr>
      <w:spacing w:line="240" w:lineRule="atLeast"/>
    </w:pPr>
    <w:rPr>
      <w:rFonts w:eastAsia="Times New Roman"/>
      <w:szCs w:val="20"/>
    </w:rPr>
  </w:style>
  <w:style w:type="table" w:styleId="TableGrid">
    <w:name w:val="Table Grid"/>
    <w:basedOn w:val="TableNormal"/>
    <w:rsid w:val="00102068"/>
    <w:pPr>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102068"/>
    <w:pPr>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EndnoteReference">
    <w:name w:val="endnote reference"/>
    <w:aliases w:val="1_GR"/>
    <w:rsid w:val="00102068"/>
    <w:rPr>
      <w:rFonts w:ascii="Times New Roman" w:hAnsi="Times New Roman"/>
      <w:dstrike w:val="0"/>
      <w:spacing w:val="-5"/>
      <w:w w:val="130"/>
      <w:position w:val="-4"/>
      <w:sz w:val="18"/>
      <w:vertAlign w:val="superscript"/>
    </w:rPr>
  </w:style>
  <w:style w:type="character" w:styleId="PageNumber">
    <w:name w:val="page number"/>
    <w:aliases w:val="7_GR"/>
    <w:rsid w:val="00102068"/>
    <w:rPr>
      <w:rFonts w:ascii="Times New Roman" w:hAnsi="Times New Roman"/>
      <w:b/>
      <w:sz w:val="18"/>
    </w:rPr>
  </w:style>
  <w:style w:type="paragraph" w:customStyle="1" w:styleId="ParaNoGR">
    <w:name w:val="_ParaNo._GR"/>
    <w:basedOn w:val="Normal"/>
    <w:next w:val="Normal"/>
    <w:rsid w:val="00102068"/>
    <w:pPr>
      <w:numPr>
        <w:numId w:val="10"/>
      </w:numPr>
      <w:tabs>
        <w:tab w:val="left" w:pos="567"/>
      </w:tabs>
      <w:spacing w:after="120" w:line="240" w:lineRule="atLeast"/>
      <w:ind w:right="1134"/>
      <w:jc w:val="both"/>
      <w:outlineLvl w:val="0"/>
    </w:pPr>
    <w:rPr>
      <w:rFonts w:eastAsia="Times New Roman"/>
      <w:szCs w:val="20"/>
      <w:lang w:eastAsia="ru-RU"/>
    </w:rPr>
  </w:style>
  <w:style w:type="character" w:styleId="HTMLAcronym">
    <w:name w:val="HTML Acronym"/>
    <w:semiHidden/>
    <w:rsid w:val="00102068"/>
  </w:style>
  <w:style w:type="table" w:styleId="TableWeb1">
    <w:name w:val="Table Web 1"/>
    <w:basedOn w:val="TableNormal"/>
    <w:semiHidden/>
    <w:rsid w:val="00102068"/>
    <w:pPr>
      <w:spacing w:after="120" w:line="20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02068"/>
    <w:pPr>
      <w:spacing w:after="120" w:line="20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ChGR">
    <w:name w:val="_ H _Ch_GR Знак"/>
    <w:link w:val="HChGR0"/>
    <w:rsid w:val="00102068"/>
    <w:rPr>
      <w:b/>
      <w:spacing w:val="4"/>
      <w:w w:val="103"/>
      <w:kern w:val="14"/>
      <w:sz w:val="28"/>
    </w:rPr>
  </w:style>
  <w:style w:type="character" w:styleId="Emphasis">
    <w:name w:val="Emphasis"/>
    <w:qFormat/>
    <w:rsid w:val="00102068"/>
    <w:rPr>
      <w:i/>
      <w:iCs/>
    </w:rPr>
  </w:style>
  <w:style w:type="paragraph" w:styleId="NoteHeading">
    <w:name w:val="Note Heading"/>
    <w:basedOn w:val="Normal"/>
    <w:next w:val="Normal"/>
    <w:link w:val="NoteHeadingChar"/>
    <w:semiHidden/>
    <w:rsid w:val="00102068"/>
    <w:pPr>
      <w:spacing w:line="240" w:lineRule="atLeast"/>
    </w:pPr>
    <w:rPr>
      <w:rFonts w:eastAsia="Times New Roman"/>
      <w:szCs w:val="20"/>
    </w:rPr>
  </w:style>
  <w:style w:type="character" w:customStyle="1" w:styleId="NoteHeadingChar">
    <w:name w:val="Note Heading Char"/>
    <w:link w:val="NoteHeading"/>
    <w:semiHidden/>
    <w:rsid w:val="00102068"/>
    <w:rPr>
      <w:rFonts w:ascii="Times New Roman" w:eastAsia="Times New Roman" w:hAnsi="Times New Roman" w:cs="Times New Roman"/>
      <w:spacing w:val="4"/>
      <w:w w:val="103"/>
      <w:kern w:val="14"/>
      <w:lang w:eastAsia="en-US"/>
    </w:rPr>
  </w:style>
  <w:style w:type="table" w:styleId="TableElegant">
    <w:name w:val="Table Elegant"/>
    <w:basedOn w:val="TableNormal"/>
    <w:semiHidden/>
    <w:rsid w:val="00102068"/>
    <w:pPr>
      <w:spacing w:after="120" w:line="20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102068"/>
    <w:pPr>
      <w:spacing w:after="120" w:line="20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02068"/>
    <w:pPr>
      <w:spacing w:after="120" w:line="20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102068"/>
    <w:rPr>
      <w:rFonts w:ascii="Courier New" w:hAnsi="Courier New" w:cs="Courier New"/>
      <w:sz w:val="20"/>
      <w:szCs w:val="20"/>
    </w:rPr>
  </w:style>
  <w:style w:type="table" w:styleId="TableClassic1">
    <w:name w:val="Table Classic 1"/>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02068"/>
    <w:pPr>
      <w:spacing w:after="120" w:line="20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102068"/>
    <w:rPr>
      <w:rFonts w:ascii="Courier New" w:hAnsi="Courier New" w:cs="Courier New"/>
      <w:sz w:val="20"/>
      <w:szCs w:val="20"/>
    </w:rPr>
  </w:style>
  <w:style w:type="paragraph" w:styleId="BodyText">
    <w:name w:val="Body Text"/>
    <w:basedOn w:val="Normal"/>
    <w:link w:val="BodyTextChar"/>
    <w:semiHidden/>
    <w:rsid w:val="00102068"/>
    <w:pPr>
      <w:spacing w:line="240" w:lineRule="atLeast"/>
    </w:pPr>
    <w:rPr>
      <w:rFonts w:eastAsia="Times New Roman"/>
      <w:szCs w:val="20"/>
    </w:rPr>
  </w:style>
  <w:style w:type="character" w:customStyle="1" w:styleId="BodyTextChar">
    <w:name w:val="Body Text Char"/>
    <w:link w:val="BodyText"/>
    <w:semiHidden/>
    <w:rsid w:val="00102068"/>
    <w:rPr>
      <w:rFonts w:ascii="Times New Roman" w:eastAsia="Times New Roman" w:hAnsi="Times New Roman" w:cs="Times New Roman"/>
      <w:spacing w:val="4"/>
      <w:w w:val="103"/>
      <w:kern w:val="14"/>
      <w:lang w:eastAsia="en-US"/>
    </w:rPr>
  </w:style>
  <w:style w:type="paragraph" w:styleId="BodyTextFirstIndent">
    <w:name w:val="Body Text First Indent"/>
    <w:basedOn w:val="BodyText"/>
    <w:link w:val="BodyTextFirstIndentChar"/>
    <w:semiHidden/>
    <w:rsid w:val="00102068"/>
    <w:pPr>
      <w:ind w:firstLine="210"/>
    </w:pPr>
  </w:style>
  <w:style w:type="character" w:customStyle="1" w:styleId="BodyTextFirstIndentChar">
    <w:name w:val="Body Text First Indent Char"/>
    <w:basedOn w:val="BodyTextChar"/>
    <w:link w:val="BodyTextFirstIndent"/>
    <w:semiHidden/>
    <w:rsid w:val="00102068"/>
    <w:rPr>
      <w:rFonts w:ascii="Times New Roman" w:eastAsia="Times New Roman" w:hAnsi="Times New Roman" w:cs="Times New Roman"/>
      <w:spacing w:val="4"/>
      <w:w w:val="103"/>
      <w:kern w:val="14"/>
      <w:lang w:eastAsia="en-US"/>
    </w:rPr>
  </w:style>
  <w:style w:type="paragraph" w:styleId="BodyTextIndent">
    <w:name w:val="Body Text Indent"/>
    <w:basedOn w:val="Normal"/>
    <w:link w:val="BodyTextIndentChar"/>
    <w:semiHidden/>
    <w:rsid w:val="00102068"/>
    <w:pPr>
      <w:spacing w:line="240" w:lineRule="atLeast"/>
      <w:ind w:left="283"/>
    </w:pPr>
    <w:rPr>
      <w:rFonts w:eastAsia="Times New Roman"/>
      <w:szCs w:val="20"/>
    </w:rPr>
  </w:style>
  <w:style w:type="character" w:customStyle="1" w:styleId="BodyTextIndentChar">
    <w:name w:val="Body Text Indent Char"/>
    <w:link w:val="BodyTextIndent"/>
    <w:semiHidden/>
    <w:rsid w:val="00102068"/>
    <w:rPr>
      <w:rFonts w:ascii="Times New Roman" w:eastAsia="Times New Roman" w:hAnsi="Times New Roman" w:cs="Times New Roman"/>
      <w:spacing w:val="4"/>
      <w:w w:val="103"/>
      <w:kern w:val="14"/>
      <w:lang w:eastAsia="en-US"/>
    </w:rPr>
  </w:style>
  <w:style w:type="paragraph" w:styleId="BodyTextFirstIndent2">
    <w:name w:val="Body Text First Indent 2"/>
    <w:basedOn w:val="BodyTextIndent"/>
    <w:link w:val="BodyTextFirstIndent2Char"/>
    <w:semiHidden/>
    <w:rsid w:val="00102068"/>
    <w:pPr>
      <w:ind w:firstLine="210"/>
    </w:pPr>
  </w:style>
  <w:style w:type="character" w:customStyle="1" w:styleId="BodyTextFirstIndent2Char">
    <w:name w:val="Body Text First Indent 2 Char"/>
    <w:basedOn w:val="BodyTextIndentChar"/>
    <w:link w:val="BodyTextFirstIndent2"/>
    <w:semiHidden/>
    <w:rsid w:val="00102068"/>
    <w:rPr>
      <w:rFonts w:ascii="Times New Roman" w:eastAsia="Times New Roman" w:hAnsi="Times New Roman" w:cs="Times New Roman"/>
      <w:spacing w:val="4"/>
      <w:w w:val="103"/>
      <w:kern w:val="14"/>
      <w:lang w:eastAsia="en-US"/>
    </w:rPr>
  </w:style>
  <w:style w:type="paragraph" w:styleId="ListBullet">
    <w:name w:val="List Bullet"/>
    <w:basedOn w:val="Normal"/>
    <w:semiHidden/>
    <w:rsid w:val="00102068"/>
    <w:pPr>
      <w:tabs>
        <w:tab w:val="num" w:pos="360"/>
      </w:tabs>
      <w:spacing w:line="240" w:lineRule="atLeast"/>
      <w:ind w:left="360" w:hanging="360"/>
    </w:pPr>
    <w:rPr>
      <w:rFonts w:eastAsia="Times New Roman"/>
      <w:szCs w:val="20"/>
    </w:rPr>
  </w:style>
  <w:style w:type="paragraph" w:styleId="ListBullet2">
    <w:name w:val="List Bullet 2"/>
    <w:basedOn w:val="Normal"/>
    <w:semiHidden/>
    <w:rsid w:val="00102068"/>
    <w:pPr>
      <w:numPr>
        <w:numId w:val="14"/>
      </w:numPr>
      <w:spacing w:line="240" w:lineRule="atLeast"/>
    </w:pPr>
    <w:rPr>
      <w:rFonts w:eastAsia="Times New Roman"/>
      <w:szCs w:val="20"/>
    </w:rPr>
  </w:style>
  <w:style w:type="paragraph" w:styleId="ListBullet3">
    <w:name w:val="List Bullet 3"/>
    <w:basedOn w:val="Normal"/>
    <w:semiHidden/>
    <w:rsid w:val="00102068"/>
    <w:pPr>
      <w:numPr>
        <w:numId w:val="15"/>
      </w:numPr>
      <w:spacing w:line="240" w:lineRule="atLeast"/>
    </w:pPr>
    <w:rPr>
      <w:rFonts w:eastAsia="Times New Roman"/>
      <w:szCs w:val="20"/>
    </w:rPr>
  </w:style>
  <w:style w:type="paragraph" w:styleId="ListBullet4">
    <w:name w:val="List Bullet 4"/>
    <w:basedOn w:val="Normal"/>
    <w:semiHidden/>
    <w:rsid w:val="00102068"/>
    <w:pPr>
      <w:numPr>
        <w:numId w:val="16"/>
      </w:numPr>
      <w:spacing w:line="240" w:lineRule="atLeast"/>
    </w:pPr>
    <w:rPr>
      <w:rFonts w:eastAsia="Times New Roman"/>
      <w:szCs w:val="20"/>
    </w:rPr>
  </w:style>
  <w:style w:type="paragraph" w:styleId="Title">
    <w:name w:val="Title"/>
    <w:basedOn w:val="Normal"/>
    <w:link w:val="TitleChar"/>
    <w:qFormat/>
    <w:rsid w:val="00102068"/>
    <w:pPr>
      <w:spacing w:before="240" w:after="60" w:line="240" w:lineRule="atLeast"/>
      <w:jc w:val="center"/>
      <w:outlineLvl w:val="0"/>
    </w:pPr>
    <w:rPr>
      <w:rFonts w:ascii="Arial" w:eastAsia="Times New Roman" w:hAnsi="Arial" w:cs="Arial"/>
      <w:b/>
      <w:bCs/>
      <w:kern w:val="28"/>
      <w:sz w:val="32"/>
      <w:szCs w:val="32"/>
    </w:rPr>
  </w:style>
  <w:style w:type="character" w:customStyle="1" w:styleId="TitleChar">
    <w:name w:val="Title Char"/>
    <w:link w:val="Title"/>
    <w:rsid w:val="00102068"/>
    <w:rPr>
      <w:rFonts w:ascii="Arial" w:eastAsia="Times New Roman" w:hAnsi="Arial"/>
      <w:b/>
      <w:bCs/>
      <w:spacing w:val="4"/>
      <w:w w:val="103"/>
      <w:kern w:val="28"/>
      <w:sz w:val="32"/>
      <w:szCs w:val="32"/>
      <w:lang w:eastAsia="en-US"/>
    </w:rPr>
  </w:style>
  <w:style w:type="character" w:styleId="LineNumber">
    <w:name w:val="line number"/>
    <w:rsid w:val="00102068"/>
  </w:style>
  <w:style w:type="character" w:styleId="HTMLSample">
    <w:name w:val="HTML Sample"/>
    <w:semiHidden/>
    <w:rsid w:val="00102068"/>
    <w:rPr>
      <w:rFonts w:ascii="Courier New" w:hAnsi="Courier New" w:cs="Courier New"/>
    </w:rPr>
  </w:style>
  <w:style w:type="paragraph" w:styleId="EnvelopeReturn">
    <w:name w:val="envelope return"/>
    <w:basedOn w:val="Normal"/>
    <w:semiHidden/>
    <w:rsid w:val="00102068"/>
    <w:pPr>
      <w:spacing w:line="240" w:lineRule="atLeast"/>
    </w:pPr>
    <w:rPr>
      <w:rFonts w:ascii="Arial" w:eastAsia="Times New Roman" w:hAnsi="Arial" w:cs="Arial"/>
      <w:szCs w:val="20"/>
    </w:rPr>
  </w:style>
  <w:style w:type="table" w:styleId="Table3Deffects1">
    <w:name w:val="Table 3D effects 1"/>
    <w:basedOn w:val="TableNormal"/>
    <w:semiHidden/>
    <w:rsid w:val="00102068"/>
    <w:pPr>
      <w:spacing w:after="120" w:line="20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02068"/>
    <w:pPr>
      <w:spacing w:after="120" w:line="20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02068"/>
    <w:pPr>
      <w:spacing w:after="120" w:line="20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102068"/>
    <w:pPr>
      <w:spacing w:line="240" w:lineRule="atLeast"/>
    </w:pPr>
    <w:rPr>
      <w:rFonts w:eastAsia="Times New Roman"/>
      <w:sz w:val="24"/>
      <w:szCs w:val="20"/>
    </w:rPr>
  </w:style>
  <w:style w:type="paragraph" w:styleId="NormalIndent">
    <w:name w:val="Normal Indent"/>
    <w:basedOn w:val="Normal"/>
    <w:semiHidden/>
    <w:rsid w:val="00102068"/>
    <w:pPr>
      <w:spacing w:line="240" w:lineRule="atLeast"/>
      <w:ind w:left="567"/>
    </w:pPr>
    <w:rPr>
      <w:rFonts w:eastAsia="Times New Roman"/>
      <w:szCs w:val="20"/>
    </w:rPr>
  </w:style>
  <w:style w:type="character" w:styleId="HTMLDefinition">
    <w:name w:val="HTML Definition"/>
    <w:semiHidden/>
    <w:rsid w:val="00102068"/>
    <w:rPr>
      <w:i/>
      <w:iCs/>
    </w:rPr>
  </w:style>
  <w:style w:type="paragraph" w:styleId="BodyText2">
    <w:name w:val="Body Text 2"/>
    <w:basedOn w:val="Normal"/>
    <w:link w:val="BodyText2Char"/>
    <w:semiHidden/>
    <w:rsid w:val="00102068"/>
    <w:pPr>
      <w:spacing w:line="480" w:lineRule="auto"/>
    </w:pPr>
    <w:rPr>
      <w:rFonts w:eastAsia="Times New Roman"/>
      <w:szCs w:val="20"/>
    </w:rPr>
  </w:style>
  <w:style w:type="character" w:customStyle="1" w:styleId="BodyText2Char">
    <w:name w:val="Body Text 2 Char"/>
    <w:link w:val="BodyText2"/>
    <w:semiHidden/>
    <w:rsid w:val="00102068"/>
    <w:rPr>
      <w:rFonts w:ascii="Times New Roman" w:eastAsia="Times New Roman" w:hAnsi="Times New Roman" w:cs="Times New Roman"/>
      <w:spacing w:val="4"/>
      <w:w w:val="103"/>
      <w:kern w:val="14"/>
      <w:lang w:eastAsia="en-US"/>
    </w:rPr>
  </w:style>
  <w:style w:type="paragraph" w:styleId="BodyText3">
    <w:name w:val="Body Text 3"/>
    <w:basedOn w:val="Normal"/>
    <w:link w:val="BodyText3Char"/>
    <w:semiHidden/>
    <w:rsid w:val="00102068"/>
    <w:pPr>
      <w:spacing w:line="240" w:lineRule="atLeast"/>
    </w:pPr>
    <w:rPr>
      <w:rFonts w:eastAsia="Times New Roman"/>
      <w:sz w:val="16"/>
      <w:szCs w:val="16"/>
    </w:rPr>
  </w:style>
  <w:style w:type="character" w:customStyle="1" w:styleId="BodyText3Char">
    <w:name w:val="Body Text 3 Char"/>
    <w:link w:val="BodyText3"/>
    <w:semiHidden/>
    <w:rsid w:val="00102068"/>
    <w:rPr>
      <w:rFonts w:ascii="Times New Roman" w:eastAsia="Times New Roman" w:hAnsi="Times New Roman" w:cs="Times New Roman"/>
      <w:spacing w:val="4"/>
      <w:w w:val="103"/>
      <w:kern w:val="14"/>
      <w:sz w:val="16"/>
      <w:szCs w:val="16"/>
      <w:lang w:eastAsia="en-US"/>
    </w:rPr>
  </w:style>
  <w:style w:type="paragraph" w:styleId="BodyTextIndent2">
    <w:name w:val="Body Text Indent 2"/>
    <w:basedOn w:val="Normal"/>
    <w:link w:val="BodyTextIndent2Char"/>
    <w:semiHidden/>
    <w:rsid w:val="00102068"/>
    <w:pPr>
      <w:spacing w:line="480" w:lineRule="auto"/>
      <w:ind w:left="283"/>
    </w:pPr>
    <w:rPr>
      <w:rFonts w:eastAsia="Times New Roman"/>
      <w:szCs w:val="20"/>
    </w:rPr>
  </w:style>
  <w:style w:type="character" w:customStyle="1" w:styleId="BodyTextIndent2Char">
    <w:name w:val="Body Text Indent 2 Char"/>
    <w:link w:val="BodyTextIndent2"/>
    <w:semiHidden/>
    <w:rsid w:val="00102068"/>
    <w:rPr>
      <w:rFonts w:ascii="Times New Roman" w:eastAsia="Times New Roman" w:hAnsi="Times New Roman" w:cs="Times New Roman"/>
      <w:spacing w:val="4"/>
      <w:w w:val="103"/>
      <w:kern w:val="14"/>
      <w:lang w:eastAsia="en-US"/>
    </w:rPr>
  </w:style>
  <w:style w:type="paragraph" w:styleId="BodyTextIndent3">
    <w:name w:val="Body Text Indent 3"/>
    <w:basedOn w:val="Normal"/>
    <w:link w:val="BodyTextIndent3Char"/>
    <w:semiHidden/>
    <w:rsid w:val="00102068"/>
    <w:pPr>
      <w:spacing w:line="240" w:lineRule="atLeast"/>
      <w:ind w:left="283"/>
    </w:pPr>
    <w:rPr>
      <w:rFonts w:eastAsia="Times New Roman"/>
      <w:sz w:val="16"/>
      <w:szCs w:val="16"/>
    </w:rPr>
  </w:style>
  <w:style w:type="character" w:customStyle="1" w:styleId="BodyTextIndent3Char">
    <w:name w:val="Body Text Indent 3 Char"/>
    <w:link w:val="BodyTextIndent3"/>
    <w:semiHidden/>
    <w:rsid w:val="00102068"/>
    <w:rPr>
      <w:rFonts w:ascii="Times New Roman" w:eastAsia="Times New Roman" w:hAnsi="Times New Roman" w:cs="Times New Roman"/>
      <w:spacing w:val="4"/>
      <w:w w:val="103"/>
      <w:kern w:val="14"/>
      <w:sz w:val="16"/>
      <w:szCs w:val="16"/>
      <w:lang w:eastAsia="en-US"/>
    </w:rPr>
  </w:style>
  <w:style w:type="character" w:styleId="HTMLVariable">
    <w:name w:val="HTML Variable"/>
    <w:semiHidden/>
    <w:rsid w:val="00102068"/>
    <w:rPr>
      <w:i/>
      <w:iCs/>
    </w:rPr>
  </w:style>
  <w:style w:type="character" w:styleId="HTMLTypewriter">
    <w:name w:val="HTML Typewriter"/>
    <w:semiHidden/>
    <w:rsid w:val="00102068"/>
    <w:rPr>
      <w:rFonts w:ascii="Courier New" w:hAnsi="Courier New" w:cs="Courier New"/>
      <w:sz w:val="20"/>
      <w:szCs w:val="20"/>
    </w:rPr>
  </w:style>
  <w:style w:type="paragraph" w:styleId="Subtitle">
    <w:name w:val="Subtitle"/>
    <w:basedOn w:val="Normal"/>
    <w:link w:val="SubtitleChar"/>
    <w:qFormat/>
    <w:rsid w:val="00102068"/>
    <w:pPr>
      <w:spacing w:after="60" w:line="240" w:lineRule="atLeast"/>
      <w:jc w:val="center"/>
      <w:outlineLvl w:val="1"/>
    </w:pPr>
    <w:rPr>
      <w:rFonts w:ascii="Arial" w:eastAsia="Times New Roman" w:hAnsi="Arial" w:cs="Arial"/>
      <w:sz w:val="24"/>
      <w:szCs w:val="20"/>
    </w:rPr>
  </w:style>
  <w:style w:type="character" w:customStyle="1" w:styleId="SubtitleChar">
    <w:name w:val="Subtitle Char"/>
    <w:link w:val="Subtitle"/>
    <w:rsid w:val="00102068"/>
    <w:rPr>
      <w:rFonts w:ascii="Arial" w:eastAsia="Times New Roman" w:hAnsi="Arial"/>
      <w:spacing w:val="4"/>
      <w:w w:val="103"/>
      <w:kern w:val="14"/>
      <w:sz w:val="24"/>
      <w:lang w:eastAsia="en-US"/>
    </w:rPr>
  </w:style>
  <w:style w:type="paragraph" w:styleId="Signature">
    <w:name w:val="Signature"/>
    <w:basedOn w:val="Normal"/>
    <w:link w:val="SignatureChar"/>
    <w:semiHidden/>
    <w:rsid w:val="00102068"/>
    <w:pPr>
      <w:spacing w:line="240" w:lineRule="atLeast"/>
      <w:ind w:left="4252"/>
    </w:pPr>
    <w:rPr>
      <w:rFonts w:eastAsia="Times New Roman"/>
      <w:szCs w:val="20"/>
    </w:rPr>
  </w:style>
  <w:style w:type="character" w:customStyle="1" w:styleId="SignatureChar">
    <w:name w:val="Signature Char"/>
    <w:link w:val="Signature"/>
    <w:semiHidden/>
    <w:rsid w:val="00102068"/>
    <w:rPr>
      <w:rFonts w:ascii="Times New Roman" w:eastAsia="Times New Roman" w:hAnsi="Times New Roman" w:cs="Times New Roman"/>
      <w:spacing w:val="4"/>
      <w:w w:val="103"/>
      <w:kern w:val="14"/>
      <w:lang w:eastAsia="en-US"/>
    </w:rPr>
  </w:style>
  <w:style w:type="paragraph" w:styleId="Salutation">
    <w:name w:val="Salutation"/>
    <w:basedOn w:val="Normal"/>
    <w:next w:val="Normal"/>
    <w:link w:val="SalutationChar"/>
    <w:semiHidden/>
    <w:rsid w:val="00102068"/>
    <w:pPr>
      <w:spacing w:line="240" w:lineRule="atLeast"/>
    </w:pPr>
    <w:rPr>
      <w:rFonts w:eastAsia="Times New Roman"/>
      <w:szCs w:val="20"/>
    </w:rPr>
  </w:style>
  <w:style w:type="character" w:customStyle="1" w:styleId="SalutationChar">
    <w:name w:val="Salutation Char"/>
    <w:link w:val="Salutation"/>
    <w:semiHidden/>
    <w:rsid w:val="00102068"/>
    <w:rPr>
      <w:rFonts w:ascii="Times New Roman" w:eastAsia="Times New Roman" w:hAnsi="Times New Roman" w:cs="Times New Roman"/>
      <w:spacing w:val="4"/>
      <w:w w:val="103"/>
      <w:kern w:val="14"/>
      <w:lang w:eastAsia="en-US"/>
    </w:rPr>
  </w:style>
  <w:style w:type="paragraph" w:styleId="ListContinue3">
    <w:name w:val="List Continue 3"/>
    <w:basedOn w:val="Normal"/>
    <w:semiHidden/>
    <w:rsid w:val="00102068"/>
    <w:pPr>
      <w:spacing w:line="240" w:lineRule="atLeast"/>
      <w:ind w:left="849"/>
    </w:pPr>
    <w:rPr>
      <w:rFonts w:eastAsia="Times New Roman"/>
      <w:szCs w:val="20"/>
    </w:rPr>
  </w:style>
  <w:style w:type="paragraph" w:styleId="ListContinue4">
    <w:name w:val="List Continue 4"/>
    <w:basedOn w:val="Normal"/>
    <w:semiHidden/>
    <w:rsid w:val="00102068"/>
    <w:pPr>
      <w:spacing w:line="240" w:lineRule="atLeast"/>
      <w:ind w:left="1132"/>
    </w:pPr>
    <w:rPr>
      <w:rFonts w:eastAsia="Times New Roman"/>
      <w:szCs w:val="20"/>
    </w:rPr>
  </w:style>
  <w:style w:type="paragraph" w:styleId="ListContinue5">
    <w:name w:val="List Continue 5"/>
    <w:basedOn w:val="Normal"/>
    <w:semiHidden/>
    <w:rsid w:val="00102068"/>
    <w:pPr>
      <w:spacing w:line="240" w:lineRule="atLeast"/>
      <w:ind w:left="1415"/>
    </w:pPr>
    <w:rPr>
      <w:rFonts w:eastAsia="Times New Roman"/>
      <w:szCs w:val="20"/>
    </w:rPr>
  </w:style>
  <w:style w:type="character" w:styleId="FollowedHyperlink">
    <w:name w:val="FollowedHyperlink"/>
    <w:semiHidden/>
    <w:rsid w:val="00102068"/>
    <w:rPr>
      <w:color w:val="0000FF"/>
      <w:u w:val="none"/>
    </w:rPr>
  </w:style>
  <w:style w:type="table" w:styleId="TableSimple2">
    <w:name w:val="Table Simple 2"/>
    <w:basedOn w:val="TableNormal"/>
    <w:semiHidden/>
    <w:rsid w:val="00102068"/>
    <w:pPr>
      <w:spacing w:after="120" w:line="20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102068"/>
    <w:pPr>
      <w:spacing w:line="240" w:lineRule="atLeast"/>
      <w:ind w:left="4252"/>
    </w:pPr>
    <w:rPr>
      <w:rFonts w:eastAsia="Times New Roman"/>
      <w:szCs w:val="20"/>
    </w:rPr>
  </w:style>
  <w:style w:type="character" w:customStyle="1" w:styleId="ClosingChar">
    <w:name w:val="Closing Char"/>
    <w:link w:val="Closing"/>
    <w:semiHidden/>
    <w:rsid w:val="00102068"/>
    <w:rPr>
      <w:rFonts w:ascii="Times New Roman" w:eastAsia="Times New Roman" w:hAnsi="Times New Roman" w:cs="Times New Roman"/>
      <w:spacing w:val="4"/>
      <w:w w:val="103"/>
      <w:kern w:val="14"/>
      <w:lang w:eastAsia="en-US"/>
    </w:rPr>
  </w:style>
  <w:style w:type="table" w:styleId="TableGrid1">
    <w:name w:val="Table Grid 1"/>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02068"/>
    <w:pPr>
      <w:spacing w:after="120" w:line="20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02068"/>
    <w:pPr>
      <w:spacing w:after="120" w:line="20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02068"/>
    <w:pPr>
      <w:spacing w:after="120" w:line="20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02068"/>
    <w:pPr>
      <w:spacing w:after="120" w:line="20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02068"/>
    <w:pPr>
      <w:spacing w:after="120" w:line="20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102068"/>
    <w:pPr>
      <w:spacing w:line="240" w:lineRule="atLeast"/>
      <w:ind w:left="283" w:hanging="283"/>
    </w:pPr>
    <w:rPr>
      <w:rFonts w:eastAsia="Times New Roman"/>
      <w:szCs w:val="20"/>
    </w:rPr>
  </w:style>
  <w:style w:type="paragraph" w:styleId="List2">
    <w:name w:val="List 2"/>
    <w:basedOn w:val="Normal"/>
    <w:semiHidden/>
    <w:rsid w:val="00102068"/>
    <w:pPr>
      <w:spacing w:line="240" w:lineRule="atLeast"/>
      <w:ind w:left="566" w:hanging="283"/>
    </w:pPr>
    <w:rPr>
      <w:rFonts w:eastAsia="Times New Roman"/>
      <w:szCs w:val="20"/>
    </w:rPr>
  </w:style>
  <w:style w:type="paragraph" w:styleId="List3">
    <w:name w:val="List 3"/>
    <w:basedOn w:val="Normal"/>
    <w:semiHidden/>
    <w:rsid w:val="00102068"/>
    <w:pPr>
      <w:spacing w:line="240" w:lineRule="atLeast"/>
      <w:ind w:left="849" w:hanging="283"/>
    </w:pPr>
    <w:rPr>
      <w:rFonts w:eastAsia="Times New Roman"/>
      <w:szCs w:val="20"/>
    </w:rPr>
  </w:style>
  <w:style w:type="paragraph" w:styleId="List4">
    <w:name w:val="List 4"/>
    <w:basedOn w:val="Normal"/>
    <w:semiHidden/>
    <w:rsid w:val="00102068"/>
    <w:pPr>
      <w:spacing w:line="240" w:lineRule="atLeast"/>
      <w:ind w:left="1132" w:hanging="283"/>
    </w:pPr>
    <w:rPr>
      <w:rFonts w:eastAsia="Times New Roman"/>
      <w:szCs w:val="20"/>
    </w:rPr>
  </w:style>
  <w:style w:type="paragraph" w:styleId="List5">
    <w:name w:val="List 5"/>
    <w:basedOn w:val="Normal"/>
    <w:semiHidden/>
    <w:rsid w:val="00102068"/>
    <w:pPr>
      <w:spacing w:line="240" w:lineRule="atLeast"/>
      <w:ind w:left="1415" w:hanging="283"/>
    </w:pPr>
    <w:rPr>
      <w:rFonts w:eastAsia="Times New Roman"/>
      <w:szCs w:val="20"/>
    </w:rPr>
  </w:style>
  <w:style w:type="paragraph" w:styleId="HTMLPreformatted">
    <w:name w:val="HTML Preformatted"/>
    <w:basedOn w:val="Normal"/>
    <w:link w:val="HTMLPreformattedChar"/>
    <w:semiHidden/>
    <w:rsid w:val="00102068"/>
    <w:pPr>
      <w:spacing w:line="240" w:lineRule="atLeast"/>
    </w:pPr>
    <w:rPr>
      <w:rFonts w:ascii="Courier New" w:eastAsia="Times New Roman" w:hAnsi="Courier New" w:cs="Courier New"/>
      <w:szCs w:val="20"/>
    </w:rPr>
  </w:style>
  <w:style w:type="character" w:customStyle="1" w:styleId="HTMLPreformattedChar">
    <w:name w:val="HTML Preformatted Char"/>
    <w:link w:val="HTMLPreformatted"/>
    <w:semiHidden/>
    <w:rsid w:val="00102068"/>
    <w:rPr>
      <w:rFonts w:ascii="Courier New" w:eastAsia="Times New Roman" w:hAnsi="Courier New" w:cs="Courier New"/>
      <w:spacing w:val="4"/>
      <w:w w:val="103"/>
      <w:kern w:val="14"/>
      <w:lang w:eastAsia="en-US"/>
    </w:rPr>
  </w:style>
  <w:style w:type="numbering" w:styleId="ArticleSection">
    <w:name w:val="Outline List 3"/>
    <w:basedOn w:val="NoList"/>
    <w:semiHidden/>
    <w:rsid w:val="00102068"/>
    <w:pPr>
      <w:numPr>
        <w:numId w:val="18"/>
      </w:numPr>
    </w:pPr>
  </w:style>
  <w:style w:type="table" w:styleId="TableColumns1">
    <w:name w:val="Table Columns 1"/>
    <w:basedOn w:val="TableNormal"/>
    <w:semiHidden/>
    <w:rsid w:val="00102068"/>
    <w:pPr>
      <w:spacing w:after="120" w:line="20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02068"/>
    <w:pPr>
      <w:spacing w:after="120" w:line="20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02068"/>
    <w:pPr>
      <w:spacing w:after="120" w:line="20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02068"/>
    <w:pPr>
      <w:spacing w:after="120" w:line="20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02068"/>
    <w:pPr>
      <w:spacing w:after="120" w:line="20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102068"/>
    <w:rPr>
      <w:b/>
      <w:bCs/>
    </w:rPr>
  </w:style>
  <w:style w:type="table" w:styleId="TableList1">
    <w:name w:val="Table List 1"/>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02068"/>
    <w:pPr>
      <w:spacing w:after="120" w:line="20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0206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0206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0206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02068"/>
    <w:pPr>
      <w:spacing w:after="120" w:line="20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102068"/>
    <w:pPr>
      <w:spacing w:after="120" w:line="20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02068"/>
    <w:pPr>
      <w:spacing w:after="120" w:line="20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02068"/>
    <w:pPr>
      <w:spacing w:after="120" w:line="20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102068"/>
    <w:pPr>
      <w:spacing w:line="240" w:lineRule="atLeast"/>
      <w:ind w:left="1440" w:right="1440"/>
    </w:pPr>
    <w:rPr>
      <w:rFonts w:eastAsia="Times New Roman"/>
      <w:szCs w:val="20"/>
    </w:rPr>
  </w:style>
  <w:style w:type="character" w:styleId="HTMLCite">
    <w:name w:val="HTML Cite"/>
    <w:semiHidden/>
    <w:rsid w:val="00102068"/>
    <w:rPr>
      <w:i/>
      <w:iCs/>
    </w:rPr>
  </w:style>
  <w:style w:type="paragraph" w:styleId="E-mailSignature">
    <w:name w:val="E-mail Signature"/>
    <w:basedOn w:val="Normal"/>
    <w:link w:val="E-mailSignatureChar"/>
    <w:semiHidden/>
    <w:rsid w:val="00102068"/>
    <w:pPr>
      <w:spacing w:line="240" w:lineRule="atLeast"/>
    </w:pPr>
    <w:rPr>
      <w:rFonts w:eastAsia="Times New Roman"/>
      <w:szCs w:val="20"/>
    </w:rPr>
  </w:style>
  <w:style w:type="character" w:customStyle="1" w:styleId="E-mailSignatureChar">
    <w:name w:val="E-mail Signature Char"/>
    <w:link w:val="E-mailSignature"/>
    <w:semiHidden/>
    <w:rsid w:val="00102068"/>
    <w:rPr>
      <w:rFonts w:ascii="Times New Roman" w:eastAsia="Times New Roman" w:hAnsi="Times New Roman" w:cs="Times New Roman"/>
      <w:spacing w:val="4"/>
      <w:w w:val="103"/>
      <w:kern w:val="14"/>
      <w:lang w:eastAsia="en-US"/>
    </w:rPr>
  </w:style>
  <w:style w:type="character" w:styleId="Hyperlink">
    <w:name w:val="Hyperlink"/>
    <w:semiHidden/>
    <w:rsid w:val="00102068"/>
    <w:rPr>
      <w:color w:val="0000FF"/>
      <w:u w:val="none"/>
    </w:rPr>
  </w:style>
  <w:style w:type="paragraph" w:customStyle="1" w:styleId="SingleTxtG">
    <w:name w:val="_ Single Txt_G"/>
    <w:basedOn w:val="Normal"/>
    <w:link w:val="SingleTxtGChar"/>
    <w:rsid w:val="00102068"/>
    <w:pPr>
      <w:tabs>
        <w:tab w:val="left" w:pos="1701"/>
        <w:tab w:val="left" w:pos="2126"/>
        <w:tab w:val="left" w:pos="2552"/>
      </w:tabs>
      <w:suppressAutoHyphens/>
      <w:spacing w:after="120" w:line="240" w:lineRule="atLeast"/>
      <w:ind w:left="1264" w:right="1264"/>
      <w:jc w:val="both"/>
    </w:pPr>
    <w:rPr>
      <w:rFonts w:eastAsia="Times New Roman"/>
      <w:spacing w:val="0"/>
      <w:w w:val="100"/>
      <w:kern w:val="0"/>
      <w:szCs w:val="20"/>
    </w:rPr>
  </w:style>
  <w:style w:type="paragraph" w:customStyle="1" w:styleId="H1GR">
    <w:name w:val="_ H_1_GR"/>
    <w:basedOn w:val="Normal"/>
    <w:next w:val="Normal"/>
    <w:link w:val="H1GR0"/>
    <w:rsid w:val="00102068"/>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
    <w:name w:val="_ H_2/3_GR"/>
    <w:basedOn w:val="Normal"/>
    <w:next w:val="Normal"/>
    <w:link w:val="H23GR0"/>
    <w:rsid w:val="00102068"/>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H4GR">
    <w:name w:val="_ H_4_GR"/>
    <w:basedOn w:val="Normal"/>
    <w:next w:val="Normal"/>
    <w:rsid w:val="00102068"/>
    <w:pPr>
      <w:keepNext/>
      <w:keepLines/>
      <w:tabs>
        <w:tab w:val="right" w:pos="851"/>
      </w:tabs>
      <w:suppressAutoHyphens/>
      <w:spacing w:before="40" w:after="120" w:line="240" w:lineRule="auto"/>
      <w:outlineLvl w:val="3"/>
    </w:pPr>
    <w:rPr>
      <w:rFonts w:eastAsia="Times New Roman"/>
      <w:i/>
      <w:spacing w:val="3"/>
      <w:szCs w:val="20"/>
      <w:lang w:eastAsia="ru-RU"/>
    </w:rPr>
  </w:style>
  <w:style w:type="paragraph" w:customStyle="1" w:styleId="H56GR">
    <w:name w:val="_ H_5/6_GR"/>
    <w:basedOn w:val="Normal"/>
    <w:next w:val="Normal"/>
    <w:rsid w:val="00102068"/>
    <w:pPr>
      <w:keepNext/>
      <w:keepLines/>
      <w:tabs>
        <w:tab w:val="right" w:pos="851"/>
      </w:tabs>
      <w:suppressAutoHyphens/>
      <w:spacing w:before="240" w:after="120"/>
      <w:ind w:left="1134" w:right="1134" w:hanging="1134"/>
    </w:pPr>
    <w:rPr>
      <w:rFonts w:eastAsia="Times New Roman"/>
      <w:szCs w:val="20"/>
      <w:lang w:eastAsia="ru-RU"/>
    </w:rPr>
  </w:style>
  <w:style w:type="table" w:styleId="TableProfessional">
    <w:name w:val="Table Professional"/>
    <w:basedOn w:val="TableNormal"/>
    <w:semiHidden/>
    <w:rsid w:val="00102068"/>
    <w:pPr>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102068"/>
    <w:pPr>
      <w:keepNext/>
      <w:keepLines/>
      <w:tabs>
        <w:tab w:val="right" w:pos="851"/>
      </w:tabs>
      <w:suppressAutoHyphens/>
      <w:spacing w:before="360" w:after="240" w:line="300" w:lineRule="exact"/>
      <w:ind w:left="1134" w:right="1134" w:hanging="1134"/>
    </w:pPr>
    <w:rPr>
      <w:rFonts w:ascii="Calibri" w:hAnsi="Calibri" w:cs="Arial"/>
      <w:b/>
      <w:sz w:val="28"/>
      <w:szCs w:val="20"/>
      <w:lang w:eastAsia="ru-RU"/>
    </w:rPr>
  </w:style>
  <w:style w:type="paragraph" w:customStyle="1" w:styleId="HMGR">
    <w:name w:val="_ H __M_GR"/>
    <w:basedOn w:val="Normal"/>
    <w:next w:val="Normal"/>
    <w:rsid w:val="00102068"/>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styleId="TOAHeading">
    <w:name w:val="toa heading"/>
    <w:basedOn w:val="Normal"/>
    <w:next w:val="Normal"/>
    <w:semiHidden/>
    <w:rsid w:val="00102068"/>
    <w:pPr>
      <w:spacing w:before="120" w:line="240" w:lineRule="atLeast"/>
    </w:pPr>
    <w:rPr>
      <w:rFonts w:ascii="Arial" w:eastAsia="Times New Roman" w:hAnsi="Arial" w:cs="Arial"/>
      <w:b/>
      <w:bCs/>
      <w:sz w:val="24"/>
      <w:szCs w:val="20"/>
    </w:rPr>
  </w:style>
  <w:style w:type="paragraph" w:customStyle="1" w:styleId="SingleTxtGR">
    <w:name w:val="_ Single Txt_GR"/>
    <w:basedOn w:val="Normal"/>
    <w:link w:val="SingleTxtGR0"/>
    <w:rsid w:val="00102068"/>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styleId="PlainText">
    <w:name w:val="Plain Text"/>
    <w:basedOn w:val="Normal"/>
    <w:link w:val="PlainTextChar"/>
    <w:semiHidden/>
    <w:rsid w:val="00102068"/>
    <w:pPr>
      <w:spacing w:line="240" w:lineRule="atLeast"/>
    </w:pPr>
    <w:rPr>
      <w:rFonts w:ascii="Courier New" w:eastAsia="Times New Roman" w:hAnsi="Courier New" w:cs="Courier New"/>
      <w:szCs w:val="20"/>
    </w:rPr>
  </w:style>
  <w:style w:type="character" w:customStyle="1" w:styleId="PlainTextChar">
    <w:name w:val="Plain Text Char"/>
    <w:link w:val="PlainText"/>
    <w:semiHidden/>
    <w:rsid w:val="00102068"/>
    <w:rPr>
      <w:rFonts w:ascii="Courier New" w:eastAsia="Times New Roman" w:hAnsi="Courier New" w:cs="Courier New"/>
      <w:spacing w:val="4"/>
      <w:w w:val="103"/>
      <w:kern w:val="14"/>
      <w:lang w:eastAsia="en-US"/>
    </w:rPr>
  </w:style>
  <w:style w:type="paragraph" w:styleId="MessageHeader">
    <w:name w:val="Message Header"/>
    <w:basedOn w:val="Normal"/>
    <w:link w:val="MessageHeaderChar"/>
    <w:semiHidden/>
    <w:rsid w:val="0010206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z w:val="24"/>
      <w:szCs w:val="20"/>
    </w:rPr>
  </w:style>
  <w:style w:type="character" w:customStyle="1" w:styleId="MessageHeaderChar">
    <w:name w:val="Message Header Char"/>
    <w:link w:val="MessageHeader"/>
    <w:semiHidden/>
    <w:rsid w:val="00102068"/>
    <w:rPr>
      <w:rFonts w:ascii="Arial" w:eastAsia="Times New Roman" w:hAnsi="Arial"/>
      <w:spacing w:val="4"/>
      <w:w w:val="103"/>
      <w:kern w:val="14"/>
      <w:sz w:val="24"/>
      <w:shd w:val="pct20" w:color="auto" w:fill="auto"/>
      <w:lang w:eastAsia="en-US"/>
    </w:rPr>
  </w:style>
  <w:style w:type="character" w:customStyle="1" w:styleId="SingleTxtGChar">
    <w:name w:val="_ Single Txt_G Char"/>
    <w:link w:val="SingleTxtG"/>
    <w:rsid w:val="00102068"/>
    <w:rPr>
      <w:rFonts w:ascii="Times New Roman" w:eastAsia="Times New Roman" w:hAnsi="Times New Roman" w:cs="Times New Roman"/>
      <w:lang w:eastAsia="en-US"/>
    </w:rPr>
  </w:style>
  <w:style w:type="table" w:customStyle="1" w:styleId="TabNum">
    <w:name w:val="_TabNum"/>
    <w:basedOn w:val="TableNormal"/>
    <w:rsid w:val="00102068"/>
    <w:pPr>
      <w:spacing w:before="40" w:after="40" w:line="220" w:lineRule="exact"/>
      <w:jc w:val="right"/>
    </w:pPr>
    <w:rPr>
      <w:rFonts w:ascii="Times New Roman" w:eastAsia="Times New Roman" w:hAnsi="Times New Roman" w:cs="Times New Roman"/>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02068"/>
    <w:pPr>
      <w:spacing w:before="40" w:after="120" w:line="240" w:lineRule="atLeast"/>
    </w:pPr>
    <w:rPr>
      <w:rFonts w:ascii="Times New Roman" w:eastAsia="Times New Roman" w:hAnsi="Times New Roman" w:cs="Times New Roman"/>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23GR0">
    <w:name w:val="_ H_2/3_GR Знак"/>
    <w:link w:val="H23GR"/>
    <w:rsid w:val="00102068"/>
    <w:rPr>
      <w:rFonts w:ascii="Times New Roman" w:eastAsia="Times New Roman" w:hAnsi="Times New Roman" w:cs="Times New Roman"/>
      <w:b/>
      <w:spacing w:val="4"/>
      <w:w w:val="103"/>
      <w:kern w:val="14"/>
    </w:rPr>
  </w:style>
  <w:style w:type="character" w:customStyle="1" w:styleId="SingleTxtGR0">
    <w:name w:val="_ Single Txt_GR Знак"/>
    <w:link w:val="SingleTxtGR"/>
    <w:rsid w:val="00102068"/>
    <w:rPr>
      <w:rFonts w:ascii="Times New Roman" w:eastAsia="Times New Roman" w:hAnsi="Times New Roman" w:cs="Times New Roman"/>
      <w:spacing w:val="4"/>
      <w:w w:val="103"/>
      <w:kern w:val="14"/>
      <w:lang w:eastAsia="en-US"/>
    </w:rPr>
  </w:style>
  <w:style w:type="character" w:customStyle="1" w:styleId="H1GR0">
    <w:name w:val="_ H_1_GR Знак"/>
    <w:link w:val="H1GR"/>
    <w:rsid w:val="00102068"/>
    <w:rPr>
      <w:rFonts w:ascii="Times New Roman" w:eastAsia="Times New Roman" w:hAnsi="Times New Roman" w:cs="Times New Roman"/>
      <w:b/>
      <w:spacing w:val="4"/>
      <w:w w:val="103"/>
      <w:kern w:val="14"/>
      <w:sz w:val="24"/>
    </w:rPr>
  </w:style>
  <w:style w:type="paragraph" w:customStyle="1" w:styleId="HMG">
    <w:name w:val="_ H __M_G"/>
    <w:basedOn w:val="Normal"/>
    <w:next w:val="Normal"/>
    <w:rsid w:val="0010206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10206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customStyle="1" w:styleId="a">
    <w:name w:val="Символ сноски"/>
    <w:rsid w:val="00102068"/>
  </w:style>
  <w:style w:type="character" w:customStyle="1" w:styleId="WW8Num12z0">
    <w:name w:val="WW8Num12z0"/>
    <w:rsid w:val="00102068"/>
    <w:rPr>
      <w:rFonts w:ascii="Times New Roman" w:hAnsi="Times New Roman" w:cs="Times New Roman"/>
    </w:rPr>
  </w:style>
  <w:style w:type="character" w:customStyle="1" w:styleId="WW8Num12z1">
    <w:name w:val="WW8Num12z1"/>
    <w:rsid w:val="00102068"/>
    <w:rPr>
      <w:rFonts w:ascii="Courier New" w:hAnsi="Courier New" w:cs="Courier New"/>
    </w:rPr>
  </w:style>
  <w:style w:type="character" w:customStyle="1" w:styleId="WW8Num12z2">
    <w:name w:val="WW8Num12z2"/>
    <w:rsid w:val="00102068"/>
    <w:rPr>
      <w:rFonts w:ascii="Wingdings" w:hAnsi="Wingdings" w:cs="Wingdings"/>
    </w:rPr>
  </w:style>
  <w:style w:type="character" w:customStyle="1" w:styleId="WW8Num12z3">
    <w:name w:val="WW8Num12z3"/>
    <w:rsid w:val="00102068"/>
    <w:rPr>
      <w:rFonts w:ascii="Symbol" w:hAnsi="Symbol" w:cs="Symbol"/>
    </w:rPr>
  </w:style>
  <w:style w:type="character" w:customStyle="1" w:styleId="a0">
    <w:name w:val="Символы концевой сноски"/>
    <w:rsid w:val="00102068"/>
  </w:style>
  <w:style w:type="paragraph" w:customStyle="1" w:styleId="a1">
    <w:name w:val="Заголовок"/>
    <w:basedOn w:val="Normal"/>
    <w:next w:val="BodyText"/>
    <w:rsid w:val="00102068"/>
    <w:pPr>
      <w:keepNext/>
      <w:widowControl w:val="0"/>
      <w:suppressAutoHyphens/>
      <w:spacing w:before="240" w:after="120" w:line="240" w:lineRule="auto"/>
    </w:pPr>
    <w:rPr>
      <w:rFonts w:ascii="Arial" w:eastAsia="Microsoft YaHei" w:hAnsi="Arial" w:cs="Mangal"/>
      <w:spacing w:val="0"/>
      <w:w w:val="100"/>
      <w:kern w:val="1"/>
      <w:sz w:val="28"/>
      <w:szCs w:val="28"/>
      <w:lang w:eastAsia="zh-CN" w:bidi="hi-IN"/>
    </w:rPr>
  </w:style>
  <w:style w:type="paragraph" w:styleId="Caption">
    <w:name w:val="caption"/>
    <w:basedOn w:val="Normal"/>
    <w:qFormat/>
    <w:rsid w:val="00102068"/>
    <w:pPr>
      <w:widowControl w:val="0"/>
      <w:suppressLineNumbers/>
      <w:suppressAutoHyphens/>
      <w:spacing w:before="120" w:after="120" w:line="240" w:lineRule="auto"/>
    </w:pPr>
    <w:rPr>
      <w:rFonts w:eastAsia="SimSun" w:cs="Mangal"/>
      <w:i/>
      <w:iCs/>
      <w:spacing w:val="0"/>
      <w:w w:val="100"/>
      <w:kern w:val="1"/>
      <w:sz w:val="24"/>
      <w:szCs w:val="24"/>
      <w:lang w:eastAsia="zh-CN" w:bidi="hi-IN"/>
    </w:rPr>
  </w:style>
  <w:style w:type="paragraph" w:customStyle="1" w:styleId="1">
    <w:name w:val="Указатель1"/>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H1G">
    <w:name w:val="_ H_1_G"/>
    <w:basedOn w:val="Normal"/>
    <w:next w:val="Normal"/>
    <w:rsid w:val="00102068"/>
    <w:pPr>
      <w:keepNext/>
      <w:keepLines/>
      <w:widowControl w:val="0"/>
      <w:suppressAutoHyphens/>
      <w:spacing w:before="360" w:after="240" w:line="270" w:lineRule="exact"/>
      <w:ind w:left="1134" w:right="1134" w:hanging="1134"/>
    </w:pPr>
    <w:rPr>
      <w:rFonts w:eastAsia="SimSun" w:cs="Mangal"/>
      <w:b/>
      <w:spacing w:val="0"/>
      <w:w w:val="100"/>
      <w:kern w:val="1"/>
      <w:sz w:val="24"/>
      <w:szCs w:val="24"/>
      <w:lang w:eastAsia="zh-CN" w:bidi="hi-IN"/>
    </w:rPr>
  </w:style>
  <w:style w:type="paragraph" w:customStyle="1" w:styleId="H23G">
    <w:name w:val="_ H_2/3_G"/>
    <w:basedOn w:val="Normal"/>
    <w:next w:val="Normal"/>
    <w:rsid w:val="00102068"/>
    <w:pPr>
      <w:keepNext/>
      <w:keepLines/>
      <w:widowControl w:val="0"/>
      <w:suppressAutoHyphens/>
      <w:spacing w:before="240" w:after="120"/>
      <w:ind w:left="1134" w:right="1134" w:hanging="1134"/>
    </w:pPr>
    <w:rPr>
      <w:rFonts w:eastAsia="SimSun" w:cs="Mangal"/>
      <w:b/>
      <w:spacing w:val="0"/>
      <w:w w:val="100"/>
      <w:kern w:val="1"/>
      <w:sz w:val="24"/>
      <w:szCs w:val="24"/>
      <w:lang w:eastAsia="zh-CN" w:bidi="hi-IN"/>
    </w:rPr>
  </w:style>
  <w:style w:type="paragraph" w:customStyle="1" w:styleId="a2">
    <w:name w:val="Содержимое таблицы"/>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Bullet1G">
    <w:name w:val="_Bullet 1_G"/>
    <w:basedOn w:val="Normal"/>
    <w:rsid w:val="00102068"/>
    <w:pPr>
      <w:widowControl w:val="0"/>
      <w:suppressAutoHyphens/>
      <w:spacing w:after="120" w:line="240" w:lineRule="auto"/>
      <w:ind w:right="1134"/>
      <w:jc w:val="both"/>
    </w:pPr>
    <w:rPr>
      <w:rFonts w:eastAsia="SimSun" w:cs="Mangal"/>
      <w:spacing w:val="0"/>
      <w:w w:val="100"/>
      <w:kern w:val="1"/>
      <w:sz w:val="24"/>
      <w:szCs w:val="24"/>
      <w:lang w:eastAsia="zh-CN" w:bidi="hi-IN"/>
    </w:rPr>
  </w:style>
  <w:style w:type="paragraph" w:customStyle="1" w:styleId="a3">
    <w:name w:val="Заголовок таблицы"/>
    <w:basedOn w:val="a2"/>
    <w:rsid w:val="00102068"/>
    <w:pPr>
      <w:jc w:val="center"/>
    </w:pPr>
    <w:rPr>
      <w:b/>
      <w:bCs/>
    </w:rPr>
  </w:style>
  <w:style w:type="paragraph" w:customStyle="1" w:styleId="Heading">
    <w:name w:val="Heading"/>
    <w:basedOn w:val="Normal"/>
    <w:next w:val="BodyText"/>
    <w:rsid w:val="00102068"/>
    <w:pPr>
      <w:keepNext/>
      <w:widowControl w:val="0"/>
      <w:suppressAutoHyphens/>
      <w:spacing w:before="240" w:after="120" w:line="240" w:lineRule="auto"/>
    </w:pPr>
    <w:rPr>
      <w:rFonts w:ascii="Arial" w:eastAsia="Microsoft YaHei" w:hAnsi="Arial" w:cs="Mangal"/>
      <w:spacing w:val="0"/>
      <w:w w:val="100"/>
      <w:kern w:val="1"/>
      <w:sz w:val="28"/>
      <w:szCs w:val="28"/>
      <w:lang w:eastAsia="zh-CN" w:bidi="hi-IN"/>
    </w:rPr>
  </w:style>
  <w:style w:type="paragraph" w:customStyle="1" w:styleId="Index">
    <w:name w:val="Index"/>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TableContents">
    <w:name w:val="Table Contents"/>
    <w:basedOn w:val="Normal"/>
    <w:rsid w:val="00102068"/>
    <w:pPr>
      <w:widowControl w:val="0"/>
      <w:suppressLineNumbers/>
      <w:suppressAutoHyphens/>
      <w:spacing w:line="240" w:lineRule="auto"/>
    </w:pPr>
    <w:rPr>
      <w:rFonts w:eastAsia="SimSun" w:cs="Mangal"/>
      <w:spacing w:val="0"/>
      <w:w w:val="100"/>
      <w:kern w:val="1"/>
      <w:sz w:val="24"/>
      <w:szCs w:val="24"/>
      <w:lang w:eastAsia="zh-CN" w:bidi="hi-IN"/>
    </w:rPr>
  </w:style>
  <w:style w:type="paragraph" w:customStyle="1" w:styleId="TableHeading">
    <w:name w:val="Table Heading"/>
    <w:basedOn w:val="TableContents"/>
    <w:rsid w:val="00102068"/>
    <w:pPr>
      <w:jc w:val="center"/>
    </w:pPr>
    <w:rPr>
      <w:b/>
      <w:bCs/>
    </w:rPr>
  </w:style>
  <w:style w:type="character" w:customStyle="1" w:styleId="DefaultParagraphFont1">
    <w:name w:val="Default Paragraph Font1"/>
    <w:rsid w:val="00102068"/>
  </w:style>
  <w:style w:type="character" w:customStyle="1" w:styleId="FootnoteCharacters">
    <w:name w:val="Footnote Characters"/>
    <w:rsid w:val="00102068"/>
    <w:rPr>
      <w:spacing w:val="-5"/>
      <w:w w:val="130"/>
      <w:vertAlign w:val="superscript"/>
    </w:rPr>
  </w:style>
  <w:style w:type="paragraph" w:styleId="Revision">
    <w:name w:val="Revision"/>
    <w:hidden/>
    <w:uiPriority w:val="99"/>
    <w:semiHidden/>
    <w:rsid w:val="004C298C"/>
    <w:rPr>
      <w:rFonts w:ascii="Times New Roman" w:hAnsi="Times New Roman" w:cs="Times New Roman"/>
      <w:spacing w:val="4"/>
      <w:w w:val="103"/>
      <w:kern w:val="14"/>
      <w:szCs w:val="22"/>
      <w:lang w:val="ru-RU"/>
    </w:rPr>
  </w:style>
  <w:style w:type="paragraph" w:styleId="BalloonText">
    <w:name w:val="Balloon Text"/>
    <w:basedOn w:val="Normal"/>
    <w:link w:val="BalloonTextChar"/>
    <w:uiPriority w:val="99"/>
    <w:semiHidden/>
    <w:unhideWhenUsed/>
    <w:rsid w:val="004C298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C298C"/>
    <w:rPr>
      <w:rFonts w:ascii="Tahoma" w:hAnsi="Tahoma" w:cs="Tahoma"/>
      <w:spacing w:val="4"/>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eur-lex.europa.eu/LexUriServ/LexUriServ.do?uri=OJ:L:2010:180:0001:0006:EN:PDF" TargetMode="External"/><Relationship Id="rId26" Type="http://schemas.openxmlformats.org/officeDocument/2006/relationships/image" Target="media/image8.png"/><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hyperlink" Target="http://eur-lex.europa.eu/LexUriServ/LexUriServ.do?uri=OJ:L:2010:180:0001:0006:EN:PDF" TargetMode="External"/><Relationship Id="rId34" Type="http://schemas.openxmlformats.org/officeDocument/2006/relationships/image" Target="media/image16.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eur-lex.europa.eu/LexUriServ/LexUriServ.do?uri=OJ:L:2010:180:0001:0006:EN:PDF"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hyperlink" Target="http://eur-lex.europa.eu/LexUriServ/LexUriServ.do?uri=OJ:L:2010:180:0001:0006:EN:PDF" TargetMode="External"/><Relationship Id="rId20" Type="http://schemas.openxmlformats.org/officeDocument/2006/relationships/hyperlink" Target="http://eur-lex.europa.eu/LexUriServ/LexUriServ.do?uri=OJ:L:2010:180:0001:0006:EN:PDF" TargetMode="External"/><Relationship Id="rId29" Type="http://schemas.openxmlformats.org/officeDocument/2006/relationships/image" Target="media/image1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image" Target="media/image5.png"/><Relationship Id="rId28" Type="http://schemas.openxmlformats.org/officeDocument/2006/relationships/image" Target="media/image10.emf"/><Relationship Id="rId36" Type="http://schemas.openxmlformats.org/officeDocument/2006/relationships/image" Target="media/image18.emf"/><Relationship Id="rId10" Type="http://schemas.openxmlformats.org/officeDocument/2006/relationships/header" Target="header2.xml"/><Relationship Id="rId19" Type="http://schemas.openxmlformats.org/officeDocument/2006/relationships/hyperlink" Target="http://eur-lex.europa.eu/LexUriServ/LexUriServ.do?uri=OJ:L:2010:180:0001:0006:EN:PDF" TargetMode="External"/><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2472C-B102-4A4E-9340-EADFBA7C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35163</Words>
  <Characters>200432</Characters>
  <Application>Microsoft Office Word</Application>
  <DocSecurity>0</DocSecurity>
  <Lines>1670</Lines>
  <Paragraphs>470</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235125</CharactersWithSpaces>
  <SharedDoc>false</SharedDoc>
  <HLinks>
    <vt:vector size="36" baseType="variant">
      <vt:variant>
        <vt:i4>6029330</vt:i4>
      </vt:variant>
      <vt:variant>
        <vt:i4>15</vt:i4>
      </vt:variant>
      <vt:variant>
        <vt:i4>0</vt:i4>
      </vt:variant>
      <vt:variant>
        <vt:i4>5</vt:i4>
      </vt:variant>
      <vt:variant>
        <vt:lpwstr>http://eur-lex.europa.eu/LexUriServ/LexUriServ.do?uri=OJ:L:2010:180:0001:0006:EN:PDF</vt:lpwstr>
      </vt:variant>
      <vt:variant>
        <vt:lpwstr/>
      </vt:variant>
      <vt:variant>
        <vt:i4>6029330</vt:i4>
      </vt:variant>
      <vt:variant>
        <vt:i4>12</vt:i4>
      </vt:variant>
      <vt:variant>
        <vt:i4>0</vt:i4>
      </vt:variant>
      <vt:variant>
        <vt:i4>5</vt:i4>
      </vt:variant>
      <vt:variant>
        <vt:lpwstr>http://eur-lex.europa.eu/LexUriServ/LexUriServ.do?uri=OJ:L:2010:180:0001:0006:EN:PDF</vt:lpwstr>
      </vt:variant>
      <vt:variant>
        <vt:lpwstr/>
      </vt:variant>
      <vt:variant>
        <vt:i4>6029330</vt:i4>
      </vt:variant>
      <vt:variant>
        <vt:i4>9</vt:i4>
      </vt:variant>
      <vt:variant>
        <vt:i4>0</vt:i4>
      </vt:variant>
      <vt:variant>
        <vt:i4>5</vt:i4>
      </vt:variant>
      <vt:variant>
        <vt:lpwstr>http://eur-lex.europa.eu/LexUriServ/LexUriServ.do?uri=OJ:L:2010:180:0001:0006:EN:PDF</vt:lpwstr>
      </vt:variant>
      <vt:variant>
        <vt:lpwstr/>
      </vt:variant>
      <vt:variant>
        <vt:i4>6029330</vt:i4>
      </vt:variant>
      <vt:variant>
        <vt:i4>6</vt:i4>
      </vt:variant>
      <vt:variant>
        <vt:i4>0</vt:i4>
      </vt:variant>
      <vt:variant>
        <vt:i4>5</vt:i4>
      </vt:variant>
      <vt:variant>
        <vt:lpwstr>http://eur-lex.europa.eu/LexUriServ/LexUriServ.do?uri=OJ:L:2010:180:0001:0006:EN:PDF</vt:lpwstr>
      </vt:variant>
      <vt:variant>
        <vt:lpwstr/>
      </vt:variant>
      <vt:variant>
        <vt:i4>6029330</vt:i4>
      </vt:variant>
      <vt:variant>
        <vt:i4>3</vt:i4>
      </vt:variant>
      <vt:variant>
        <vt:i4>0</vt:i4>
      </vt:variant>
      <vt:variant>
        <vt:i4>5</vt:i4>
      </vt:variant>
      <vt:variant>
        <vt:lpwstr>http://eur-lex.europa.eu/LexUriServ/LexUriServ.do?uri=OJ:L:2010:180:0001:0006:EN:PDF</vt:lpwstr>
      </vt:variant>
      <vt:variant>
        <vt:lpwstr/>
      </vt:variant>
      <vt:variant>
        <vt:i4>6029330</vt:i4>
      </vt:variant>
      <vt:variant>
        <vt:i4>0</vt:i4>
      </vt:variant>
      <vt:variant>
        <vt:i4>0</vt:i4>
      </vt:variant>
      <vt:variant>
        <vt:i4>5</vt:i4>
      </vt:variant>
      <vt:variant>
        <vt:lpwstr>http://eur-lex.europa.eu/LexUriServ/LexUriServ.do?uri=OJ:L:2010:180:0001:0006:EN:PDF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creator>Ia Apkhaidze</dc:creator>
  <cp:lastModifiedBy>Front Desk</cp:lastModifiedBy>
  <cp:revision>6</cp:revision>
  <cp:lastPrinted>2015-07-02T14:24:00Z</cp:lastPrinted>
  <dcterms:created xsi:type="dcterms:W3CDTF">2015-07-02T14:20:00Z</dcterms:created>
  <dcterms:modified xsi:type="dcterms:W3CDTF">2015-07-02T14:47:00Z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1459621R</vt:lpwstr>
  </property>
  <property fmtid="{D5CDD505-2E9C-101B-9397-08002B2CF9AE}" pid="3" name="ODSRefJobNo">
    <vt:lpwstr>1451450R</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22 August 2014</vt:lpwstr>
  </property>
  <property fmtid="{D5CDD505-2E9C-101B-9397-08002B2CF9AE}" pid="7" name="Original">
    <vt:lpwstr>English</vt:lpwstr>
  </property>
  <property fmtid="{D5CDD505-2E9C-101B-9397-08002B2CF9AE}" pid="8" name="Release Date">
    <vt:lpwstr>101014</vt:lpwstr>
  </property>
  <property fmtid="{D5CDD505-2E9C-101B-9397-08002B2CF9AE}" pid="9" name="Symbol1">
    <vt:lpwstr>CEDAW/C/ISL/7-8</vt:lpwstr>
  </property>
  <property fmtid="{D5CDD505-2E9C-101B-9397-08002B2CF9AE}" pid="10" name="Symbol2">
    <vt:lpwstr>-</vt:lpwstr>
  </property>
  <property fmtid="{D5CDD505-2E9C-101B-9397-08002B2CF9AE}" pid="11" name="Comment">
    <vt:lpwstr/>
  </property>
  <property fmtid="{D5CDD505-2E9C-101B-9397-08002B2CF9AE}" pid="12" name="DraftPages">
    <vt:lpwstr> 93</vt:lpwstr>
  </property>
  <property fmtid="{D5CDD505-2E9C-101B-9397-08002B2CF9AE}" pid="13" name="Operator">
    <vt:lpwstr>Apkhaidze/ch</vt:lpwstr>
  </property>
</Properties>
</file>