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8B04D7" w:rsidP="008B04D7">
            <w:pPr>
              <w:jc w:val="right"/>
            </w:pPr>
            <w:r w:rsidRPr="008B04D7">
              <w:rPr>
                <w:sz w:val="40"/>
              </w:rPr>
              <w:t>CED</w:t>
            </w:r>
            <w:r>
              <w:t>/C/SR.75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8B04D7" w:rsidRDefault="008B04D7" w:rsidP="008B04D7">
            <w:pPr>
              <w:spacing w:before="240" w:after="120"/>
            </w:pPr>
            <w:r>
              <w:t>Distr. générale</w:t>
            </w:r>
          </w:p>
          <w:p w:rsidR="008B04D7" w:rsidRDefault="008B04D7" w:rsidP="008B04D7">
            <w:pPr>
              <w:spacing w:line="240" w:lineRule="exact"/>
            </w:pPr>
            <w:r>
              <w:t>19 novembre 2013</w:t>
            </w:r>
          </w:p>
          <w:p w:rsidR="008B04D7" w:rsidRDefault="008B04D7" w:rsidP="008B04D7">
            <w:pPr>
              <w:spacing w:line="240" w:lineRule="exact"/>
            </w:pPr>
          </w:p>
          <w:p w:rsidR="004220C7" w:rsidRPr="00DB58B5" w:rsidRDefault="00EE58E7" w:rsidP="008B04D7">
            <w:pPr>
              <w:spacing w:line="240" w:lineRule="exact"/>
            </w:pPr>
            <w:r>
              <w:t>Original: f</w:t>
            </w:r>
            <w:r w:rsidR="008B04D7">
              <w:t>rançais</w:t>
            </w:r>
          </w:p>
        </w:tc>
      </w:tr>
    </w:tbl>
    <w:p w:rsidR="009237A2" w:rsidRPr="0096795A" w:rsidRDefault="0096795A" w:rsidP="00E264BD">
      <w:pPr>
        <w:spacing w:before="120"/>
        <w:rPr>
          <w:b/>
          <w:sz w:val="24"/>
          <w:szCs w:val="24"/>
        </w:rPr>
      </w:pPr>
      <w:r w:rsidRPr="0096795A">
        <w:rPr>
          <w:b/>
          <w:sz w:val="24"/>
          <w:szCs w:val="24"/>
        </w:rPr>
        <w:t>Comité des disparitions forcées</w:t>
      </w:r>
    </w:p>
    <w:p w:rsidR="00202040" w:rsidRDefault="005674B7" w:rsidP="0099028F">
      <w:pPr>
        <w:rPr>
          <w:b/>
        </w:rPr>
      </w:pPr>
      <w:r>
        <w:rPr>
          <w:b/>
        </w:rPr>
        <w:t xml:space="preserve">Cinquième </w:t>
      </w:r>
      <w:r w:rsidR="00202040">
        <w:rPr>
          <w:b/>
        </w:rPr>
        <w:t>session</w:t>
      </w:r>
    </w:p>
    <w:p w:rsidR="00202040" w:rsidRDefault="00202040" w:rsidP="00202040">
      <w:pPr>
        <w:spacing w:before="120"/>
      </w:pPr>
      <w:r>
        <w:rPr>
          <w:b/>
        </w:rPr>
        <w:t xml:space="preserve">Compte rendu analytique </w:t>
      </w:r>
      <w:r w:rsidR="008B04D7">
        <w:rPr>
          <w:b/>
        </w:rPr>
        <w:t>de la première partie (publique</w:t>
      </w:r>
      <w:r w:rsidR="008B04D7" w:rsidRPr="008B04D7">
        <w:rPr>
          <w:rStyle w:val="FootnoteReference"/>
          <w:sz w:val="20"/>
          <w:vertAlign w:val="baseline"/>
        </w:rPr>
        <w:footnoteReference w:customMarkFollows="1" w:id="2"/>
        <w:t>*</w:t>
      </w:r>
      <w:r w:rsidR="008B04D7">
        <w:rPr>
          <w:b/>
        </w:rPr>
        <w:t xml:space="preserve">) </w:t>
      </w:r>
      <w:r>
        <w:rPr>
          <w:b/>
        </w:rPr>
        <w:t xml:space="preserve">de la </w:t>
      </w:r>
      <w:r w:rsidR="008B04D7">
        <w:rPr>
          <w:b/>
        </w:rPr>
        <w:t>75</w:t>
      </w:r>
      <w:r>
        <w:rPr>
          <w:b/>
          <w:vertAlign w:val="superscript"/>
        </w:rPr>
        <w:t>e</w:t>
      </w:r>
      <w:r w:rsidR="008B04D7">
        <w:rPr>
          <w:b/>
        </w:rPr>
        <w:t> </w:t>
      </w:r>
      <w:r>
        <w:rPr>
          <w:b/>
        </w:rPr>
        <w:t>séance</w:t>
      </w:r>
    </w:p>
    <w:p w:rsidR="00202040" w:rsidRDefault="00202040" w:rsidP="00202040">
      <w:r>
        <w:t xml:space="preserve">Tenue au Palais </w:t>
      </w:r>
      <w:r w:rsidR="00242826">
        <w:t>des Nations</w:t>
      </w:r>
      <w:r>
        <w:t xml:space="preserve">, à Genève, le </w:t>
      </w:r>
      <w:r w:rsidR="00DD093E">
        <w:t>jeudi 14 </w:t>
      </w:r>
      <w:r w:rsidR="008B04D7">
        <w:t>novembre</w:t>
      </w:r>
      <w:r>
        <w:t xml:space="preserve"> 201</w:t>
      </w:r>
      <w:r w:rsidR="00511A46">
        <w:t>3</w:t>
      </w:r>
      <w:r>
        <w:t xml:space="preserve">, à </w:t>
      </w:r>
      <w:r w:rsidR="00DD093E">
        <w:t>10 </w:t>
      </w:r>
      <w:r w:rsidR="008B04D7">
        <w:t>heures</w:t>
      </w:r>
    </w:p>
    <w:p w:rsidR="00202040" w:rsidRDefault="00202040" w:rsidP="00202040">
      <w:pPr>
        <w:tabs>
          <w:tab w:val="right" w:pos="850"/>
          <w:tab w:val="left" w:pos="1134"/>
          <w:tab w:val="right" w:leader="dot" w:pos="8504"/>
        </w:tabs>
        <w:spacing w:before="120"/>
      </w:pPr>
      <w:r>
        <w:rPr>
          <w:i/>
        </w:rPr>
        <w:tab/>
        <w:t>Président</w:t>
      </w:r>
      <w:r w:rsidR="006F63CA">
        <w:rPr>
          <w:i/>
        </w:rPr>
        <w:t>(e)</w:t>
      </w:r>
      <w:r w:rsidRPr="008B04D7">
        <w:t>:</w:t>
      </w:r>
      <w:r w:rsidR="008B04D7">
        <w:t xml:space="preserve"> </w:t>
      </w:r>
      <w:r w:rsidR="008B04D7">
        <w:tab/>
        <w:t>M. Decaux</w:t>
      </w:r>
    </w:p>
    <w:p w:rsidR="00202040" w:rsidRDefault="00202040" w:rsidP="00202040">
      <w:pPr>
        <w:tabs>
          <w:tab w:val="right" w:pos="850"/>
          <w:tab w:val="left" w:pos="1134"/>
          <w:tab w:val="right" w:leader="dot" w:pos="8504"/>
        </w:tabs>
        <w:spacing w:before="360" w:after="240"/>
        <w:rPr>
          <w:sz w:val="28"/>
        </w:rPr>
      </w:pPr>
      <w:r>
        <w:rPr>
          <w:sz w:val="28"/>
        </w:rPr>
        <w:t>Sommaire</w:t>
      </w:r>
    </w:p>
    <w:p w:rsidR="009B6DC1" w:rsidRPr="009B6DC1" w:rsidRDefault="009B6DC1" w:rsidP="009B6DC1">
      <w:pPr>
        <w:pStyle w:val="SingleTxtG"/>
      </w:pPr>
      <w:r w:rsidRPr="009B6DC1">
        <w:t xml:space="preserve">Réunion avec les institutions nationales des droits de l’homme </w:t>
      </w:r>
    </w:p>
    <w:p w:rsidR="009B6DC1" w:rsidRPr="009B6DC1" w:rsidRDefault="009B6DC1" w:rsidP="00D56CE3">
      <w:pPr>
        <w:pStyle w:val="SingleTxtG"/>
        <w:ind w:left="1701"/>
        <w:jc w:val="left"/>
        <w:rPr>
          <w:i/>
        </w:rPr>
      </w:pPr>
      <w:r w:rsidRPr="009B6DC1">
        <w:rPr>
          <w:i/>
        </w:rPr>
        <w:t>Dialogue sur les modalités de coopérat</w:t>
      </w:r>
      <w:r w:rsidR="00D56CE3">
        <w:rPr>
          <w:i/>
        </w:rPr>
        <w:t>ion des institutions nationales</w:t>
      </w:r>
      <w:r w:rsidR="00D56CE3">
        <w:rPr>
          <w:i/>
        </w:rPr>
        <w:br/>
      </w:r>
      <w:r w:rsidRPr="009B6DC1">
        <w:rPr>
          <w:i/>
        </w:rPr>
        <w:t>des droits de</w:t>
      </w:r>
      <w:r>
        <w:rPr>
          <w:i/>
        </w:rPr>
        <w:t> </w:t>
      </w:r>
      <w:r w:rsidRPr="009B6DC1">
        <w:rPr>
          <w:i/>
        </w:rPr>
        <w:t xml:space="preserve">l’homme avec le Comité des disparitions forcées </w:t>
      </w:r>
    </w:p>
    <w:p w:rsidR="009B6DC1" w:rsidRDefault="009B6DC1" w:rsidP="009B6DC1">
      <w:pPr>
        <w:pStyle w:val="SingleTxtG"/>
        <w:rPr>
          <w:i/>
        </w:rPr>
      </w:pPr>
      <w:r>
        <w:br w:type="page"/>
      </w:r>
      <w:r w:rsidRPr="009B6DC1">
        <w:rPr>
          <w:i/>
        </w:rPr>
        <w:t>La séance est ouverte à 10</w:t>
      </w:r>
      <w:r>
        <w:rPr>
          <w:i/>
        </w:rPr>
        <w:t xml:space="preserve"> </w:t>
      </w:r>
      <w:r w:rsidRPr="009B6DC1">
        <w:rPr>
          <w:i/>
        </w:rPr>
        <w:t>h</w:t>
      </w:r>
      <w:r>
        <w:rPr>
          <w:i/>
        </w:rPr>
        <w:t xml:space="preserve"> </w:t>
      </w:r>
      <w:r w:rsidRPr="009B6DC1">
        <w:rPr>
          <w:i/>
        </w:rPr>
        <w:t>5.</w:t>
      </w:r>
    </w:p>
    <w:p w:rsidR="009B6DC1" w:rsidRPr="009B6DC1" w:rsidRDefault="009B6DC1" w:rsidP="009B6DC1">
      <w:pPr>
        <w:pStyle w:val="H23G"/>
      </w:pPr>
      <w:r>
        <w:tab/>
      </w:r>
      <w:r>
        <w:tab/>
      </w:r>
      <w:r w:rsidRPr="009B6DC1">
        <w:t xml:space="preserve">Réunion avec les institutions nationales des droits de l’homme </w:t>
      </w:r>
    </w:p>
    <w:p w:rsidR="009B6DC1" w:rsidRPr="009B6DC1" w:rsidRDefault="009B6DC1" w:rsidP="009B6DC1">
      <w:pPr>
        <w:pStyle w:val="SingleTxtG"/>
        <w:rPr>
          <w:i/>
        </w:rPr>
      </w:pPr>
      <w:r w:rsidRPr="009B6DC1">
        <w:rPr>
          <w:i/>
        </w:rPr>
        <w:t>Dialogue sur les modalités de coopération des institutions nationales des droits de</w:t>
      </w:r>
      <w:r>
        <w:rPr>
          <w:i/>
        </w:rPr>
        <w:t> </w:t>
      </w:r>
      <w:r w:rsidRPr="009B6DC1">
        <w:rPr>
          <w:i/>
        </w:rPr>
        <w:t xml:space="preserve">l’homme avec le Comité des disparitions forcées </w:t>
      </w:r>
    </w:p>
    <w:p w:rsidR="009B6DC1" w:rsidRPr="009B6DC1" w:rsidRDefault="009B6DC1" w:rsidP="009B6DC1">
      <w:pPr>
        <w:pStyle w:val="ParNoG"/>
      </w:pPr>
      <w:r w:rsidRPr="009B6DC1">
        <w:rPr>
          <w:b/>
        </w:rPr>
        <w:t>Le Président</w:t>
      </w:r>
      <w:r w:rsidRPr="009B6DC1">
        <w:t xml:space="preserve"> invite les représentants des institutions nationales des droits de l’homme à dialoguer avec le Comité.</w:t>
      </w:r>
    </w:p>
    <w:p w:rsidR="009B6DC1" w:rsidRPr="009B6DC1" w:rsidRDefault="009B6DC1" w:rsidP="00057120">
      <w:pPr>
        <w:pStyle w:val="ParNoG"/>
      </w:pPr>
      <w:r w:rsidRPr="009B6DC1">
        <w:rPr>
          <w:b/>
        </w:rPr>
        <w:t>M.</w:t>
      </w:r>
      <w:r>
        <w:rPr>
          <w:b/>
        </w:rPr>
        <w:t> </w:t>
      </w:r>
      <w:r w:rsidRPr="009B6DC1">
        <w:rPr>
          <w:b/>
        </w:rPr>
        <w:t>Mushwana</w:t>
      </w:r>
      <w:r w:rsidRPr="009B6DC1">
        <w:t xml:space="preserve">, Président du Comité international de coordination des institutions nationales pour la promotion et la protection des droits de l’homme (CIC), dit que </w:t>
      </w:r>
      <w:r>
        <w:t>l</w:t>
      </w:r>
      <w:r w:rsidRPr="009B6DC1">
        <w:t>e CIC se</w:t>
      </w:r>
      <w:r w:rsidR="006811C7">
        <w:t> </w:t>
      </w:r>
      <w:r w:rsidRPr="009B6DC1">
        <w:t xml:space="preserve">félicite que le Comité fasse référence aux institutions nationales des droits de l’homme dans son règlement intérieur </w:t>
      </w:r>
      <w:r w:rsidR="00BA0193">
        <w:t>(CED/C/1) et</w:t>
      </w:r>
      <w:r w:rsidRPr="009B6DC1">
        <w:t xml:space="preserve"> élabore un document sur la coopération avec ces institutions. </w:t>
      </w:r>
      <w:r w:rsidR="00BA0193">
        <w:t xml:space="preserve">Le CIC </w:t>
      </w:r>
      <w:r w:rsidRPr="009B6DC1">
        <w:t xml:space="preserve">encourage le Comité à tenir compte du rôle particulier </w:t>
      </w:r>
      <w:r w:rsidR="00BA0193">
        <w:t xml:space="preserve">et complémentaire </w:t>
      </w:r>
      <w:r w:rsidRPr="009B6DC1">
        <w:t>que les institutions nationales des droits de l’homme jouent</w:t>
      </w:r>
      <w:r w:rsidR="00BA0193">
        <w:t>,</w:t>
      </w:r>
      <w:r w:rsidRPr="009B6DC1">
        <w:t xml:space="preserve"> tant au sein du système des organes conventionnels que dans les structures nationales. </w:t>
      </w:r>
      <w:r w:rsidR="00057120">
        <w:t>Il engage</w:t>
      </w:r>
      <w:r w:rsidRPr="009B6DC1">
        <w:t xml:space="preserve"> le Comité à inclure dans </w:t>
      </w:r>
      <w:r w:rsidR="00057120">
        <w:t>le</w:t>
      </w:r>
      <w:r w:rsidRPr="009B6DC1">
        <w:t xml:space="preserve"> document </w:t>
      </w:r>
      <w:r w:rsidR="00057120">
        <w:t>susmentionné</w:t>
      </w:r>
      <w:r w:rsidRPr="009B6DC1">
        <w:t xml:space="preserve"> des dispositions de nature à permettre aux</w:t>
      </w:r>
      <w:r w:rsidR="006811C7">
        <w:t> </w:t>
      </w:r>
      <w:r w:rsidRPr="009B6DC1">
        <w:t xml:space="preserve">institutions nationales des droits de l’homme de participer le plus efficacement possible à toutes les étapes des travaux et des procédures du Comité. Il faudrait aussi que le Comité tienne compte des meilleures pratiques </w:t>
      </w:r>
      <w:r w:rsidR="00057120">
        <w:t>déjà établies par d’autres organes conventionnels</w:t>
      </w:r>
      <w:r w:rsidRPr="009B6DC1">
        <w:t xml:space="preserve">, notamment </w:t>
      </w:r>
      <w:r w:rsidR="00057120">
        <w:t>dans le</w:t>
      </w:r>
      <w:r w:rsidRPr="009B6DC1">
        <w:t xml:space="preserve"> Document sur les relations entre le Comité des droits de l’homme et les institutions nationales de défense des droits de l’homme adopté par </w:t>
      </w:r>
      <w:r w:rsidR="00057120">
        <w:t xml:space="preserve">ledit </w:t>
      </w:r>
      <w:r w:rsidRPr="009B6DC1">
        <w:t>Comité à sa 106</w:t>
      </w:r>
      <w:r w:rsidR="00057120">
        <w:rPr>
          <w:vertAlign w:val="superscript"/>
        </w:rPr>
        <w:t>e </w:t>
      </w:r>
      <w:r w:rsidR="00057120">
        <w:t xml:space="preserve">session (CCPR/C/106/3). </w:t>
      </w:r>
      <w:r w:rsidRPr="009B6DC1">
        <w:t xml:space="preserve">Le CIC encourage </w:t>
      </w:r>
      <w:r w:rsidR="00832D13">
        <w:t>le Comité</w:t>
      </w:r>
      <w:r w:rsidRPr="009B6DC1">
        <w:t xml:space="preserve"> et </w:t>
      </w:r>
      <w:r w:rsidR="00832D13">
        <w:t>tous les organes conventionnels</w:t>
      </w:r>
      <w:r w:rsidRPr="009B6DC1">
        <w:t xml:space="preserve"> à poursuivre les efforts qu’ils mènent pour améliorer l’accès des acteurs nationaux</w:t>
      </w:r>
      <w:r w:rsidR="00057120">
        <w:t xml:space="preserve"> </w:t>
      </w:r>
      <w:r w:rsidRPr="009B6DC1">
        <w:t xml:space="preserve">au système des organes </w:t>
      </w:r>
      <w:r w:rsidR="00057120">
        <w:t xml:space="preserve">conventionnels </w:t>
      </w:r>
      <w:r w:rsidRPr="009B6DC1">
        <w:t xml:space="preserve">relatifs aux droits de l’homme. </w:t>
      </w:r>
      <w:r w:rsidR="00057120">
        <w:t>Il </w:t>
      </w:r>
      <w:r w:rsidRPr="009B6DC1">
        <w:t xml:space="preserve">espère que le Comité </w:t>
      </w:r>
      <w:r w:rsidR="00057120">
        <w:t>dispensera une formation au</w:t>
      </w:r>
      <w:r w:rsidRPr="009B6DC1">
        <w:t xml:space="preserve"> personnel des institutions nationales des droits de l’homme pour </w:t>
      </w:r>
      <w:r w:rsidR="00057120">
        <w:t>lui faire prendre pleinement conscience de</w:t>
      </w:r>
      <w:r w:rsidRPr="009B6DC1">
        <w:t xml:space="preserve"> l’importance de la Convention et de l’intérêt qu’elle présente face à </w:t>
      </w:r>
      <w:r w:rsidR="00057120">
        <w:t xml:space="preserve">la situation des droits de l’homme à travers le </w:t>
      </w:r>
      <w:r w:rsidRPr="009B6DC1">
        <w:t xml:space="preserve">monde, ainsi que </w:t>
      </w:r>
      <w:r w:rsidR="00832D13">
        <w:t xml:space="preserve">de </w:t>
      </w:r>
      <w:r w:rsidR="00057120">
        <w:t>l’informer des possibilités de dialogue avec le Comité</w:t>
      </w:r>
      <w:r w:rsidRPr="009B6DC1">
        <w:t>.</w:t>
      </w:r>
    </w:p>
    <w:p w:rsidR="009B6DC1" w:rsidRPr="009B6DC1" w:rsidRDefault="009B6DC1" w:rsidP="00057120">
      <w:pPr>
        <w:pStyle w:val="ParNoG"/>
      </w:pPr>
      <w:r w:rsidRPr="009B6DC1">
        <w:t>En sa qualité de Président de la Commission sud-africaine des droits de l’</w:t>
      </w:r>
      <w:r w:rsidR="00057120">
        <w:t>homme, M. </w:t>
      </w:r>
      <w:r w:rsidRPr="009B6DC1">
        <w:t xml:space="preserve">Mushwana </w:t>
      </w:r>
      <w:r w:rsidR="00057120">
        <w:t>dit</w:t>
      </w:r>
      <w:r w:rsidRPr="009B6DC1">
        <w:t xml:space="preserve"> que</w:t>
      </w:r>
      <w:r w:rsidR="00057120">
        <w:t>, compte tenu de son</w:t>
      </w:r>
      <w:r w:rsidRPr="009B6DC1">
        <w:t xml:space="preserve"> histoire</w:t>
      </w:r>
      <w:r w:rsidR="00057120">
        <w:t>,</w:t>
      </w:r>
      <w:r w:rsidRPr="009B6DC1">
        <w:t xml:space="preserve"> l’Afrique du Sud, </w:t>
      </w:r>
      <w:r w:rsidR="00057120">
        <w:t>est bien placée pour</w:t>
      </w:r>
      <w:r w:rsidRPr="009B6DC1">
        <w:t xml:space="preserve"> jouer un rôle actif dans la </w:t>
      </w:r>
      <w:r w:rsidR="00057120">
        <w:t>promotion</w:t>
      </w:r>
      <w:r w:rsidRPr="009B6DC1">
        <w:t xml:space="preserve"> de la Convention et des travaux du Comité. Il est impératif que les institutions nationales des droits de l’hom</w:t>
      </w:r>
      <w:r w:rsidR="00057120">
        <w:t>me</w:t>
      </w:r>
      <w:r w:rsidRPr="009B6DC1">
        <w:t xml:space="preserve"> prennent</w:t>
      </w:r>
      <w:r w:rsidR="00057120">
        <w:t>,</w:t>
      </w:r>
      <w:r w:rsidRPr="009B6DC1">
        <w:t xml:space="preserve"> </w:t>
      </w:r>
      <w:r w:rsidR="00057120" w:rsidRPr="009B6DC1">
        <w:t xml:space="preserve">dans le </w:t>
      </w:r>
      <w:r w:rsidR="00057120">
        <w:t>cadre</w:t>
      </w:r>
      <w:r w:rsidR="00057120" w:rsidRPr="009B6DC1">
        <w:t xml:space="preserve"> de leur mandat,</w:t>
      </w:r>
      <w:r w:rsidR="00057120">
        <w:t xml:space="preserve"> </w:t>
      </w:r>
      <w:r w:rsidRPr="009B6DC1">
        <w:t xml:space="preserve">les mesures voulues </w:t>
      </w:r>
      <w:r w:rsidR="00057120">
        <w:t xml:space="preserve">pour </w:t>
      </w:r>
      <w:r w:rsidRPr="009B6DC1">
        <w:t xml:space="preserve">s’assurer que </w:t>
      </w:r>
      <w:r w:rsidR="00057120">
        <w:t xml:space="preserve">les </w:t>
      </w:r>
      <w:r w:rsidRPr="009B6DC1">
        <w:t>État</w:t>
      </w:r>
      <w:r w:rsidR="00057120">
        <w:t>s parties</w:t>
      </w:r>
      <w:r w:rsidRPr="009B6DC1">
        <w:t xml:space="preserve"> s’acquitte</w:t>
      </w:r>
      <w:r w:rsidR="00057120">
        <w:t>nt</w:t>
      </w:r>
      <w:r w:rsidRPr="009B6DC1">
        <w:t xml:space="preserve"> de </w:t>
      </w:r>
      <w:r w:rsidR="00057120">
        <w:t>leurs</w:t>
      </w:r>
      <w:r w:rsidR="006811C7">
        <w:t> </w:t>
      </w:r>
      <w:r w:rsidRPr="009B6DC1">
        <w:t xml:space="preserve">obligations. </w:t>
      </w:r>
    </w:p>
    <w:p w:rsidR="009B6DC1" w:rsidRDefault="006811C7" w:rsidP="00F7327C">
      <w:pPr>
        <w:pStyle w:val="ParNoG"/>
      </w:pPr>
      <w:r>
        <w:rPr>
          <w:b/>
        </w:rPr>
        <w:t>Le </w:t>
      </w:r>
      <w:r w:rsidR="009B6DC1" w:rsidRPr="009B6DC1">
        <w:rPr>
          <w:b/>
        </w:rPr>
        <w:t xml:space="preserve">Président </w:t>
      </w:r>
      <w:r w:rsidR="009B6DC1" w:rsidRPr="009B6DC1">
        <w:t xml:space="preserve">prend note avec intérêt de la proposition de créer une dynamique régionale pour la ratification de la Convention. </w:t>
      </w:r>
      <w:r w:rsidR="00C96DFD">
        <w:t xml:space="preserve">Soulignant </w:t>
      </w:r>
      <w:r w:rsidR="009B6DC1" w:rsidRPr="009B6DC1">
        <w:t xml:space="preserve">que, jusqu’à présent, le Comité a abordé la question de la place des institutions nationales des droits de l’homme au cas par cas, </w:t>
      </w:r>
      <w:r w:rsidR="00C96DFD">
        <w:t>il convient</w:t>
      </w:r>
      <w:r w:rsidR="009B6DC1" w:rsidRPr="009B6DC1">
        <w:t xml:space="preserve"> néanmoins </w:t>
      </w:r>
      <w:r w:rsidR="00C96DFD">
        <w:t xml:space="preserve">de </w:t>
      </w:r>
      <w:r w:rsidR="009B6DC1" w:rsidRPr="009B6DC1">
        <w:t>la nécessité d’harmoniser les modalités de coopération entre les organes conventionnels et les institutions nationales des droits de l’homme qui, ne faisant partie ni des pouvoirs publics ni de la société civile</w:t>
      </w:r>
      <w:r w:rsidR="00C96DFD">
        <w:t>,</w:t>
      </w:r>
      <w:r w:rsidR="009B6DC1" w:rsidRPr="009B6DC1">
        <w:t xml:space="preserve"> ont un rôle unique </w:t>
      </w:r>
      <w:r w:rsidR="00C96DFD">
        <w:t>à jouer.</w:t>
      </w:r>
      <w:r w:rsidR="000427BE">
        <w:t xml:space="preserve"> </w:t>
      </w:r>
      <w:r w:rsidR="009B6DC1" w:rsidRPr="009B6DC1">
        <w:t>Le</w:t>
      </w:r>
      <w:r w:rsidR="000427BE">
        <w:t> </w:t>
      </w:r>
      <w:r w:rsidR="009B6DC1" w:rsidRPr="009B6DC1">
        <w:t>Comité ne peut pas suivre la pratique du Comité des droits de l’homme, qui dialogue principalement avec les institutions nationales des droits de l’</w:t>
      </w:r>
      <w:r w:rsidR="000427BE">
        <w:t>homme généralistes.</w:t>
      </w:r>
      <w:r w:rsidR="009B6DC1" w:rsidRPr="009B6DC1">
        <w:t xml:space="preserve"> En effet, comme le Comité contre la torture et le Sous-Comité pour la prévention de la torture et autres peines ou traitements cruels, inhumains ou dégradants, le Comité a également des partenaires potentiels parmi les institutions spécialisées, qui sont une précieuse source d’information, en particulier sur la situation dans les lieux de détention. De plus, il peut trouver d’importants interlocuteurs à l’échelon des provinces, notamment dans les États fédéraux, où des différences marquées peuvent exister entre les institutions fédérales et les institutions provinciales, les violations des droits de l’homme </w:t>
      </w:r>
      <w:r w:rsidR="000427BE">
        <w:t>étant parfois</w:t>
      </w:r>
      <w:r w:rsidR="009B6DC1" w:rsidRPr="009B6DC1">
        <w:t xml:space="preserve"> concentrées dans certaines provinces. Quel que soit leur statut en matière d’accréditation, les institutions nationales des droits de l’homme peuvent être dynamiques et avoir des informations utiles à fournir. En outre, elles jouent auprès des victimes de disparitions forcées un rôle très important face aux risques de représailles et d’intimidation. Le Comité est prêt à participer à une réunion du CIC sur la Convention et à des activités de formation, qui devraient s’adresser </w:t>
      </w:r>
      <w:r w:rsidR="000427BE">
        <w:t>à toutes les</w:t>
      </w:r>
      <w:r w:rsidR="009B6DC1" w:rsidRPr="009B6DC1">
        <w:t xml:space="preserve"> institutions nationales des droits de l’</w:t>
      </w:r>
      <w:r w:rsidR="000427BE">
        <w:t>homme, qu’elles aient le statut A ou le statut B.</w:t>
      </w:r>
      <w:r w:rsidR="00F7327C">
        <w:t xml:space="preserve"> </w:t>
      </w:r>
      <w:r w:rsidR="009B6DC1" w:rsidRPr="009B6DC1">
        <w:t>Le Comité a besoin des institutions nationales des droits de l’homme à toutes les étapes de la présentation des rapports dans le cadre de l’application de l’article</w:t>
      </w:r>
      <w:r w:rsidR="00F7327C">
        <w:t> </w:t>
      </w:r>
      <w:r w:rsidR="009B6DC1" w:rsidRPr="009B6DC1">
        <w:t xml:space="preserve">29 de la Convention. Il importe que le Comité définisse la place </w:t>
      </w:r>
      <w:r w:rsidR="00F7327C">
        <w:t>de ces</w:t>
      </w:r>
      <w:r w:rsidR="009B6DC1" w:rsidRPr="009B6DC1">
        <w:t xml:space="preserve"> institutions pendant la présentation des rapports nationaux, notamment pour ce qui est du temps de parole. Le Comité a aussi besoin de ces institutions dans le cadre de l’</w:t>
      </w:r>
      <w:r w:rsidR="00F7327C">
        <w:t>application des articles 33 et </w:t>
      </w:r>
      <w:r w:rsidR="009B6DC1" w:rsidRPr="009B6DC1">
        <w:t xml:space="preserve">34. Évoquant la procédure </w:t>
      </w:r>
      <w:r w:rsidR="009B6DC1" w:rsidRPr="00F7327C">
        <w:t>d’</w:t>
      </w:r>
      <w:r w:rsidR="009B6DC1" w:rsidRPr="00F7327C">
        <w:rPr>
          <w:i/>
        </w:rPr>
        <w:t>amicus curiae</w:t>
      </w:r>
      <w:r w:rsidR="009B6DC1" w:rsidRPr="009B6DC1">
        <w:t xml:space="preserve">, le Président demande des précisions sur les modalités d’une éventuelle participation d’un acteur extérieur tel qu’une ONG ou une institution nationale des droits de l’homme à ce processus. </w:t>
      </w:r>
    </w:p>
    <w:p w:rsidR="00F7327C" w:rsidRPr="00F7327C" w:rsidRDefault="00F7327C" w:rsidP="00F7327C">
      <w:pPr>
        <w:pStyle w:val="ParNoG"/>
      </w:pPr>
      <w:r w:rsidRPr="00F7327C">
        <w:rPr>
          <w:b/>
        </w:rPr>
        <w:t>M</w:t>
      </w:r>
      <w:r w:rsidRPr="00F7327C">
        <w:rPr>
          <w:b/>
          <w:vertAlign w:val="superscript"/>
        </w:rPr>
        <w:t>me</w:t>
      </w:r>
      <w:r w:rsidRPr="00F7327C">
        <w:rPr>
          <w:b/>
        </w:rPr>
        <w:t> Rose</w:t>
      </w:r>
      <w:r w:rsidRPr="00F7327C">
        <w:t xml:space="preserve"> (Comité international de coordination des institutions nationales pour la promotion et la protection des droits de l’homme (CIC)) salue la volonté du Comité de collaborer avec les associations de victimes et la société civile. Le CIC estime que l’élaboration d’un document décrivant la nature de la collaboration entre les institutions nationales des droits de l’homme et le Comité permettra de poser des bases solides aux fins du renforcement de l’application de la Convent</w:t>
      </w:r>
      <w:r>
        <w:t>ion</w:t>
      </w:r>
      <w:r w:rsidRPr="00F7327C">
        <w:t xml:space="preserve">, ces institutions pouvant fournir au Comité des informations </w:t>
      </w:r>
      <w:r>
        <w:t xml:space="preserve">émanant </w:t>
      </w:r>
      <w:r w:rsidRPr="00F7327C">
        <w:t xml:space="preserve">de source indépendante sur la situation d’un pays et contribuer au suivi de l’application </w:t>
      </w:r>
      <w:r>
        <w:t>des</w:t>
      </w:r>
      <w:r w:rsidRPr="00F7327C">
        <w:t xml:space="preserve"> observations finales. Or, elles ne peuvent s’acquitter correctement de leurs fonctions que si elles </w:t>
      </w:r>
      <w:r>
        <w:t>respectent les</w:t>
      </w:r>
      <w:r w:rsidRPr="00F7327C">
        <w:t xml:space="preserve"> Principes de Paris, ce dont le CIC s’assure dans le cadre de son examen périodique </w:t>
      </w:r>
      <w:r>
        <w:t xml:space="preserve">des </w:t>
      </w:r>
      <w:r w:rsidRPr="00F7327C">
        <w:t>accréditation</w:t>
      </w:r>
      <w:r>
        <w:t>s</w:t>
      </w:r>
      <w:r w:rsidRPr="00F7327C">
        <w:t xml:space="preserve">. C’est pourquoi il serait utile que le Comité souligne dans ce document, mais aussi dans les observations finales, combien il importe que les institutions nationales respectent ces </w:t>
      </w:r>
      <w:r w:rsidR="00BB4988">
        <w:t>p</w:t>
      </w:r>
      <w:r w:rsidRPr="00F7327C">
        <w:t xml:space="preserve">rincipes et demandent leur accréditation </w:t>
      </w:r>
      <w:r>
        <w:t>auprès du</w:t>
      </w:r>
      <w:r w:rsidRPr="00F7327C">
        <w:t xml:space="preserve"> CIC. Le CIC salue les mesures </w:t>
      </w:r>
      <w:r>
        <w:t xml:space="preserve">qu’a </w:t>
      </w:r>
      <w:r w:rsidRPr="00F7327C">
        <w:t xml:space="preserve">prises le Comité pour faciliter l’accès des acteurs nationaux à ses travaux, notamment les organisations de victimes et la société civile, grâce à l’utilisation de la vidéoconférence et à la diffusion des séances par Internet. Il </w:t>
      </w:r>
      <w:r>
        <w:t>salue</w:t>
      </w:r>
      <w:r w:rsidRPr="00F7327C">
        <w:t xml:space="preserve"> aussi </w:t>
      </w:r>
      <w:r>
        <w:t xml:space="preserve">le fait </w:t>
      </w:r>
      <w:r w:rsidRPr="00F7327C">
        <w:t>que le Comité, par l’entremise du bureau du représentant du CIC à Genève, communique en avance aux institutions nat</w:t>
      </w:r>
      <w:r>
        <w:t>ionales des informations sur le programme des séances</w:t>
      </w:r>
      <w:r w:rsidRPr="00F7327C">
        <w:t xml:space="preserve"> afin qu’elles puissent y participer ou contribuer aux travaux du Comité; le CIC, à son tour, tient les institutions nationales au fait des travaux du Comité. Le CIC note avec satisfaction que le Règlement intérieur</w:t>
      </w:r>
      <w:r>
        <w:t xml:space="preserve"> (CES/C/1)</w:t>
      </w:r>
      <w:r w:rsidRPr="00F7327C">
        <w:t xml:space="preserve"> traite de la question des actes de représailles et des manœuvres d’intimidation visant les institutions nationales qui coopèrent avec les organismes des Nations Unies et estime qu’il serait utile de désigner parmi les membres du Comité</w:t>
      </w:r>
      <w:r>
        <w:t xml:space="preserve"> un</w:t>
      </w:r>
      <w:r w:rsidRPr="00F7327C">
        <w:t xml:space="preserve"> coordonnateur pour les </w:t>
      </w:r>
      <w:r>
        <w:t>questions relatives aux</w:t>
      </w:r>
      <w:r w:rsidRPr="00F7327C">
        <w:t xml:space="preserve"> représailles. Il juge bon de donner aux institutions nationales la possibilité de participer à l’élaboration de la liste des points à traiter et de s’entretenir en privé avec les membres du Comité dans le cadre de la préparation de l’exa</w:t>
      </w:r>
      <w:r w:rsidR="005A467A">
        <w:t>men d’un rapport. De plus, en</w:t>
      </w:r>
      <w:r w:rsidR="006811C7">
        <w:t> </w:t>
      </w:r>
      <w:r w:rsidR="005A467A">
        <w:t>cas d’examen de la situation dans un pays en l’absence de rapport de l’</w:t>
      </w:r>
      <w:r w:rsidRPr="00F7327C">
        <w:t>État partie, les</w:t>
      </w:r>
      <w:r w:rsidR="006811C7">
        <w:t> </w:t>
      </w:r>
      <w:r w:rsidRPr="00F7327C">
        <w:t xml:space="preserve">institutions nationales </w:t>
      </w:r>
      <w:r w:rsidR="005A467A">
        <w:t>peuvent</w:t>
      </w:r>
      <w:r w:rsidRPr="00F7327C">
        <w:t xml:space="preserve"> fournir un rapport parallèle et, si nécessaire, rappeler à l’État concerné ses obligations en matière de présentation de rapports. Elles </w:t>
      </w:r>
      <w:r w:rsidR="005A467A">
        <w:t>peuvent</w:t>
      </w:r>
      <w:r w:rsidRPr="00F7327C">
        <w:t xml:space="preserve"> également informer le Comité de la suite </w:t>
      </w:r>
      <w:r w:rsidR="005A467A">
        <w:t xml:space="preserve">qu’a </w:t>
      </w:r>
      <w:r w:rsidRPr="00F7327C">
        <w:t>donnée l’État partie aux observations finales adoptées à l’issue de l’examen de son rapp</w:t>
      </w:r>
      <w:r w:rsidR="005A467A">
        <w:t>ort, comme le prévoit l’article </w:t>
      </w:r>
      <w:r w:rsidRPr="00F7327C">
        <w:t xml:space="preserve">64 du Règlement intérieur. Le fait que les institutions nationales </w:t>
      </w:r>
      <w:r w:rsidR="005A467A">
        <w:t>peuvent</w:t>
      </w:r>
      <w:r w:rsidRPr="00F7327C">
        <w:t xml:space="preserve"> également participer aux journées de débat général et à l’élaboration des </w:t>
      </w:r>
      <w:r w:rsidR="005A467A">
        <w:t>O</w:t>
      </w:r>
      <w:r w:rsidRPr="00F7327C">
        <w:t>bservations générales</w:t>
      </w:r>
      <w:r w:rsidR="005A467A">
        <w:t xml:space="preserve"> </w:t>
      </w:r>
      <w:r w:rsidRPr="00F7327C">
        <w:t>mérite également d’être salué. De</w:t>
      </w:r>
      <w:r w:rsidR="005A467A">
        <w:t> </w:t>
      </w:r>
      <w:r w:rsidRPr="00F7327C">
        <w:t xml:space="preserve">plus, en cas de visite dans l’État partie, </w:t>
      </w:r>
      <w:r w:rsidR="005A467A">
        <w:t>en vertu de l’article </w:t>
      </w:r>
      <w:r w:rsidRPr="00F7327C">
        <w:t>33 de la Convention, le</w:t>
      </w:r>
      <w:r w:rsidR="005A467A">
        <w:t> </w:t>
      </w:r>
      <w:r w:rsidRPr="00F7327C">
        <w:t>Comité peut demander à l’institution nationale de lui communiquer des informations et peut même s’entretenir avec certains de ses représentants pendant la visite. Enfin, ces institutions peuvent épauler les victimes qui souhaitent présenter des communications et fournir des renseignements au Comité en tant qu’</w:t>
      </w:r>
      <w:r w:rsidRPr="00F7327C">
        <w:rPr>
          <w:i/>
        </w:rPr>
        <w:t>amic</w:t>
      </w:r>
      <w:r w:rsidR="005A467A">
        <w:rPr>
          <w:i/>
        </w:rPr>
        <w:t>i</w:t>
      </w:r>
      <w:r w:rsidRPr="00F7327C">
        <w:rPr>
          <w:i/>
        </w:rPr>
        <w:t xml:space="preserve"> curiae</w:t>
      </w:r>
      <w:r w:rsidRPr="00F7327C">
        <w:t xml:space="preserve">. </w:t>
      </w:r>
    </w:p>
    <w:p w:rsidR="00F7327C" w:rsidRPr="00F7327C" w:rsidRDefault="005A467A" w:rsidP="00F7327C">
      <w:pPr>
        <w:pStyle w:val="ParNoG"/>
      </w:pPr>
      <w:r w:rsidRPr="009B6DC1">
        <w:rPr>
          <w:b/>
        </w:rPr>
        <w:t>M. Garcé García y Santos</w:t>
      </w:r>
      <w:r w:rsidRPr="009B6DC1">
        <w:t xml:space="preserve"> </w:t>
      </w:r>
      <w:r w:rsidRPr="009B6DC1">
        <w:tab/>
      </w:r>
      <w:r>
        <w:t xml:space="preserve">note </w:t>
      </w:r>
      <w:r w:rsidRPr="009B6DC1">
        <w:t>que, dans certains pays, des institutions nationales des droits de l’homme dont l’utilité était reconnue ont été progressivement vidées de toute légitimité par leur attitude face au pouvoir exécutif</w:t>
      </w:r>
      <w:r>
        <w:t xml:space="preserve"> </w:t>
      </w:r>
      <w:r w:rsidR="006811C7">
        <w:t xml:space="preserve">et </w:t>
      </w:r>
      <w:r w:rsidRPr="009B6DC1">
        <w:t>reconnaît qu’il est difficile de trouver un équilibre entre les exigences du pouvoir politique et celles des destinataires de l’aide. En outre, les institutions nationales des droits de l’homme doivent être efficaces et convaincre de leur légitimité bien que leurs recommandations et avis ne soient pas contraignants.</w:t>
      </w:r>
    </w:p>
    <w:p w:rsidR="00F7327C" w:rsidRPr="00F7327C" w:rsidRDefault="005A467A" w:rsidP="00F7327C">
      <w:pPr>
        <w:pStyle w:val="ParNoG"/>
      </w:pPr>
      <w:r>
        <w:rPr>
          <w:b/>
        </w:rPr>
        <w:t>M. </w:t>
      </w:r>
      <w:r w:rsidR="00F7327C" w:rsidRPr="00F7327C">
        <w:rPr>
          <w:b/>
        </w:rPr>
        <w:t xml:space="preserve">Corcuera Cabezut </w:t>
      </w:r>
      <w:r w:rsidR="00F7327C" w:rsidRPr="00F7327C">
        <w:t>dit que l’indépendance</w:t>
      </w:r>
      <w:r w:rsidR="00E771CD">
        <w:t xml:space="preserve"> des institutions nationales, y </w:t>
      </w:r>
      <w:r w:rsidR="00F7327C" w:rsidRPr="00F7327C">
        <w:t>compris c</w:t>
      </w:r>
      <w:r>
        <w:t xml:space="preserve">elles qui bénéficient du </w:t>
      </w:r>
      <w:r w:rsidR="00BB4988">
        <w:t>s</w:t>
      </w:r>
      <w:r>
        <w:t>tatut </w:t>
      </w:r>
      <w:r w:rsidR="00F7327C" w:rsidRPr="00F7327C">
        <w:t xml:space="preserve">A, est parfois sujette à caution, notamment lorsque la délégation qui les représente dans une réunion officielle est composée en partie de membres du gouvernement. </w:t>
      </w:r>
      <w:r>
        <w:t xml:space="preserve">À cet égard, le </w:t>
      </w:r>
      <w:r w:rsidR="00F7327C" w:rsidRPr="00F7327C">
        <w:t xml:space="preserve">CIC </w:t>
      </w:r>
      <w:r>
        <w:t xml:space="preserve">pourrait envisager </w:t>
      </w:r>
      <w:r w:rsidR="00F7327C" w:rsidRPr="00F7327C">
        <w:t>de modifier les dispositions des Principes de Paris relative</w:t>
      </w:r>
      <w:r>
        <w:t>s</w:t>
      </w:r>
      <w:r w:rsidR="00F7327C" w:rsidRPr="00F7327C">
        <w:t xml:space="preserve"> à la composition et aux garanties d’indépendance des institutions nationales, qui prévoient la possibilité pour des administrations</w:t>
      </w:r>
      <w:r w:rsidR="00E771CD">
        <w:t xml:space="preserve"> de siéger à titre consultatif dans une institution nationale</w:t>
      </w:r>
      <w:r w:rsidR="00F7327C" w:rsidRPr="00F7327C">
        <w:t>.</w:t>
      </w:r>
    </w:p>
    <w:p w:rsidR="00F7327C" w:rsidRPr="00F7327C" w:rsidRDefault="00C0560A" w:rsidP="00F7327C">
      <w:pPr>
        <w:pStyle w:val="ParNoG"/>
      </w:pPr>
      <w:r>
        <w:rPr>
          <w:b/>
        </w:rPr>
        <w:t>M. </w:t>
      </w:r>
      <w:r w:rsidR="00F7327C" w:rsidRPr="00F7327C">
        <w:rPr>
          <w:b/>
        </w:rPr>
        <w:t>Huhle</w:t>
      </w:r>
      <w:r>
        <w:t xml:space="preserve"> cite</w:t>
      </w:r>
      <w:r w:rsidR="00F7327C" w:rsidRPr="00F7327C">
        <w:t xml:space="preserve"> l’exemple de </w:t>
      </w:r>
      <w:r>
        <w:t xml:space="preserve">l’intervention de </w:t>
      </w:r>
      <w:r w:rsidR="00F7327C" w:rsidRPr="00F7327C">
        <w:t xml:space="preserve">l’institution nationale des droits de l’homme d’Allemagne, </w:t>
      </w:r>
      <w:r w:rsidR="00E771CD">
        <w:t xml:space="preserve">à titre </w:t>
      </w:r>
      <w:r w:rsidR="00F7327C" w:rsidRPr="00E771CD">
        <w:t>d’</w:t>
      </w:r>
      <w:r w:rsidR="00F7327C" w:rsidRPr="00F7327C">
        <w:rPr>
          <w:i/>
        </w:rPr>
        <w:t>amicus curi</w:t>
      </w:r>
      <w:r>
        <w:rPr>
          <w:i/>
        </w:rPr>
        <w:t>a</w:t>
      </w:r>
      <w:r w:rsidR="00F7327C" w:rsidRPr="00F7327C">
        <w:rPr>
          <w:i/>
        </w:rPr>
        <w:t>e</w:t>
      </w:r>
      <w:r>
        <w:t>,</w:t>
      </w:r>
      <w:r w:rsidR="00F7327C" w:rsidRPr="00F7327C">
        <w:t xml:space="preserve"> auprès du Comité pour l’élimination de la discrimination raciale (CERD) pour </w:t>
      </w:r>
      <w:r>
        <w:t>illustrer l’utilité</w:t>
      </w:r>
      <w:r w:rsidR="00F7327C" w:rsidRPr="00F7327C">
        <w:t xml:space="preserve"> de donner la possibilité aux institutions nationales de jouer un rôle d’</w:t>
      </w:r>
      <w:r w:rsidR="00F7327C" w:rsidRPr="00F7327C">
        <w:rPr>
          <w:i/>
        </w:rPr>
        <w:t>amicus curiae</w:t>
      </w:r>
      <w:r w:rsidR="00F7327C" w:rsidRPr="00F7327C">
        <w:t xml:space="preserve"> dans le cadre des communications. </w:t>
      </w:r>
    </w:p>
    <w:p w:rsidR="00F7327C" w:rsidRPr="00F7327C" w:rsidRDefault="00C0560A" w:rsidP="00F7327C">
      <w:pPr>
        <w:pStyle w:val="ParNoG"/>
      </w:pPr>
      <w:r w:rsidRPr="00C0560A">
        <w:rPr>
          <w:b/>
        </w:rPr>
        <w:t>M</w:t>
      </w:r>
      <w:r w:rsidRPr="00C0560A">
        <w:rPr>
          <w:b/>
          <w:vertAlign w:val="superscript"/>
        </w:rPr>
        <w:t>me</w:t>
      </w:r>
      <w:r w:rsidRPr="00C0560A">
        <w:rPr>
          <w:b/>
        </w:rPr>
        <w:t> </w:t>
      </w:r>
      <w:r w:rsidR="00F7327C" w:rsidRPr="00F7327C">
        <w:rPr>
          <w:b/>
        </w:rPr>
        <w:t xml:space="preserve">Rose </w:t>
      </w:r>
      <w:r w:rsidR="00F7327C" w:rsidRPr="00F7327C">
        <w:t>dit que</w:t>
      </w:r>
      <w:r>
        <w:t>,</w:t>
      </w:r>
      <w:r w:rsidR="00F7327C" w:rsidRPr="00F7327C">
        <w:t xml:space="preserve"> </w:t>
      </w:r>
      <w:r>
        <w:t>pour</w:t>
      </w:r>
      <w:r w:rsidR="00F7327C" w:rsidRPr="00F7327C">
        <w:t xml:space="preserve"> le CIC, il est clair que les institutions nationales </w:t>
      </w:r>
      <w:r>
        <w:t xml:space="preserve">ne </w:t>
      </w:r>
      <w:r w:rsidR="00F7327C" w:rsidRPr="00F7327C">
        <w:t xml:space="preserve">doivent </w:t>
      </w:r>
      <w:r>
        <w:t xml:space="preserve">pas </w:t>
      </w:r>
      <w:r w:rsidR="00F7327C" w:rsidRPr="00F7327C">
        <w:t xml:space="preserve">être des </w:t>
      </w:r>
      <w:r>
        <w:t>structures</w:t>
      </w:r>
      <w:r w:rsidR="00F7327C" w:rsidRPr="00F7327C">
        <w:t xml:space="preserve"> gouvernementales: d’ailleurs, elles occupent des emplacements qui leur sont réservés dans les salles de réunion où se tiennent les délibérations des organes relatifs aux droits de l’homme, comme le Conseil des droits de l’homme ou l’Examen périodique universel. Le Sous-</w:t>
      </w:r>
      <w:r w:rsidR="00BB4988">
        <w:t>C</w:t>
      </w:r>
      <w:r w:rsidR="00F7327C" w:rsidRPr="00F7327C">
        <w:t>omité d’accréditation du CIC</w:t>
      </w:r>
      <w:r>
        <w:t xml:space="preserve"> </w:t>
      </w:r>
      <w:r w:rsidR="00F7327C" w:rsidRPr="00F7327C">
        <w:t xml:space="preserve">se préoccupe de plus en plus de l’indépendance des institutions nationales, notamment lorsque les organes conventionnels émettent un doute à ce sujet. Ce </w:t>
      </w:r>
      <w:r w:rsidR="00BB4988">
        <w:t>s</w:t>
      </w:r>
      <w:r w:rsidR="00F7327C" w:rsidRPr="00F7327C">
        <w:t xml:space="preserve">ous-comité a élaboré une </w:t>
      </w:r>
      <w:r w:rsidR="00BB4988">
        <w:t>O</w:t>
      </w:r>
      <w:r w:rsidR="00F7327C" w:rsidRPr="00F7327C">
        <w:t xml:space="preserve">bservation générale sur le respect des Principes de Paris à l’intention des institutions nationales et </w:t>
      </w:r>
      <w:r>
        <w:t>d</w:t>
      </w:r>
      <w:r w:rsidR="00F7327C" w:rsidRPr="00F7327C">
        <w:t xml:space="preserve">es États, qui met l’accent sur l’indépendance du processus de sélection des membres. </w:t>
      </w:r>
      <w:r>
        <w:t>La </w:t>
      </w:r>
      <w:r w:rsidR="00F7327C" w:rsidRPr="00F7327C">
        <w:t>collaboration entre ces institutions et les organes conventionnels, dont les observations finales ont beaucoup de poids, vise avant tout à renforcer l’application des instruments internationaux relatifs aux droits de l’homme, en conjonction avec d’autres mécanismes,</w:t>
      </w:r>
      <w:r>
        <w:t xml:space="preserve"> comme les titulaires de mandat</w:t>
      </w:r>
      <w:r w:rsidR="00F7327C" w:rsidRPr="00F7327C">
        <w:t xml:space="preserve"> au titre des procédures spéciales.</w:t>
      </w:r>
      <w:r w:rsidR="00020DF1">
        <w:t xml:space="preserve"> </w:t>
      </w:r>
    </w:p>
    <w:p w:rsidR="00F7327C" w:rsidRPr="00F7327C" w:rsidRDefault="00C0560A" w:rsidP="00F7327C">
      <w:pPr>
        <w:pStyle w:val="ParNoG"/>
        <w:rPr>
          <w:b/>
        </w:rPr>
      </w:pPr>
      <w:r>
        <w:rPr>
          <w:b/>
        </w:rPr>
        <w:t>Le </w:t>
      </w:r>
      <w:r w:rsidR="00F7327C" w:rsidRPr="00F7327C">
        <w:rPr>
          <w:b/>
        </w:rPr>
        <w:t xml:space="preserve">Président </w:t>
      </w:r>
      <w:r w:rsidR="00F7327C" w:rsidRPr="00F7327C">
        <w:t>note avec</w:t>
      </w:r>
      <w:r w:rsidR="00F7327C" w:rsidRPr="00F7327C">
        <w:rPr>
          <w:b/>
        </w:rPr>
        <w:t xml:space="preserve"> </w:t>
      </w:r>
      <w:r w:rsidR="00F7327C" w:rsidRPr="00F7327C">
        <w:t>satisfaction que</w:t>
      </w:r>
      <w:r w:rsidR="00F7327C" w:rsidRPr="00F7327C">
        <w:rPr>
          <w:b/>
        </w:rPr>
        <w:t xml:space="preserve"> </w:t>
      </w:r>
      <w:r w:rsidR="00F7327C" w:rsidRPr="00F7327C">
        <w:t>ce débat a permis de constater la convergence de vues entre le Comité et le CIC et dit qu’il est prévu</w:t>
      </w:r>
      <w:r>
        <w:t xml:space="preserve">, à la prochaine session, de désigner, </w:t>
      </w:r>
      <w:r w:rsidR="00F7327C" w:rsidRPr="00F7327C">
        <w:t xml:space="preserve">parmi les membres du Comité, </w:t>
      </w:r>
      <w:r>
        <w:t>un coordonnateur pour la collaboration</w:t>
      </w:r>
      <w:r w:rsidR="00F7327C" w:rsidRPr="00F7327C">
        <w:t xml:space="preserve"> avec le</w:t>
      </w:r>
      <w:r>
        <w:t> </w:t>
      </w:r>
      <w:r w:rsidR="00F7327C" w:rsidRPr="00F7327C">
        <w:t>CIC.</w:t>
      </w:r>
    </w:p>
    <w:p w:rsidR="00F7327C" w:rsidRPr="009B6DC1" w:rsidRDefault="00F7327C" w:rsidP="00C0560A">
      <w:pPr>
        <w:pStyle w:val="ParNoG"/>
        <w:numPr>
          <w:ilvl w:val="0"/>
          <w:numId w:val="0"/>
        </w:numPr>
        <w:ind w:left="1134"/>
      </w:pPr>
      <w:r w:rsidRPr="00F7327C">
        <w:rPr>
          <w:i/>
        </w:rPr>
        <w:t xml:space="preserve">La première partie (publique) de la </w:t>
      </w:r>
      <w:r w:rsidR="00C0560A">
        <w:rPr>
          <w:i/>
        </w:rPr>
        <w:t>séance prend fin à 11 h </w:t>
      </w:r>
      <w:r w:rsidRPr="00F7327C">
        <w:rPr>
          <w:i/>
        </w:rPr>
        <w:t>10.</w:t>
      </w:r>
    </w:p>
    <w:sectPr w:rsidR="00F7327C" w:rsidRPr="009B6DC1" w:rsidSect="008B04D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3C39" w:rsidRDefault="00013C39"/>
  </w:endnote>
  <w:endnote w:type="continuationSeparator" w:id="0">
    <w:p w:rsidR="00013C39" w:rsidRDefault="00013C39"/>
  </w:endnote>
  <w:endnote w:type="continuationNotice" w:id="1">
    <w:p w:rsidR="00013C39" w:rsidRPr="004D432A" w:rsidRDefault="00013C39"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C39" w:rsidRPr="008B04D7" w:rsidRDefault="00013C39" w:rsidP="008B04D7">
    <w:pPr>
      <w:pStyle w:val="Footer"/>
      <w:tabs>
        <w:tab w:val="right" w:pos="9638"/>
      </w:tabs>
    </w:pPr>
    <w:r w:rsidRPr="008B04D7">
      <w:rPr>
        <w:b/>
        <w:sz w:val="18"/>
      </w:rPr>
      <w:fldChar w:fldCharType="begin"/>
    </w:r>
    <w:r w:rsidRPr="008B04D7">
      <w:rPr>
        <w:b/>
        <w:sz w:val="18"/>
      </w:rPr>
      <w:instrText xml:space="preserve"> PAGE  \* MERGEFORMAT </w:instrText>
    </w:r>
    <w:r w:rsidRPr="008B04D7">
      <w:rPr>
        <w:b/>
        <w:sz w:val="18"/>
      </w:rPr>
      <w:fldChar w:fldCharType="separate"/>
    </w:r>
    <w:r>
      <w:rPr>
        <w:b/>
        <w:noProof/>
        <w:sz w:val="18"/>
      </w:rPr>
      <w:t>4</w:t>
    </w:r>
    <w:r w:rsidRPr="008B04D7">
      <w:rPr>
        <w:b/>
        <w:sz w:val="18"/>
      </w:rPr>
      <w:fldChar w:fldCharType="end"/>
    </w:r>
    <w:r>
      <w:rPr>
        <w:b/>
        <w:sz w:val="18"/>
      </w:rPr>
      <w:tab/>
    </w:r>
    <w:r>
      <w:t>GE.13-48609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C39" w:rsidRPr="008B04D7" w:rsidRDefault="00013C39" w:rsidP="008B04D7">
    <w:pPr>
      <w:pStyle w:val="Footer"/>
      <w:tabs>
        <w:tab w:val="right" w:pos="9638"/>
      </w:tabs>
      <w:rPr>
        <w:b/>
        <w:sz w:val="18"/>
      </w:rPr>
    </w:pPr>
    <w:r>
      <w:t>GE.13-48609</w:t>
    </w:r>
    <w:r>
      <w:tab/>
    </w:r>
    <w:r w:rsidRPr="008B04D7">
      <w:rPr>
        <w:b/>
        <w:sz w:val="18"/>
      </w:rPr>
      <w:fldChar w:fldCharType="begin"/>
    </w:r>
    <w:r w:rsidRPr="008B04D7">
      <w:rPr>
        <w:b/>
        <w:sz w:val="18"/>
      </w:rPr>
      <w:instrText xml:space="preserve"> PAGE  \* MERGEFORMAT </w:instrText>
    </w:r>
    <w:r w:rsidRPr="008B04D7">
      <w:rPr>
        <w:b/>
        <w:sz w:val="18"/>
      </w:rPr>
      <w:fldChar w:fldCharType="separate"/>
    </w:r>
    <w:r>
      <w:rPr>
        <w:b/>
        <w:noProof/>
        <w:sz w:val="18"/>
      </w:rPr>
      <w:t>3</w:t>
    </w:r>
    <w:r w:rsidRPr="008B04D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C39" w:rsidRDefault="00013C39" w:rsidP="00202040">
    <w:pPr>
      <w:pBdr>
        <w:bottom w:val="single" w:sz="4" w:space="1" w:color="auto"/>
      </w:pBdr>
    </w:pPr>
  </w:p>
  <w:p w:rsidR="00013C39" w:rsidRDefault="00013C39" w:rsidP="00202040">
    <w:pPr>
      <w:pStyle w:val="FootnoteText"/>
      <w:tabs>
        <w:tab w:val="clear" w:pos="1021"/>
      </w:tabs>
      <w:spacing w:after="120"/>
      <w:ind w:firstLine="0"/>
    </w:pPr>
    <w:r>
      <w:t>Le présent compte rendu est sujet à rectifications.</w:t>
    </w:r>
  </w:p>
  <w:p w:rsidR="00013C39" w:rsidRDefault="00013C39" w:rsidP="0020204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13C39" w:rsidRPr="00202040" w:rsidRDefault="00013C39" w:rsidP="0020204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13C39" w:rsidRPr="008B04D7" w:rsidRDefault="00013C39" w:rsidP="00202040">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t>13-48609  (F)    191113    191113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3C39" w:rsidRPr="00D27D5E" w:rsidRDefault="00013C39" w:rsidP="00D27D5E">
      <w:pPr>
        <w:tabs>
          <w:tab w:val="right" w:pos="2155"/>
        </w:tabs>
        <w:spacing w:after="80"/>
        <w:ind w:left="680"/>
        <w:rPr>
          <w:u w:val="single"/>
        </w:rPr>
      </w:pPr>
      <w:r>
        <w:rPr>
          <w:u w:val="single"/>
        </w:rPr>
        <w:tab/>
      </w:r>
    </w:p>
  </w:footnote>
  <w:footnote w:type="continuationSeparator" w:id="0">
    <w:p w:rsidR="00013C39" w:rsidRPr="00A103C4" w:rsidRDefault="00013C39" w:rsidP="00A103C4">
      <w:pPr>
        <w:tabs>
          <w:tab w:val="right" w:pos="2155"/>
        </w:tabs>
        <w:spacing w:after="80"/>
        <w:ind w:left="680"/>
        <w:rPr>
          <w:u w:val="single"/>
        </w:rPr>
      </w:pPr>
      <w:r w:rsidRPr="00A103C4">
        <w:rPr>
          <w:u w:val="single"/>
        </w:rPr>
        <w:tab/>
      </w:r>
    </w:p>
  </w:footnote>
  <w:footnote w:type="continuationNotice" w:id="1">
    <w:p w:rsidR="00013C39" w:rsidRPr="004D432A" w:rsidRDefault="00013C39" w:rsidP="004D432A">
      <w:pPr>
        <w:spacing w:line="240" w:lineRule="auto"/>
        <w:rPr>
          <w:sz w:val="2"/>
          <w:szCs w:val="2"/>
        </w:rPr>
      </w:pPr>
    </w:p>
  </w:footnote>
  <w:footnote w:id="2">
    <w:p w:rsidR="00013C39" w:rsidRPr="00D56CE3" w:rsidRDefault="00013C39">
      <w:pPr>
        <w:pStyle w:val="FootnoteText"/>
        <w:rPr>
          <w:szCs w:val="18"/>
        </w:rPr>
      </w:pPr>
      <w:r>
        <w:tab/>
      </w:r>
      <w:r w:rsidRPr="008B04D7">
        <w:rPr>
          <w:rStyle w:val="FootnoteReference"/>
          <w:sz w:val="20"/>
          <w:vertAlign w:val="baseline"/>
        </w:rPr>
        <w:t>*</w:t>
      </w:r>
      <w:r>
        <w:rPr>
          <w:sz w:val="20"/>
        </w:rPr>
        <w:tab/>
      </w:r>
      <w:r w:rsidRPr="00D56CE3">
        <w:rPr>
          <w:szCs w:val="18"/>
        </w:rPr>
        <w:t>Il n’est pas établi de compte rendu analytique pour la deuxième partie (privée) de la séance.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C39" w:rsidRPr="008B04D7" w:rsidRDefault="00013C39">
    <w:pPr>
      <w:pStyle w:val="Header"/>
    </w:pPr>
    <w:r>
      <w:t>CED/C/SR.75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3C39" w:rsidRPr="008B04D7" w:rsidRDefault="00013C39" w:rsidP="008B04D7">
    <w:pPr>
      <w:pStyle w:val="Header"/>
      <w:jc w:val="right"/>
    </w:pPr>
    <w:r>
      <w:t>CED/C/SR.75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20C7"/>
    <w:rsid w:val="00013C39"/>
    <w:rsid w:val="00016AC5"/>
    <w:rsid w:val="00020DF1"/>
    <w:rsid w:val="0002350E"/>
    <w:rsid w:val="00037862"/>
    <w:rsid w:val="00037A87"/>
    <w:rsid w:val="000427BE"/>
    <w:rsid w:val="00057120"/>
    <w:rsid w:val="000A6693"/>
    <w:rsid w:val="000B461F"/>
    <w:rsid w:val="000B512F"/>
    <w:rsid w:val="000F41F2"/>
    <w:rsid w:val="00152053"/>
    <w:rsid w:val="00160540"/>
    <w:rsid w:val="0019248C"/>
    <w:rsid w:val="00192EEB"/>
    <w:rsid w:val="001A20FB"/>
    <w:rsid w:val="001C02F1"/>
    <w:rsid w:val="001D7F8A"/>
    <w:rsid w:val="001E3FEB"/>
    <w:rsid w:val="001E4A02"/>
    <w:rsid w:val="001E6AAF"/>
    <w:rsid w:val="001F4A95"/>
    <w:rsid w:val="00202040"/>
    <w:rsid w:val="002229B8"/>
    <w:rsid w:val="00225A8C"/>
    <w:rsid w:val="00242826"/>
    <w:rsid w:val="00243D15"/>
    <w:rsid w:val="002659F1"/>
    <w:rsid w:val="00273645"/>
    <w:rsid w:val="00287E79"/>
    <w:rsid w:val="002928F9"/>
    <w:rsid w:val="00297B00"/>
    <w:rsid w:val="002A5D07"/>
    <w:rsid w:val="002B5403"/>
    <w:rsid w:val="002E0C1D"/>
    <w:rsid w:val="003016B7"/>
    <w:rsid w:val="00311ADA"/>
    <w:rsid w:val="003515AA"/>
    <w:rsid w:val="003536BF"/>
    <w:rsid w:val="0035542D"/>
    <w:rsid w:val="00374106"/>
    <w:rsid w:val="00376EE5"/>
    <w:rsid w:val="003976D5"/>
    <w:rsid w:val="003D4E3D"/>
    <w:rsid w:val="003D6C68"/>
    <w:rsid w:val="004159D0"/>
    <w:rsid w:val="004220C7"/>
    <w:rsid w:val="0042360C"/>
    <w:rsid w:val="00455D94"/>
    <w:rsid w:val="00497F70"/>
    <w:rsid w:val="004D432A"/>
    <w:rsid w:val="004F4B54"/>
    <w:rsid w:val="00511A46"/>
    <w:rsid w:val="00525DBB"/>
    <w:rsid w:val="00543D5E"/>
    <w:rsid w:val="005444B2"/>
    <w:rsid w:val="00555C7A"/>
    <w:rsid w:val="00560561"/>
    <w:rsid w:val="005610B3"/>
    <w:rsid w:val="005674B7"/>
    <w:rsid w:val="00571F41"/>
    <w:rsid w:val="00594847"/>
    <w:rsid w:val="005A467A"/>
    <w:rsid w:val="005B01B7"/>
    <w:rsid w:val="005D0661"/>
    <w:rsid w:val="005E0932"/>
    <w:rsid w:val="005E5D1F"/>
    <w:rsid w:val="00611D43"/>
    <w:rsid w:val="00612D48"/>
    <w:rsid w:val="00616B45"/>
    <w:rsid w:val="00630D9B"/>
    <w:rsid w:val="00631953"/>
    <w:rsid w:val="006439EC"/>
    <w:rsid w:val="00652586"/>
    <w:rsid w:val="006525AE"/>
    <w:rsid w:val="006647E0"/>
    <w:rsid w:val="006811C7"/>
    <w:rsid w:val="00693134"/>
    <w:rsid w:val="006B132B"/>
    <w:rsid w:val="006B4590"/>
    <w:rsid w:val="006C340C"/>
    <w:rsid w:val="006C3FDD"/>
    <w:rsid w:val="006F63CA"/>
    <w:rsid w:val="0070347C"/>
    <w:rsid w:val="007176C1"/>
    <w:rsid w:val="00755774"/>
    <w:rsid w:val="00767EF1"/>
    <w:rsid w:val="007774C3"/>
    <w:rsid w:val="00777EB6"/>
    <w:rsid w:val="007A225B"/>
    <w:rsid w:val="007A39F3"/>
    <w:rsid w:val="007B0499"/>
    <w:rsid w:val="007C45A8"/>
    <w:rsid w:val="007E596A"/>
    <w:rsid w:val="007F3FA0"/>
    <w:rsid w:val="007F55CB"/>
    <w:rsid w:val="008011AA"/>
    <w:rsid w:val="00807236"/>
    <w:rsid w:val="00814467"/>
    <w:rsid w:val="0082184B"/>
    <w:rsid w:val="00832D13"/>
    <w:rsid w:val="00837EB9"/>
    <w:rsid w:val="00844750"/>
    <w:rsid w:val="008464C8"/>
    <w:rsid w:val="008A18C0"/>
    <w:rsid w:val="008A6DE7"/>
    <w:rsid w:val="008B04D7"/>
    <w:rsid w:val="008B44C4"/>
    <w:rsid w:val="008C0AF2"/>
    <w:rsid w:val="008E675E"/>
    <w:rsid w:val="008E7FAE"/>
    <w:rsid w:val="00911BF7"/>
    <w:rsid w:val="009237A2"/>
    <w:rsid w:val="0094155F"/>
    <w:rsid w:val="00952AA0"/>
    <w:rsid w:val="00954E38"/>
    <w:rsid w:val="0096795A"/>
    <w:rsid w:val="00977EC8"/>
    <w:rsid w:val="0099028F"/>
    <w:rsid w:val="009B6DC1"/>
    <w:rsid w:val="009D3A8C"/>
    <w:rsid w:val="009E7956"/>
    <w:rsid w:val="00A103C4"/>
    <w:rsid w:val="00A2492E"/>
    <w:rsid w:val="00A50390"/>
    <w:rsid w:val="00A56EA8"/>
    <w:rsid w:val="00AC48F1"/>
    <w:rsid w:val="00AC67A1"/>
    <w:rsid w:val="00AC7977"/>
    <w:rsid w:val="00AE352C"/>
    <w:rsid w:val="00B32E2D"/>
    <w:rsid w:val="00B61990"/>
    <w:rsid w:val="00B63A55"/>
    <w:rsid w:val="00B77C99"/>
    <w:rsid w:val="00BA0193"/>
    <w:rsid w:val="00BA31B5"/>
    <w:rsid w:val="00BB4988"/>
    <w:rsid w:val="00BC554A"/>
    <w:rsid w:val="00BF0556"/>
    <w:rsid w:val="00C005F9"/>
    <w:rsid w:val="00C0560A"/>
    <w:rsid w:val="00C07C43"/>
    <w:rsid w:val="00C1562D"/>
    <w:rsid w:val="00C261F8"/>
    <w:rsid w:val="00C26381"/>
    <w:rsid w:val="00C33100"/>
    <w:rsid w:val="00C42566"/>
    <w:rsid w:val="00C6201B"/>
    <w:rsid w:val="00C96DFD"/>
    <w:rsid w:val="00CA7CAA"/>
    <w:rsid w:val="00CD1A71"/>
    <w:rsid w:val="00CD1FBB"/>
    <w:rsid w:val="00CF2DB5"/>
    <w:rsid w:val="00D016B5"/>
    <w:rsid w:val="00D034F1"/>
    <w:rsid w:val="00D27D5E"/>
    <w:rsid w:val="00D324E6"/>
    <w:rsid w:val="00D55CFF"/>
    <w:rsid w:val="00D56CE3"/>
    <w:rsid w:val="00DB0DA1"/>
    <w:rsid w:val="00DB4FBC"/>
    <w:rsid w:val="00DD093E"/>
    <w:rsid w:val="00DE6D90"/>
    <w:rsid w:val="00DF002F"/>
    <w:rsid w:val="00E01507"/>
    <w:rsid w:val="00E0244D"/>
    <w:rsid w:val="00E264BD"/>
    <w:rsid w:val="00E635BB"/>
    <w:rsid w:val="00E771CD"/>
    <w:rsid w:val="00E81E94"/>
    <w:rsid w:val="00E82607"/>
    <w:rsid w:val="00EE1A0D"/>
    <w:rsid w:val="00EE58E7"/>
    <w:rsid w:val="00F004C2"/>
    <w:rsid w:val="00F23C21"/>
    <w:rsid w:val="00F247EA"/>
    <w:rsid w:val="00F31F78"/>
    <w:rsid w:val="00F673A9"/>
    <w:rsid w:val="00F7327C"/>
    <w:rsid w:val="00F95A12"/>
    <w:rsid w:val="00FA03BD"/>
    <w:rsid w:val="00FA5A79"/>
    <w:rsid w:val="00FB0BFE"/>
    <w:rsid w:val="00FB4C51"/>
    <w:rsid w:val="00FD0FFA"/>
    <w:rsid w:val="00FE2E4F"/>
    <w:rsid w:val="00FE68AA"/>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560561"/>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CED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CED1.dot</Template>
  <TotalTime>0</TotalTime>
  <Pages>4</Pages>
  <Words>1852</Words>
  <Characters>10208</Characters>
  <Application>Microsoft Office Outlook</Application>
  <DocSecurity>4</DocSecurity>
  <Lines>157</Lines>
  <Paragraphs>33</Paragraphs>
  <ScaleCrop>false</ScaleCrop>
  <HeadingPairs>
    <vt:vector size="2" baseType="variant">
      <vt:variant>
        <vt:lpstr>Titre</vt:lpstr>
      </vt:variant>
      <vt:variant>
        <vt:i4>1</vt:i4>
      </vt:variant>
    </vt:vector>
  </HeadingPairs>
  <TitlesOfParts>
    <vt:vector size="1" baseType="lpstr">
      <vt:lpstr>CED/C/SR.75</vt:lpstr>
    </vt:vector>
  </TitlesOfParts>
  <Company>CSD</Company>
  <LinksUpToDate>false</LinksUpToDate>
  <CharactersWithSpaces>12027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CED/C/SR.75</dc:title>
  <dc:subject/>
  <dc:creator>Bourion</dc:creator>
  <cp:keywords/>
  <dc:description/>
  <cp:lastModifiedBy>Bourion</cp:lastModifiedBy>
  <cp:revision>2</cp:revision>
  <cp:lastPrinted>2013-11-19T13:22:00Z</cp:lastPrinted>
  <dcterms:created xsi:type="dcterms:W3CDTF">2013-11-19T14:08:00Z</dcterms:created>
  <dcterms:modified xsi:type="dcterms:W3CDTF">2013-11-19T14:08:00Z</dcterms:modified>
</cp:coreProperties>
</file>