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18837244"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pStyle w:val="H1"/>
        <w:keepNext w:val="0"/>
        <w:keepLines w:val="0"/>
        <w:suppressAutoHyphens w:val="0"/>
        <w:spacing w:after="240" w:line="240" w:lineRule="auto"/>
        <w:ind w:left="6840"/>
        <w:outlineLvl w:val="9"/>
        <w:rPr>
          <w:b w:val="0"/>
          <w:spacing w:val="0"/>
          <w:w w:val="100"/>
          <w:kern w:val="0"/>
        </w:rPr>
      </w:pPr>
      <w:r>
        <w:rPr>
          <w:b w:val="0"/>
          <w:spacing w:val="0"/>
          <w:w w:val="100"/>
          <w:kern w:val="0"/>
        </w:rPr>
        <w:t>Distr.</w:t>
      </w:r>
      <w:r>
        <w:rPr>
          <w:b w:val="0"/>
          <w:spacing w:val="0"/>
          <w:w w:val="100"/>
          <w:kern w:val="0"/>
        </w:rPr>
        <w:br/>
        <w:t>GENERAL</w:t>
      </w:r>
    </w:p>
    <w:p w:rsidR="00000000" w:rsidRDefault="00000000">
      <w:pPr>
        <w:pStyle w:val="H1"/>
        <w:keepNext w:val="0"/>
        <w:keepLines w:val="0"/>
        <w:suppressAutoHyphens w:val="0"/>
        <w:spacing w:after="240" w:line="240" w:lineRule="auto"/>
        <w:ind w:left="6840"/>
        <w:outlineLvl w:val="9"/>
        <w:rPr>
          <w:b w:val="0"/>
          <w:spacing w:val="0"/>
          <w:w w:val="100"/>
          <w:kern w:val="0"/>
        </w:rPr>
      </w:pPr>
      <w:r>
        <w:rPr>
          <w:b w:val="0"/>
          <w:bCs/>
        </w:rPr>
        <w:t>CRC/C/70/Add.26</w:t>
      </w:r>
      <w:r>
        <w:rPr>
          <w:b w:val="0"/>
          <w:bCs/>
        </w:rPr>
        <w:br/>
        <w:t>24 de agosto de 2005</w:t>
      </w:r>
    </w:p>
    <w:p w:rsidR="00000000" w:rsidRDefault="00000000">
      <w:pPr>
        <w:pStyle w:val="H1"/>
        <w:keepNext w:val="0"/>
        <w:keepLines w:val="0"/>
        <w:suppressAutoHyphens w:val="0"/>
        <w:spacing w:after="600" w:line="240" w:lineRule="auto"/>
        <w:ind w:left="6838"/>
        <w:outlineLvl w:val="9"/>
        <w:rPr>
          <w:b w:val="0"/>
          <w:spacing w:val="0"/>
          <w:w w:val="100"/>
          <w:kern w:val="0"/>
        </w:rPr>
      </w:pPr>
      <w:r>
        <w:rPr>
          <w:b w:val="0"/>
          <w:spacing w:val="0"/>
          <w:w w:val="100"/>
          <w:kern w:val="0"/>
        </w:rPr>
        <w:t>ESPAÑOL</w:t>
      </w:r>
      <w:r>
        <w:rPr>
          <w:b w:val="0"/>
          <w:spacing w:val="0"/>
          <w:w w:val="100"/>
          <w:kern w:val="0"/>
        </w:rPr>
        <w:br/>
        <w:t>Original:   INGLÉS</w:t>
      </w:r>
    </w:p>
    <w:p w:rsidR="00000000" w:rsidRDefault="00000000">
      <w:pPr>
        <w:pStyle w:val="H1"/>
        <w:keepNext w:val="0"/>
        <w:keepLines w:val="0"/>
        <w:suppressAutoHyphens w:val="0"/>
        <w:spacing w:after="1200" w:line="240" w:lineRule="auto"/>
        <w:outlineLvl w:val="9"/>
        <w:rPr>
          <w:b w:val="0"/>
          <w:spacing w:val="0"/>
          <w:w w:val="100"/>
          <w:kern w:val="0"/>
        </w:rPr>
      </w:pPr>
      <w:r>
        <w:rPr>
          <w:b w:val="0"/>
          <w:spacing w:val="0"/>
          <w:w w:val="100"/>
          <w:kern w:val="0"/>
        </w:rPr>
        <w:t>COMITÉ DE LOS DERECHOS DEL NIÑO</w:t>
      </w:r>
    </w:p>
    <w:p w:rsidR="00000000" w:rsidRDefault="00000000">
      <w:pPr>
        <w:pStyle w:val="H1"/>
        <w:keepNext w:val="0"/>
        <w:keepLines w:val="0"/>
        <w:suppressAutoHyphens w:val="0"/>
        <w:spacing w:after="240" w:line="240" w:lineRule="auto"/>
        <w:jc w:val="center"/>
        <w:outlineLvl w:val="9"/>
        <w:rPr>
          <w:bCs/>
          <w:spacing w:val="0"/>
          <w:w w:val="100"/>
          <w:kern w:val="0"/>
        </w:rPr>
      </w:pPr>
      <w:r>
        <w:rPr>
          <w:bCs/>
          <w:spacing w:val="0"/>
          <w:w w:val="100"/>
          <w:kern w:val="0"/>
        </w:rPr>
        <w:t>EXAMEN DE LOS INFORMES PRESENTADOS POR LOS ESTADOS</w:t>
      </w:r>
      <w:r>
        <w:rPr>
          <w:bCs/>
          <w:spacing w:val="0"/>
          <w:w w:val="100"/>
          <w:kern w:val="0"/>
        </w:rPr>
        <w:br/>
        <w:t>PARTES CON ARREGLO AL ARTÍCULO 44 DE LA CONVENCIÓN</w:t>
      </w:r>
    </w:p>
    <w:p w:rsidR="00000000" w:rsidRDefault="00000000">
      <w:pPr>
        <w:pStyle w:val="H1"/>
        <w:keepNext w:val="0"/>
        <w:keepLines w:val="0"/>
        <w:suppressAutoHyphens w:val="0"/>
        <w:spacing w:after="240" w:line="240" w:lineRule="auto"/>
        <w:jc w:val="center"/>
        <w:outlineLvl w:val="9"/>
        <w:rPr>
          <w:bCs/>
          <w:spacing w:val="0"/>
          <w:w w:val="100"/>
          <w:kern w:val="0"/>
        </w:rPr>
      </w:pPr>
      <w:r>
        <w:rPr>
          <w:bCs/>
          <w:spacing w:val="0"/>
          <w:w w:val="100"/>
          <w:kern w:val="0"/>
        </w:rPr>
        <w:t>Segundo informe periódico que los Estados Partes</w:t>
      </w:r>
    </w:p>
    <w:p w:rsidR="00000000" w:rsidRDefault="00000000">
      <w:pPr>
        <w:pStyle w:val="H1"/>
        <w:keepNext w:val="0"/>
        <w:keepLines w:val="0"/>
        <w:suppressAutoHyphens w:val="0"/>
        <w:spacing w:after="240" w:line="240" w:lineRule="auto"/>
        <w:jc w:val="center"/>
        <w:outlineLvl w:val="9"/>
        <w:rPr>
          <w:b w:val="0"/>
          <w:bCs/>
        </w:rPr>
      </w:pPr>
      <w:r>
        <w:t>REPÚBLICA UNIDA DE TANZANÍA</w:t>
      </w:r>
      <w:r>
        <w:rPr>
          <w:rStyle w:val="FootnoteReference"/>
          <w:b/>
          <w:bCs/>
        </w:rPr>
        <w:footnoteReference w:customMarkFollows="1" w:id="1"/>
        <w:t>*</w:t>
      </w:r>
    </w:p>
    <w:p w:rsidR="00000000" w:rsidRDefault="00000000">
      <w:pPr>
        <w:pStyle w:val="H1"/>
        <w:keepNext w:val="0"/>
        <w:keepLines w:val="0"/>
        <w:suppressAutoHyphens w:val="0"/>
        <w:spacing w:after="240" w:line="240" w:lineRule="auto"/>
        <w:jc w:val="center"/>
        <w:outlineLvl w:val="9"/>
        <w:rPr>
          <w:bCs/>
        </w:rPr>
      </w:pPr>
    </w:p>
    <w:p w:rsidR="00000000" w:rsidRDefault="00000000">
      <w:pPr>
        <w:pStyle w:val="H1"/>
        <w:keepNext w:val="0"/>
        <w:keepLines w:val="0"/>
        <w:suppressAutoHyphens w:val="0"/>
        <w:spacing w:after="240" w:line="240" w:lineRule="auto"/>
        <w:jc w:val="right"/>
        <w:outlineLvl w:val="9"/>
        <w:rPr>
          <w:b w:val="0"/>
          <w:w w:val="100"/>
          <w:kern w:val="0"/>
        </w:rPr>
      </w:pPr>
      <w:r>
        <w:rPr>
          <w:b w:val="0"/>
          <w:spacing w:val="0"/>
          <w:w w:val="100"/>
          <w:kern w:val="0"/>
        </w:rPr>
        <w:t>[20 de octubre</w:t>
      </w:r>
      <w:r>
        <w:rPr>
          <w:b w:val="0"/>
          <w:w w:val="100"/>
          <w:kern w:val="0"/>
        </w:rPr>
        <w:t xml:space="preserve"> de 2004]</w:t>
      </w:r>
    </w:p>
    <w:p w:rsidR="00000000" w:rsidRDefault="00000000">
      <w:pPr>
        <w:spacing w:after="240"/>
        <w:jc w:val="center"/>
        <w:rPr>
          <w:b/>
          <w:bCs/>
        </w:rPr>
      </w:pPr>
      <w:r>
        <w:rPr>
          <w:b/>
        </w:rPr>
        <w:br w:type="page"/>
      </w:r>
      <w:r>
        <w:rPr>
          <w:b/>
          <w:bCs/>
        </w:rPr>
        <w:t>ÍNDICE</w:t>
      </w:r>
    </w:p>
    <w:p w:rsidR="00000000" w:rsidRDefault="00000000">
      <w:pPr>
        <w:spacing w:after="240"/>
        <w:jc w:val="right"/>
        <w:rPr>
          <w:i/>
        </w:rPr>
      </w:pPr>
      <w:r>
        <w:rPr>
          <w:i/>
        </w:rPr>
        <w:t>Párrafos     Página</w:t>
      </w:r>
    </w:p>
    <w:p w:rsidR="00000000" w:rsidRDefault="00000000">
      <w:pPr>
        <w:tabs>
          <w:tab w:val="right" w:pos="567"/>
          <w:tab w:val="right" w:leader="dot" w:pos="8400"/>
          <w:tab w:val="right" w:pos="9099"/>
        </w:tabs>
        <w:spacing w:after="240"/>
      </w:pPr>
      <w:r>
        <w:t>Prólogo</w:t>
      </w:r>
      <w:r>
        <w:tab/>
      </w:r>
      <w:r>
        <w:tab/>
        <w:t>3</w:t>
      </w:r>
    </w:p>
    <w:p w:rsidR="00000000" w:rsidRDefault="00000000">
      <w:pPr>
        <w:tabs>
          <w:tab w:val="right" w:pos="567"/>
          <w:tab w:val="right" w:leader="dot" w:pos="8400"/>
          <w:tab w:val="right" w:pos="9099"/>
        </w:tabs>
        <w:spacing w:after="240"/>
      </w:pPr>
      <w:r>
        <w:t>Abreviaturas y acrónimos</w:t>
      </w:r>
      <w:r>
        <w:tab/>
      </w:r>
      <w:r>
        <w:tab/>
        <w:t>4</w:t>
      </w:r>
    </w:p>
    <w:p w:rsidR="00000000" w:rsidRDefault="00000000">
      <w:pPr>
        <w:tabs>
          <w:tab w:val="right" w:pos="567"/>
          <w:tab w:val="right" w:leader="dot" w:pos="8400"/>
          <w:tab w:val="right" w:pos="9099"/>
        </w:tabs>
        <w:spacing w:after="240"/>
      </w:pPr>
      <w:r>
        <w:t>INTRODUCCIÓN</w:t>
      </w:r>
      <w:r>
        <w:tab/>
      </w:r>
      <w:r>
        <w:tab/>
        <w:t>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w:t>
      </w:r>
      <w:r>
        <w:tab/>
        <w:t>MEDIDAS GENERALES DE APLICACIÓN</w:t>
      </w:r>
      <w:r>
        <w:tab/>
      </w:r>
      <w:r>
        <w:tab/>
        <w:t>17</w:t>
      </w:r>
      <w:r>
        <w:tab/>
        <w:t>-</w:t>
      </w:r>
      <w:r>
        <w:tab/>
        <w:t>87</w:t>
      </w:r>
      <w:r>
        <w:tab/>
        <w:t>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II.</w:t>
      </w:r>
      <w:r>
        <w:tab/>
        <w:t>DEFINICIÓN DEL NIÑO</w:t>
      </w:r>
      <w:r>
        <w:tab/>
      </w:r>
      <w:r>
        <w:tab/>
        <w:t>88</w:t>
      </w:r>
      <w:r>
        <w:tab/>
        <w:t>-</w:t>
      </w:r>
      <w:r>
        <w:tab/>
        <w:t>95</w:t>
      </w:r>
      <w:r>
        <w:tab/>
        <w:t>21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III.</w:t>
      </w:r>
      <w:r>
        <w:tab/>
        <w:t>PRINCIPIOS GENERALES RELATIVOS A LOS DERECHOS</w:t>
      </w:r>
      <w:r>
        <w:br/>
      </w:r>
      <w:r>
        <w:tab/>
      </w:r>
      <w:r>
        <w:tab/>
        <w:t>DEL NIÑO</w:t>
      </w:r>
      <w:r>
        <w:tab/>
      </w:r>
      <w:r>
        <w:tab/>
        <w:t>96</w:t>
      </w:r>
      <w:r>
        <w:tab/>
        <w:t>-</w:t>
      </w:r>
      <w:r>
        <w:tab/>
        <w:t>118</w:t>
      </w:r>
      <w:r>
        <w:tab/>
        <w:t>22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IV.</w:t>
      </w:r>
      <w:r>
        <w:tab/>
        <w:t>DERECHOS Y LIBERTADES CIVILES</w:t>
      </w:r>
      <w:r>
        <w:tab/>
      </w:r>
      <w:r>
        <w:tab/>
        <w:t>119</w:t>
      </w:r>
      <w:r>
        <w:tab/>
        <w:t>-</w:t>
      </w:r>
      <w:r>
        <w:tab/>
        <w:t>132</w:t>
      </w:r>
      <w:r>
        <w:tab/>
        <w:t>26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V.</w:t>
      </w:r>
      <w:r>
        <w:tab/>
        <w:t>MEDIO FAMILIAR Y CUIDADOS DE OTRO TIPO</w:t>
      </w:r>
      <w:r>
        <w:tab/>
      </w:r>
      <w:r>
        <w:tab/>
        <w:t>132</w:t>
      </w:r>
      <w:r>
        <w:tab/>
        <w:t>-</w:t>
      </w:r>
      <w:r>
        <w:tab/>
        <w:t>144</w:t>
      </w:r>
      <w:r>
        <w:tab/>
        <w:t>29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VI.</w:t>
      </w:r>
      <w:r>
        <w:tab/>
        <w:t>SALUD Y SERVICIOS SOCIALES BÁSICOS</w:t>
      </w:r>
      <w:r>
        <w:tab/>
      </w:r>
      <w:r>
        <w:tab/>
        <w:t>145</w:t>
      </w:r>
      <w:r>
        <w:tab/>
        <w:t>-</w:t>
      </w:r>
      <w:r>
        <w:tab/>
        <w:t>208</w:t>
      </w:r>
      <w:r>
        <w:tab/>
        <w:t>31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VII.</w:t>
      </w:r>
      <w:r>
        <w:tab/>
        <w:t xml:space="preserve">EDUCACIÓN, ESPARCIMIENTO Y ACTIVIDADES </w:t>
      </w:r>
      <w:r>
        <w:br/>
      </w:r>
      <w:r>
        <w:tab/>
      </w:r>
      <w:r>
        <w:tab/>
        <w:t>CULTURALES</w:t>
      </w:r>
      <w:r>
        <w:tab/>
      </w:r>
      <w:r>
        <w:tab/>
        <w:t>209</w:t>
      </w:r>
      <w:r>
        <w:tab/>
        <w:t>-</w:t>
      </w:r>
      <w:r>
        <w:tab/>
        <w:t>246</w:t>
      </w:r>
      <w:r>
        <w:tab/>
        <w:t>46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VIII.</w:t>
      </w:r>
      <w:r>
        <w:tab/>
        <w:t>MEDIDAS ESPECIALES DE PROTECCIÓN</w:t>
      </w:r>
      <w:r>
        <w:tab/>
      </w:r>
      <w:r>
        <w:tab/>
        <w:t>247</w:t>
      </w:r>
      <w:r>
        <w:tab/>
        <w:t>-</w:t>
      </w:r>
      <w:r>
        <w:tab/>
        <w:t>293</w:t>
      </w:r>
      <w:r>
        <w:tab/>
        <w:t>54</w:t>
      </w:r>
    </w:p>
    <w:p w:rsidR="00000000" w:rsidRDefault="00000000">
      <w:pPr>
        <w:tabs>
          <w:tab w:val="right" w:pos="567"/>
          <w:tab w:val="left" w:pos="850"/>
          <w:tab w:val="left" w:pos="1304"/>
          <w:tab w:val="left" w:pos="1701"/>
          <w:tab w:val="right" w:leader="dot" w:pos="7285"/>
          <w:tab w:val="right" w:pos="7680"/>
          <w:tab w:val="center" w:pos="7920"/>
          <w:tab w:val="right" w:pos="8357"/>
          <w:tab w:val="right" w:pos="9099"/>
        </w:tabs>
        <w:spacing w:after="240"/>
      </w:pPr>
      <w:r>
        <w:tab/>
        <w:t>IX.</w:t>
      </w:r>
      <w:r>
        <w:tab/>
        <w:t>CONCLUSIÓN</w:t>
      </w:r>
      <w:r>
        <w:tab/>
      </w:r>
      <w:r>
        <w:tab/>
      </w:r>
      <w:r>
        <w:tab/>
        <w:t>294</w:t>
      </w:r>
      <w:r>
        <w:tab/>
      </w:r>
      <w:r>
        <w:tab/>
        <w:t>63</w:t>
      </w:r>
    </w:p>
    <w:p w:rsidR="00000000" w:rsidRDefault="00000000">
      <w:pPr>
        <w:tabs>
          <w:tab w:val="right" w:pos="567"/>
          <w:tab w:val="right" w:leader="dot" w:pos="8400"/>
          <w:tab w:val="right" w:pos="9099"/>
        </w:tabs>
        <w:spacing w:after="240"/>
      </w:pPr>
      <w:r>
        <w:t>Lista de legislación sobre cuestiones relativas a los niños</w:t>
      </w:r>
      <w:r>
        <w:tab/>
      </w:r>
      <w:r>
        <w:tab/>
        <w:t>64</w:t>
      </w:r>
    </w:p>
    <w:p w:rsidR="00000000" w:rsidRDefault="00000000">
      <w:pPr>
        <w:spacing w:after="240"/>
        <w:jc w:val="center"/>
        <w:rPr>
          <w:b/>
        </w:rPr>
      </w:pPr>
    </w:p>
    <w:p w:rsidR="00000000" w:rsidRDefault="00000000">
      <w:pPr>
        <w:spacing w:after="240"/>
        <w:jc w:val="center"/>
        <w:rPr>
          <w:b/>
        </w:rPr>
      </w:pPr>
      <w:r>
        <w:rPr>
          <w:b/>
        </w:rPr>
        <w:br w:type="page"/>
        <w:t>Prólogo</w:t>
      </w:r>
    </w:p>
    <w:p w:rsidR="00000000" w:rsidRDefault="00000000">
      <w:pPr>
        <w:spacing w:after="240"/>
      </w:pPr>
      <w:r>
        <w:tab/>
        <w:t>A la preparación del segundo informe periódico nacional relativo a la aplic</w:t>
      </w:r>
      <w:r>
        <w:t>a</w:t>
      </w:r>
      <w:r>
        <w:t>ción de la Convención sobre los Derechos del Niño (1998-2003) han contribuido muchas de las principales partes interesadas a través de seminarios y reuniones co</w:t>
      </w:r>
      <w:r>
        <w:t>n</w:t>
      </w:r>
      <w:r>
        <w:t>sultivas. Entre ellas se cuentan ministerios nacionales, organizaciones no gubername</w:t>
      </w:r>
      <w:r>
        <w:t>n</w:t>
      </w:r>
      <w:r>
        <w:t>tales (ONG) y, en particular, niños representados por sus escuelas, el Movimiento por y para los niños de Tanzanía (TMC), el Consejo de la Juventud de la República Un</w:t>
      </w:r>
      <w:r>
        <w:t>i</w:t>
      </w:r>
      <w:r>
        <w:t>da de Tanzanía e instituciones que se ocupan de niños que necesitan protección e</w:t>
      </w:r>
      <w:r>
        <w:t>s</w:t>
      </w:r>
      <w:r>
        <w:t>pecial.</w:t>
      </w:r>
    </w:p>
    <w:p w:rsidR="00000000" w:rsidRDefault="00000000">
      <w:pPr>
        <w:spacing w:after="240"/>
      </w:pPr>
      <w:r>
        <w:tab/>
        <w:t>El Ministerio del Desarrollo Comunitario, la Mujer y el Niño y el Ministerio de Empleo Juvenil, Asuntos de la Mujer y Desarrollo del Niño de Zanzíbar, que han coordinado el proceso de preparación, desean agradecer el apoyo de las ONG y los colaboradores para el desarrollo que, de una manera u otra, han contribuido a la elab</w:t>
      </w:r>
      <w:r>
        <w:t>o</w:t>
      </w:r>
      <w:r>
        <w:t>ración del presente informe. Agradecen especialmente la colaboración del Ministerio de Justicia y Asuntos Constitucionales, el Ministerio del Interior, concretamente los Departamentos Penitenciario y de Refugiados, la Oficina del Primer Ministro y la Oficina del Vicepresidente. También expresan su reconocimiento al Ministerio de Agricultura y Seguridad Alimentaria, el Ministerio de Trabajo, Desarrollo de la J</w:t>
      </w:r>
      <w:r>
        <w:t>u</w:t>
      </w:r>
      <w:r>
        <w:t>ventud y los Deportes, el Ministerio de Desarrollo de los Recursos Hídricos y la Ganadería, la Oficina del Administrador General y los Ministerios del Gobierno R</w:t>
      </w:r>
      <w:r>
        <w:t>e</w:t>
      </w:r>
      <w:r>
        <w:t>volucionario de Zanzíbar. El Ministerio reconoce asimismo la contribución de las siguientes organizaciones internacionales y ONG:  el Fondo de las Naciones Unidas para la Infancia (UNICEF), la Organización Internacional del Trabajo (OIT), la Red nacional de organizaciones dedicadas a la infancia, Kuleana, la Organización Kiota de salud y promoción de la mujer (KIWOHEDE), el Centro Cultural y de Inform</w:t>
      </w:r>
      <w:r>
        <w:t>a</w:t>
      </w:r>
      <w:r>
        <w:t>ción de la Juventud, la Asociación de organizaciones en pro de la infancia de Zanz</w:t>
      </w:r>
      <w:r>
        <w:t>í</w:t>
      </w:r>
      <w:r>
        <w:t>bar y Amani Atención y d</w:t>
      </w:r>
      <w:r>
        <w:t>e</w:t>
      </w:r>
      <w:r>
        <w:t>sarrollo de la primera infancia.</w:t>
      </w:r>
    </w:p>
    <w:p w:rsidR="00000000" w:rsidRDefault="00000000">
      <w:r>
        <w:tab/>
        <w:t>El Ministerio del Desarrollo Comunitario, la Mujer y el Niño y el Ministerio de Empleo Juvenil, Asuntos de la Mujer y Desarrollo del Niño de Zanzíbar desean expresar su sincero agradecimiento al UNICEF por la asistencia técnica y financiera fac</w:t>
      </w:r>
      <w:r>
        <w:t>i</w:t>
      </w:r>
      <w:r>
        <w:t>litada para la preparación del informe.</w:t>
      </w:r>
    </w:p>
    <w:p w:rsidR="00000000" w:rsidRDefault="00000000">
      <w:pPr>
        <w:pStyle w:val="H1"/>
        <w:keepNext w:val="0"/>
        <w:keepLines w:val="0"/>
        <w:suppressAutoHyphens w:val="0"/>
        <w:spacing w:after="240" w:line="240" w:lineRule="auto"/>
        <w:jc w:val="center"/>
        <w:outlineLvl w:val="9"/>
        <w:rPr>
          <w:bCs/>
          <w:spacing w:val="0"/>
          <w:w w:val="100"/>
          <w:kern w:val="0"/>
        </w:rPr>
      </w:pPr>
      <w:r>
        <w:rPr>
          <w:b w:val="0"/>
          <w:spacing w:val="0"/>
          <w:w w:val="100"/>
          <w:kern w:val="0"/>
        </w:rPr>
        <w:br w:type="page"/>
      </w:r>
      <w:r>
        <w:rPr>
          <w:bCs/>
          <w:spacing w:val="0"/>
          <w:w w:val="100"/>
          <w:kern w:val="0"/>
        </w:rPr>
        <w:t>Abreviaturas y acrónimos</w:t>
      </w:r>
    </w:p>
    <w:tbl>
      <w:tblPr>
        <w:tblW w:w="0" w:type="auto"/>
        <w:tblInd w:w="108" w:type="dxa"/>
        <w:tblLayout w:type="fixed"/>
        <w:tblLook w:val="0000" w:firstRow="0" w:lastRow="0" w:firstColumn="0" w:lastColumn="0" w:noHBand="0" w:noVBand="0"/>
      </w:tblPr>
      <w:tblGrid>
        <w:gridCol w:w="2040"/>
        <w:gridCol w:w="7320"/>
      </w:tblGrid>
      <w:tr w:rsidR="00000000">
        <w:tblPrEx>
          <w:tblCellMar>
            <w:top w:w="0" w:type="dxa"/>
            <w:bottom w:w="0" w:type="dxa"/>
          </w:tblCellMar>
        </w:tblPrEx>
        <w:tc>
          <w:tcPr>
            <w:tcW w:w="2040" w:type="dxa"/>
          </w:tcPr>
          <w:p w:rsidR="00000000" w:rsidRDefault="00000000">
            <w:pPr>
              <w:spacing w:after="240"/>
            </w:pPr>
            <w:r>
              <w:t>ACNUR</w:t>
            </w:r>
          </w:p>
        </w:tc>
        <w:tc>
          <w:tcPr>
            <w:tcW w:w="73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Oficina del Alto Comisionado de las Naciones Unidas para los Refugiados</w:t>
            </w:r>
          </w:p>
        </w:tc>
      </w:tr>
      <w:tr w:rsidR="00000000">
        <w:tblPrEx>
          <w:tblCellMar>
            <w:top w:w="0" w:type="dxa"/>
            <w:bottom w:w="0" w:type="dxa"/>
          </w:tblCellMar>
        </w:tblPrEx>
        <w:tc>
          <w:tcPr>
            <w:tcW w:w="2040" w:type="dxa"/>
          </w:tcPr>
          <w:p w:rsidR="00000000" w:rsidRDefault="00000000">
            <w:pPr>
              <w:spacing w:after="240"/>
            </w:pPr>
            <w:r>
              <w:t xml:space="preserve">Día </w:t>
            </w:r>
            <w:r>
              <w:rPr>
                <w:i/>
                <w:iCs/>
              </w:rPr>
              <w:t>Nane Nane</w:t>
            </w:r>
          </w:p>
        </w:tc>
        <w:tc>
          <w:tcPr>
            <w:tcW w:w="73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 xml:space="preserve">Día nacional del agricultor </w:t>
            </w:r>
          </w:p>
        </w:tc>
      </w:tr>
      <w:tr w:rsidR="00000000">
        <w:tblPrEx>
          <w:tblCellMar>
            <w:top w:w="0" w:type="dxa"/>
            <w:bottom w:w="0" w:type="dxa"/>
          </w:tblCellMar>
        </w:tblPrEx>
        <w:tc>
          <w:tcPr>
            <w:tcW w:w="2040" w:type="dxa"/>
          </w:tcPr>
          <w:p w:rsidR="00000000" w:rsidRDefault="00000000">
            <w:pPr>
              <w:spacing w:after="240"/>
            </w:pPr>
            <w:r>
              <w:rPr>
                <w:i/>
                <w:iCs/>
              </w:rPr>
              <w:t>Kiota</w:t>
            </w:r>
            <w:r>
              <w:t xml:space="preserve"> </w:t>
            </w:r>
          </w:p>
        </w:tc>
        <w:tc>
          <w:tcPr>
            <w:tcW w:w="73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Palabra swahili que significa nido</w:t>
            </w:r>
          </w:p>
        </w:tc>
      </w:tr>
      <w:tr w:rsidR="00000000">
        <w:tblPrEx>
          <w:tblCellMar>
            <w:top w:w="0" w:type="dxa"/>
            <w:bottom w:w="0" w:type="dxa"/>
          </w:tblCellMar>
        </w:tblPrEx>
        <w:tc>
          <w:tcPr>
            <w:tcW w:w="2040" w:type="dxa"/>
          </w:tcPr>
          <w:p w:rsidR="00000000" w:rsidRDefault="00000000">
            <w:pPr>
              <w:spacing w:after="240"/>
            </w:pPr>
            <w:r>
              <w:t xml:space="preserve">KIWOHEDE </w:t>
            </w:r>
          </w:p>
        </w:tc>
        <w:tc>
          <w:tcPr>
            <w:tcW w:w="73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 xml:space="preserve">Organización </w:t>
            </w:r>
            <w:r>
              <w:rPr>
                <w:i/>
                <w:iCs/>
                <w:spacing w:val="0"/>
                <w:w w:val="100"/>
                <w:kern w:val="0"/>
                <w:sz w:val="24"/>
              </w:rPr>
              <w:t>Kiota</w:t>
            </w:r>
            <w:r>
              <w:rPr>
                <w:spacing w:val="0"/>
                <w:w w:val="100"/>
                <w:kern w:val="0"/>
                <w:sz w:val="24"/>
              </w:rPr>
              <w:t xml:space="preserve"> de salud y promoción de la m</w:t>
            </w:r>
            <w:r>
              <w:rPr>
                <w:spacing w:val="0"/>
                <w:w w:val="100"/>
                <w:kern w:val="0"/>
                <w:sz w:val="24"/>
              </w:rPr>
              <w:t>u</w:t>
            </w:r>
            <w:r>
              <w:rPr>
                <w:spacing w:val="0"/>
                <w:w w:val="100"/>
                <w:kern w:val="0"/>
                <w:sz w:val="24"/>
              </w:rPr>
              <w:t>jer</w:t>
            </w:r>
          </w:p>
        </w:tc>
      </w:tr>
      <w:tr w:rsidR="00000000">
        <w:tblPrEx>
          <w:tblCellMar>
            <w:top w:w="0" w:type="dxa"/>
            <w:bottom w:w="0" w:type="dxa"/>
          </w:tblCellMar>
        </w:tblPrEx>
        <w:tc>
          <w:tcPr>
            <w:tcW w:w="2040" w:type="dxa"/>
          </w:tcPr>
          <w:p w:rsidR="00000000" w:rsidRDefault="00000000">
            <w:pPr>
              <w:spacing w:after="240"/>
            </w:pPr>
            <w:r>
              <w:t xml:space="preserve">Kuleana </w:t>
            </w:r>
          </w:p>
        </w:tc>
        <w:tc>
          <w:tcPr>
            <w:tcW w:w="73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ONG de Tanzanía dedicada a proteger los derechos de la infancia</w:t>
            </w:r>
          </w:p>
        </w:tc>
      </w:tr>
      <w:tr w:rsidR="00000000">
        <w:tblPrEx>
          <w:tblCellMar>
            <w:top w:w="0" w:type="dxa"/>
            <w:bottom w:w="0" w:type="dxa"/>
          </w:tblCellMar>
        </w:tblPrEx>
        <w:tc>
          <w:tcPr>
            <w:tcW w:w="2040" w:type="dxa"/>
          </w:tcPr>
          <w:p w:rsidR="00000000" w:rsidRDefault="00000000">
            <w:pPr>
              <w:spacing w:after="240"/>
            </w:pPr>
            <w:r>
              <w:rPr>
                <w:i/>
                <w:iCs/>
              </w:rPr>
              <w:t>Mtaa</w:t>
            </w:r>
            <w:r>
              <w:t xml:space="preserve"> </w:t>
            </w:r>
          </w:p>
        </w:tc>
        <w:tc>
          <w:tcPr>
            <w:tcW w:w="73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Nivel más bajo de gobierno local en zonas urbanas de Tanzanía continental</w:t>
            </w:r>
          </w:p>
        </w:tc>
      </w:tr>
      <w:tr w:rsidR="00000000">
        <w:tblPrEx>
          <w:tblCellMar>
            <w:top w:w="0" w:type="dxa"/>
            <w:bottom w:w="0" w:type="dxa"/>
          </w:tblCellMar>
        </w:tblPrEx>
        <w:tc>
          <w:tcPr>
            <w:tcW w:w="2040" w:type="dxa"/>
          </w:tcPr>
          <w:p w:rsidR="00000000" w:rsidRDefault="00000000">
            <w:pPr>
              <w:spacing w:after="240"/>
            </w:pPr>
            <w:r>
              <w:t xml:space="preserve">OIT </w:t>
            </w:r>
          </w:p>
        </w:tc>
        <w:tc>
          <w:tcPr>
            <w:tcW w:w="73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Organización Internacional del Trabajo</w:t>
            </w:r>
          </w:p>
        </w:tc>
      </w:tr>
      <w:tr w:rsidR="00000000">
        <w:tblPrEx>
          <w:tblCellMar>
            <w:top w:w="0" w:type="dxa"/>
            <w:bottom w:w="0" w:type="dxa"/>
          </w:tblCellMar>
        </w:tblPrEx>
        <w:tc>
          <w:tcPr>
            <w:tcW w:w="2040" w:type="dxa"/>
          </w:tcPr>
          <w:p w:rsidR="00000000" w:rsidRDefault="00000000">
            <w:pPr>
              <w:spacing w:after="240"/>
            </w:pPr>
            <w:r>
              <w:t xml:space="preserve">OMS </w:t>
            </w:r>
          </w:p>
        </w:tc>
        <w:tc>
          <w:tcPr>
            <w:tcW w:w="73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Organización Mundial de la Salud</w:t>
            </w:r>
          </w:p>
        </w:tc>
      </w:tr>
      <w:tr w:rsidR="00000000">
        <w:tblPrEx>
          <w:tblCellMar>
            <w:top w:w="0" w:type="dxa"/>
            <w:bottom w:w="0" w:type="dxa"/>
          </w:tblCellMar>
        </w:tblPrEx>
        <w:tc>
          <w:tcPr>
            <w:tcW w:w="2040" w:type="dxa"/>
          </w:tcPr>
          <w:p w:rsidR="00000000" w:rsidRDefault="00000000">
            <w:pPr>
              <w:spacing w:after="240"/>
            </w:pPr>
            <w:r>
              <w:t xml:space="preserve">ONG </w:t>
            </w:r>
          </w:p>
        </w:tc>
        <w:tc>
          <w:tcPr>
            <w:tcW w:w="73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Organizaciones no gubernamentales</w:t>
            </w:r>
          </w:p>
        </w:tc>
      </w:tr>
      <w:tr w:rsidR="00000000">
        <w:tblPrEx>
          <w:tblCellMar>
            <w:top w:w="0" w:type="dxa"/>
            <w:bottom w:w="0" w:type="dxa"/>
          </w:tblCellMar>
        </w:tblPrEx>
        <w:tc>
          <w:tcPr>
            <w:tcW w:w="2040" w:type="dxa"/>
          </w:tcPr>
          <w:p w:rsidR="00000000" w:rsidRDefault="00000000">
            <w:pPr>
              <w:spacing w:after="240"/>
            </w:pPr>
            <w:r>
              <w:t xml:space="preserve">PIB </w:t>
            </w:r>
          </w:p>
        </w:tc>
        <w:tc>
          <w:tcPr>
            <w:tcW w:w="73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Producto interno bruto</w:t>
            </w:r>
          </w:p>
        </w:tc>
      </w:tr>
      <w:tr w:rsidR="00000000">
        <w:tblPrEx>
          <w:tblCellMar>
            <w:top w:w="0" w:type="dxa"/>
            <w:bottom w:w="0" w:type="dxa"/>
          </w:tblCellMar>
        </w:tblPrEx>
        <w:tc>
          <w:tcPr>
            <w:tcW w:w="2040" w:type="dxa"/>
          </w:tcPr>
          <w:p w:rsidR="00000000" w:rsidRDefault="00000000">
            <w:pPr>
              <w:spacing w:after="240"/>
            </w:pPr>
            <w:r>
              <w:t xml:space="preserve">PNUD </w:t>
            </w:r>
          </w:p>
        </w:tc>
        <w:tc>
          <w:tcPr>
            <w:tcW w:w="73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Programa de las Naciones Unidas para el Desarrollo</w:t>
            </w:r>
          </w:p>
        </w:tc>
      </w:tr>
      <w:tr w:rsidR="00000000">
        <w:tblPrEx>
          <w:tblCellMar>
            <w:top w:w="0" w:type="dxa"/>
            <w:bottom w:w="0" w:type="dxa"/>
          </w:tblCellMar>
        </w:tblPrEx>
        <w:tc>
          <w:tcPr>
            <w:tcW w:w="2040" w:type="dxa"/>
          </w:tcPr>
          <w:p w:rsidR="00000000" w:rsidRDefault="00000000">
            <w:pPr>
              <w:spacing w:after="240"/>
            </w:pPr>
            <w:r>
              <w:rPr>
                <w:i/>
                <w:iCs/>
              </w:rPr>
              <w:t>Shehia</w:t>
            </w:r>
            <w:r>
              <w:t xml:space="preserve"> </w:t>
            </w:r>
          </w:p>
        </w:tc>
        <w:tc>
          <w:tcPr>
            <w:tcW w:w="73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 xml:space="preserve">Nivel más bajo de gobierno local en Zanzíbar </w:t>
            </w:r>
          </w:p>
        </w:tc>
      </w:tr>
      <w:tr w:rsidR="00000000">
        <w:tblPrEx>
          <w:tblCellMar>
            <w:top w:w="0" w:type="dxa"/>
            <w:bottom w:w="0" w:type="dxa"/>
          </w:tblCellMar>
        </w:tblPrEx>
        <w:tc>
          <w:tcPr>
            <w:tcW w:w="2040" w:type="dxa"/>
          </w:tcPr>
          <w:p w:rsidR="00000000" w:rsidRDefault="00000000">
            <w:pPr>
              <w:spacing w:after="240"/>
            </w:pPr>
            <w:r>
              <w:t xml:space="preserve">TMC </w:t>
            </w:r>
          </w:p>
        </w:tc>
        <w:tc>
          <w:tcPr>
            <w:tcW w:w="73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Movimiento por y para los Niños de Tanzanía</w:t>
            </w:r>
          </w:p>
        </w:tc>
      </w:tr>
      <w:tr w:rsidR="00000000">
        <w:tblPrEx>
          <w:tblCellMar>
            <w:top w:w="0" w:type="dxa"/>
            <w:bottom w:w="0" w:type="dxa"/>
          </w:tblCellMar>
        </w:tblPrEx>
        <w:tc>
          <w:tcPr>
            <w:tcW w:w="2040" w:type="dxa"/>
          </w:tcPr>
          <w:p w:rsidR="00000000" w:rsidRDefault="00000000">
            <w:pPr>
              <w:spacing w:after="240"/>
            </w:pPr>
            <w:r>
              <w:t xml:space="preserve">UNFPA </w:t>
            </w:r>
          </w:p>
        </w:tc>
        <w:tc>
          <w:tcPr>
            <w:tcW w:w="73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Fondo de Población de las Naciones Unidas</w:t>
            </w:r>
          </w:p>
        </w:tc>
      </w:tr>
      <w:tr w:rsidR="00000000">
        <w:tblPrEx>
          <w:tblCellMar>
            <w:top w:w="0" w:type="dxa"/>
            <w:bottom w:w="0" w:type="dxa"/>
          </w:tblCellMar>
        </w:tblPrEx>
        <w:tc>
          <w:tcPr>
            <w:tcW w:w="2040" w:type="dxa"/>
          </w:tcPr>
          <w:p w:rsidR="00000000" w:rsidRDefault="00000000">
            <w:pPr>
              <w:spacing w:after="240"/>
            </w:pPr>
            <w:r>
              <w:t xml:space="preserve">UNICEF </w:t>
            </w:r>
          </w:p>
        </w:tc>
        <w:tc>
          <w:tcPr>
            <w:tcW w:w="7320"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Fondo de las Naciones Unidas para la Infancia</w:t>
            </w:r>
          </w:p>
        </w:tc>
      </w:tr>
    </w:tbl>
    <w:p w:rsidR="00000000" w:rsidRDefault="00000000">
      <w:pPr>
        <w:pStyle w:val="HCh"/>
        <w:keepNext w:val="0"/>
        <w:keepLines w:val="0"/>
        <w:suppressAutoHyphens w:val="0"/>
        <w:spacing w:after="240" w:line="240" w:lineRule="auto"/>
        <w:jc w:val="center"/>
        <w:outlineLvl w:val="9"/>
        <w:rPr>
          <w:bCs/>
          <w:spacing w:val="0"/>
          <w:w w:val="100"/>
          <w:kern w:val="0"/>
          <w:sz w:val="24"/>
        </w:rPr>
      </w:pPr>
      <w:r>
        <w:rPr>
          <w:b w:val="0"/>
          <w:spacing w:val="0"/>
          <w:w w:val="100"/>
          <w:kern w:val="0"/>
          <w:sz w:val="24"/>
        </w:rPr>
        <w:br w:type="page"/>
      </w:r>
      <w:r>
        <w:rPr>
          <w:bCs/>
          <w:spacing w:val="0"/>
          <w:w w:val="100"/>
          <w:kern w:val="0"/>
          <w:sz w:val="24"/>
        </w:rPr>
        <w:t>INTRODUCCIÓN</w:t>
      </w:r>
    </w:p>
    <w:p w:rsidR="00000000" w:rsidRDefault="00000000">
      <w:pPr>
        <w:pStyle w:val="H1"/>
        <w:keepNext w:val="0"/>
        <w:keepLines w:val="0"/>
        <w:suppressAutoHyphens w:val="0"/>
        <w:spacing w:after="240" w:line="240" w:lineRule="auto"/>
        <w:outlineLvl w:val="9"/>
        <w:rPr>
          <w:bCs/>
          <w:spacing w:val="0"/>
          <w:w w:val="100"/>
          <w:kern w:val="0"/>
        </w:rPr>
      </w:pPr>
      <w:r>
        <w:rPr>
          <w:bCs/>
          <w:spacing w:val="0"/>
          <w:w w:val="100"/>
          <w:kern w:val="0"/>
        </w:rPr>
        <w:t>Aspectos generales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w:t>
      </w:r>
      <w:r>
        <w:rPr>
          <w:spacing w:val="0"/>
          <w:w w:val="100"/>
          <w:kern w:val="0"/>
          <w:sz w:val="24"/>
        </w:rPr>
        <w:tab/>
        <w:t>La República Unida de Tanzanía presentó su informe inicial revisado sobre la aplicación de la Convención sobre los Derechos del Niño en 1998, que fue aprobado por el Comité de los Derechos del Niño de las Naciones Unidas en octubre de 1999.  El informe fue examinado por el Comité en presencia de delegados del Gobierno de la República Unida de Tanzanía en junio de 2001.  El Comité aprobó el informe y formuló sus observaciones finales.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w:t>
      </w:r>
      <w:r>
        <w:rPr>
          <w:spacing w:val="0"/>
          <w:w w:val="100"/>
          <w:kern w:val="0"/>
          <w:sz w:val="24"/>
        </w:rPr>
        <w:tab/>
        <w:t>Este segundo informe periódico del Gobierno de la República Unida de Tanzanía sobre la Convención (1998-2003) se ha elaborado de conformidad con las orientaci</w:t>
      </w:r>
      <w:r>
        <w:rPr>
          <w:spacing w:val="0"/>
          <w:w w:val="100"/>
          <w:kern w:val="0"/>
          <w:sz w:val="24"/>
        </w:rPr>
        <w:t>o</w:t>
      </w:r>
      <w:r>
        <w:rPr>
          <w:spacing w:val="0"/>
          <w:w w:val="100"/>
          <w:kern w:val="0"/>
          <w:sz w:val="24"/>
        </w:rPr>
        <w:t>nes generales para los informes periódicos sobre la aplicación de la Convención.  Se centra en los cambios que han tenido lugar desde el informe anterior de 1998 y se basa en las observaciones del Comité de los Derechos del Niño.  Como se observa en el i</w:t>
      </w:r>
      <w:r>
        <w:rPr>
          <w:spacing w:val="0"/>
          <w:w w:val="100"/>
          <w:kern w:val="0"/>
          <w:sz w:val="24"/>
        </w:rPr>
        <w:t>n</w:t>
      </w:r>
      <w:r>
        <w:rPr>
          <w:spacing w:val="0"/>
          <w:w w:val="100"/>
          <w:kern w:val="0"/>
          <w:sz w:val="24"/>
        </w:rPr>
        <w:t>forme, las recomendaciones del Comité se han aplicado o están en fase de apl</w:t>
      </w:r>
      <w:r>
        <w:rPr>
          <w:spacing w:val="0"/>
          <w:w w:val="100"/>
          <w:kern w:val="0"/>
          <w:sz w:val="24"/>
        </w:rPr>
        <w:t>i</w:t>
      </w:r>
      <w:r>
        <w:rPr>
          <w:spacing w:val="0"/>
          <w:w w:val="100"/>
          <w:kern w:val="0"/>
          <w:sz w:val="24"/>
        </w:rPr>
        <w:t>cación.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3.</w:t>
      </w:r>
      <w:r>
        <w:rPr>
          <w:spacing w:val="0"/>
          <w:w w:val="100"/>
          <w:kern w:val="0"/>
          <w:sz w:val="24"/>
        </w:rPr>
        <w:tab/>
        <w:t>El informe incluye también una evaluación de la aplicación del documento final del período extraordinario de sesiones de la Asamblea General sobre la infancia, titulado "Un mundo apropiado para los niños", que se publicó en 2002.</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4.</w:t>
      </w:r>
      <w:r>
        <w:rPr>
          <w:spacing w:val="0"/>
          <w:w w:val="100"/>
          <w:kern w:val="0"/>
          <w:sz w:val="24"/>
        </w:rPr>
        <w:tab/>
        <w:t xml:space="preserve">El informe presta especial atención al problema del VIH/SIDA, analizando fundamentalmente sus repercusiones para los niños y los jóvenes, en particular los niños que necesitan protección especial.  </w:t>
      </w:r>
    </w:p>
    <w:p w:rsidR="00000000" w:rsidRDefault="00000000">
      <w:pPr>
        <w:pStyle w:val="H1"/>
        <w:keepNext w:val="0"/>
        <w:keepLines w:val="0"/>
        <w:suppressAutoHyphens w:val="0"/>
        <w:spacing w:after="240" w:line="240" w:lineRule="auto"/>
        <w:outlineLvl w:val="9"/>
        <w:rPr>
          <w:bCs/>
          <w:spacing w:val="0"/>
          <w:w w:val="100"/>
          <w:kern w:val="0"/>
        </w:rPr>
      </w:pPr>
      <w:r>
        <w:rPr>
          <w:bCs/>
          <w:spacing w:val="0"/>
          <w:w w:val="100"/>
          <w:kern w:val="0"/>
        </w:rPr>
        <w:t>Situación socioeconómica en Tanzanía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5.</w:t>
      </w:r>
      <w:r>
        <w:rPr>
          <w:spacing w:val="0"/>
          <w:w w:val="100"/>
          <w:kern w:val="0"/>
          <w:sz w:val="24"/>
        </w:rPr>
        <w:tab/>
        <w:t>Tanzanía se encuentra entre los países menos adelantados, según la clasific</w:t>
      </w:r>
      <w:r>
        <w:rPr>
          <w:spacing w:val="0"/>
          <w:w w:val="100"/>
          <w:kern w:val="0"/>
          <w:sz w:val="24"/>
        </w:rPr>
        <w:t>a</w:t>
      </w:r>
      <w:r>
        <w:rPr>
          <w:spacing w:val="0"/>
          <w:w w:val="100"/>
          <w:kern w:val="0"/>
          <w:sz w:val="24"/>
        </w:rPr>
        <w:t>ción de las Naciones Unidas.  Sin embargo, en los últimos años ha logrado un elev</w:t>
      </w:r>
      <w:r>
        <w:rPr>
          <w:spacing w:val="0"/>
          <w:w w:val="100"/>
          <w:kern w:val="0"/>
          <w:sz w:val="24"/>
        </w:rPr>
        <w:t>a</w:t>
      </w:r>
      <w:r>
        <w:rPr>
          <w:spacing w:val="0"/>
          <w:w w:val="100"/>
          <w:kern w:val="0"/>
          <w:sz w:val="24"/>
        </w:rPr>
        <w:t>do crecimiento económico y su producto interno bruto (PIB), con una tasa media de incremento anual del 4,5%, ha registrado un aumento constante, del 3,3% en 1997 al 5,6% en 2001.  La economía es predominantemente agrícola, dedicada principalme</w:t>
      </w:r>
      <w:r>
        <w:rPr>
          <w:spacing w:val="0"/>
          <w:w w:val="100"/>
          <w:kern w:val="0"/>
          <w:sz w:val="24"/>
        </w:rPr>
        <w:t>n</w:t>
      </w:r>
      <w:r>
        <w:rPr>
          <w:spacing w:val="0"/>
          <w:w w:val="100"/>
          <w:kern w:val="0"/>
          <w:sz w:val="24"/>
        </w:rPr>
        <w:t>te a los cultivos alimentarios, complementados con la cría de ganado, la silv</w:t>
      </w:r>
      <w:r>
        <w:rPr>
          <w:spacing w:val="0"/>
          <w:w w:val="100"/>
          <w:kern w:val="0"/>
          <w:sz w:val="24"/>
        </w:rPr>
        <w:t>i</w:t>
      </w:r>
      <w:r>
        <w:rPr>
          <w:spacing w:val="0"/>
          <w:w w:val="100"/>
          <w:kern w:val="0"/>
          <w:sz w:val="24"/>
        </w:rPr>
        <w:t>cultura, la caza y la pesca.  La agricultura también domina las actividades generadoras de i</w:t>
      </w:r>
      <w:r>
        <w:rPr>
          <w:spacing w:val="0"/>
          <w:w w:val="100"/>
          <w:kern w:val="0"/>
          <w:sz w:val="24"/>
        </w:rPr>
        <w:t>n</w:t>
      </w:r>
      <w:r>
        <w:rPr>
          <w:spacing w:val="0"/>
          <w:w w:val="100"/>
          <w:kern w:val="0"/>
          <w:sz w:val="24"/>
        </w:rPr>
        <w:t>gresos, puesto que es el medio de vida de aproximadamente el 80% de la población y tiene un alto grado de integración vertical con el resto de la economía.  Sin emba</w:t>
      </w:r>
      <w:r>
        <w:rPr>
          <w:spacing w:val="0"/>
          <w:w w:val="100"/>
          <w:kern w:val="0"/>
          <w:sz w:val="24"/>
        </w:rPr>
        <w:t>r</w:t>
      </w:r>
      <w:r>
        <w:rPr>
          <w:spacing w:val="0"/>
          <w:w w:val="100"/>
          <w:kern w:val="0"/>
          <w:sz w:val="24"/>
        </w:rPr>
        <w:t>go, los resultados del sector agrícola no han sido alentadores, lo que se explica por las condiciones meteorológicas adversas y la caída de los precios de los productos básicos en el mercado mundial.</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6.</w:t>
      </w:r>
      <w:r>
        <w:rPr>
          <w:spacing w:val="0"/>
          <w:w w:val="100"/>
          <w:kern w:val="0"/>
          <w:sz w:val="24"/>
        </w:rPr>
        <w:tab/>
        <w:t>Tanzanía tiene cuatro estaciones.  La larga estación de lluvias intensas, entre 900 mm y 1.000 mm, de marzo a junio, seguida por la temporada fresca de otoño, de lluvias breves y viento, de junio a agosto.  Entre septiembre y diciembre se dan ll</w:t>
      </w:r>
      <w:r>
        <w:rPr>
          <w:spacing w:val="0"/>
          <w:w w:val="100"/>
          <w:kern w:val="0"/>
          <w:sz w:val="24"/>
        </w:rPr>
        <w:t>u</w:t>
      </w:r>
      <w:r>
        <w:rPr>
          <w:spacing w:val="0"/>
          <w:w w:val="100"/>
          <w:kern w:val="0"/>
          <w:sz w:val="24"/>
        </w:rPr>
        <w:t>vias breves entre 400 mm y 500 mm, a las que sigue una estación seca de enero a marzo.  La temperatura oscila entre 20ºC y 40ºC.</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7.</w:t>
      </w:r>
      <w:r>
        <w:rPr>
          <w:spacing w:val="0"/>
          <w:w w:val="100"/>
          <w:kern w:val="0"/>
          <w:sz w:val="24"/>
        </w:rPr>
        <w:tab/>
        <w:t>Desde 1997, Tanzanía ha iniciado diversas reformas macroeconómicas, dest</w:t>
      </w:r>
      <w:r>
        <w:rPr>
          <w:spacing w:val="0"/>
          <w:w w:val="100"/>
          <w:kern w:val="0"/>
          <w:sz w:val="24"/>
        </w:rPr>
        <w:t>i</w:t>
      </w:r>
      <w:r>
        <w:rPr>
          <w:spacing w:val="0"/>
          <w:w w:val="100"/>
          <w:kern w:val="0"/>
          <w:sz w:val="24"/>
        </w:rPr>
        <w:t>nadas principalmente a mejorar la situación macroeconómica, aumentar la eficiencia de los mercados financieros y de bienes, apoyar el desarrollo del sector rural, mejorar el rendimiento de los servicios públicos, crear un entorno propicio para la inversión y lograr un elevado ingreso interno.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8.</w:t>
      </w:r>
      <w:r>
        <w:rPr>
          <w:spacing w:val="0"/>
          <w:w w:val="100"/>
          <w:kern w:val="0"/>
          <w:sz w:val="24"/>
        </w:rPr>
        <w:tab/>
        <w:t>A pesar del nivel registrado de crecimiento económico, no se ha logrado una reducción correspondiente de la pobreza.  La renta media per cápita creció en apr</w:t>
      </w:r>
      <w:r>
        <w:rPr>
          <w:spacing w:val="0"/>
          <w:w w:val="100"/>
          <w:kern w:val="0"/>
          <w:sz w:val="24"/>
        </w:rPr>
        <w:t>o</w:t>
      </w:r>
      <w:r>
        <w:rPr>
          <w:spacing w:val="0"/>
          <w:w w:val="100"/>
          <w:kern w:val="0"/>
          <w:sz w:val="24"/>
        </w:rPr>
        <w:t>ximadamente un 10%, de 240,2 dólares en 1997 a 264,1 dólares en 2001, en comp</w:t>
      </w:r>
      <w:r>
        <w:rPr>
          <w:spacing w:val="0"/>
          <w:w w:val="100"/>
          <w:kern w:val="0"/>
          <w:sz w:val="24"/>
        </w:rPr>
        <w:t>a</w:t>
      </w:r>
      <w:r>
        <w:rPr>
          <w:spacing w:val="0"/>
          <w:w w:val="100"/>
          <w:kern w:val="0"/>
          <w:sz w:val="24"/>
        </w:rPr>
        <w:t>ración con el objetivo de 570 dólares para 2001.  El objetivo final del programa V</w:t>
      </w:r>
      <w:r>
        <w:rPr>
          <w:spacing w:val="0"/>
          <w:w w:val="100"/>
          <w:kern w:val="0"/>
          <w:sz w:val="24"/>
        </w:rPr>
        <w:t>i</w:t>
      </w:r>
      <w:r>
        <w:rPr>
          <w:spacing w:val="0"/>
          <w:w w:val="100"/>
          <w:kern w:val="0"/>
          <w:sz w:val="24"/>
        </w:rPr>
        <w:t>sión para 2025 es alcanzar un ingreso per cápita de 3.420 dólares en 2025.</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9.</w:t>
      </w:r>
      <w:r>
        <w:rPr>
          <w:spacing w:val="0"/>
          <w:w w:val="100"/>
          <w:kern w:val="0"/>
          <w:sz w:val="24"/>
        </w:rPr>
        <w:tab/>
        <w:t>Debido a la enorme carga del servicio de la deuda externa, Tanzanía ha podido acogerse a la iniciativa en favor de los países pobres muy endeudados y las medidas de alivio de la deuda han permitido al Gobierno asignar fondos a sectores que fav</w:t>
      </w:r>
      <w:r>
        <w:rPr>
          <w:spacing w:val="0"/>
          <w:w w:val="100"/>
          <w:kern w:val="0"/>
          <w:sz w:val="24"/>
        </w:rPr>
        <w:t>o</w:t>
      </w:r>
      <w:r>
        <w:rPr>
          <w:spacing w:val="0"/>
          <w:w w:val="100"/>
          <w:kern w:val="0"/>
          <w:sz w:val="24"/>
        </w:rPr>
        <w:t>recen a los pobres, como la educación, la salud, la agricultura, los caminos rurales y los recursos hídricos.  El Fondo multilateral para el alivio de la deuda ha sido un m</w:t>
      </w:r>
      <w:r>
        <w:rPr>
          <w:spacing w:val="0"/>
          <w:w w:val="100"/>
          <w:kern w:val="0"/>
          <w:sz w:val="24"/>
        </w:rPr>
        <w:t>e</w:t>
      </w:r>
      <w:r>
        <w:rPr>
          <w:spacing w:val="0"/>
          <w:w w:val="100"/>
          <w:kern w:val="0"/>
          <w:sz w:val="24"/>
        </w:rPr>
        <w:t>canismo importante para proteger el gasto en servicios sociales.  Además, los org</w:t>
      </w:r>
      <w:r>
        <w:rPr>
          <w:spacing w:val="0"/>
          <w:w w:val="100"/>
          <w:kern w:val="0"/>
          <w:sz w:val="24"/>
        </w:rPr>
        <w:t>a</w:t>
      </w:r>
      <w:r>
        <w:rPr>
          <w:spacing w:val="0"/>
          <w:w w:val="100"/>
          <w:kern w:val="0"/>
          <w:sz w:val="24"/>
        </w:rPr>
        <w:t>nismos bilaterales de asistencia siguen contribuyendo a la ampliación de ese fondo.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w w:val="100"/>
          <w:kern w:val="0"/>
          <w:sz w:val="24"/>
        </w:rPr>
      </w:pPr>
      <w:r>
        <w:rPr>
          <w:w w:val="100"/>
          <w:kern w:val="0"/>
          <w:sz w:val="24"/>
        </w:rPr>
        <w:t>10.</w:t>
      </w:r>
      <w:r>
        <w:rPr>
          <w:w w:val="100"/>
          <w:kern w:val="0"/>
          <w:sz w:val="24"/>
        </w:rPr>
        <w:tab/>
        <w:t>Durante los últimos cinco años, los resultados macroeconómicos de Tanzanía han seguido mejorando, en general, como se observa en el cuadro 1.</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center"/>
        <w:rPr>
          <w:b/>
          <w:w w:val="100"/>
          <w:kern w:val="0"/>
          <w:sz w:val="24"/>
        </w:rPr>
      </w:pPr>
      <w:r>
        <w:rPr>
          <w:b/>
          <w:w w:val="100"/>
          <w:kern w:val="0"/>
          <w:sz w:val="24"/>
        </w:rPr>
        <w:t>Cuadro 1</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center"/>
        <w:rPr>
          <w:b/>
          <w:w w:val="100"/>
          <w:kern w:val="0"/>
          <w:sz w:val="24"/>
        </w:rPr>
      </w:pPr>
      <w:r>
        <w:rPr>
          <w:b/>
          <w:w w:val="100"/>
          <w:kern w:val="0"/>
          <w:sz w:val="24"/>
        </w:rPr>
        <w:t>Tendencias de algunos indicadores macroeconómicos</w:t>
      </w:r>
    </w:p>
    <w:tbl>
      <w:tblPr>
        <w:tblW w:w="494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922"/>
        <w:gridCol w:w="721"/>
        <w:gridCol w:w="709"/>
        <w:gridCol w:w="674"/>
        <w:gridCol w:w="769"/>
        <w:gridCol w:w="756"/>
        <w:gridCol w:w="809"/>
      </w:tblGrid>
      <w:tr w:rsidR="00000000">
        <w:tblPrEx>
          <w:tblCellMar>
            <w:top w:w="0" w:type="dxa"/>
            <w:left w:w="0" w:type="dxa"/>
            <w:bottom w:w="0" w:type="dxa"/>
            <w:right w:w="0" w:type="dxa"/>
          </w:tblCellMar>
        </w:tblPrEx>
        <w:trPr>
          <w:tblHeader/>
        </w:trPr>
        <w:tc>
          <w:tcPr>
            <w:tcW w:w="2629" w:type="pct"/>
            <w:tcMar>
              <w:left w:w="108" w:type="dxa"/>
              <w:right w:w="108" w:type="dxa"/>
            </w:tcMar>
            <w:vAlign w:val="bottom"/>
          </w:tcPr>
          <w:p w:rsidR="00000000" w:rsidRDefault="00000000">
            <w:pPr>
              <w:jc w:val="center"/>
            </w:pPr>
            <w:r>
              <w:t>Año</w:t>
            </w:r>
          </w:p>
        </w:tc>
        <w:tc>
          <w:tcPr>
            <w:tcW w:w="385" w:type="pct"/>
            <w:vAlign w:val="bottom"/>
          </w:tcPr>
          <w:p w:rsidR="00000000" w:rsidRDefault="00000000">
            <w:pPr>
              <w:jc w:val="center"/>
            </w:pPr>
            <w:r>
              <w:t>1997</w:t>
            </w:r>
          </w:p>
        </w:tc>
        <w:tc>
          <w:tcPr>
            <w:tcW w:w="379" w:type="pct"/>
            <w:vAlign w:val="bottom"/>
          </w:tcPr>
          <w:p w:rsidR="00000000" w:rsidRDefault="00000000">
            <w:pPr>
              <w:jc w:val="center"/>
            </w:pPr>
            <w:r>
              <w:t>1998</w:t>
            </w:r>
          </w:p>
        </w:tc>
        <w:tc>
          <w:tcPr>
            <w:tcW w:w="360" w:type="pct"/>
            <w:vAlign w:val="bottom"/>
          </w:tcPr>
          <w:p w:rsidR="00000000" w:rsidRDefault="00000000">
            <w:pPr>
              <w:jc w:val="center"/>
            </w:pPr>
            <w:r>
              <w:t>1999</w:t>
            </w:r>
          </w:p>
        </w:tc>
        <w:tc>
          <w:tcPr>
            <w:tcW w:w="411" w:type="pct"/>
            <w:vAlign w:val="bottom"/>
          </w:tcPr>
          <w:p w:rsidR="00000000" w:rsidRDefault="00000000">
            <w:pPr>
              <w:jc w:val="center"/>
            </w:pPr>
            <w:r>
              <w:t>2000</w:t>
            </w:r>
          </w:p>
        </w:tc>
        <w:tc>
          <w:tcPr>
            <w:tcW w:w="404" w:type="pct"/>
            <w:vAlign w:val="bottom"/>
          </w:tcPr>
          <w:p w:rsidR="00000000" w:rsidRDefault="00000000">
            <w:pPr>
              <w:jc w:val="center"/>
            </w:pPr>
            <w:r>
              <w:t>2001</w:t>
            </w:r>
          </w:p>
        </w:tc>
        <w:tc>
          <w:tcPr>
            <w:tcW w:w="432" w:type="pct"/>
            <w:vAlign w:val="bottom"/>
          </w:tcPr>
          <w:p w:rsidR="00000000" w:rsidRDefault="00000000">
            <w:pPr>
              <w:jc w:val="center"/>
            </w:pPr>
            <w:r>
              <w:t>2002</w:t>
            </w:r>
          </w:p>
        </w:tc>
      </w:tr>
      <w:tr w:rsidR="00000000">
        <w:tblPrEx>
          <w:tblCellMar>
            <w:top w:w="0" w:type="dxa"/>
            <w:left w:w="0" w:type="dxa"/>
            <w:bottom w:w="0" w:type="dxa"/>
            <w:right w:w="0" w:type="dxa"/>
          </w:tblCellMar>
        </w:tblPrEx>
        <w:tc>
          <w:tcPr>
            <w:tcW w:w="2629" w:type="pct"/>
            <w:tcMar>
              <w:left w:w="108" w:type="dxa"/>
              <w:right w:w="108" w:type="dxa"/>
            </w:tcMar>
            <w:vAlign w:val="bottom"/>
          </w:tcPr>
          <w:p w:rsidR="00000000" w:rsidRDefault="00000000">
            <w:r>
              <w:t>Indicadores</w:t>
            </w:r>
          </w:p>
        </w:tc>
        <w:tc>
          <w:tcPr>
            <w:tcW w:w="385" w:type="pct"/>
            <w:vAlign w:val="bottom"/>
          </w:tcPr>
          <w:p w:rsidR="00000000" w:rsidRDefault="00000000">
            <w:pPr>
              <w:tabs>
                <w:tab w:val="decimal" w:pos="430"/>
              </w:tabs>
            </w:pPr>
          </w:p>
        </w:tc>
        <w:tc>
          <w:tcPr>
            <w:tcW w:w="379" w:type="pct"/>
            <w:vAlign w:val="bottom"/>
          </w:tcPr>
          <w:p w:rsidR="00000000" w:rsidRDefault="00000000">
            <w:pPr>
              <w:tabs>
                <w:tab w:val="decimal" w:pos="430"/>
              </w:tabs>
            </w:pPr>
          </w:p>
        </w:tc>
        <w:tc>
          <w:tcPr>
            <w:tcW w:w="360" w:type="pct"/>
            <w:vAlign w:val="bottom"/>
          </w:tcPr>
          <w:p w:rsidR="00000000" w:rsidRDefault="00000000">
            <w:pPr>
              <w:tabs>
                <w:tab w:val="decimal" w:pos="430"/>
              </w:tabs>
            </w:pPr>
          </w:p>
        </w:tc>
        <w:tc>
          <w:tcPr>
            <w:tcW w:w="411" w:type="pct"/>
            <w:vAlign w:val="bottom"/>
          </w:tcPr>
          <w:p w:rsidR="00000000" w:rsidRDefault="00000000">
            <w:pPr>
              <w:tabs>
                <w:tab w:val="decimal" w:pos="430"/>
              </w:tabs>
            </w:pPr>
          </w:p>
        </w:tc>
        <w:tc>
          <w:tcPr>
            <w:tcW w:w="404" w:type="pct"/>
            <w:vAlign w:val="bottom"/>
          </w:tcPr>
          <w:p w:rsidR="00000000" w:rsidRDefault="00000000">
            <w:pPr>
              <w:tabs>
                <w:tab w:val="decimal" w:pos="430"/>
              </w:tabs>
            </w:pPr>
          </w:p>
        </w:tc>
        <w:tc>
          <w:tcPr>
            <w:tcW w:w="432" w:type="pct"/>
            <w:vAlign w:val="bottom"/>
          </w:tcPr>
          <w:p w:rsidR="00000000" w:rsidRDefault="00000000">
            <w:pPr>
              <w:tabs>
                <w:tab w:val="decimal" w:pos="430"/>
              </w:tabs>
            </w:pPr>
          </w:p>
        </w:tc>
      </w:tr>
      <w:tr w:rsidR="00000000">
        <w:tblPrEx>
          <w:tblCellMar>
            <w:top w:w="0" w:type="dxa"/>
            <w:left w:w="0" w:type="dxa"/>
            <w:bottom w:w="0" w:type="dxa"/>
            <w:right w:w="0" w:type="dxa"/>
          </w:tblCellMar>
        </w:tblPrEx>
        <w:tc>
          <w:tcPr>
            <w:tcW w:w="2629" w:type="pct"/>
            <w:tcMar>
              <w:left w:w="108" w:type="dxa"/>
              <w:right w:w="108" w:type="dxa"/>
            </w:tcMar>
            <w:vAlign w:val="bottom"/>
          </w:tcPr>
          <w:p w:rsidR="00000000" w:rsidRDefault="00000000">
            <w:r>
              <w:t>Crecimiento real del PIB (porcentaje)</w:t>
            </w:r>
          </w:p>
        </w:tc>
        <w:tc>
          <w:tcPr>
            <w:tcW w:w="385" w:type="pct"/>
            <w:vAlign w:val="bottom"/>
          </w:tcPr>
          <w:p w:rsidR="00000000" w:rsidRDefault="00000000">
            <w:pPr>
              <w:pStyle w:val="CommentReference"/>
              <w:tabs>
                <w:tab w:val="decimal" w:pos="430"/>
              </w:tabs>
            </w:pPr>
            <w:r>
              <w:t>3,3</w:t>
            </w:r>
          </w:p>
        </w:tc>
        <w:tc>
          <w:tcPr>
            <w:tcW w:w="379" w:type="pct"/>
            <w:vAlign w:val="bottom"/>
          </w:tcPr>
          <w:p w:rsidR="00000000" w:rsidRDefault="00000000">
            <w:pPr>
              <w:pStyle w:val="CommentReference"/>
              <w:tabs>
                <w:tab w:val="decimal" w:pos="430"/>
              </w:tabs>
            </w:pPr>
            <w:r>
              <w:t>4,0</w:t>
            </w:r>
          </w:p>
        </w:tc>
        <w:tc>
          <w:tcPr>
            <w:tcW w:w="360" w:type="pct"/>
            <w:vAlign w:val="bottom"/>
          </w:tcPr>
          <w:p w:rsidR="00000000" w:rsidRDefault="00000000">
            <w:pPr>
              <w:pStyle w:val="CommentReference"/>
              <w:tabs>
                <w:tab w:val="decimal" w:pos="430"/>
              </w:tabs>
            </w:pPr>
            <w:r>
              <w:t>4,7</w:t>
            </w:r>
          </w:p>
        </w:tc>
        <w:tc>
          <w:tcPr>
            <w:tcW w:w="411" w:type="pct"/>
            <w:vAlign w:val="bottom"/>
          </w:tcPr>
          <w:p w:rsidR="00000000" w:rsidRDefault="00000000">
            <w:pPr>
              <w:pStyle w:val="CommentReference"/>
              <w:tabs>
                <w:tab w:val="decimal" w:pos="430"/>
              </w:tabs>
            </w:pPr>
            <w:r>
              <w:t>4,9</w:t>
            </w:r>
          </w:p>
        </w:tc>
        <w:tc>
          <w:tcPr>
            <w:tcW w:w="404" w:type="pct"/>
            <w:vAlign w:val="bottom"/>
          </w:tcPr>
          <w:p w:rsidR="00000000" w:rsidRDefault="00000000">
            <w:pPr>
              <w:pStyle w:val="CommentReference"/>
              <w:tabs>
                <w:tab w:val="decimal" w:pos="430"/>
              </w:tabs>
            </w:pPr>
            <w:r>
              <w:t>5,6</w:t>
            </w:r>
          </w:p>
        </w:tc>
        <w:tc>
          <w:tcPr>
            <w:tcW w:w="432" w:type="pct"/>
            <w:vAlign w:val="bottom"/>
          </w:tcPr>
          <w:p w:rsidR="00000000" w:rsidRDefault="00000000">
            <w:pPr>
              <w:pStyle w:val="CommentReference"/>
              <w:tabs>
                <w:tab w:val="decimal" w:pos="430"/>
              </w:tabs>
            </w:pPr>
            <w:r>
              <w:t>6,2</w:t>
            </w:r>
          </w:p>
        </w:tc>
      </w:tr>
      <w:tr w:rsidR="00000000">
        <w:tblPrEx>
          <w:tblCellMar>
            <w:top w:w="0" w:type="dxa"/>
            <w:left w:w="0" w:type="dxa"/>
            <w:bottom w:w="0" w:type="dxa"/>
            <w:right w:w="0" w:type="dxa"/>
          </w:tblCellMar>
        </w:tblPrEx>
        <w:tc>
          <w:tcPr>
            <w:tcW w:w="2629" w:type="pct"/>
            <w:tcMar>
              <w:left w:w="108" w:type="dxa"/>
              <w:right w:w="108" w:type="dxa"/>
            </w:tcMar>
            <w:vAlign w:val="bottom"/>
          </w:tcPr>
          <w:p w:rsidR="00000000" w:rsidRDefault="00000000">
            <w:r>
              <w:t>Inflación media anual (porcentaje)</w:t>
            </w:r>
          </w:p>
        </w:tc>
        <w:tc>
          <w:tcPr>
            <w:tcW w:w="385" w:type="pct"/>
            <w:vAlign w:val="bottom"/>
          </w:tcPr>
          <w:p w:rsidR="00000000" w:rsidRDefault="00000000">
            <w:pPr>
              <w:pStyle w:val="CommentReference"/>
              <w:tabs>
                <w:tab w:val="decimal" w:pos="430"/>
              </w:tabs>
            </w:pPr>
            <w:r>
              <w:t>16,1</w:t>
            </w:r>
          </w:p>
        </w:tc>
        <w:tc>
          <w:tcPr>
            <w:tcW w:w="379" w:type="pct"/>
            <w:vAlign w:val="bottom"/>
          </w:tcPr>
          <w:p w:rsidR="00000000" w:rsidRDefault="00000000">
            <w:pPr>
              <w:pStyle w:val="CommentReference"/>
              <w:tabs>
                <w:tab w:val="decimal" w:pos="430"/>
              </w:tabs>
            </w:pPr>
            <w:r>
              <w:t>12,9</w:t>
            </w:r>
          </w:p>
        </w:tc>
        <w:tc>
          <w:tcPr>
            <w:tcW w:w="360" w:type="pct"/>
            <w:vAlign w:val="bottom"/>
          </w:tcPr>
          <w:p w:rsidR="00000000" w:rsidRDefault="00000000">
            <w:pPr>
              <w:pStyle w:val="CommentReference"/>
              <w:tabs>
                <w:tab w:val="decimal" w:pos="430"/>
              </w:tabs>
            </w:pPr>
            <w:r>
              <w:t>7,8</w:t>
            </w:r>
          </w:p>
        </w:tc>
        <w:tc>
          <w:tcPr>
            <w:tcW w:w="411" w:type="pct"/>
            <w:vAlign w:val="bottom"/>
          </w:tcPr>
          <w:p w:rsidR="00000000" w:rsidRDefault="00000000">
            <w:pPr>
              <w:pStyle w:val="CommentReference"/>
              <w:tabs>
                <w:tab w:val="decimal" w:pos="430"/>
              </w:tabs>
            </w:pPr>
            <w:r>
              <w:t>6,0</w:t>
            </w:r>
          </w:p>
        </w:tc>
        <w:tc>
          <w:tcPr>
            <w:tcW w:w="404" w:type="pct"/>
            <w:vAlign w:val="bottom"/>
          </w:tcPr>
          <w:p w:rsidR="00000000" w:rsidRDefault="00000000">
            <w:pPr>
              <w:pStyle w:val="CommentReference"/>
              <w:tabs>
                <w:tab w:val="decimal" w:pos="430"/>
              </w:tabs>
            </w:pPr>
            <w:r>
              <w:t>5,2</w:t>
            </w:r>
          </w:p>
        </w:tc>
        <w:tc>
          <w:tcPr>
            <w:tcW w:w="432" w:type="pct"/>
            <w:vAlign w:val="bottom"/>
          </w:tcPr>
          <w:p w:rsidR="00000000" w:rsidRDefault="00000000">
            <w:pPr>
              <w:pStyle w:val="CommentReference"/>
              <w:tabs>
                <w:tab w:val="decimal" w:pos="430"/>
              </w:tabs>
            </w:pPr>
            <w:r>
              <w:t>4,5</w:t>
            </w:r>
          </w:p>
        </w:tc>
      </w:tr>
      <w:tr w:rsidR="00000000">
        <w:tblPrEx>
          <w:tblCellMar>
            <w:top w:w="0" w:type="dxa"/>
            <w:left w:w="0" w:type="dxa"/>
            <w:bottom w:w="0" w:type="dxa"/>
            <w:right w:w="0" w:type="dxa"/>
          </w:tblCellMar>
        </w:tblPrEx>
        <w:tc>
          <w:tcPr>
            <w:tcW w:w="2629" w:type="pct"/>
            <w:tcMar>
              <w:left w:w="108" w:type="dxa"/>
              <w:right w:w="108" w:type="dxa"/>
            </w:tcMar>
            <w:vAlign w:val="bottom"/>
          </w:tcPr>
          <w:p w:rsidR="00000000" w:rsidRDefault="00000000">
            <w:r>
              <w:t>Exportación de bienes (en millones de dólares de los Estados Unidos)</w:t>
            </w:r>
          </w:p>
        </w:tc>
        <w:tc>
          <w:tcPr>
            <w:tcW w:w="385" w:type="pct"/>
            <w:vAlign w:val="bottom"/>
          </w:tcPr>
          <w:p w:rsidR="00000000" w:rsidRDefault="00000000">
            <w:pPr>
              <w:pStyle w:val="BodyText"/>
              <w:tabs>
                <w:tab w:val="decimal" w:pos="430"/>
              </w:tabs>
              <w:spacing w:line="240" w:lineRule="auto"/>
              <w:jc w:val="left"/>
              <w:rPr>
                <w:rFonts w:ascii="Times New Roman" w:hAnsi="Times New Roman"/>
                <w:lang w:val="es-ES"/>
              </w:rPr>
            </w:pPr>
            <w:r>
              <w:rPr>
                <w:rFonts w:ascii="Times New Roman" w:hAnsi="Times New Roman"/>
                <w:lang w:val="es-ES"/>
              </w:rPr>
              <w:t>752,6</w:t>
            </w:r>
          </w:p>
        </w:tc>
        <w:tc>
          <w:tcPr>
            <w:tcW w:w="379" w:type="pct"/>
            <w:vAlign w:val="bottom"/>
          </w:tcPr>
          <w:p w:rsidR="00000000" w:rsidRDefault="00000000">
            <w:pPr>
              <w:pStyle w:val="BodyText"/>
              <w:tabs>
                <w:tab w:val="decimal" w:pos="430"/>
              </w:tabs>
              <w:spacing w:line="240" w:lineRule="auto"/>
              <w:jc w:val="left"/>
              <w:rPr>
                <w:rFonts w:ascii="Times New Roman" w:hAnsi="Times New Roman"/>
                <w:lang w:val="es-ES"/>
              </w:rPr>
            </w:pPr>
            <w:r>
              <w:rPr>
                <w:rFonts w:ascii="Times New Roman" w:hAnsi="Times New Roman"/>
                <w:lang w:val="es-ES"/>
              </w:rPr>
              <w:t>588,5</w:t>
            </w:r>
          </w:p>
        </w:tc>
        <w:tc>
          <w:tcPr>
            <w:tcW w:w="360" w:type="pct"/>
            <w:vAlign w:val="bottom"/>
          </w:tcPr>
          <w:p w:rsidR="00000000" w:rsidRDefault="00000000">
            <w:pPr>
              <w:pStyle w:val="BodyText"/>
              <w:tabs>
                <w:tab w:val="decimal" w:pos="430"/>
              </w:tabs>
              <w:spacing w:line="240" w:lineRule="auto"/>
              <w:jc w:val="left"/>
              <w:rPr>
                <w:rFonts w:ascii="Times New Roman" w:hAnsi="Times New Roman"/>
                <w:lang w:val="es-ES"/>
              </w:rPr>
            </w:pPr>
            <w:r>
              <w:rPr>
                <w:rFonts w:ascii="Times New Roman" w:hAnsi="Times New Roman"/>
                <w:lang w:val="es-ES"/>
              </w:rPr>
              <w:t>543,3</w:t>
            </w:r>
          </w:p>
        </w:tc>
        <w:tc>
          <w:tcPr>
            <w:tcW w:w="411" w:type="pct"/>
            <w:vAlign w:val="bottom"/>
          </w:tcPr>
          <w:p w:rsidR="00000000" w:rsidRDefault="00000000">
            <w:pPr>
              <w:pStyle w:val="BodyText"/>
              <w:tabs>
                <w:tab w:val="decimal" w:pos="430"/>
              </w:tabs>
              <w:spacing w:line="240" w:lineRule="auto"/>
              <w:jc w:val="left"/>
              <w:rPr>
                <w:rFonts w:ascii="Times New Roman" w:hAnsi="Times New Roman"/>
                <w:lang w:val="es-ES"/>
              </w:rPr>
            </w:pPr>
            <w:r>
              <w:rPr>
                <w:rFonts w:ascii="Times New Roman" w:hAnsi="Times New Roman"/>
                <w:lang w:val="es-ES"/>
              </w:rPr>
              <w:t>663,3</w:t>
            </w:r>
          </w:p>
        </w:tc>
        <w:tc>
          <w:tcPr>
            <w:tcW w:w="404" w:type="pct"/>
            <w:vAlign w:val="bottom"/>
          </w:tcPr>
          <w:p w:rsidR="00000000" w:rsidRDefault="00000000">
            <w:pPr>
              <w:pStyle w:val="BodyText"/>
              <w:tabs>
                <w:tab w:val="decimal" w:pos="430"/>
              </w:tabs>
              <w:spacing w:line="240" w:lineRule="auto"/>
              <w:jc w:val="left"/>
              <w:rPr>
                <w:rFonts w:ascii="Times New Roman" w:hAnsi="Times New Roman"/>
                <w:lang w:val="es-ES"/>
              </w:rPr>
            </w:pPr>
            <w:r>
              <w:rPr>
                <w:rFonts w:ascii="Times New Roman" w:hAnsi="Times New Roman"/>
                <w:lang w:val="es-ES"/>
              </w:rPr>
              <w:t>776,4</w:t>
            </w:r>
          </w:p>
        </w:tc>
        <w:tc>
          <w:tcPr>
            <w:tcW w:w="432" w:type="pct"/>
            <w:vAlign w:val="bottom"/>
          </w:tcPr>
          <w:p w:rsidR="00000000" w:rsidRDefault="00000000">
            <w:pPr>
              <w:pStyle w:val="BodyText"/>
              <w:tabs>
                <w:tab w:val="decimal" w:pos="430"/>
              </w:tabs>
              <w:spacing w:line="240" w:lineRule="auto"/>
              <w:jc w:val="left"/>
              <w:rPr>
                <w:rFonts w:ascii="Times New Roman" w:hAnsi="Times New Roman"/>
                <w:lang w:val="es-ES"/>
              </w:rPr>
            </w:pPr>
            <w:r>
              <w:rPr>
                <w:rFonts w:ascii="Times New Roman" w:hAnsi="Times New Roman"/>
                <w:lang w:val="es-ES"/>
              </w:rPr>
              <w:t>877,0</w:t>
            </w:r>
          </w:p>
        </w:tc>
      </w:tr>
      <w:tr w:rsidR="00000000">
        <w:tblPrEx>
          <w:tblCellMar>
            <w:top w:w="0" w:type="dxa"/>
            <w:left w:w="0" w:type="dxa"/>
            <w:bottom w:w="0" w:type="dxa"/>
            <w:right w:w="0" w:type="dxa"/>
          </w:tblCellMar>
        </w:tblPrEx>
        <w:tc>
          <w:tcPr>
            <w:tcW w:w="2629" w:type="pct"/>
            <w:tcMar>
              <w:left w:w="108" w:type="dxa"/>
              <w:right w:w="108" w:type="dxa"/>
            </w:tcMar>
            <w:vAlign w:val="bottom"/>
          </w:tcPr>
          <w:p w:rsidR="00000000" w:rsidRDefault="00000000">
            <w:r>
              <w:t>Coeficiente de exportación/importación (bienes)</w:t>
            </w:r>
          </w:p>
        </w:tc>
        <w:tc>
          <w:tcPr>
            <w:tcW w:w="385" w:type="pct"/>
            <w:vAlign w:val="bottom"/>
          </w:tcPr>
          <w:p w:rsidR="00000000" w:rsidRDefault="00000000">
            <w:pPr>
              <w:pStyle w:val="BodyText"/>
              <w:tabs>
                <w:tab w:val="decimal" w:pos="430"/>
              </w:tabs>
              <w:spacing w:line="240" w:lineRule="auto"/>
              <w:jc w:val="left"/>
              <w:rPr>
                <w:rFonts w:ascii="Times New Roman" w:hAnsi="Times New Roman"/>
                <w:lang w:val="es-ES"/>
              </w:rPr>
            </w:pPr>
            <w:r>
              <w:rPr>
                <w:rFonts w:ascii="Times New Roman" w:hAnsi="Times New Roman"/>
                <w:lang w:val="es-ES"/>
              </w:rPr>
              <w:t>65,6</w:t>
            </w:r>
          </w:p>
        </w:tc>
        <w:tc>
          <w:tcPr>
            <w:tcW w:w="379" w:type="pct"/>
            <w:vAlign w:val="bottom"/>
          </w:tcPr>
          <w:p w:rsidR="00000000" w:rsidRDefault="00000000">
            <w:pPr>
              <w:pStyle w:val="BodyText"/>
              <w:tabs>
                <w:tab w:val="decimal" w:pos="430"/>
              </w:tabs>
              <w:spacing w:line="240" w:lineRule="auto"/>
              <w:jc w:val="left"/>
              <w:rPr>
                <w:rFonts w:ascii="Times New Roman" w:hAnsi="Times New Roman"/>
                <w:lang w:val="es-ES"/>
              </w:rPr>
            </w:pPr>
            <w:r>
              <w:rPr>
                <w:rFonts w:ascii="Times New Roman" w:hAnsi="Times New Roman"/>
                <w:lang w:val="es-ES"/>
              </w:rPr>
              <w:t>42,6</w:t>
            </w:r>
          </w:p>
        </w:tc>
        <w:tc>
          <w:tcPr>
            <w:tcW w:w="360" w:type="pct"/>
            <w:vAlign w:val="bottom"/>
          </w:tcPr>
          <w:p w:rsidR="00000000" w:rsidRDefault="00000000">
            <w:pPr>
              <w:pStyle w:val="BodyText"/>
              <w:tabs>
                <w:tab w:val="decimal" w:pos="430"/>
              </w:tabs>
              <w:spacing w:line="240" w:lineRule="auto"/>
              <w:jc w:val="left"/>
              <w:rPr>
                <w:rFonts w:ascii="Times New Roman" w:hAnsi="Times New Roman"/>
                <w:lang w:val="es-ES"/>
              </w:rPr>
            </w:pPr>
            <w:r>
              <w:rPr>
                <w:rFonts w:ascii="Times New Roman" w:hAnsi="Times New Roman"/>
                <w:lang w:val="es-ES"/>
              </w:rPr>
              <w:t>39,7</w:t>
            </w:r>
          </w:p>
        </w:tc>
        <w:tc>
          <w:tcPr>
            <w:tcW w:w="411" w:type="pct"/>
            <w:vAlign w:val="bottom"/>
          </w:tcPr>
          <w:p w:rsidR="00000000" w:rsidRDefault="00000000">
            <w:pPr>
              <w:pStyle w:val="BodyText"/>
              <w:tabs>
                <w:tab w:val="decimal" w:pos="430"/>
              </w:tabs>
              <w:spacing w:line="240" w:lineRule="auto"/>
              <w:jc w:val="left"/>
              <w:rPr>
                <w:rFonts w:ascii="Times New Roman" w:hAnsi="Times New Roman"/>
                <w:lang w:val="es-ES"/>
              </w:rPr>
            </w:pPr>
            <w:r>
              <w:rPr>
                <w:rFonts w:ascii="Times New Roman" w:hAnsi="Times New Roman"/>
                <w:lang w:val="es-ES"/>
              </w:rPr>
              <w:t>49,6</w:t>
            </w:r>
          </w:p>
        </w:tc>
        <w:tc>
          <w:tcPr>
            <w:tcW w:w="404" w:type="pct"/>
            <w:vAlign w:val="bottom"/>
          </w:tcPr>
          <w:p w:rsidR="00000000" w:rsidRDefault="00000000">
            <w:pPr>
              <w:pStyle w:val="BodyText"/>
              <w:tabs>
                <w:tab w:val="decimal" w:pos="430"/>
              </w:tabs>
              <w:spacing w:line="240" w:lineRule="auto"/>
              <w:jc w:val="left"/>
              <w:rPr>
                <w:rFonts w:ascii="Times New Roman" w:hAnsi="Times New Roman"/>
                <w:lang w:val="es-ES"/>
              </w:rPr>
            </w:pPr>
            <w:r>
              <w:rPr>
                <w:rFonts w:ascii="Times New Roman" w:hAnsi="Times New Roman"/>
                <w:lang w:val="es-ES"/>
              </w:rPr>
              <w:t>52,0</w:t>
            </w:r>
          </w:p>
        </w:tc>
        <w:tc>
          <w:tcPr>
            <w:tcW w:w="432" w:type="pct"/>
            <w:vAlign w:val="bottom"/>
          </w:tcPr>
          <w:p w:rsidR="00000000" w:rsidRDefault="00000000">
            <w:pPr>
              <w:pStyle w:val="BodyText"/>
              <w:tabs>
                <w:tab w:val="decimal" w:pos="430"/>
              </w:tabs>
              <w:spacing w:line="240" w:lineRule="auto"/>
              <w:jc w:val="left"/>
              <w:rPr>
                <w:rFonts w:ascii="Times New Roman" w:hAnsi="Times New Roman"/>
                <w:lang w:val="es-ES"/>
              </w:rPr>
            </w:pPr>
            <w:r>
              <w:rPr>
                <w:rFonts w:ascii="Times New Roman" w:hAnsi="Times New Roman"/>
                <w:lang w:val="es-ES"/>
              </w:rPr>
              <w:t>58,7</w:t>
            </w:r>
          </w:p>
        </w:tc>
      </w:tr>
    </w:tbl>
    <w:p w:rsidR="00000000" w:rsidRDefault="00000000">
      <w:pPr>
        <w:pStyle w:val="FootnoteText"/>
        <w:spacing w:before="240" w:line="240" w:lineRule="auto"/>
      </w:pPr>
      <w:r>
        <w:rPr>
          <w:i/>
          <w:iCs/>
        </w:rPr>
        <w:t>Fuente</w:t>
      </w:r>
      <w:r>
        <w:t>:  Informe sobre la pobreza y el desarrollo humano, 2002.</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80" w:after="240" w:line="240" w:lineRule="auto"/>
        <w:ind w:left="0" w:right="0"/>
        <w:jc w:val="left"/>
        <w:rPr>
          <w:spacing w:val="0"/>
          <w:w w:val="100"/>
          <w:kern w:val="0"/>
          <w:sz w:val="24"/>
        </w:rPr>
      </w:pPr>
      <w:r>
        <w:rPr>
          <w:spacing w:val="0"/>
          <w:w w:val="100"/>
          <w:kern w:val="0"/>
          <w:sz w:val="24"/>
        </w:rPr>
        <w:t>11.</w:t>
      </w:r>
      <w:r>
        <w:rPr>
          <w:spacing w:val="0"/>
          <w:w w:val="100"/>
          <w:kern w:val="0"/>
          <w:sz w:val="24"/>
        </w:rPr>
        <w:tab/>
        <w:t>Tras la concesión del alivio de la deuda a finales de abril de 2002, el saldo t</w:t>
      </w:r>
      <w:r>
        <w:rPr>
          <w:spacing w:val="0"/>
          <w:w w:val="100"/>
          <w:kern w:val="0"/>
          <w:sz w:val="24"/>
        </w:rPr>
        <w:t>o</w:t>
      </w:r>
      <w:r>
        <w:rPr>
          <w:spacing w:val="0"/>
          <w:w w:val="100"/>
          <w:kern w:val="0"/>
          <w:sz w:val="24"/>
        </w:rPr>
        <w:t>tal de la deuda se redujo en un 3,6% en comparación son el saldo registrado a fin</w:t>
      </w:r>
      <w:r>
        <w:rPr>
          <w:spacing w:val="0"/>
          <w:w w:val="100"/>
          <w:kern w:val="0"/>
          <w:sz w:val="24"/>
        </w:rPr>
        <w:t>a</w:t>
      </w:r>
      <w:r>
        <w:rPr>
          <w:spacing w:val="0"/>
          <w:w w:val="100"/>
          <w:kern w:val="0"/>
          <w:sz w:val="24"/>
        </w:rPr>
        <w:t>les de junio de 2001.  Se prestó especial atención a la estabilidad macroeconómica y los mercados de recursos y productos se han liberalizado progresivamente, al tiempo que se han tratado de solucionar las limitaciones de la capacidad institucional para gestionar los cambios necesarios.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12.</w:t>
      </w:r>
      <w:r>
        <w:rPr>
          <w:spacing w:val="0"/>
          <w:w w:val="100"/>
          <w:kern w:val="0"/>
          <w:sz w:val="24"/>
        </w:rPr>
        <w:tab/>
        <w:t>Estos resultados han producido beneficios macroeconómicos.  La economía ha crecido en conjunto y se ha alcanzado la estabilidad macroeconómica.  Sin embargo, los resultados de la encuesta sobre el presupuesto de los hogares de 2000/01 han mostrado que el nivel de pobreza definida en función de los ingresos apenas ha cambiado para la inmensa mayoría de los hogares del país en los diez años transcurr</w:t>
      </w:r>
      <w:r>
        <w:rPr>
          <w:spacing w:val="0"/>
          <w:w w:val="100"/>
          <w:kern w:val="0"/>
          <w:sz w:val="24"/>
        </w:rPr>
        <w:t>i</w:t>
      </w:r>
      <w:r>
        <w:rPr>
          <w:spacing w:val="0"/>
          <w:w w:val="100"/>
          <w:kern w:val="0"/>
          <w:sz w:val="24"/>
        </w:rPr>
        <w:t>dos desde 1991/92.  Los niveles de pobreza definida en función de indicadores distintos de los ingresos siguen siendo elevados y muchos de los indicadores no muestran indicios de bajar.  Por ejemplo, la mortalidad infantil y de niños menores de 5 años, que se había reducido en décadas anteriores y se estabilizó a mediados de los años ochenta, parece haber empeorado en los años noventa.  Una de las causas principales es probablemente, la rápida propagación del VIH/SIDA.  Sin embargo, algunos ind</w:t>
      </w:r>
      <w:r>
        <w:rPr>
          <w:spacing w:val="0"/>
          <w:w w:val="100"/>
          <w:kern w:val="0"/>
          <w:sz w:val="24"/>
        </w:rPr>
        <w:t>i</w:t>
      </w:r>
      <w:r>
        <w:rPr>
          <w:spacing w:val="0"/>
          <w:w w:val="100"/>
          <w:kern w:val="0"/>
          <w:sz w:val="24"/>
        </w:rPr>
        <w:t>cadores de pobreza distintos de los ingresos han respondido rápidamente a la supr</w:t>
      </w:r>
      <w:r>
        <w:rPr>
          <w:spacing w:val="0"/>
          <w:w w:val="100"/>
          <w:kern w:val="0"/>
          <w:sz w:val="24"/>
        </w:rPr>
        <w:t>e</w:t>
      </w:r>
      <w:r>
        <w:rPr>
          <w:spacing w:val="0"/>
          <w:w w:val="100"/>
          <w:kern w:val="0"/>
          <w:sz w:val="24"/>
        </w:rPr>
        <w:t>sión del pago por la enseñanza primaria universal.  La pobreza definida en función de los ingresos de los hogares no es un fenómeno básicamente rural, sino que, al igual que la pobreza definida en función de otros indicadores, varía significativ</w:t>
      </w:r>
      <w:r>
        <w:rPr>
          <w:spacing w:val="0"/>
          <w:w w:val="100"/>
          <w:kern w:val="0"/>
          <w:sz w:val="24"/>
        </w:rPr>
        <w:t>a</w:t>
      </w:r>
      <w:r>
        <w:rPr>
          <w:spacing w:val="0"/>
          <w:w w:val="100"/>
          <w:kern w:val="0"/>
          <w:sz w:val="24"/>
        </w:rPr>
        <w:t>mente entre las zonas rurales y urbanas y entre las di</w:t>
      </w:r>
      <w:r>
        <w:rPr>
          <w:spacing w:val="0"/>
          <w:w w:val="100"/>
          <w:kern w:val="0"/>
          <w:sz w:val="24"/>
        </w:rPr>
        <w:t>s</w:t>
      </w:r>
      <w:r>
        <w:rPr>
          <w:spacing w:val="0"/>
          <w:w w:val="100"/>
          <w:kern w:val="0"/>
          <w:sz w:val="24"/>
        </w:rPr>
        <w:t>tintas regiones del país.</w:t>
      </w:r>
    </w:p>
    <w:p w:rsidR="00000000" w:rsidRDefault="00000000">
      <w:pPr>
        <w:pStyle w:val="H1"/>
        <w:keepNext w:val="0"/>
        <w:keepLines w:val="0"/>
        <w:suppressAutoHyphens w:val="0"/>
        <w:spacing w:after="240" w:line="240" w:lineRule="auto"/>
        <w:outlineLvl w:val="9"/>
        <w:rPr>
          <w:bCs/>
          <w:w w:val="100"/>
          <w:kern w:val="0"/>
        </w:rPr>
      </w:pPr>
      <w:r>
        <w:rPr>
          <w:bCs/>
          <w:w w:val="100"/>
          <w:kern w:val="0"/>
        </w:rPr>
        <w:t xml:space="preserve">Perfil de la pobreza </w:t>
      </w:r>
    </w:p>
    <w:p w:rsidR="00000000" w:rsidRDefault="00000000">
      <w:pPr>
        <w:pStyle w:val="H1"/>
        <w:keepNext w:val="0"/>
        <w:keepLines w:val="0"/>
        <w:suppressAutoHyphens w:val="0"/>
        <w:spacing w:after="240" w:line="240" w:lineRule="auto"/>
        <w:outlineLvl w:val="9"/>
        <w:rPr>
          <w:b w:val="0"/>
          <w:bCs/>
          <w:w w:val="100"/>
          <w:kern w:val="0"/>
        </w:rPr>
      </w:pPr>
      <w:r>
        <w:rPr>
          <w:b w:val="0"/>
          <w:bCs/>
          <w:w w:val="100"/>
          <w:kern w:val="0"/>
        </w:rPr>
        <w:t>13.</w:t>
      </w:r>
      <w:r>
        <w:rPr>
          <w:b w:val="0"/>
          <w:bCs/>
          <w:w w:val="100"/>
          <w:kern w:val="0"/>
        </w:rPr>
        <w:tab/>
        <w:t>Los resultados de la encuesta sobre el presupuesto de los hogares de 2000/01, que se llevó a cabo en el marco del Sistema de vigilancia de la pobreza, muestran que el 18,7% de la población de Tanzanía vive por debajo del umbral de pobreza definida en función de la alimentación y el 35,7% vive por debajo del u</w:t>
      </w:r>
      <w:r>
        <w:rPr>
          <w:b w:val="0"/>
          <w:bCs/>
          <w:w w:val="100"/>
          <w:kern w:val="0"/>
        </w:rPr>
        <w:t>m</w:t>
      </w:r>
      <w:r>
        <w:rPr>
          <w:b w:val="0"/>
          <w:bCs/>
          <w:w w:val="100"/>
          <w:kern w:val="0"/>
        </w:rPr>
        <w:t>bral de pobreza definida en función de la satisfacción de las necesidades básicas. Sin embargo, la comparación entre zonas urbanas (en particular, Dar es Salam) y las zonas rurales revela diferencias significativas para ambos tipos de pobreza.  Los n</w:t>
      </w:r>
      <w:r>
        <w:rPr>
          <w:b w:val="0"/>
          <w:bCs/>
          <w:w w:val="100"/>
          <w:kern w:val="0"/>
        </w:rPr>
        <w:t>i</w:t>
      </w:r>
      <w:r>
        <w:rPr>
          <w:b w:val="0"/>
          <w:bCs/>
          <w:w w:val="100"/>
          <w:kern w:val="0"/>
        </w:rPr>
        <w:t>veles de pobreza son más elevados en las zonas rurales que en las zonas urbanas con la excepción de Dar es Salam, como se observa en el cu</w:t>
      </w:r>
      <w:r>
        <w:rPr>
          <w:b w:val="0"/>
          <w:bCs/>
          <w:w w:val="100"/>
          <w:kern w:val="0"/>
        </w:rPr>
        <w:t>a</w:t>
      </w:r>
      <w:r>
        <w:rPr>
          <w:b w:val="0"/>
          <w:bCs/>
          <w:w w:val="100"/>
          <w:kern w:val="0"/>
        </w:rPr>
        <w:t>dro 2.</w:t>
      </w:r>
    </w:p>
    <w:p w:rsidR="00000000" w:rsidRDefault="00000000">
      <w:pPr>
        <w:pStyle w:val="H23"/>
        <w:keepNext w:val="0"/>
        <w:keepLines w:val="0"/>
        <w:suppressAutoHyphens w:val="0"/>
        <w:spacing w:after="240" w:line="240" w:lineRule="auto"/>
        <w:jc w:val="center"/>
        <w:outlineLvl w:val="9"/>
        <w:rPr>
          <w:bCs/>
          <w:spacing w:val="0"/>
          <w:w w:val="100"/>
          <w:kern w:val="0"/>
          <w:sz w:val="24"/>
        </w:rPr>
      </w:pPr>
      <w:r>
        <w:rPr>
          <w:bCs/>
          <w:spacing w:val="0"/>
          <w:w w:val="100"/>
          <w:kern w:val="0"/>
          <w:sz w:val="24"/>
        </w:rPr>
        <w:t>Cuadro 2</w:t>
      </w:r>
    </w:p>
    <w:p w:rsidR="00000000" w:rsidRDefault="00000000">
      <w:pPr>
        <w:pStyle w:val="H23"/>
        <w:keepNext w:val="0"/>
        <w:keepLines w:val="0"/>
        <w:suppressAutoHyphens w:val="0"/>
        <w:spacing w:after="240" w:line="240" w:lineRule="auto"/>
        <w:jc w:val="center"/>
        <w:outlineLvl w:val="9"/>
        <w:rPr>
          <w:bCs/>
          <w:spacing w:val="0"/>
          <w:w w:val="100"/>
          <w:kern w:val="0"/>
          <w:sz w:val="24"/>
        </w:rPr>
      </w:pPr>
      <w:r>
        <w:rPr>
          <w:bCs/>
          <w:spacing w:val="0"/>
          <w:w w:val="100"/>
          <w:kern w:val="0"/>
          <w:sz w:val="24"/>
        </w:rPr>
        <w:t>Población  que vive  por debajo  de los  umbrales de  pobreza definida en</w:t>
      </w:r>
      <w:r>
        <w:rPr>
          <w:bCs/>
          <w:spacing w:val="0"/>
          <w:w w:val="100"/>
          <w:kern w:val="0"/>
          <w:sz w:val="24"/>
        </w:rPr>
        <w:br/>
        <w:t>función de la alimentación y de la satisfacción de las necesidades básicas,</w:t>
      </w:r>
      <w:r>
        <w:rPr>
          <w:bCs/>
          <w:spacing w:val="0"/>
          <w:w w:val="100"/>
          <w:kern w:val="0"/>
          <w:sz w:val="24"/>
        </w:rPr>
        <w:br/>
        <w:t>en porcentaje, año 2000/01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919"/>
        <w:gridCol w:w="1560"/>
        <w:gridCol w:w="2354"/>
      </w:tblGrid>
      <w:tr w:rsidR="00000000">
        <w:tblPrEx>
          <w:tblCellMar>
            <w:top w:w="0" w:type="dxa"/>
            <w:left w:w="0" w:type="dxa"/>
            <w:bottom w:w="0" w:type="dxa"/>
            <w:right w:w="0" w:type="dxa"/>
          </w:tblCellMar>
        </w:tblPrEx>
        <w:trPr>
          <w:tblHeader/>
          <w:jc w:val="center"/>
        </w:trPr>
        <w:tc>
          <w:tcPr>
            <w:tcW w:w="3919" w:type="dxa"/>
            <w:tcMar>
              <w:left w:w="108" w:type="dxa"/>
              <w:right w:w="108" w:type="dxa"/>
            </w:tcMar>
            <w:vAlign w:val="center"/>
          </w:tcPr>
          <w:p w:rsidR="00000000" w:rsidRDefault="00000000">
            <w:pPr>
              <w:jc w:val="center"/>
            </w:pPr>
          </w:p>
        </w:tc>
        <w:tc>
          <w:tcPr>
            <w:tcW w:w="1560" w:type="dxa"/>
            <w:tcMar>
              <w:left w:w="108" w:type="dxa"/>
              <w:right w:w="108" w:type="dxa"/>
            </w:tcMar>
            <w:vAlign w:val="center"/>
          </w:tcPr>
          <w:p w:rsidR="00000000" w:rsidRDefault="00000000">
            <w:pPr>
              <w:jc w:val="center"/>
            </w:pPr>
            <w:r>
              <w:t>Alimentación</w:t>
            </w:r>
          </w:p>
        </w:tc>
        <w:tc>
          <w:tcPr>
            <w:tcW w:w="2354" w:type="dxa"/>
            <w:tcMar>
              <w:left w:w="108" w:type="dxa"/>
              <w:right w:w="108" w:type="dxa"/>
            </w:tcMar>
            <w:vAlign w:val="center"/>
          </w:tcPr>
          <w:p w:rsidR="00000000" w:rsidRDefault="00000000">
            <w:pPr>
              <w:jc w:val="center"/>
            </w:pPr>
            <w:r>
              <w:t>Necesidades básicas</w:t>
            </w:r>
          </w:p>
        </w:tc>
      </w:tr>
      <w:tr w:rsidR="00000000">
        <w:tblPrEx>
          <w:tblCellMar>
            <w:top w:w="0" w:type="dxa"/>
            <w:left w:w="0" w:type="dxa"/>
            <w:bottom w:w="0" w:type="dxa"/>
            <w:right w:w="0" w:type="dxa"/>
          </w:tblCellMar>
        </w:tblPrEx>
        <w:trPr>
          <w:jc w:val="center"/>
        </w:trPr>
        <w:tc>
          <w:tcPr>
            <w:tcW w:w="3919" w:type="dxa"/>
            <w:tcMar>
              <w:left w:w="108" w:type="dxa"/>
              <w:right w:w="108" w:type="dxa"/>
            </w:tcMar>
            <w:vAlign w:val="bottom"/>
          </w:tcPr>
          <w:p w:rsidR="00000000" w:rsidRDefault="00000000">
            <w:r>
              <w:t>Dar es Salam</w:t>
            </w:r>
          </w:p>
        </w:tc>
        <w:tc>
          <w:tcPr>
            <w:tcW w:w="1560" w:type="dxa"/>
            <w:tcMar>
              <w:left w:w="108" w:type="dxa"/>
              <w:right w:w="108" w:type="dxa"/>
            </w:tcMar>
            <w:vAlign w:val="bottom"/>
          </w:tcPr>
          <w:p w:rsidR="00000000" w:rsidRDefault="00000000">
            <w:pPr>
              <w:pStyle w:val="CommentReference"/>
              <w:tabs>
                <w:tab w:val="decimal" w:pos="732"/>
              </w:tabs>
            </w:pPr>
            <w:r>
              <w:t>7,5</w:t>
            </w:r>
          </w:p>
        </w:tc>
        <w:tc>
          <w:tcPr>
            <w:tcW w:w="2354" w:type="dxa"/>
            <w:tcMar>
              <w:left w:w="108" w:type="dxa"/>
              <w:right w:w="108" w:type="dxa"/>
            </w:tcMar>
            <w:vAlign w:val="bottom"/>
          </w:tcPr>
          <w:p w:rsidR="00000000" w:rsidRDefault="00000000">
            <w:pPr>
              <w:pStyle w:val="CommentReference"/>
              <w:tabs>
                <w:tab w:val="decimal" w:pos="1092"/>
              </w:tabs>
            </w:pPr>
            <w:r>
              <w:t>17,6</w:t>
            </w:r>
          </w:p>
        </w:tc>
      </w:tr>
      <w:tr w:rsidR="00000000">
        <w:tblPrEx>
          <w:tblCellMar>
            <w:top w:w="0" w:type="dxa"/>
            <w:left w:w="0" w:type="dxa"/>
            <w:bottom w:w="0" w:type="dxa"/>
            <w:right w:w="0" w:type="dxa"/>
          </w:tblCellMar>
        </w:tblPrEx>
        <w:trPr>
          <w:jc w:val="center"/>
        </w:trPr>
        <w:tc>
          <w:tcPr>
            <w:tcW w:w="3919" w:type="dxa"/>
            <w:tcMar>
              <w:left w:w="108" w:type="dxa"/>
              <w:right w:w="108" w:type="dxa"/>
            </w:tcMar>
            <w:vAlign w:val="bottom"/>
          </w:tcPr>
          <w:p w:rsidR="00000000" w:rsidRDefault="00000000">
            <w:r>
              <w:t>Otras zonas urbanas</w:t>
            </w:r>
          </w:p>
        </w:tc>
        <w:tc>
          <w:tcPr>
            <w:tcW w:w="1560" w:type="dxa"/>
            <w:tcMar>
              <w:left w:w="108" w:type="dxa"/>
              <w:right w:w="108" w:type="dxa"/>
            </w:tcMar>
            <w:vAlign w:val="bottom"/>
          </w:tcPr>
          <w:p w:rsidR="00000000" w:rsidRDefault="00000000">
            <w:pPr>
              <w:pStyle w:val="BodyText"/>
              <w:tabs>
                <w:tab w:val="decimal" w:pos="732"/>
              </w:tabs>
              <w:spacing w:line="240" w:lineRule="auto"/>
              <w:jc w:val="left"/>
              <w:rPr>
                <w:rFonts w:ascii="Times New Roman" w:hAnsi="Times New Roman"/>
                <w:lang w:val="es-ES"/>
              </w:rPr>
            </w:pPr>
            <w:r>
              <w:rPr>
                <w:rFonts w:ascii="Times New Roman" w:hAnsi="Times New Roman"/>
                <w:lang w:val="es-ES"/>
              </w:rPr>
              <w:t>13,2</w:t>
            </w:r>
          </w:p>
        </w:tc>
        <w:tc>
          <w:tcPr>
            <w:tcW w:w="2354" w:type="dxa"/>
            <w:tcMar>
              <w:left w:w="108" w:type="dxa"/>
              <w:right w:w="108" w:type="dxa"/>
            </w:tcMar>
            <w:vAlign w:val="bottom"/>
          </w:tcPr>
          <w:p w:rsidR="00000000" w:rsidRDefault="00000000">
            <w:pPr>
              <w:pStyle w:val="BodyText"/>
              <w:tabs>
                <w:tab w:val="decimal" w:pos="1092"/>
              </w:tabs>
              <w:spacing w:line="240" w:lineRule="auto"/>
              <w:jc w:val="left"/>
              <w:rPr>
                <w:rFonts w:ascii="Times New Roman" w:hAnsi="Times New Roman"/>
                <w:lang w:val="es-ES"/>
              </w:rPr>
            </w:pPr>
            <w:r>
              <w:rPr>
                <w:rFonts w:ascii="Times New Roman" w:hAnsi="Times New Roman"/>
                <w:lang w:val="es-ES"/>
              </w:rPr>
              <w:t>25,8</w:t>
            </w:r>
          </w:p>
        </w:tc>
      </w:tr>
      <w:tr w:rsidR="00000000">
        <w:tblPrEx>
          <w:tblCellMar>
            <w:top w:w="0" w:type="dxa"/>
            <w:left w:w="0" w:type="dxa"/>
            <w:bottom w:w="0" w:type="dxa"/>
            <w:right w:w="0" w:type="dxa"/>
          </w:tblCellMar>
        </w:tblPrEx>
        <w:trPr>
          <w:jc w:val="center"/>
        </w:trPr>
        <w:tc>
          <w:tcPr>
            <w:tcW w:w="3919" w:type="dxa"/>
            <w:tcMar>
              <w:left w:w="108" w:type="dxa"/>
              <w:right w:w="108" w:type="dxa"/>
            </w:tcMar>
            <w:vAlign w:val="bottom"/>
          </w:tcPr>
          <w:p w:rsidR="00000000" w:rsidRDefault="00000000">
            <w:r>
              <w:t>Zonas rurales</w:t>
            </w:r>
          </w:p>
        </w:tc>
        <w:tc>
          <w:tcPr>
            <w:tcW w:w="1560" w:type="dxa"/>
            <w:tcMar>
              <w:left w:w="108" w:type="dxa"/>
              <w:right w:w="108" w:type="dxa"/>
            </w:tcMar>
            <w:vAlign w:val="bottom"/>
          </w:tcPr>
          <w:p w:rsidR="00000000" w:rsidRDefault="00000000">
            <w:pPr>
              <w:pStyle w:val="BodyText"/>
              <w:tabs>
                <w:tab w:val="decimal" w:pos="732"/>
              </w:tabs>
              <w:spacing w:line="240" w:lineRule="auto"/>
              <w:jc w:val="left"/>
              <w:rPr>
                <w:rFonts w:ascii="Times New Roman" w:hAnsi="Times New Roman"/>
                <w:lang w:val="es-ES"/>
              </w:rPr>
            </w:pPr>
            <w:r>
              <w:rPr>
                <w:rFonts w:ascii="Times New Roman" w:hAnsi="Times New Roman"/>
                <w:lang w:val="es-ES"/>
              </w:rPr>
              <w:t>20,4</w:t>
            </w:r>
          </w:p>
        </w:tc>
        <w:tc>
          <w:tcPr>
            <w:tcW w:w="2354" w:type="dxa"/>
            <w:tcMar>
              <w:left w:w="108" w:type="dxa"/>
              <w:right w:w="108" w:type="dxa"/>
            </w:tcMar>
            <w:vAlign w:val="bottom"/>
          </w:tcPr>
          <w:p w:rsidR="00000000" w:rsidRDefault="00000000">
            <w:pPr>
              <w:pStyle w:val="BodyText"/>
              <w:tabs>
                <w:tab w:val="decimal" w:pos="1092"/>
              </w:tabs>
              <w:spacing w:line="240" w:lineRule="auto"/>
              <w:jc w:val="left"/>
              <w:rPr>
                <w:rFonts w:ascii="Times New Roman" w:hAnsi="Times New Roman"/>
                <w:lang w:val="es-ES"/>
              </w:rPr>
            </w:pPr>
            <w:r>
              <w:rPr>
                <w:rFonts w:ascii="Times New Roman" w:hAnsi="Times New Roman"/>
                <w:lang w:val="es-ES"/>
              </w:rPr>
              <w:t>38,7</w:t>
            </w:r>
          </w:p>
        </w:tc>
      </w:tr>
      <w:tr w:rsidR="00000000">
        <w:tblPrEx>
          <w:tblCellMar>
            <w:top w:w="0" w:type="dxa"/>
            <w:left w:w="0" w:type="dxa"/>
            <w:bottom w:w="0" w:type="dxa"/>
            <w:right w:w="0" w:type="dxa"/>
          </w:tblCellMar>
        </w:tblPrEx>
        <w:trPr>
          <w:jc w:val="center"/>
        </w:trPr>
        <w:tc>
          <w:tcPr>
            <w:tcW w:w="3919" w:type="dxa"/>
            <w:tcMar>
              <w:left w:w="108" w:type="dxa"/>
              <w:right w:w="108" w:type="dxa"/>
            </w:tcMar>
            <w:vAlign w:val="bottom"/>
          </w:tcPr>
          <w:p w:rsidR="00000000" w:rsidRDefault="00000000">
            <w:r>
              <w:tab/>
              <w:t>Total</w:t>
            </w:r>
          </w:p>
        </w:tc>
        <w:tc>
          <w:tcPr>
            <w:tcW w:w="1560" w:type="dxa"/>
            <w:tcMar>
              <w:left w:w="108" w:type="dxa"/>
              <w:right w:w="108" w:type="dxa"/>
            </w:tcMar>
            <w:vAlign w:val="bottom"/>
          </w:tcPr>
          <w:p w:rsidR="00000000" w:rsidRDefault="00000000">
            <w:pPr>
              <w:pStyle w:val="CommentReference"/>
              <w:tabs>
                <w:tab w:val="decimal" w:pos="732"/>
              </w:tabs>
            </w:pPr>
            <w:r>
              <w:t>18,7</w:t>
            </w:r>
          </w:p>
        </w:tc>
        <w:tc>
          <w:tcPr>
            <w:tcW w:w="2354" w:type="dxa"/>
            <w:tcMar>
              <w:left w:w="108" w:type="dxa"/>
              <w:right w:w="108" w:type="dxa"/>
            </w:tcMar>
            <w:vAlign w:val="bottom"/>
          </w:tcPr>
          <w:p w:rsidR="00000000" w:rsidRDefault="00000000">
            <w:pPr>
              <w:pStyle w:val="CommentReference"/>
              <w:tabs>
                <w:tab w:val="decimal" w:pos="1092"/>
              </w:tabs>
            </w:pPr>
            <w:r>
              <w:t>35,7</w:t>
            </w:r>
          </w:p>
        </w:tc>
      </w:tr>
    </w:tbl>
    <w:p w:rsidR="00000000" w:rsidRDefault="00000000">
      <w:pPr>
        <w:pStyle w:val="FootnoteText"/>
        <w:spacing w:before="200" w:line="240" w:lineRule="auto"/>
        <w:ind w:left="839"/>
      </w:pPr>
      <w:r>
        <w:rPr>
          <w:i/>
          <w:iCs/>
        </w:rPr>
        <w:t>Fuente</w:t>
      </w:r>
      <w:r>
        <w:t>:  Encuesta sobre el presupuesto de los hogares de 2000/01.</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80" w:after="240" w:line="240" w:lineRule="auto"/>
        <w:ind w:left="0" w:right="0"/>
        <w:jc w:val="left"/>
        <w:rPr>
          <w:spacing w:val="0"/>
          <w:w w:val="100"/>
          <w:kern w:val="0"/>
          <w:sz w:val="24"/>
        </w:rPr>
      </w:pPr>
      <w:r>
        <w:rPr>
          <w:spacing w:val="0"/>
          <w:w w:val="100"/>
          <w:kern w:val="0"/>
          <w:sz w:val="24"/>
        </w:rPr>
        <w:t>14.</w:t>
      </w:r>
      <w:r>
        <w:rPr>
          <w:spacing w:val="0"/>
          <w:w w:val="100"/>
          <w:kern w:val="0"/>
          <w:sz w:val="24"/>
        </w:rPr>
        <w:tab/>
        <w:t>La encuesta sobre el presupuesto de los hogares muestra también que la de</w:t>
      </w:r>
      <w:r>
        <w:rPr>
          <w:spacing w:val="0"/>
          <w:w w:val="100"/>
          <w:kern w:val="0"/>
          <w:sz w:val="24"/>
        </w:rPr>
        <w:t>s</w:t>
      </w:r>
      <w:r>
        <w:rPr>
          <w:spacing w:val="0"/>
          <w:w w:val="100"/>
          <w:kern w:val="0"/>
          <w:sz w:val="24"/>
        </w:rPr>
        <w:t>igualdad entre el desarrollo urbano y rural en Tanzanía está creciendo.  Las tende</w:t>
      </w:r>
      <w:r>
        <w:rPr>
          <w:spacing w:val="0"/>
          <w:w w:val="100"/>
          <w:kern w:val="0"/>
          <w:sz w:val="24"/>
        </w:rPr>
        <w:t>n</w:t>
      </w:r>
      <w:r>
        <w:rPr>
          <w:spacing w:val="0"/>
          <w:w w:val="100"/>
          <w:kern w:val="0"/>
          <w:sz w:val="24"/>
        </w:rPr>
        <w:t>cias apuntan claramente a un aumento de las diferencias en la incidencia de la p</w:t>
      </w:r>
      <w:r>
        <w:rPr>
          <w:spacing w:val="0"/>
          <w:w w:val="100"/>
          <w:kern w:val="0"/>
          <w:sz w:val="24"/>
        </w:rPr>
        <w:t>o</w:t>
      </w:r>
      <w:r>
        <w:rPr>
          <w:spacing w:val="0"/>
          <w:w w:val="100"/>
          <w:kern w:val="0"/>
          <w:sz w:val="24"/>
        </w:rPr>
        <w:t>breza entre Dar es Salam y otras zonas urbanas y las zonas rurales, habiéndose a</w:t>
      </w:r>
      <w:r>
        <w:rPr>
          <w:spacing w:val="0"/>
          <w:w w:val="100"/>
          <w:kern w:val="0"/>
          <w:sz w:val="24"/>
        </w:rPr>
        <w:t>l</w:t>
      </w:r>
      <w:r>
        <w:rPr>
          <w:spacing w:val="0"/>
          <w:w w:val="100"/>
          <w:kern w:val="0"/>
          <w:sz w:val="24"/>
        </w:rPr>
        <w:t>canzado los mayores progresos en la reducción de la pobreza en Dar es Salam, y los más reducidos en las zonas rurales. No obstante, teniendo en cuenta las distintas áreas, la desigualdad está aumentando ligeramente, como indica el coeficiente de Gini.  El cuadro 3 compara el coeficiente de Gini en las tres zonas según datos de la encuesta sobre el presupuesto de los hogares de 1991/92 y 2000/01.</w:t>
      </w:r>
    </w:p>
    <w:p w:rsidR="00000000" w:rsidRDefault="00000000">
      <w:pPr>
        <w:pStyle w:val="H23"/>
        <w:keepLines w:val="0"/>
        <w:suppressAutoHyphens w:val="0"/>
        <w:spacing w:after="240" w:line="240" w:lineRule="auto"/>
        <w:jc w:val="center"/>
        <w:outlineLvl w:val="9"/>
        <w:rPr>
          <w:bCs/>
          <w:spacing w:val="0"/>
          <w:w w:val="100"/>
          <w:kern w:val="0"/>
          <w:sz w:val="24"/>
        </w:rPr>
      </w:pPr>
      <w:r>
        <w:rPr>
          <w:bCs/>
          <w:spacing w:val="0"/>
          <w:w w:val="100"/>
          <w:kern w:val="0"/>
          <w:sz w:val="24"/>
        </w:rPr>
        <w:t>Cuadro 3</w:t>
      </w:r>
    </w:p>
    <w:p w:rsidR="00000000" w:rsidRDefault="00000000">
      <w:pPr>
        <w:pStyle w:val="H23"/>
        <w:keepLines w:val="0"/>
        <w:suppressAutoHyphens w:val="0"/>
        <w:spacing w:after="240" w:line="240" w:lineRule="auto"/>
        <w:jc w:val="center"/>
        <w:outlineLvl w:val="9"/>
        <w:rPr>
          <w:bCs/>
          <w:spacing w:val="0"/>
          <w:w w:val="100"/>
          <w:kern w:val="0"/>
          <w:sz w:val="24"/>
        </w:rPr>
      </w:pPr>
      <w:r>
        <w:rPr>
          <w:bCs/>
          <w:spacing w:val="0"/>
          <w:w w:val="100"/>
          <w:kern w:val="0"/>
          <w:sz w:val="24"/>
        </w:rPr>
        <w:t>Incidencia de la pobreza</w:t>
      </w:r>
    </w:p>
    <w:tbl>
      <w:tblPr>
        <w:tblW w:w="0" w:type="auto"/>
        <w:tblInd w:w="1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411"/>
        <w:gridCol w:w="1944"/>
        <w:gridCol w:w="1965"/>
      </w:tblGrid>
      <w:tr w:rsidR="00000000">
        <w:tblPrEx>
          <w:tblCellMar>
            <w:top w:w="0" w:type="dxa"/>
            <w:left w:w="0" w:type="dxa"/>
            <w:bottom w:w="0" w:type="dxa"/>
            <w:right w:w="0" w:type="dxa"/>
          </w:tblCellMar>
        </w:tblPrEx>
        <w:trPr>
          <w:tblHeader/>
        </w:trPr>
        <w:tc>
          <w:tcPr>
            <w:tcW w:w="3411" w:type="dxa"/>
            <w:tcMar>
              <w:left w:w="68" w:type="dxa"/>
              <w:right w:w="68" w:type="dxa"/>
            </w:tcMar>
            <w:vAlign w:val="bottom"/>
          </w:tcPr>
          <w:p w:rsidR="00000000" w:rsidRDefault="00000000">
            <w:pPr>
              <w:keepNext/>
              <w:jc w:val="center"/>
            </w:pPr>
          </w:p>
        </w:tc>
        <w:tc>
          <w:tcPr>
            <w:tcW w:w="1944" w:type="dxa"/>
            <w:tcMar>
              <w:left w:w="68" w:type="dxa"/>
              <w:right w:w="68" w:type="dxa"/>
            </w:tcMar>
            <w:vAlign w:val="bottom"/>
          </w:tcPr>
          <w:p w:rsidR="00000000" w:rsidRDefault="00000000">
            <w:pPr>
              <w:keepNext/>
              <w:jc w:val="center"/>
            </w:pPr>
            <w:r>
              <w:t>1991/92</w:t>
            </w:r>
          </w:p>
        </w:tc>
        <w:tc>
          <w:tcPr>
            <w:tcW w:w="1965" w:type="dxa"/>
            <w:tcMar>
              <w:left w:w="68" w:type="dxa"/>
              <w:right w:w="68" w:type="dxa"/>
            </w:tcMar>
            <w:vAlign w:val="bottom"/>
          </w:tcPr>
          <w:p w:rsidR="00000000" w:rsidRDefault="00000000">
            <w:pPr>
              <w:keepNext/>
              <w:jc w:val="center"/>
            </w:pPr>
            <w:r>
              <w:t>2000/01</w:t>
            </w:r>
          </w:p>
        </w:tc>
      </w:tr>
      <w:tr w:rsidR="00000000">
        <w:tblPrEx>
          <w:tblCellMar>
            <w:top w:w="0" w:type="dxa"/>
            <w:left w:w="0" w:type="dxa"/>
            <w:bottom w:w="0" w:type="dxa"/>
            <w:right w:w="0" w:type="dxa"/>
          </w:tblCellMar>
        </w:tblPrEx>
        <w:tc>
          <w:tcPr>
            <w:tcW w:w="3411" w:type="dxa"/>
            <w:tcMar>
              <w:left w:w="68" w:type="dxa"/>
              <w:right w:w="68" w:type="dxa"/>
            </w:tcMar>
            <w:vAlign w:val="bottom"/>
          </w:tcPr>
          <w:p w:rsidR="00000000" w:rsidRDefault="00000000">
            <w:r>
              <w:t>Dar es Salam</w:t>
            </w:r>
          </w:p>
        </w:tc>
        <w:tc>
          <w:tcPr>
            <w:tcW w:w="1944" w:type="dxa"/>
            <w:tcMar>
              <w:left w:w="68" w:type="dxa"/>
              <w:right w:w="68" w:type="dxa"/>
            </w:tcMar>
            <w:vAlign w:val="bottom"/>
          </w:tcPr>
          <w:p w:rsidR="00000000" w:rsidRDefault="00000000">
            <w:pPr>
              <w:pStyle w:val="H1"/>
              <w:keepNext w:val="0"/>
              <w:keepLines w:val="0"/>
              <w:tabs>
                <w:tab w:val="decimal" w:pos="841"/>
              </w:tabs>
              <w:suppressAutoHyphens w:val="0"/>
              <w:spacing w:line="240" w:lineRule="auto"/>
              <w:outlineLvl w:val="9"/>
              <w:rPr>
                <w:b w:val="0"/>
                <w:spacing w:val="0"/>
                <w:w w:val="100"/>
                <w:kern w:val="0"/>
              </w:rPr>
            </w:pPr>
            <w:r>
              <w:rPr>
                <w:b w:val="0"/>
                <w:spacing w:val="0"/>
                <w:w w:val="100"/>
                <w:kern w:val="0"/>
              </w:rPr>
              <w:t>0,30</w:t>
            </w:r>
          </w:p>
        </w:tc>
        <w:tc>
          <w:tcPr>
            <w:tcW w:w="1965" w:type="dxa"/>
            <w:tcMar>
              <w:left w:w="68" w:type="dxa"/>
              <w:right w:w="68" w:type="dxa"/>
            </w:tcMar>
            <w:vAlign w:val="bottom"/>
          </w:tcPr>
          <w:p w:rsidR="00000000" w:rsidRDefault="00000000">
            <w:pPr>
              <w:pStyle w:val="H1"/>
              <w:keepNext w:val="0"/>
              <w:keepLines w:val="0"/>
              <w:tabs>
                <w:tab w:val="decimal" w:pos="841"/>
              </w:tabs>
              <w:suppressAutoHyphens w:val="0"/>
              <w:spacing w:line="240" w:lineRule="auto"/>
              <w:outlineLvl w:val="9"/>
              <w:rPr>
                <w:b w:val="0"/>
                <w:spacing w:val="0"/>
                <w:w w:val="100"/>
                <w:kern w:val="0"/>
              </w:rPr>
            </w:pPr>
            <w:r>
              <w:rPr>
                <w:b w:val="0"/>
                <w:spacing w:val="0"/>
                <w:w w:val="100"/>
                <w:kern w:val="0"/>
              </w:rPr>
              <w:t>0,36</w:t>
            </w:r>
          </w:p>
        </w:tc>
      </w:tr>
      <w:tr w:rsidR="00000000">
        <w:tblPrEx>
          <w:tblCellMar>
            <w:top w:w="0" w:type="dxa"/>
            <w:left w:w="0" w:type="dxa"/>
            <w:bottom w:w="0" w:type="dxa"/>
            <w:right w:w="0" w:type="dxa"/>
          </w:tblCellMar>
        </w:tblPrEx>
        <w:tc>
          <w:tcPr>
            <w:tcW w:w="3411" w:type="dxa"/>
            <w:tcMar>
              <w:left w:w="68" w:type="dxa"/>
              <w:right w:w="68" w:type="dxa"/>
            </w:tcMar>
            <w:vAlign w:val="bottom"/>
          </w:tcPr>
          <w:p w:rsidR="00000000" w:rsidRDefault="00000000">
            <w:r>
              <w:t>Otras zonas urbanas</w:t>
            </w:r>
          </w:p>
        </w:tc>
        <w:tc>
          <w:tcPr>
            <w:tcW w:w="1944" w:type="dxa"/>
            <w:tcMar>
              <w:left w:w="68" w:type="dxa"/>
              <w:right w:w="68" w:type="dxa"/>
            </w:tcMar>
            <w:vAlign w:val="bottom"/>
          </w:tcPr>
          <w:p w:rsidR="00000000" w:rsidRDefault="00000000">
            <w:pPr>
              <w:pStyle w:val="H1"/>
              <w:keepNext w:val="0"/>
              <w:keepLines w:val="0"/>
              <w:tabs>
                <w:tab w:val="decimal" w:pos="841"/>
              </w:tabs>
              <w:suppressAutoHyphens w:val="0"/>
              <w:spacing w:line="240" w:lineRule="auto"/>
              <w:outlineLvl w:val="9"/>
              <w:rPr>
                <w:b w:val="0"/>
                <w:spacing w:val="0"/>
                <w:w w:val="100"/>
                <w:kern w:val="0"/>
              </w:rPr>
            </w:pPr>
            <w:r>
              <w:rPr>
                <w:b w:val="0"/>
                <w:spacing w:val="0"/>
                <w:w w:val="100"/>
                <w:kern w:val="0"/>
              </w:rPr>
              <w:t>0,35</w:t>
            </w:r>
          </w:p>
        </w:tc>
        <w:tc>
          <w:tcPr>
            <w:tcW w:w="1965" w:type="dxa"/>
            <w:tcMar>
              <w:left w:w="68" w:type="dxa"/>
              <w:right w:w="68" w:type="dxa"/>
            </w:tcMar>
            <w:vAlign w:val="bottom"/>
          </w:tcPr>
          <w:p w:rsidR="00000000" w:rsidRDefault="00000000">
            <w:pPr>
              <w:pStyle w:val="H1"/>
              <w:keepNext w:val="0"/>
              <w:keepLines w:val="0"/>
              <w:tabs>
                <w:tab w:val="decimal" w:pos="841"/>
              </w:tabs>
              <w:suppressAutoHyphens w:val="0"/>
              <w:spacing w:line="240" w:lineRule="auto"/>
              <w:outlineLvl w:val="9"/>
              <w:rPr>
                <w:b w:val="0"/>
                <w:spacing w:val="0"/>
                <w:w w:val="100"/>
                <w:kern w:val="0"/>
              </w:rPr>
            </w:pPr>
            <w:r>
              <w:rPr>
                <w:b w:val="0"/>
                <w:spacing w:val="0"/>
                <w:w w:val="100"/>
                <w:kern w:val="0"/>
              </w:rPr>
              <w:t>0,36</w:t>
            </w:r>
          </w:p>
        </w:tc>
      </w:tr>
      <w:tr w:rsidR="00000000">
        <w:tblPrEx>
          <w:tblCellMar>
            <w:top w:w="0" w:type="dxa"/>
            <w:left w:w="0" w:type="dxa"/>
            <w:bottom w:w="0" w:type="dxa"/>
            <w:right w:w="0" w:type="dxa"/>
          </w:tblCellMar>
        </w:tblPrEx>
        <w:tc>
          <w:tcPr>
            <w:tcW w:w="3411" w:type="dxa"/>
            <w:tcMar>
              <w:left w:w="68" w:type="dxa"/>
              <w:right w:w="68" w:type="dxa"/>
            </w:tcMar>
            <w:vAlign w:val="bottom"/>
          </w:tcPr>
          <w:p w:rsidR="00000000" w:rsidRDefault="00000000">
            <w:r>
              <w:t>Zonas rurales</w:t>
            </w:r>
          </w:p>
        </w:tc>
        <w:tc>
          <w:tcPr>
            <w:tcW w:w="1944" w:type="dxa"/>
            <w:tcMar>
              <w:left w:w="68" w:type="dxa"/>
              <w:right w:w="68" w:type="dxa"/>
            </w:tcMar>
            <w:vAlign w:val="bottom"/>
          </w:tcPr>
          <w:p w:rsidR="00000000" w:rsidRDefault="00000000">
            <w:pPr>
              <w:pStyle w:val="H1"/>
              <w:keepNext w:val="0"/>
              <w:keepLines w:val="0"/>
              <w:tabs>
                <w:tab w:val="decimal" w:pos="841"/>
              </w:tabs>
              <w:suppressAutoHyphens w:val="0"/>
              <w:spacing w:line="240" w:lineRule="auto"/>
              <w:outlineLvl w:val="9"/>
              <w:rPr>
                <w:b w:val="0"/>
                <w:spacing w:val="0"/>
                <w:w w:val="100"/>
                <w:kern w:val="0"/>
              </w:rPr>
            </w:pPr>
            <w:r>
              <w:rPr>
                <w:b w:val="0"/>
                <w:spacing w:val="0"/>
                <w:w w:val="100"/>
                <w:kern w:val="0"/>
              </w:rPr>
              <w:t>0,33</w:t>
            </w:r>
          </w:p>
        </w:tc>
        <w:tc>
          <w:tcPr>
            <w:tcW w:w="1965" w:type="dxa"/>
            <w:tcMar>
              <w:left w:w="68" w:type="dxa"/>
              <w:right w:w="68" w:type="dxa"/>
            </w:tcMar>
            <w:vAlign w:val="bottom"/>
          </w:tcPr>
          <w:p w:rsidR="00000000" w:rsidRDefault="00000000">
            <w:pPr>
              <w:pStyle w:val="H1"/>
              <w:keepNext w:val="0"/>
              <w:keepLines w:val="0"/>
              <w:tabs>
                <w:tab w:val="decimal" w:pos="841"/>
              </w:tabs>
              <w:suppressAutoHyphens w:val="0"/>
              <w:spacing w:line="240" w:lineRule="auto"/>
              <w:outlineLvl w:val="9"/>
              <w:rPr>
                <w:b w:val="0"/>
                <w:spacing w:val="0"/>
                <w:w w:val="100"/>
                <w:kern w:val="0"/>
              </w:rPr>
            </w:pPr>
            <w:r>
              <w:rPr>
                <w:b w:val="0"/>
                <w:spacing w:val="0"/>
                <w:w w:val="100"/>
                <w:kern w:val="0"/>
              </w:rPr>
              <w:t>0,36</w:t>
            </w:r>
          </w:p>
        </w:tc>
      </w:tr>
      <w:tr w:rsidR="00000000">
        <w:tblPrEx>
          <w:tblCellMar>
            <w:top w:w="0" w:type="dxa"/>
            <w:left w:w="0" w:type="dxa"/>
            <w:bottom w:w="0" w:type="dxa"/>
            <w:right w:w="0" w:type="dxa"/>
          </w:tblCellMar>
        </w:tblPrEx>
        <w:tc>
          <w:tcPr>
            <w:tcW w:w="3411" w:type="dxa"/>
            <w:tcMar>
              <w:left w:w="68" w:type="dxa"/>
              <w:right w:w="68" w:type="dxa"/>
            </w:tcMar>
            <w:vAlign w:val="bottom"/>
          </w:tcPr>
          <w:p w:rsidR="00000000" w:rsidRDefault="00000000">
            <w:r>
              <w:tab/>
              <w:t>Total</w:t>
            </w:r>
          </w:p>
        </w:tc>
        <w:tc>
          <w:tcPr>
            <w:tcW w:w="1944" w:type="dxa"/>
            <w:tcMar>
              <w:left w:w="68" w:type="dxa"/>
              <w:right w:w="68" w:type="dxa"/>
            </w:tcMar>
            <w:vAlign w:val="bottom"/>
          </w:tcPr>
          <w:p w:rsidR="00000000" w:rsidRDefault="00000000">
            <w:pPr>
              <w:pStyle w:val="H1"/>
              <w:keepNext w:val="0"/>
              <w:keepLines w:val="0"/>
              <w:tabs>
                <w:tab w:val="decimal" w:pos="841"/>
              </w:tabs>
              <w:suppressAutoHyphens w:val="0"/>
              <w:spacing w:line="240" w:lineRule="auto"/>
              <w:outlineLvl w:val="9"/>
              <w:rPr>
                <w:b w:val="0"/>
                <w:spacing w:val="0"/>
                <w:w w:val="100"/>
                <w:kern w:val="0"/>
              </w:rPr>
            </w:pPr>
            <w:r>
              <w:rPr>
                <w:b w:val="0"/>
                <w:spacing w:val="0"/>
                <w:w w:val="100"/>
                <w:kern w:val="0"/>
              </w:rPr>
              <w:t>0,34</w:t>
            </w:r>
          </w:p>
        </w:tc>
        <w:tc>
          <w:tcPr>
            <w:tcW w:w="1965" w:type="dxa"/>
            <w:tcMar>
              <w:left w:w="68" w:type="dxa"/>
              <w:right w:w="68" w:type="dxa"/>
            </w:tcMar>
            <w:vAlign w:val="bottom"/>
          </w:tcPr>
          <w:p w:rsidR="00000000" w:rsidRDefault="00000000">
            <w:pPr>
              <w:pStyle w:val="H1"/>
              <w:keepNext w:val="0"/>
              <w:keepLines w:val="0"/>
              <w:tabs>
                <w:tab w:val="decimal" w:pos="841"/>
              </w:tabs>
              <w:suppressAutoHyphens w:val="0"/>
              <w:spacing w:line="240" w:lineRule="auto"/>
              <w:outlineLvl w:val="9"/>
              <w:rPr>
                <w:b w:val="0"/>
                <w:spacing w:val="0"/>
                <w:w w:val="100"/>
                <w:kern w:val="0"/>
              </w:rPr>
            </w:pPr>
            <w:r>
              <w:rPr>
                <w:b w:val="0"/>
                <w:spacing w:val="0"/>
                <w:w w:val="100"/>
                <w:kern w:val="0"/>
              </w:rPr>
              <w:t>0,37</w:t>
            </w:r>
          </w:p>
        </w:tc>
      </w:tr>
    </w:tbl>
    <w:p w:rsidR="00000000" w:rsidRDefault="00000000">
      <w:pPr>
        <w:pStyle w:val="FootnoteText"/>
        <w:spacing w:before="200" w:after="480" w:line="240" w:lineRule="auto"/>
        <w:ind w:left="1200"/>
      </w:pPr>
      <w:r>
        <w:rPr>
          <w:i/>
          <w:iCs/>
        </w:rPr>
        <w:t>Fuente</w:t>
      </w:r>
      <w:r>
        <w:t>:  Informe sobre la pobreza y el desarrollo humano, 2002.</w:t>
      </w:r>
    </w:p>
    <w:p w:rsidR="00000000" w:rsidRDefault="00000000">
      <w:pPr>
        <w:pStyle w:val="H1"/>
        <w:keepNext w:val="0"/>
        <w:keepLines w:val="0"/>
        <w:suppressAutoHyphens w:val="0"/>
        <w:spacing w:after="240" w:line="240" w:lineRule="auto"/>
        <w:outlineLvl w:val="9"/>
        <w:rPr>
          <w:b w:val="0"/>
          <w:spacing w:val="0"/>
          <w:w w:val="100"/>
          <w:kern w:val="0"/>
        </w:rPr>
      </w:pPr>
      <w:r>
        <w:rPr>
          <w:bCs/>
          <w:spacing w:val="0"/>
          <w:w w:val="100"/>
          <w:kern w:val="0"/>
        </w:rPr>
        <w:t>Población</w:t>
      </w:r>
      <w:r>
        <w:rPr>
          <w:b w:val="0"/>
          <w:spacing w:val="0"/>
          <w:w w:val="100"/>
          <w:kern w:val="0"/>
        </w:rPr>
        <w:t xml:space="preserve">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15.</w:t>
      </w:r>
      <w:r>
        <w:rPr>
          <w:spacing w:val="0"/>
          <w:w w:val="100"/>
          <w:kern w:val="0"/>
          <w:sz w:val="24"/>
        </w:rPr>
        <w:tab/>
        <w:t>El censo de población es la principal fuente de datos sobre la población del p</w:t>
      </w:r>
      <w:r>
        <w:rPr>
          <w:spacing w:val="0"/>
          <w:w w:val="100"/>
          <w:kern w:val="0"/>
          <w:sz w:val="24"/>
        </w:rPr>
        <w:t>a</w:t>
      </w:r>
      <w:r>
        <w:rPr>
          <w:spacing w:val="0"/>
          <w:w w:val="100"/>
          <w:kern w:val="0"/>
          <w:sz w:val="24"/>
        </w:rPr>
        <w:t>ís.  Desde la independencia en 1961 y la unión de Zanzíbar y Tanganica en abril de 1964, Tanzanía ha realizado tres censos de población, en 1967, 1978 y 2002.  Otras fuentes de datos sobre la población son la encuesta demográfica nacional de 1973, las encuestas demográficas y de salud de 1991/92 y 1996, y la encuesta de salud reproductiva e infantil de 1999.  Entre 1967 y 2002, la población de Tanzanía ha cr</w:t>
      </w:r>
      <w:r>
        <w:rPr>
          <w:spacing w:val="0"/>
          <w:w w:val="100"/>
          <w:kern w:val="0"/>
          <w:sz w:val="24"/>
        </w:rPr>
        <w:t>e</w:t>
      </w:r>
      <w:r>
        <w:rPr>
          <w:spacing w:val="0"/>
          <w:w w:val="100"/>
          <w:kern w:val="0"/>
          <w:sz w:val="24"/>
        </w:rPr>
        <w:t>cido de 12,3 a 34,4 millones, es decir, casi se ha triplicado.  Las tasas de crecimiento de la población entre los censos de 1967, 1978 y 2002 fueron del 3,2%, el 2,8 y el 2,9%, respectivamente.  La tasa de crecimiento de la población en Zanzíbar es del 3%  anual.  Según el censo de población y vivienda del año 2002, Tanzanía contine</w:t>
      </w:r>
      <w:r>
        <w:rPr>
          <w:spacing w:val="0"/>
          <w:w w:val="100"/>
          <w:kern w:val="0"/>
          <w:sz w:val="24"/>
        </w:rPr>
        <w:t>n</w:t>
      </w:r>
      <w:r>
        <w:rPr>
          <w:spacing w:val="0"/>
          <w:w w:val="100"/>
          <w:kern w:val="0"/>
          <w:sz w:val="24"/>
        </w:rPr>
        <w:t>tal tiene en la actualidad una población de 33.584.607 habitantes, el 49% ho</w:t>
      </w:r>
      <w:r>
        <w:rPr>
          <w:spacing w:val="0"/>
          <w:w w:val="100"/>
          <w:kern w:val="0"/>
          <w:sz w:val="24"/>
        </w:rPr>
        <w:t>m</w:t>
      </w:r>
      <w:r>
        <w:rPr>
          <w:spacing w:val="0"/>
          <w:w w:val="100"/>
          <w:kern w:val="0"/>
          <w:sz w:val="24"/>
        </w:rPr>
        <w:t>bres y el 51% mujeres.  Zanzíbar tiene una población total de 984.625 habitantes, de los cuales 502.006 son mujeres y 482.619 son hombres.  Las mujeres representan más del 50% de la población en la República Unida de Tanzanía.  A continuación se r</w:t>
      </w:r>
      <w:r>
        <w:rPr>
          <w:spacing w:val="0"/>
          <w:w w:val="100"/>
          <w:kern w:val="0"/>
          <w:sz w:val="24"/>
        </w:rPr>
        <w:t>e</w:t>
      </w:r>
      <w:r>
        <w:rPr>
          <w:spacing w:val="0"/>
          <w:w w:val="100"/>
          <w:kern w:val="0"/>
          <w:sz w:val="24"/>
        </w:rPr>
        <w:t>sumen los indicadores sociodemográficos de Ta</w:t>
      </w:r>
      <w:r>
        <w:rPr>
          <w:spacing w:val="0"/>
          <w:w w:val="100"/>
          <w:kern w:val="0"/>
          <w:sz w:val="24"/>
        </w:rPr>
        <w:t>n</w:t>
      </w:r>
      <w:r>
        <w:rPr>
          <w:spacing w:val="0"/>
          <w:w w:val="100"/>
          <w:kern w:val="0"/>
          <w:sz w:val="24"/>
        </w:rPr>
        <w:t>zanía:</w:t>
      </w:r>
    </w:p>
    <w:p w:rsidR="00000000" w:rsidRDefault="00000000">
      <w:pPr>
        <w:pStyle w:val="H23"/>
        <w:keepNext w:val="0"/>
        <w:keepLines w:val="0"/>
        <w:suppressAutoHyphens w:val="0"/>
        <w:spacing w:after="240" w:line="240" w:lineRule="auto"/>
        <w:jc w:val="center"/>
        <w:outlineLvl w:val="9"/>
        <w:rPr>
          <w:bCs/>
          <w:spacing w:val="0"/>
          <w:w w:val="100"/>
          <w:kern w:val="0"/>
          <w:sz w:val="24"/>
        </w:rPr>
      </w:pPr>
      <w:r>
        <w:rPr>
          <w:bCs/>
          <w:spacing w:val="0"/>
          <w:w w:val="100"/>
          <w:kern w:val="0"/>
          <w:sz w:val="24"/>
        </w:rPr>
        <w:t>Cuadro 4</w:t>
      </w:r>
    </w:p>
    <w:p w:rsidR="00000000" w:rsidRDefault="00000000">
      <w:pPr>
        <w:pStyle w:val="H23"/>
        <w:keepNext w:val="0"/>
        <w:keepLines w:val="0"/>
        <w:suppressAutoHyphens w:val="0"/>
        <w:spacing w:after="240" w:line="240" w:lineRule="auto"/>
        <w:jc w:val="center"/>
        <w:outlineLvl w:val="9"/>
        <w:rPr>
          <w:bCs/>
          <w:spacing w:val="0"/>
          <w:w w:val="100"/>
          <w:kern w:val="0"/>
          <w:sz w:val="24"/>
        </w:rPr>
      </w:pPr>
      <w:r>
        <w:rPr>
          <w:bCs/>
          <w:spacing w:val="0"/>
          <w:w w:val="100"/>
          <w:kern w:val="0"/>
          <w:sz w:val="24"/>
        </w:rPr>
        <w:t>Resumen de los indicadores sociodemográficos</w:t>
      </w:r>
    </w:p>
    <w:tbl>
      <w:tblPr>
        <w:tblW w:w="0" w:type="auto"/>
        <w:jc w:val="center"/>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830"/>
        <w:gridCol w:w="2370"/>
        <w:gridCol w:w="2106"/>
      </w:tblGrid>
      <w:tr w:rsidR="00000000">
        <w:tblPrEx>
          <w:tblCellMar>
            <w:top w:w="0" w:type="dxa"/>
            <w:left w:w="0" w:type="dxa"/>
            <w:bottom w:w="0" w:type="dxa"/>
            <w:right w:w="0" w:type="dxa"/>
          </w:tblCellMar>
        </w:tblPrEx>
        <w:trPr>
          <w:tblHeader/>
          <w:jc w:val="center"/>
        </w:trPr>
        <w:tc>
          <w:tcPr>
            <w:tcW w:w="4830" w:type="dxa"/>
            <w:tcMar>
              <w:left w:w="108" w:type="dxa"/>
              <w:right w:w="108" w:type="dxa"/>
            </w:tcMar>
            <w:vAlign w:val="center"/>
          </w:tcPr>
          <w:p w:rsidR="00000000" w:rsidRDefault="00000000">
            <w:pPr>
              <w:jc w:val="center"/>
            </w:pPr>
            <w:r>
              <w:t>Indicadores</w:t>
            </w:r>
          </w:p>
        </w:tc>
        <w:tc>
          <w:tcPr>
            <w:tcW w:w="2370" w:type="dxa"/>
            <w:tcMar>
              <w:left w:w="108" w:type="dxa"/>
              <w:right w:w="108" w:type="dxa"/>
            </w:tcMar>
            <w:vAlign w:val="center"/>
          </w:tcPr>
          <w:p w:rsidR="00000000" w:rsidRDefault="00000000">
            <w:pPr>
              <w:jc w:val="center"/>
            </w:pPr>
            <w:r>
              <w:t>Tanzanía continental</w:t>
            </w:r>
          </w:p>
        </w:tc>
        <w:tc>
          <w:tcPr>
            <w:tcW w:w="2106" w:type="dxa"/>
            <w:tcMar>
              <w:left w:w="108" w:type="dxa"/>
              <w:right w:w="108" w:type="dxa"/>
            </w:tcMar>
            <w:vAlign w:val="center"/>
          </w:tcPr>
          <w:p w:rsidR="00000000" w:rsidRDefault="00000000">
            <w:pPr>
              <w:jc w:val="center"/>
            </w:pPr>
            <w:r>
              <w:t>Zanzíbar</w:t>
            </w:r>
          </w:p>
        </w:tc>
      </w:tr>
      <w:tr w:rsidR="00000000">
        <w:tblPrEx>
          <w:tblCellMar>
            <w:top w:w="0" w:type="dxa"/>
            <w:left w:w="0" w:type="dxa"/>
            <w:bottom w:w="0" w:type="dxa"/>
            <w:right w:w="0" w:type="dxa"/>
          </w:tblCellMar>
        </w:tblPrEx>
        <w:trPr>
          <w:jc w:val="center"/>
        </w:trPr>
        <w:tc>
          <w:tcPr>
            <w:tcW w:w="4830" w:type="dxa"/>
            <w:tcMar>
              <w:left w:w="108" w:type="dxa"/>
              <w:right w:w="108" w:type="dxa"/>
            </w:tcMar>
            <w:vAlign w:val="bottom"/>
          </w:tcPr>
          <w:p w:rsidR="00000000" w:rsidRDefault="00000000">
            <w:r>
              <w:t>Población</w:t>
            </w:r>
          </w:p>
        </w:tc>
        <w:tc>
          <w:tcPr>
            <w:tcW w:w="2370" w:type="dxa"/>
            <w:tcMar>
              <w:left w:w="108" w:type="dxa"/>
              <w:right w:w="108" w:type="dxa"/>
            </w:tcMar>
            <w:vAlign w:val="bottom"/>
          </w:tcPr>
          <w:p w:rsidR="00000000" w:rsidRDefault="00000000">
            <w:r>
              <w:t>33.584.607</w:t>
            </w:r>
          </w:p>
        </w:tc>
        <w:tc>
          <w:tcPr>
            <w:tcW w:w="2106" w:type="dxa"/>
            <w:tcMar>
              <w:left w:w="108" w:type="dxa"/>
              <w:right w:w="108" w:type="dxa"/>
            </w:tcMar>
            <w:vAlign w:val="bottom"/>
          </w:tcPr>
          <w:p w:rsidR="00000000" w:rsidRDefault="00000000">
            <w:r>
              <w:t>984.625</w:t>
            </w:r>
          </w:p>
        </w:tc>
      </w:tr>
      <w:tr w:rsidR="00000000">
        <w:tblPrEx>
          <w:tblCellMar>
            <w:top w:w="0" w:type="dxa"/>
            <w:left w:w="0" w:type="dxa"/>
            <w:bottom w:w="0" w:type="dxa"/>
            <w:right w:w="0" w:type="dxa"/>
          </w:tblCellMar>
        </w:tblPrEx>
        <w:trPr>
          <w:jc w:val="center"/>
        </w:trPr>
        <w:tc>
          <w:tcPr>
            <w:tcW w:w="4830" w:type="dxa"/>
            <w:tcMar>
              <w:left w:w="108" w:type="dxa"/>
              <w:right w:w="108" w:type="dxa"/>
            </w:tcMar>
            <w:vAlign w:val="bottom"/>
          </w:tcPr>
          <w:p w:rsidR="00000000" w:rsidRDefault="00000000">
            <w:r>
              <w:t>Tasa de crecimiento de la población</w:t>
            </w:r>
          </w:p>
        </w:tc>
        <w:tc>
          <w:tcPr>
            <w:tcW w:w="2370" w:type="dxa"/>
            <w:tcMar>
              <w:left w:w="108" w:type="dxa"/>
              <w:right w:w="108" w:type="dxa"/>
            </w:tcMar>
            <w:vAlign w:val="bottom"/>
          </w:tcPr>
          <w:p w:rsidR="00000000" w:rsidRDefault="00000000">
            <w:r>
              <w:t>2,9% anual</w:t>
            </w:r>
          </w:p>
        </w:tc>
        <w:tc>
          <w:tcPr>
            <w:tcW w:w="2106" w:type="dxa"/>
            <w:tcMar>
              <w:left w:w="108" w:type="dxa"/>
              <w:right w:w="108" w:type="dxa"/>
            </w:tcMar>
            <w:vAlign w:val="bottom"/>
          </w:tcPr>
          <w:p w:rsidR="00000000" w:rsidRDefault="00000000">
            <w:r>
              <w:t>3,1% anual</w:t>
            </w:r>
          </w:p>
        </w:tc>
      </w:tr>
      <w:tr w:rsidR="00000000">
        <w:tblPrEx>
          <w:tblCellMar>
            <w:top w:w="0" w:type="dxa"/>
            <w:left w:w="0" w:type="dxa"/>
            <w:bottom w:w="0" w:type="dxa"/>
            <w:right w:w="0" w:type="dxa"/>
          </w:tblCellMar>
        </w:tblPrEx>
        <w:trPr>
          <w:jc w:val="center"/>
        </w:trPr>
        <w:tc>
          <w:tcPr>
            <w:tcW w:w="4830" w:type="dxa"/>
            <w:tcMar>
              <w:left w:w="108" w:type="dxa"/>
              <w:right w:w="108" w:type="dxa"/>
            </w:tcMar>
            <w:vAlign w:val="bottom"/>
          </w:tcPr>
          <w:p w:rsidR="00000000" w:rsidRDefault="00000000">
            <w:r>
              <w:t>Población urbana (porcentaje)</w:t>
            </w:r>
          </w:p>
        </w:tc>
        <w:tc>
          <w:tcPr>
            <w:tcW w:w="2370" w:type="dxa"/>
            <w:tcMar>
              <w:left w:w="108" w:type="dxa"/>
              <w:right w:w="108" w:type="dxa"/>
            </w:tcMar>
            <w:vAlign w:val="bottom"/>
          </w:tcPr>
          <w:p w:rsidR="00000000" w:rsidRDefault="00000000">
            <w:r>
              <w:t>24,2</w:t>
            </w:r>
          </w:p>
        </w:tc>
        <w:tc>
          <w:tcPr>
            <w:tcW w:w="2106" w:type="dxa"/>
            <w:tcMar>
              <w:left w:w="108" w:type="dxa"/>
              <w:right w:w="108" w:type="dxa"/>
            </w:tcMar>
            <w:vAlign w:val="bottom"/>
          </w:tcPr>
          <w:p w:rsidR="00000000" w:rsidRDefault="00000000">
            <w:r>
              <w:t>33,4</w:t>
            </w:r>
          </w:p>
        </w:tc>
      </w:tr>
      <w:tr w:rsidR="00000000">
        <w:tblPrEx>
          <w:tblCellMar>
            <w:top w:w="0" w:type="dxa"/>
            <w:left w:w="0" w:type="dxa"/>
            <w:bottom w:w="0" w:type="dxa"/>
            <w:right w:w="0" w:type="dxa"/>
          </w:tblCellMar>
        </w:tblPrEx>
        <w:trPr>
          <w:jc w:val="center"/>
        </w:trPr>
        <w:tc>
          <w:tcPr>
            <w:tcW w:w="4830" w:type="dxa"/>
            <w:tcMar>
              <w:left w:w="108" w:type="dxa"/>
              <w:right w:w="108" w:type="dxa"/>
            </w:tcMar>
            <w:vAlign w:val="bottom"/>
          </w:tcPr>
          <w:p w:rsidR="00000000" w:rsidRDefault="00000000">
            <w:r>
              <w:t>Población rural (porcentaje)</w:t>
            </w:r>
          </w:p>
        </w:tc>
        <w:tc>
          <w:tcPr>
            <w:tcW w:w="2370" w:type="dxa"/>
            <w:tcMar>
              <w:left w:w="108" w:type="dxa"/>
              <w:right w:w="108" w:type="dxa"/>
            </w:tcMar>
            <w:vAlign w:val="bottom"/>
          </w:tcPr>
          <w:p w:rsidR="00000000" w:rsidRDefault="00000000">
            <w:r>
              <w:t>75,8</w:t>
            </w:r>
          </w:p>
        </w:tc>
        <w:tc>
          <w:tcPr>
            <w:tcW w:w="2106" w:type="dxa"/>
            <w:tcMar>
              <w:left w:w="108" w:type="dxa"/>
              <w:right w:w="108" w:type="dxa"/>
            </w:tcMar>
            <w:vAlign w:val="bottom"/>
          </w:tcPr>
          <w:p w:rsidR="00000000" w:rsidRDefault="00000000">
            <w:r>
              <w:t>66,6</w:t>
            </w:r>
          </w:p>
        </w:tc>
      </w:tr>
      <w:tr w:rsidR="00000000">
        <w:tblPrEx>
          <w:tblCellMar>
            <w:top w:w="0" w:type="dxa"/>
            <w:left w:w="0" w:type="dxa"/>
            <w:bottom w:w="0" w:type="dxa"/>
            <w:right w:w="0" w:type="dxa"/>
          </w:tblCellMar>
        </w:tblPrEx>
        <w:trPr>
          <w:jc w:val="center"/>
        </w:trPr>
        <w:tc>
          <w:tcPr>
            <w:tcW w:w="4830" w:type="dxa"/>
            <w:tcMar>
              <w:left w:w="108" w:type="dxa"/>
              <w:right w:w="108" w:type="dxa"/>
            </w:tcMar>
            <w:vAlign w:val="bottom"/>
          </w:tcPr>
          <w:p w:rsidR="00000000" w:rsidRDefault="00000000">
            <w:r>
              <w:t>Coeficiente mujeres:  hombres</w:t>
            </w:r>
          </w:p>
        </w:tc>
        <w:tc>
          <w:tcPr>
            <w:tcW w:w="2370" w:type="dxa"/>
            <w:tcMar>
              <w:left w:w="108" w:type="dxa"/>
              <w:right w:w="108" w:type="dxa"/>
            </w:tcMar>
            <w:vAlign w:val="bottom"/>
          </w:tcPr>
          <w:p w:rsidR="00000000" w:rsidRDefault="00000000">
            <w:r>
              <w:t>100:96</w:t>
            </w:r>
          </w:p>
        </w:tc>
        <w:tc>
          <w:tcPr>
            <w:tcW w:w="2106" w:type="dxa"/>
            <w:tcMar>
              <w:left w:w="108" w:type="dxa"/>
              <w:right w:w="108" w:type="dxa"/>
            </w:tcMar>
            <w:vAlign w:val="bottom"/>
          </w:tcPr>
          <w:p w:rsidR="00000000" w:rsidRDefault="00000000">
            <w:r>
              <w:t>105:95</w:t>
            </w:r>
          </w:p>
        </w:tc>
      </w:tr>
      <w:tr w:rsidR="00000000">
        <w:tblPrEx>
          <w:tblCellMar>
            <w:top w:w="0" w:type="dxa"/>
            <w:left w:w="0" w:type="dxa"/>
            <w:bottom w:w="0" w:type="dxa"/>
            <w:right w:w="0" w:type="dxa"/>
          </w:tblCellMar>
        </w:tblPrEx>
        <w:trPr>
          <w:jc w:val="center"/>
        </w:trPr>
        <w:tc>
          <w:tcPr>
            <w:tcW w:w="4830" w:type="dxa"/>
            <w:tcMar>
              <w:left w:w="108" w:type="dxa"/>
              <w:right w:w="108" w:type="dxa"/>
            </w:tcMar>
            <w:vAlign w:val="bottom"/>
          </w:tcPr>
          <w:p w:rsidR="00000000" w:rsidRDefault="00000000">
            <w:r>
              <w:t>Tasa de mortalidad infantil por 1.000</w:t>
            </w:r>
          </w:p>
        </w:tc>
        <w:tc>
          <w:tcPr>
            <w:tcW w:w="2370" w:type="dxa"/>
            <w:tcMar>
              <w:left w:w="108" w:type="dxa"/>
              <w:right w:w="108" w:type="dxa"/>
            </w:tcMar>
            <w:vAlign w:val="bottom"/>
          </w:tcPr>
          <w:p w:rsidR="00000000" w:rsidRDefault="00000000">
            <w:r>
              <w:t>104</w:t>
            </w:r>
          </w:p>
        </w:tc>
        <w:tc>
          <w:tcPr>
            <w:tcW w:w="2106" w:type="dxa"/>
            <w:tcMar>
              <w:left w:w="108" w:type="dxa"/>
              <w:right w:w="108" w:type="dxa"/>
            </w:tcMar>
            <w:vAlign w:val="bottom"/>
          </w:tcPr>
          <w:p w:rsidR="00000000" w:rsidRDefault="00000000">
            <w:r>
              <w:t>90</w:t>
            </w:r>
          </w:p>
        </w:tc>
      </w:tr>
      <w:tr w:rsidR="00000000">
        <w:tblPrEx>
          <w:tblCellMar>
            <w:top w:w="0" w:type="dxa"/>
            <w:left w:w="0" w:type="dxa"/>
            <w:bottom w:w="0" w:type="dxa"/>
            <w:right w:w="0" w:type="dxa"/>
          </w:tblCellMar>
        </w:tblPrEx>
        <w:trPr>
          <w:jc w:val="center"/>
        </w:trPr>
        <w:tc>
          <w:tcPr>
            <w:tcW w:w="4830" w:type="dxa"/>
            <w:tcMar>
              <w:left w:w="108" w:type="dxa"/>
              <w:right w:w="108" w:type="dxa"/>
            </w:tcMar>
            <w:vAlign w:val="bottom"/>
          </w:tcPr>
          <w:p w:rsidR="00000000" w:rsidRDefault="00000000">
            <w:r>
              <w:t>Tasa de mortalidad de niños menores de 5 años  por 10.000</w:t>
            </w:r>
          </w:p>
        </w:tc>
        <w:tc>
          <w:tcPr>
            <w:tcW w:w="2370" w:type="dxa"/>
            <w:tcMar>
              <w:left w:w="108" w:type="dxa"/>
              <w:right w:w="108" w:type="dxa"/>
            </w:tcMar>
            <w:vAlign w:val="bottom"/>
          </w:tcPr>
          <w:p w:rsidR="00000000" w:rsidRDefault="00000000">
            <w:r>
              <w:t>165</w:t>
            </w:r>
          </w:p>
        </w:tc>
        <w:tc>
          <w:tcPr>
            <w:tcW w:w="2106" w:type="dxa"/>
            <w:tcMar>
              <w:left w:w="108" w:type="dxa"/>
              <w:right w:w="108" w:type="dxa"/>
            </w:tcMar>
            <w:vAlign w:val="bottom"/>
          </w:tcPr>
          <w:p w:rsidR="00000000" w:rsidRDefault="00000000">
            <w:r>
              <w:t>114</w:t>
            </w:r>
          </w:p>
        </w:tc>
      </w:tr>
      <w:tr w:rsidR="00000000">
        <w:tblPrEx>
          <w:tblCellMar>
            <w:top w:w="0" w:type="dxa"/>
            <w:left w:w="0" w:type="dxa"/>
            <w:bottom w:w="0" w:type="dxa"/>
            <w:right w:w="0" w:type="dxa"/>
          </w:tblCellMar>
        </w:tblPrEx>
        <w:trPr>
          <w:jc w:val="center"/>
        </w:trPr>
        <w:tc>
          <w:tcPr>
            <w:tcW w:w="4830" w:type="dxa"/>
            <w:tcMar>
              <w:left w:w="108" w:type="dxa"/>
              <w:right w:w="108" w:type="dxa"/>
            </w:tcMar>
            <w:vAlign w:val="bottom"/>
          </w:tcPr>
          <w:p w:rsidR="00000000" w:rsidRDefault="00000000">
            <w:r>
              <w:t>Tasa de mortalidad materna por 100.000</w:t>
            </w:r>
          </w:p>
        </w:tc>
        <w:tc>
          <w:tcPr>
            <w:tcW w:w="2370" w:type="dxa"/>
            <w:tcMar>
              <w:left w:w="108" w:type="dxa"/>
              <w:right w:w="108" w:type="dxa"/>
            </w:tcMar>
            <w:vAlign w:val="bottom"/>
          </w:tcPr>
          <w:p w:rsidR="00000000" w:rsidRDefault="00000000">
            <w:r>
              <w:t>525</w:t>
            </w:r>
          </w:p>
        </w:tc>
        <w:tc>
          <w:tcPr>
            <w:tcW w:w="2106" w:type="dxa"/>
            <w:tcMar>
              <w:left w:w="108" w:type="dxa"/>
              <w:right w:w="108" w:type="dxa"/>
            </w:tcMar>
            <w:vAlign w:val="bottom"/>
          </w:tcPr>
          <w:p w:rsidR="00000000" w:rsidRDefault="00000000">
            <w:r>
              <w:t>377</w:t>
            </w:r>
          </w:p>
        </w:tc>
      </w:tr>
      <w:tr w:rsidR="00000000">
        <w:tblPrEx>
          <w:tblCellMar>
            <w:top w:w="0" w:type="dxa"/>
            <w:left w:w="0" w:type="dxa"/>
            <w:bottom w:w="0" w:type="dxa"/>
            <w:right w:w="0" w:type="dxa"/>
          </w:tblCellMar>
        </w:tblPrEx>
        <w:trPr>
          <w:jc w:val="center"/>
        </w:trPr>
        <w:tc>
          <w:tcPr>
            <w:tcW w:w="4830" w:type="dxa"/>
            <w:tcMar>
              <w:left w:w="108" w:type="dxa"/>
              <w:right w:w="108" w:type="dxa"/>
            </w:tcMar>
            <w:vAlign w:val="bottom"/>
          </w:tcPr>
          <w:p w:rsidR="00000000" w:rsidRDefault="00000000">
            <w:r>
              <w:t>Esperanza de vida</w:t>
            </w:r>
          </w:p>
        </w:tc>
        <w:tc>
          <w:tcPr>
            <w:tcW w:w="2370" w:type="dxa"/>
            <w:tcMar>
              <w:left w:w="108" w:type="dxa"/>
              <w:right w:w="108" w:type="dxa"/>
            </w:tcMar>
            <w:vAlign w:val="bottom"/>
          </w:tcPr>
          <w:p w:rsidR="00000000" w:rsidRDefault="00000000">
            <w:r>
              <w:t>48 años</w:t>
            </w:r>
          </w:p>
        </w:tc>
        <w:tc>
          <w:tcPr>
            <w:tcW w:w="2106" w:type="dxa"/>
            <w:tcMar>
              <w:left w:w="108" w:type="dxa"/>
              <w:right w:w="108" w:type="dxa"/>
            </w:tcMar>
            <w:vAlign w:val="bottom"/>
          </w:tcPr>
          <w:p w:rsidR="00000000" w:rsidRDefault="00000000">
            <w:r>
              <w:t>48 años</w:t>
            </w:r>
          </w:p>
        </w:tc>
      </w:tr>
      <w:tr w:rsidR="00000000">
        <w:tblPrEx>
          <w:tblCellMar>
            <w:top w:w="0" w:type="dxa"/>
            <w:left w:w="0" w:type="dxa"/>
            <w:bottom w:w="0" w:type="dxa"/>
            <w:right w:w="0" w:type="dxa"/>
          </w:tblCellMar>
        </w:tblPrEx>
        <w:trPr>
          <w:jc w:val="center"/>
        </w:trPr>
        <w:tc>
          <w:tcPr>
            <w:tcW w:w="4830" w:type="dxa"/>
            <w:tcMar>
              <w:left w:w="108" w:type="dxa"/>
              <w:right w:w="108" w:type="dxa"/>
            </w:tcMar>
          </w:tcPr>
          <w:p w:rsidR="00000000" w:rsidRDefault="00000000">
            <w:r>
              <w:t>Ingresos per cápita</w:t>
            </w:r>
          </w:p>
        </w:tc>
        <w:tc>
          <w:tcPr>
            <w:tcW w:w="2370" w:type="dxa"/>
            <w:tcMar>
              <w:left w:w="108" w:type="dxa"/>
              <w:right w:w="108" w:type="dxa"/>
            </w:tcMar>
            <w:vAlign w:val="bottom"/>
          </w:tcPr>
          <w:p w:rsidR="00000000" w:rsidRDefault="00000000">
            <w:r>
              <w:t xml:space="preserve">265,3 dólares EE.UU. (2002) </w:t>
            </w:r>
          </w:p>
        </w:tc>
        <w:tc>
          <w:tcPr>
            <w:tcW w:w="2106" w:type="dxa"/>
            <w:tcMar>
              <w:left w:w="108" w:type="dxa"/>
              <w:right w:w="108" w:type="dxa"/>
            </w:tcMar>
            <w:vAlign w:val="bottom"/>
          </w:tcPr>
          <w:p w:rsidR="00000000" w:rsidRDefault="00000000">
            <w:r>
              <w:t>250 dólares  EE.UU. (2002)</w:t>
            </w:r>
          </w:p>
        </w:tc>
      </w:tr>
    </w:tbl>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80" w:after="240" w:line="240" w:lineRule="auto"/>
        <w:ind w:left="0" w:right="0"/>
        <w:jc w:val="left"/>
        <w:rPr>
          <w:spacing w:val="0"/>
          <w:w w:val="100"/>
          <w:kern w:val="0"/>
          <w:sz w:val="24"/>
        </w:rPr>
      </w:pPr>
      <w:r>
        <w:rPr>
          <w:spacing w:val="0"/>
          <w:w w:val="100"/>
          <w:kern w:val="0"/>
          <w:sz w:val="24"/>
        </w:rPr>
        <w:t>16.</w:t>
      </w:r>
      <w:r>
        <w:rPr>
          <w:spacing w:val="0"/>
          <w:w w:val="100"/>
          <w:kern w:val="0"/>
          <w:sz w:val="24"/>
        </w:rPr>
        <w:tab/>
        <w:t>Los resultados del censo indican que unas dos terceras partes de la población se concentran en una cuarta parte del territorio.  La distribución de la población por región oscila entre 12 y 1.793 personas por kilómetro cuadrado.  Aproximadamente el 77% de la población de Tanzanía vive en zonas rurales, donde la mayoría son p</w:t>
      </w:r>
      <w:r>
        <w:rPr>
          <w:spacing w:val="0"/>
          <w:w w:val="100"/>
          <w:kern w:val="0"/>
          <w:sz w:val="24"/>
        </w:rPr>
        <w:t>o</w:t>
      </w:r>
      <w:r>
        <w:rPr>
          <w:spacing w:val="0"/>
          <w:w w:val="100"/>
          <w:kern w:val="0"/>
          <w:sz w:val="24"/>
        </w:rPr>
        <w:t>bres, aunque la población urbana ha crecido con rapidez debido principalmente a la migración del campo a la ciudad.</w:t>
      </w:r>
    </w:p>
    <w:p w:rsidR="00000000" w:rsidRDefault="00000000">
      <w:pPr>
        <w:pStyle w:val="HCh"/>
        <w:keepNext w:val="0"/>
        <w:keepLines w:val="0"/>
        <w:suppressAutoHyphens w:val="0"/>
        <w:spacing w:before="480" w:after="240" w:line="240" w:lineRule="auto"/>
        <w:jc w:val="center"/>
        <w:outlineLvl w:val="9"/>
        <w:rPr>
          <w:bCs/>
          <w:spacing w:val="0"/>
          <w:w w:val="100"/>
          <w:kern w:val="0"/>
          <w:sz w:val="24"/>
        </w:rPr>
      </w:pPr>
      <w:r>
        <w:rPr>
          <w:bCs/>
          <w:spacing w:val="0"/>
          <w:w w:val="100"/>
          <w:kern w:val="0"/>
          <w:sz w:val="24"/>
        </w:rPr>
        <w:t>I.  MEDIDAS GENERALES DE APLICACIÓN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17.</w:t>
      </w:r>
      <w:r>
        <w:rPr>
          <w:spacing w:val="0"/>
          <w:w w:val="100"/>
          <w:kern w:val="0"/>
          <w:sz w:val="24"/>
        </w:rPr>
        <w:tab/>
        <w:t>Desde 1998, la República Unida de Tanzanía ha tomado las siguientes medidas a fin de armonizar las políticas, leyes y prácticas nacionales con las disposiciones de la Convención sobre los Derechos del Niño (artículos 4 y 42 y párrafo 6 del artíc</w:t>
      </w:r>
      <w:r>
        <w:rPr>
          <w:spacing w:val="0"/>
          <w:w w:val="100"/>
          <w:kern w:val="0"/>
          <w:sz w:val="24"/>
        </w:rPr>
        <w:t>u</w:t>
      </w:r>
      <w:r>
        <w:rPr>
          <w:spacing w:val="0"/>
          <w:w w:val="100"/>
          <w:kern w:val="0"/>
          <w:sz w:val="24"/>
        </w:rPr>
        <w:t>lo 44).</w:t>
      </w:r>
    </w:p>
    <w:p w:rsidR="00000000" w:rsidRDefault="00000000">
      <w:pPr>
        <w:pStyle w:val="H23"/>
        <w:keepNext w:val="0"/>
        <w:keepLines w:val="0"/>
        <w:suppressAutoHyphens w:val="0"/>
        <w:spacing w:after="240" w:line="240" w:lineRule="auto"/>
        <w:outlineLvl w:val="9"/>
        <w:rPr>
          <w:bCs/>
          <w:spacing w:val="0"/>
          <w:w w:val="100"/>
          <w:kern w:val="0"/>
          <w:sz w:val="24"/>
        </w:rPr>
      </w:pPr>
      <w:r>
        <w:rPr>
          <w:bCs/>
          <w:spacing w:val="0"/>
          <w:w w:val="100"/>
          <w:kern w:val="0"/>
          <w:sz w:val="24"/>
        </w:rPr>
        <w:t>Voluntad política de mejorar la condición del niño y la mujer</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18.</w:t>
      </w:r>
      <w:r>
        <w:rPr>
          <w:spacing w:val="0"/>
          <w:w w:val="100"/>
          <w:kern w:val="0"/>
          <w:sz w:val="24"/>
        </w:rPr>
        <w:tab/>
        <w:t>En junio de 2001, el Gobierno de la República Unida de Tanzanía ratificó el Convenio Nº 182 de la Organización Internacional del Trabajo (OIT) sobre la prohibición de las peores formas de trabajo infantil.  En marzo de 2003, el Gobierno también ratificó la Carta Africana sobre los Derechos y el Bienestar del Niño y dos protocolos facultativos de la Convención sobre los Derechos del Niño relativos a la participación de niños en los conflictos armados, y a la venta de niños, la prostit</w:t>
      </w:r>
      <w:r>
        <w:rPr>
          <w:spacing w:val="0"/>
          <w:w w:val="100"/>
          <w:kern w:val="0"/>
          <w:sz w:val="24"/>
        </w:rPr>
        <w:t>u</w:t>
      </w:r>
      <w:r>
        <w:rPr>
          <w:spacing w:val="0"/>
          <w:w w:val="100"/>
          <w:kern w:val="0"/>
          <w:sz w:val="24"/>
        </w:rPr>
        <w:t xml:space="preserve">ción infantil y la utilización de niños en la pornografía, respectivamente.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19.</w:t>
      </w:r>
      <w:r>
        <w:rPr>
          <w:spacing w:val="0"/>
          <w:w w:val="100"/>
          <w:kern w:val="0"/>
          <w:sz w:val="24"/>
        </w:rPr>
        <w:tab/>
        <w:t>La Política de promoción del niño de 1996 ha sido revisada y se encuentra a la espera de la aprobación del Gabinete.  La revisión se realizó con el fin de incluir en la política algunos elementos nuevos, a saber:  la participación de los niños en todas las cuestiones que afectan sus vidas, los efectos de la pandemia del VIH/SIDA, la protección del niño contra las peores formas del trabajo infantil, la no discrimin</w:t>
      </w:r>
      <w:r>
        <w:rPr>
          <w:spacing w:val="0"/>
          <w:w w:val="100"/>
          <w:kern w:val="0"/>
          <w:sz w:val="24"/>
        </w:rPr>
        <w:t>a</w:t>
      </w:r>
      <w:r>
        <w:rPr>
          <w:spacing w:val="0"/>
          <w:w w:val="100"/>
          <w:kern w:val="0"/>
          <w:sz w:val="24"/>
        </w:rPr>
        <w:t>ción del niño y la protección de los niños más vulnerables.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20.</w:t>
      </w:r>
      <w:r>
        <w:rPr>
          <w:spacing w:val="0"/>
          <w:w w:val="100"/>
          <w:kern w:val="0"/>
          <w:sz w:val="24"/>
        </w:rPr>
        <w:tab/>
        <w:t>En noviembre de 2001 se aprobó una Política nacional contra el VIH/SIDA, con el objetivo de brindar un marco de dirección y coordinación para la acción n</w:t>
      </w:r>
      <w:r>
        <w:rPr>
          <w:spacing w:val="0"/>
          <w:w w:val="100"/>
          <w:kern w:val="0"/>
          <w:sz w:val="24"/>
        </w:rPr>
        <w:t>a</w:t>
      </w:r>
      <w:r>
        <w:rPr>
          <w:spacing w:val="0"/>
          <w:w w:val="100"/>
          <w:kern w:val="0"/>
          <w:sz w:val="24"/>
        </w:rPr>
        <w:t>cional multise</w:t>
      </w:r>
      <w:r>
        <w:rPr>
          <w:spacing w:val="0"/>
          <w:w w:val="100"/>
          <w:kern w:val="0"/>
          <w:sz w:val="24"/>
        </w:rPr>
        <w:t>c</w:t>
      </w:r>
      <w:r>
        <w:rPr>
          <w:spacing w:val="0"/>
          <w:w w:val="100"/>
          <w:kern w:val="0"/>
          <w:sz w:val="24"/>
        </w:rPr>
        <w:t>torial contra la epidemia del VIH/SIDA.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21.</w:t>
      </w:r>
      <w:r>
        <w:rPr>
          <w:spacing w:val="0"/>
          <w:w w:val="100"/>
          <w:kern w:val="0"/>
          <w:sz w:val="24"/>
        </w:rPr>
        <w:tab/>
        <w:t>En febrero de 2003 se comenzó a aplicar un marco estratégico nacional mult</w:t>
      </w:r>
      <w:r>
        <w:rPr>
          <w:spacing w:val="0"/>
          <w:w w:val="100"/>
          <w:kern w:val="0"/>
          <w:sz w:val="24"/>
        </w:rPr>
        <w:t>i</w:t>
      </w:r>
      <w:r>
        <w:rPr>
          <w:spacing w:val="0"/>
          <w:w w:val="100"/>
          <w:kern w:val="0"/>
          <w:sz w:val="24"/>
        </w:rPr>
        <w:t>sectorial de lucha contra el VIH/SIDA para 2003-2007 que encuadra a diversos se</w:t>
      </w:r>
      <w:r>
        <w:rPr>
          <w:spacing w:val="0"/>
          <w:w w:val="100"/>
          <w:kern w:val="0"/>
          <w:sz w:val="24"/>
        </w:rPr>
        <w:t>c</w:t>
      </w:r>
      <w:r>
        <w:rPr>
          <w:spacing w:val="0"/>
          <w:w w:val="100"/>
          <w:kern w:val="0"/>
          <w:sz w:val="24"/>
        </w:rPr>
        <w:t>tores e instituciones.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22.</w:t>
      </w:r>
      <w:r>
        <w:rPr>
          <w:spacing w:val="0"/>
          <w:w w:val="100"/>
          <w:kern w:val="0"/>
          <w:sz w:val="24"/>
        </w:rPr>
        <w:tab/>
        <w:t>En 2002 se revisó la Política de salud de 1990 a fin de priorizar a los grupos en riesgo y de alentar a los centros sanitarios a participar más activamente en la lucha contra el VIH/SIDA.  Se prestan servicios gratuitos de salud prenatal y para los niños m</w:t>
      </w:r>
      <w:r>
        <w:rPr>
          <w:spacing w:val="0"/>
          <w:w w:val="100"/>
          <w:kern w:val="0"/>
          <w:sz w:val="24"/>
        </w:rPr>
        <w:t>e</w:t>
      </w:r>
      <w:r>
        <w:rPr>
          <w:spacing w:val="0"/>
          <w:w w:val="100"/>
          <w:kern w:val="0"/>
          <w:sz w:val="24"/>
        </w:rPr>
        <w:t>nores de 5 años.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23.</w:t>
      </w:r>
      <w:r>
        <w:rPr>
          <w:spacing w:val="0"/>
          <w:w w:val="100"/>
          <w:kern w:val="0"/>
          <w:sz w:val="24"/>
        </w:rPr>
        <w:tab/>
        <w:t>En septiembre de 2003 se lanzó una Política nacional para los refugiados.  La p</w:t>
      </w:r>
      <w:r>
        <w:rPr>
          <w:spacing w:val="0"/>
          <w:w w:val="100"/>
          <w:kern w:val="0"/>
          <w:sz w:val="24"/>
        </w:rPr>
        <w:t>o</w:t>
      </w:r>
      <w:r>
        <w:rPr>
          <w:spacing w:val="0"/>
          <w:w w:val="100"/>
          <w:kern w:val="0"/>
          <w:sz w:val="24"/>
        </w:rPr>
        <w:t>lítica asegura, entre otras cosas, buenas condiciones de vida para los niños ref</w:t>
      </w:r>
      <w:r>
        <w:rPr>
          <w:spacing w:val="0"/>
          <w:w w:val="100"/>
          <w:kern w:val="0"/>
          <w:sz w:val="24"/>
        </w:rPr>
        <w:t>u</w:t>
      </w:r>
      <w:r>
        <w:rPr>
          <w:spacing w:val="0"/>
          <w:w w:val="100"/>
          <w:kern w:val="0"/>
          <w:sz w:val="24"/>
        </w:rPr>
        <w:t>giados.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24.</w:t>
      </w:r>
      <w:r>
        <w:rPr>
          <w:spacing w:val="0"/>
          <w:w w:val="100"/>
          <w:kern w:val="0"/>
          <w:sz w:val="24"/>
        </w:rPr>
        <w:tab/>
        <w:t>En julio de 2002 se revisó la Política nacional sobre agua de 1991 con el fin de introducir reformas en el sector que promovieran un sentido de propiedad comunit</w:t>
      </w:r>
      <w:r>
        <w:rPr>
          <w:spacing w:val="0"/>
          <w:w w:val="100"/>
          <w:kern w:val="0"/>
          <w:sz w:val="24"/>
        </w:rPr>
        <w:t>a</w:t>
      </w:r>
      <w:r>
        <w:rPr>
          <w:spacing w:val="0"/>
          <w:w w:val="100"/>
          <w:kern w:val="0"/>
          <w:sz w:val="24"/>
        </w:rPr>
        <w:t>ria de los sistemas de abastecimiento de agua.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25.</w:t>
      </w:r>
      <w:r>
        <w:rPr>
          <w:spacing w:val="0"/>
          <w:w w:val="100"/>
          <w:kern w:val="0"/>
          <w:sz w:val="24"/>
        </w:rPr>
        <w:tab/>
        <w:t>Se está formulando una Política nacional de seguridad alimentaria a fin de atender a los grupos vulnerables afectados por la inseguridad alimentaria, en part</w:t>
      </w:r>
      <w:r>
        <w:rPr>
          <w:spacing w:val="0"/>
          <w:w w:val="100"/>
          <w:kern w:val="0"/>
          <w:sz w:val="24"/>
        </w:rPr>
        <w:t>i</w:t>
      </w:r>
      <w:r>
        <w:rPr>
          <w:spacing w:val="0"/>
          <w:w w:val="100"/>
          <w:kern w:val="0"/>
          <w:sz w:val="24"/>
        </w:rPr>
        <w:t>cular los n</w:t>
      </w:r>
      <w:r>
        <w:rPr>
          <w:spacing w:val="0"/>
          <w:w w:val="100"/>
          <w:kern w:val="0"/>
          <w:sz w:val="24"/>
        </w:rPr>
        <w:t>i</w:t>
      </w:r>
      <w:r>
        <w:rPr>
          <w:spacing w:val="0"/>
          <w:w w:val="100"/>
          <w:kern w:val="0"/>
          <w:sz w:val="24"/>
        </w:rPr>
        <w:t>ños menores de 5 años.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26.</w:t>
      </w:r>
      <w:r>
        <w:rPr>
          <w:spacing w:val="0"/>
          <w:w w:val="100"/>
          <w:kern w:val="0"/>
          <w:sz w:val="24"/>
        </w:rPr>
        <w:tab/>
        <w:t>En 2000 se revisó la Política sobre la mujer en el desarrollo de 1992, que pasó a denominarse Política de promoción de la mujer y las cuestiones de género, con el propósito de incluir la dimensión de género y promover la responsabilidad del padre y la madre en el cuidado y el desarrollo de los hijos.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27.</w:t>
      </w:r>
      <w:r>
        <w:rPr>
          <w:spacing w:val="0"/>
          <w:w w:val="100"/>
          <w:kern w:val="0"/>
          <w:sz w:val="24"/>
        </w:rPr>
        <w:tab/>
        <w:t>En octubre de 2001, el Gobierno de Zanzíbar promulgó una Política para la supervivencia, la protección y el desarrollo del niño, que constituye un marco a</w:t>
      </w:r>
      <w:r>
        <w:rPr>
          <w:spacing w:val="0"/>
          <w:w w:val="100"/>
          <w:kern w:val="0"/>
          <w:sz w:val="24"/>
        </w:rPr>
        <w:t>m</w:t>
      </w:r>
      <w:r>
        <w:rPr>
          <w:spacing w:val="0"/>
          <w:w w:val="100"/>
          <w:kern w:val="0"/>
          <w:sz w:val="24"/>
        </w:rPr>
        <w:t>plio de protección de los derechos del niño, incluida la participación de los niños en las cuestiones que les atañen.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28.</w:t>
      </w:r>
      <w:r>
        <w:rPr>
          <w:spacing w:val="0"/>
          <w:w w:val="100"/>
          <w:kern w:val="0"/>
          <w:sz w:val="24"/>
        </w:rPr>
        <w:tab/>
        <w:t>En 2001, el Gobierno de Zanzíbar también adoptó una Política de adelanto de la mujer, que hace especial hincapié en las estrategias de género.  Esta política está directamente relacionada con la Política para la supervivencia, la protección y el d</w:t>
      </w:r>
      <w:r>
        <w:rPr>
          <w:spacing w:val="0"/>
          <w:w w:val="100"/>
          <w:kern w:val="0"/>
          <w:sz w:val="24"/>
        </w:rPr>
        <w:t>e</w:t>
      </w:r>
      <w:r>
        <w:rPr>
          <w:spacing w:val="0"/>
          <w:w w:val="100"/>
          <w:kern w:val="0"/>
          <w:sz w:val="24"/>
        </w:rPr>
        <w:t>sarrollo del niño.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29.</w:t>
      </w:r>
      <w:r>
        <w:rPr>
          <w:spacing w:val="0"/>
          <w:w w:val="100"/>
          <w:kern w:val="0"/>
          <w:sz w:val="24"/>
        </w:rPr>
        <w:tab/>
        <w:t>En 2000, el Gobierno de Zanzíbar aprobó la Política de salud.  Esta política i</w:t>
      </w:r>
      <w:r>
        <w:rPr>
          <w:spacing w:val="0"/>
          <w:w w:val="100"/>
          <w:kern w:val="0"/>
          <w:sz w:val="24"/>
        </w:rPr>
        <w:t>n</w:t>
      </w:r>
      <w:r>
        <w:rPr>
          <w:spacing w:val="0"/>
          <w:w w:val="100"/>
          <w:kern w:val="0"/>
          <w:sz w:val="24"/>
        </w:rPr>
        <w:t>corpora cuestiones importantes para la infancia, como los servicios de atención b</w:t>
      </w:r>
      <w:r>
        <w:rPr>
          <w:spacing w:val="0"/>
          <w:w w:val="100"/>
          <w:kern w:val="0"/>
          <w:sz w:val="24"/>
        </w:rPr>
        <w:t>á</w:t>
      </w:r>
      <w:r>
        <w:rPr>
          <w:spacing w:val="0"/>
          <w:w w:val="100"/>
          <w:kern w:val="0"/>
          <w:sz w:val="24"/>
        </w:rPr>
        <w:t>sica de la salud y bienestar, lucha contra el VIH/SIDA e inmunización.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30.</w:t>
      </w:r>
      <w:r>
        <w:rPr>
          <w:spacing w:val="0"/>
          <w:w w:val="100"/>
          <w:kern w:val="0"/>
          <w:sz w:val="24"/>
        </w:rPr>
        <w:tab/>
        <w:t>El Gobierno de Zanzíbar también está elaborando otras políticas relacionadas con la infancia, entre ellas la Política sobre agua y saneamiento, la Política contra el VIH/SIDA, la Política para los jóvenes, la Política para la primera infancia y la Pol</w:t>
      </w:r>
      <w:r>
        <w:rPr>
          <w:spacing w:val="0"/>
          <w:w w:val="100"/>
          <w:kern w:val="0"/>
          <w:sz w:val="24"/>
        </w:rPr>
        <w:t>í</w:t>
      </w:r>
      <w:r>
        <w:rPr>
          <w:spacing w:val="0"/>
          <w:w w:val="100"/>
          <w:kern w:val="0"/>
          <w:sz w:val="24"/>
        </w:rPr>
        <w:t>tica de formación profesional.</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31.</w:t>
      </w:r>
      <w:r>
        <w:rPr>
          <w:spacing w:val="0"/>
          <w:w w:val="100"/>
          <w:kern w:val="0"/>
          <w:sz w:val="24"/>
        </w:rPr>
        <w:tab/>
        <w:t>Se está examinando la Política de educación de Zanzíbar para garantizar, entre otras cosas, que una de las principales prioridades de Zanzíbar siga siendo dar m</w:t>
      </w:r>
      <w:r>
        <w:rPr>
          <w:spacing w:val="0"/>
          <w:w w:val="100"/>
          <w:kern w:val="0"/>
          <w:sz w:val="24"/>
        </w:rPr>
        <w:t>a</w:t>
      </w:r>
      <w:r>
        <w:rPr>
          <w:spacing w:val="0"/>
          <w:w w:val="100"/>
          <w:kern w:val="0"/>
          <w:sz w:val="24"/>
        </w:rPr>
        <w:t>yor acceso a una educación de calidad.</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32.</w:t>
      </w:r>
      <w:r>
        <w:rPr>
          <w:spacing w:val="0"/>
          <w:w w:val="100"/>
          <w:kern w:val="0"/>
          <w:sz w:val="24"/>
        </w:rPr>
        <w:tab/>
        <w:t>En 2003, la Cámara de Diputados aprobó en Zanzíbar la Política para las pe</w:t>
      </w:r>
      <w:r>
        <w:rPr>
          <w:spacing w:val="0"/>
          <w:w w:val="100"/>
          <w:kern w:val="0"/>
          <w:sz w:val="24"/>
        </w:rPr>
        <w:t>r</w:t>
      </w:r>
      <w:r>
        <w:rPr>
          <w:spacing w:val="0"/>
          <w:w w:val="100"/>
          <w:kern w:val="0"/>
          <w:sz w:val="24"/>
        </w:rPr>
        <w:t xml:space="preserve">sonas con discapacidad.  </w:t>
      </w:r>
    </w:p>
    <w:p w:rsidR="00000000" w:rsidRDefault="00000000">
      <w:pPr>
        <w:pStyle w:val="H23"/>
        <w:keepNext w:val="0"/>
        <w:keepLines w:val="0"/>
        <w:suppressAutoHyphens w:val="0"/>
        <w:spacing w:after="240" w:line="240" w:lineRule="auto"/>
        <w:outlineLvl w:val="9"/>
        <w:rPr>
          <w:bCs/>
          <w:spacing w:val="0"/>
          <w:w w:val="100"/>
          <w:kern w:val="0"/>
          <w:sz w:val="24"/>
        </w:rPr>
      </w:pPr>
      <w:r>
        <w:rPr>
          <w:bCs/>
          <w:spacing w:val="0"/>
          <w:w w:val="100"/>
          <w:kern w:val="0"/>
          <w:sz w:val="24"/>
        </w:rPr>
        <w:t>Marco jurídico y armonización de la legislación con la Convención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33.</w:t>
      </w:r>
      <w:r>
        <w:rPr>
          <w:spacing w:val="0"/>
          <w:w w:val="100"/>
          <w:kern w:val="0"/>
          <w:sz w:val="24"/>
        </w:rPr>
        <w:tab/>
        <w:t>El Gobierno está redactando un instrumento jurídico único relativo a la infa</w:t>
      </w:r>
      <w:r>
        <w:rPr>
          <w:spacing w:val="0"/>
          <w:w w:val="100"/>
          <w:kern w:val="0"/>
          <w:sz w:val="24"/>
        </w:rPr>
        <w:t>n</w:t>
      </w:r>
      <w:r>
        <w:rPr>
          <w:spacing w:val="0"/>
          <w:w w:val="100"/>
          <w:kern w:val="0"/>
          <w:sz w:val="24"/>
        </w:rPr>
        <w:t>cia que, entre otras cosas, adoptará una definición uniforme del término "niño" y protegerá a los niños del maltrato, el abandono y otras violaciones de sus derechos.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34.</w:t>
      </w:r>
      <w:r>
        <w:rPr>
          <w:spacing w:val="0"/>
          <w:w w:val="100"/>
          <w:kern w:val="0"/>
          <w:sz w:val="24"/>
        </w:rPr>
        <w:tab/>
        <w:t>La Ley de tierras y la Ley de tierras comunales, promulgadas en 1999, han p</w:t>
      </w:r>
      <w:r>
        <w:rPr>
          <w:spacing w:val="0"/>
          <w:w w:val="100"/>
          <w:kern w:val="0"/>
          <w:sz w:val="24"/>
        </w:rPr>
        <w:t>o</w:t>
      </w:r>
      <w:r>
        <w:rPr>
          <w:spacing w:val="0"/>
          <w:w w:val="100"/>
          <w:kern w:val="0"/>
          <w:sz w:val="24"/>
        </w:rPr>
        <w:t>sibilitado el acceso a la tierra y la adquisición de títulos de propiedad a todas las c</w:t>
      </w:r>
      <w:r>
        <w:rPr>
          <w:spacing w:val="0"/>
          <w:w w:val="100"/>
          <w:kern w:val="0"/>
          <w:sz w:val="24"/>
        </w:rPr>
        <w:t>a</w:t>
      </w:r>
      <w:r>
        <w:rPr>
          <w:spacing w:val="0"/>
          <w:w w:val="100"/>
          <w:kern w:val="0"/>
          <w:sz w:val="24"/>
        </w:rPr>
        <w:t>tegorías de ciudadanos y en particular a las mujeres, lo cual es un logro fund</w:t>
      </w:r>
      <w:r>
        <w:rPr>
          <w:spacing w:val="0"/>
          <w:w w:val="100"/>
          <w:kern w:val="0"/>
          <w:sz w:val="24"/>
        </w:rPr>
        <w:t>a</w:t>
      </w:r>
      <w:r>
        <w:rPr>
          <w:spacing w:val="0"/>
          <w:w w:val="100"/>
          <w:kern w:val="0"/>
          <w:sz w:val="24"/>
        </w:rPr>
        <w:t>mental en razón de sus consecuencias para los hijos de las viudas y las divo</w:t>
      </w:r>
      <w:r>
        <w:rPr>
          <w:spacing w:val="0"/>
          <w:w w:val="100"/>
          <w:kern w:val="0"/>
          <w:sz w:val="24"/>
        </w:rPr>
        <w:t>r</w:t>
      </w:r>
      <w:r>
        <w:rPr>
          <w:spacing w:val="0"/>
          <w:w w:val="100"/>
          <w:kern w:val="0"/>
          <w:sz w:val="24"/>
        </w:rPr>
        <w:t>ciadas.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35.</w:t>
      </w:r>
      <w:r>
        <w:rPr>
          <w:spacing w:val="0"/>
          <w:w w:val="100"/>
          <w:kern w:val="0"/>
          <w:sz w:val="24"/>
        </w:rPr>
        <w:tab/>
        <w:t>El Gobierno promulgó la Ley de empleo y relaciones laborales de 2004 que protege a los niños de las peores formas del trabajo infantil.  Por otra parte, la Ley de refugiados de 1998 reconoce los derechos de los niños refugiados.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36.</w:t>
      </w:r>
      <w:r>
        <w:rPr>
          <w:spacing w:val="0"/>
          <w:w w:val="100"/>
          <w:kern w:val="0"/>
          <w:sz w:val="24"/>
        </w:rPr>
        <w:tab/>
        <w:t>El Gobierno también está examinando la Ley de herencia, la Ley de sucesión y la Ley Nº 5 de matrimonio de 1971 a fin de incorporar disposiciones que protejan los intereses de los niños.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37.</w:t>
      </w:r>
      <w:r>
        <w:rPr>
          <w:spacing w:val="0"/>
          <w:w w:val="100"/>
          <w:kern w:val="0"/>
          <w:sz w:val="24"/>
        </w:rPr>
        <w:tab/>
        <w:t>En la República Unida de Tanzanía la Ordenanza del registro de nacimientos y defunciones de 1920 establece la inscripción obligatoria de todos los niños en el r</w:t>
      </w:r>
      <w:r>
        <w:rPr>
          <w:spacing w:val="0"/>
          <w:w w:val="100"/>
          <w:kern w:val="0"/>
          <w:sz w:val="24"/>
        </w:rPr>
        <w:t>e</w:t>
      </w:r>
      <w:r>
        <w:rPr>
          <w:spacing w:val="0"/>
          <w:w w:val="100"/>
          <w:kern w:val="0"/>
          <w:sz w:val="24"/>
        </w:rPr>
        <w:t>gistro.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38.</w:t>
      </w:r>
      <w:r>
        <w:rPr>
          <w:spacing w:val="0"/>
          <w:w w:val="100"/>
          <w:kern w:val="0"/>
          <w:sz w:val="24"/>
        </w:rPr>
        <w:tab/>
        <w:t>Recientemente se enmendó el Decreto de nacimientos y defunciones de Zanz</w:t>
      </w:r>
      <w:r>
        <w:rPr>
          <w:spacing w:val="0"/>
          <w:w w:val="100"/>
          <w:kern w:val="0"/>
          <w:sz w:val="24"/>
        </w:rPr>
        <w:t>í</w:t>
      </w:r>
      <w:r>
        <w:rPr>
          <w:spacing w:val="0"/>
          <w:w w:val="100"/>
          <w:kern w:val="0"/>
          <w:sz w:val="24"/>
        </w:rPr>
        <w:t>bar para que sea obligatoria la inscripción de los niños en el registro inmediatamente después del nacimiento.  La enmienda, aumentó la multa por no cumplir este requis</w:t>
      </w:r>
      <w:r>
        <w:rPr>
          <w:spacing w:val="0"/>
          <w:w w:val="100"/>
          <w:kern w:val="0"/>
          <w:sz w:val="24"/>
        </w:rPr>
        <w:t>i</w:t>
      </w:r>
      <w:r>
        <w:rPr>
          <w:spacing w:val="0"/>
          <w:w w:val="100"/>
          <w:kern w:val="0"/>
          <w:sz w:val="24"/>
        </w:rPr>
        <w:t xml:space="preserve">to de 10.000 chelines tanzanianos (aproximadamente 10 dólares) a 25.000 chelines tanzanianos (aproximadamente 25 dólares).  Hasta el momento no se ha notificado de casos de incumplimiento, lo que indicaría un buen conocimiento de la norma a nivel de las </w:t>
      </w:r>
      <w:r>
        <w:rPr>
          <w:i/>
          <w:iCs/>
          <w:spacing w:val="0"/>
          <w:w w:val="100"/>
          <w:kern w:val="0"/>
          <w:sz w:val="24"/>
        </w:rPr>
        <w:t>shehias</w:t>
      </w:r>
      <w:r>
        <w:rPr>
          <w:spacing w:val="0"/>
          <w:w w:val="100"/>
          <w:kern w:val="0"/>
          <w:sz w:val="24"/>
        </w:rPr>
        <w:t xml:space="preserve"> (nivel más bajo de gobierno local en Zanzíbar).</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39.</w:t>
      </w:r>
      <w:r>
        <w:rPr>
          <w:spacing w:val="0"/>
          <w:w w:val="100"/>
          <w:kern w:val="0"/>
          <w:sz w:val="24"/>
        </w:rPr>
        <w:tab/>
        <w:t>Se está preparando el examen de la Ley de educación de 1982 de Zanzíbar, que es fundamental para la promoción y la protección de los derechos del niño.  En el i</w:t>
      </w:r>
      <w:r>
        <w:rPr>
          <w:spacing w:val="0"/>
          <w:w w:val="100"/>
          <w:kern w:val="0"/>
          <w:sz w:val="24"/>
        </w:rPr>
        <w:t>n</w:t>
      </w:r>
      <w:r>
        <w:rPr>
          <w:spacing w:val="0"/>
          <w:w w:val="100"/>
          <w:kern w:val="0"/>
          <w:sz w:val="24"/>
        </w:rPr>
        <w:t>ciso 4) del artículo 20 de la ley se establece que, si una alumna quedare embarazada antes de terminar la educación básica, será expulsada de la escuela.  Lo mismo se aplica en Tanzanía continental con arreglo a la Ley de educación de 1978 de la R</w:t>
      </w:r>
      <w:r>
        <w:rPr>
          <w:spacing w:val="0"/>
          <w:w w:val="100"/>
          <w:kern w:val="0"/>
          <w:sz w:val="24"/>
        </w:rPr>
        <w:t>e</w:t>
      </w:r>
      <w:r>
        <w:rPr>
          <w:spacing w:val="0"/>
          <w:w w:val="100"/>
          <w:kern w:val="0"/>
          <w:sz w:val="24"/>
        </w:rPr>
        <w:t>pública Unida de Tanzanía.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40.</w:t>
      </w:r>
      <w:r>
        <w:rPr>
          <w:spacing w:val="0"/>
          <w:w w:val="100"/>
          <w:kern w:val="0"/>
          <w:sz w:val="24"/>
        </w:rPr>
        <w:tab/>
        <w:t>El Gobierno Revolucionario de Zanzíbar está reconsiderando la Ley Nº 4/85 de protección de las mujeres solteras, viudas y divorciadas según la cual una mujer soltera que queda voluntariamente embarazada incurre en un delito sancionable con una pena de dos años de prisión.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41.</w:t>
      </w:r>
      <w:r>
        <w:rPr>
          <w:spacing w:val="0"/>
          <w:w w:val="100"/>
          <w:kern w:val="0"/>
          <w:sz w:val="24"/>
        </w:rPr>
        <w:tab/>
        <w:t>El Gobierno de Zanzíbar está tomando disposiciones para incorporar a la no</w:t>
      </w:r>
      <w:r>
        <w:rPr>
          <w:spacing w:val="0"/>
          <w:w w:val="100"/>
          <w:kern w:val="0"/>
          <w:sz w:val="24"/>
        </w:rPr>
        <w:t>r</w:t>
      </w:r>
      <w:r>
        <w:rPr>
          <w:spacing w:val="0"/>
          <w:w w:val="100"/>
          <w:kern w:val="0"/>
          <w:sz w:val="24"/>
        </w:rPr>
        <w:t xml:space="preserve">mativa nacional los Protocolos Facultativos de la Convención sobre los Derechos del Niño relativos a la participación de niños en los conflictos armados y a la venta de niños, la prostitución infantil y la utilización de niños en la pornografía.  </w:t>
      </w:r>
    </w:p>
    <w:p w:rsidR="00000000" w:rsidRDefault="00000000">
      <w:pPr>
        <w:pStyle w:val="H23"/>
        <w:keepNext w:val="0"/>
        <w:keepLines w:val="0"/>
        <w:suppressAutoHyphens w:val="0"/>
        <w:spacing w:after="240" w:line="240" w:lineRule="auto"/>
        <w:outlineLvl w:val="9"/>
        <w:rPr>
          <w:bCs/>
          <w:spacing w:val="0"/>
          <w:w w:val="100"/>
          <w:kern w:val="0"/>
          <w:sz w:val="24"/>
        </w:rPr>
      </w:pPr>
      <w:r>
        <w:rPr>
          <w:bCs/>
          <w:spacing w:val="0"/>
          <w:w w:val="100"/>
          <w:kern w:val="0"/>
          <w:sz w:val="24"/>
        </w:rPr>
        <w:t>Mecanismos de seguimiento, presentación de informes y reunión de datos  para la aplicación de la Convención sobre los Derechos del Niño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42.</w:t>
      </w:r>
      <w:r>
        <w:rPr>
          <w:spacing w:val="0"/>
          <w:w w:val="100"/>
          <w:kern w:val="0"/>
          <w:sz w:val="24"/>
        </w:rPr>
        <w:tab/>
        <w:t>Tanzanía continental y Zanzíbar están preparando el Plan nacional de acción basado en el documento de las Naciones Unidas titulado "Un mundo apropiado para los niños", que fue aprobado en el período extraordinario de sesiones de la Asa</w:t>
      </w:r>
      <w:r>
        <w:rPr>
          <w:spacing w:val="0"/>
          <w:w w:val="100"/>
          <w:kern w:val="0"/>
          <w:sz w:val="24"/>
        </w:rPr>
        <w:t>m</w:t>
      </w:r>
      <w:r>
        <w:rPr>
          <w:spacing w:val="0"/>
          <w:w w:val="100"/>
          <w:kern w:val="0"/>
          <w:sz w:val="24"/>
        </w:rPr>
        <w:t>blea General dedicado a la infancia de mayo de 2002.  En el proceso de preparación del Plan nacional de acción está previsto recoger la contribución de una gran vari</w:t>
      </w:r>
      <w:r>
        <w:rPr>
          <w:spacing w:val="0"/>
          <w:w w:val="100"/>
          <w:kern w:val="0"/>
          <w:sz w:val="24"/>
        </w:rPr>
        <w:t>e</w:t>
      </w:r>
      <w:r>
        <w:rPr>
          <w:spacing w:val="0"/>
          <w:w w:val="100"/>
          <w:kern w:val="0"/>
          <w:sz w:val="24"/>
        </w:rPr>
        <w:t>dad de partes interesadas en una serie de talleres y reuniones consultivas.  Entre esas partes interesadas figuran las ONG y particularmente los niños, que participarán a través de sus foros, a saber:  las escuelas, el Movimiento por y para los niños de Ta</w:t>
      </w:r>
      <w:r>
        <w:rPr>
          <w:spacing w:val="0"/>
          <w:w w:val="100"/>
          <w:kern w:val="0"/>
          <w:sz w:val="24"/>
        </w:rPr>
        <w:t>n</w:t>
      </w:r>
      <w:r>
        <w:rPr>
          <w:spacing w:val="0"/>
          <w:w w:val="100"/>
          <w:kern w:val="0"/>
          <w:sz w:val="24"/>
        </w:rPr>
        <w:t>zanía y el Consejo juvenil de la República Unida de Tanzanía, así como instituci</w:t>
      </w:r>
      <w:r>
        <w:rPr>
          <w:spacing w:val="0"/>
          <w:w w:val="100"/>
          <w:kern w:val="0"/>
          <w:sz w:val="24"/>
        </w:rPr>
        <w:t>o</w:t>
      </w:r>
      <w:r>
        <w:rPr>
          <w:spacing w:val="0"/>
          <w:w w:val="100"/>
          <w:kern w:val="0"/>
          <w:sz w:val="24"/>
        </w:rPr>
        <w:t>nes que trabajan con los niños con necesidades de protección especial.  En Tanz</w:t>
      </w:r>
      <w:r>
        <w:rPr>
          <w:spacing w:val="0"/>
          <w:w w:val="100"/>
          <w:kern w:val="0"/>
          <w:sz w:val="24"/>
        </w:rPr>
        <w:t>a</w:t>
      </w:r>
      <w:r>
        <w:rPr>
          <w:spacing w:val="0"/>
          <w:w w:val="100"/>
          <w:kern w:val="0"/>
          <w:sz w:val="24"/>
        </w:rPr>
        <w:t>nía continental se ha elaborado un Marco de aplicación del Plan nacional de acción para llevar a la práctica el compromiso contraído en el período extraordinario de s</w:t>
      </w:r>
      <w:r>
        <w:rPr>
          <w:spacing w:val="0"/>
          <w:w w:val="100"/>
          <w:kern w:val="0"/>
          <w:sz w:val="24"/>
        </w:rPr>
        <w:t>e</w:t>
      </w:r>
      <w:r>
        <w:rPr>
          <w:spacing w:val="0"/>
          <w:w w:val="100"/>
          <w:kern w:val="0"/>
          <w:sz w:val="24"/>
        </w:rPr>
        <w:t>siones de la Asamblea General dedicado a la i</w:t>
      </w:r>
      <w:r>
        <w:rPr>
          <w:spacing w:val="0"/>
          <w:w w:val="100"/>
          <w:kern w:val="0"/>
          <w:sz w:val="24"/>
        </w:rPr>
        <w:t>n</w:t>
      </w:r>
      <w:r>
        <w:rPr>
          <w:spacing w:val="0"/>
          <w:w w:val="100"/>
          <w:kern w:val="0"/>
          <w:sz w:val="24"/>
        </w:rPr>
        <w:t xml:space="preserve">fancia.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43.</w:t>
      </w:r>
      <w:r>
        <w:rPr>
          <w:spacing w:val="0"/>
          <w:w w:val="100"/>
          <w:kern w:val="0"/>
          <w:sz w:val="24"/>
        </w:rPr>
        <w:tab/>
        <w:t>El Gobierno y las Naciones Unidas están ejecutando por etapas el programa actual de supervivencia, protección y desarrollo del niño (2002-2006) de la Repúbl</w:t>
      </w:r>
      <w:r>
        <w:rPr>
          <w:spacing w:val="0"/>
          <w:w w:val="100"/>
          <w:kern w:val="0"/>
          <w:sz w:val="24"/>
        </w:rPr>
        <w:t>i</w:t>
      </w:r>
      <w:r>
        <w:rPr>
          <w:spacing w:val="0"/>
          <w:w w:val="100"/>
          <w:kern w:val="0"/>
          <w:sz w:val="24"/>
        </w:rPr>
        <w:t>ca Unida de Tanzanía y el Gobierno ha aprobado la Estrategia de Asistencia para Tanzanía que regirá la colaboración con sus asociados en el desarrollo.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44.</w:t>
      </w:r>
      <w:r>
        <w:rPr>
          <w:spacing w:val="0"/>
          <w:w w:val="100"/>
          <w:kern w:val="0"/>
          <w:sz w:val="24"/>
        </w:rPr>
        <w:tab/>
        <w:t>Los objetivos generales del Programa de supervivencia, protección y desarr</w:t>
      </w:r>
      <w:r>
        <w:rPr>
          <w:spacing w:val="0"/>
          <w:w w:val="100"/>
          <w:kern w:val="0"/>
          <w:sz w:val="24"/>
        </w:rPr>
        <w:t>o</w:t>
      </w:r>
      <w:r>
        <w:rPr>
          <w:spacing w:val="0"/>
          <w:w w:val="100"/>
          <w:kern w:val="0"/>
          <w:sz w:val="24"/>
        </w:rPr>
        <w:t>llo del niño son:</w:t>
      </w:r>
    </w:p>
    <w:p w:rsidR="00000000" w:rsidRDefault="00000000">
      <w:pPr>
        <w:pStyle w:val="SingleTxt"/>
        <w:numPr>
          <w:ilvl w:val="0"/>
          <w:numId w:val="65"/>
        </w:numPr>
        <w:tabs>
          <w:tab w:val="clear" w:pos="1267"/>
          <w:tab w:val="clear" w:pos="1742"/>
          <w:tab w:val="clear" w:pos="1800"/>
          <w:tab w:val="clear" w:pos="2218"/>
          <w:tab w:val="clear" w:pos="2693"/>
          <w:tab w:val="clear" w:pos="3182"/>
          <w:tab w:val="clear" w:pos="3658"/>
          <w:tab w:val="clear" w:pos="4133"/>
          <w:tab w:val="clear" w:pos="4622"/>
          <w:tab w:val="clear" w:pos="5098"/>
          <w:tab w:val="clear" w:pos="5573"/>
          <w:tab w:val="clear" w:pos="6048"/>
        </w:tabs>
        <w:spacing w:after="240" w:line="240" w:lineRule="auto"/>
        <w:ind w:left="924" w:right="0" w:hanging="357"/>
        <w:jc w:val="left"/>
        <w:rPr>
          <w:spacing w:val="0"/>
          <w:w w:val="100"/>
          <w:kern w:val="0"/>
          <w:sz w:val="24"/>
        </w:rPr>
      </w:pPr>
      <w:r>
        <w:rPr>
          <w:spacing w:val="0"/>
          <w:w w:val="100"/>
          <w:kern w:val="0"/>
          <w:sz w:val="24"/>
        </w:rPr>
        <w:t>Crear y mantener un entorno en el que se prioricen los derechos humanos del niño; reconocer y respetar su derecho a llevar una existencia digna y product</w:t>
      </w:r>
      <w:r>
        <w:rPr>
          <w:spacing w:val="0"/>
          <w:w w:val="100"/>
          <w:kern w:val="0"/>
          <w:sz w:val="24"/>
        </w:rPr>
        <w:t>i</w:t>
      </w:r>
      <w:r>
        <w:rPr>
          <w:spacing w:val="0"/>
          <w:w w:val="100"/>
          <w:kern w:val="0"/>
          <w:sz w:val="24"/>
        </w:rPr>
        <w:t>va; garantizar su supervivencia, protección, desarrollo y participación; y a</w:t>
      </w:r>
      <w:r>
        <w:rPr>
          <w:spacing w:val="0"/>
          <w:w w:val="100"/>
          <w:kern w:val="0"/>
          <w:sz w:val="24"/>
        </w:rPr>
        <w:t>u</w:t>
      </w:r>
      <w:r>
        <w:rPr>
          <w:spacing w:val="0"/>
          <w:w w:val="100"/>
          <w:kern w:val="0"/>
          <w:sz w:val="24"/>
        </w:rPr>
        <w:t>mentar sus pos</w:t>
      </w:r>
      <w:r>
        <w:rPr>
          <w:spacing w:val="0"/>
          <w:w w:val="100"/>
          <w:kern w:val="0"/>
          <w:sz w:val="24"/>
        </w:rPr>
        <w:t>i</w:t>
      </w:r>
      <w:r>
        <w:rPr>
          <w:spacing w:val="0"/>
          <w:w w:val="100"/>
          <w:kern w:val="0"/>
          <w:sz w:val="24"/>
        </w:rPr>
        <w:t>bilidades de progreso social.</w:t>
      </w:r>
    </w:p>
    <w:p w:rsidR="00000000" w:rsidRDefault="00000000">
      <w:pPr>
        <w:pStyle w:val="SingleTxt"/>
        <w:numPr>
          <w:ilvl w:val="0"/>
          <w:numId w:val="65"/>
        </w:numPr>
        <w:tabs>
          <w:tab w:val="clear" w:pos="1267"/>
          <w:tab w:val="clear" w:pos="1742"/>
          <w:tab w:val="clear" w:pos="1800"/>
          <w:tab w:val="clear" w:pos="2218"/>
          <w:tab w:val="clear" w:pos="2693"/>
          <w:tab w:val="clear" w:pos="3182"/>
          <w:tab w:val="clear" w:pos="3658"/>
          <w:tab w:val="clear" w:pos="4133"/>
          <w:tab w:val="clear" w:pos="4622"/>
          <w:tab w:val="clear" w:pos="5098"/>
          <w:tab w:val="clear" w:pos="5573"/>
          <w:tab w:val="clear" w:pos="6048"/>
        </w:tabs>
        <w:spacing w:after="240" w:line="240" w:lineRule="auto"/>
        <w:ind w:left="924" w:right="0" w:hanging="357"/>
        <w:jc w:val="left"/>
        <w:rPr>
          <w:spacing w:val="0"/>
          <w:w w:val="100"/>
          <w:kern w:val="0"/>
          <w:sz w:val="24"/>
        </w:rPr>
      </w:pPr>
      <w:r>
        <w:rPr>
          <w:spacing w:val="0"/>
          <w:w w:val="100"/>
          <w:kern w:val="0"/>
          <w:sz w:val="24"/>
        </w:rPr>
        <w:t>Realizar los derechos humanos del niño reforzando a diferentes niveles la c</w:t>
      </w:r>
      <w:r>
        <w:rPr>
          <w:spacing w:val="0"/>
          <w:w w:val="100"/>
          <w:kern w:val="0"/>
          <w:sz w:val="24"/>
        </w:rPr>
        <w:t>a</w:t>
      </w:r>
      <w:r>
        <w:rPr>
          <w:spacing w:val="0"/>
          <w:w w:val="100"/>
          <w:kern w:val="0"/>
          <w:sz w:val="24"/>
        </w:rPr>
        <w:t>pacidad de los actores de respetar, proteger, promover y hacer efectivos los d</w:t>
      </w:r>
      <w:r>
        <w:rPr>
          <w:spacing w:val="0"/>
          <w:w w:val="100"/>
          <w:kern w:val="0"/>
          <w:sz w:val="24"/>
        </w:rPr>
        <w:t>e</w:t>
      </w:r>
      <w:r>
        <w:rPr>
          <w:spacing w:val="0"/>
          <w:w w:val="100"/>
          <w:kern w:val="0"/>
          <w:sz w:val="24"/>
        </w:rPr>
        <w:t>rechos del niño.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45.</w:t>
      </w:r>
      <w:r>
        <w:rPr>
          <w:spacing w:val="0"/>
          <w:w w:val="100"/>
          <w:kern w:val="0"/>
          <w:sz w:val="24"/>
        </w:rPr>
        <w:tab/>
        <w:t>Las actividades del programa para Tanzanía para el período 2002-2006 se plan</w:t>
      </w:r>
      <w:r>
        <w:rPr>
          <w:spacing w:val="0"/>
          <w:w w:val="100"/>
          <w:kern w:val="0"/>
          <w:sz w:val="24"/>
        </w:rPr>
        <w:t>i</w:t>
      </w:r>
      <w:r>
        <w:rPr>
          <w:spacing w:val="0"/>
          <w:w w:val="100"/>
          <w:kern w:val="0"/>
          <w:sz w:val="24"/>
        </w:rPr>
        <w:t>ficaron sobre la base del examen de mitad del período del programa para 1997-2001, que tuvo lugar en 1999.  En ese examen, se analizaron los logros y las oportunid</w:t>
      </w:r>
      <w:r>
        <w:rPr>
          <w:spacing w:val="0"/>
          <w:w w:val="100"/>
          <w:kern w:val="0"/>
          <w:sz w:val="24"/>
        </w:rPr>
        <w:t>a</w:t>
      </w:r>
      <w:r>
        <w:rPr>
          <w:spacing w:val="0"/>
          <w:w w:val="100"/>
          <w:kern w:val="0"/>
          <w:sz w:val="24"/>
        </w:rPr>
        <w:t>des, así como los fracasos y las dificultades del programa de 1997-2001.</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46.</w:t>
      </w:r>
      <w:r>
        <w:rPr>
          <w:spacing w:val="0"/>
          <w:w w:val="100"/>
          <w:kern w:val="0"/>
          <w:sz w:val="24"/>
        </w:rPr>
        <w:tab/>
        <w:t>El número de aldeas atendidas por el programa comunitario del Fondo de las Naciones Unidas para la Infancia (UNICEF) aumentó de 1.235 en 1985 a 4.861 en 2002, y comprende actividades en 63 de los 120 distritos de Tanzanía continental y en los 10 distritos de Zanzíbar, con lo cual cubre aproximadamente el 50% del t</w:t>
      </w:r>
      <w:r>
        <w:rPr>
          <w:spacing w:val="0"/>
          <w:w w:val="100"/>
          <w:kern w:val="0"/>
          <w:sz w:val="24"/>
        </w:rPr>
        <w:t>e</w:t>
      </w:r>
      <w:r>
        <w:rPr>
          <w:spacing w:val="0"/>
          <w:w w:val="100"/>
          <w:kern w:val="0"/>
          <w:sz w:val="24"/>
        </w:rPr>
        <w:t>rritorio nacional.  Esta iniciativa atiende a un número mayor de niños y mujeres a n</w:t>
      </w:r>
      <w:r>
        <w:rPr>
          <w:spacing w:val="0"/>
          <w:w w:val="100"/>
          <w:kern w:val="0"/>
          <w:sz w:val="24"/>
        </w:rPr>
        <w:t>i</w:t>
      </w:r>
      <w:r>
        <w:rPr>
          <w:spacing w:val="0"/>
          <w:w w:val="100"/>
          <w:kern w:val="0"/>
          <w:sz w:val="24"/>
        </w:rPr>
        <w:t>vel popular y los ayuda a transformar sus vidas.  Tiene como objetivo establecer un conjunto de medidas estratégicas básicas para mejorar la capacidad de las comun</w:t>
      </w:r>
      <w:r>
        <w:rPr>
          <w:spacing w:val="0"/>
          <w:w w:val="100"/>
          <w:kern w:val="0"/>
          <w:sz w:val="24"/>
        </w:rPr>
        <w:t>i</w:t>
      </w:r>
      <w:r>
        <w:rPr>
          <w:spacing w:val="0"/>
          <w:w w:val="100"/>
          <w:kern w:val="0"/>
          <w:sz w:val="24"/>
        </w:rPr>
        <w:t>dades, los distritos y las regiones en materia de planificación, facilitación y desarr</w:t>
      </w:r>
      <w:r>
        <w:rPr>
          <w:spacing w:val="0"/>
          <w:w w:val="100"/>
          <w:kern w:val="0"/>
          <w:sz w:val="24"/>
        </w:rPr>
        <w:t>o</w:t>
      </w:r>
      <w:r>
        <w:rPr>
          <w:spacing w:val="0"/>
          <w:w w:val="100"/>
          <w:kern w:val="0"/>
          <w:sz w:val="24"/>
        </w:rPr>
        <w:t>llo centrados en la comunidad.</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47.</w:t>
      </w:r>
      <w:r>
        <w:rPr>
          <w:spacing w:val="0"/>
          <w:w w:val="100"/>
          <w:kern w:val="0"/>
          <w:sz w:val="24"/>
        </w:rPr>
        <w:tab/>
        <w:t>Junto con la Visión Nacional de Desarrollo para 2025, el Gobierno de la Rep</w:t>
      </w:r>
      <w:r>
        <w:rPr>
          <w:spacing w:val="0"/>
          <w:w w:val="100"/>
          <w:kern w:val="0"/>
          <w:sz w:val="24"/>
        </w:rPr>
        <w:t>ú</w:t>
      </w:r>
      <w:r>
        <w:rPr>
          <w:spacing w:val="0"/>
          <w:w w:val="100"/>
          <w:kern w:val="0"/>
          <w:sz w:val="24"/>
        </w:rPr>
        <w:t>blica Unida de Tanzanía ha preparado la Estrategia de lucha contra la pobreza, cuyo fin es reducir a la mitad la pobreza para 2010 y erradicarla de Tanzanía continental para 2025 y de Zanzíbar para 2020.  Varias metas de la Visión Nacional de Desarr</w:t>
      </w:r>
      <w:r>
        <w:rPr>
          <w:spacing w:val="0"/>
          <w:w w:val="100"/>
          <w:kern w:val="0"/>
          <w:sz w:val="24"/>
        </w:rPr>
        <w:t>o</w:t>
      </w:r>
      <w:r>
        <w:rPr>
          <w:spacing w:val="0"/>
          <w:w w:val="100"/>
          <w:kern w:val="0"/>
          <w:sz w:val="24"/>
        </w:rPr>
        <w:t>llo para 2025 y la Estrategia de lucha contra la pobreza se refieren concretamente a los niños, los adolescentes y los jóvenes.  Apuntan a reducir la malnutrición y la mortalidad de lactantes y niños y la incidencia de la infección por el VIH en los j</w:t>
      </w:r>
      <w:r>
        <w:rPr>
          <w:spacing w:val="0"/>
          <w:w w:val="100"/>
          <w:kern w:val="0"/>
          <w:sz w:val="24"/>
        </w:rPr>
        <w:t>ó</w:t>
      </w:r>
      <w:r>
        <w:rPr>
          <w:spacing w:val="0"/>
          <w:w w:val="100"/>
          <w:kern w:val="0"/>
          <w:sz w:val="24"/>
        </w:rPr>
        <w:t>venes, que representan el 60% de la población nacional.  Para alcanzar esos objet</w:t>
      </w:r>
      <w:r>
        <w:rPr>
          <w:spacing w:val="0"/>
          <w:w w:val="100"/>
          <w:kern w:val="0"/>
          <w:sz w:val="24"/>
        </w:rPr>
        <w:t>i</w:t>
      </w:r>
      <w:r>
        <w:rPr>
          <w:spacing w:val="0"/>
          <w:w w:val="100"/>
          <w:kern w:val="0"/>
          <w:sz w:val="24"/>
        </w:rPr>
        <w:t>vos, el Gobierno de Tanzanía se ha dotado de instrumentos como la Estrategia de asistencia para Tanzanía (2000) y más concretamente la Estrategia de lucha contra la pobreza (2000).  La Estrategia de asistencia para Tanzanía enumera las prioridades gubernamentales para mejorar la calidad de vida y el bienestar social sobre todo de las poblaciones pobres de las zonas rurales y los grupos más vulnerables, entre ellos los niños y los jóvenes.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48.</w:t>
      </w:r>
      <w:r>
        <w:rPr>
          <w:spacing w:val="0"/>
          <w:w w:val="100"/>
          <w:kern w:val="0"/>
          <w:sz w:val="24"/>
        </w:rPr>
        <w:tab/>
        <w:t>Tanzanía también ha podido acogerse a las medidas de alivio de la deuda en el marco de las iniciativas en favor de los países pobres muy endeudados.  Alrededor del 40% del presupuesto del país se destinaba al servicio de la deuda, un porcentaje mayor que el asignado a los sectores de la educación y la salud juntos.  Gracias a la iniciativa en favor de los países pobres muy endeudados, ese mismo monto se ha destinado al sector de los servicios soci</w:t>
      </w:r>
      <w:r>
        <w:rPr>
          <w:spacing w:val="0"/>
          <w:w w:val="100"/>
          <w:kern w:val="0"/>
          <w:sz w:val="24"/>
        </w:rPr>
        <w:t>a</w:t>
      </w:r>
      <w:r>
        <w:rPr>
          <w:spacing w:val="0"/>
          <w:w w:val="100"/>
          <w:kern w:val="0"/>
          <w:sz w:val="24"/>
        </w:rPr>
        <w:t xml:space="preserve">les.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49.</w:t>
      </w:r>
      <w:r>
        <w:rPr>
          <w:spacing w:val="0"/>
          <w:w w:val="100"/>
          <w:kern w:val="0"/>
          <w:sz w:val="24"/>
        </w:rPr>
        <w:tab/>
        <w:t>Se han adoptado iniciativas de descentralización, como la de reforma de los gobiernos locales, que apuntan a delegar facultades para tomar decisiones a los di</w:t>
      </w:r>
      <w:r>
        <w:rPr>
          <w:spacing w:val="0"/>
          <w:w w:val="100"/>
          <w:kern w:val="0"/>
          <w:sz w:val="24"/>
        </w:rPr>
        <w:t>s</w:t>
      </w:r>
      <w:r>
        <w:rPr>
          <w:spacing w:val="0"/>
          <w:w w:val="100"/>
          <w:kern w:val="0"/>
          <w:sz w:val="24"/>
        </w:rPr>
        <w:t>tritos y las aldeas y aumentar la eficacia de la prestación de servicios.  Asimismo, en el marco del Programa de reforma de los gobiernos locales, se están reforzando las estructuras de gobernanza democrática a nivel local y se está reestructurando la prestación de servicios para facilitar el acceso de los niños y los jóv</w:t>
      </w:r>
      <w:r>
        <w:rPr>
          <w:spacing w:val="0"/>
          <w:w w:val="100"/>
          <w:kern w:val="0"/>
          <w:sz w:val="24"/>
        </w:rPr>
        <w:t>e</w:t>
      </w:r>
      <w:r>
        <w:rPr>
          <w:spacing w:val="0"/>
          <w:w w:val="100"/>
          <w:kern w:val="0"/>
          <w:sz w:val="24"/>
        </w:rPr>
        <w:t>nes.</w:t>
      </w:r>
    </w:p>
    <w:p w:rsidR="00000000" w:rsidRDefault="00000000">
      <w:pPr>
        <w:pStyle w:val="H23"/>
        <w:keepNext w:val="0"/>
        <w:keepLines w:val="0"/>
        <w:suppressAutoHyphens w:val="0"/>
        <w:spacing w:after="240" w:line="240" w:lineRule="auto"/>
        <w:outlineLvl w:val="9"/>
        <w:rPr>
          <w:bCs/>
          <w:spacing w:val="0"/>
          <w:w w:val="100"/>
          <w:kern w:val="0"/>
          <w:sz w:val="24"/>
        </w:rPr>
      </w:pPr>
      <w:r>
        <w:rPr>
          <w:bCs/>
          <w:spacing w:val="0"/>
          <w:w w:val="100"/>
          <w:kern w:val="0"/>
          <w:sz w:val="24"/>
        </w:rPr>
        <w:t>Mecanismos de reunión de datos sobre cuestiones relativas a la infancia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50.</w:t>
      </w:r>
      <w:r>
        <w:rPr>
          <w:spacing w:val="0"/>
          <w:w w:val="100"/>
          <w:kern w:val="0"/>
          <w:sz w:val="24"/>
        </w:rPr>
        <w:tab/>
        <w:t>Los mecanismos que se han elaborado, perfeccionado y utilizado para vigilar y analizar la situación de los niños en la República Unida de Tanzanía son los s</w:t>
      </w:r>
      <w:r>
        <w:rPr>
          <w:spacing w:val="0"/>
          <w:w w:val="100"/>
          <w:kern w:val="0"/>
          <w:sz w:val="24"/>
        </w:rPr>
        <w:t>i</w:t>
      </w:r>
      <w:r>
        <w:rPr>
          <w:spacing w:val="0"/>
          <w:w w:val="100"/>
          <w:kern w:val="0"/>
          <w:sz w:val="24"/>
        </w:rPr>
        <w:t>guientes:</w:t>
      </w:r>
    </w:p>
    <w:p w:rsidR="00000000" w:rsidRDefault="00000000">
      <w:pPr>
        <w:pStyle w:val="SingleTxt"/>
        <w:numPr>
          <w:ilvl w:val="0"/>
          <w:numId w:val="66"/>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924" w:right="0" w:hanging="357"/>
        <w:jc w:val="left"/>
        <w:rPr>
          <w:spacing w:val="0"/>
          <w:w w:val="100"/>
          <w:kern w:val="0"/>
          <w:sz w:val="24"/>
        </w:rPr>
      </w:pPr>
      <w:r>
        <w:rPr>
          <w:spacing w:val="0"/>
          <w:w w:val="100"/>
          <w:kern w:val="0"/>
          <w:sz w:val="24"/>
        </w:rPr>
        <w:t>Sistema de seguimiento de la pobreza;</w:t>
      </w:r>
    </w:p>
    <w:p w:rsidR="00000000" w:rsidRDefault="00000000">
      <w:pPr>
        <w:pStyle w:val="SingleTxt"/>
        <w:numPr>
          <w:ilvl w:val="0"/>
          <w:numId w:val="66"/>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924" w:right="0" w:hanging="357"/>
        <w:jc w:val="left"/>
        <w:rPr>
          <w:spacing w:val="0"/>
          <w:w w:val="100"/>
          <w:kern w:val="0"/>
          <w:sz w:val="24"/>
        </w:rPr>
      </w:pPr>
      <w:r>
        <w:rPr>
          <w:spacing w:val="0"/>
          <w:w w:val="100"/>
          <w:kern w:val="0"/>
          <w:sz w:val="24"/>
        </w:rPr>
        <w:t>Censo nacional de población y vivienda de 2002;</w:t>
      </w:r>
    </w:p>
    <w:p w:rsidR="00000000" w:rsidRDefault="00000000">
      <w:pPr>
        <w:pStyle w:val="SingleTxt"/>
        <w:numPr>
          <w:ilvl w:val="0"/>
          <w:numId w:val="66"/>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924" w:right="0" w:hanging="357"/>
        <w:jc w:val="left"/>
        <w:rPr>
          <w:spacing w:val="0"/>
          <w:w w:val="100"/>
          <w:kern w:val="0"/>
          <w:sz w:val="24"/>
        </w:rPr>
      </w:pPr>
      <w:r>
        <w:rPr>
          <w:spacing w:val="0"/>
          <w:w w:val="100"/>
          <w:kern w:val="0"/>
          <w:sz w:val="24"/>
        </w:rPr>
        <w:t>Encuesta sobre el presupuesto de los hogares;</w:t>
      </w:r>
    </w:p>
    <w:p w:rsidR="00000000" w:rsidRDefault="00000000">
      <w:pPr>
        <w:pStyle w:val="SingleTxt"/>
        <w:numPr>
          <w:ilvl w:val="0"/>
          <w:numId w:val="66"/>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924" w:right="0" w:hanging="357"/>
        <w:jc w:val="left"/>
        <w:rPr>
          <w:spacing w:val="0"/>
          <w:w w:val="100"/>
          <w:kern w:val="0"/>
          <w:sz w:val="24"/>
        </w:rPr>
      </w:pPr>
      <w:r>
        <w:rPr>
          <w:spacing w:val="0"/>
          <w:w w:val="100"/>
          <w:kern w:val="0"/>
          <w:sz w:val="24"/>
        </w:rPr>
        <w:t>Encuesta de 2000-2001;</w:t>
      </w:r>
    </w:p>
    <w:p w:rsidR="00000000" w:rsidRDefault="00000000">
      <w:pPr>
        <w:pStyle w:val="SingleTxt"/>
        <w:numPr>
          <w:ilvl w:val="0"/>
          <w:numId w:val="66"/>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924" w:right="0" w:hanging="357"/>
        <w:jc w:val="left"/>
        <w:rPr>
          <w:spacing w:val="0"/>
          <w:w w:val="100"/>
          <w:kern w:val="0"/>
          <w:sz w:val="24"/>
        </w:rPr>
      </w:pPr>
      <w:r>
        <w:rPr>
          <w:spacing w:val="0"/>
          <w:w w:val="100"/>
          <w:kern w:val="0"/>
          <w:sz w:val="24"/>
        </w:rPr>
        <w:t>Encuesta integrada sobre la fuerza de trabajo;</w:t>
      </w:r>
    </w:p>
    <w:p w:rsidR="00000000" w:rsidRDefault="00000000">
      <w:pPr>
        <w:pStyle w:val="SingleTxt"/>
        <w:numPr>
          <w:ilvl w:val="0"/>
          <w:numId w:val="66"/>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924" w:right="0" w:hanging="357"/>
        <w:jc w:val="left"/>
        <w:rPr>
          <w:spacing w:val="0"/>
          <w:w w:val="100"/>
          <w:kern w:val="0"/>
          <w:sz w:val="24"/>
        </w:rPr>
      </w:pPr>
      <w:r>
        <w:rPr>
          <w:spacing w:val="0"/>
          <w:w w:val="100"/>
          <w:kern w:val="0"/>
          <w:sz w:val="24"/>
        </w:rPr>
        <w:t>Base de datos socioeconómicos de la República Unida de Tanzanía;</w:t>
      </w:r>
    </w:p>
    <w:p w:rsidR="00000000" w:rsidRDefault="00000000">
      <w:pPr>
        <w:pStyle w:val="SingleTxt"/>
        <w:numPr>
          <w:ilvl w:val="0"/>
          <w:numId w:val="66"/>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924" w:right="0" w:hanging="357"/>
        <w:jc w:val="left"/>
        <w:rPr>
          <w:spacing w:val="0"/>
          <w:w w:val="100"/>
          <w:kern w:val="0"/>
          <w:sz w:val="24"/>
        </w:rPr>
      </w:pPr>
      <w:r>
        <w:rPr>
          <w:spacing w:val="0"/>
          <w:w w:val="100"/>
          <w:kern w:val="0"/>
          <w:sz w:val="24"/>
        </w:rPr>
        <w:t>Reunión de información sobre la supervivencia, la protección y el desarrollo del niño;</w:t>
      </w:r>
    </w:p>
    <w:p w:rsidR="00000000" w:rsidRDefault="00000000">
      <w:pPr>
        <w:pStyle w:val="SingleTxt"/>
        <w:numPr>
          <w:ilvl w:val="0"/>
          <w:numId w:val="66"/>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924" w:right="0" w:hanging="357"/>
        <w:jc w:val="left"/>
        <w:rPr>
          <w:spacing w:val="0"/>
          <w:w w:val="100"/>
          <w:kern w:val="0"/>
          <w:sz w:val="24"/>
        </w:rPr>
      </w:pPr>
      <w:r>
        <w:rPr>
          <w:spacing w:val="0"/>
          <w:w w:val="100"/>
          <w:kern w:val="0"/>
          <w:sz w:val="24"/>
        </w:rPr>
        <w:t xml:space="preserve">Registros de aldeas y </w:t>
      </w:r>
      <w:r>
        <w:rPr>
          <w:i/>
          <w:iCs/>
          <w:spacing w:val="0"/>
          <w:w w:val="100"/>
          <w:kern w:val="0"/>
          <w:sz w:val="24"/>
        </w:rPr>
        <w:t>shehias</w:t>
      </w:r>
      <w:r>
        <w:rPr>
          <w:spacing w:val="0"/>
          <w:w w:val="100"/>
          <w:kern w:val="0"/>
          <w:sz w:val="24"/>
        </w:rPr>
        <w:t>;</w:t>
      </w:r>
    </w:p>
    <w:p w:rsidR="00000000" w:rsidRDefault="00000000">
      <w:pPr>
        <w:pStyle w:val="SingleTxt"/>
        <w:numPr>
          <w:ilvl w:val="0"/>
          <w:numId w:val="66"/>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924" w:right="0" w:hanging="357"/>
        <w:jc w:val="left"/>
        <w:rPr>
          <w:spacing w:val="0"/>
          <w:w w:val="100"/>
          <w:kern w:val="0"/>
          <w:sz w:val="24"/>
        </w:rPr>
      </w:pPr>
      <w:r>
        <w:rPr>
          <w:spacing w:val="0"/>
          <w:w w:val="100"/>
          <w:kern w:val="0"/>
          <w:sz w:val="24"/>
        </w:rPr>
        <w:t>Sistema de información administrativa de las comunidades;</w:t>
      </w:r>
    </w:p>
    <w:p w:rsidR="00000000" w:rsidRDefault="00000000">
      <w:pPr>
        <w:pStyle w:val="SingleTxt"/>
        <w:numPr>
          <w:ilvl w:val="0"/>
          <w:numId w:val="66"/>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924" w:right="0" w:hanging="357"/>
        <w:jc w:val="left"/>
        <w:rPr>
          <w:spacing w:val="0"/>
          <w:w w:val="100"/>
          <w:kern w:val="0"/>
          <w:sz w:val="24"/>
        </w:rPr>
      </w:pPr>
      <w:r>
        <w:rPr>
          <w:spacing w:val="0"/>
          <w:w w:val="100"/>
          <w:kern w:val="0"/>
          <w:sz w:val="24"/>
        </w:rPr>
        <w:t>Análisis de situación.</w:t>
      </w:r>
    </w:p>
    <w:p w:rsidR="00000000" w:rsidRDefault="00000000">
      <w:pPr>
        <w:pStyle w:val="H4"/>
        <w:keepNext w:val="0"/>
        <w:keepLines w:val="0"/>
        <w:tabs>
          <w:tab w:val="clear" w:pos="360"/>
        </w:tabs>
        <w:suppressAutoHyphens w:val="0"/>
        <w:spacing w:after="240" w:line="240" w:lineRule="auto"/>
        <w:ind w:left="567"/>
        <w:outlineLvl w:val="9"/>
        <w:rPr>
          <w:b/>
          <w:bCs/>
          <w:i w:val="0"/>
          <w:spacing w:val="0"/>
          <w:w w:val="100"/>
          <w:kern w:val="0"/>
          <w:sz w:val="24"/>
        </w:rPr>
      </w:pPr>
      <w:r>
        <w:rPr>
          <w:b/>
          <w:bCs/>
          <w:i w:val="0"/>
          <w:spacing w:val="0"/>
          <w:w w:val="100"/>
          <w:kern w:val="0"/>
          <w:sz w:val="24"/>
        </w:rPr>
        <w:t>Sistema de seguimiento de la pobreza, incluido el seguimiento de los objetivos de desarrollo del Milenio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51.</w:t>
      </w:r>
      <w:r>
        <w:rPr>
          <w:spacing w:val="0"/>
          <w:w w:val="100"/>
          <w:kern w:val="0"/>
          <w:sz w:val="24"/>
        </w:rPr>
        <w:tab/>
        <w:t>La vigilancia de los indicadores clave de la Estrategia de lucha contra la p</w:t>
      </w:r>
      <w:r>
        <w:rPr>
          <w:spacing w:val="0"/>
          <w:w w:val="100"/>
          <w:kern w:val="0"/>
          <w:sz w:val="24"/>
        </w:rPr>
        <w:t>o</w:t>
      </w:r>
      <w:r>
        <w:rPr>
          <w:spacing w:val="0"/>
          <w:w w:val="100"/>
          <w:kern w:val="0"/>
          <w:sz w:val="24"/>
        </w:rPr>
        <w:t>breza, es una parte fundamental de la estrategia general para determinar fehacient</w:t>
      </w:r>
      <w:r>
        <w:rPr>
          <w:spacing w:val="0"/>
          <w:w w:val="100"/>
          <w:kern w:val="0"/>
          <w:sz w:val="24"/>
        </w:rPr>
        <w:t>e</w:t>
      </w:r>
      <w:r>
        <w:rPr>
          <w:spacing w:val="0"/>
          <w:w w:val="100"/>
          <w:kern w:val="0"/>
          <w:sz w:val="24"/>
        </w:rPr>
        <w:t>mente si las medidas de reducción de la pobreza están alcanzando o no las metas previstas.  Luego de la introducción de la Estrategia de lucha contra la pobreza, el Gobierno puso en marcha el Sistema de seguimiento de la pobreza a efectos de o</w:t>
      </w:r>
      <w:r>
        <w:rPr>
          <w:spacing w:val="0"/>
          <w:w w:val="100"/>
          <w:kern w:val="0"/>
          <w:sz w:val="24"/>
        </w:rPr>
        <w:t>b</w:t>
      </w:r>
      <w:r>
        <w:rPr>
          <w:spacing w:val="0"/>
          <w:w w:val="100"/>
          <w:kern w:val="0"/>
          <w:sz w:val="24"/>
        </w:rPr>
        <w:t>tener datos que contribuyeran a la aplicación de la Estrategia y la consecución de los objetivos de desarrollo del Milenio y permitieran evaluar la eficacia del proceso.</w:t>
      </w:r>
    </w:p>
    <w:p w:rsidR="00000000" w:rsidRDefault="00000000">
      <w:pPr>
        <w:pStyle w:val="H4"/>
        <w:keepNext w:val="0"/>
        <w:keepLines w:val="0"/>
        <w:tabs>
          <w:tab w:val="clear" w:pos="360"/>
        </w:tabs>
        <w:suppressAutoHyphens w:val="0"/>
        <w:spacing w:after="240" w:line="240" w:lineRule="auto"/>
        <w:ind w:left="567"/>
        <w:outlineLvl w:val="9"/>
        <w:rPr>
          <w:b/>
          <w:bCs/>
          <w:i w:val="0"/>
          <w:spacing w:val="0"/>
          <w:w w:val="100"/>
          <w:kern w:val="0"/>
          <w:sz w:val="24"/>
        </w:rPr>
      </w:pPr>
      <w:r>
        <w:rPr>
          <w:b/>
          <w:bCs/>
          <w:i w:val="0"/>
          <w:spacing w:val="0"/>
          <w:w w:val="100"/>
          <w:kern w:val="0"/>
          <w:sz w:val="24"/>
        </w:rPr>
        <w:t>Censo nacional de población y vivienda de 2002</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52.</w:t>
      </w:r>
      <w:r>
        <w:rPr>
          <w:spacing w:val="0"/>
          <w:w w:val="100"/>
          <w:kern w:val="0"/>
          <w:sz w:val="24"/>
        </w:rPr>
        <w:tab/>
        <w:t>Según el Censo nacional de población y vivienda de agosto de 2002 hay 17.442.419 menores de 18 años, es decir el 51% de la población total de la Repúbl</w:t>
      </w:r>
      <w:r>
        <w:rPr>
          <w:spacing w:val="0"/>
          <w:w w:val="100"/>
          <w:kern w:val="0"/>
          <w:sz w:val="24"/>
        </w:rPr>
        <w:t>i</w:t>
      </w:r>
      <w:r>
        <w:rPr>
          <w:spacing w:val="0"/>
          <w:w w:val="100"/>
          <w:kern w:val="0"/>
          <w:sz w:val="24"/>
        </w:rPr>
        <w:t>ca Unida de Tanzanía.  En Tanzanía continental viven 16.918.818 niños (49% var</w:t>
      </w:r>
      <w:r>
        <w:rPr>
          <w:spacing w:val="0"/>
          <w:w w:val="100"/>
          <w:kern w:val="0"/>
          <w:sz w:val="24"/>
        </w:rPr>
        <w:t>o</w:t>
      </w:r>
      <w:r>
        <w:rPr>
          <w:spacing w:val="0"/>
          <w:w w:val="100"/>
          <w:kern w:val="0"/>
          <w:sz w:val="24"/>
        </w:rPr>
        <w:t>nes y 51% niñas), mientras que en Zanzíbar viven 523.601 menores de 18 años, que representan el 53% de la población total, de los cuales 262.103 son varones (50%) y 261.498 son niñas (50%).  En total hay 5.664.907 niños menores de 5 años.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53.</w:t>
      </w:r>
      <w:r>
        <w:rPr>
          <w:spacing w:val="0"/>
          <w:w w:val="100"/>
          <w:kern w:val="0"/>
          <w:sz w:val="24"/>
        </w:rPr>
        <w:tab/>
        <w:t>En el cuadro 5 se presentan los porcentajes de niños por grupos de edad.</w:t>
      </w:r>
    </w:p>
    <w:p w:rsidR="00000000" w:rsidRDefault="00000000">
      <w:pPr>
        <w:pStyle w:val="H23"/>
        <w:keepLines w:val="0"/>
        <w:suppressAutoHyphens w:val="0"/>
        <w:spacing w:after="240" w:line="240" w:lineRule="auto"/>
        <w:jc w:val="center"/>
        <w:outlineLvl w:val="9"/>
        <w:rPr>
          <w:bCs/>
          <w:spacing w:val="0"/>
          <w:w w:val="100"/>
          <w:kern w:val="0"/>
          <w:sz w:val="22"/>
        </w:rPr>
      </w:pPr>
      <w:r>
        <w:rPr>
          <w:bCs/>
          <w:spacing w:val="0"/>
          <w:w w:val="100"/>
          <w:kern w:val="0"/>
          <w:sz w:val="22"/>
        </w:rPr>
        <w:t>Cuadro 5</w:t>
      </w:r>
    </w:p>
    <w:p w:rsidR="00000000" w:rsidRDefault="00000000">
      <w:pPr>
        <w:pStyle w:val="H23"/>
        <w:keepLines w:val="0"/>
        <w:suppressAutoHyphens w:val="0"/>
        <w:spacing w:after="240" w:line="240" w:lineRule="auto"/>
        <w:jc w:val="center"/>
        <w:outlineLvl w:val="9"/>
        <w:rPr>
          <w:bCs/>
          <w:spacing w:val="0"/>
          <w:w w:val="100"/>
          <w:kern w:val="0"/>
          <w:sz w:val="22"/>
        </w:rPr>
      </w:pPr>
      <w:r>
        <w:rPr>
          <w:bCs/>
          <w:spacing w:val="0"/>
          <w:w w:val="100"/>
          <w:kern w:val="0"/>
          <w:sz w:val="22"/>
        </w:rPr>
        <w:t>Porcentajes de niños por grupos de edad</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10" w:type="dxa"/>
          <w:right w:w="510" w:type="dxa"/>
        </w:tblCellMar>
        <w:tblLook w:val="0000" w:firstRow="0" w:lastRow="0" w:firstColumn="0" w:lastColumn="0" w:noHBand="0" w:noVBand="0"/>
      </w:tblPr>
      <w:tblGrid>
        <w:gridCol w:w="3813"/>
        <w:gridCol w:w="1680"/>
        <w:gridCol w:w="1920"/>
        <w:gridCol w:w="1888"/>
      </w:tblGrid>
      <w:tr w:rsidR="00000000">
        <w:tblPrEx>
          <w:tblCellMar>
            <w:top w:w="0" w:type="dxa"/>
            <w:bottom w:w="0" w:type="dxa"/>
          </w:tblCellMar>
        </w:tblPrEx>
        <w:trPr>
          <w:tblHeader/>
          <w:jc w:val="center"/>
        </w:trPr>
        <w:tc>
          <w:tcPr>
            <w:tcW w:w="3813" w:type="dxa"/>
            <w:tcMar>
              <w:left w:w="51" w:type="dxa"/>
              <w:right w:w="51" w:type="dxa"/>
            </w:tcMar>
            <w:vAlign w:val="bottom"/>
          </w:tcPr>
          <w:p w:rsidR="00000000" w:rsidRDefault="00000000">
            <w:pPr>
              <w:jc w:val="center"/>
              <w:rPr>
                <w:sz w:val="22"/>
              </w:rPr>
            </w:pPr>
            <w:r>
              <w:rPr>
                <w:sz w:val="22"/>
              </w:rPr>
              <w:t>Sexo/grupo de edad</w:t>
            </w:r>
          </w:p>
        </w:tc>
        <w:tc>
          <w:tcPr>
            <w:tcW w:w="1680" w:type="dxa"/>
            <w:tcMar>
              <w:left w:w="51" w:type="dxa"/>
              <w:right w:w="51" w:type="dxa"/>
            </w:tcMar>
            <w:vAlign w:val="bottom"/>
          </w:tcPr>
          <w:p w:rsidR="00000000" w:rsidRDefault="00000000">
            <w:pPr>
              <w:jc w:val="center"/>
              <w:rPr>
                <w:sz w:val="22"/>
              </w:rPr>
            </w:pPr>
            <w:r>
              <w:rPr>
                <w:sz w:val="22"/>
              </w:rPr>
              <w:t>Menores de 1 año</w:t>
            </w:r>
          </w:p>
        </w:tc>
        <w:tc>
          <w:tcPr>
            <w:tcW w:w="1920" w:type="dxa"/>
            <w:tcMar>
              <w:left w:w="51" w:type="dxa"/>
              <w:right w:w="51" w:type="dxa"/>
            </w:tcMar>
            <w:vAlign w:val="bottom"/>
          </w:tcPr>
          <w:p w:rsidR="00000000" w:rsidRDefault="00000000">
            <w:pPr>
              <w:jc w:val="center"/>
              <w:rPr>
                <w:sz w:val="22"/>
              </w:rPr>
            </w:pPr>
            <w:r>
              <w:rPr>
                <w:sz w:val="22"/>
              </w:rPr>
              <w:t>Menores de 5 años</w:t>
            </w:r>
          </w:p>
        </w:tc>
        <w:tc>
          <w:tcPr>
            <w:tcW w:w="1888" w:type="dxa"/>
            <w:tcMar>
              <w:left w:w="51" w:type="dxa"/>
              <w:right w:w="51" w:type="dxa"/>
            </w:tcMar>
            <w:vAlign w:val="bottom"/>
          </w:tcPr>
          <w:p w:rsidR="00000000" w:rsidRDefault="00000000">
            <w:pPr>
              <w:jc w:val="center"/>
              <w:rPr>
                <w:sz w:val="22"/>
              </w:rPr>
            </w:pPr>
            <w:r>
              <w:rPr>
                <w:sz w:val="22"/>
              </w:rPr>
              <w:t>Menores de 18 años</w:t>
            </w:r>
          </w:p>
        </w:tc>
      </w:tr>
      <w:tr w:rsidR="00000000">
        <w:tblPrEx>
          <w:tblCellMar>
            <w:top w:w="0" w:type="dxa"/>
            <w:bottom w:w="0" w:type="dxa"/>
          </w:tblCellMar>
        </w:tblPrEx>
        <w:trPr>
          <w:jc w:val="center"/>
        </w:trPr>
        <w:tc>
          <w:tcPr>
            <w:tcW w:w="3813" w:type="dxa"/>
            <w:tcMar>
              <w:left w:w="51" w:type="dxa"/>
              <w:right w:w="51" w:type="dxa"/>
            </w:tcMar>
            <w:vAlign w:val="bottom"/>
          </w:tcPr>
          <w:p w:rsidR="00000000" w:rsidRDefault="00000000">
            <w:pPr>
              <w:rPr>
                <w:sz w:val="22"/>
              </w:rPr>
            </w:pPr>
            <w:r>
              <w:rPr>
                <w:sz w:val="22"/>
              </w:rPr>
              <w:t>Mujeres</w:t>
            </w:r>
          </w:p>
        </w:tc>
        <w:tc>
          <w:tcPr>
            <w:tcW w:w="1680" w:type="dxa"/>
            <w:tcMar>
              <w:left w:w="51" w:type="dxa"/>
              <w:right w:w="51" w:type="dxa"/>
            </w:tcMar>
            <w:vAlign w:val="bottom"/>
          </w:tcPr>
          <w:p w:rsidR="00000000" w:rsidRDefault="00000000">
            <w:pPr>
              <w:tabs>
                <w:tab w:val="decimal" w:pos="1029"/>
              </w:tabs>
              <w:rPr>
                <w:sz w:val="22"/>
              </w:rPr>
            </w:pPr>
            <w:r>
              <w:rPr>
                <w:sz w:val="22"/>
              </w:rPr>
              <w:t>596.973</w:t>
            </w:r>
          </w:p>
        </w:tc>
        <w:tc>
          <w:tcPr>
            <w:tcW w:w="1920" w:type="dxa"/>
            <w:tcMar>
              <w:left w:w="51" w:type="dxa"/>
              <w:right w:w="51" w:type="dxa"/>
            </w:tcMar>
            <w:vAlign w:val="bottom"/>
          </w:tcPr>
          <w:p w:rsidR="00000000" w:rsidRDefault="00000000">
            <w:pPr>
              <w:tabs>
                <w:tab w:val="decimal" w:pos="1269"/>
              </w:tabs>
              <w:rPr>
                <w:sz w:val="22"/>
              </w:rPr>
            </w:pPr>
            <w:r>
              <w:rPr>
                <w:sz w:val="22"/>
              </w:rPr>
              <w:t>2.834.362</w:t>
            </w:r>
          </w:p>
        </w:tc>
        <w:tc>
          <w:tcPr>
            <w:tcW w:w="1888" w:type="dxa"/>
            <w:tcMar>
              <w:left w:w="51" w:type="dxa"/>
              <w:right w:w="51" w:type="dxa"/>
            </w:tcMar>
            <w:vAlign w:val="bottom"/>
          </w:tcPr>
          <w:p w:rsidR="00000000" w:rsidRDefault="00000000">
            <w:pPr>
              <w:tabs>
                <w:tab w:val="decimal" w:pos="1269"/>
              </w:tabs>
              <w:rPr>
                <w:sz w:val="22"/>
              </w:rPr>
            </w:pPr>
            <w:r>
              <w:rPr>
                <w:sz w:val="22"/>
              </w:rPr>
              <w:t>8.690.766</w:t>
            </w:r>
          </w:p>
        </w:tc>
      </w:tr>
      <w:tr w:rsidR="00000000">
        <w:tblPrEx>
          <w:tblCellMar>
            <w:top w:w="0" w:type="dxa"/>
            <w:bottom w:w="0" w:type="dxa"/>
          </w:tblCellMar>
        </w:tblPrEx>
        <w:trPr>
          <w:jc w:val="center"/>
        </w:trPr>
        <w:tc>
          <w:tcPr>
            <w:tcW w:w="3813" w:type="dxa"/>
            <w:tcMar>
              <w:left w:w="51" w:type="dxa"/>
              <w:right w:w="51" w:type="dxa"/>
            </w:tcMar>
            <w:vAlign w:val="bottom"/>
          </w:tcPr>
          <w:p w:rsidR="00000000" w:rsidRDefault="00000000">
            <w:pPr>
              <w:rPr>
                <w:sz w:val="22"/>
              </w:rPr>
            </w:pPr>
            <w:r>
              <w:rPr>
                <w:sz w:val="22"/>
              </w:rPr>
              <w:t>Varones</w:t>
            </w:r>
          </w:p>
        </w:tc>
        <w:tc>
          <w:tcPr>
            <w:tcW w:w="1680" w:type="dxa"/>
            <w:tcMar>
              <w:left w:w="51" w:type="dxa"/>
              <w:right w:w="51" w:type="dxa"/>
            </w:tcMar>
            <w:vAlign w:val="bottom"/>
          </w:tcPr>
          <w:p w:rsidR="00000000" w:rsidRDefault="00000000">
            <w:pPr>
              <w:tabs>
                <w:tab w:val="decimal" w:pos="1029"/>
              </w:tabs>
              <w:rPr>
                <w:sz w:val="22"/>
              </w:rPr>
            </w:pPr>
            <w:r>
              <w:rPr>
                <w:sz w:val="22"/>
              </w:rPr>
              <w:t>594.111</w:t>
            </w:r>
          </w:p>
        </w:tc>
        <w:tc>
          <w:tcPr>
            <w:tcW w:w="1920" w:type="dxa"/>
            <w:tcMar>
              <w:left w:w="51" w:type="dxa"/>
              <w:right w:w="51" w:type="dxa"/>
            </w:tcMar>
            <w:vAlign w:val="bottom"/>
          </w:tcPr>
          <w:p w:rsidR="00000000" w:rsidRDefault="00000000">
            <w:pPr>
              <w:tabs>
                <w:tab w:val="decimal" w:pos="1269"/>
              </w:tabs>
              <w:rPr>
                <w:sz w:val="22"/>
              </w:rPr>
            </w:pPr>
            <w:r>
              <w:rPr>
                <w:sz w:val="22"/>
              </w:rPr>
              <w:t>2.830.545</w:t>
            </w:r>
          </w:p>
        </w:tc>
        <w:tc>
          <w:tcPr>
            <w:tcW w:w="1888" w:type="dxa"/>
            <w:tcMar>
              <w:left w:w="51" w:type="dxa"/>
              <w:right w:w="51" w:type="dxa"/>
            </w:tcMar>
            <w:vAlign w:val="bottom"/>
          </w:tcPr>
          <w:p w:rsidR="00000000" w:rsidRDefault="00000000">
            <w:pPr>
              <w:tabs>
                <w:tab w:val="decimal" w:pos="1269"/>
              </w:tabs>
              <w:rPr>
                <w:sz w:val="22"/>
              </w:rPr>
            </w:pPr>
            <w:r>
              <w:rPr>
                <w:sz w:val="22"/>
              </w:rPr>
              <w:t>8.751.653</w:t>
            </w:r>
          </w:p>
        </w:tc>
      </w:tr>
      <w:tr w:rsidR="00000000">
        <w:tblPrEx>
          <w:tblCellMar>
            <w:top w:w="0" w:type="dxa"/>
            <w:bottom w:w="0" w:type="dxa"/>
          </w:tblCellMar>
        </w:tblPrEx>
        <w:trPr>
          <w:jc w:val="center"/>
        </w:trPr>
        <w:tc>
          <w:tcPr>
            <w:tcW w:w="3813" w:type="dxa"/>
            <w:tcMar>
              <w:left w:w="51" w:type="dxa"/>
              <w:right w:w="51" w:type="dxa"/>
            </w:tcMar>
            <w:vAlign w:val="bottom"/>
          </w:tcPr>
          <w:p w:rsidR="00000000" w:rsidRDefault="00000000">
            <w:pPr>
              <w:rPr>
                <w:sz w:val="22"/>
              </w:rPr>
            </w:pPr>
            <w:r>
              <w:rPr>
                <w:sz w:val="22"/>
              </w:rPr>
              <w:t>Porcentaje de la población nacional total</w:t>
            </w:r>
          </w:p>
        </w:tc>
        <w:tc>
          <w:tcPr>
            <w:tcW w:w="1680" w:type="dxa"/>
            <w:tcMar>
              <w:left w:w="51" w:type="dxa"/>
              <w:right w:w="51" w:type="dxa"/>
            </w:tcMar>
            <w:vAlign w:val="bottom"/>
          </w:tcPr>
          <w:p w:rsidR="00000000" w:rsidRDefault="00000000">
            <w:pPr>
              <w:tabs>
                <w:tab w:val="decimal" w:pos="1029"/>
              </w:tabs>
              <w:rPr>
                <w:sz w:val="22"/>
                <w:lang w:val="en-US"/>
              </w:rPr>
            </w:pPr>
            <w:r>
              <w:rPr>
                <w:sz w:val="22"/>
                <w:lang w:val="en-US"/>
              </w:rPr>
              <w:t>3,5</w:t>
            </w:r>
          </w:p>
        </w:tc>
        <w:tc>
          <w:tcPr>
            <w:tcW w:w="1920" w:type="dxa"/>
            <w:tcMar>
              <w:left w:w="51" w:type="dxa"/>
              <w:right w:w="51" w:type="dxa"/>
            </w:tcMar>
            <w:vAlign w:val="bottom"/>
          </w:tcPr>
          <w:p w:rsidR="00000000" w:rsidRDefault="00000000">
            <w:pPr>
              <w:tabs>
                <w:tab w:val="decimal" w:pos="1269"/>
              </w:tabs>
              <w:rPr>
                <w:sz w:val="22"/>
                <w:lang w:val="en-US"/>
              </w:rPr>
            </w:pPr>
            <w:r>
              <w:rPr>
                <w:sz w:val="22"/>
                <w:lang w:val="en-US"/>
              </w:rPr>
              <w:t>16,4</w:t>
            </w:r>
          </w:p>
        </w:tc>
        <w:tc>
          <w:tcPr>
            <w:tcW w:w="1888" w:type="dxa"/>
            <w:tcMar>
              <w:left w:w="51" w:type="dxa"/>
              <w:right w:w="51" w:type="dxa"/>
            </w:tcMar>
            <w:vAlign w:val="bottom"/>
          </w:tcPr>
          <w:p w:rsidR="00000000" w:rsidRDefault="00000000">
            <w:pPr>
              <w:tabs>
                <w:tab w:val="decimal" w:pos="1269"/>
              </w:tabs>
              <w:rPr>
                <w:sz w:val="22"/>
                <w:lang w:val="en-US"/>
              </w:rPr>
            </w:pPr>
            <w:r>
              <w:rPr>
                <w:sz w:val="22"/>
                <w:lang w:val="en-US"/>
              </w:rPr>
              <w:t>50,6</w:t>
            </w:r>
          </w:p>
        </w:tc>
      </w:tr>
    </w:tbl>
    <w:p w:rsidR="00000000" w:rsidRDefault="00000000">
      <w:pPr>
        <w:pStyle w:val="FootnoteText"/>
        <w:spacing w:before="180" w:after="480" w:line="240" w:lineRule="auto"/>
        <w:rPr>
          <w:sz w:val="22"/>
          <w:lang w:val="en-US"/>
        </w:rPr>
      </w:pPr>
      <w:r>
        <w:rPr>
          <w:i/>
          <w:iCs/>
          <w:sz w:val="22"/>
          <w:lang w:val="en-US"/>
        </w:rPr>
        <w:t>Fuente</w:t>
      </w:r>
      <w:r>
        <w:rPr>
          <w:sz w:val="22"/>
          <w:lang w:val="en-US"/>
        </w:rPr>
        <w:t>:  National Population and Housing Census Report, 2002.</w:t>
      </w:r>
    </w:p>
    <w:p w:rsidR="00000000" w:rsidRDefault="00000000">
      <w:pPr>
        <w:pStyle w:val="H4"/>
        <w:keepNext w:val="0"/>
        <w:keepLines w:val="0"/>
        <w:tabs>
          <w:tab w:val="clear" w:pos="360"/>
        </w:tabs>
        <w:suppressAutoHyphens w:val="0"/>
        <w:spacing w:after="240" w:line="240" w:lineRule="auto"/>
        <w:ind w:left="567"/>
        <w:outlineLvl w:val="9"/>
        <w:rPr>
          <w:b/>
          <w:bCs/>
          <w:i w:val="0"/>
          <w:spacing w:val="0"/>
          <w:w w:val="100"/>
          <w:kern w:val="0"/>
          <w:sz w:val="24"/>
        </w:rPr>
      </w:pPr>
      <w:r>
        <w:rPr>
          <w:b/>
          <w:bCs/>
          <w:i w:val="0"/>
          <w:spacing w:val="0"/>
          <w:w w:val="100"/>
          <w:kern w:val="0"/>
          <w:sz w:val="24"/>
        </w:rPr>
        <w:t>Encuesta sobre el presupuesto de los hogares de 2000-2001</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54.</w:t>
      </w:r>
      <w:r>
        <w:rPr>
          <w:spacing w:val="0"/>
          <w:w w:val="100"/>
          <w:kern w:val="0"/>
          <w:sz w:val="24"/>
        </w:rPr>
        <w:tab/>
        <w:t>Oficina Nacional de Estadística realizó la Encuesta sobre el presupuesto de los hogares de 2000-2001, en la que participaron más de 22.000 hogares en las 21 regiones de Tanzanía continental.  El análisis se centra en los indicadores de p</w:t>
      </w:r>
      <w:r>
        <w:rPr>
          <w:spacing w:val="0"/>
          <w:w w:val="100"/>
          <w:kern w:val="0"/>
          <w:sz w:val="24"/>
        </w:rPr>
        <w:t>o</w:t>
      </w:r>
      <w:r>
        <w:rPr>
          <w:spacing w:val="0"/>
          <w:w w:val="100"/>
          <w:kern w:val="0"/>
          <w:sz w:val="24"/>
        </w:rPr>
        <w:t>breza definidos en la Estrategia de lucha contra la pobreza y proporciona inform</w:t>
      </w:r>
      <w:r>
        <w:rPr>
          <w:spacing w:val="0"/>
          <w:w w:val="100"/>
          <w:kern w:val="0"/>
          <w:sz w:val="24"/>
        </w:rPr>
        <w:t>a</w:t>
      </w:r>
      <w:r>
        <w:rPr>
          <w:spacing w:val="0"/>
          <w:w w:val="100"/>
          <w:kern w:val="0"/>
          <w:sz w:val="24"/>
        </w:rPr>
        <w:t>ción sobre la situación de los hogares a nivel nacional y regional; además se descr</w:t>
      </w:r>
      <w:r>
        <w:rPr>
          <w:spacing w:val="0"/>
          <w:w w:val="100"/>
          <w:kern w:val="0"/>
          <w:sz w:val="24"/>
        </w:rPr>
        <w:t>i</w:t>
      </w:r>
      <w:r>
        <w:rPr>
          <w:spacing w:val="0"/>
          <w:w w:val="100"/>
          <w:kern w:val="0"/>
          <w:sz w:val="24"/>
        </w:rPr>
        <w:t>be una situación en materia de pobreza que servirá de referencia para evaluar los progresos fut</w:t>
      </w:r>
      <w:r>
        <w:rPr>
          <w:spacing w:val="0"/>
          <w:w w:val="100"/>
          <w:kern w:val="0"/>
          <w:sz w:val="24"/>
        </w:rPr>
        <w:t>u</w:t>
      </w:r>
      <w:r>
        <w:rPr>
          <w:spacing w:val="0"/>
          <w:w w:val="100"/>
          <w:kern w:val="0"/>
          <w:sz w:val="24"/>
        </w:rPr>
        <w:t>ros.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55.</w:t>
      </w:r>
      <w:r>
        <w:rPr>
          <w:spacing w:val="0"/>
          <w:w w:val="100"/>
          <w:kern w:val="0"/>
          <w:sz w:val="24"/>
        </w:rPr>
        <w:tab/>
        <w:t>Las conclusiones de la Encuesta de 2000-2001 confirman que la pobreza def</w:t>
      </w:r>
      <w:r>
        <w:rPr>
          <w:spacing w:val="0"/>
          <w:w w:val="100"/>
          <w:kern w:val="0"/>
          <w:sz w:val="24"/>
        </w:rPr>
        <w:t>i</w:t>
      </w:r>
      <w:r>
        <w:rPr>
          <w:spacing w:val="0"/>
          <w:w w:val="100"/>
          <w:kern w:val="0"/>
          <w:sz w:val="24"/>
        </w:rPr>
        <w:t>nida en función del ingreso sigue siendo alta y que el 36% de la población vive por debajo del umbral de pobreza en cuanto a la satisfacción de las necesidades básicas.  Si bien ese porcentaje es levemente inferior al de 1991, como consecuencia del cr</w:t>
      </w:r>
      <w:r>
        <w:rPr>
          <w:spacing w:val="0"/>
          <w:w w:val="100"/>
          <w:kern w:val="0"/>
          <w:sz w:val="24"/>
        </w:rPr>
        <w:t>e</w:t>
      </w:r>
      <w:r>
        <w:rPr>
          <w:spacing w:val="0"/>
          <w:w w:val="100"/>
          <w:kern w:val="0"/>
          <w:sz w:val="24"/>
        </w:rPr>
        <w:t>cimiento demográfico actualmente hay 11,5 millones de personas por debajo del umbral de pobreza, frente a 9,5 millones en 1991.  Además, se están profundizando las disparidades entre los ricos y los pobres y entre la población urbana y rural.  Los hogares de las zonas rurales son mucho más pobres que los de las zonas urbanas en casi todos los aspectos y la situación en Dar es Salam es significativamente mejor que en el resto del país.  El consumo de los hogares aumentó en promedio alrededor del 17%, mientras que en Dar es Salam aumentó el 47%.</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56.</w:t>
      </w:r>
      <w:r>
        <w:rPr>
          <w:spacing w:val="0"/>
          <w:w w:val="100"/>
          <w:kern w:val="0"/>
          <w:sz w:val="24"/>
        </w:rPr>
        <w:tab/>
        <w:t>En los últimos diez años el número de personas por hogar disminuyó de 5,7 a 4,9.  Sin embargo, el número de hogares encabezados por mujeres aumentó del 18 al 23%.  Las condiciones en materia de vivienda han mejorado, así como el acceso a fuentes seguras de agua potable.  La economía rural parecería estar apartándose del m</w:t>
      </w:r>
      <w:r>
        <w:rPr>
          <w:spacing w:val="0"/>
          <w:w w:val="100"/>
          <w:kern w:val="0"/>
          <w:sz w:val="24"/>
        </w:rPr>
        <w:t>o</w:t>
      </w:r>
      <w:r>
        <w:rPr>
          <w:spacing w:val="0"/>
          <w:w w:val="100"/>
          <w:kern w:val="0"/>
          <w:sz w:val="24"/>
        </w:rPr>
        <w:t>delo en que la agricultura era la única fuente de ingresos; las mujeres, en particular, están volcándose a actividades alternativas para generar ingresos.</w:t>
      </w:r>
    </w:p>
    <w:p w:rsidR="00000000" w:rsidRDefault="00000000">
      <w:pPr>
        <w:pStyle w:val="H4"/>
        <w:keepNext w:val="0"/>
        <w:keepLines w:val="0"/>
        <w:tabs>
          <w:tab w:val="clear" w:pos="360"/>
        </w:tabs>
        <w:suppressAutoHyphens w:val="0"/>
        <w:spacing w:after="240" w:line="240" w:lineRule="auto"/>
        <w:ind w:left="567"/>
        <w:outlineLvl w:val="9"/>
        <w:rPr>
          <w:b/>
          <w:bCs/>
          <w:i w:val="0"/>
          <w:spacing w:val="0"/>
          <w:w w:val="100"/>
          <w:kern w:val="0"/>
          <w:sz w:val="24"/>
        </w:rPr>
      </w:pPr>
      <w:r>
        <w:rPr>
          <w:b/>
          <w:bCs/>
          <w:i w:val="0"/>
          <w:spacing w:val="0"/>
          <w:w w:val="100"/>
          <w:kern w:val="0"/>
          <w:sz w:val="24"/>
        </w:rPr>
        <w:t>Encuesta integrada sobre la fuerza de trabajo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57.</w:t>
      </w:r>
      <w:r>
        <w:rPr>
          <w:spacing w:val="0"/>
          <w:w w:val="100"/>
          <w:kern w:val="0"/>
          <w:sz w:val="24"/>
        </w:rPr>
        <w:tab/>
        <w:t>Existen importantes relaciones entre el crecimiento económico, el empleo y la reducción de la pobreza.  El Ministerio de Trabajo, Desarrollo de la Juventud y los Deportes hizo una encuesta integrada sobre la fuerza de trabajo en Tanzanía cont</w:t>
      </w:r>
      <w:r>
        <w:rPr>
          <w:spacing w:val="0"/>
          <w:w w:val="100"/>
          <w:kern w:val="0"/>
          <w:sz w:val="24"/>
        </w:rPr>
        <w:t>i</w:t>
      </w:r>
      <w:r>
        <w:rPr>
          <w:spacing w:val="0"/>
          <w:w w:val="100"/>
          <w:kern w:val="0"/>
          <w:sz w:val="24"/>
        </w:rPr>
        <w:t>nental en 2000-2001 a fin de paliar la falta de datos fiables sobre el mercado laboral.  Según las conclusiones iniciales de esta encuesta, en los últimos diez  años se incorp</w:t>
      </w:r>
      <w:r>
        <w:rPr>
          <w:spacing w:val="0"/>
          <w:w w:val="100"/>
          <w:kern w:val="0"/>
          <w:sz w:val="24"/>
        </w:rPr>
        <w:t>o</w:t>
      </w:r>
      <w:r>
        <w:rPr>
          <w:spacing w:val="0"/>
          <w:w w:val="100"/>
          <w:kern w:val="0"/>
          <w:sz w:val="24"/>
        </w:rPr>
        <w:t>raron 6,6 millones de personas a la fuerza de trabajo adulta, que ahora se calcula en 18 millones de personas, de las cuales el 80% se dedica a la agricultura.  Actualme</w:t>
      </w:r>
      <w:r>
        <w:rPr>
          <w:spacing w:val="0"/>
          <w:w w:val="100"/>
          <w:kern w:val="0"/>
          <w:sz w:val="24"/>
        </w:rPr>
        <w:t>n</w:t>
      </w:r>
      <w:r>
        <w:rPr>
          <w:spacing w:val="0"/>
          <w:w w:val="100"/>
          <w:kern w:val="0"/>
          <w:sz w:val="24"/>
        </w:rPr>
        <w:t>te, la tasa de crecimiento de la fuerza de trabajo (58,8%) supera la tasa de creación de puestos; cada año ingresan al mercado laboral 70.000 personas más, que en su mayor parte tienen una educación mínima.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58.</w:t>
      </w:r>
      <w:r>
        <w:rPr>
          <w:spacing w:val="0"/>
          <w:w w:val="100"/>
          <w:kern w:val="0"/>
          <w:sz w:val="24"/>
        </w:rPr>
        <w:tab/>
        <w:t>De acuerdo con las estadísticas de la Encuesta de trabajo infantil de 2000-2001 en Tanzanía continental, de un total estimado en 10,2 millones de niños entre 5 y 14 años, 4,1 millones no asistían a la escuela y, además, casi 4 millones participaban en actividades económicas o las tareas domésticas.  También se puso en evidencia que, de un número estimado de 11,9 millones de niños entre 5 y 17 años, había 4,7 millones en el mercado laboral y que un número significativo estaba dedicado a las peores formas de trabajo infantil.  Además, con el apoyo del Programa Intern</w:t>
      </w:r>
      <w:r>
        <w:rPr>
          <w:spacing w:val="0"/>
          <w:w w:val="100"/>
          <w:kern w:val="0"/>
          <w:sz w:val="24"/>
        </w:rPr>
        <w:t>a</w:t>
      </w:r>
      <w:r>
        <w:rPr>
          <w:spacing w:val="0"/>
          <w:w w:val="100"/>
          <w:kern w:val="0"/>
          <w:sz w:val="24"/>
        </w:rPr>
        <w:t>cional para la Erradicación del Trabajo Infantil de la OIT, el Gobierno realizó una Encuesta de evaluación rápida del trabajo infantil en Zanzíbar.  La encuesta se llevó a cabo en las zonas costeras.  Sus resultados se utilizaron para elaborar el Programa de promoción de las cuestiones de género (GENPROM) que tiene como objetivo combatir el trabajo infantil en el país.  Este programa se está ejecutando en cuatro aldeas en U</w:t>
      </w:r>
      <w:r>
        <w:rPr>
          <w:spacing w:val="0"/>
          <w:w w:val="100"/>
          <w:kern w:val="0"/>
          <w:sz w:val="24"/>
        </w:rPr>
        <w:t>n</w:t>
      </w:r>
      <w:r>
        <w:rPr>
          <w:spacing w:val="0"/>
          <w:w w:val="100"/>
          <w:kern w:val="0"/>
          <w:sz w:val="24"/>
        </w:rPr>
        <w:t>guja y cuatro aldeas en Pemba.</w:t>
      </w:r>
    </w:p>
    <w:p w:rsidR="00000000" w:rsidRDefault="00000000">
      <w:pPr>
        <w:pStyle w:val="H4"/>
        <w:keepNext w:val="0"/>
        <w:keepLines w:val="0"/>
        <w:tabs>
          <w:tab w:val="clear" w:pos="360"/>
        </w:tabs>
        <w:suppressAutoHyphens w:val="0"/>
        <w:spacing w:after="240" w:line="240" w:lineRule="auto"/>
        <w:ind w:left="567"/>
        <w:outlineLvl w:val="9"/>
        <w:rPr>
          <w:b/>
          <w:bCs/>
          <w:i w:val="0"/>
          <w:spacing w:val="0"/>
          <w:w w:val="100"/>
          <w:kern w:val="0"/>
          <w:sz w:val="24"/>
        </w:rPr>
      </w:pPr>
      <w:r>
        <w:rPr>
          <w:b/>
          <w:bCs/>
          <w:i w:val="0"/>
          <w:spacing w:val="0"/>
          <w:w w:val="100"/>
          <w:kern w:val="0"/>
          <w:sz w:val="24"/>
        </w:rPr>
        <w:t>Base de datos socioeconómicos de la República Unida de Tanzanía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59.</w:t>
      </w:r>
      <w:r>
        <w:rPr>
          <w:spacing w:val="0"/>
          <w:w w:val="100"/>
          <w:kern w:val="0"/>
          <w:sz w:val="24"/>
        </w:rPr>
        <w:tab/>
        <w:t>La Base de datos socioeconómicos de la República Unida de Tanzanía, que lleva la Oficina Nacional de Estadística, ha sido creada para centralizar todos los d</w:t>
      </w:r>
      <w:r>
        <w:rPr>
          <w:spacing w:val="0"/>
          <w:w w:val="100"/>
          <w:kern w:val="0"/>
          <w:sz w:val="24"/>
        </w:rPr>
        <w:t>a</w:t>
      </w:r>
      <w:r>
        <w:rPr>
          <w:spacing w:val="0"/>
          <w:w w:val="100"/>
          <w:kern w:val="0"/>
          <w:sz w:val="24"/>
        </w:rPr>
        <w:t>tos relativos a Tanzanía continental y Zanzíbar.  Su principal objetivo es ofrecer más información para poder planificar m</w:t>
      </w:r>
      <w:r>
        <w:rPr>
          <w:spacing w:val="0"/>
          <w:w w:val="100"/>
          <w:kern w:val="0"/>
          <w:sz w:val="24"/>
        </w:rPr>
        <w:t>e</w:t>
      </w:r>
      <w:r>
        <w:rPr>
          <w:spacing w:val="0"/>
          <w:w w:val="100"/>
          <w:kern w:val="0"/>
          <w:sz w:val="24"/>
        </w:rPr>
        <w:t>jor.</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60.</w:t>
      </w:r>
      <w:r>
        <w:rPr>
          <w:spacing w:val="0"/>
          <w:w w:val="100"/>
          <w:kern w:val="0"/>
          <w:sz w:val="24"/>
        </w:rPr>
        <w:tab/>
        <w:t>La Base de datos, que asegura una mayor coherencia, permite acceder fáci</w:t>
      </w:r>
      <w:r>
        <w:rPr>
          <w:spacing w:val="0"/>
          <w:w w:val="100"/>
          <w:kern w:val="0"/>
          <w:sz w:val="24"/>
        </w:rPr>
        <w:t>l</w:t>
      </w:r>
      <w:r>
        <w:rPr>
          <w:spacing w:val="0"/>
          <w:w w:val="100"/>
          <w:kern w:val="0"/>
          <w:sz w:val="24"/>
        </w:rPr>
        <w:t>mente a indicadores cuantificables para realizar actividades de planificación, segu</w:t>
      </w:r>
      <w:r>
        <w:rPr>
          <w:spacing w:val="0"/>
          <w:w w:val="100"/>
          <w:kern w:val="0"/>
          <w:sz w:val="24"/>
        </w:rPr>
        <w:t>i</w:t>
      </w:r>
      <w:r>
        <w:rPr>
          <w:spacing w:val="0"/>
          <w:w w:val="100"/>
          <w:kern w:val="0"/>
          <w:sz w:val="24"/>
        </w:rPr>
        <w:t>miento y evaluación (el programa informático facilita el análisis de las tendencias de 330 indicadores).  Proporciona un compendio de información y una mejor present</w:t>
      </w:r>
      <w:r>
        <w:rPr>
          <w:spacing w:val="0"/>
          <w:w w:val="100"/>
          <w:kern w:val="0"/>
          <w:sz w:val="24"/>
        </w:rPr>
        <w:t>a</w:t>
      </w:r>
      <w:r>
        <w:rPr>
          <w:spacing w:val="0"/>
          <w:w w:val="100"/>
          <w:kern w:val="0"/>
          <w:sz w:val="24"/>
        </w:rPr>
        <w:t>ción de los datos a través de gráficos, cuadros y mapas, contribuyendo así a una m</w:t>
      </w:r>
      <w:r>
        <w:rPr>
          <w:spacing w:val="0"/>
          <w:w w:val="100"/>
          <w:kern w:val="0"/>
          <w:sz w:val="24"/>
        </w:rPr>
        <w:t>e</w:t>
      </w:r>
      <w:r>
        <w:rPr>
          <w:spacing w:val="0"/>
          <w:w w:val="100"/>
          <w:kern w:val="0"/>
          <w:sz w:val="24"/>
        </w:rPr>
        <w:t>jor difusión e intercambio de datos e información sobre la situación de los niños.</w:t>
      </w:r>
    </w:p>
    <w:p w:rsidR="00000000" w:rsidRDefault="00000000">
      <w:pPr>
        <w:pStyle w:val="H4"/>
        <w:keepNext w:val="0"/>
        <w:keepLines w:val="0"/>
        <w:tabs>
          <w:tab w:val="clear" w:pos="360"/>
        </w:tabs>
        <w:suppressAutoHyphens w:val="0"/>
        <w:spacing w:after="240" w:line="240" w:lineRule="auto"/>
        <w:ind w:left="567"/>
        <w:outlineLvl w:val="9"/>
        <w:rPr>
          <w:b/>
          <w:bCs/>
          <w:i w:val="0"/>
          <w:spacing w:val="0"/>
          <w:w w:val="100"/>
          <w:kern w:val="0"/>
          <w:sz w:val="24"/>
        </w:rPr>
      </w:pPr>
      <w:r>
        <w:rPr>
          <w:b/>
          <w:bCs/>
          <w:i w:val="0"/>
          <w:spacing w:val="0"/>
          <w:w w:val="100"/>
          <w:kern w:val="0"/>
          <w:sz w:val="24"/>
        </w:rPr>
        <w:t>Intercambio de información sobre la supervivencia, la protección  y el desarrollo del niño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61.</w:t>
      </w:r>
      <w:r>
        <w:rPr>
          <w:spacing w:val="0"/>
          <w:w w:val="100"/>
          <w:kern w:val="0"/>
          <w:sz w:val="24"/>
        </w:rPr>
        <w:tab/>
        <w:t>En la República Unida de Tanzanía se utiliza un enfoque comunitario para el intercambio de información sobre la supervivencia, la protección y el desarrollo del niño, con lo cual las comunidades pueden tomar decisiones y vigilar sus efectos.  En los distritos, la coordinación del programa de supervivencia, protección y desarrollo del niño es responsabilidad de los equipos de coordinación distrital, mientras que a nivel nacional lo es del Comité técnico de supervivencia, protección y desarrollo del niño.  Mediante actividades de seguimiento y promoción se informa a los miembros de las comunidades sobre la situación de sus niños en materia de nutrición y crec</w:t>
      </w:r>
      <w:r>
        <w:rPr>
          <w:spacing w:val="0"/>
          <w:w w:val="100"/>
          <w:kern w:val="0"/>
          <w:sz w:val="24"/>
        </w:rPr>
        <w:t>i</w:t>
      </w:r>
      <w:r>
        <w:rPr>
          <w:spacing w:val="0"/>
          <w:w w:val="100"/>
          <w:kern w:val="0"/>
          <w:sz w:val="24"/>
        </w:rPr>
        <w:t>miento.  Durante las jornadas de salud celebradas en las aldeas se habla con la p</w:t>
      </w:r>
      <w:r>
        <w:rPr>
          <w:spacing w:val="0"/>
          <w:w w:val="100"/>
          <w:kern w:val="0"/>
          <w:sz w:val="24"/>
        </w:rPr>
        <w:t>o</w:t>
      </w:r>
      <w:r>
        <w:rPr>
          <w:spacing w:val="0"/>
          <w:w w:val="100"/>
          <w:kern w:val="0"/>
          <w:sz w:val="24"/>
        </w:rPr>
        <w:t>blación sobre las causas de las deficiencias de crecimiento y también se aplican v</w:t>
      </w:r>
      <w:r>
        <w:rPr>
          <w:spacing w:val="0"/>
          <w:w w:val="100"/>
          <w:kern w:val="0"/>
          <w:sz w:val="24"/>
        </w:rPr>
        <w:t>a</w:t>
      </w:r>
      <w:r>
        <w:rPr>
          <w:spacing w:val="0"/>
          <w:w w:val="100"/>
          <w:kern w:val="0"/>
          <w:sz w:val="24"/>
        </w:rPr>
        <w:t>cunas.  Además, se hacen análisis para detectar el paludismo y otras enfermedades en los niños y las embarazadas.  También se reúnen otras informaciones, por eje</w:t>
      </w:r>
      <w:r>
        <w:rPr>
          <w:spacing w:val="0"/>
          <w:w w:val="100"/>
          <w:kern w:val="0"/>
          <w:sz w:val="24"/>
        </w:rPr>
        <w:t>m</w:t>
      </w:r>
      <w:r>
        <w:rPr>
          <w:spacing w:val="0"/>
          <w:w w:val="100"/>
          <w:kern w:val="0"/>
          <w:sz w:val="24"/>
        </w:rPr>
        <w:t>plo:  el registro de nuevos nacimientos, la tasa de inscripción a la escuela primaria de los niños en edad escolar, la situación alimentaria y estadísticas sobre el agua y el s</w:t>
      </w:r>
      <w:r>
        <w:rPr>
          <w:spacing w:val="0"/>
          <w:w w:val="100"/>
          <w:kern w:val="0"/>
          <w:sz w:val="24"/>
        </w:rPr>
        <w:t>a</w:t>
      </w:r>
      <w:r>
        <w:rPr>
          <w:spacing w:val="0"/>
          <w:w w:val="100"/>
          <w:kern w:val="0"/>
          <w:sz w:val="24"/>
        </w:rPr>
        <w:t xml:space="preserve">neamiento ambiental. </w:t>
      </w:r>
    </w:p>
    <w:p w:rsidR="00000000" w:rsidRDefault="00000000">
      <w:pPr>
        <w:pStyle w:val="H4"/>
        <w:keepLines w:val="0"/>
        <w:tabs>
          <w:tab w:val="clear" w:pos="360"/>
        </w:tabs>
        <w:suppressAutoHyphens w:val="0"/>
        <w:spacing w:after="240" w:line="240" w:lineRule="auto"/>
        <w:ind w:left="567"/>
        <w:outlineLvl w:val="9"/>
        <w:rPr>
          <w:b/>
          <w:bCs/>
          <w:i w:val="0"/>
          <w:spacing w:val="0"/>
          <w:w w:val="100"/>
          <w:kern w:val="0"/>
          <w:sz w:val="24"/>
        </w:rPr>
      </w:pPr>
      <w:r>
        <w:rPr>
          <w:b/>
          <w:bCs/>
          <w:i w:val="0"/>
          <w:spacing w:val="0"/>
          <w:w w:val="100"/>
          <w:kern w:val="0"/>
          <w:sz w:val="24"/>
        </w:rPr>
        <w:t xml:space="preserve">Registros de las aldeas, </w:t>
      </w:r>
      <w:r>
        <w:rPr>
          <w:b/>
          <w:bCs/>
          <w:iCs/>
          <w:spacing w:val="0"/>
          <w:w w:val="100"/>
          <w:kern w:val="0"/>
          <w:sz w:val="24"/>
        </w:rPr>
        <w:t>mtaas</w:t>
      </w:r>
      <w:r>
        <w:rPr>
          <w:b/>
          <w:bCs/>
          <w:i w:val="0"/>
          <w:spacing w:val="0"/>
          <w:w w:val="100"/>
          <w:kern w:val="0"/>
          <w:sz w:val="24"/>
        </w:rPr>
        <w:t xml:space="preserve"> y </w:t>
      </w:r>
      <w:r>
        <w:rPr>
          <w:b/>
          <w:bCs/>
          <w:iCs/>
          <w:spacing w:val="0"/>
          <w:w w:val="100"/>
          <w:kern w:val="0"/>
          <w:sz w:val="24"/>
        </w:rPr>
        <w:t>shehias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62.</w:t>
      </w:r>
      <w:r>
        <w:rPr>
          <w:spacing w:val="0"/>
          <w:w w:val="100"/>
          <w:kern w:val="0"/>
          <w:sz w:val="24"/>
        </w:rPr>
        <w:tab/>
        <w:t xml:space="preserve">En los Registros de las aldeas, </w:t>
      </w:r>
      <w:r>
        <w:rPr>
          <w:i/>
          <w:iCs/>
          <w:spacing w:val="0"/>
          <w:w w:val="100"/>
          <w:kern w:val="0"/>
          <w:sz w:val="24"/>
        </w:rPr>
        <w:t>mtaas</w:t>
      </w:r>
      <w:r>
        <w:rPr>
          <w:spacing w:val="0"/>
          <w:w w:val="100"/>
          <w:kern w:val="0"/>
          <w:sz w:val="24"/>
        </w:rPr>
        <w:t xml:space="preserve"> y </w:t>
      </w:r>
      <w:r>
        <w:rPr>
          <w:i/>
          <w:iCs/>
          <w:spacing w:val="0"/>
          <w:w w:val="100"/>
          <w:kern w:val="0"/>
          <w:sz w:val="24"/>
        </w:rPr>
        <w:t>shehias</w:t>
      </w:r>
      <w:r>
        <w:rPr>
          <w:spacing w:val="0"/>
          <w:w w:val="100"/>
          <w:kern w:val="0"/>
          <w:sz w:val="24"/>
        </w:rPr>
        <w:t xml:space="preserve"> se inscriben todos los lugareños, incluidos los niños.  En cada circunscripción toda la población debe estar registrada para reflejar la población real.  Esos registros han demostrado ser un instrumento muy importante para obtener información y datos sobre las comunidades, especialmente para recoger datos demográficos básicos.  El Sistema de control de los distritos de r</w:t>
      </w:r>
      <w:r>
        <w:rPr>
          <w:spacing w:val="0"/>
          <w:w w:val="100"/>
          <w:kern w:val="0"/>
          <w:sz w:val="24"/>
        </w:rPr>
        <w:t>e</w:t>
      </w:r>
      <w:r>
        <w:rPr>
          <w:spacing w:val="0"/>
          <w:w w:val="100"/>
          <w:kern w:val="0"/>
          <w:sz w:val="24"/>
        </w:rPr>
        <w:t>ciente aplicación probablemente contribuirá a mejorar la administración de los R</w:t>
      </w:r>
      <w:r>
        <w:rPr>
          <w:spacing w:val="0"/>
          <w:w w:val="100"/>
          <w:kern w:val="0"/>
          <w:sz w:val="24"/>
        </w:rPr>
        <w:t>e</w:t>
      </w:r>
      <w:r>
        <w:rPr>
          <w:spacing w:val="0"/>
          <w:w w:val="100"/>
          <w:kern w:val="0"/>
          <w:sz w:val="24"/>
        </w:rPr>
        <w:t xml:space="preserve">gistros de aldeas, </w:t>
      </w:r>
      <w:r>
        <w:rPr>
          <w:i/>
          <w:iCs/>
          <w:spacing w:val="0"/>
          <w:w w:val="100"/>
          <w:kern w:val="0"/>
          <w:sz w:val="24"/>
        </w:rPr>
        <w:t>mtaas</w:t>
      </w:r>
      <w:r>
        <w:rPr>
          <w:spacing w:val="0"/>
          <w:w w:val="100"/>
          <w:kern w:val="0"/>
          <w:sz w:val="24"/>
        </w:rPr>
        <w:t xml:space="preserve"> y </w:t>
      </w:r>
      <w:r>
        <w:rPr>
          <w:i/>
          <w:iCs/>
          <w:spacing w:val="0"/>
          <w:w w:val="100"/>
          <w:kern w:val="0"/>
          <w:sz w:val="24"/>
        </w:rPr>
        <w:t>shehias</w:t>
      </w:r>
      <w:r>
        <w:rPr>
          <w:spacing w:val="0"/>
          <w:w w:val="100"/>
          <w:kern w:val="0"/>
          <w:sz w:val="24"/>
        </w:rPr>
        <w:t>.  La revitalización de grupos marginados de com</w:t>
      </w:r>
      <w:r>
        <w:rPr>
          <w:spacing w:val="0"/>
          <w:w w:val="100"/>
          <w:kern w:val="0"/>
          <w:sz w:val="24"/>
        </w:rPr>
        <w:t>u</w:t>
      </w:r>
      <w:r>
        <w:rPr>
          <w:spacing w:val="0"/>
          <w:w w:val="100"/>
          <w:kern w:val="0"/>
          <w:sz w:val="24"/>
        </w:rPr>
        <w:t>nidades y la información sobre ellos permitirá que participen en el proceso de toma de decisiones y el seguimiento de las medidas.  El Gobierno de la República Unida de Tanzanía ha regularizado el uso de registros en todas las aldeas del país.</w:t>
      </w:r>
    </w:p>
    <w:p w:rsidR="00000000" w:rsidRDefault="00000000">
      <w:pPr>
        <w:pStyle w:val="H4"/>
        <w:keepNext w:val="0"/>
        <w:keepLines w:val="0"/>
        <w:tabs>
          <w:tab w:val="clear" w:pos="360"/>
        </w:tabs>
        <w:suppressAutoHyphens w:val="0"/>
        <w:spacing w:after="240" w:line="240" w:lineRule="auto"/>
        <w:outlineLvl w:val="9"/>
        <w:rPr>
          <w:b/>
          <w:bCs/>
          <w:i w:val="0"/>
          <w:spacing w:val="0"/>
          <w:w w:val="100"/>
          <w:kern w:val="0"/>
          <w:sz w:val="24"/>
        </w:rPr>
      </w:pPr>
      <w:r>
        <w:rPr>
          <w:iCs/>
          <w:spacing w:val="0"/>
          <w:w w:val="100"/>
          <w:kern w:val="0"/>
          <w:sz w:val="24"/>
        </w:rPr>
        <w:tab/>
      </w:r>
      <w:r>
        <w:rPr>
          <w:b/>
          <w:bCs/>
          <w:i w:val="0"/>
          <w:spacing w:val="0"/>
          <w:w w:val="100"/>
          <w:kern w:val="0"/>
          <w:sz w:val="24"/>
        </w:rPr>
        <w:t>Sistema de información administrativa comunitaria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63.</w:t>
      </w:r>
      <w:r>
        <w:rPr>
          <w:spacing w:val="0"/>
          <w:w w:val="100"/>
          <w:kern w:val="0"/>
          <w:sz w:val="24"/>
        </w:rPr>
        <w:tab/>
        <w:t>El Sistema de información administrativa comunitaria es un sistema de segu</w:t>
      </w:r>
      <w:r>
        <w:rPr>
          <w:spacing w:val="0"/>
          <w:w w:val="100"/>
          <w:kern w:val="0"/>
          <w:sz w:val="24"/>
        </w:rPr>
        <w:t>i</w:t>
      </w:r>
      <w:r>
        <w:rPr>
          <w:spacing w:val="0"/>
          <w:w w:val="100"/>
          <w:kern w:val="0"/>
          <w:sz w:val="24"/>
        </w:rPr>
        <w:t>miento creado a través del programa de supervivencia, protección y desarrollo del niño para intercambiar información sobre la infancia a nivel comunitario.  Mediante este sistema, la información se utiliza para detectar problemas y dificultades con el fin de formular medidas apropiadas que permita sortear esos obstáculos.</w:t>
      </w:r>
    </w:p>
    <w:p w:rsidR="00000000" w:rsidRDefault="00000000">
      <w:pPr>
        <w:pStyle w:val="H4"/>
        <w:keepNext w:val="0"/>
        <w:keepLines w:val="0"/>
        <w:tabs>
          <w:tab w:val="clear" w:pos="360"/>
        </w:tabs>
        <w:suppressAutoHyphens w:val="0"/>
        <w:spacing w:after="240" w:line="240" w:lineRule="auto"/>
        <w:outlineLvl w:val="9"/>
        <w:rPr>
          <w:b/>
          <w:bCs/>
          <w:i w:val="0"/>
          <w:spacing w:val="0"/>
          <w:w w:val="100"/>
          <w:kern w:val="0"/>
          <w:sz w:val="24"/>
        </w:rPr>
      </w:pPr>
      <w:r>
        <w:rPr>
          <w:iCs/>
          <w:spacing w:val="0"/>
          <w:w w:val="100"/>
          <w:kern w:val="0"/>
          <w:sz w:val="24"/>
        </w:rPr>
        <w:tab/>
      </w:r>
      <w:r>
        <w:rPr>
          <w:b/>
          <w:bCs/>
          <w:i w:val="0"/>
          <w:spacing w:val="0"/>
          <w:w w:val="100"/>
          <w:kern w:val="0"/>
          <w:sz w:val="24"/>
        </w:rPr>
        <w:t>Análisis de la situación de la mujer y el niño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64.</w:t>
      </w:r>
      <w:r>
        <w:rPr>
          <w:spacing w:val="0"/>
          <w:w w:val="100"/>
          <w:kern w:val="0"/>
          <w:sz w:val="24"/>
        </w:rPr>
        <w:tab/>
        <w:t>En un documento de análisis de la situación del niño y la mujer en Zanzíbar de 2001 se examina además la cuestión del grado de acceso que tienen los niños y las mujeres a los servicios sociales.  También se examinan los objetivos globales de la Convención sobre los Derechos del Niño de 1989 y la Convención sobre la elim</w:t>
      </w:r>
      <w:r>
        <w:rPr>
          <w:spacing w:val="0"/>
          <w:w w:val="100"/>
          <w:kern w:val="0"/>
          <w:sz w:val="24"/>
        </w:rPr>
        <w:t>i</w:t>
      </w:r>
      <w:r>
        <w:rPr>
          <w:spacing w:val="0"/>
          <w:w w:val="100"/>
          <w:kern w:val="0"/>
          <w:sz w:val="24"/>
        </w:rPr>
        <w:t>nación de todas las formas de discriminación contra la mujer de 1979.  Además, el documento contiene información detallada sobre los lactantes y los adolescentes.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65.</w:t>
      </w:r>
      <w:r>
        <w:rPr>
          <w:spacing w:val="0"/>
          <w:w w:val="100"/>
          <w:kern w:val="0"/>
          <w:sz w:val="24"/>
        </w:rPr>
        <w:tab/>
        <w:t>Con arreglo a los requisitos del programa de supervivencia, protección y des</w:t>
      </w:r>
      <w:r>
        <w:rPr>
          <w:spacing w:val="0"/>
          <w:w w:val="100"/>
          <w:kern w:val="0"/>
          <w:sz w:val="24"/>
        </w:rPr>
        <w:t>a</w:t>
      </w:r>
      <w:r>
        <w:rPr>
          <w:spacing w:val="0"/>
          <w:w w:val="100"/>
          <w:kern w:val="0"/>
          <w:sz w:val="24"/>
        </w:rPr>
        <w:t>rrollo del niño, el Gobierno elabora informes anuales sobre la situación de los niños en Zanzíbar.  Esos informes contienen información esencial sobre los niños, en partic</w:t>
      </w:r>
      <w:r>
        <w:rPr>
          <w:spacing w:val="0"/>
          <w:w w:val="100"/>
          <w:kern w:val="0"/>
          <w:sz w:val="24"/>
        </w:rPr>
        <w:t>u</w:t>
      </w:r>
      <w:r>
        <w:rPr>
          <w:spacing w:val="0"/>
          <w:w w:val="100"/>
          <w:kern w:val="0"/>
          <w:sz w:val="24"/>
        </w:rPr>
        <w:t>lar en materia de salud, agua potable, saneamiento ambiental, educación y otras prácticas sociales.</w:t>
      </w:r>
    </w:p>
    <w:p w:rsidR="00000000" w:rsidRDefault="00000000">
      <w:pPr>
        <w:pStyle w:val="H23"/>
        <w:keepNext w:val="0"/>
        <w:keepLines w:val="0"/>
        <w:suppressAutoHyphens w:val="0"/>
        <w:spacing w:after="240" w:line="240" w:lineRule="auto"/>
        <w:outlineLvl w:val="9"/>
        <w:rPr>
          <w:bCs/>
          <w:spacing w:val="0"/>
          <w:w w:val="100"/>
          <w:kern w:val="0"/>
          <w:sz w:val="24"/>
        </w:rPr>
      </w:pPr>
      <w:r>
        <w:rPr>
          <w:b w:val="0"/>
          <w:i/>
          <w:iCs/>
          <w:spacing w:val="0"/>
          <w:w w:val="100"/>
          <w:kern w:val="0"/>
          <w:sz w:val="24"/>
        </w:rPr>
        <w:tab/>
      </w:r>
      <w:r>
        <w:rPr>
          <w:bCs/>
          <w:spacing w:val="0"/>
          <w:w w:val="100"/>
          <w:kern w:val="0"/>
          <w:sz w:val="24"/>
        </w:rPr>
        <w:t>Mecanismos para coordinar la aplicación de la Convención sobre</w:t>
      </w:r>
      <w:r>
        <w:rPr>
          <w:bCs/>
          <w:spacing w:val="0"/>
          <w:w w:val="100"/>
          <w:kern w:val="0"/>
          <w:sz w:val="24"/>
        </w:rPr>
        <w:br/>
      </w:r>
      <w:r>
        <w:rPr>
          <w:bCs/>
          <w:spacing w:val="0"/>
          <w:w w:val="100"/>
          <w:kern w:val="0"/>
          <w:sz w:val="24"/>
        </w:rPr>
        <w:tab/>
        <w:t>los Derechos del Niño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66.</w:t>
      </w:r>
      <w:r>
        <w:rPr>
          <w:spacing w:val="0"/>
          <w:w w:val="100"/>
          <w:kern w:val="0"/>
          <w:sz w:val="24"/>
        </w:rPr>
        <w:tab/>
        <w:t>En julio de 2003, el Gobierno de la República Unida de Tanzanía creó el D</w:t>
      </w:r>
      <w:r>
        <w:rPr>
          <w:spacing w:val="0"/>
          <w:w w:val="100"/>
          <w:kern w:val="0"/>
          <w:sz w:val="24"/>
        </w:rPr>
        <w:t>e</w:t>
      </w:r>
      <w:r>
        <w:rPr>
          <w:spacing w:val="0"/>
          <w:w w:val="100"/>
          <w:kern w:val="0"/>
          <w:sz w:val="24"/>
        </w:rPr>
        <w:t>partamento de Desarrollo del Niño dentro del Ministerio del Desarrollo Comunitario, la Mujer y el Niño, para que se encargara debidamente de las cuestiones relativas a la infancia y la juventud.  El Departamento es responsable de coordinar y seguir de ce</w:t>
      </w:r>
      <w:r>
        <w:rPr>
          <w:spacing w:val="0"/>
          <w:w w:val="100"/>
          <w:kern w:val="0"/>
          <w:sz w:val="24"/>
        </w:rPr>
        <w:t>r</w:t>
      </w:r>
      <w:r>
        <w:rPr>
          <w:spacing w:val="0"/>
          <w:w w:val="100"/>
          <w:kern w:val="0"/>
          <w:sz w:val="24"/>
        </w:rPr>
        <w:t>ca la aplicación de la Política de promoción del niño, la Política de promoción de la familia y los convenios internacionales sobre los derechos y el bienestar del niño.  El Departamento, que también es responsable de las cuestiones relativas al VIH/SIDA en la infancia y la adolescencia, procura detectar y combatir las prácticas culturales perjudiciales y ha iniciado un Programa de educación para la vida f</w:t>
      </w:r>
      <w:r>
        <w:rPr>
          <w:spacing w:val="0"/>
          <w:w w:val="100"/>
          <w:kern w:val="0"/>
          <w:sz w:val="24"/>
        </w:rPr>
        <w:t>a</w:t>
      </w:r>
      <w:r>
        <w:rPr>
          <w:spacing w:val="0"/>
          <w:w w:val="100"/>
          <w:kern w:val="0"/>
          <w:sz w:val="24"/>
        </w:rPr>
        <w:t>miliar.</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67.</w:t>
      </w:r>
      <w:r>
        <w:rPr>
          <w:spacing w:val="0"/>
          <w:w w:val="100"/>
          <w:kern w:val="0"/>
          <w:sz w:val="24"/>
        </w:rPr>
        <w:tab/>
        <w:t>En 2000, el Gobierno de Zanzíbar aprobó el programa Visión 2020, que tiene por objetivo mejorar la situación socioeconómica de la población y reducir de esa manera la pobreza.  La Visión abarca un conjunto de iniciativas, incluido el Plan de lucha contra la pobreza en Zanzíbar, que fue lanzado en 2001.  Este plan procura m</w:t>
      </w:r>
      <w:r>
        <w:rPr>
          <w:spacing w:val="0"/>
          <w:w w:val="100"/>
          <w:kern w:val="0"/>
          <w:sz w:val="24"/>
        </w:rPr>
        <w:t>e</w:t>
      </w:r>
      <w:r>
        <w:rPr>
          <w:spacing w:val="0"/>
          <w:w w:val="100"/>
          <w:kern w:val="0"/>
          <w:sz w:val="24"/>
        </w:rPr>
        <w:t>jorar los servicios sociales, lo que redunda directamente en beneficio de los n</w:t>
      </w:r>
      <w:r>
        <w:rPr>
          <w:spacing w:val="0"/>
          <w:w w:val="100"/>
          <w:kern w:val="0"/>
          <w:sz w:val="24"/>
        </w:rPr>
        <w:t>i</w:t>
      </w:r>
      <w:r>
        <w:rPr>
          <w:spacing w:val="0"/>
          <w:w w:val="100"/>
          <w:kern w:val="0"/>
          <w:sz w:val="24"/>
        </w:rPr>
        <w:t>ños.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68.</w:t>
      </w:r>
      <w:r>
        <w:rPr>
          <w:spacing w:val="0"/>
          <w:w w:val="100"/>
          <w:kern w:val="0"/>
          <w:sz w:val="24"/>
        </w:rPr>
        <w:tab/>
        <w:t>El Gobierno de Zanzíbar también ha elaborado un Plan general decenal de educación para Zanzíbar (1996-2006) con el propósito de resolver los problemas de acceso, organización y promoción de la ciencia y la tecnología.  Este plan fue elab</w:t>
      </w:r>
      <w:r>
        <w:rPr>
          <w:spacing w:val="0"/>
          <w:w w:val="100"/>
          <w:kern w:val="0"/>
          <w:sz w:val="24"/>
        </w:rPr>
        <w:t>o</w:t>
      </w:r>
      <w:r>
        <w:rPr>
          <w:spacing w:val="0"/>
          <w:w w:val="100"/>
          <w:kern w:val="0"/>
          <w:sz w:val="24"/>
        </w:rPr>
        <w:t>rado en concordancia con otros planes de desarrollo nacional como el Plan de lucha contra la pobreza en Zanzíbar.</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69.</w:t>
      </w:r>
      <w:r>
        <w:rPr>
          <w:spacing w:val="0"/>
          <w:w w:val="100"/>
          <w:kern w:val="0"/>
          <w:sz w:val="24"/>
        </w:rPr>
        <w:tab/>
        <w:t>El Gobierno de Zanzíbar estableció dos órganos conexos encargados de las cuestiones del VIH y el SIDA en Zanzíbar:  la Dependencia de Control del SIDA de Zanzíbar, que se ocupa principalmente de educar y prestar apoyo psicológico, fina</w:t>
      </w:r>
      <w:r>
        <w:rPr>
          <w:spacing w:val="0"/>
          <w:w w:val="100"/>
          <w:kern w:val="0"/>
          <w:sz w:val="24"/>
        </w:rPr>
        <w:t>n</w:t>
      </w:r>
      <w:r>
        <w:rPr>
          <w:spacing w:val="0"/>
          <w:w w:val="100"/>
          <w:kern w:val="0"/>
          <w:sz w:val="24"/>
        </w:rPr>
        <w:t>ciero y moral a las víctimas, y la Comisión de Zanzíbar sobre el SIDA.  La función principal de la Comisión es planificar y formular estrategias para incorporar la cue</w:t>
      </w:r>
      <w:r>
        <w:rPr>
          <w:spacing w:val="0"/>
          <w:w w:val="100"/>
          <w:kern w:val="0"/>
          <w:sz w:val="24"/>
        </w:rPr>
        <w:t>s</w:t>
      </w:r>
      <w:r>
        <w:rPr>
          <w:spacing w:val="0"/>
          <w:w w:val="100"/>
          <w:kern w:val="0"/>
          <w:sz w:val="24"/>
        </w:rPr>
        <w:t>tión del VIH y el SIDA en todos los sectores gubernamentales y no gubernament</w:t>
      </w:r>
      <w:r>
        <w:rPr>
          <w:spacing w:val="0"/>
          <w:w w:val="100"/>
          <w:kern w:val="0"/>
          <w:sz w:val="24"/>
        </w:rPr>
        <w:t>a</w:t>
      </w:r>
      <w:r>
        <w:rPr>
          <w:spacing w:val="0"/>
          <w:w w:val="100"/>
          <w:kern w:val="0"/>
          <w:sz w:val="24"/>
        </w:rPr>
        <w:t>les.  Uno de los principales mandatos compartidos por estos órganos es formular e</w:t>
      </w:r>
      <w:r>
        <w:rPr>
          <w:spacing w:val="0"/>
          <w:w w:val="100"/>
          <w:kern w:val="0"/>
          <w:sz w:val="24"/>
        </w:rPr>
        <w:t>s</w:t>
      </w:r>
      <w:r>
        <w:rPr>
          <w:spacing w:val="0"/>
          <w:w w:val="100"/>
          <w:kern w:val="0"/>
          <w:sz w:val="24"/>
        </w:rPr>
        <w:t>trategias para proteger a los niños de la infección y reducir la transmisión de madre a hijo.  En Tanzanía continental, el Gobierno ha creado la Comisión de Tanzanía s</w:t>
      </w:r>
      <w:r>
        <w:rPr>
          <w:spacing w:val="0"/>
          <w:w w:val="100"/>
          <w:kern w:val="0"/>
          <w:sz w:val="24"/>
        </w:rPr>
        <w:t>o</w:t>
      </w:r>
      <w:r>
        <w:rPr>
          <w:spacing w:val="0"/>
          <w:w w:val="100"/>
          <w:kern w:val="0"/>
          <w:sz w:val="24"/>
        </w:rPr>
        <w:t>bre el SIDA para coordinar actividades nacionales multiculturales en materia del VIH y el SIDA.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70.</w:t>
      </w:r>
      <w:r>
        <w:rPr>
          <w:spacing w:val="0"/>
          <w:w w:val="100"/>
          <w:kern w:val="0"/>
          <w:sz w:val="24"/>
        </w:rPr>
        <w:tab/>
        <w:t>El Gobierno de Zanzíbar, en colaboración con la Organización Internacional del Trabajo (OIT) inició en 2002 un Programa sobre cuestiones de género que apu</w:t>
      </w:r>
      <w:r>
        <w:rPr>
          <w:spacing w:val="0"/>
          <w:w w:val="100"/>
          <w:kern w:val="0"/>
          <w:sz w:val="24"/>
        </w:rPr>
        <w:t>n</w:t>
      </w:r>
      <w:r>
        <w:rPr>
          <w:spacing w:val="0"/>
          <w:w w:val="100"/>
          <w:kern w:val="0"/>
          <w:sz w:val="24"/>
        </w:rPr>
        <w:t>ta a mejorar la situación económica de la mujer, de modo que se reduzca el probl</w:t>
      </w:r>
      <w:r>
        <w:rPr>
          <w:spacing w:val="0"/>
          <w:w w:val="100"/>
          <w:kern w:val="0"/>
          <w:sz w:val="24"/>
        </w:rPr>
        <w:t>e</w:t>
      </w:r>
      <w:r>
        <w:rPr>
          <w:spacing w:val="0"/>
          <w:w w:val="100"/>
          <w:kern w:val="0"/>
          <w:sz w:val="24"/>
        </w:rPr>
        <w:t>ma del trabajo infantil.  El programa se ejecuta en forma experimental en las zonas de Unguja y Pemba.  Hasta el momento se ha logrado que 62 niños en Unguja y 112 en Pemba dejaran de trabajar.  De esos 174 niños, 88 se reincorporaron a la enseña</w:t>
      </w:r>
      <w:r>
        <w:rPr>
          <w:spacing w:val="0"/>
          <w:w w:val="100"/>
          <w:kern w:val="0"/>
          <w:sz w:val="24"/>
        </w:rPr>
        <w:t>n</w:t>
      </w:r>
      <w:r>
        <w:rPr>
          <w:spacing w:val="0"/>
          <w:w w:val="100"/>
          <w:kern w:val="0"/>
          <w:sz w:val="24"/>
        </w:rPr>
        <w:t>za oficial y 86 fueron derivados a cursos de formación prof</w:t>
      </w:r>
      <w:r>
        <w:rPr>
          <w:spacing w:val="0"/>
          <w:w w:val="100"/>
          <w:kern w:val="0"/>
          <w:sz w:val="24"/>
        </w:rPr>
        <w:t>e</w:t>
      </w:r>
      <w:r>
        <w:rPr>
          <w:spacing w:val="0"/>
          <w:w w:val="100"/>
          <w:kern w:val="0"/>
          <w:sz w:val="24"/>
        </w:rPr>
        <w:t>sional.</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71.</w:t>
      </w:r>
      <w:r>
        <w:rPr>
          <w:spacing w:val="0"/>
          <w:w w:val="100"/>
          <w:kern w:val="0"/>
          <w:sz w:val="24"/>
        </w:rPr>
        <w:tab/>
        <w:t>El 28 de abril de 2001, el Presidente de la República Unida de Tanzanía ina</w:t>
      </w:r>
      <w:r>
        <w:rPr>
          <w:spacing w:val="0"/>
          <w:w w:val="100"/>
          <w:kern w:val="0"/>
          <w:sz w:val="24"/>
        </w:rPr>
        <w:t>u</w:t>
      </w:r>
      <w:r>
        <w:rPr>
          <w:spacing w:val="0"/>
          <w:w w:val="100"/>
          <w:kern w:val="0"/>
          <w:sz w:val="24"/>
        </w:rPr>
        <w:t>guró oficialmente el Movimiento por y para los Niños de Tanzanía con el fin de r</w:t>
      </w:r>
      <w:r>
        <w:rPr>
          <w:spacing w:val="0"/>
          <w:w w:val="100"/>
          <w:kern w:val="0"/>
          <w:sz w:val="24"/>
        </w:rPr>
        <w:t>e</w:t>
      </w:r>
      <w:r>
        <w:rPr>
          <w:spacing w:val="0"/>
          <w:w w:val="100"/>
          <w:kern w:val="0"/>
          <w:sz w:val="24"/>
        </w:rPr>
        <w:t>afirmar la voluntad del Gobierno de promover y proteger los derechos del niño.  Una de las estrategias del Movimiento es fomentar los contactos entre las distintas ONG y colaborar estrechamente con las iniciativas de niños y jóvenes, fortaleciendo su capacidad y prestándoles todo el apoyo posible con vistas a la plena realización de los derechos del niño consagrados en la Convención sobre los Derechos del Niño y la Carta Africana sobre los Derechos y el Bienestar del N</w:t>
      </w:r>
      <w:r>
        <w:rPr>
          <w:spacing w:val="0"/>
          <w:w w:val="100"/>
          <w:kern w:val="0"/>
          <w:sz w:val="24"/>
        </w:rPr>
        <w:t>i</w:t>
      </w:r>
      <w:r>
        <w:rPr>
          <w:spacing w:val="0"/>
          <w:w w:val="100"/>
          <w:kern w:val="0"/>
          <w:sz w:val="24"/>
        </w:rPr>
        <w:t>ño.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72.</w:t>
      </w:r>
      <w:r>
        <w:rPr>
          <w:spacing w:val="0"/>
          <w:w w:val="100"/>
          <w:kern w:val="0"/>
          <w:sz w:val="24"/>
        </w:rPr>
        <w:tab/>
        <w:t>Existe una alianza nacional entre tres ministerios, a saber:  el Ministerio de Empleo Juvenil, Asuntos de la Mujer y Desarrollo del Niño de Zanzíbar, el Minist</w:t>
      </w:r>
      <w:r>
        <w:rPr>
          <w:spacing w:val="0"/>
          <w:w w:val="100"/>
          <w:kern w:val="0"/>
          <w:sz w:val="24"/>
        </w:rPr>
        <w:t>e</w:t>
      </w:r>
      <w:r>
        <w:rPr>
          <w:spacing w:val="0"/>
          <w:w w:val="100"/>
          <w:kern w:val="0"/>
          <w:sz w:val="24"/>
        </w:rPr>
        <w:t>rio del Desarrollo Comunitario, la Mujer y el Niño y el Ministerio de Desarrollo del Trabajo, la Juventud y los Deportes de Tanzanía continental.  Todas las medidas rel</w:t>
      </w:r>
      <w:r>
        <w:rPr>
          <w:spacing w:val="0"/>
          <w:w w:val="100"/>
          <w:kern w:val="0"/>
          <w:sz w:val="24"/>
        </w:rPr>
        <w:t>a</w:t>
      </w:r>
      <w:r>
        <w:rPr>
          <w:spacing w:val="0"/>
          <w:w w:val="100"/>
          <w:kern w:val="0"/>
          <w:sz w:val="24"/>
        </w:rPr>
        <w:t>tivas a los niños y jóvenes se ejecutan en consulta entre los tres ministerios.  Ad</w:t>
      </w:r>
      <w:r>
        <w:rPr>
          <w:spacing w:val="0"/>
          <w:w w:val="100"/>
          <w:kern w:val="0"/>
          <w:sz w:val="24"/>
        </w:rPr>
        <w:t>e</w:t>
      </w:r>
      <w:r>
        <w:rPr>
          <w:spacing w:val="0"/>
          <w:w w:val="100"/>
          <w:kern w:val="0"/>
          <w:sz w:val="24"/>
        </w:rPr>
        <w:t>más, los ministerios colaboran en la celebración de fechas internacionales, como el Día del Niño Africano, el Día Internacional de la Mujer y el Día Mundial contra el Trabajo Infantil.</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73.</w:t>
      </w:r>
      <w:r>
        <w:rPr>
          <w:spacing w:val="0"/>
          <w:w w:val="100"/>
          <w:kern w:val="0"/>
          <w:sz w:val="24"/>
        </w:rPr>
        <w:tab/>
        <w:t>En 2000, el Gobierno de la República Unida de Tanzanía promulgó la ley por la que se creó la Comisión de Derechos Humanos y Buena Gobernanza, que está i</w:t>
      </w:r>
      <w:r>
        <w:rPr>
          <w:spacing w:val="0"/>
          <w:w w:val="100"/>
          <w:kern w:val="0"/>
          <w:sz w:val="24"/>
        </w:rPr>
        <w:t>n</w:t>
      </w:r>
      <w:r>
        <w:rPr>
          <w:spacing w:val="0"/>
          <w:w w:val="100"/>
          <w:kern w:val="0"/>
          <w:sz w:val="24"/>
        </w:rPr>
        <w:t>tegrada por un Presidente, un Vicepresidente y siete Comisionados, cuatro de Ta</w:t>
      </w:r>
      <w:r>
        <w:rPr>
          <w:spacing w:val="0"/>
          <w:w w:val="100"/>
          <w:kern w:val="0"/>
          <w:sz w:val="24"/>
        </w:rPr>
        <w:t>n</w:t>
      </w:r>
      <w:r>
        <w:rPr>
          <w:spacing w:val="0"/>
          <w:w w:val="100"/>
          <w:kern w:val="0"/>
          <w:sz w:val="24"/>
        </w:rPr>
        <w:t>zanía continental y tres de Zanzíbar, nombrados por el Presidente de la República Unida de Tanzanía.  Entre los siete comisionados hay dos mujeres.  La Comisión de Derechos Humanos y Buena Gobernanza fue creada con el propósito de afianzar el cumplimiento de la Declaración Universal de Derechos Humanos de las Naciones Unidas de 1948, que comprende también los derechos del niño.  La Comisión estudia atentamente las denuncias y procura que se investiguen.  La ley dispone que, de c</w:t>
      </w:r>
      <w:r>
        <w:rPr>
          <w:spacing w:val="0"/>
          <w:w w:val="100"/>
          <w:kern w:val="0"/>
          <w:sz w:val="24"/>
        </w:rPr>
        <w:t>o</w:t>
      </w:r>
      <w:r>
        <w:rPr>
          <w:spacing w:val="0"/>
          <w:w w:val="100"/>
          <w:kern w:val="0"/>
          <w:sz w:val="24"/>
        </w:rPr>
        <w:t>rrer peligro, la vida, la libertad o la seguridad física de una persona, o los intereses de personas vulnerables, en particular los niños, la Comisión puede, por motivos de interés público, prohibir o restringir la publicación de toda prueba presentada ante ella, o la identidad de la persona en cuestión (art. 19 1) b)).  En comparación con los tribunales, se puede decir que todos, incluso los niños, pueden acceder fácilme</w:t>
      </w:r>
      <w:r>
        <w:rPr>
          <w:spacing w:val="0"/>
          <w:w w:val="100"/>
          <w:kern w:val="0"/>
          <w:sz w:val="24"/>
        </w:rPr>
        <w:t>n</w:t>
      </w:r>
      <w:r>
        <w:rPr>
          <w:spacing w:val="0"/>
          <w:w w:val="100"/>
          <w:kern w:val="0"/>
          <w:sz w:val="24"/>
        </w:rPr>
        <w:t>te a la C</w:t>
      </w:r>
      <w:r>
        <w:rPr>
          <w:spacing w:val="0"/>
          <w:w w:val="100"/>
          <w:kern w:val="0"/>
          <w:sz w:val="24"/>
        </w:rPr>
        <w:t>o</w:t>
      </w:r>
      <w:r>
        <w:rPr>
          <w:spacing w:val="0"/>
          <w:w w:val="100"/>
          <w:kern w:val="0"/>
          <w:sz w:val="24"/>
        </w:rPr>
        <w:t>misión.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74.</w:t>
      </w:r>
      <w:r>
        <w:rPr>
          <w:spacing w:val="0"/>
          <w:w w:val="100"/>
          <w:kern w:val="0"/>
          <w:sz w:val="24"/>
        </w:rPr>
        <w:tab/>
        <w:t>En 2001, el Gobierno de Zanzíbar creó el Comité Nacional de los Derechos del Niño, que depende del Ministerio de Empleo Juvenil, Asuntos de la Mujer y Des</w:t>
      </w:r>
      <w:r>
        <w:rPr>
          <w:spacing w:val="0"/>
          <w:w w:val="100"/>
          <w:kern w:val="0"/>
          <w:sz w:val="24"/>
        </w:rPr>
        <w:t>a</w:t>
      </w:r>
      <w:r>
        <w:rPr>
          <w:spacing w:val="0"/>
          <w:w w:val="100"/>
          <w:kern w:val="0"/>
          <w:sz w:val="24"/>
        </w:rPr>
        <w:t>rrollo del Niño.  En el Comité participan representantes del Gobierno e instituciones no gubernamentales.  La principal función del Comité es procurar que todas las o</w:t>
      </w:r>
      <w:r>
        <w:rPr>
          <w:spacing w:val="0"/>
          <w:w w:val="100"/>
          <w:kern w:val="0"/>
          <w:sz w:val="24"/>
        </w:rPr>
        <w:t>r</w:t>
      </w:r>
      <w:r>
        <w:rPr>
          <w:spacing w:val="0"/>
          <w:w w:val="100"/>
          <w:kern w:val="0"/>
          <w:sz w:val="24"/>
        </w:rPr>
        <w:t>ganizaciones que trabajan en cuestiones relativas a la infancia apliquen la política de promoción del niño y la Convención sobre los Derechos del Niño.  El Comité facilita la implementación de la Política de promoción del niño y la Convención sobre los Derechos del Niño y la preparación del Plan nacional de acción.  Se están tomando otras medidas para que el Comité tenga las facultades necesarias para coordinar las cuestiones relativas a la infancia en Zanz</w:t>
      </w:r>
      <w:r>
        <w:rPr>
          <w:spacing w:val="0"/>
          <w:w w:val="100"/>
          <w:kern w:val="0"/>
          <w:sz w:val="24"/>
        </w:rPr>
        <w:t>í</w:t>
      </w:r>
      <w:r>
        <w:rPr>
          <w:spacing w:val="0"/>
          <w:w w:val="100"/>
          <w:kern w:val="0"/>
          <w:sz w:val="24"/>
        </w:rPr>
        <w:t xml:space="preserve">bar. </w:t>
      </w:r>
    </w:p>
    <w:p w:rsidR="00000000" w:rsidRDefault="00000000">
      <w:pPr>
        <w:pStyle w:val="H23"/>
        <w:keepNext w:val="0"/>
        <w:keepLines w:val="0"/>
        <w:suppressAutoHyphens w:val="0"/>
        <w:spacing w:after="240" w:line="240" w:lineRule="auto"/>
        <w:outlineLvl w:val="9"/>
        <w:rPr>
          <w:bCs/>
          <w:spacing w:val="0"/>
          <w:w w:val="100"/>
          <w:kern w:val="0"/>
          <w:sz w:val="24"/>
        </w:rPr>
      </w:pPr>
      <w:r>
        <w:rPr>
          <w:bCs/>
          <w:spacing w:val="0"/>
          <w:w w:val="100"/>
          <w:kern w:val="0"/>
          <w:sz w:val="24"/>
        </w:rPr>
        <w:tab/>
        <w:t xml:space="preserve">Asignación de recursos presupuestarios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75.</w:t>
      </w:r>
      <w:r>
        <w:rPr>
          <w:spacing w:val="0"/>
          <w:w w:val="100"/>
          <w:kern w:val="0"/>
          <w:sz w:val="24"/>
        </w:rPr>
        <w:tab/>
        <w:t>En su estudio del gasto público, Tanzanía continental tomó en cuenta las cue</w:t>
      </w:r>
      <w:r>
        <w:rPr>
          <w:spacing w:val="0"/>
          <w:w w:val="100"/>
          <w:kern w:val="0"/>
          <w:sz w:val="24"/>
        </w:rPr>
        <w:t>s</w:t>
      </w:r>
      <w:r>
        <w:rPr>
          <w:spacing w:val="0"/>
          <w:w w:val="100"/>
          <w:kern w:val="0"/>
          <w:sz w:val="24"/>
        </w:rPr>
        <w:t>tiones intersectoriales relativas a los niños, los adolescentes, los jóvenes; el género; el VIH/SIDA; y el medio ambiente. Las directrices nacionales de planificación y presupuestación disponen asignaciones específicas para esas áreas que forman parte del sector de los servicios sociales de la economía.  En el cuadro que figura a cont</w:t>
      </w:r>
      <w:r>
        <w:rPr>
          <w:spacing w:val="0"/>
          <w:w w:val="100"/>
          <w:kern w:val="0"/>
          <w:sz w:val="24"/>
        </w:rPr>
        <w:t>i</w:t>
      </w:r>
      <w:r>
        <w:rPr>
          <w:spacing w:val="0"/>
          <w:w w:val="100"/>
          <w:kern w:val="0"/>
          <w:sz w:val="24"/>
        </w:rPr>
        <w:t>nuación se presenta el gasto público en servicios sociales en Tanzanía cont</w:t>
      </w:r>
      <w:r>
        <w:rPr>
          <w:spacing w:val="0"/>
          <w:w w:val="100"/>
          <w:kern w:val="0"/>
          <w:sz w:val="24"/>
        </w:rPr>
        <w:t>i</w:t>
      </w:r>
      <w:r>
        <w:rPr>
          <w:spacing w:val="0"/>
          <w:w w:val="100"/>
          <w:kern w:val="0"/>
          <w:sz w:val="24"/>
        </w:rPr>
        <w:t>nental.</w:t>
      </w:r>
    </w:p>
    <w:p w:rsidR="00000000" w:rsidRDefault="00000000">
      <w:pPr>
        <w:pStyle w:val="H23"/>
        <w:keepNext w:val="0"/>
        <w:keepLines w:val="0"/>
        <w:suppressAutoHyphens w:val="0"/>
        <w:spacing w:after="240" w:line="240" w:lineRule="auto"/>
        <w:jc w:val="center"/>
        <w:outlineLvl w:val="9"/>
        <w:rPr>
          <w:bCs/>
          <w:spacing w:val="0"/>
          <w:w w:val="100"/>
          <w:kern w:val="0"/>
          <w:sz w:val="24"/>
        </w:rPr>
      </w:pPr>
      <w:r>
        <w:rPr>
          <w:bCs/>
          <w:spacing w:val="0"/>
          <w:w w:val="100"/>
          <w:kern w:val="0"/>
          <w:sz w:val="24"/>
        </w:rPr>
        <w:t>Cuadro 6</w:t>
      </w:r>
    </w:p>
    <w:p w:rsidR="00000000" w:rsidRDefault="00000000">
      <w:pPr>
        <w:pStyle w:val="H23"/>
        <w:keepNext w:val="0"/>
        <w:keepLines w:val="0"/>
        <w:suppressAutoHyphens w:val="0"/>
        <w:spacing w:after="240" w:line="240" w:lineRule="auto"/>
        <w:jc w:val="center"/>
        <w:outlineLvl w:val="9"/>
        <w:rPr>
          <w:bCs/>
          <w:spacing w:val="0"/>
          <w:w w:val="100"/>
          <w:kern w:val="0"/>
          <w:sz w:val="24"/>
        </w:rPr>
      </w:pPr>
      <w:r>
        <w:rPr>
          <w:bCs/>
          <w:spacing w:val="0"/>
          <w:w w:val="100"/>
          <w:kern w:val="0"/>
          <w:sz w:val="24"/>
        </w:rPr>
        <w:t>Gasto público destinado a los niños entre 2000-2003</w:t>
      </w:r>
    </w:p>
    <w:p w:rsidR="00000000" w:rsidRDefault="00000000">
      <w:pPr>
        <w:pStyle w:val="H23"/>
        <w:keepNext w:val="0"/>
        <w:keepLines w:val="0"/>
        <w:suppressAutoHyphens w:val="0"/>
        <w:spacing w:after="240" w:line="240" w:lineRule="auto"/>
        <w:jc w:val="center"/>
        <w:outlineLvl w:val="9"/>
        <w:rPr>
          <w:b w:val="0"/>
          <w:spacing w:val="0"/>
          <w:w w:val="100"/>
          <w:kern w:val="0"/>
          <w:sz w:val="24"/>
        </w:rPr>
      </w:pPr>
      <w:r>
        <w:rPr>
          <w:b w:val="0"/>
          <w:spacing w:val="0"/>
          <w:w w:val="100"/>
          <w:kern w:val="0"/>
          <w:sz w:val="24"/>
        </w:rPr>
        <w:t>(En millones de chelines tanzanianos)</w:t>
      </w:r>
    </w:p>
    <w:tbl>
      <w:tblPr>
        <w:tblW w:w="0" w:type="auto"/>
        <w:jc w:val="center"/>
        <w:tblInd w:w="-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280"/>
        <w:gridCol w:w="1072"/>
        <w:gridCol w:w="1072"/>
        <w:gridCol w:w="1072"/>
        <w:gridCol w:w="1073"/>
        <w:gridCol w:w="1847"/>
      </w:tblGrid>
      <w:tr w:rsidR="00000000">
        <w:tblPrEx>
          <w:tblCellMar>
            <w:top w:w="0" w:type="dxa"/>
            <w:left w:w="0" w:type="dxa"/>
            <w:bottom w:w="0" w:type="dxa"/>
            <w:right w:w="0" w:type="dxa"/>
          </w:tblCellMar>
        </w:tblPrEx>
        <w:trPr>
          <w:tblHeader/>
          <w:jc w:val="center"/>
        </w:trPr>
        <w:tc>
          <w:tcPr>
            <w:tcW w:w="2280" w:type="dxa"/>
            <w:vAlign w:val="center"/>
          </w:tcPr>
          <w:p w:rsidR="00000000" w:rsidRDefault="00000000">
            <w:pPr>
              <w:jc w:val="center"/>
            </w:pPr>
            <w:r>
              <w:t>Sectores</w:t>
            </w:r>
          </w:p>
        </w:tc>
        <w:tc>
          <w:tcPr>
            <w:tcW w:w="1072" w:type="dxa"/>
            <w:vAlign w:val="center"/>
          </w:tcPr>
          <w:p w:rsidR="00000000" w:rsidRDefault="00000000">
            <w:pPr>
              <w:jc w:val="center"/>
            </w:pPr>
            <w:r>
              <w:t>2000</w:t>
            </w:r>
          </w:p>
        </w:tc>
        <w:tc>
          <w:tcPr>
            <w:tcW w:w="1072" w:type="dxa"/>
            <w:vAlign w:val="center"/>
          </w:tcPr>
          <w:p w:rsidR="00000000" w:rsidRDefault="00000000">
            <w:pPr>
              <w:jc w:val="center"/>
            </w:pPr>
            <w:r>
              <w:t>2001</w:t>
            </w:r>
          </w:p>
        </w:tc>
        <w:tc>
          <w:tcPr>
            <w:tcW w:w="1072" w:type="dxa"/>
            <w:vAlign w:val="center"/>
          </w:tcPr>
          <w:p w:rsidR="00000000" w:rsidRDefault="00000000">
            <w:pPr>
              <w:jc w:val="center"/>
            </w:pPr>
            <w:r>
              <w:t>2002</w:t>
            </w:r>
          </w:p>
        </w:tc>
        <w:tc>
          <w:tcPr>
            <w:tcW w:w="1073" w:type="dxa"/>
            <w:vAlign w:val="center"/>
          </w:tcPr>
          <w:p w:rsidR="00000000" w:rsidRDefault="00000000">
            <w:pPr>
              <w:jc w:val="center"/>
            </w:pPr>
            <w:r>
              <w:t>2003</w:t>
            </w:r>
          </w:p>
        </w:tc>
        <w:tc>
          <w:tcPr>
            <w:tcW w:w="1847" w:type="dxa"/>
            <w:vAlign w:val="center"/>
          </w:tcPr>
          <w:p w:rsidR="00000000" w:rsidRDefault="00000000">
            <w:pPr>
              <w:jc w:val="center"/>
            </w:pPr>
            <w:r>
              <w:t>Porcentaje de variación 2002/03</w:t>
            </w:r>
          </w:p>
        </w:tc>
      </w:tr>
      <w:tr w:rsidR="00000000">
        <w:tblPrEx>
          <w:tblCellMar>
            <w:top w:w="0" w:type="dxa"/>
            <w:left w:w="0" w:type="dxa"/>
            <w:bottom w:w="0" w:type="dxa"/>
            <w:right w:w="0" w:type="dxa"/>
          </w:tblCellMar>
        </w:tblPrEx>
        <w:trPr>
          <w:jc w:val="center"/>
        </w:trPr>
        <w:tc>
          <w:tcPr>
            <w:tcW w:w="2280" w:type="dxa"/>
            <w:vAlign w:val="bottom"/>
          </w:tcPr>
          <w:p w:rsidR="00000000" w:rsidRDefault="00000000">
            <w:r>
              <w:t>Educación</w:t>
            </w:r>
          </w:p>
        </w:tc>
        <w:tc>
          <w:tcPr>
            <w:tcW w:w="107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851"/>
              </w:tabs>
              <w:spacing w:after="0" w:line="240" w:lineRule="auto"/>
              <w:ind w:left="0" w:right="0"/>
              <w:jc w:val="left"/>
              <w:rPr>
                <w:spacing w:val="0"/>
                <w:w w:val="100"/>
                <w:kern w:val="0"/>
                <w:sz w:val="24"/>
              </w:rPr>
            </w:pPr>
            <w:r>
              <w:rPr>
                <w:spacing w:val="0"/>
                <w:w w:val="100"/>
                <w:kern w:val="0"/>
                <w:sz w:val="24"/>
              </w:rPr>
              <w:t>75.313</w:t>
            </w:r>
          </w:p>
        </w:tc>
        <w:tc>
          <w:tcPr>
            <w:tcW w:w="107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851"/>
              </w:tabs>
              <w:spacing w:after="0" w:line="240" w:lineRule="auto"/>
              <w:ind w:left="0" w:right="0"/>
              <w:jc w:val="left"/>
              <w:rPr>
                <w:spacing w:val="0"/>
                <w:w w:val="100"/>
                <w:kern w:val="0"/>
                <w:sz w:val="24"/>
              </w:rPr>
            </w:pPr>
            <w:r>
              <w:rPr>
                <w:spacing w:val="0"/>
                <w:w w:val="100"/>
                <w:kern w:val="0"/>
                <w:sz w:val="24"/>
              </w:rPr>
              <w:t>88.116</w:t>
            </w:r>
          </w:p>
        </w:tc>
        <w:tc>
          <w:tcPr>
            <w:tcW w:w="107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851"/>
              </w:tabs>
              <w:spacing w:after="0" w:line="240" w:lineRule="auto"/>
              <w:ind w:left="0" w:right="0"/>
              <w:jc w:val="left"/>
              <w:rPr>
                <w:spacing w:val="0"/>
                <w:w w:val="100"/>
                <w:kern w:val="0"/>
                <w:sz w:val="24"/>
              </w:rPr>
            </w:pPr>
            <w:r>
              <w:rPr>
                <w:spacing w:val="0"/>
                <w:w w:val="100"/>
                <w:kern w:val="0"/>
                <w:sz w:val="24"/>
              </w:rPr>
              <w:t>103.096</w:t>
            </w:r>
          </w:p>
        </w:tc>
        <w:tc>
          <w:tcPr>
            <w:tcW w:w="1073"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851"/>
              </w:tabs>
              <w:spacing w:after="0" w:line="240" w:lineRule="auto"/>
              <w:ind w:left="0" w:right="0"/>
              <w:jc w:val="left"/>
              <w:rPr>
                <w:spacing w:val="0"/>
                <w:w w:val="100"/>
                <w:kern w:val="0"/>
                <w:sz w:val="24"/>
              </w:rPr>
            </w:pPr>
            <w:r>
              <w:rPr>
                <w:spacing w:val="0"/>
                <w:w w:val="100"/>
                <w:kern w:val="0"/>
                <w:sz w:val="24"/>
              </w:rPr>
              <w:t>109.282</w:t>
            </w:r>
          </w:p>
        </w:tc>
        <w:tc>
          <w:tcPr>
            <w:tcW w:w="1847" w:type="dxa"/>
            <w:vAlign w:val="center"/>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0" w:line="240" w:lineRule="auto"/>
              <w:ind w:left="0" w:right="0"/>
              <w:jc w:val="center"/>
              <w:rPr>
                <w:spacing w:val="0"/>
                <w:w w:val="100"/>
                <w:kern w:val="0"/>
                <w:sz w:val="24"/>
              </w:rPr>
            </w:pPr>
            <w:r>
              <w:rPr>
                <w:spacing w:val="0"/>
                <w:w w:val="100"/>
                <w:kern w:val="0"/>
                <w:sz w:val="24"/>
              </w:rPr>
              <w:t>6</w:t>
            </w:r>
          </w:p>
        </w:tc>
      </w:tr>
      <w:tr w:rsidR="00000000">
        <w:tblPrEx>
          <w:tblCellMar>
            <w:top w:w="0" w:type="dxa"/>
            <w:left w:w="0" w:type="dxa"/>
            <w:bottom w:w="0" w:type="dxa"/>
            <w:right w:w="0" w:type="dxa"/>
          </w:tblCellMar>
        </w:tblPrEx>
        <w:trPr>
          <w:jc w:val="center"/>
        </w:trPr>
        <w:tc>
          <w:tcPr>
            <w:tcW w:w="2280" w:type="dxa"/>
            <w:vAlign w:val="bottom"/>
          </w:tcPr>
          <w:p w:rsidR="00000000" w:rsidRDefault="00000000">
            <w:r>
              <w:t>Salud</w:t>
            </w:r>
          </w:p>
        </w:tc>
        <w:tc>
          <w:tcPr>
            <w:tcW w:w="107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851"/>
              </w:tabs>
              <w:spacing w:after="0" w:line="240" w:lineRule="auto"/>
              <w:ind w:left="0" w:right="0"/>
              <w:jc w:val="left"/>
              <w:rPr>
                <w:spacing w:val="0"/>
                <w:w w:val="100"/>
                <w:kern w:val="0"/>
                <w:sz w:val="24"/>
              </w:rPr>
            </w:pPr>
            <w:r>
              <w:rPr>
                <w:spacing w:val="0"/>
                <w:w w:val="100"/>
                <w:kern w:val="0"/>
                <w:sz w:val="24"/>
              </w:rPr>
              <w:t>35.112</w:t>
            </w:r>
          </w:p>
        </w:tc>
        <w:tc>
          <w:tcPr>
            <w:tcW w:w="107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851"/>
              </w:tabs>
              <w:spacing w:after="0" w:line="240" w:lineRule="auto"/>
              <w:ind w:left="0" w:right="0"/>
              <w:jc w:val="left"/>
              <w:rPr>
                <w:spacing w:val="0"/>
                <w:w w:val="100"/>
                <w:kern w:val="0"/>
                <w:sz w:val="24"/>
              </w:rPr>
            </w:pPr>
            <w:r>
              <w:rPr>
                <w:spacing w:val="0"/>
                <w:w w:val="100"/>
                <w:kern w:val="0"/>
                <w:sz w:val="24"/>
              </w:rPr>
              <w:t>41.081</w:t>
            </w:r>
          </w:p>
        </w:tc>
        <w:tc>
          <w:tcPr>
            <w:tcW w:w="107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851"/>
              </w:tabs>
              <w:spacing w:after="0" w:line="240" w:lineRule="auto"/>
              <w:ind w:left="0" w:right="0"/>
              <w:jc w:val="left"/>
              <w:rPr>
                <w:spacing w:val="0"/>
                <w:w w:val="100"/>
                <w:kern w:val="0"/>
                <w:sz w:val="24"/>
              </w:rPr>
            </w:pPr>
            <w:r>
              <w:rPr>
                <w:spacing w:val="0"/>
                <w:w w:val="100"/>
                <w:kern w:val="0"/>
                <w:sz w:val="24"/>
              </w:rPr>
              <w:t>48.065</w:t>
            </w:r>
          </w:p>
        </w:tc>
        <w:tc>
          <w:tcPr>
            <w:tcW w:w="1073"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851"/>
              </w:tabs>
              <w:spacing w:after="0" w:line="240" w:lineRule="auto"/>
              <w:ind w:left="0" w:right="0"/>
              <w:jc w:val="left"/>
              <w:rPr>
                <w:spacing w:val="0"/>
                <w:w w:val="100"/>
                <w:kern w:val="0"/>
                <w:sz w:val="24"/>
              </w:rPr>
            </w:pPr>
            <w:r>
              <w:rPr>
                <w:spacing w:val="0"/>
                <w:w w:val="100"/>
                <w:kern w:val="0"/>
                <w:sz w:val="24"/>
              </w:rPr>
              <w:t>51.429</w:t>
            </w:r>
          </w:p>
        </w:tc>
        <w:tc>
          <w:tcPr>
            <w:tcW w:w="1847" w:type="dxa"/>
            <w:vAlign w:val="center"/>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0" w:line="240" w:lineRule="auto"/>
              <w:ind w:left="0" w:right="0"/>
              <w:jc w:val="center"/>
              <w:rPr>
                <w:spacing w:val="0"/>
                <w:w w:val="100"/>
                <w:kern w:val="0"/>
                <w:sz w:val="24"/>
              </w:rPr>
            </w:pPr>
            <w:r>
              <w:rPr>
                <w:spacing w:val="0"/>
                <w:w w:val="100"/>
                <w:kern w:val="0"/>
                <w:sz w:val="24"/>
              </w:rPr>
              <w:t>7</w:t>
            </w:r>
          </w:p>
        </w:tc>
      </w:tr>
      <w:tr w:rsidR="00000000">
        <w:tblPrEx>
          <w:tblCellMar>
            <w:top w:w="0" w:type="dxa"/>
            <w:left w:w="0" w:type="dxa"/>
            <w:bottom w:w="0" w:type="dxa"/>
            <w:right w:w="0" w:type="dxa"/>
          </w:tblCellMar>
        </w:tblPrEx>
        <w:trPr>
          <w:jc w:val="center"/>
        </w:trPr>
        <w:tc>
          <w:tcPr>
            <w:tcW w:w="2280" w:type="dxa"/>
            <w:vAlign w:val="bottom"/>
          </w:tcPr>
          <w:p w:rsidR="00000000" w:rsidRDefault="00000000">
            <w:r>
              <w:t>Otros servicios</w:t>
            </w:r>
          </w:p>
        </w:tc>
        <w:tc>
          <w:tcPr>
            <w:tcW w:w="107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851"/>
              </w:tabs>
              <w:spacing w:after="0" w:line="240" w:lineRule="auto"/>
              <w:ind w:left="0" w:right="0"/>
              <w:jc w:val="left"/>
              <w:rPr>
                <w:spacing w:val="0"/>
                <w:w w:val="100"/>
                <w:kern w:val="0"/>
                <w:sz w:val="24"/>
              </w:rPr>
            </w:pPr>
            <w:r>
              <w:rPr>
                <w:spacing w:val="0"/>
                <w:w w:val="100"/>
                <w:kern w:val="0"/>
                <w:sz w:val="24"/>
              </w:rPr>
              <w:t>63.919</w:t>
            </w:r>
          </w:p>
        </w:tc>
        <w:tc>
          <w:tcPr>
            <w:tcW w:w="107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851"/>
              </w:tabs>
              <w:spacing w:after="0" w:line="240" w:lineRule="auto"/>
              <w:ind w:left="0" w:right="0"/>
              <w:jc w:val="left"/>
              <w:rPr>
                <w:spacing w:val="0"/>
                <w:w w:val="100"/>
                <w:kern w:val="0"/>
                <w:sz w:val="24"/>
              </w:rPr>
            </w:pPr>
            <w:r>
              <w:rPr>
                <w:spacing w:val="0"/>
                <w:w w:val="100"/>
                <w:kern w:val="0"/>
                <w:sz w:val="24"/>
              </w:rPr>
              <w:t>73.875</w:t>
            </w:r>
          </w:p>
        </w:tc>
        <w:tc>
          <w:tcPr>
            <w:tcW w:w="107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851"/>
              </w:tabs>
              <w:spacing w:after="0" w:line="240" w:lineRule="auto"/>
              <w:ind w:left="0" w:right="0"/>
              <w:jc w:val="left"/>
              <w:rPr>
                <w:spacing w:val="0"/>
                <w:w w:val="100"/>
                <w:kern w:val="0"/>
                <w:sz w:val="24"/>
              </w:rPr>
            </w:pPr>
            <w:r>
              <w:rPr>
                <w:spacing w:val="0"/>
                <w:w w:val="100"/>
                <w:kern w:val="0"/>
                <w:sz w:val="24"/>
              </w:rPr>
              <w:t>82.740</w:t>
            </w:r>
          </w:p>
        </w:tc>
        <w:tc>
          <w:tcPr>
            <w:tcW w:w="1073"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851"/>
              </w:tabs>
              <w:spacing w:after="0" w:line="240" w:lineRule="auto"/>
              <w:ind w:left="0" w:right="0"/>
              <w:jc w:val="left"/>
              <w:rPr>
                <w:spacing w:val="0"/>
                <w:w w:val="100"/>
                <w:kern w:val="0"/>
                <w:sz w:val="24"/>
              </w:rPr>
            </w:pPr>
            <w:r>
              <w:rPr>
                <w:spacing w:val="0"/>
                <w:w w:val="100"/>
                <w:kern w:val="0"/>
                <w:sz w:val="24"/>
              </w:rPr>
              <w:t>86.877</w:t>
            </w:r>
          </w:p>
        </w:tc>
        <w:tc>
          <w:tcPr>
            <w:tcW w:w="1847" w:type="dxa"/>
            <w:vAlign w:val="center"/>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0" w:line="240" w:lineRule="auto"/>
              <w:ind w:left="0" w:right="0"/>
              <w:jc w:val="center"/>
              <w:rPr>
                <w:spacing w:val="0"/>
                <w:w w:val="100"/>
                <w:kern w:val="0"/>
                <w:sz w:val="24"/>
              </w:rPr>
            </w:pPr>
            <w:r>
              <w:rPr>
                <w:spacing w:val="0"/>
                <w:w w:val="100"/>
                <w:kern w:val="0"/>
                <w:sz w:val="24"/>
              </w:rPr>
              <w:t>5</w:t>
            </w:r>
          </w:p>
        </w:tc>
      </w:tr>
    </w:tbl>
    <w:p w:rsidR="00000000" w:rsidRDefault="00000000">
      <w:pPr>
        <w:pStyle w:val="FootnoteText"/>
        <w:spacing w:before="200" w:line="240" w:lineRule="auto"/>
        <w:ind w:left="482"/>
      </w:pPr>
      <w:r>
        <w:rPr>
          <w:i/>
          <w:iCs/>
        </w:rPr>
        <w:t>Fuente</w:t>
      </w:r>
      <w:r>
        <w:t xml:space="preserve">:  Gobierno de la República Unida de Tanzanía, </w:t>
      </w:r>
      <w:r>
        <w:rPr>
          <w:i/>
          <w:iCs/>
        </w:rPr>
        <w:t>Socio-Economic Survey</w:t>
      </w:r>
      <w:r>
        <w:t xml:space="preserve"> 2003.</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76.</w:t>
      </w:r>
      <w:r>
        <w:rPr>
          <w:spacing w:val="0"/>
          <w:w w:val="100"/>
          <w:kern w:val="0"/>
          <w:sz w:val="24"/>
        </w:rPr>
        <w:tab/>
        <w:t>Zanzíbar tiene un marco de gastos de mitad de período que sirve para garant</w:t>
      </w:r>
      <w:r>
        <w:rPr>
          <w:spacing w:val="0"/>
          <w:w w:val="100"/>
          <w:kern w:val="0"/>
          <w:sz w:val="24"/>
        </w:rPr>
        <w:t>i</w:t>
      </w:r>
      <w:r>
        <w:rPr>
          <w:spacing w:val="0"/>
          <w:w w:val="100"/>
          <w:kern w:val="0"/>
          <w:sz w:val="24"/>
        </w:rPr>
        <w:t>zar la calidad de los servicios sociales prestados, la disponibilidad de servicios de desarrollo del niño y el acceso a ellos.  El cuadro 7 muestra un aumento del pres</w:t>
      </w:r>
      <w:r>
        <w:rPr>
          <w:spacing w:val="0"/>
          <w:w w:val="100"/>
          <w:kern w:val="0"/>
          <w:sz w:val="24"/>
        </w:rPr>
        <w:t>u</w:t>
      </w:r>
      <w:r>
        <w:rPr>
          <w:spacing w:val="0"/>
          <w:w w:val="100"/>
          <w:kern w:val="0"/>
          <w:sz w:val="24"/>
        </w:rPr>
        <w:t>puesto anual asignado a servicios sociales en Zanzíbar.</w:t>
      </w:r>
    </w:p>
    <w:p w:rsidR="00000000" w:rsidRDefault="00000000">
      <w:pPr>
        <w:pStyle w:val="H23"/>
        <w:keepLines w:val="0"/>
        <w:suppressAutoHyphens w:val="0"/>
        <w:spacing w:after="240" w:line="240" w:lineRule="auto"/>
        <w:jc w:val="center"/>
        <w:outlineLvl w:val="9"/>
        <w:rPr>
          <w:bCs/>
          <w:spacing w:val="0"/>
          <w:w w:val="100"/>
          <w:kern w:val="0"/>
          <w:sz w:val="24"/>
        </w:rPr>
      </w:pPr>
      <w:r>
        <w:rPr>
          <w:bCs/>
          <w:spacing w:val="0"/>
          <w:w w:val="100"/>
          <w:kern w:val="0"/>
          <w:sz w:val="24"/>
        </w:rPr>
        <w:t>Cuadro 7</w:t>
      </w:r>
    </w:p>
    <w:p w:rsidR="00000000" w:rsidRDefault="00000000">
      <w:pPr>
        <w:pStyle w:val="H23"/>
        <w:keepLines w:val="0"/>
        <w:suppressAutoHyphens w:val="0"/>
        <w:spacing w:after="240" w:line="240" w:lineRule="auto"/>
        <w:jc w:val="center"/>
        <w:outlineLvl w:val="9"/>
        <w:rPr>
          <w:bCs/>
          <w:spacing w:val="0"/>
          <w:w w:val="100"/>
          <w:kern w:val="0"/>
          <w:sz w:val="24"/>
        </w:rPr>
      </w:pPr>
      <w:r>
        <w:rPr>
          <w:bCs/>
          <w:spacing w:val="0"/>
          <w:w w:val="100"/>
          <w:kern w:val="0"/>
          <w:sz w:val="24"/>
        </w:rPr>
        <w:t>Presupuesto aprobado para prestar servicios sociales en Zanzíbar</w:t>
      </w:r>
    </w:p>
    <w:p w:rsidR="00000000" w:rsidRDefault="00000000">
      <w:pPr>
        <w:pStyle w:val="H23"/>
        <w:keepLines w:val="0"/>
        <w:suppressAutoHyphens w:val="0"/>
        <w:spacing w:after="240" w:line="240" w:lineRule="auto"/>
        <w:jc w:val="center"/>
        <w:outlineLvl w:val="9"/>
        <w:rPr>
          <w:b w:val="0"/>
          <w:spacing w:val="0"/>
          <w:w w:val="100"/>
          <w:kern w:val="0"/>
          <w:sz w:val="24"/>
        </w:rPr>
      </w:pPr>
      <w:r>
        <w:rPr>
          <w:b w:val="0"/>
          <w:spacing w:val="0"/>
          <w:w w:val="100"/>
          <w:kern w:val="0"/>
          <w:sz w:val="24"/>
        </w:rPr>
        <w:t>(En chelines tanzanianos)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599"/>
        <w:gridCol w:w="1668"/>
        <w:gridCol w:w="1668"/>
        <w:gridCol w:w="1668"/>
        <w:gridCol w:w="1669"/>
      </w:tblGrid>
      <w:tr w:rsidR="00000000">
        <w:tblPrEx>
          <w:tblCellMar>
            <w:top w:w="0" w:type="dxa"/>
            <w:left w:w="0" w:type="dxa"/>
            <w:bottom w:w="0" w:type="dxa"/>
            <w:right w:w="0" w:type="dxa"/>
          </w:tblCellMar>
        </w:tblPrEx>
        <w:trPr>
          <w:tblHeader/>
          <w:jc w:val="center"/>
        </w:trPr>
        <w:tc>
          <w:tcPr>
            <w:tcW w:w="2599" w:type="dxa"/>
            <w:tcMar>
              <w:left w:w="51" w:type="dxa"/>
              <w:right w:w="51" w:type="dxa"/>
            </w:tcMar>
            <w:vAlign w:val="center"/>
          </w:tcPr>
          <w:p w:rsidR="00000000" w:rsidRDefault="00000000">
            <w:pPr>
              <w:jc w:val="center"/>
              <w:rPr>
                <w:sz w:val="22"/>
              </w:rPr>
            </w:pPr>
            <w:r>
              <w:rPr>
                <w:sz w:val="22"/>
              </w:rPr>
              <w:t>Sectores</w:t>
            </w:r>
          </w:p>
        </w:tc>
        <w:tc>
          <w:tcPr>
            <w:tcW w:w="1668" w:type="dxa"/>
            <w:tcMar>
              <w:left w:w="51" w:type="dxa"/>
              <w:right w:w="51" w:type="dxa"/>
            </w:tcMar>
            <w:vAlign w:val="center"/>
          </w:tcPr>
          <w:p w:rsidR="00000000" w:rsidRDefault="00000000">
            <w:pPr>
              <w:jc w:val="center"/>
              <w:rPr>
                <w:sz w:val="22"/>
              </w:rPr>
            </w:pPr>
            <w:r>
              <w:rPr>
                <w:sz w:val="22"/>
              </w:rPr>
              <w:t>1999</w:t>
            </w:r>
          </w:p>
        </w:tc>
        <w:tc>
          <w:tcPr>
            <w:tcW w:w="1668" w:type="dxa"/>
            <w:tcMar>
              <w:left w:w="51" w:type="dxa"/>
              <w:right w:w="51" w:type="dxa"/>
            </w:tcMar>
            <w:vAlign w:val="center"/>
          </w:tcPr>
          <w:p w:rsidR="00000000" w:rsidRDefault="00000000">
            <w:pPr>
              <w:jc w:val="center"/>
              <w:rPr>
                <w:sz w:val="22"/>
              </w:rPr>
            </w:pPr>
            <w:r>
              <w:rPr>
                <w:sz w:val="22"/>
              </w:rPr>
              <w:t>2000</w:t>
            </w:r>
          </w:p>
        </w:tc>
        <w:tc>
          <w:tcPr>
            <w:tcW w:w="1668" w:type="dxa"/>
            <w:tcMar>
              <w:left w:w="51" w:type="dxa"/>
              <w:right w:w="51" w:type="dxa"/>
            </w:tcMar>
            <w:vAlign w:val="center"/>
          </w:tcPr>
          <w:p w:rsidR="00000000" w:rsidRDefault="00000000">
            <w:pPr>
              <w:jc w:val="center"/>
              <w:rPr>
                <w:sz w:val="22"/>
              </w:rPr>
            </w:pPr>
            <w:r>
              <w:rPr>
                <w:sz w:val="22"/>
              </w:rPr>
              <w:t>2001</w:t>
            </w:r>
          </w:p>
        </w:tc>
        <w:tc>
          <w:tcPr>
            <w:tcW w:w="1669" w:type="dxa"/>
            <w:tcMar>
              <w:left w:w="51" w:type="dxa"/>
              <w:right w:w="51" w:type="dxa"/>
            </w:tcMar>
            <w:vAlign w:val="center"/>
          </w:tcPr>
          <w:p w:rsidR="00000000" w:rsidRDefault="00000000">
            <w:pPr>
              <w:jc w:val="center"/>
              <w:rPr>
                <w:sz w:val="22"/>
              </w:rPr>
            </w:pPr>
            <w:r>
              <w:rPr>
                <w:sz w:val="22"/>
              </w:rPr>
              <w:t>2002</w:t>
            </w:r>
          </w:p>
        </w:tc>
      </w:tr>
      <w:tr w:rsidR="00000000">
        <w:tblPrEx>
          <w:tblCellMar>
            <w:top w:w="0" w:type="dxa"/>
            <w:left w:w="0" w:type="dxa"/>
            <w:bottom w:w="0" w:type="dxa"/>
            <w:right w:w="0" w:type="dxa"/>
          </w:tblCellMar>
        </w:tblPrEx>
        <w:trPr>
          <w:jc w:val="center"/>
        </w:trPr>
        <w:tc>
          <w:tcPr>
            <w:tcW w:w="2599" w:type="dxa"/>
            <w:tcMar>
              <w:left w:w="51" w:type="dxa"/>
              <w:right w:w="51" w:type="dxa"/>
            </w:tcMar>
            <w:vAlign w:val="bottom"/>
          </w:tcPr>
          <w:p w:rsidR="00000000" w:rsidRDefault="00000000">
            <w:pPr>
              <w:rPr>
                <w:sz w:val="22"/>
              </w:rPr>
            </w:pPr>
            <w:r>
              <w:rPr>
                <w:sz w:val="22"/>
              </w:rPr>
              <w:t>Educación</w:t>
            </w:r>
          </w:p>
        </w:tc>
        <w:tc>
          <w:tcPr>
            <w:tcW w:w="1668" w:type="dxa"/>
            <w:tcMar>
              <w:left w:w="51" w:type="dxa"/>
              <w:right w:w="51" w:type="dxa"/>
            </w:tcMar>
            <w:vAlign w:val="bottom"/>
          </w:tcPr>
          <w:p w:rsidR="00000000" w:rsidRDefault="00000000">
            <w:pPr>
              <w:tabs>
                <w:tab w:val="decimal" w:pos="1389"/>
              </w:tabs>
              <w:rPr>
                <w:sz w:val="22"/>
              </w:rPr>
            </w:pPr>
            <w:r>
              <w:rPr>
                <w:sz w:val="22"/>
              </w:rPr>
              <w:t>5.450.150.000</w:t>
            </w:r>
          </w:p>
        </w:tc>
        <w:tc>
          <w:tcPr>
            <w:tcW w:w="1668" w:type="dxa"/>
            <w:tcMar>
              <w:left w:w="51" w:type="dxa"/>
              <w:right w:w="51" w:type="dxa"/>
            </w:tcMar>
            <w:vAlign w:val="bottom"/>
          </w:tcPr>
          <w:p w:rsidR="00000000" w:rsidRDefault="00000000">
            <w:pPr>
              <w:tabs>
                <w:tab w:val="decimal" w:pos="1389"/>
              </w:tabs>
              <w:rPr>
                <w:sz w:val="22"/>
              </w:rPr>
            </w:pPr>
            <w:r>
              <w:rPr>
                <w:sz w:val="22"/>
              </w:rPr>
              <w:t>5.934.400.000</w:t>
            </w:r>
          </w:p>
        </w:tc>
        <w:tc>
          <w:tcPr>
            <w:tcW w:w="1668" w:type="dxa"/>
            <w:tcMar>
              <w:left w:w="51" w:type="dxa"/>
              <w:right w:w="51" w:type="dxa"/>
            </w:tcMar>
            <w:vAlign w:val="bottom"/>
          </w:tcPr>
          <w:p w:rsidR="00000000" w:rsidRDefault="00000000">
            <w:pPr>
              <w:tabs>
                <w:tab w:val="decimal" w:pos="1389"/>
              </w:tabs>
              <w:rPr>
                <w:sz w:val="22"/>
              </w:rPr>
            </w:pPr>
            <w:r>
              <w:rPr>
                <w:sz w:val="22"/>
              </w:rPr>
              <w:t>5.713.410.358</w:t>
            </w:r>
          </w:p>
        </w:tc>
        <w:tc>
          <w:tcPr>
            <w:tcW w:w="1669" w:type="dxa"/>
            <w:tcMar>
              <w:left w:w="51" w:type="dxa"/>
              <w:right w:w="51" w:type="dxa"/>
            </w:tcMar>
            <w:vAlign w:val="bottom"/>
          </w:tcPr>
          <w:p w:rsidR="00000000" w:rsidRDefault="00000000">
            <w:pPr>
              <w:tabs>
                <w:tab w:val="decimal" w:pos="1389"/>
              </w:tabs>
              <w:rPr>
                <w:sz w:val="22"/>
              </w:rPr>
            </w:pPr>
            <w:r>
              <w:rPr>
                <w:sz w:val="22"/>
              </w:rPr>
              <w:t>8.353.846.104</w:t>
            </w:r>
          </w:p>
        </w:tc>
      </w:tr>
      <w:tr w:rsidR="00000000">
        <w:tblPrEx>
          <w:tblCellMar>
            <w:top w:w="0" w:type="dxa"/>
            <w:left w:w="0" w:type="dxa"/>
            <w:bottom w:w="0" w:type="dxa"/>
            <w:right w:w="0" w:type="dxa"/>
          </w:tblCellMar>
        </w:tblPrEx>
        <w:trPr>
          <w:jc w:val="center"/>
        </w:trPr>
        <w:tc>
          <w:tcPr>
            <w:tcW w:w="2599" w:type="dxa"/>
            <w:tcMar>
              <w:left w:w="51" w:type="dxa"/>
              <w:right w:w="51" w:type="dxa"/>
            </w:tcMar>
            <w:vAlign w:val="bottom"/>
          </w:tcPr>
          <w:p w:rsidR="00000000" w:rsidRDefault="00000000">
            <w:pPr>
              <w:rPr>
                <w:sz w:val="22"/>
              </w:rPr>
            </w:pPr>
            <w:r>
              <w:rPr>
                <w:sz w:val="22"/>
              </w:rPr>
              <w:t>Salud</w:t>
            </w:r>
          </w:p>
        </w:tc>
        <w:tc>
          <w:tcPr>
            <w:tcW w:w="1668" w:type="dxa"/>
            <w:tcMar>
              <w:left w:w="51" w:type="dxa"/>
              <w:right w:w="51" w:type="dxa"/>
            </w:tcMar>
            <w:vAlign w:val="bottom"/>
          </w:tcPr>
          <w:p w:rsidR="00000000" w:rsidRDefault="00000000">
            <w:pPr>
              <w:tabs>
                <w:tab w:val="decimal" w:pos="1389"/>
              </w:tabs>
              <w:rPr>
                <w:sz w:val="22"/>
              </w:rPr>
            </w:pPr>
            <w:r>
              <w:rPr>
                <w:sz w:val="22"/>
              </w:rPr>
              <w:t>2.031.026.800</w:t>
            </w:r>
          </w:p>
        </w:tc>
        <w:tc>
          <w:tcPr>
            <w:tcW w:w="1668" w:type="dxa"/>
            <w:tcMar>
              <w:left w:w="51" w:type="dxa"/>
              <w:right w:w="51" w:type="dxa"/>
            </w:tcMar>
            <w:vAlign w:val="bottom"/>
          </w:tcPr>
          <w:p w:rsidR="00000000" w:rsidRDefault="00000000">
            <w:pPr>
              <w:tabs>
                <w:tab w:val="decimal" w:pos="1389"/>
              </w:tabs>
              <w:rPr>
                <w:sz w:val="22"/>
              </w:rPr>
            </w:pPr>
            <w:r>
              <w:rPr>
                <w:sz w:val="22"/>
              </w:rPr>
              <w:t>3.104.441.000</w:t>
            </w:r>
          </w:p>
        </w:tc>
        <w:tc>
          <w:tcPr>
            <w:tcW w:w="1668" w:type="dxa"/>
            <w:tcMar>
              <w:left w:w="51" w:type="dxa"/>
              <w:right w:w="51" w:type="dxa"/>
            </w:tcMar>
            <w:vAlign w:val="bottom"/>
          </w:tcPr>
          <w:p w:rsidR="00000000" w:rsidRDefault="00000000">
            <w:pPr>
              <w:tabs>
                <w:tab w:val="decimal" w:pos="1389"/>
              </w:tabs>
              <w:rPr>
                <w:sz w:val="22"/>
              </w:rPr>
            </w:pPr>
            <w:r>
              <w:rPr>
                <w:sz w:val="22"/>
              </w:rPr>
              <w:t>2.610.949.826</w:t>
            </w:r>
          </w:p>
        </w:tc>
        <w:tc>
          <w:tcPr>
            <w:tcW w:w="1669" w:type="dxa"/>
            <w:tcMar>
              <w:left w:w="51" w:type="dxa"/>
              <w:right w:w="51" w:type="dxa"/>
            </w:tcMar>
            <w:vAlign w:val="bottom"/>
          </w:tcPr>
          <w:p w:rsidR="00000000" w:rsidRDefault="00000000">
            <w:pPr>
              <w:tabs>
                <w:tab w:val="decimal" w:pos="1389"/>
              </w:tabs>
              <w:rPr>
                <w:sz w:val="22"/>
              </w:rPr>
            </w:pPr>
            <w:r>
              <w:rPr>
                <w:sz w:val="22"/>
              </w:rPr>
              <w:t>5.064.653.325</w:t>
            </w:r>
          </w:p>
        </w:tc>
      </w:tr>
      <w:tr w:rsidR="00000000">
        <w:tblPrEx>
          <w:tblCellMar>
            <w:top w:w="0" w:type="dxa"/>
            <w:left w:w="0" w:type="dxa"/>
            <w:bottom w:w="0" w:type="dxa"/>
            <w:right w:w="0" w:type="dxa"/>
          </w:tblCellMar>
        </w:tblPrEx>
        <w:trPr>
          <w:jc w:val="center"/>
        </w:trPr>
        <w:tc>
          <w:tcPr>
            <w:tcW w:w="2599" w:type="dxa"/>
            <w:tcMar>
              <w:left w:w="51" w:type="dxa"/>
              <w:right w:w="51" w:type="dxa"/>
            </w:tcMar>
            <w:vAlign w:val="bottom"/>
          </w:tcPr>
          <w:p w:rsidR="00000000" w:rsidRDefault="00000000">
            <w:pPr>
              <w:rPr>
                <w:sz w:val="22"/>
              </w:rPr>
            </w:pPr>
            <w:r>
              <w:rPr>
                <w:sz w:val="22"/>
              </w:rPr>
              <w:t>Agua</w:t>
            </w:r>
          </w:p>
        </w:tc>
        <w:tc>
          <w:tcPr>
            <w:tcW w:w="1668" w:type="dxa"/>
            <w:tcMar>
              <w:left w:w="51" w:type="dxa"/>
              <w:right w:w="51" w:type="dxa"/>
            </w:tcMar>
            <w:vAlign w:val="bottom"/>
          </w:tcPr>
          <w:p w:rsidR="00000000" w:rsidRDefault="00000000">
            <w:pPr>
              <w:tabs>
                <w:tab w:val="decimal" w:pos="1389"/>
              </w:tabs>
              <w:rPr>
                <w:sz w:val="22"/>
              </w:rPr>
            </w:pPr>
            <w:r>
              <w:rPr>
                <w:sz w:val="22"/>
              </w:rPr>
              <w:t>627.174.000</w:t>
            </w:r>
          </w:p>
        </w:tc>
        <w:tc>
          <w:tcPr>
            <w:tcW w:w="1668" w:type="dxa"/>
            <w:tcMar>
              <w:left w:w="51" w:type="dxa"/>
              <w:right w:w="51" w:type="dxa"/>
            </w:tcMar>
            <w:vAlign w:val="bottom"/>
          </w:tcPr>
          <w:p w:rsidR="00000000" w:rsidRDefault="00000000">
            <w:pPr>
              <w:tabs>
                <w:tab w:val="decimal" w:pos="1389"/>
              </w:tabs>
              <w:rPr>
                <w:sz w:val="22"/>
              </w:rPr>
            </w:pPr>
            <w:r>
              <w:rPr>
                <w:sz w:val="22"/>
              </w:rPr>
              <w:t>83.635.563</w:t>
            </w:r>
          </w:p>
        </w:tc>
        <w:tc>
          <w:tcPr>
            <w:tcW w:w="1668" w:type="dxa"/>
            <w:tcMar>
              <w:left w:w="51" w:type="dxa"/>
              <w:right w:w="51" w:type="dxa"/>
            </w:tcMar>
            <w:vAlign w:val="bottom"/>
          </w:tcPr>
          <w:p w:rsidR="00000000" w:rsidRDefault="00000000">
            <w:pPr>
              <w:tabs>
                <w:tab w:val="decimal" w:pos="1389"/>
              </w:tabs>
              <w:rPr>
                <w:sz w:val="22"/>
              </w:rPr>
            </w:pPr>
            <w:r>
              <w:rPr>
                <w:sz w:val="22"/>
              </w:rPr>
              <w:t>822.311.080</w:t>
            </w:r>
          </w:p>
        </w:tc>
        <w:tc>
          <w:tcPr>
            <w:tcW w:w="1669" w:type="dxa"/>
            <w:tcMar>
              <w:left w:w="51" w:type="dxa"/>
              <w:right w:w="51" w:type="dxa"/>
            </w:tcMar>
            <w:vAlign w:val="bottom"/>
          </w:tcPr>
          <w:p w:rsidR="00000000" w:rsidRDefault="00000000">
            <w:pPr>
              <w:tabs>
                <w:tab w:val="decimal" w:pos="1389"/>
              </w:tabs>
              <w:rPr>
                <w:sz w:val="22"/>
              </w:rPr>
            </w:pPr>
            <w:r>
              <w:rPr>
                <w:sz w:val="22"/>
              </w:rPr>
              <w:t>1.316.303.773</w:t>
            </w:r>
          </w:p>
        </w:tc>
      </w:tr>
      <w:tr w:rsidR="00000000">
        <w:tblPrEx>
          <w:tblCellMar>
            <w:top w:w="0" w:type="dxa"/>
            <w:left w:w="0" w:type="dxa"/>
            <w:bottom w:w="0" w:type="dxa"/>
            <w:right w:w="0" w:type="dxa"/>
          </w:tblCellMar>
        </w:tblPrEx>
        <w:trPr>
          <w:jc w:val="center"/>
        </w:trPr>
        <w:tc>
          <w:tcPr>
            <w:tcW w:w="2599" w:type="dxa"/>
            <w:tcMar>
              <w:left w:w="51" w:type="dxa"/>
              <w:right w:w="51" w:type="dxa"/>
            </w:tcMar>
            <w:vAlign w:val="bottom"/>
          </w:tcPr>
          <w:p w:rsidR="00000000" w:rsidRDefault="00000000">
            <w:pPr>
              <w:tabs>
                <w:tab w:val="left" w:pos="277"/>
              </w:tabs>
              <w:rPr>
                <w:sz w:val="22"/>
              </w:rPr>
            </w:pPr>
            <w:r>
              <w:rPr>
                <w:sz w:val="22"/>
              </w:rPr>
              <w:tab/>
              <w:t>Total del gasto nacional</w:t>
            </w:r>
          </w:p>
        </w:tc>
        <w:tc>
          <w:tcPr>
            <w:tcW w:w="1668" w:type="dxa"/>
            <w:tcMar>
              <w:left w:w="51" w:type="dxa"/>
              <w:right w:w="51" w:type="dxa"/>
            </w:tcMar>
            <w:vAlign w:val="bottom"/>
          </w:tcPr>
          <w:p w:rsidR="00000000" w:rsidRDefault="00000000">
            <w:pPr>
              <w:tabs>
                <w:tab w:val="decimal" w:pos="1389"/>
              </w:tabs>
              <w:rPr>
                <w:sz w:val="22"/>
              </w:rPr>
            </w:pPr>
            <w:r>
              <w:rPr>
                <w:sz w:val="22"/>
              </w:rPr>
              <w:t>47.540.445.000</w:t>
            </w:r>
          </w:p>
        </w:tc>
        <w:tc>
          <w:tcPr>
            <w:tcW w:w="1668" w:type="dxa"/>
            <w:tcMar>
              <w:left w:w="51" w:type="dxa"/>
              <w:right w:w="51" w:type="dxa"/>
            </w:tcMar>
            <w:vAlign w:val="bottom"/>
          </w:tcPr>
          <w:p w:rsidR="00000000" w:rsidRDefault="00000000">
            <w:pPr>
              <w:tabs>
                <w:tab w:val="decimal" w:pos="1389"/>
              </w:tabs>
              <w:rPr>
                <w:sz w:val="22"/>
              </w:rPr>
            </w:pPr>
            <w:r>
              <w:rPr>
                <w:sz w:val="22"/>
              </w:rPr>
              <w:t>53.653.570.000</w:t>
            </w:r>
          </w:p>
        </w:tc>
        <w:tc>
          <w:tcPr>
            <w:tcW w:w="1668" w:type="dxa"/>
            <w:tcMar>
              <w:left w:w="51" w:type="dxa"/>
              <w:right w:w="51" w:type="dxa"/>
            </w:tcMar>
            <w:vAlign w:val="bottom"/>
          </w:tcPr>
          <w:p w:rsidR="00000000" w:rsidRDefault="00000000">
            <w:pPr>
              <w:tabs>
                <w:tab w:val="decimal" w:pos="1389"/>
              </w:tabs>
              <w:rPr>
                <w:sz w:val="22"/>
              </w:rPr>
            </w:pPr>
            <w:r>
              <w:rPr>
                <w:sz w:val="22"/>
              </w:rPr>
              <w:t>9.146.671.264</w:t>
            </w:r>
          </w:p>
        </w:tc>
        <w:tc>
          <w:tcPr>
            <w:tcW w:w="1669" w:type="dxa"/>
            <w:tcMar>
              <w:left w:w="51" w:type="dxa"/>
              <w:right w:w="51" w:type="dxa"/>
            </w:tcMar>
            <w:vAlign w:val="bottom"/>
          </w:tcPr>
          <w:p w:rsidR="00000000" w:rsidRDefault="00000000">
            <w:pPr>
              <w:tabs>
                <w:tab w:val="decimal" w:pos="1389"/>
              </w:tabs>
              <w:rPr>
                <w:sz w:val="22"/>
              </w:rPr>
            </w:pPr>
            <w:r>
              <w:rPr>
                <w:sz w:val="22"/>
              </w:rPr>
              <w:t>14.734.803.202</w:t>
            </w:r>
          </w:p>
        </w:tc>
      </w:tr>
    </w:tbl>
    <w:p w:rsidR="00000000" w:rsidRDefault="00000000">
      <w:pPr>
        <w:pStyle w:val="FootnoteText"/>
        <w:spacing w:before="160" w:after="480" w:line="240" w:lineRule="auto"/>
      </w:pPr>
      <w:r>
        <w:rPr>
          <w:i/>
          <w:iCs/>
        </w:rPr>
        <w:t>Fuente</w:t>
      </w:r>
      <w:r>
        <w:t>:  Departamento de Presupuesto de Zanzíbar.</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77.</w:t>
      </w:r>
      <w:r>
        <w:rPr>
          <w:spacing w:val="0"/>
          <w:w w:val="100"/>
          <w:kern w:val="0"/>
          <w:sz w:val="24"/>
        </w:rPr>
        <w:tab/>
        <w:t>Algunos donantes bilaterales retiraron su apoyo financiero directo a Zanzíbar tras las disputas sobre los resultados de las elecciones de 1995.   No obstante, en una reunión del Grupo Consultivo, celebrada en Dar es Salam en febrero de 2000, se r</w:t>
      </w:r>
      <w:r>
        <w:rPr>
          <w:spacing w:val="0"/>
          <w:w w:val="100"/>
          <w:kern w:val="0"/>
          <w:sz w:val="24"/>
        </w:rPr>
        <w:t>e</w:t>
      </w:r>
      <w:r>
        <w:rPr>
          <w:spacing w:val="0"/>
          <w:w w:val="100"/>
          <w:kern w:val="0"/>
          <w:sz w:val="24"/>
        </w:rPr>
        <w:t>conoció que la suspensión de la ayuda afectaba considerablemente a los grupos vu</w:t>
      </w:r>
      <w:r>
        <w:rPr>
          <w:spacing w:val="0"/>
          <w:w w:val="100"/>
          <w:kern w:val="0"/>
          <w:sz w:val="24"/>
        </w:rPr>
        <w:t>l</w:t>
      </w:r>
      <w:r>
        <w:rPr>
          <w:spacing w:val="0"/>
          <w:w w:val="100"/>
          <w:kern w:val="0"/>
          <w:sz w:val="24"/>
        </w:rPr>
        <w:t>nerables, entre ellos los niños.  Algunos países árabes y organismos especializados de las Naciones Unidas, como el Fondo de las Naciones Unidas para la Infancia (UNICEF), el Programa de las Naciones Unidas para el Desarrollo (PNUD) y el Fondo de Población de las Naciones Unidas (UNFPA) han seguido apoyando al G</w:t>
      </w:r>
      <w:r>
        <w:rPr>
          <w:spacing w:val="0"/>
          <w:w w:val="100"/>
          <w:kern w:val="0"/>
          <w:sz w:val="24"/>
        </w:rPr>
        <w:t>o</w:t>
      </w:r>
      <w:r>
        <w:rPr>
          <w:spacing w:val="0"/>
          <w:w w:val="100"/>
          <w:kern w:val="0"/>
          <w:sz w:val="24"/>
        </w:rPr>
        <w:t>bierno de Zanzíbar en áreas como la educación básica, la salud primaria, la nutrición y la salud reproductiva.  La OIT también ha apoyado a algunos órganos sectoriales como la Comisión del Trabajo y el Ministerio de Empleo Juvenil, Asuntos de la M</w:t>
      </w:r>
      <w:r>
        <w:rPr>
          <w:spacing w:val="0"/>
          <w:w w:val="100"/>
          <w:kern w:val="0"/>
          <w:sz w:val="24"/>
        </w:rPr>
        <w:t>u</w:t>
      </w:r>
      <w:r>
        <w:rPr>
          <w:spacing w:val="0"/>
          <w:w w:val="100"/>
          <w:kern w:val="0"/>
          <w:sz w:val="24"/>
        </w:rPr>
        <w:t>jer y Desarrollo del Niño en la tarea de formular una política nacional de empleo.  Otros organismos bilaterales, como el Organismo Danés de Desarrollo Inte</w:t>
      </w:r>
      <w:r>
        <w:rPr>
          <w:spacing w:val="0"/>
          <w:w w:val="100"/>
          <w:kern w:val="0"/>
          <w:sz w:val="24"/>
        </w:rPr>
        <w:t>r</w:t>
      </w:r>
      <w:r>
        <w:rPr>
          <w:spacing w:val="0"/>
          <w:w w:val="100"/>
          <w:kern w:val="0"/>
          <w:sz w:val="24"/>
        </w:rPr>
        <w:t>nacional (DANIDA), en colaboración con el PNUD, siguen apoyando al Gobierno en la pr</w:t>
      </w:r>
      <w:r>
        <w:rPr>
          <w:spacing w:val="0"/>
          <w:w w:val="100"/>
          <w:kern w:val="0"/>
          <w:sz w:val="24"/>
        </w:rPr>
        <w:t>o</w:t>
      </w:r>
      <w:r>
        <w:rPr>
          <w:spacing w:val="0"/>
          <w:w w:val="100"/>
          <w:kern w:val="0"/>
          <w:sz w:val="24"/>
        </w:rPr>
        <w:t>moción del acceso al crédito para grupos de mujeres.  La Fundación Aga Khan part</w:t>
      </w:r>
      <w:r>
        <w:rPr>
          <w:spacing w:val="0"/>
          <w:w w:val="100"/>
          <w:kern w:val="0"/>
          <w:sz w:val="24"/>
        </w:rPr>
        <w:t>i</w:t>
      </w:r>
      <w:r>
        <w:rPr>
          <w:spacing w:val="0"/>
          <w:w w:val="100"/>
          <w:kern w:val="0"/>
          <w:sz w:val="24"/>
        </w:rPr>
        <w:t>cipa en la promoción de la enseñanza básica financiando las operaciones de estru</w:t>
      </w:r>
      <w:r>
        <w:rPr>
          <w:spacing w:val="0"/>
          <w:w w:val="100"/>
          <w:kern w:val="0"/>
          <w:sz w:val="24"/>
        </w:rPr>
        <w:t>c</w:t>
      </w:r>
      <w:r>
        <w:rPr>
          <w:spacing w:val="0"/>
          <w:w w:val="100"/>
          <w:kern w:val="0"/>
          <w:sz w:val="24"/>
        </w:rPr>
        <w:t>turas educativas comunitarias.  El Banco Islámico de Desarrollo (BIsD) participa a</w:t>
      </w:r>
      <w:r>
        <w:rPr>
          <w:spacing w:val="0"/>
          <w:w w:val="100"/>
          <w:kern w:val="0"/>
          <w:sz w:val="24"/>
        </w:rPr>
        <w:t>c</w:t>
      </w:r>
      <w:r>
        <w:rPr>
          <w:spacing w:val="0"/>
          <w:w w:val="100"/>
          <w:kern w:val="0"/>
          <w:sz w:val="24"/>
        </w:rPr>
        <w:t>tivamente en todo el sector de la enseñanza.</w:t>
      </w:r>
    </w:p>
    <w:p w:rsidR="00000000" w:rsidRDefault="00000000">
      <w:pPr>
        <w:pStyle w:val="H23"/>
        <w:keepNext w:val="0"/>
        <w:keepLines w:val="0"/>
        <w:suppressAutoHyphens w:val="0"/>
        <w:spacing w:after="240" w:line="240" w:lineRule="auto"/>
        <w:outlineLvl w:val="9"/>
        <w:rPr>
          <w:bCs/>
          <w:spacing w:val="0"/>
          <w:w w:val="100"/>
          <w:kern w:val="0"/>
          <w:sz w:val="24"/>
        </w:rPr>
      </w:pPr>
      <w:r>
        <w:rPr>
          <w:bCs/>
          <w:spacing w:val="0"/>
          <w:w w:val="100"/>
          <w:kern w:val="0"/>
          <w:sz w:val="24"/>
        </w:rPr>
        <w:tab/>
        <w:t>Difusión de la Convención sobre los Derechos del Niño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78.</w:t>
      </w:r>
      <w:r>
        <w:rPr>
          <w:spacing w:val="0"/>
          <w:w w:val="100"/>
          <w:kern w:val="0"/>
          <w:sz w:val="24"/>
        </w:rPr>
        <w:tab/>
        <w:t>Las estaciones de televisión y radio transmiten programas especiales sobre los derechos de los niños consagrados en la Convención.  En Zanzíbar se transmiten cuatro programas de radio y seis programas de televisión por mes; además, algunos diarios, entre ellos "Zanzibar Leo", publican con regularidad artículos sobre cue</w:t>
      </w:r>
      <w:r>
        <w:rPr>
          <w:spacing w:val="0"/>
          <w:w w:val="100"/>
          <w:kern w:val="0"/>
          <w:sz w:val="24"/>
        </w:rPr>
        <w:t>s</w:t>
      </w:r>
      <w:r>
        <w:rPr>
          <w:spacing w:val="0"/>
          <w:w w:val="100"/>
          <w:kern w:val="0"/>
          <w:sz w:val="24"/>
        </w:rPr>
        <w:t>tiones relativas a los niños, como el trabajo infantil, el abandono y el abuso sexual.  El Gobierno de la República Unida de Tanzanía ha organizado talleres y programas de capacitación como medio de sensibilizar al público en general sobre los derechos del niño.  No obstante, las ONG, como Kuleana, Save the Children, Plan Tanzanía, la Red nacional de organizaciones dedicadas a los niños, la Organización Kiota de s</w:t>
      </w:r>
      <w:r>
        <w:rPr>
          <w:spacing w:val="0"/>
          <w:w w:val="100"/>
          <w:kern w:val="0"/>
          <w:sz w:val="24"/>
        </w:rPr>
        <w:t>a</w:t>
      </w:r>
      <w:r>
        <w:rPr>
          <w:spacing w:val="0"/>
          <w:w w:val="100"/>
          <w:kern w:val="0"/>
          <w:sz w:val="24"/>
        </w:rPr>
        <w:t>lud y promoción de la mujer (KIWOHEDE), han hecho mucho más por difundir la Convención sobre los Derechos del Niño a través de proyectos orientados a la cap</w:t>
      </w:r>
      <w:r>
        <w:rPr>
          <w:spacing w:val="0"/>
          <w:w w:val="100"/>
          <w:kern w:val="0"/>
          <w:sz w:val="24"/>
        </w:rPr>
        <w:t>a</w:t>
      </w:r>
      <w:r>
        <w:rPr>
          <w:spacing w:val="0"/>
          <w:w w:val="100"/>
          <w:kern w:val="0"/>
          <w:sz w:val="24"/>
        </w:rPr>
        <w:t>citación y la sensibilización en materia de derechos del niño, la publicación de r</w:t>
      </w:r>
      <w:r>
        <w:rPr>
          <w:spacing w:val="0"/>
          <w:w w:val="100"/>
          <w:kern w:val="0"/>
          <w:sz w:val="24"/>
        </w:rPr>
        <w:t>e</w:t>
      </w:r>
      <w:r>
        <w:rPr>
          <w:spacing w:val="0"/>
          <w:w w:val="100"/>
          <w:kern w:val="0"/>
          <w:sz w:val="24"/>
        </w:rPr>
        <w:t>vistas especializadas, la promoción de la salud y el bienestar infantil, el manten</w:t>
      </w:r>
      <w:r>
        <w:rPr>
          <w:spacing w:val="0"/>
          <w:w w:val="100"/>
          <w:kern w:val="0"/>
          <w:sz w:val="24"/>
        </w:rPr>
        <w:t>i</w:t>
      </w:r>
      <w:r>
        <w:rPr>
          <w:spacing w:val="0"/>
          <w:w w:val="100"/>
          <w:kern w:val="0"/>
          <w:sz w:val="24"/>
        </w:rPr>
        <w:t>miento de niños en instituciones y la elaboración de material de promoción.  Otras ONG están realizando actividades similares en Zanzíbar, entre ellas la Asociación de mujeres musulmanas de Zanzíbar, el Colectivo de ONG, la Asociación de organiz</w:t>
      </w:r>
      <w:r>
        <w:rPr>
          <w:spacing w:val="0"/>
          <w:w w:val="100"/>
          <w:kern w:val="0"/>
          <w:sz w:val="24"/>
        </w:rPr>
        <w:t>a</w:t>
      </w:r>
      <w:r>
        <w:rPr>
          <w:spacing w:val="0"/>
          <w:w w:val="100"/>
          <w:kern w:val="0"/>
          <w:sz w:val="24"/>
        </w:rPr>
        <w:t>ciones en pro de la infancia de Zanzíbar, la Asociación de personas con discapac</w:t>
      </w:r>
      <w:r>
        <w:rPr>
          <w:spacing w:val="0"/>
          <w:w w:val="100"/>
          <w:kern w:val="0"/>
          <w:sz w:val="24"/>
        </w:rPr>
        <w:t>i</w:t>
      </w:r>
      <w:r>
        <w:rPr>
          <w:spacing w:val="0"/>
          <w:w w:val="100"/>
          <w:kern w:val="0"/>
          <w:sz w:val="24"/>
        </w:rPr>
        <w:t>dad de Zanzíbar y la Asociación para los niños con retardo mental.</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79.</w:t>
      </w:r>
      <w:r>
        <w:rPr>
          <w:spacing w:val="0"/>
          <w:w w:val="100"/>
          <w:kern w:val="0"/>
          <w:sz w:val="24"/>
        </w:rPr>
        <w:tab/>
        <w:t>El Día del Niño Africano se celebra anualmente en todo el país el 16 de junio.  A nivel comunitario, contribuye a despertar mayor conciencia sobre la situación de la infancia y reforzar la movilización para promover el bienestar del niño y hacer efectivos sus derechos.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80.</w:t>
      </w:r>
      <w:r>
        <w:rPr>
          <w:spacing w:val="0"/>
          <w:w w:val="100"/>
          <w:kern w:val="0"/>
          <w:sz w:val="24"/>
        </w:rPr>
        <w:tab/>
        <w:t>En 1991, el Parlamento de la República Unida de Tanzanía aprobó una resol</w:t>
      </w:r>
      <w:r>
        <w:rPr>
          <w:spacing w:val="0"/>
          <w:w w:val="100"/>
          <w:kern w:val="0"/>
          <w:sz w:val="24"/>
        </w:rPr>
        <w:t>u</w:t>
      </w:r>
      <w:r>
        <w:rPr>
          <w:spacing w:val="0"/>
          <w:w w:val="100"/>
          <w:kern w:val="0"/>
          <w:sz w:val="24"/>
        </w:rPr>
        <w:t>ción en la que se establecía que en toda aldea debía celebrarse un día dedicado a los niños en el que se presentaran y examinaran los informes sobre la marcha de los trab</w:t>
      </w:r>
      <w:r>
        <w:rPr>
          <w:spacing w:val="0"/>
          <w:w w:val="100"/>
          <w:kern w:val="0"/>
          <w:sz w:val="24"/>
        </w:rPr>
        <w:t>a</w:t>
      </w:r>
      <w:r>
        <w:rPr>
          <w:spacing w:val="0"/>
          <w:w w:val="100"/>
          <w:kern w:val="0"/>
          <w:sz w:val="24"/>
        </w:rPr>
        <w:t>jos relativos a la ejecución de los distintos programas infantiles, y se realizaran p</w:t>
      </w:r>
      <w:r>
        <w:rPr>
          <w:spacing w:val="0"/>
          <w:w w:val="100"/>
          <w:kern w:val="0"/>
          <w:sz w:val="24"/>
        </w:rPr>
        <w:t>e</w:t>
      </w:r>
      <w:r>
        <w:rPr>
          <w:spacing w:val="0"/>
          <w:w w:val="100"/>
          <w:kern w:val="0"/>
          <w:sz w:val="24"/>
        </w:rPr>
        <w:t>queños festejos.  En cumplimiento de esa resolución, en 2000 se incluyó el Día del N</w:t>
      </w:r>
      <w:r>
        <w:rPr>
          <w:spacing w:val="0"/>
          <w:w w:val="100"/>
          <w:kern w:val="0"/>
          <w:sz w:val="24"/>
        </w:rPr>
        <w:t>i</w:t>
      </w:r>
      <w:r>
        <w:rPr>
          <w:spacing w:val="0"/>
          <w:w w:val="100"/>
          <w:kern w:val="0"/>
          <w:sz w:val="24"/>
        </w:rPr>
        <w:t>ño en los Planes de desarrollo de los distritos y se comenzó a festejar en junio en las aldeas.  También es una ocasión para promover los derechos humanos de los niños y las mujeres y suscitar la movilización social al respecto.  Cada año, el 16 de junio, durante el examen del presupuesto, el Gobierno Revolucionario de Zanzíbar prese</w:t>
      </w:r>
      <w:r>
        <w:rPr>
          <w:spacing w:val="0"/>
          <w:w w:val="100"/>
          <w:kern w:val="0"/>
          <w:sz w:val="24"/>
        </w:rPr>
        <w:t>n</w:t>
      </w:r>
      <w:r>
        <w:rPr>
          <w:spacing w:val="0"/>
          <w:w w:val="100"/>
          <w:kern w:val="0"/>
          <w:sz w:val="24"/>
        </w:rPr>
        <w:t>ta a la Asamblea Legislativa (Cámara de Diputados), un informe para poner a los d</w:t>
      </w:r>
      <w:r>
        <w:rPr>
          <w:spacing w:val="0"/>
          <w:w w:val="100"/>
          <w:kern w:val="0"/>
          <w:sz w:val="24"/>
        </w:rPr>
        <w:t>i</w:t>
      </w:r>
      <w:r>
        <w:rPr>
          <w:spacing w:val="0"/>
          <w:w w:val="100"/>
          <w:kern w:val="0"/>
          <w:sz w:val="24"/>
        </w:rPr>
        <w:t xml:space="preserve">putados al corriente de la situación de los derechos del niño en la isla.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81.</w:t>
      </w:r>
      <w:r>
        <w:rPr>
          <w:spacing w:val="0"/>
          <w:w w:val="100"/>
          <w:kern w:val="0"/>
          <w:sz w:val="24"/>
        </w:rPr>
        <w:tab/>
        <w:t>Otros acontecimientos y conmemoraciones que se utilizan para crear concie</w:t>
      </w:r>
      <w:r>
        <w:rPr>
          <w:spacing w:val="0"/>
          <w:w w:val="100"/>
          <w:kern w:val="0"/>
          <w:sz w:val="24"/>
        </w:rPr>
        <w:t>n</w:t>
      </w:r>
      <w:r>
        <w:rPr>
          <w:spacing w:val="0"/>
          <w:w w:val="100"/>
          <w:kern w:val="0"/>
          <w:sz w:val="24"/>
        </w:rPr>
        <w:t>cia sobre los derechos del niño son el Día Mundial contra el Trabajo Infantil, el Día del Niño en los Medios de Comunicación y el Día Mundial de la Lucha contra el SIDA.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82.</w:t>
      </w:r>
      <w:r>
        <w:rPr>
          <w:spacing w:val="0"/>
          <w:w w:val="100"/>
          <w:kern w:val="0"/>
          <w:sz w:val="24"/>
        </w:rPr>
        <w:tab/>
        <w:t>Dos veces por año se dictan cursos de capacitación sobre derechos del niño en el Centro de Capacitación para la Cooperación en el Desarrollo en Arusha.  Los cu</w:t>
      </w:r>
      <w:r>
        <w:rPr>
          <w:spacing w:val="0"/>
          <w:w w:val="100"/>
          <w:kern w:val="0"/>
          <w:sz w:val="24"/>
        </w:rPr>
        <w:t>r</w:t>
      </w:r>
      <w:r>
        <w:rPr>
          <w:spacing w:val="0"/>
          <w:w w:val="100"/>
          <w:kern w:val="0"/>
          <w:sz w:val="24"/>
        </w:rPr>
        <w:t>sos reúnen participantes de países del África oriental y meridional con el propósito de que comprendan los principios, los contenidos y el proceso de aplicación de la Convención sobre los Derechos del Niño.  Además se les enseña a diseñar mecani</w:t>
      </w:r>
      <w:r>
        <w:rPr>
          <w:spacing w:val="0"/>
          <w:w w:val="100"/>
          <w:kern w:val="0"/>
          <w:sz w:val="24"/>
        </w:rPr>
        <w:t>s</w:t>
      </w:r>
      <w:r>
        <w:rPr>
          <w:spacing w:val="0"/>
          <w:w w:val="100"/>
          <w:kern w:val="0"/>
          <w:sz w:val="24"/>
        </w:rPr>
        <w:t>mos de s</w:t>
      </w:r>
      <w:r>
        <w:rPr>
          <w:spacing w:val="0"/>
          <w:w w:val="100"/>
          <w:kern w:val="0"/>
          <w:sz w:val="24"/>
        </w:rPr>
        <w:t>e</w:t>
      </w:r>
      <w:r>
        <w:rPr>
          <w:spacing w:val="0"/>
          <w:w w:val="100"/>
          <w:kern w:val="0"/>
          <w:sz w:val="24"/>
        </w:rPr>
        <w:t>guimiento.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83.</w:t>
      </w:r>
      <w:r>
        <w:rPr>
          <w:spacing w:val="0"/>
          <w:w w:val="100"/>
          <w:kern w:val="0"/>
          <w:sz w:val="24"/>
        </w:rPr>
        <w:tab/>
        <w:t>La contribución de las ONG también ha sido reconocida a escala internacional, como quedó demostrado hace algunos años por el otorgamiento del premio Maurice Pate a Kuleana, en 1999, por haber adaptado la Convención sobre los Derechos del Niño al lenguaje popular y haberla divulgado ampliamente.  El Gobierno también ha reconocido la contribución de otras ONG, como la Red nacional de organizaciones dedicadas a los niños, Plan Tanzanía y la Organización Kiota de salud y promoción de la mujer (KIWOHEDE).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84.</w:t>
      </w:r>
      <w:r>
        <w:rPr>
          <w:spacing w:val="0"/>
          <w:w w:val="100"/>
          <w:kern w:val="0"/>
          <w:sz w:val="24"/>
        </w:rPr>
        <w:tab/>
        <w:t>Junto con el Movimiento por y para los niños de Tanzanía, el Gobierno ha real</w:t>
      </w:r>
      <w:r>
        <w:rPr>
          <w:spacing w:val="0"/>
          <w:w w:val="100"/>
          <w:kern w:val="0"/>
          <w:sz w:val="24"/>
        </w:rPr>
        <w:t>i</w:t>
      </w:r>
      <w:r>
        <w:rPr>
          <w:spacing w:val="0"/>
          <w:w w:val="100"/>
          <w:kern w:val="0"/>
          <w:sz w:val="24"/>
        </w:rPr>
        <w:t>zado tres talleres zonales en las regiones de Mwanza, Dodoma y Arusha en relación con las estrategias de aplicación del documento de las Naciones Unidas titulado "Un mundo apropiado para los niños" y la Convención sobre los Derechos del Niño.  En esos talleres participaron diferentes grupos de partes interesadas, entre ellos profesi</w:t>
      </w:r>
      <w:r>
        <w:rPr>
          <w:spacing w:val="0"/>
          <w:w w:val="100"/>
          <w:kern w:val="0"/>
          <w:sz w:val="24"/>
        </w:rPr>
        <w:t>o</w:t>
      </w:r>
      <w:r>
        <w:rPr>
          <w:spacing w:val="0"/>
          <w:w w:val="100"/>
          <w:kern w:val="0"/>
          <w:sz w:val="24"/>
        </w:rPr>
        <w:t>nales, niños, jóvenes, funcionarios gubernamentales, escolares y el público en gen</w:t>
      </w:r>
      <w:r>
        <w:rPr>
          <w:spacing w:val="0"/>
          <w:w w:val="100"/>
          <w:kern w:val="0"/>
          <w:sz w:val="24"/>
        </w:rPr>
        <w:t>e</w:t>
      </w:r>
      <w:r>
        <w:rPr>
          <w:spacing w:val="0"/>
          <w:w w:val="100"/>
          <w:kern w:val="0"/>
          <w:sz w:val="24"/>
        </w:rPr>
        <w:t>ral.  Se planificaron otros talleres zonales en Zanzíbar, Mtwara y las regiones cost</w:t>
      </w:r>
      <w:r>
        <w:rPr>
          <w:spacing w:val="0"/>
          <w:w w:val="100"/>
          <w:kern w:val="0"/>
          <w:sz w:val="24"/>
        </w:rPr>
        <w:t>e</w:t>
      </w:r>
      <w:r>
        <w:rPr>
          <w:spacing w:val="0"/>
          <w:w w:val="100"/>
          <w:kern w:val="0"/>
          <w:sz w:val="24"/>
        </w:rPr>
        <w:t>ras.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85.</w:t>
      </w:r>
      <w:r>
        <w:rPr>
          <w:spacing w:val="0"/>
          <w:w w:val="100"/>
          <w:kern w:val="0"/>
          <w:sz w:val="24"/>
        </w:rPr>
        <w:tab/>
        <w:t>El Gobierno de Zanzíbar, en colaboración con el UNICEF, ha tomado medidas para divulgar la Convención sobre los Derechos del Niños, la Política de promoción del niño y los documentos:  "Un mundo apropiado para los niños" y "África para los niños".  Conjuntamente con esas medidas, el Gobierno, con el apoyo del UNICEF, ha promovido la creación de clubes infantiles dentro y fuera de las escuelas, a fin de que realizaran actividades de educación entre pares, especialmente para la celebr</w:t>
      </w:r>
      <w:r>
        <w:rPr>
          <w:spacing w:val="0"/>
          <w:w w:val="100"/>
          <w:kern w:val="0"/>
          <w:sz w:val="24"/>
        </w:rPr>
        <w:t>a</w:t>
      </w:r>
      <w:r>
        <w:rPr>
          <w:spacing w:val="0"/>
          <w:w w:val="100"/>
          <w:kern w:val="0"/>
          <w:sz w:val="24"/>
        </w:rPr>
        <w:t>ción de fechas nacionales e internacionales como el Día del Niño Africano y el Día Internacional de la Mujer.</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86.</w:t>
      </w:r>
      <w:r>
        <w:rPr>
          <w:spacing w:val="0"/>
          <w:w w:val="100"/>
          <w:kern w:val="0"/>
          <w:sz w:val="24"/>
        </w:rPr>
        <w:tab/>
        <w:t>El Gobierno de Zanzíbar, a través de GENPROM ha ofrecido capacitación s</w:t>
      </w:r>
      <w:r>
        <w:rPr>
          <w:spacing w:val="0"/>
          <w:w w:val="100"/>
          <w:kern w:val="0"/>
          <w:sz w:val="24"/>
        </w:rPr>
        <w:t>o</w:t>
      </w:r>
      <w:r>
        <w:rPr>
          <w:spacing w:val="0"/>
          <w:w w:val="100"/>
          <w:kern w:val="0"/>
          <w:sz w:val="24"/>
        </w:rPr>
        <w:t>bre la Convención y los documentos "Un mundo apropiado para los niños" y "Áfr</w:t>
      </w:r>
      <w:r>
        <w:rPr>
          <w:spacing w:val="0"/>
          <w:w w:val="100"/>
          <w:kern w:val="0"/>
          <w:sz w:val="24"/>
        </w:rPr>
        <w:t>i</w:t>
      </w:r>
      <w:r>
        <w:rPr>
          <w:spacing w:val="0"/>
          <w:w w:val="100"/>
          <w:kern w:val="0"/>
          <w:sz w:val="24"/>
        </w:rPr>
        <w:t>ca para los niños".  Hasta el momento se han dictado 16 cursos de capacitación en Unguja y Pemba para miembros de la comunidad, líderes de shehias, líderes religi</w:t>
      </w:r>
      <w:r>
        <w:rPr>
          <w:spacing w:val="0"/>
          <w:w w:val="100"/>
          <w:kern w:val="0"/>
          <w:sz w:val="24"/>
        </w:rPr>
        <w:t>o</w:t>
      </w:r>
      <w:r>
        <w:rPr>
          <w:spacing w:val="0"/>
          <w:w w:val="100"/>
          <w:kern w:val="0"/>
          <w:sz w:val="24"/>
        </w:rPr>
        <w:t xml:space="preserve">sos, personalidades y grupos de niños y jóvenes.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87.</w:t>
      </w:r>
      <w:r>
        <w:rPr>
          <w:spacing w:val="0"/>
          <w:w w:val="100"/>
          <w:kern w:val="0"/>
          <w:sz w:val="24"/>
        </w:rPr>
        <w:tab/>
        <w:t>En el proceso de preparación del informe nacional, dispuesto en la Convención sobre los Derechos del Niño, participó una amplia variedad de partes interesadas a través de talleres y reuniones consultivas.  Cabe señalar la participación de los niños y los jóvenes en las escuelas primarias, el Movimiento por y para los niños de Ta</w:t>
      </w:r>
      <w:r>
        <w:rPr>
          <w:spacing w:val="0"/>
          <w:w w:val="100"/>
          <w:kern w:val="0"/>
          <w:sz w:val="24"/>
        </w:rPr>
        <w:t>n</w:t>
      </w:r>
      <w:r>
        <w:rPr>
          <w:spacing w:val="0"/>
          <w:w w:val="100"/>
          <w:kern w:val="0"/>
          <w:sz w:val="24"/>
        </w:rPr>
        <w:t>zanía, el Consejo de la Juventud de la República Unida de Tanzanía y otras instit</w:t>
      </w:r>
      <w:r>
        <w:rPr>
          <w:spacing w:val="0"/>
          <w:w w:val="100"/>
          <w:kern w:val="0"/>
          <w:sz w:val="24"/>
        </w:rPr>
        <w:t>u</w:t>
      </w:r>
      <w:r>
        <w:rPr>
          <w:spacing w:val="0"/>
          <w:w w:val="100"/>
          <w:kern w:val="0"/>
          <w:sz w:val="24"/>
        </w:rPr>
        <w:t>ciones que trabajan por y con los niños.  El informe fue sometido a la aprobación de las altas autoridades encargadas de adoptar políticas y decisiones en el Gobierno de la República Unida de Tanzanía, a saber, el Gabinete de Ministros, antes de prese</w:t>
      </w:r>
      <w:r>
        <w:rPr>
          <w:spacing w:val="0"/>
          <w:w w:val="100"/>
          <w:kern w:val="0"/>
          <w:sz w:val="24"/>
        </w:rPr>
        <w:t>n</w:t>
      </w:r>
      <w:r>
        <w:rPr>
          <w:spacing w:val="0"/>
          <w:w w:val="100"/>
          <w:kern w:val="0"/>
          <w:sz w:val="24"/>
        </w:rPr>
        <w:t xml:space="preserve">tarlo al Secretario General de las Naciones Unidas. </w:t>
      </w:r>
    </w:p>
    <w:p w:rsidR="00000000" w:rsidRDefault="00000000">
      <w:pPr>
        <w:pStyle w:val="HCh"/>
        <w:keepNext w:val="0"/>
        <w:keepLines w:val="0"/>
        <w:suppressAutoHyphens w:val="0"/>
        <w:spacing w:before="480" w:after="240" w:line="240" w:lineRule="auto"/>
        <w:jc w:val="center"/>
        <w:outlineLvl w:val="9"/>
        <w:rPr>
          <w:bCs/>
          <w:spacing w:val="0"/>
          <w:w w:val="100"/>
          <w:kern w:val="0"/>
          <w:sz w:val="24"/>
        </w:rPr>
      </w:pPr>
      <w:r>
        <w:rPr>
          <w:bCs/>
          <w:spacing w:val="0"/>
          <w:w w:val="100"/>
          <w:kern w:val="0"/>
          <w:sz w:val="24"/>
        </w:rPr>
        <w:t>II.  DEFINICIÓN DE NIÑO</w:t>
      </w:r>
    </w:p>
    <w:p w:rsidR="00000000" w:rsidRDefault="00000000">
      <w:pPr>
        <w:pStyle w:val="H23"/>
        <w:keepNext w:val="0"/>
        <w:keepLines w:val="0"/>
        <w:suppressAutoHyphens w:val="0"/>
        <w:spacing w:after="240" w:line="240" w:lineRule="auto"/>
        <w:outlineLvl w:val="9"/>
        <w:rPr>
          <w:bCs/>
          <w:spacing w:val="0"/>
          <w:w w:val="100"/>
          <w:kern w:val="0"/>
          <w:sz w:val="24"/>
        </w:rPr>
      </w:pPr>
      <w:r>
        <w:rPr>
          <w:bCs/>
          <w:spacing w:val="0"/>
          <w:w w:val="100"/>
          <w:kern w:val="0"/>
          <w:sz w:val="24"/>
        </w:rPr>
        <w:t xml:space="preserve">Contexto jurídico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88.</w:t>
      </w:r>
      <w:r>
        <w:rPr>
          <w:spacing w:val="0"/>
          <w:w w:val="100"/>
          <w:kern w:val="0"/>
          <w:sz w:val="24"/>
        </w:rPr>
        <w:tab/>
        <w:t>El proyecto de ley de la infancia, que es un texto armonizado, promueve una definición uniforme del término "niño" en consonancia con la Constitución de la República Unida de Tanzanía, la Política de promoción del niño, la Convención s</w:t>
      </w:r>
      <w:r>
        <w:rPr>
          <w:spacing w:val="0"/>
          <w:w w:val="100"/>
          <w:kern w:val="0"/>
          <w:sz w:val="24"/>
        </w:rPr>
        <w:t>o</w:t>
      </w:r>
      <w:r>
        <w:rPr>
          <w:spacing w:val="0"/>
          <w:w w:val="100"/>
          <w:kern w:val="0"/>
          <w:sz w:val="24"/>
        </w:rPr>
        <w:t>bre los Derechos del Niño y la Carta Africana sobre los Derechos y el Bienestar del Niño.  El Gobierno está tratando de adaptar los documentos legislativos que conti</w:t>
      </w:r>
      <w:r>
        <w:rPr>
          <w:spacing w:val="0"/>
          <w:w w:val="100"/>
          <w:kern w:val="0"/>
          <w:sz w:val="24"/>
        </w:rPr>
        <w:t>e</w:t>
      </w:r>
      <w:r>
        <w:rPr>
          <w:spacing w:val="0"/>
          <w:w w:val="100"/>
          <w:kern w:val="0"/>
          <w:sz w:val="24"/>
        </w:rPr>
        <w:t>nen otras definiciones de "niño" a la definición de la Convención sobre los Der</w:t>
      </w:r>
      <w:r>
        <w:rPr>
          <w:spacing w:val="0"/>
          <w:w w:val="100"/>
          <w:kern w:val="0"/>
          <w:sz w:val="24"/>
        </w:rPr>
        <w:t>e</w:t>
      </w:r>
      <w:r>
        <w:rPr>
          <w:spacing w:val="0"/>
          <w:w w:val="100"/>
          <w:kern w:val="0"/>
          <w:sz w:val="24"/>
        </w:rPr>
        <w:t>chos del Niño, a saber:  un ser humano menor de 18 años de edad.  No obstante, hay algunos documentos legislativos en los que ya se reconoce al niño como toda pers</w:t>
      </w:r>
      <w:r>
        <w:rPr>
          <w:spacing w:val="0"/>
          <w:w w:val="100"/>
          <w:kern w:val="0"/>
          <w:sz w:val="24"/>
        </w:rPr>
        <w:t>o</w:t>
      </w:r>
      <w:r>
        <w:rPr>
          <w:spacing w:val="0"/>
          <w:w w:val="100"/>
          <w:kern w:val="0"/>
          <w:sz w:val="24"/>
        </w:rPr>
        <w:t>na menor de 18 años.  Por ejemplo, en la Constitución de la República Unida de Ta</w:t>
      </w:r>
      <w:r>
        <w:rPr>
          <w:spacing w:val="0"/>
          <w:w w:val="100"/>
          <w:kern w:val="0"/>
          <w:sz w:val="24"/>
        </w:rPr>
        <w:t>n</w:t>
      </w:r>
      <w:r>
        <w:rPr>
          <w:spacing w:val="0"/>
          <w:w w:val="100"/>
          <w:kern w:val="0"/>
          <w:sz w:val="24"/>
        </w:rPr>
        <w:t>zanía, los menores de 18 años no pueden votar, la Ley de contratos prohíbe que los menores de 18 años celebren contratos y el Reglamento de las Fuerzas de Defensa prohíbe el reclutamiento de los menores de 18 años en las fuerzas armadas.  En gen</w:t>
      </w:r>
      <w:r>
        <w:rPr>
          <w:spacing w:val="0"/>
          <w:w w:val="100"/>
          <w:kern w:val="0"/>
          <w:sz w:val="24"/>
        </w:rPr>
        <w:t>e</w:t>
      </w:r>
      <w:r>
        <w:rPr>
          <w:spacing w:val="0"/>
          <w:w w:val="100"/>
          <w:kern w:val="0"/>
          <w:sz w:val="24"/>
        </w:rPr>
        <w:t>ral, en la República Unida de Tanzanía se reconoce como niño a toda persona menor de 18 años de edad.</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89.</w:t>
      </w:r>
      <w:r>
        <w:rPr>
          <w:spacing w:val="0"/>
          <w:w w:val="100"/>
          <w:kern w:val="0"/>
          <w:sz w:val="24"/>
        </w:rPr>
        <w:tab/>
        <w:t>El proyecto de ley de la infancia procura enmendar algunas normas que están relacionadas con los derechos del niño, como la Ley de matrimonio, la Ley de suc</w:t>
      </w:r>
      <w:r>
        <w:rPr>
          <w:spacing w:val="0"/>
          <w:w w:val="100"/>
          <w:kern w:val="0"/>
          <w:sz w:val="24"/>
        </w:rPr>
        <w:t>e</w:t>
      </w:r>
      <w:r>
        <w:rPr>
          <w:spacing w:val="0"/>
          <w:w w:val="100"/>
          <w:kern w:val="0"/>
          <w:sz w:val="24"/>
        </w:rPr>
        <w:t>sión y herencia, las leyes laborales y las ordenanzas relativas a los niños y jóvenes, la Ley Nº 7 de delitos sexuales (disposiciones especiales) de 1998 y la Política de Zanzíbar para la supervivencia, la protección y el desarrollo del niño.  Para el común de la gente, la "infancia" comprende cuatro momentos.  El niño menor de 1 año es un bebé.  Entre 1 año y 6 años, el niño se encuentra en la primera infancia, mientras que entre los 7 y los 14 años se considera adolescente.  Al alcanzar la pubertad (12 años en la niña y 14 en el varón) el niño pasa ser un joven.  A los 18 años el menor llega a la mayoría de edad y se convierte en un adulto joven.  El uso de los términos niño y adulto joven en el lenguaje común corresponde a esas categorías de edad.</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90.</w:t>
      </w:r>
      <w:r>
        <w:rPr>
          <w:spacing w:val="0"/>
          <w:w w:val="100"/>
          <w:kern w:val="0"/>
          <w:sz w:val="24"/>
        </w:rPr>
        <w:tab/>
        <w:t>En la Ley de educación de 1982 de Zanzíbar se prohíbe estrictamente que los escolares contraigan matrimonio.  El alumno que contraiga matrimonio durante la educación primaria básica o el primer ciclo de la enseñanza secundaria (segundo a cuarto año de secundaria) será expulsado de la escuela.  La ley (art. 20 (40)) subraya, pues, la importancia de que el niño complete la educación básica y secu</w:t>
      </w:r>
      <w:r>
        <w:rPr>
          <w:spacing w:val="0"/>
          <w:w w:val="100"/>
          <w:kern w:val="0"/>
          <w:sz w:val="24"/>
        </w:rPr>
        <w:t>n</w:t>
      </w:r>
      <w:r>
        <w:rPr>
          <w:spacing w:val="0"/>
          <w:w w:val="100"/>
          <w:kern w:val="0"/>
          <w:sz w:val="24"/>
        </w:rPr>
        <w:t>daria obligatoria (hasta el segundo año de secundaria).  En forma similar, la Ley de educación de 1975 de la República Unida de Tanzanía prohíbe que los escolares contraigan matrimonio.  La reconsideración de la normativa de expulsión que pr</w:t>
      </w:r>
      <w:r>
        <w:rPr>
          <w:spacing w:val="0"/>
          <w:w w:val="100"/>
          <w:kern w:val="0"/>
          <w:sz w:val="24"/>
        </w:rPr>
        <w:t>o</w:t>
      </w:r>
      <w:r>
        <w:rPr>
          <w:spacing w:val="0"/>
          <w:w w:val="100"/>
          <w:kern w:val="0"/>
          <w:sz w:val="24"/>
        </w:rPr>
        <w:t xml:space="preserve">pugnan algunos grupos de presión, entre ellos ONG, todavía no ha tenido lugar.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91.</w:t>
      </w:r>
      <w:r>
        <w:rPr>
          <w:spacing w:val="0"/>
          <w:w w:val="100"/>
          <w:kern w:val="0"/>
          <w:sz w:val="24"/>
        </w:rPr>
        <w:tab/>
        <w:t>En la República Unida de Tanzanía, no hay ninguna ley que permita que los niños consientan en mantener relaciones sexuales, excepto que contraigan legalme</w:t>
      </w:r>
      <w:r>
        <w:rPr>
          <w:spacing w:val="0"/>
          <w:w w:val="100"/>
          <w:kern w:val="0"/>
          <w:sz w:val="24"/>
        </w:rPr>
        <w:t>n</w:t>
      </w:r>
      <w:r>
        <w:rPr>
          <w:spacing w:val="0"/>
          <w:w w:val="100"/>
          <w:kern w:val="0"/>
          <w:sz w:val="24"/>
        </w:rPr>
        <w:t>te matrim</w:t>
      </w:r>
      <w:r>
        <w:rPr>
          <w:spacing w:val="0"/>
          <w:w w:val="100"/>
          <w:kern w:val="0"/>
          <w:sz w:val="24"/>
        </w:rPr>
        <w:t>o</w:t>
      </w:r>
      <w:r>
        <w:rPr>
          <w:spacing w:val="0"/>
          <w:w w:val="100"/>
          <w:kern w:val="0"/>
          <w:sz w:val="24"/>
        </w:rPr>
        <w:t>nio.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92.</w:t>
      </w:r>
      <w:r>
        <w:rPr>
          <w:spacing w:val="0"/>
          <w:w w:val="100"/>
          <w:kern w:val="0"/>
          <w:sz w:val="24"/>
        </w:rPr>
        <w:tab/>
        <w:t>La conscripción forzosa de los niños en las fuerzas armadas está prohibida por el Reglamento de las Fuerzas de Defensa.  El Reglamento prohíbe que los menores de 18 años participen directamente en conflictos arm</w:t>
      </w:r>
      <w:r>
        <w:rPr>
          <w:spacing w:val="0"/>
          <w:w w:val="100"/>
          <w:kern w:val="0"/>
          <w:sz w:val="24"/>
        </w:rPr>
        <w:t>a</w:t>
      </w:r>
      <w:r>
        <w:rPr>
          <w:spacing w:val="0"/>
          <w:w w:val="100"/>
          <w:kern w:val="0"/>
          <w:sz w:val="24"/>
        </w:rPr>
        <w:t>dos.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93.</w:t>
      </w:r>
      <w:r>
        <w:rPr>
          <w:spacing w:val="0"/>
          <w:w w:val="100"/>
          <w:kern w:val="0"/>
          <w:sz w:val="24"/>
        </w:rPr>
        <w:tab/>
        <w:t>En Zanzíbar, todas las cuestiones relacionadas con los niños se resuelven de acuerdo con la jurisprudencia islámica, en el caso de los musulmanes, que son m</w:t>
      </w:r>
      <w:r>
        <w:rPr>
          <w:spacing w:val="0"/>
          <w:w w:val="100"/>
          <w:kern w:val="0"/>
          <w:sz w:val="24"/>
        </w:rPr>
        <w:t>a</w:t>
      </w:r>
      <w:r>
        <w:rPr>
          <w:spacing w:val="0"/>
          <w:w w:val="100"/>
          <w:kern w:val="0"/>
          <w:sz w:val="24"/>
        </w:rPr>
        <w:t>yoría, y con arreglo al derecho laico, en el caso de los no musulmanes.  No obstante, en ambos sistemas la definición de niño es la misma.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94.</w:t>
      </w:r>
      <w:r>
        <w:rPr>
          <w:spacing w:val="0"/>
          <w:w w:val="100"/>
          <w:kern w:val="0"/>
          <w:sz w:val="24"/>
        </w:rPr>
        <w:tab/>
        <w:t>En Zanzíbar, las cuestiones relativas al cambio de identidad de los niños co</w:t>
      </w:r>
      <w:r>
        <w:rPr>
          <w:spacing w:val="0"/>
          <w:w w:val="100"/>
          <w:kern w:val="0"/>
          <w:sz w:val="24"/>
        </w:rPr>
        <w:t>m</w:t>
      </w:r>
      <w:r>
        <w:rPr>
          <w:spacing w:val="0"/>
          <w:w w:val="100"/>
          <w:kern w:val="0"/>
          <w:sz w:val="24"/>
        </w:rPr>
        <w:t>peten a la autoridad familiar y son supervisadas por un tribunal regional.</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95.</w:t>
      </w:r>
      <w:r>
        <w:rPr>
          <w:spacing w:val="0"/>
          <w:w w:val="100"/>
          <w:kern w:val="0"/>
          <w:sz w:val="24"/>
        </w:rPr>
        <w:tab/>
        <w:t>Todos los niños menores de 18 años están constitucionalmente autorizados a crear o integrar asociaciones dedicadas a cuestiones de su interés que no tengan c</w:t>
      </w:r>
      <w:r>
        <w:rPr>
          <w:spacing w:val="0"/>
          <w:w w:val="100"/>
          <w:kern w:val="0"/>
          <w:sz w:val="24"/>
        </w:rPr>
        <w:t>a</w:t>
      </w:r>
      <w:r>
        <w:rPr>
          <w:spacing w:val="0"/>
          <w:w w:val="100"/>
          <w:kern w:val="0"/>
          <w:sz w:val="24"/>
        </w:rPr>
        <w:t>rácter político.</w:t>
      </w:r>
    </w:p>
    <w:p w:rsidR="00000000" w:rsidRDefault="00000000">
      <w:pPr>
        <w:pStyle w:val="HCh"/>
        <w:keepNext w:val="0"/>
        <w:keepLines w:val="0"/>
        <w:suppressAutoHyphens w:val="0"/>
        <w:spacing w:before="480" w:after="240" w:line="240" w:lineRule="auto"/>
        <w:ind w:left="567" w:hanging="567"/>
        <w:jc w:val="center"/>
        <w:outlineLvl w:val="9"/>
        <w:rPr>
          <w:bCs/>
          <w:spacing w:val="0"/>
          <w:w w:val="100"/>
          <w:kern w:val="0"/>
          <w:sz w:val="24"/>
        </w:rPr>
      </w:pPr>
      <w:r>
        <w:rPr>
          <w:bCs/>
          <w:spacing w:val="0"/>
          <w:w w:val="100"/>
          <w:kern w:val="0"/>
          <w:sz w:val="24"/>
        </w:rPr>
        <w:t>III.  PRINCIPIOS GENERALES RELATIVOS A</w:t>
      </w:r>
      <w:r>
        <w:rPr>
          <w:bCs/>
          <w:spacing w:val="0"/>
          <w:w w:val="100"/>
          <w:kern w:val="0"/>
          <w:sz w:val="24"/>
        </w:rPr>
        <w:br/>
        <w:t>LOS DERECHOS DEL NIÑO</w:t>
      </w:r>
    </w:p>
    <w:p w:rsidR="00000000" w:rsidRDefault="00000000">
      <w:pPr>
        <w:pStyle w:val="H23"/>
        <w:keepNext w:val="0"/>
        <w:keepLines w:val="0"/>
        <w:suppressAutoHyphens w:val="0"/>
        <w:spacing w:after="240" w:line="240" w:lineRule="auto"/>
        <w:outlineLvl w:val="9"/>
        <w:rPr>
          <w:bCs/>
          <w:spacing w:val="0"/>
          <w:w w:val="100"/>
          <w:kern w:val="0"/>
          <w:sz w:val="24"/>
        </w:rPr>
      </w:pPr>
      <w:r>
        <w:rPr>
          <w:bCs/>
          <w:spacing w:val="0"/>
          <w:w w:val="100"/>
          <w:kern w:val="0"/>
          <w:sz w:val="24"/>
        </w:rPr>
        <w:t>No discriminación (artículo 2)</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96.</w:t>
      </w:r>
      <w:r>
        <w:rPr>
          <w:spacing w:val="0"/>
          <w:w w:val="100"/>
          <w:kern w:val="0"/>
          <w:sz w:val="24"/>
        </w:rPr>
        <w:tab/>
        <w:t>Las cuestiones planteadas por el principio de no discriminación del niño se tratan en el artículo 3 de la Constitución de la República Unida de Tanzanía, s</w:t>
      </w:r>
      <w:r>
        <w:rPr>
          <w:spacing w:val="0"/>
          <w:w w:val="100"/>
          <w:kern w:val="0"/>
          <w:sz w:val="24"/>
        </w:rPr>
        <w:t>e</w:t>
      </w:r>
      <w:r>
        <w:rPr>
          <w:spacing w:val="0"/>
          <w:w w:val="100"/>
          <w:kern w:val="0"/>
          <w:sz w:val="24"/>
        </w:rPr>
        <w:t>gún lo indicado en el informe anterior, y también se regularán en el proyecto de Ley de la Infancia que será un texto armonizado al que precederá un libro blanco del Gobierno.  Además, en la Política de promoción del niño también se trata el tema de la no discriminación.  El Gobierno y el UNICEF han facilitado la aprobación de programas de aldeas adaptados a las necesidades de los niños vulnerables, con el o</w:t>
      </w:r>
      <w:r>
        <w:rPr>
          <w:spacing w:val="0"/>
          <w:w w:val="100"/>
          <w:kern w:val="0"/>
          <w:sz w:val="24"/>
        </w:rPr>
        <w:t>b</w:t>
      </w:r>
      <w:r>
        <w:rPr>
          <w:spacing w:val="0"/>
          <w:w w:val="100"/>
          <w:kern w:val="0"/>
          <w:sz w:val="24"/>
        </w:rPr>
        <w:t>jetivo de proporcionarles idénticas posibilidades de desarrollo.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97.</w:t>
      </w:r>
      <w:r>
        <w:rPr>
          <w:spacing w:val="0"/>
          <w:w w:val="100"/>
          <w:kern w:val="0"/>
          <w:sz w:val="24"/>
        </w:rPr>
        <w:tab/>
        <w:t>La Constitución de la República Unida de Tanzanía, de 1977, y la Constitución de Zanzíbar, de 1984, contienen sendas declaraciones que consagran los derechos fundamentales y las libertades básicas.  Entre ellos se encuentran el derecho a la igualdad (todos los seres humanos nacen iguales), el derecho a la vida, el derecho a ser inscrito en un registro público tras el nacimiento, la libertad de expresión, la l</w:t>
      </w:r>
      <w:r>
        <w:rPr>
          <w:spacing w:val="0"/>
          <w:w w:val="100"/>
          <w:kern w:val="0"/>
          <w:sz w:val="24"/>
        </w:rPr>
        <w:t>i</w:t>
      </w:r>
      <w:r>
        <w:rPr>
          <w:spacing w:val="0"/>
          <w:w w:val="100"/>
          <w:kern w:val="0"/>
          <w:sz w:val="24"/>
        </w:rPr>
        <w:t>bertad de entrar y salir del país y la libertad de asociación.  Todos estos derechos se reconocen por igual a nacionales y residentes extra</w:t>
      </w:r>
      <w:r>
        <w:rPr>
          <w:spacing w:val="0"/>
          <w:w w:val="100"/>
          <w:kern w:val="0"/>
          <w:sz w:val="24"/>
        </w:rPr>
        <w:t>n</w:t>
      </w:r>
      <w:r>
        <w:rPr>
          <w:spacing w:val="0"/>
          <w:w w:val="100"/>
          <w:kern w:val="0"/>
          <w:sz w:val="24"/>
        </w:rPr>
        <w:t>jeros.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98.</w:t>
      </w:r>
      <w:r>
        <w:rPr>
          <w:spacing w:val="0"/>
          <w:w w:val="100"/>
          <w:kern w:val="0"/>
          <w:sz w:val="24"/>
        </w:rPr>
        <w:tab/>
        <w:t>En 2003 la Cámara de Diputados aprobó una Política para las personas con discapacidad, a fin de garantizar los derechos de este grupo dentro de la sociedad.</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99.</w:t>
      </w:r>
      <w:r>
        <w:rPr>
          <w:spacing w:val="0"/>
          <w:w w:val="100"/>
          <w:kern w:val="0"/>
          <w:sz w:val="24"/>
        </w:rPr>
        <w:tab/>
        <w:t>El Gobierno de Zanzíbar está revisando la Ley Nº 4 de 1985 de protección de las mujeres solteras y sus disposiciones referentes a la responsabilidad penal de las mujeres menores de 25 años y niñas so</w:t>
      </w:r>
      <w:r>
        <w:rPr>
          <w:spacing w:val="0"/>
          <w:w w:val="100"/>
          <w:kern w:val="0"/>
          <w:sz w:val="24"/>
        </w:rPr>
        <w:t>l</w:t>
      </w:r>
      <w:r>
        <w:rPr>
          <w:spacing w:val="0"/>
          <w:w w:val="100"/>
          <w:kern w:val="0"/>
          <w:sz w:val="24"/>
        </w:rPr>
        <w:t>teras que quedan embarazadas.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100.</w:t>
      </w:r>
      <w:r>
        <w:rPr>
          <w:spacing w:val="0"/>
          <w:w w:val="100"/>
          <w:kern w:val="0"/>
          <w:sz w:val="24"/>
        </w:rPr>
        <w:tab/>
        <w:t>Con el apoyo del UNICEF, los Departamentos de Bienestar Social de Tanzanía continental y Zanzíbar han introducido programas para identificar a los niños en s</w:t>
      </w:r>
      <w:r>
        <w:rPr>
          <w:spacing w:val="0"/>
          <w:w w:val="100"/>
          <w:kern w:val="0"/>
          <w:sz w:val="24"/>
        </w:rPr>
        <w:t>i</w:t>
      </w:r>
      <w:r>
        <w:rPr>
          <w:spacing w:val="0"/>
          <w:w w:val="100"/>
          <w:kern w:val="0"/>
          <w:sz w:val="24"/>
        </w:rPr>
        <w:t>tuación más vulnerable.  El programa ya ha comenzado en Zanzíbar, con el sumini</w:t>
      </w:r>
      <w:r>
        <w:rPr>
          <w:spacing w:val="0"/>
          <w:w w:val="100"/>
          <w:kern w:val="0"/>
          <w:sz w:val="24"/>
        </w:rPr>
        <w:t>s</w:t>
      </w:r>
      <w:r>
        <w:rPr>
          <w:spacing w:val="0"/>
          <w:w w:val="100"/>
          <w:kern w:val="0"/>
          <w:sz w:val="24"/>
        </w:rPr>
        <w:t>tro de libros, alimentos y jabón y el pago de matrículas escolares a 466 niños.  Ad</w:t>
      </w:r>
      <w:r>
        <w:rPr>
          <w:spacing w:val="0"/>
          <w:w w:val="100"/>
          <w:kern w:val="0"/>
          <w:sz w:val="24"/>
        </w:rPr>
        <w:t>e</w:t>
      </w:r>
      <w:r>
        <w:rPr>
          <w:spacing w:val="0"/>
          <w:w w:val="100"/>
          <w:kern w:val="0"/>
          <w:sz w:val="24"/>
        </w:rPr>
        <w:t>más, se ha identificado a otros 585 (de los que 255 son niñas) para que, en el marco de este programa, reciban el mismo apoyo.  Mediante las correspondientes partidas del presupuesto nacional y con la ayuda de las ONG, el Gobierno está prestando asistencia a otros grupos de niños, tales como huérfanos, niños nacidos fuera del matrimonio y niños con discapacidad.  En el cuadro 8 apar</w:t>
      </w:r>
      <w:r>
        <w:rPr>
          <w:spacing w:val="0"/>
          <w:w w:val="100"/>
          <w:kern w:val="0"/>
          <w:sz w:val="24"/>
        </w:rPr>
        <w:t>e</w:t>
      </w:r>
      <w:r>
        <w:rPr>
          <w:spacing w:val="0"/>
          <w:w w:val="100"/>
          <w:kern w:val="0"/>
          <w:sz w:val="24"/>
        </w:rPr>
        <w:t>ce la cifra total de los niños que en la actualidad se encuentran acogidos en dos in</w:t>
      </w:r>
      <w:r>
        <w:rPr>
          <w:spacing w:val="0"/>
          <w:w w:val="100"/>
          <w:kern w:val="0"/>
          <w:sz w:val="24"/>
        </w:rPr>
        <w:t>s</w:t>
      </w:r>
      <w:r>
        <w:rPr>
          <w:spacing w:val="0"/>
          <w:w w:val="100"/>
          <w:kern w:val="0"/>
          <w:sz w:val="24"/>
        </w:rPr>
        <w:t>tituciones gubernamentales de Zanzíbar, mientras que el cuadro 9 se refiere a otros centros gestionados por ONG.</w:t>
      </w:r>
    </w:p>
    <w:p w:rsidR="00000000" w:rsidRDefault="00000000">
      <w:pPr>
        <w:pStyle w:val="H23"/>
        <w:keepNext w:val="0"/>
        <w:keepLines w:val="0"/>
        <w:suppressAutoHyphens w:val="0"/>
        <w:spacing w:after="240" w:line="240" w:lineRule="auto"/>
        <w:jc w:val="center"/>
        <w:outlineLvl w:val="9"/>
        <w:rPr>
          <w:bCs/>
          <w:spacing w:val="0"/>
          <w:w w:val="100"/>
          <w:kern w:val="0"/>
          <w:sz w:val="24"/>
        </w:rPr>
      </w:pPr>
      <w:r>
        <w:rPr>
          <w:bCs/>
          <w:spacing w:val="0"/>
          <w:w w:val="100"/>
          <w:kern w:val="0"/>
          <w:sz w:val="24"/>
        </w:rPr>
        <w:t>Cuadro 8</w:t>
      </w:r>
    </w:p>
    <w:p w:rsidR="00000000" w:rsidRDefault="00000000">
      <w:pPr>
        <w:pStyle w:val="H23"/>
        <w:keepNext w:val="0"/>
        <w:keepLines w:val="0"/>
        <w:suppressAutoHyphens w:val="0"/>
        <w:spacing w:after="240" w:line="240" w:lineRule="auto"/>
        <w:jc w:val="center"/>
        <w:outlineLvl w:val="9"/>
        <w:rPr>
          <w:bCs/>
          <w:spacing w:val="0"/>
          <w:w w:val="100"/>
          <w:kern w:val="0"/>
          <w:sz w:val="24"/>
        </w:rPr>
      </w:pPr>
      <w:r>
        <w:rPr>
          <w:bCs/>
          <w:spacing w:val="0"/>
          <w:w w:val="100"/>
          <w:kern w:val="0"/>
          <w:sz w:val="24"/>
        </w:rPr>
        <w:t>Niños que reciben cuidados en la Dependencia gubernamental</w:t>
      </w:r>
      <w:r>
        <w:rPr>
          <w:bCs/>
          <w:spacing w:val="0"/>
          <w:w w:val="100"/>
          <w:kern w:val="0"/>
          <w:sz w:val="24"/>
        </w:rPr>
        <w:br/>
        <w:t>de Fordhani y la Aldea Infantil SOS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731"/>
        <w:gridCol w:w="1628"/>
        <w:gridCol w:w="1629"/>
        <w:gridCol w:w="1629"/>
      </w:tblGrid>
      <w:tr w:rsidR="00000000">
        <w:tblPrEx>
          <w:tblCellMar>
            <w:top w:w="0" w:type="dxa"/>
            <w:left w:w="0" w:type="dxa"/>
            <w:bottom w:w="0" w:type="dxa"/>
            <w:right w:w="0" w:type="dxa"/>
          </w:tblCellMar>
        </w:tblPrEx>
        <w:trPr>
          <w:tblHeader/>
          <w:jc w:val="center"/>
        </w:trPr>
        <w:tc>
          <w:tcPr>
            <w:tcW w:w="2731" w:type="dxa"/>
            <w:tcMar>
              <w:left w:w="108" w:type="dxa"/>
              <w:right w:w="108" w:type="dxa"/>
            </w:tcMar>
            <w:vAlign w:val="bottom"/>
          </w:tcPr>
          <w:p w:rsidR="00000000" w:rsidRDefault="00000000">
            <w:pPr>
              <w:jc w:val="center"/>
            </w:pPr>
            <w:r>
              <w:t>Dependencia</w:t>
            </w:r>
          </w:p>
        </w:tc>
        <w:tc>
          <w:tcPr>
            <w:tcW w:w="1628" w:type="dxa"/>
            <w:tcMar>
              <w:left w:w="108" w:type="dxa"/>
              <w:right w:w="108" w:type="dxa"/>
            </w:tcMar>
            <w:vAlign w:val="bottom"/>
          </w:tcPr>
          <w:p w:rsidR="00000000" w:rsidRDefault="00000000">
            <w:pPr>
              <w:jc w:val="center"/>
            </w:pPr>
            <w:r>
              <w:t>Niñas</w:t>
            </w:r>
          </w:p>
        </w:tc>
        <w:tc>
          <w:tcPr>
            <w:tcW w:w="1629" w:type="dxa"/>
            <w:tcMar>
              <w:left w:w="108" w:type="dxa"/>
              <w:right w:w="108" w:type="dxa"/>
            </w:tcMar>
            <w:vAlign w:val="bottom"/>
          </w:tcPr>
          <w:p w:rsidR="00000000" w:rsidRDefault="00000000">
            <w:pPr>
              <w:jc w:val="center"/>
            </w:pPr>
            <w:r>
              <w:t>Niños</w:t>
            </w:r>
          </w:p>
        </w:tc>
        <w:tc>
          <w:tcPr>
            <w:tcW w:w="1629" w:type="dxa"/>
            <w:tcMar>
              <w:left w:w="108" w:type="dxa"/>
              <w:right w:w="108" w:type="dxa"/>
            </w:tcMar>
            <w:vAlign w:val="bottom"/>
          </w:tcPr>
          <w:p w:rsidR="00000000" w:rsidRDefault="00000000">
            <w:pPr>
              <w:jc w:val="center"/>
            </w:pPr>
            <w:r>
              <w:t>Total</w:t>
            </w:r>
          </w:p>
        </w:tc>
      </w:tr>
      <w:tr w:rsidR="00000000">
        <w:tblPrEx>
          <w:tblCellMar>
            <w:top w:w="0" w:type="dxa"/>
            <w:left w:w="0" w:type="dxa"/>
            <w:bottom w:w="0" w:type="dxa"/>
            <w:right w:w="0" w:type="dxa"/>
          </w:tblCellMar>
        </w:tblPrEx>
        <w:trPr>
          <w:jc w:val="center"/>
        </w:trPr>
        <w:tc>
          <w:tcPr>
            <w:tcW w:w="2731" w:type="dxa"/>
            <w:tcMar>
              <w:left w:w="108" w:type="dxa"/>
              <w:right w:w="108" w:type="dxa"/>
            </w:tcMar>
            <w:vAlign w:val="bottom"/>
          </w:tcPr>
          <w:p w:rsidR="00000000" w:rsidRDefault="00000000">
            <w:r>
              <w:t>Forodhani</w:t>
            </w:r>
          </w:p>
        </w:tc>
        <w:tc>
          <w:tcPr>
            <w:tcW w:w="1628" w:type="dxa"/>
            <w:tcMar>
              <w:left w:w="108" w:type="dxa"/>
              <w:right w:w="108" w:type="dxa"/>
            </w:tcMar>
            <w:vAlign w:val="bottom"/>
          </w:tcPr>
          <w:p w:rsidR="00000000" w:rsidRDefault="00000000">
            <w:pPr>
              <w:jc w:val="center"/>
            </w:pPr>
            <w:r>
              <w:t>19</w:t>
            </w:r>
          </w:p>
        </w:tc>
        <w:tc>
          <w:tcPr>
            <w:tcW w:w="1629" w:type="dxa"/>
            <w:tcMar>
              <w:left w:w="108" w:type="dxa"/>
              <w:right w:w="108" w:type="dxa"/>
            </w:tcMar>
            <w:vAlign w:val="bottom"/>
          </w:tcPr>
          <w:p w:rsidR="00000000" w:rsidRDefault="00000000">
            <w:pPr>
              <w:jc w:val="center"/>
            </w:pPr>
            <w:r>
              <w:t>18</w:t>
            </w:r>
          </w:p>
        </w:tc>
        <w:tc>
          <w:tcPr>
            <w:tcW w:w="1629" w:type="dxa"/>
            <w:tcMar>
              <w:left w:w="108" w:type="dxa"/>
              <w:right w:w="108" w:type="dxa"/>
            </w:tcMar>
            <w:vAlign w:val="bottom"/>
          </w:tcPr>
          <w:p w:rsidR="00000000" w:rsidRDefault="00000000">
            <w:pPr>
              <w:tabs>
                <w:tab w:val="decimal" w:pos="1063"/>
              </w:tabs>
            </w:pPr>
            <w:r>
              <w:t>37</w:t>
            </w:r>
          </w:p>
        </w:tc>
      </w:tr>
      <w:tr w:rsidR="00000000">
        <w:tblPrEx>
          <w:tblCellMar>
            <w:top w:w="0" w:type="dxa"/>
            <w:left w:w="0" w:type="dxa"/>
            <w:bottom w:w="0" w:type="dxa"/>
            <w:right w:w="0" w:type="dxa"/>
          </w:tblCellMar>
        </w:tblPrEx>
        <w:trPr>
          <w:jc w:val="center"/>
        </w:trPr>
        <w:tc>
          <w:tcPr>
            <w:tcW w:w="2731" w:type="dxa"/>
            <w:tcMar>
              <w:left w:w="108" w:type="dxa"/>
              <w:right w:w="108" w:type="dxa"/>
            </w:tcMar>
            <w:vAlign w:val="bottom"/>
          </w:tcPr>
          <w:p w:rsidR="00000000" w:rsidRDefault="00000000">
            <w:r>
              <w:t>Aldea infantil SOS</w:t>
            </w:r>
          </w:p>
        </w:tc>
        <w:tc>
          <w:tcPr>
            <w:tcW w:w="1628" w:type="dxa"/>
            <w:tcMar>
              <w:left w:w="108" w:type="dxa"/>
              <w:right w:w="108" w:type="dxa"/>
            </w:tcMar>
            <w:vAlign w:val="bottom"/>
          </w:tcPr>
          <w:p w:rsidR="00000000" w:rsidRDefault="00000000">
            <w:pPr>
              <w:jc w:val="center"/>
            </w:pPr>
            <w:r>
              <w:t>46</w:t>
            </w:r>
          </w:p>
        </w:tc>
        <w:tc>
          <w:tcPr>
            <w:tcW w:w="1629" w:type="dxa"/>
            <w:tcMar>
              <w:left w:w="108" w:type="dxa"/>
              <w:right w:w="108" w:type="dxa"/>
            </w:tcMar>
            <w:vAlign w:val="bottom"/>
          </w:tcPr>
          <w:p w:rsidR="00000000" w:rsidRDefault="00000000">
            <w:pPr>
              <w:jc w:val="center"/>
            </w:pPr>
            <w:r>
              <w:t>78</w:t>
            </w:r>
          </w:p>
        </w:tc>
        <w:tc>
          <w:tcPr>
            <w:tcW w:w="1629" w:type="dxa"/>
            <w:tcMar>
              <w:left w:w="108" w:type="dxa"/>
              <w:right w:w="108" w:type="dxa"/>
            </w:tcMar>
            <w:vAlign w:val="bottom"/>
          </w:tcPr>
          <w:p w:rsidR="00000000" w:rsidRDefault="00000000">
            <w:pPr>
              <w:tabs>
                <w:tab w:val="decimal" w:pos="1063"/>
              </w:tabs>
            </w:pPr>
            <w:r>
              <w:t>121</w:t>
            </w:r>
          </w:p>
        </w:tc>
      </w:tr>
    </w:tbl>
    <w:p w:rsidR="00000000" w:rsidRDefault="00000000">
      <w:pPr>
        <w:pStyle w:val="FootnoteText"/>
        <w:spacing w:before="200" w:after="480" w:line="240" w:lineRule="auto"/>
        <w:ind w:left="839"/>
      </w:pPr>
      <w:r>
        <w:rPr>
          <w:i/>
          <w:iCs/>
        </w:rPr>
        <w:t>Fuente</w:t>
      </w:r>
      <w:r>
        <w:t>:  Departamento de Bienestar Social, Zanzíbar.</w:t>
      </w:r>
    </w:p>
    <w:p w:rsidR="00000000" w:rsidRDefault="00000000">
      <w:pPr>
        <w:pStyle w:val="H23"/>
        <w:keepNext w:val="0"/>
        <w:keepLines w:val="0"/>
        <w:suppressAutoHyphens w:val="0"/>
        <w:spacing w:after="240" w:line="240" w:lineRule="auto"/>
        <w:jc w:val="center"/>
        <w:outlineLvl w:val="9"/>
        <w:rPr>
          <w:bCs/>
          <w:spacing w:val="0"/>
          <w:w w:val="100"/>
          <w:kern w:val="0"/>
          <w:sz w:val="24"/>
        </w:rPr>
      </w:pPr>
      <w:r>
        <w:rPr>
          <w:bCs/>
          <w:spacing w:val="0"/>
          <w:w w:val="100"/>
          <w:kern w:val="0"/>
          <w:sz w:val="24"/>
        </w:rPr>
        <w:t>Cuadro 9</w:t>
      </w:r>
    </w:p>
    <w:p w:rsidR="00000000" w:rsidRDefault="00000000">
      <w:pPr>
        <w:pStyle w:val="H23"/>
        <w:keepNext w:val="0"/>
        <w:keepLines w:val="0"/>
        <w:suppressAutoHyphens w:val="0"/>
        <w:spacing w:after="240" w:line="240" w:lineRule="auto"/>
        <w:jc w:val="center"/>
        <w:outlineLvl w:val="9"/>
        <w:rPr>
          <w:bCs/>
          <w:spacing w:val="0"/>
          <w:w w:val="100"/>
          <w:kern w:val="0"/>
          <w:sz w:val="24"/>
        </w:rPr>
      </w:pPr>
      <w:r>
        <w:rPr>
          <w:bCs/>
          <w:spacing w:val="0"/>
          <w:w w:val="100"/>
          <w:kern w:val="0"/>
          <w:sz w:val="24"/>
        </w:rPr>
        <w:t>Otras instituciones que se ocupan de la infancia</w:t>
      </w:r>
    </w:p>
    <w:tbl>
      <w:tblPr>
        <w:tblW w:w="0" w:type="auto"/>
        <w:jc w:val="center"/>
        <w:tblInd w:w="-13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470"/>
        <w:gridCol w:w="1362"/>
        <w:gridCol w:w="1363"/>
        <w:gridCol w:w="1363"/>
        <w:gridCol w:w="1672"/>
        <w:gridCol w:w="1054"/>
      </w:tblGrid>
      <w:tr w:rsidR="00000000">
        <w:tblPrEx>
          <w:tblCellMar>
            <w:top w:w="0" w:type="dxa"/>
            <w:left w:w="0" w:type="dxa"/>
            <w:bottom w:w="0" w:type="dxa"/>
            <w:right w:w="0" w:type="dxa"/>
          </w:tblCellMar>
        </w:tblPrEx>
        <w:trPr>
          <w:tblHeader/>
          <w:jc w:val="center"/>
        </w:trPr>
        <w:tc>
          <w:tcPr>
            <w:tcW w:w="2470" w:type="dxa"/>
            <w:tcMar>
              <w:left w:w="108" w:type="dxa"/>
              <w:right w:w="108" w:type="dxa"/>
            </w:tcMar>
            <w:vAlign w:val="center"/>
          </w:tcPr>
          <w:p w:rsidR="00000000" w:rsidRDefault="00000000">
            <w:pPr>
              <w:jc w:val="center"/>
            </w:pPr>
            <w:r>
              <w:t>Organizaciones no gubernamentales</w:t>
            </w:r>
          </w:p>
        </w:tc>
        <w:tc>
          <w:tcPr>
            <w:tcW w:w="1362" w:type="dxa"/>
            <w:tcMar>
              <w:left w:w="108" w:type="dxa"/>
              <w:right w:w="108" w:type="dxa"/>
            </w:tcMar>
            <w:vAlign w:val="center"/>
          </w:tcPr>
          <w:p w:rsidR="00000000" w:rsidRDefault="00000000">
            <w:pPr>
              <w:jc w:val="center"/>
            </w:pPr>
            <w:r>
              <w:t>Número de hogares de acogida</w:t>
            </w:r>
          </w:p>
        </w:tc>
        <w:tc>
          <w:tcPr>
            <w:tcW w:w="1363" w:type="dxa"/>
            <w:tcMar>
              <w:left w:w="108" w:type="dxa"/>
              <w:right w:w="108" w:type="dxa"/>
            </w:tcMar>
            <w:vAlign w:val="center"/>
          </w:tcPr>
          <w:p w:rsidR="00000000" w:rsidRDefault="00000000">
            <w:pPr>
              <w:jc w:val="center"/>
            </w:pPr>
            <w:r>
              <w:t>Huérfanos del SIDA</w:t>
            </w:r>
          </w:p>
        </w:tc>
        <w:tc>
          <w:tcPr>
            <w:tcW w:w="1363" w:type="dxa"/>
            <w:tcMar>
              <w:left w:w="108" w:type="dxa"/>
              <w:right w:w="108" w:type="dxa"/>
            </w:tcMar>
            <w:vAlign w:val="center"/>
          </w:tcPr>
          <w:p w:rsidR="00000000" w:rsidRDefault="00000000">
            <w:pPr>
              <w:jc w:val="center"/>
            </w:pPr>
            <w:r>
              <w:t>Otros huérfanos</w:t>
            </w:r>
          </w:p>
        </w:tc>
        <w:tc>
          <w:tcPr>
            <w:tcW w:w="1672" w:type="dxa"/>
            <w:tcMar>
              <w:left w:w="108" w:type="dxa"/>
              <w:right w:w="108" w:type="dxa"/>
            </w:tcMar>
            <w:vAlign w:val="center"/>
          </w:tcPr>
          <w:p w:rsidR="00000000" w:rsidRDefault="00000000">
            <w:pPr>
              <w:jc w:val="center"/>
            </w:pPr>
            <w:r>
              <w:t>Niños en circunstancias difíciles</w:t>
            </w:r>
          </w:p>
        </w:tc>
        <w:tc>
          <w:tcPr>
            <w:tcW w:w="1054" w:type="dxa"/>
            <w:tcMar>
              <w:left w:w="108" w:type="dxa"/>
              <w:right w:w="108" w:type="dxa"/>
            </w:tcMar>
            <w:vAlign w:val="center"/>
          </w:tcPr>
          <w:p w:rsidR="00000000" w:rsidRDefault="00000000">
            <w:pPr>
              <w:jc w:val="center"/>
            </w:pPr>
            <w:r>
              <w:t>Total</w:t>
            </w:r>
          </w:p>
        </w:tc>
      </w:tr>
      <w:tr w:rsidR="00000000">
        <w:tblPrEx>
          <w:tblCellMar>
            <w:top w:w="0" w:type="dxa"/>
            <w:left w:w="0" w:type="dxa"/>
            <w:bottom w:w="0" w:type="dxa"/>
            <w:right w:w="0" w:type="dxa"/>
          </w:tblCellMar>
        </w:tblPrEx>
        <w:trPr>
          <w:jc w:val="center"/>
        </w:trPr>
        <w:tc>
          <w:tcPr>
            <w:tcW w:w="2470" w:type="dxa"/>
            <w:tcMar>
              <w:left w:w="108" w:type="dxa"/>
              <w:right w:w="108" w:type="dxa"/>
            </w:tcMar>
            <w:vAlign w:val="bottom"/>
          </w:tcPr>
          <w:p w:rsidR="00000000" w:rsidRDefault="00000000">
            <w:r>
              <w:t>ZAWCO</w:t>
            </w:r>
          </w:p>
        </w:tc>
        <w:tc>
          <w:tcPr>
            <w:tcW w:w="1362" w:type="dxa"/>
            <w:tcMar>
              <w:left w:w="108" w:type="dxa"/>
              <w:right w:w="108" w:type="dxa"/>
            </w:tcMar>
            <w:vAlign w:val="bottom"/>
          </w:tcPr>
          <w:p w:rsidR="00000000" w:rsidRDefault="00000000">
            <w:pPr>
              <w:tabs>
                <w:tab w:val="decimal" w:pos="732"/>
              </w:tabs>
            </w:pPr>
            <w:r>
              <w:t>15</w:t>
            </w:r>
          </w:p>
        </w:tc>
        <w:tc>
          <w:tcPr>
            <w:tcW w:w="1363" w:type="dxa"/>
            <w:tcMar>
              <w:left w:w="108" w:type="dxa"/>
              <w:right w:w="108" w:type="dxa"/>
            </w:tcMar>
            <w:vAlign w:val="bottom"/>
          </w:tcPr>
          <w:p w:rsidR="00000000" w:rsidRDefault="00000000">
            <w:pPr>
              <w:tabs>
                <w:tab w:val="decimal" w:pos="732"/>
              </w:tabs>
            </w:pPr>
            <w:r>
              <w:t>19</w:t>
            </w:r>
          </w:p>
        </w:tc>
        <w:tc>
          <w:tcPr>
            <w:tcW w:w="1363" w:type="dxa"/>
            <w:tcMar>
              <w:left w:w="108" w:type="dxa"/>
              <w:right w:w="108" w:type="dxa"/>
            </w:tcMar>
            <w:vAlign w:val="bottom"/>
          </w:tcPr>
          <w:p w:rsidR="00000000" w:rsidRDefault="00000000">
            <w:pPr>
              <w:tabs>
                <w:tab w:val="decimal" w:pos="732"/>
              </w:tabs>
            </w:pPr>
            <w:r>
              <w:t>16</w:t>
            </w:r>
          </w:p>
        </w:tc>
        <w:tc>
          <w:tcPr>
            <w:tcW w:w="1672" w:type="dxa"/>
            <w:tcMar>
              <w:left w:w="108" w:type="dxa"/>
              <w:right w:w="108" w:type="dxa"/>
            </w:tcMar>
            <w:vAlign w:val="bottom"/>
          </w:tcPr>
          <w:p w:rsidR="00000000" w:rsidRDefault="00000000">
            <w:pPr>
              <w:tabs>
                <w:tab w:val="decimal" w:pos="732"/>
              </w:tabs>
            </w:pPr>
            <w:r>
              <w:t>21</w:t>
            </w:r>
          </w:p>
        </w:tc>
        <w:tc>
          <w:tcPr>
            <w:tcW w:w="1054" w:type="dxa"/>
            <w:tcMar>
              <w:left w:w="108" w:type="dxa"/>
              <w:right w:w="108" w:type="dxa"/>
            </w:tcMar>
            <w:vAlign w:val="bottom"/>
          </w:tcPr>
          <w:p w:rsidR="00000000" w:rsidRDefault="00000000">
            <w:pPr>
              <w:tabs>
                <w:tab w:val="decimal" w:pos="612"/>
              </w:tabs>
            </w:pPr>
            <w:r>
              <w:t>56</w:t>
            </w:r>
          </w:p>
        </w:tc>
      </w:tr>
      <w:tr w:rsidR="00000000">
        <w:tblPrEx>
          <w:tblCellMar>
            <w:top w:w="0" w:type="dxa"/>
            <w:left w:w="0" w:type="dxa"/>
            <w:bottom w:w="0" w:type="dxa"/>
            <w:right w:w="0" w:type="dxa"/>
          </w:tblCellMar>
        </w:tblPrEx>
        <w:trPr>
          <w:jc w:val="center"/>
        </w:trPr>
        <w:tc>
          <w:tcPr>
            <w:tcW w:w="2470" w:type="dxa"/>
            <w:tcMar>
              <w:left w:w="108" w:type="dxa"/>
              <w:right w:w="108" w:type="dxa"/>
            </w:tcMar>
            <w:vAlign w:val="bottom"/>
          </w:tcPr>
          <w:p w:rsidR="00000000" w:rsidRDefault="00000000">
            <w:pPr>
              <w:rPr>
                <w:lang w:val="es-AR"/>
              </w:rPr>
            </w:pPr>
            <w:r>
              <w:t>ZAPHA</w:t>
            </w:r>
            <w:r>
              <w:rPr>
                <w:lang w:val="es-AR"/>
              </w:rPr>
              <w:t>+</w:t>
            </w:r>
          </w:p>
        </w:tc>
        <w:tc>
          <w:tcPr>
            <w:tcW w:w="1362" w:type="dxa"/>
            <w:tcMar>
              <w:left w:w="108" w:type="dxa"/>
              <w:right w:w="108" w:type="dxa"/>
            </w:tcMar>
            <w:vAlign w:val="bottom"/>
          </w:tcPr>
          <w:p w:rsidR="00000000" w:rsidRDefault="00000000">
            <w:pPr>
              <w:tabs>
                <w:tab w:val="decimal" w:pos="732"/>
              </w:tabs>
            </w:pPr>
            <w:r>
              <w:t>18</w:t>
            </w:r>
          </w:p>
        </w:tc>
        <w:tc>
          <w:tcPr>
            <w:tcW w:w="1363" w:type="dxa"/>
            <w:tcMar>
              <w:left w:w="108" w:type="dxa"/>
              <w:right w:w="108" w:type="dxa"/>
            </w:tcMar>
            <w:vAlign w:val="bottom"/>
          </w:tcPr>
          <w:p w:rsidR="00000000" w:rsidRDefault="00000000">
            <w:pPr>
              <w:tabs>
                <w:tab w:val="decimal" w:pos="732"/>
              </w:tabs>
            </w:pPr>
            <w:r>
              <w:t>28</w:t>
            </w:r>
          </w:p>
        </w:tc>
        <w:tc>
          <w:tcPr>
            <w:tcW w:w="1363" w:type="dxa"/>
            <w:tcMar>
              <w:left w:w="108" w:type="dxa"/>
              <w:right w:w="108" w:type="dxa"/>
            </w:tcMar>
            <w:vAlign w:val="bottom"/>
          </w:tcPr>
          <w:p w:rsidR="00000000" w:rsidRDefault="00000000">
            <w:pPr>
              <w:tabs>
                <w:tab w:val="decimal" w:pos="732"/>
              </w:tabs>
            </w:pPr>
            <w:r>
              <w:t>2</w:t>
            </w:r>
          </w:p>
        </w:tc>
        <w:tc>
          <w:tcPr>
            <w:tcW w:w="1672" w:type="dxa"/>
            <w:tcMar>
              <w:left w:w="108" w:type="dxa"/>
              <w:right w:w="108" w:type="dxa"/>
            </w:tcMar>
            <w:vAlign w:val="bottom"/>
          </w:tcPr>
          <w:p w:rsidR="00000000" w:rsidRDefault="00000000">
            <w:pPr>
              <w:tabs>
                <w:tab w:val="decimal" w:pos="732"/>
              </w:tabs>
            </w:pPr>
            <w:r>
              <w:t>25</w:t>
            </w:r>
          </w:p>
        </w:tc>
        <w:tc>
          <w:tcPr>
            <w:tcW w:w="1054" w:type="dxa"/>
            <w:tcMar>
              <w:left w:w="108" w:type="dxa"/>
              <w:right w:w="108" w:type="dxa"/>
            </w:tcMar>
            <w:vAlign w:val="bottom"/>
          </w:tcPr>
          <w:p w:rsidR="00000000" w:rsidRDefault="00000000">
            <w:pPr>
              <w:tabs>
                <w:tab w:val="decimal" w:pos="612"/>
              </w:tabs>
            </w:pPr>
            <w:r>
              <w:t>55</w:t>
            </w:r>
          </w:p>
        </w:tc>
      </w:tr>
      <w:tr w:rsidR="00000000">
        <w:tblPrEx>
          <w:tblCellMar>
            <w:top w:w="0" w:type="dxa"/>
            <w:left w:w="0" w:type="dxa"/>
            <w:bottom w:w="0" w:type="dxa"/>
            <w:right w:w="0" w:type="dxa"/>
          </w:tblCellMar>
        </w:tblPrEx>
        <w:trPr>
          <w:jc w:val="center"/>
        </w:trPr>
        <w:tc>
          <w:tcPr>
            <w:tcW w:w="2470" w:type="dxa"/>
            <w:tcMar>
              <w:left w:w="108" w:type="dxa"/>
              <w:right w:w="108" w:type="dxa"/>
            </w:tcMar>
            <w:vAlign w:val="bottom"/>
          </w:tcPr>
          <w:p w:rsidR="00000000" w:rsidRDefault="00000000">
            <w:r>
              <w:t>ZAMWASO</w:t>
            </w:r>
          </w:p>
        </w:tc>
        <w:tc>
          <w:tcPr>
            <w:tcW w:w="1362" w:type="dxa"/>
            <w:tcMar>
              <w:left w:w="108" w:type="dxa"/>
              <w:right w:w="108" w:type="dxa"/>
            </w:tcMar>
            <w:vAlign w:val="bottom"/>
          </w:tcPr>
          <w:p w:rsidR="00000000" w:rsidRDefault="00000000">
            <w:pPr>
              <w:tabs>
                <w:tab w:val="decimal" w:pos="732"/>
              </w:tabs>
            </w:pPr>
            <w:r>
              <w:t>52</w:t>
            </w:r>
          </w:p>
        </w:tc>
        <w:tc>
          <w:tcPr>
            <w:tcW w:w="1363" w:type="dxa"/>
            <w:tcMar>
              <w:left w:w="108" w:type="dxa"/>
              <w:right w:w="108" w:type="dxa"/>
            </w:tcMar>
            <w:vAlign w:val="bottom"/>
          </w:tcPr>
          <w:p w:rsidR="00000000" w:rsidRDefault="00000000">
            <w:pPr>
              <w:tabs>
                <w:tab w:val="decimal" w:pos="732"/>
              </w:tabs>
            </w:pPr>
            <w:r>
              <w:t>34</w:t>
            </w:r>
          </w:p>
        </w:tc>
        <w:tc>
          <w:tcPr>
            <w:tcW w:w="1363" w:type="dxa"/>
            <w:tcMar>
              <w:left w:w="108" w:type="dxa"/>
              <w:right w:w="108" w:type="dxa"/>
            </w:tcMar>
            <w:vAlign w:val="bottom"/>
          </w:tcPr>
          <w:p w:rsidR="00000000" w:rsidRDefault="00000000">
            <w:pPr>
              <w:tabs>
                <w:tab w:val="decimal" w:pos="732"/>
              </w:tabs>
            </w:pPr>
            <w:r>
              <w:t>128</w:t>
            </w:r>
          </w:p>
        </w:tc>
        <w:tc>
          <w:tcPr>
            <w:tcW w:w="1672" w:type="dxa"/>
            <w:tcMar>
              <w:left w:w="108" w:type="dxa"/>
              <w:right w:w="108" w:type="dxa"/>
            </w:tcMar>
            <w:vAlign w:val="bottom"/>
          </w:tcPr>
          <w:p w:rsidR="00000000" w:rsidRDefault="00000000">
            <w:pPr>
              <w:tabs>
                <w:tab w:val="decimal" w:pos="732"/>
              </w:tabs>
            </w:pPr>
            <w:r>
              <w:t>55</w:t>
            </w:r>
          </w:p>
        </w:tc>
        <w:tc>
          <w:tcPr>
            <w:tcW w:w="1054" w:type="dxa"/>
            <w:tcMar>
              <w:left w:w="108" w:type="dxa"/>
              <w:right w:w="108" w:type="dxa"/>
            </w:tcMar>
            <w:vAlign w:val="bottom"/>
          </w:tcPr>
          <w:p w:rsidR="00000000" w:rsidRDefault="00000000">
            <w:pPr>
              <w:tabs>
                <w:tab w:val="decimal" w:pos="612"/>
              </w:tabs>
            </w:pPr>
            <w:r>
              <w:t>217</w:t>
            </w:r>
          </w:p>
        </w:tc>
      </w:tr>
      <w:tr w:rsidR="00000000">
        <w:tblPrEx>
          <w:tblCellMar>
            <w:top w:w="0" w:type="dxa"/>
            <w:left w:w="0" w:type="dxa"/>
            <w:bottom w:w="0" w:type="dxa"/>
            <w:right w:w="0" w:type="dxa"/>
          </w:tblCellMar>
        </w:tblPrEx>
        <w:trPr>
          <w:jc w:val="center"/>
        </w:trPr>
        <w:tc>
          <w:tcPr>
            <w:tcW w:w="2470" w:type="dxa"/>
            <w:tcMar>
              <w:left w:w="108" w:type="dxa"/>
              <w:right w:w="108" w:type="dxa"/>
            </w:tcMar>
            <w:vAlign w:val="bottom"/>
          </w:tcPr>
          <w:p w:rsidR="00000000" w:rsidRDefault="00000000">
            <w:r>
              <w:t>ZASO</w:t>
            </w:r>
          </w:p>
        </w:tc>
        <w:tc>
          <w:tcPr>
            <w:tcW w:w="1362" w:type="dxa"/>
            <w:tcMar>
              <w:left w:w="108" w:type="dxa"/>
              <w:right w:w="108" w:type="dxa"/>
            </w:tcMar>
            <w:vAlign w:val="bottom"/>
          </w:tcPr>
          <w:p w:rsidR="00000000" w:rsidRDefault="00000000">
            <w:pPr>
              <w:tabs>
                <w:tab w:val="decimal" w:pos="732"/>
              </w:tabs>
            </w:pPr>
            <w:r>
              <w:t>24</w:t>
            </w:r>
          </w:p>
        </w:tc>
        <w:tc>
          <w:tcPr>
            <w:tcW w:w="1363" w:type="dxa"/>
            <w:tcMar>
              <w:left w:w="108" w:type="dxa"/>
              <w:right w:w="108" w:type="dxa"/>
            </w:tcMar>
            <w:vAlign w:val="bottom"/>
          </w:tcPr>
          <w:p w:rsidR="00000000" w:rsidRDefault="00000000">
            <w:pPr>
              <w:tabs>
                <w:tab w:val="decimal" w:pos="732"/>
              </w:tabs>
            </w:pPr>
            <w:r>
              <w:t>49</w:t>
            </w:r>
          </w:p>
        </w:tc>
        <w:tc>
          <w:tcPr>
            <w:tcW w:w="1363" w:type="dxa"/>
            <w:tcMar>
              <w:left w:w="108" w:type="dxa"/>
              <w:right w:w="108" w:type="dxa"/>
            </w:tcMar>
            <w:vAlign w:val="bottom"/>
          </w:tcPr>
          <w:p w:rsidR="00000000" w:rsidRDefault="00000000">
            <w:pPr>
              <w:tabs>
                <w:tab w:val="decimal" w:pos="732"/>
              </w:tabs>
            </w:pPr>
            <w:r>
              <w:t>35</w:t>
            </w:r>
          </w:p>
        </w:tc>
        <w:tc>
          <w:tcPr>
            <w:tcW w:w="1672" w:type="dxa"/>
            <w:tcMar>
              <w:left w:w="108" w:type="dxa"/>
              <w:right w:w="108" w:type="dxa"/>
            </w:tcMar>
            <w:vAlign w:val="bottom"/>
          </w:tcPr>
          <w:p w:rsidR="00000000" w:rsidRDefault="00000000">
            <w:pPr>
              <w:tabs>
                <w:tab w:val="decimal" w:pos="732"/>
              </w:tabs>
            </w:pPr>
            <w:r>
              <w:t>19</w:t>
            </w:r>
          </w:p>
        </w:tc>
        <w:tc>
          <w:tcPr>
            <w:tcW w:w="1054" w:type="dxa"/>
            <w:tcMar>
              <w:left w:w="108" w:type="dxa"/>
              <w:right w:w="108" w:type="dxa"/>
            </w:tcMar>
            <w:vAlign w:val="bottom"/>
          </w:tcPr>
          <w:p w:rsidR="00000000" w:rsidRDefault="00000000">
            <w:pPr>
              <w:tabs>
                <w:tab w:val="decimal" w:pos="612"/>
              </w:tabs>
            </w:pPr>
            <w:r>
              <w:t>103</w:t>
            </w:r>
          </w:p>
        </w:tc>
      </w:tr>
      <w:tr w:rsidR="00000000">
        <w:tblPrEx>
          <w:tblCellMar>
            <w:top w:w="0" w:type="dxa"/>
            <w:left w:w="0" w:type="dxa"/>
            <w:bottom w:w="0" w:type="dxa"/>
            <w:right w:w="0" w:type="dxa"/>
          </w:tblCellMar>
        </w:tblPrEx>
        <w:trPr>
          <w:jc w:val="center"/>
        </w:trPr>
        <w:tc>
          <w:tcPr>
            <w:tcW w:w="2470" w:type="dxa"/>
            <w:tcMar>
              <w:left w:w="108" w:type="dxa"/>
              <w:right w:w="108" w:type="dxa"/>
            </w:tcMar>
            <w:vAlign w:val="bottom"/>
          </w:tcPr>
          <w:p w:rsidR="00000000" w:rsidRDefault="00000000">
            <w:r>
              <w:t>DSW</w:t>
            </w:r>
          </w:p>
        </w:tc>
        <w:tc>
          <w:tcPr>
            <w:tcW w:w="1362" w:type="dxa"/>
            <w:tcMar>
              <w:left w:w="108" w:type="dxa"/>
              <w:right w:w="108" w:type="dxa"/>
            </w:tcMar>
            <w:vAlign w:val="bottom"/>
          </w:tcPr>
          <w:p w:rsidR="00000000" w:rsidRDefault="00000000">
            <w:pPr>
              <w:tabs>
                <w:tab w:val="decimal" w:pos="732"/>
              </w:tabs>
            </w:pPr>
            <w:r>
              <w:t>10</w:t>
            </w:r>
          </w:p>
        </w:tc>
        <w:tc>
          <w:tcPr>
            <w:tcW w:w="1363" w:type="dxa"/>
            <w:tcMar>
              <w:left w:w="108" w:type="dxa"/>
              <w:right w:w="108" w:type="dxa"/>
            </w:tcMar>
            <w:vAlign w:val="bottom"/>
          </w:tcPr>
          <w:p w:rsidR="00000000" w:rsidRDefault="00000000">
            <w:pPr>
              <w:tabs>
                <w:tab w:val="decimal" w:pos="732"/>
              </w:tabs>
            </w:pPr>
            <w:r>
              <w:t>7</w:t>
            </w:r>
          </w:p>
        </w:tc>
        <w:tc>
          <w:tcPr>
            <w:tcW w:w="1363" w:type="dxa"/>
            <w:tcMar>
              <w:left w:w="108" w:type="dxa"/>
              <w:right w:w="108" w:type="dxa"/>
            </w:tcMar>
            <w:vAlign w:val="bottom"/>
          </w:tcPr>
          <w:p w:rsidR="00000000" w:rsidRDefault="00000000">
            <w:pPr>
              <w:tabs>
                <w:tab w:val="decimal" w:pos="732"/>
              </w:tabs>
            </w:pPr>
            <w:r>
              <w:t>18</w:t>
            </w:r>
          </w:p>
        </w:tc>
        <w:tc>
          <w:tcPr>
            <w:tcW w:w="1672" w:type="dxa"/>
            <w:tcMar>
              <w:left w:w="108" w:type="dxa"/>
              <w:right w:w="108" w:type="dxa"/>
            </w:tcMar>
            <w:vAlign w:val="bottom"/>
          </w:tcPr>
          <w:p w:rsidR="00000000" w:rsidRDefault="00000000">
            <w:pPr>
              <w:tabs>
                <w:tab w:val="decimal" w:pos="732"/>
              </w:tabs>
            </w:pPr>
            <w:r>
              <w:t>10</w:t>
            </w:r>
          </w:p>
        </w:tc>
        <w:tc>
          <w:tcPr>
            <w:tcW w:w="1054" w:type="dxa"/>
            <w:tcMar>
              <w:left w:w="108" w:type="dxa"/>
              <w:right w:w="108" w:type="dxa"/>
            </w:tcMar>
            <w:vAlign w:val="bottom"/>
          </w:tcPr>
          <w:p w:rsidR="00000000" w:rsidRDefault="00000000">
            <w:pPr>
              <w:tabs>
                <w:tab w:val="decimal" w:pos="612"/>
              </w:tabs>
            </w:pPr>
            <w:r>
              <w:t>35</w:t>
            </w:r>
          </w:p>
        </w:tc>
      </w:tr>
      <w:tr w:rsidR="00000000">
        <w:tblPrEx>
          <w:tblCellMar>
            <w:top w:w="0" w:type="dxa"/>
            <w:left w:w="0" w:type="dxa"/>
            <w:bottom w:w="0" w:type="dxa"/>
            <w:right w:w="0" w:type="dxa"/>
          </w:tblCellMar>
        </w:tblPrEx>
        <w:trPr>
          <w:jc w:val="center"/>
        </w:trPr>
        <w:tc>
          <w:tcPr>
            <w:tcW w:w="2470" w:type="dxa"/>
            <w:tcMar>
              <w:left w:w="108" w:type="dxa"/>
              <w:right w:w="108" w:type="dxa"/>
            </w:tcMar>
            <w:vAlign w:val="bottom"/>
          </w:tcPr>
          <w:p w:rsidR="00000000" w:rsidRDefault="00000000">
            <w:r>
              <w:t>AMA</w:t>
            </w:r>
          </w:p>
        </w:tc>
        <w:tc>
          <w:tcPr>
            <w:tcW w:w="1362" w:type="dxa"/>
            <w:tcMar>
              <w:left w:w="108" w:type="dxa"/>
              <w:right w:w="108" w:type="dxa"/>
            </w:tcMar>
            <w:vAlign w:val="bottom"/>
          </w:tcPr>
          <w:p w:rsidR="00000000" w:rsidRDefault="00000000">
            <w:pPr>
              <w:tabs>
                <w:tab w:val="decimal" w:pos="732"/>
              </w:tabs>
            </w:pPr>
            <w:r>
              <w:t>n.d.</w:t>
            </w:r>
          </w:p>
        </w:tc>
        <w:tc>
          <w:tcPr>
            <w:tcW w:w="1363" w:type="dxa"/>
            <w:tcMar>
              <w:left w:w="108" w:type="dxa"/>
              <w:right w:w="108" w:type="dxa"/>
            </w:tcMar>
            <w:vAlign w:val="bottom"/>
          </w:tcPr>
          <w:p w:rsidR="00000000" w:rsidRDefault="00000000">
            <w:pPr>
              <w:tabs>
                <w:tab w:val="decimal" w:pos="732"/>
              </w:tabs>
            </w:pPr>
            <w:r>
              <w:t>0</w:t>
            </w:r>
          </w:p>
        </w:tc>
        <w:tc>
          <w:tcPr>
            <w:tcW w:w="1363" w:type="dxa"/>
            <w:tcMar>
              <w:left w:w="108" w:type="dxa"/>
              <w:right w:w="108" w:type="dxa"/>
            </w:tcMar>
            <w:vAlign w:val="bottom"/>
          </w:tcPr>
          <w:p w:rsidR="00000000" w:rsidRDefault="00000000">
            <w:pPr>
              <w:tabs>
                <w:tab w:val="decimal" w:pos="732"/>
              </w:tabs>
            </w:pPr>
            <w:r>
              <w:t>153</w:t>
            </w:r>
          </w:p>
        </w:tc>
        <w:tc>
          <w:tcPr>
            <w:tcW w:w="1672" w:type="dxa"/>
            <w:tcMar>
              <w:left w:w="108" w:type="dxa"/>
              <w:right w:w="108" w:type="dxa"/>
            </w:tcMar>
            <w:vAlign w:val="bottom"/>
          </w:tcPr>
          <w:p w:rsidR="00000000" w:rsidRDefault="00000000">
            <w:pPr>
              <w:tabs>
                <w:tab w:val="decimal" w:pos="732"/>
              </w:tabs>
            </w:pPr>
            <w:r>
              <w:t>0</w:t>
            </w:r>
          </w:p>
        </w:tc>
        <w:tc>
          <w:tcPr>
            <w:tcW w:w="1054" w:type="dxa"/>
            <w:tcMar>
              <w:left w:w="108" w:type="dxa"/>
              <w:right w:w="108" w:type="dxa"/>
            </w:tcMar>
            <w:vAlign w:val="bottom"/>
          </w:tcPr>
          <w:p w:rsidR="00000000" w:rsidRDefault="00000000">
            <w:pPr>
              <w:tabs>
                <w:tab w:val="decimal" w:pos="612"/>
              </w:tabs>
            </w:pPr>
            <w:r>
              <w:t>153</w:t>
            </w:r>
          </w:p>
        </w:tc>
      </w:tr>
      <w:tr w:rsidR="00000000">
        <w:tblPrEx>
          <w:tblCellMar>
            <w:top w:w="0" w:type="dxa"/>
            <w:left w:w="0" w:type="dxa"/>
            <w:bottom w:w="0" w:type="dxa"/>
            <w:right w:w="0" w:type="dxa"/>
          </w:tblCellMar>
        </w:tblPrEx>
        <w:trPr>
          <w:jc w:val="center"/>
        </w:trPr>
        <w:tc>
          <w:tcPr>
            <w:tcW w:w="2470" w:type="dxa"/>
            <w:tcMar>
              <w:left w:w="108" w:type="dxa"/>
              <w:right w:w="108" w:type="dxa"/>
            </w:tcMar>
            <w:vAlign w:val="bottom"/>
          </w:tcPr>
          <w:p w:rsidR="00000000" w:rsidRDefault="00000000">
            <w:r>
              <w:tab/>
              <w:t>Total</w:t>
            </w:r>
          </w:p>
        </w:tc>
        <w:tc>
          <w:tcPr>
            <w:tcW w:w="1362" w:type="dxa"/>
            <w:tcMar>
              <w:left w:w="108" w:type="dxa"/>
              <w:right w:w="108" w:type="dxa"/>
            </w:tcMar>
            <w:vAlign w:val="bottom"/>
          </w:tcPr>
          <w:p w:rsidR="00000000" w:rsidRDefault="00000000">
            <w:pPr>
              <w:tabs>
                <w:tab w:val="decimal" w:pos="732"/>
              </w:tabs>
            </w:pPr>
            <w:r>
              <w:t>117</w:t>
            </w:r>
          </w:p>
        </w:tc>
        <w:tc>
          <w:tcPr>
            <w:tcW w:w="1363" w:type="dxa"/>
            <w:tcMar>
              <w:left w:w="108" w:type="dxa"/>
              <w:right w:w="108" w:type="dxa"/>
            </w:tcMar>
            <w:vAlign w:val="bottom"/>
          </w:tcPr>
          <w:p w:rsidR="00000000" w:rsidRDefault="00000000">
            <w:pPr>
              <w:tabs>
                <w:tab w:val="decimal" w:pos="732"/>
              </w:tabs>
            </w:pPr>
            <w:r>
              <w:t>137</w:t>
            </w:r>
          </w:p>
        </w:tc>
        <w:tc>
          <w:tcPr>
            <w:tcW w:w="1363" w:type="dxa"/>
            <w:tcMar>
              <w:left w:w="108" w:type="dxa"/>
              <w:right w:w="108" w:type="dxa"/>
            </w:tcMar>
            <w:vAlign w:val="bottom"/>
          </w:tcPr>
          <w:p w:rsidR="00000000" w:rsidRDefault="00000000">
            <w:pPr>
              <w:tabs>
                <w:tab w:val="decimal" w:pos="732"/>
              </w:tabs>
            </w:pPr>
            <w:r>
              <w:t>352</w:t>
            </w:r>
          </w:p>
        </w:tc>
        <w:tc>
          <w:tcPr>
            <w:tcW w:w="1672" w:type="dxa"/>
            <w:tcMar>
              <w:left w:w="108" w:type="dxa"/>
              <w:right w:w="108" w:type="dxa"/>
            </w:tcMar>
            <w:vAlign w:val="bottom"/>
          </w:tcPr>
          <w:p w:rsidR="00000000" w:rsidRDefault="00000000">
            <w:pPr>
              <w:tabs>
                <w:tab w:val="decimal" w:pos="732"/>
              </w:tabs>
            </w:pPr>
            <w:r>
              <w:t>130</w:t>
            </w:r>
          </w:p>
        </w:tc>
        <w:tc>
          <w:tcPr>
            <w:tcW w:w="1054" w:type="dxa"/>
            <w:tcMar>
              <w:left w:w="108" w:type="dxa"/>
              <w:right w:w="108" w:type="dxa"/>
            </w:tcMar>
            <w:vAlign w:val="bottom"/>
          </w:tcPr>
          <w:p w:rsidR="00000000" w:rsidRDefault="00000000">
            <w:pPr>
              <w:tabs>
                <w:tab w:val="decimal" w:pos="612"/>
              </w:tabs>
            </w:pPr>
            <w:r>
              <w:t>619</w:t>
            </w:r>
          </w:p>
        </w:tc>
      </w:tr>
    </w:tbl>
    <w:p w:rsidR="00000000" w:rsidRDefault="00000000">
      <w:pPr>
        <w:pStyle w:val="FootnoteText"/>
        <w:spacing w:before="200" w:after="480" w:line="240" w:lineRule="auto"/>
      </w:pPr>
      <w:r>
        <w:rPr>
          <w:i/>
          <w:iCs/>
        </w:rPr>
        <w:t>Fuente</w:t>
      </w:r>
      <w:r>
        <w:t>:  Ministerio de Empleo Juvenil, Asuntos de la Mujer y Desarrollo del Niño de Zanzíbar.</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101.</w:t>
      </w:r>
      <w:r>
        <w:rPr>
          <w:spacing w:val="0"/>
          <w:w w:val="100"/>
          <w:kern w:val="0"/>
          <w:sz w:val="24"/>
        </w:rPr>
        <w:tab/>
        <w:t>En colaboración con la Asociación de personas discapacitadas de Zanzíbar, el Gobierno de Zanzíbar ha organizado clases especiales para niños con discapacidad.  Sin embargo, estas clases, que son apenas cinco y están en zonas urbanas, no alca</w:t>
      </w:r>
      <w:r>
        <w:rPr>
          <w:spacing w:val="0"/>
          <w:w w:val="100"/>
          <w:kern w:val="0"/>
          <w:sz w:val="24"/>
        </w:rPr>
        <w:t>n</w:t>
      </w:r>
      <w:r>
        <w:rPr>
          <w:spacing w:val="0"/>
          <w:w w:val="100"/>
          <w:kern w:val="0"/>
          <w:sz w:val="24"/>
        </w:rPr>
        <w:t>zan a cubrir la demanda.  También en colaboración con la Asociación de personas discapacitadas, el Gobierno está implantando el Programa sobre una educación más integradora, para cuyo lanzamiento se han realizado encuestas y celebrado consultas con distintos interes</w:t>
      </w:r>
      <w:r>
        <w:rPr>
          <w:spacing w:val="0"/>
          <w:w w:val="100"/>
          <w:kern w:val="0"/>
          <w:sz w:val="24"/>
        </w:rPr>
        <w:t>a</w:t>
      </w:r>
      <w:r>
        <w:rPr>
          <w:spacing w:val="0"/>
          <w:w w:val="100"/>
          <w:kern w:val="0"/>
          <w:sz w:val="24"/>
        </w:rPr>
        <w:t>dos.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102.</w:t>
      </w:r>
      <w:r>
        <w:rPr>
          <w:spacing w:val="0"/>
          <w:w w:val="100"/>
          <w:kern w:val="0"/>
          <w:sz w:val="24"/>
        </w:rPr>
        <w:tab/>
        <w:t>En cuanto a la promoción de los derechos de las niñas, el Gobierno de la R</w:t>
      </w:r>
      <w:r>
        <w:rPr>
          <w:spacing w:val="0"/>
          <w:w w:val="100"/>
          <w:kern w:val="0"/>
          <w:sz w:val="24"/>
        </w:rPr>
        <w:t>e</w:t>
      </w:r>
      <w:r>
        <w:rPr>
          <w:spacing w:val="0"/>
          <w:w w:val="100"/>
          <w:kern w:val="0"/>
          <w:sz w:val="24"/>
        </w:rPr>
        <w:t>pública Unida de Tanzanía tiene previsto reformar las leyes discriminatorias que puedan menoscabar los derechos de la infancia y en particular los de las niñas.  Además, sigue en marcha la "iniciativa SARA" que tiene por objetivo mejorar la s</w:t>
      </w:r>
      <w:r>
        <w:rPr>
          <w:spacing w:val="0"/>
          <w:w w:val="100"/>
          <w:kern w:val="0"/>
          <w:sz w:val="24"/>
        </w:rPr>
        <w:t>i</w:t>
      </w:r>
      <w:r>
        <w:rPr>
          <w:spacing w:val="0"/>
          <w:w w:val="100"/>
          <w:kern w:val="0"/>
          <w:sz w:val="24"/>
        </w:rPr>
        <w:t>tuación de las niñas.</w:t>
      </w:r>
    </w:p>
    <w:p w:rsidR="00000000" w:rsidRDefault="00000000">
      <w:pPr>
        <w:pStyle w:val="H23"/>
        <w:keepNext w:val="0"/>
        <w:keepLines w:val="0"/>
        <w:suppressAutoHyphens w:val="0"/>
        <w:spacing w:after="240" w:line="240" w:lineRule="auto"/>
        <w:outlineLvl w:val="9"/>
        <w:rPr>
          <w:bCs/>
          <w:spacing w:val="0"/>
          <w:w w:val="100"/>
          <w:kern w:val="0"/>
          <w:sz w:val="24"/>
        </w:rPr>
      </w:pPr>
      <w:r>
        <w:rPr>
          <w:bCs/>
          <w:spacing w:val="0"/>
          <w:w w:val="100"/>
          <w:kern w:val="0"/>
          <w:sz w:val="24"/>
        </w:rPr>
        <w:t>Interés superior del niño (artículo 3)</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103.</w:t>
      </w:r>
      <w:r>
        <w:rPr>
          <w:spacing w:val="0"/>
          <w:w w:val="100"/>
          <w:kern w:val="0"/>
          <w:sz w:val="24"/>
        </w:rPr>
        <w:tab/>
        <w:t>El principio general del interés superior del niño se ha tenido en cuenta en la elaboración del proyecto de Ley de la Infancia, así como también en la versión r</w:t>
      </w:r>
      <w:r>
        <w:rPr>
          <w:spacing w:val="0"/>
          <w:w w:val="100"/>
          <w:kern w:val="0"/>
          <w:sz w:val="24"/>
        </w:rPr>
        <w:t>e</w:t>
      </w:r>
      <w:r>
        <w:rPr>
          <w:spacing w:val="0"/>
          <w:w w:val="100"/>
          <w:kern w:val="0"/>
          <w:sz w:val="24"/>
        </w:rPr>
        <w:t>formada de la Política de promoción del niño. A fin de alcanzar los objetivos de la Convención, el Gobierno ha creado proyectos, programas y servicios que impulsan el desarrollo del niño, por ejemplo:</w:t>
      </w:r>
    </w:p>
    <w:p w:rsidR="00000000" w:rsidRDefault="00000000">
      <w:pPr>
        <w:pStyle w:val="SingleTxt"/>
        <w:numPr>
          <w:ilvl w:val="0"/>
          <w:numId w:val="67"/>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924" w:right="0" w:hanging="357"/>
        <w:jc w:val="left"/>
        <w:rPr>
          <w:spacing w:val="0"/>
          <w:w w:val="100"/>
          <w:kern w:val="0"/>
          <w:sz w:val="24"/>
        </w:rPr>
      </w:pPr>
      <w:r>
        <w:rPr>
          <w:spacing w:val="0"/>
          <w:w w:val="100"/>
          <w:kern w:val="0"/>
          <w:sz w:val="24"/>
        </w:rPr>
        <w:t>La Política para la supervivencia, la protección y el desarrollo del niño.</w:t>
      </w:r>
    </w:p>
    <w:p w:rsidR="00000000" w:rsidRDefault="00000000">
      <w:pPr>
        <w:pStyle w:val="SingleTxt"/>
        <w:numPr>
          <w:ilvl w:val="0"/>
          <w:numId w:val="67"/>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924" w:right="0" w:hanging="357"/>
        <w:jc w:val="left"/>
        <w:rPr>
          <w:spacing w:val="0"/>
          <w:w w:val="100"/>
          <w:kern w:val="0"/>
          <w:sz w:val="24"/>
        </w:rPr>
      </w:pPr>
      <w:r>
        <w:rPr>
          <w:spacing w:val="0"/>
          <w:w w:val="100"/>
          <w:kern w:val="0"/>
          <w:sz w:val="24"/>
        </w:rPr>
        <w:t>El Programa de atención integrada de las enfermedades prevalentes de la infancia, y</w:t>
      </w:r>
    </w:p>
    <w:p w:rsidR="00000000" w:rsidRDefault="00000000">
      <w:pPr>
        <w:pStyle w:val="SingleTxt"/>
        <w:numPr>
          <w:ilvl w:val="0"/>
          <w:numId w:val="67"/>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924" w:right="0" w:hanging="357"/>
        <w:jc w:val="left"/>
        <w:rPr>
          <w:spacing w:val="0"/>
          <w:w w:val="100"/>
          <w:kern w:val="0"/>
          <w:sz w:val="24"/>
        </w:rPr>
      </w:pPr>
      <w:r>
        <w:rPr>
          <w:spacing w:val="0"/>
          <w:w w:val="100"/>
          <w:kern w:val="0"/>
          <w:sz w:val="24"/>
        </w:rPr>
        <w:t>El Programa para la eliminación de las peores formas de trabajo infantil en un pl</w:t>
      </w:r>
      <w:r>
        <w:rPr>
          <w:spacing w:val="0"/>
          <w:w w:val="100"/>
          <w:kern w:val="0"/>
          <w:sz w:val="24"/>
        </w:rPr>
        <w:t>a</w:t>
      </w:r>
      <w:r>
        <w:rPr>
          <w:spacing w:val="0"/>
          <w:w w:val="100"/>
          <w:kern w:val="0"/>
          <w:sz w:val="24"/>
        </w:rPr>
        <w:t>zo establecido.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104.</w:t>
      </w:r>
      <w:r>
        <w:rPr>
          <w:spacing w:val="0"/>
          <w:w w:val="100"/>
          <w:kern w:val="0"/>
          <w:sz w:val="24"/>
        </w:rPr>
        <w:tab/>
        <w:t>También existen leyes relativas al matrimonio, la custodia, la manutención y los derechos sucesorios que sirven de complemento a la Convención.  La Ley m</w:t>
      </w:r>
      <w:r>
        <w:rPr>
          <w:spacing w:val="0"/>
          <w:w w:val="100"/>
          <w:kern w:val="0"/>
          <w:sz w:val="24"/>
        </w:rPr>
        <w:t>a</w:t>
      </w:r>
      <w:r>
        <w:rPr>
          <w:spacing w:val="0"/>
          <w:w w:val="100"/>
          <w:kern w:val="0"/>
          <w:sz w:val="24"/>
        </w:rPr>
        <w:t>trimonial, de 1971, que regula la custodia y la manutención de los hijos, se encue</w:t>
      </w:r>
      <w:r>
        <w:rPr>
          <w:spacing w:val="0"/>
          <w:w w:val="100"/>
          <w:kern w:val="0"/>
          <w:sz w:val="24"/>
        </w:rPr>
        <w:t>n</w:t>
      </w:r>
      <w:r>
        <w:rPr>
          <w:spacing w:val="0"/>
          <w:w w:val="100"/>
          <w:kern w:val="0"/>
          <w:sz w:val="24"/>
        </w:rPr>
        <w:t>tra actualmente en proceso de revisión para introducir el criterio del interés sup</w:t>
      </w:r>
      <w:r>
        <w:rPr>
          <w:spacing w:val="0"/>
          <w:w w:val="100"/>
          <w:kern w:val="0"/>
          <w:sz w:val="24"/>
        </w:rPr>
        <w:t>e</w:t>
      </w:r>
      <w:r>
        <w:rPr>
          <w:spacing w:val="0"/>
          <w:w w:val="100"/>
          <w:kern w:val="0"/>
          <w:sz w:val="24"/>
        </w:rPr>
        <w:t>rior del niño.  Por otra parte, se han promulgado normas laborales para combatir el trabajo infantil.  En la reforma de la Ley de educación, de 1978, cuyo objetivo fue el de establecer la gratuidad de la educación primaria para todos los niños, se tuvo en cuenta el interés superior del niño.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105.</w:t>
      </w:r>
      <w:r>
        <w:rPr>
          <w:spacing w:val="0"/>
          <w:w w:val="100"/>
          <w:kern w:val="0"/>
          <w:sz w:val="24"/>
        </w:rPr>
        <w:tab/>
        <w:t>En Zanzíbar, el Gobierno ha hecho esfuerzos por mejorar la estructura del Pr</w:t>
      </w:r>
      <w:r>
        <w:rPr>
          <w:spacing w:val="0"/>
          <w:w w:val="100"/>
          <w:kern w:val="0"/>
          <w:sz w:val="24"/>
        </w:rPr>
        <w:t>o</w:t>
      </w:r>
      <w:r>
        <w:rPr>
          <w:spacing w:val="0"/>
          <w:w w:val="100"/>
          <w:kern w:val="0"/>
          <w:sz w:val="24"/>
        </w:rPr>
        <w:t>grama sobre la Política para la supervivencia, la protección y el desarrollo del niño, a cuyo equipo técnico se han incorporado cinco niños.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106.</w:t>
      </w:r>
      <w:r>
        <w:rPr>
          <w:spacing w:val="0"/>
          <w:w w:val="100"/>
          <w:kern w:val="0"/>
          <w:sz w:val="24"/>
        </w:rPr>
        <w:tab/>
        <w:t>El Gobierno de Zanzíbar ha adoptado una Política para la supervivencia, la protección y el desarrollo del niño, que se aprobó en 2001 y de cuya supervisión y coordinación se encarga el Ministerio de Empleo Juvenil, Asuntos de la Mujer y D</w:t>
      </w:r>
      <w:r>
        <w:rPr>
          <w:spacing w:val="0"/>
          <w:w w:val="100"/>
          <w:kern w:val="0"/>
          <w:sz w:val="24"/>
        </w:rPr>
        <w:t>e</w:t>
      </w:r>
      <w:r>
        <w:rPr>
          <w:spacing w:val="0"/>
          <w:w w:val="100"/>
          <w:kern w:val="0"/>
          <w:sz w:val="24"/>
        </w:rPr>
        <w:t>sarrollo del Niño.  El objetivo que se persigue es que la política relativa a la infancia se integre en las demás políticas sectoriales, en particular las relativas al agua, la s</w:t>
      </w:r>
      <w:r>
        <w:rPr>
          <w:spacing w:val="0"/>
          <w:w w:val="100"/>
          <w:kern w:val="0"/>
          <w:sz w:val="24"/>
        </w:rPr>
        <w:t>a</w:t>
      </w:r>
      <w:r>
        <w:rPr>
          <w:spacing w:val="0"/>
          <w:w w:val="100"/>
          <w:kern w:val="0"/>
          <w:sz w:val="24"/>
        </w:rPr>
        <w:t>lud y la educ</w:t>
      </w:r>
      <w:r>
        <w:rPr>
          <w:spacing w:val="0"/>
          <w:w w:val="100"/>
          <w:kern w:val="0"/>
          <w:sz w:val="24"/>
        </w:rPr>
        <w:t>a</w:t>
      </w:r>
      <w:r>
        <w:rPr>
          <w:spacing w:val="0"/>
          <w:w w:val="100"/>
          <w:kern w:val="0"/>
          <w:sz w:val="24"/>
        </w:rPr>
        <w:t>ción.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107.</w:t>
      </w:r>
      <w:r>
        <w:rPr>
          <w:spacing w:val="0"/>
          <w:w w:val="100"/>
          <w:kern w:val="0"/>
          <w:sz w:val="24"/>
        </w:rPr>
        <w:tab/>
        <w:t>El Gobierno de Zanzíbar está revisando en la actualidad la Ley sobre las muj</w:t>
      </w:r>
      <w:r>
        <w:rPr>
          <w:spacing w:val="0"/>
          <w:w w:val="100"/>
          <w:kern w:val="0"/>
          <w:sz w:val="24"/>
        </w:rPr>
        <w:t>e</w:t>
      </w:r>
      <w:r>
        <w:rPr>
          <w:spacing w:val="0"/>
          <w:w w:val="100"/>
          <w:kern w:val="0"/>
          <w:sz w:val="24"/>
        </w:rPr>
        <w:t>res solteras (Ley Nº 4 de 1985) con miras a derogarla porque atenta contra los der</w:t>
      </w:r>
      <w:r>
        <w:rPr>
          <w:spacing w:val="0"/>
          <w:w w:val="100"/>
          <w:kern w:val="0"/>
          <w:sz w:val="24"/>
        </w:rPr>
        <w:t>e</w:t>
      </w:r>
      <w:r>
        <w:rPr>
          <w:spacing w:val="0"/>
          <w:w w:val="100"/>
          <w:kern w:val="0"/>
          <w:sz w:val="24"/>
        </w:rPr>
        <w:t>chos de niñas y muj</w:t>
      </w:r>
      <w:r>
        <w:rPr>
          <w:spacing w:val="0"/>
          <w:w w:val="100"/>
          <w:kern w:val="0"/>
          <w:sz w:val="24"/>
        </w:rPr>
        <w:t>e</w:t>
      </w:r>
      <w:r>
        <w:rPr>
          <w:spacing w:val="0"/>
          <w:w w:val="100"/>
          <w:kern w:val="0"/>
          <w:sz w:val="24"/>
        </w:rPr>
        <w:t>res.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108.</w:t>
      </w:r>
      <w:r>
        <w:rPr>
          <w:spacing w:val="0"/>
          <w:w w:val="100"/>
          <w:kern w:val="0"/>
          <w:sz w:val="24"/>
        </w:rPr>
        <w:tab/>
        <w:t>En colaboración con la Asociación para el Adelanto de la Infancia de Zanzíbar (ZACA), el Gobierno de la isla ha preparado un manual de capacitación sobre los derechos del niño, en que se destacan las cuestiones relativas a la supervivencia, el desarrollo y la protección de la infancia y la participación del niño.</w:t>
      </w:r>
    </w:p>
    <w:p w:rsidR="00000000" w:rsidRDefault="00000000">
      <w:pPr>
        <w:pStyle w:val="H23"/>
        <w:keepNext w:val="0"/>
        <w:keepLines w:val="0"/>
        <w:suppressAutoHyphens w:val="0"/>
        <w:spacing w:after="240" w:line="240" w:lineRule="auto"/>
        <w:outlineLvl w:val="9"/>
        <w:rPr>
          <w:bCs/>
          <w:spacing w:val="0"/>
          <w:w w:val="100"/>
          <w:kern w:val="0"/>
          <w:sz w:val="24"/>
        </w:rPr>
      </w:pPr>
      <w:r>
        <w:rPr>
          <w:bCs/>
          <w:spacing w:val="0"/>
          <w:w w:val="100"/>
          <w:kern w:val="0"/>
          <w:sz w:val="24"/>
        </w:rPr>
        <w:t>El derecho a la vida, la supervivencia y el desarrollo (artículo 6)</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109.</w:t>
      </w:r>
      <w:r>
        <w:rPr>
          <w:spacing w:val="0"/>
          <w:w w:val="100"/>
          <w:kern w:val="0"/>
          <w:sz w:val="24"/>
        </w:rPr>
        <w:tab/>
        <w:t>En colaboración con diversas ONG, el Gobierno de la República Unida de Tanzanía ha adoptado una serie de medidas para garantizar el derecho del niño a la vida, el desarrollo y la supervivencia.  Entre tales medidas se encuentran los programas de prevención de la transmisión de la madre al niño, que apuntan a reducir el impacto del VIH y el SIDA en los niños.  Otro programa es el de salud reproductiva e infantil que tiene por objetivo facilitar atención médica gratuita a los niños menores de 5 años y las muj</w:t>
      </w:r>
      <w:r>
        <w:rPr>
          <w:spacing w:val="0"/>
          <w:w w:val="100"/>
          <w:kern w:val="0"/>
          <w:sz w:val="24"/>
        </w:rPr>
        <w:t>e</w:t>
      </w:r>
      <w:r>
        <w:rPr>
          <w:spacing w:val="0"/>
          <w:w w:val="100"/>
          <w:kern w:val="0"/>
          <w:sz w:val="24"/>
        </w:rPr>
        <w:t>res embarazadas en todo el país.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110.</w:t>
      </w:r>
      <w:r>
        <w:rPr>
          <w:spacing w:val="0"/>
          <w:w w:val="100"/>
          <w:kern w:val="0"/>
          <w:sz w:val="24"/>
        </w:rPr>
        <w:tab/>
        <w:t>El Gobierno de Zanzíbar también proporciona atención médica gratuita a todos los menores de 5 años y las mujeres embarazadas.  Con esta medida inmediata se ha tratado de reducir las causas de mortalidad infantil, entre las que destacan el pal</w:t>
      </w:r>
      <w:r>
        <w:rPr>
          <w:spacing w:val="0"/>
          <w:w w:val="100"/>
          <w:kern w:val="0"/>
          <w:sz w:val="24"/>
        </w:rPr>
        <w:t>u</w:t>
      </w:r>
      <w:r>
        <w:rPr>
          <w:spacing w:val="0"/>
          <w:w w:val="100"/>
          <w:kern w:val="0"/>
          <w:sz w:val="24"/>
        </w:rPr>
        <w:t>dismo, la diarrea, la malnutrición, la falta de micronutrientes esenciales, debida, e</w:t>
      </w:r>
      <w:r>
        <w:rPr>
          <w:spacing w:val="0"/>
          <w:w w:val="100"/>
          <w:kern w:val="0"/>
          <w:sz w:val="24"/>
        </w:rPr>
        <w:t>n</w:t>
      </w:r>
      <w:r>
        <w:rPr>
          <w:spacing w:val="0"/>
          <w:w w:val="100"/>
          <w:kern w:val="0"/>
          <w:sz w:val="24"/>
        </w:rPr>
        <w:t>tre otras causas, al bajo índice de lactancia materna entre los recién nacidos, la an</w:t>
      </w:r>
      <w:r>
        <w:rPr>
          <w:spacing w:val="0"/>
          <w:w w:val="100"/>
          <w:kern w:val="0"/>
          <w:sz w:val="24"/>
        </w:rPr>
        <w:t>e</w:t>
      </w:r>
      <w:r>
        <w:rPr>
          <w:spacing w:val="0"/>
          <w:w w:val="100"/>
          <w:kern w:val="0"/>
          <w:sz w:val="24"/>
        </w:rPr>
        <w:t>mia y el VIH/SIDA.  Se protege a los niños de diferentes enfermedades que se pu</w:t>
      </w:r>
      <w:r>
        <w:rPr>
          <w:spacing w:val="0"/>
          <w:w w:val="100"/>
          <w:kern w:val="0"/>
          <w:sz w:val="24"/>
        </w:rPr>
        <w:t>e</w:t>
      </w:r>
      <w:r>
        <w:rPr>
          <w:spacing w:val="0"/>
          <w:w w:val="100"/>
          <w:kern w:val="0"/>
          <w:sz w:val="24"/>
        </w:rPr>
        <w:t>den combatir con la administración de vacunas, abastecimiento de agua potable, servicios de salud eficientes y efectivos y programas educat</w:t>
      </w:r>
      <w:r>
        <w:rPr>
          <w:spacing w:val="0"/>
          <w:w w:val="100"/>
          <w:kern w:val="0"/>
          <w:sz w:val="24"/>
        </w:rPr>
        <w:t>i</w:t>
      </w:r>
      <w:r>
        <w:rPr>
          <w:spacing w:val="0"/>
          <w:w w:val="100"/>
          <w:kern w:val="0"/>
          <w:sz w:val="24"/>
        </w:rPr>
        <w:t>vos.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111.</w:t>
      </w:r>
      <w:r>
        <w:rPr>
          <w:spacing w:val="0"/>
          <w:w w:val="100"/>
          <w:kern w:val="0"/>
          <w:sz w:val="24"/>
        </w:rPr>
        <w:tab/>
        <w:t>El Gobierno de Zanzíbar ha establecido una Dependencia especial de nutrición a fin de resolver los problemas nutricionales de los menores de 5 años.  El objetivo primordial de esta Dependencia es mejorar la salud de mujeres y niños mediante la prevención y el control de la malnutrición y la falta de micronutrientes.  Sin emba</w:t>
      </w:r>
      <w:r>
        <w:rPr>
          <w:spacing w:val="0"/>
          <w:w w:val="100"/>
          <w:kern w:val="0"/>
          <w:sz w:val="24"/>
        </w:rPr>
        <w:t>r</w:t>
      </w:r>
      <w:r>
        <w:rPr>
          <w:spacing w:val="0"/>
          <w:w w:val="100"/>
          <w:kern w:val="0"/>
          <w:sz w:val="24"/>
        </w:rPr>
        <w:t>go, la eficacia de la Dependencia se encuentra limitada por la falta de fondos a pesar del apoyo que recibe del UNICEF en materia de vigilancia y estímulo del crecimie</w:t>
      </w:r>
      <w:r>
        <w:rPr>
          <w:spacing w:val="0"/>
          <w:w w:val="100"/>
          <w:kern w:val="0"/>
          <w:sz w:val="24"/>
        </w:rPr>
        <w:t>n</w:t>
      </w:r>
      <w:r>
        <w:rPr>
          <w:spacing w:val="0"/>
          <w:w w:val="100"/>
          <w:kern w:val="0"/>
          <w:sz w:val="24"/>
        </w:rPr>
        <w:t>to, que sirve para capacitar trabajadores de la salud, que a su vez capacitan a volu</w:t>
      </w:r>
      <w:r>
        <w:rPr>
          <w:spacing w:val="0"/>
          <w:w w:val="100"/>
          <w:kern w:val="0"/>
          <w:sz w:val="24"/>
        </w:rPr>
        <w:t>n</w:t>
      </w:r>
      <w:r>
        <w:rPr>
          <w:spacing w:val="0"/>
          <w:w w:val="100"/>
          <w:kern w:val="0"/>
          <w:sz w:val="24"/>
        </w:rPr>
        <w:t>tarios, de la comunidad en la aplicación de esas técnicas.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112.</w:t>
      </w:r>
      <w:r>
        <w:rPr>
          <w:spacing w:val="0"/>
          <w:w w:val="100"/>
          <w:kern w:val="0"/>
          <w:sz w:val="24"/>
        </w:rPr>
        <w:tab/>
        <w:t>En cuanto a la atención que reciben los bebés, uno de los indicadores para ev</w:t>
      </w:r>
      <w:r>
        <w:rPr>
          <w:spacing w:val="0"/>
          <w:w w:val="100"/>
          <w:kern w:val="0"/>
          <w:sz w:val="24"/>
        </w:rPr>
        <w:t>a</w:t>
      </w:r>
      <w:r>
        <w:rPr>
          <w:spacing w:val="0"/>
          <w:w w:val="100"/>
          <w:kern w:val="0"/>
          <w:sz w:val="24"/>
        </w:rPr>
        <w:t>luar su extensión es el nivel de asistencia a establecimientos preescolares de los n</w:t>
      </w:r>
      <w:r>
        <w:rPr>
          <w:spacing w:val="0"/>
          <w:w w:val="100"/>
          <w:kern w:val="0"/>
          <w:sz w:val="24"/>
        </w:rPr>
        <w:t>i</w:t>
      </w:r>
      <w:r>
        <w:rPr>
          <w:spacing w:val="0"/>
          <w:w w:val="100"/>
          <w:kern w:val="0"/>
          <w:sz w:val="24"/>
        </w:rPr>
        <w:t>ños de 4 a 6 años.  En Zanzíbar, durante 1999 tan sólo el 3% de lo niños asistía a ese tipo de a pr</w:t>
      </w:r>
      <w:r>
        <w:rPr>
          <w:spacing w:val="0"/>
          <w:w w:val="100"/>
          <w:kern w:val="0"/>
          <w:sz w:val="24"/>
        </w:rPr>
        <w:t>o</w:t>
      </w:r>
      <w:r>
        <w:rPr>
          <w:spacing w:val="0"/>
          <w:w w:val="100"/>
          <w:kern w:val="0"/>
          <w:sz w:val="24"/>
        </w:rPr>
        <w:t>gramas (3,6% en Unguja y 2,3% en Pemba).</w:t>
      </w:r>
    </w:p>
    <w:p w:rsidR="00000000" w:rsidRDefault="00000000">
      <w:pPr>
        <w:pStyle w:val="H23"/>
        <w:keepNext w:val="0"/>
        <w:keepLines w:val="0"/>
        <w:suppressAutoHyphens w:val="0"/>
        <w:spacing w:after="240" w:line="240" w:lineRule="auto"/>
        <w:outlineLvl w:val="9"/>
        <w:rPr>
          <w:bCs/>
          <w:spacing w:val="0"/>
          <w:w w:val="100"/>
          <w:kern w:val="0"/>
          <w:sz w:val="24"/>
        </w:rPr>
      </w:pPr>
      <w:r>
        <w:rPr>
          <w:bCs/>
          <w:spacing w:val="0"/>
          <w:w w:val="100"/>
          <w:kern w:val="0"/>
          <w:sz w:val="24"/>
        </w:rPr>
        <w:t>Respeto por la opinión del niño (artículo 12)</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113.</w:t>
      </w:r>
      <w:r>
        <w:rPr>
          <w:spacing w:val="0"/>
          <w:w w:val="100"/>
          <w:kern w:val="0"/>
          <w:sz w:val="24"/>
        </w:rPr>
        <w:tab/>
        <w:t>Para que las opiniones y aspiraciones de los niños se tuvieran en cuenta, en d</w:t>
      </w:r>
      <w:r>
        <w:rPr>
          <w:spacing w:val="0"/>
          <w:w w:val="100"/>
          <w:kern w:val="0"/>
          <w:sz w:val="24"/>
        </w:rPr>
        <w:t>i</w:t>
      </w:r>
      <w:r>
        <w:rPr>
          <w:spacing w:val="0"/>
          <w:w w:val="100"/>
          <w:kern w:val="0"/>
          <w:sz w:val="24"/>
        </w:rPr>
        <w:t>ciembre de 2002 se constituyó un Consejo juvenil de la República Unida de Tanz</w:t>
      </w:r>
      <w:r>
        <w:rPr>
          <w:spacing w:val="0"/>
          <w:w w:val="100"/>
          <w:kern w:val="0"/>
          <w:sz w:val="24"/>
        </w:rPr>
        <w:t>a</w:t>
      </w:r>
      <w:r>
        <w:rPr>
          <w:spacing w:val="0"/>
          <w:w w:val="100"/>
          <w:kern w:val="0"/>
          <w:sz w:val="24"/>
        </w:rPr>
        <w:t>nía.  Se trata de una iniciativa de ámbito nacional creada por y para los niños.  El Consejo cuenta con dos representantes procedentes de cada región de Tanzanía co</w:t>
      </w:r>
      <w:r>
        <w:rPr>
          <w:spacing w:val="0"/>
          <w:w w:val="100"/>
          <w:kern w:val="0"/>
          <w:sz w:val="24"/>
        </w:rPr>
        <w:t>n</w:t>
      </w:r>
      <w:r>
        <w:rPr>
          <w:spacing w:val="0"/>
          <w:w w:val="100"/>
          <w:kern w:val="0"/>
          <w:sz w:val="24"/>
        </w:rPr>
        <w:t>tinental y Zanzíbar.  Sus miembros deben ser menores de 18 años y tienen procede</w:t>
      </w:r>
      <w:r>
        <w:rPr>
          <w:spacing w:val="0"/>
          <w:w w:val="100"/>
          <w:kern w:val="0"/>
          <w:sz w:val="24"/>
        </w:rPr>
        <w:t>n</w:t>
      </w:r>
      <w:r>
        <w:rPr>
          <w:spacing w:val="0"/>
          <w:w w:val="100"/>
          <w:kern w:val="0"/>
          <w:sz w:val="24"/>
        </w:rPr>
        <w:t>cias muy diversas, con especial representación de los niños en situación vulnerable.  El Consejo pretende ser un mecanismo institucional de ámbito nacional que permita a los niños contribuir al programa nacional de desarrollo y a la promoción del niño.  En cuanto al artículo 12 de la Convención, a través del Ministerio del Desarrollo Comunitario, la Mujer y el Niño, el Gobierno ha apoyado la iniciativa desde un principio y está tramitando su registro oficial.</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114.</w:t>
      </w:r>
      <w:r>
        <w:rPr>
          <w:spacing w:val="0"/>
          <w:w w:val="100"/>
          <w:kern w:val="0"/>
          <w:sz w:val="24"/>
        </w:rPr>
        <w:tab/>
        <w:t>Con el apoyo del Gobierno y el Movimiento por los Niños de Tanzanía (TMC), los niños de Zanzíbar han puesto en marcha consejos juveniles en tres distritos de Unguja.  Se está tratando de que en otros distritos también se establezcan consejos similares.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115.</w:t>
      </w:r>
      <w:r>
        <w:rPr>
          <w:spacing w:val="0"/>
          <w:w w:val="100"/>
          <w:kern w:val="0"/>
          <w:sz w:val="24"/>
        </w:rPr>
        <w:tab/>
        <w:t>Distintas emisoras oficiales y privadas transmiten programas destinados a niños y jóvenes y que cuentan con su participación.  Radio Tanzania, Clouds FM, radio Kwizera, Radio Free Africa, Television Zanzibar (TVZ), Tanzania National Telev</w:t>
      </w:r>
      <w:r>
        <w:rPr>
          <w:spacing w:val="0"/>
          <w:w w:val="100"/>
          <w:kern w:val="0"/>
          <w:sz w:val="24"/>
        </w:rPr>
        <w:t>i</w:t>
      </w:r>
      <w:r>
        <w:rPr>
          <w:spacing w:val="0"/>
          <w:w w:val="100"/>
          <w:kern w:val="0"/>
          <w:sz w:val="24"/>
        </w:rPr>
        <w:t>sion (TVT), Independent Television (ITV) y Star Television (Star TV), emiten reg</w:t>
      </w:r>
      <w:r>
        <w:rPr>
          <w:spacing w:val="0"/>
          <w:w w:val="100"/>
          <w:kern w:val="0"/>
          <w:sz w:val="24"/>
        </w:rPr>
        <w:t>u</w:t>
      </w:r>
      <w:r>
        <w:rPr>
          <w:spacing w:val="0"/>
          <w:w w:val="100"/>
          <w:kern w:val="0"/>
          <w:sz w:val="24"/>
        </w:rPr>
        <w:t>larmente programas en cuya producción participan los niños.  El programa semanal destinado a los niños que emiten Clouds FM y ITV es único en su género, y está pr</w:t>
      </w:r>
      <w:r>
        <w:rPr>
          <w:spacing w:val="0"/>
          <w:w w:val="100"/>
          <w:kern w:val="0"/>
          <w:sz w:val="24"/>
        </w:rPr>
        <w:t>o</w:t>
      </w:r>
      <w:r>
        <w:rPr>
          <w:spacing w:val="0"/>
          <w:w w:val="100"/>
          <w:kern w:val="0"/>
          <w:sz w:val="24"/>
        </w:rPr>
        <w:t>ducido y presentado por los propios niños.  En Zanzíbar, los niños preparan y emiten ellos solos un boletín informativo diario y una muestra artística en TV-Zanzibar.</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116.</w:t>
      </w:r>
      <w:r>
        <w:rPr>
          <w:spacing w:val="0"/>
          <w:w w:val="100"/>
          <w:kern w:val="0"/>
          <w:sz w:val="24"/>
        </w:rPr>
        <w:tab/>
        <w:t xml:space="preserve">Los niños también participan en reuniones escolares, </w:t>
      </w:r>
      <w:r>
        <w:rPr>
          <w:i/>
          <w:iCs/>
          <w:spacing w:val="0"/>
          <w:w w:val="100"/>
          <w:kern w:val="0"/>
          <w:sz w:val="24"/>
        </w:rPr>
        <w:t>Barazas</w:t>
      </w:r>
      <w:r>
        <w:rPr>
          <w:spacing w:val="0"/>
          <w:w w:val="100"/>
          <w:kern w:val="0"/>
          <w:sz w:val="24"/>
        </w:rPr>
        <w:t>, que se organ</w:t>
      </w:r>
      <w:r>
        <w:rPr>
          <w:spacing w:val="0"/>
          <w:w w:val="100"/>
          <w:kern w:val="0"/>
          <w:sz w:val="24"/>
        </w:rPr>
        <w:t>i</w:t>
      </w:r>
      <w:r>
        <w:rPr>
          <w:spacing w:val="0"/>
          <w:w w:val="100"/>
          <w:kern w:val="0"/>
          <w:sz w:val="24"/>
        </w:rPr>
        <w:t>zan durante las semanas en que se celebra el Día del Niño Africano y el Proyecto para que los medios de comunicación sirvan a los niños.  También tomaron parte en la preparación del documento final titulado Un mundo apropiado para los niños y un continente africano apropiado para los niños e intervinieron en el período extraord</w:t>
      </w:r>
      <w:r>
        <w:rPr>
          <w:spacing w:val="0"/>
          <w:w w:val="100"/>
          <w:kern w:val="0"/>
          <w:sz w:val="24"/>
        </w:rPr>
        <w:t>i</w:t>
      </w:r>
      <w:r>
        <w:rPr>
          <w:spacing w:val="0"/>
          <w:w w:val="100"/>
          <w:kern w:val="0"/>
          <w:sz w:val="24"/>
        </w:rPr>
        <w:t>nario de sesiones de la Asamblea General de las Naciones Unidas sobre la infancia que tuvo lugar en mayo de 2002.</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117.</w:t>
      </w:r>
      <w:r>
        <w:rPr>
          <w:spacing w:val="0"/>
          <w:w w:val="100"/>
          <w:kern w:val="0"/>
          <w:sz w:val="24"/>
        </w:rPr>
        <w:tab/>
        <w:t xml:space="preserve">TVZ emite distintos programas relacionados con los niños.  Radio Zanzibar cuenta con un programa, denominado </w:t>
      </w:r>
      <w:r>
        <w:rPr>
          <w:i/>
          <w:iCs/>
          <w:spacing w:val="0"/>
          <w:w w:val="100"/>
          <w:kern w:val="0"/>
          <w:sz w:val="24"/>
        </w:rPr>
        <w:t>Tuzinduwane</w:t>
      </w:r>
      <w:r>
        <w:rPr>
          <w:spacing w:val="0"/>
          <w:w w:val="100"/>
          <w:kern w:val="0"/>
          <w:sz w:val="24"/>
        </w:rPr>
        <w:t>, en que se examina cómo la buena gobernanza puede contribuir a combatir el VIH/SIDA.  En este programa los niños expresan directamente sus opiniones sobre los métodos para reducir la epid</w:t>
      </w:r>
      <w:r>
        <w:rPr>
          <w:spacing w:val="0"/>
          <w:w w:val="100"/>
          <w:kern w:val="0"/>
          <w:sz w:val="24"/>
        </w:rPr>
        <w:t>e</w:t>
      </w:r>
      <w:r>
        <w:rPr>
          <w:spacing w:val="0"/>
          <w:w w:val="100"/>
          <w:kern w:val="0"/>
          <w:sz w:val="24"/>
        </w:rPr>
        <w:t>mia.  Hasta el momento se han emitido 1.478 programas.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118.</w:t>
      </w:r>
      <w:r>
        <w:rPr>
          <w:spacing w:val="0"/>
          <w:w w:val="100"/>
          <w:kern w:val="0"/>
          <w:sz w:val="24"/>
        </w:rPr>
        <w:tab/>
        <w:t>El Gobierno de Zanzíbar siempre procura que los niños participen directame</w:t>
      </w:r>
      <w:r>
        <w:rPr>
          <w:spacing w:val="0"/>
          <w:w w:val="100"/>
          <w:kern w:val="0"/>
          <w:sz w:val="24"/>
        </w:rPr>
        <w:t>n</w:t>
      </w:r>
      <w:r>
        <w:rPr>
          <w:spacing w:val="0"/>
          <w:w w:val="100"/>
          <w:kern w:val="0"/>
          <w:sz w:val="24"/>
        </w:rPr>
        <w:t>te en todas las actividades de su interés.  Para la celebración del Día del Niño Afr</w:t>
      </w:r>
      <w:r>
        <w:rPr>
          <w:spacing w:val="0"/>
          <w:w w:val="100"/>
          <w:kern w:val="0"/>
          <w:sz w:val="24"/>
        </w:rPr>
        <w:t>i</w:t>
      </w:r>
      <w:r>
        <w:rPr>
          <w:spacing w:val="0"/>
          <w:w w:val="100"/>
          <w:kern w:val="0"/>
          <w:sz w:val="24"/>
        </w:rPr>
        <w:t>cano, los niños organizan distintas actividades a nivel comunitario, regional y n</w:t>
      </w:r>
      <w:r>
        <w:rPr>
          <w:spacing w:val="0"/>
          <w:w w:val="100"/>
          <w:kern w:val="0"/>
          <w:sz w:val="24"/>
        </w:rPr>
        <w:t>a</w:t>
      </w:r>
      <w:r>
        <w:rPr>
          <w:spacing w:val="0"/>
          <w:w w:val="100"/>
          <w:kern w:val="0"/>
          <w:sz w:val="24"/>
        </w:rPr>
        <w:t>cional, entre ellas obras de teatro y discursos especiales que tratan de las aspiraci</w:t>
      </w:r>
      <w:r>
        <w:rPr>
          <w:spacing w:val="0"/>
          <w:w w:val="100"/>
          <w:kern w:val="0"/>
          <w:sz w:val="24"/>
        </w:rPr>
        <w:t>o</w:t>
      </w:r>
      <w:r>
        <w:rPr>
          <w:spacing w:val="0"/>
          <w:w w:val="100"/>
          <w:kern w:val="0"/>
          <w:sz w:val="24"/>
        </w:rPr>
        <w:t>nes de los niños, los problemas a que se enfrentan y los medios de resolve</w:t>
      </w:r>
      <w:r>
        <w:rPr>
          <w:spacing w:val="0"/>
          <w:w w:val="100"/>
          <w:kern w:val="0"/>
          <w:sz w:val="24"/>
        </w:rPr>
        <w:t>r</w:t>
      </w:r>
      <w:r>
        <w:rPr>
          <w:spacing w:val="0"/>
          <w:w w:val="100"/>
          <w:kern w:val="0"/>
          <w:sz w:val="24"/>
        </w:rPr>
        <w:t>los.</w:t>
      </w:r>
    </w:p>
    <w:p w:rsidR="00000000" w:rsidRDefault="00000000">
      <w:pPr>
        <w:pStyle w:val="HCh"/>
        <w:keepNext w:val="0"/>
        <w:keepLines w:val="0"/>
        <w:suppressAutoHyphens w:val="0"/>
        <w:spacing w:before="480" w:after="240" w:line="240" w:lineRule="auto"/>
        <w:jc w:val="center"/>
        <w:outlineLvl w:val="9"/>
        <w:rPr>
          <w:bCs/>
          <w:spacing w:val="0"/>
          <w:w w:val="100"/>
          <w:kern w:val="0"/>
          <w:sz w:val="24"/>
          <w:lang w:val="es-MX"/>
        </w:rPr>
      </w:pPr>
      <w:r>
        <w:rPr>
          <w:bCs/>
          <w:spacing w:val="0"/>
          <w:w w:val="100"/>
          <w:kern w:val="0"/>
          <w:sz w:val="24"/>
          <w:lang w:val="es-MX"/>
        </w:rPr>
        <w:t>IV.  DERECHOS Y LIBERTADES CIVILES</w:t>
      </w:r>
    </w:p>
    <w:p w:rsidR="00000000" w:rsidRDefault="00000000">
      <w:pPr>
        <w:pStyle w:val="H23"/>
        <w:keepNext w:val="0"/>
        <w:keepLines w:val="0"/>
        <w:suppressAutoHyphens w:val="0"/>
        <w:spacing w:after="240" w:line="240" w:lineRule="auto"/>
        <w:outlineLvl w:val="9"/>
        <w:rPr>
          <w:bCs/>
          <w:spacing w:val="0"/>
          <w:w w:val="100"/>
          <w:kern w:val="0"/>
          <w:sz w:val="24"/>
        </w:rPr>
      </w:pPr>
      <w:r>
        <w:rPr>
          <w:bCs/>
          <w:spacing w:val="0"/>
          <w:w w:val="100"/>
          <w:kern w:val="0"/>
          <w:sz w:val="24"/>
        </w:rPr>
        <w:t>Registro de nacimientos (artículo 7)</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119.</w:t>
      </w:r>
      <w:r>
        <w:rPr>
          <w:spacing w:val="0"/>
          <w:w w:val="100"/>
          <w:kern w:val="0"/>
          <w:sz w:val="24"/>
        </w:rPr>
        <w:tab/>
        <w:t>En aplicación de la Ordenanza sobre el registro de nacimientos y defunciones, Tanzanía implantó el Programa de registro civil que cubre 84 de las 113 administr</w:t>
      </w:r>
      <w:r>
        <w:rPr>
          <w:spacing w:val="0"/>
          <w:w w:val="100"/>
          <w:kern w:val="0"/>
          <w:sz w:val="24"/>
        </w:rPr>
        <w:t>a</w:t>
      </w:r>
      <w:r>
        <w:rPr>
          <w:spacing w:val="0"/>
          <w:w w:val="100"/>
          <w:kern w:val="0"/>
          <w:sz w:val="24"/>
        </w:rPr>
        <w:t>ciones locales.  También se llevan a cabo las inscripciones obligatorias en los dispens</w:t>
      </w:r>
      <w:r>
        <w:rPr>
          <w:spacing w:val="0"/>
          <w:w w:val="100"/>
          <w:kern w:val="0"/>
          <w:sz w:val="24"/>
        </w:rPr>
        <w:t>a</w:t>
      </w:r>
      <w:r>
        <w:rPr>
          <w:spacing w:val="0"/>
          <w:w w:val="100"/>
          <w:kern w:val="0"/>
          <w:sz w:val="24"/>
        </w:rPr>
        <w:t>rios y centros de salud situados en las aldeas.  El Gobierno ha instituido un mecanismo para supervisar el proceso de registro hasta el nivel de las aldeas.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120.</w:t>
      </w:r>
      <w:r>
        <w:rPr>
          <w:spacing w:val="0"/>
          <w:w w:val="100"/>
          <w:kern w:val="0"/>
          <w:sz w:val="24"/>
        </w:rPr>
        <w:tab/>
        <w:t>Además el registro de los nacimientos, el Departamento del Administrador G</w:t>
      </w:r>
      <w:r>
        <w:rPr>
          <w:spacing w:val="0"/>
          <w:w w:val="100"/>
          <w:kern w:val="0"/>
          <w:sz w:val="24"/>
        </w:rPr>
        <w:t>e</w:t>
      </w:r>
      <w:r>
        <w:rPr>
          <w:spacing w:val="0"/>
          <w:w w:val="100"/>
          <w:kern w:val="0"/>
          <w:sz w:val="24"/>
        </w:rPr>
        <w:t>neral ha organizado varios programas de capacitación, con el objetivo de inculcar la práctica de registrar los nacimientos y extender el conocimiento sobre los derechos del niño entre las instituciones asociadas, los interesados y la ciudadanía en general.</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121.</w:t>
      </w:r>
      <w:r>
        <w:rPr>
          <w:spacing w:val="0"/>
          <w:w w:val="100"/>
          <w:kern w:val="0"/>
          <w:sz w:val="24"/>
        </w:rPr>
        <w:tab/>
        <w:t>En 1998, el Departamento del Administrador General organizó talleres y sem</w:t>
      </w:r>
      <w:r>
        <w:rPr>
          <w:spacing w:val="0"/>
          <w:w w:val="100"/>
          <w:kern w:val="0"/>
          <w:sz w:val="24"/>
        </w:rPr>
        <w:t>i</w:t>
      </w:r>
      <w:r>
        <w:rPr>
          <w:spacing w:val="0"/>
          <w:w w:val="100"/>
          <w:kern w:val="0"/>
          <w:sz w:val="24"/>
        </w:rPr>
        <w:t>narios de capacitación de instructores para funcionarios ejecutivos de municipios y aldeas y profesionales de la salud, con el fin de informarles sobre el programa de registro de nacimientos.  Los seminarios se celebraron en 66 administraciones loc</w:t>
      </w:r>
      <w:r>
        <w:rPr>
          <w:spacing w:val="0"/>
          <w:w w:val="100"/>
          <w:kern w:val="0"/>
          <w:sz w:val="24"/>
        </w:rPr>
        <w:t>a</w:t>
      </w:r>
      <w:r>
        <w:rPr>
          <w:spacing w:val="0"/>
          <w:w w:val="100"/>
          <w:kern w:val="0"/>
          <w:sz w:val="24"/>
        </w:rPr>
        <w:t>les de Tanzanía continental.  De manera similar, y con el apoyo del UNICEF, en 2002 el Departamento organizó un programa de capacitación en el distrito de Njo</w:t>
      </w:r>
      <w:r>
        <w:rPr>
          <w:spacing w:val="0"/>
          <w:w w:val="100"/>
          <w:kern w:val="0"/>
          <w:sz w:val="24"/>
        </w:rPr>
        <w:t>m</w:t>
      </w:r>
      <w:r>
        <w:rPr>
          <w:spacing w:val="0"/>
          <w:w w:val="100"/>
          <w:kern w:val="0"/>
          <w:sz w:val="24"/>
        </w:rPr>
        <w:t>be, que consistió en seis seminarios de capacitación de instructores, con la asistencia de 795 partic</w:t>
      </w:r>
      <w:r>
        <w:rPr>
          <w:spacing w:val="0"/>
          <w:w w:val="100"/>
          <w:kern w:val="0"/>
          <w:sz w:val="24"/>
        </w:rPr>
        <w:t>i</w:t>
      </w:r>
      <w:r>
        <w:rPr>
          <w:spacing w:val="0"/>
          <w:w w:val="100"/>
          <w:kern w:val="0"/>
          <w:sz w:val="24"/>
        </w:rPr>
        <w:t>pantes.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122.</w:t>
      </w:r>
      <w:r>
        <w:rPr>
          <w:spacing w:val="0"/>
          <w:w w:val="100"/>
          <w:kern w:val="0"/>
          <w:sz w:val="24"/>
        </w:rPr>
        <w:tab/>
        <w:t>Para complementar las actividades del Gobierno, las ONG también contribuyeron a crear conciencia de la necesidad de inscribir los nacimientos a través del programa televisivo "Mulika" de las cadenas Channel Ten Television y Dar es Salaam Television (DTV).  Además, se retransmitió un debate sobre la ley y la importancia del registro.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lang w:val="es-ES_tradnl"/>
        </w:rPr>
      </w:pPr>
      <w:r>
        <w:rPr>
          <w:spacing w:val="0"/>
          <w:w w:val="100"/>
          <w:kern w:val="0"/>
          <w:sz w:val="24"/>
          <w:lang w:val="es-ES_tradnl"/>
        </w:rPr>
        <w:t>123.</w:t>
      </w:r>
      <w:r>
        <w:rPr>
          <w:spacing w:val="0"/>
          <w:w w:val="100"/>
          <w:kern w:val="0"/>
          <w:sz w:val="24"/>
          <w:lang w:val="es-ES_tradnl"/>
        </w:rPr>
        <w:tab/>
        <w:t>Entre los factores que obstaculizan la aplicación de la Convención en cuanto al registro de los nacimientos se encuentra la falta de financiación, la carencia de r</w:t>
      </w:r>
      <w:r>
        <w:rPr>
          <w:spacing w:val="0"/>
          <w:w w:val="100"/>
          <w:kern w:val="0"/>
          <w:sz w:val="24"/>
          <w:lang w:val="es-ES_tradnl"/>
        </w:rPr>
        <w:t>e</w:t>
      </w:r>
      <w:r>
        <w:rPr>
          <w:spacing w:val="0"/>
          <w:w w:val="100"/>
          <w:kern w:val="0"/>
          <w:sz w:val="24"/>
          <w:lang w:val="es-ES_tradnl"/>
        </w:rPr>
        <w:t>cursos humanos, la insuficiencia de material para capacitación y promoción y la e</w:t>
      </w:r>
      <w:r>
        <w:rPr>
          <w:spacing w:val="0"/>
          <w:w w:val="100"/>
          <w:kern w:val="0"/>
          <w:sz w:val="24"/>
          <w:lang w:val="es-ES_tradnl"/>
        </w:rPr>
        <w:t>s</w:t>
      </w:r>
      <w:r>
        <w:rPr>
          <w:spacing w:val="0"/>
          <w:w w:val="100"/>
          <w:kern w:val="0"/>
          <w:sz w:val="24"/>
          <w:lang w:val="es-ES_tradnl"/>
        </w:rPr>
        <w:t>casez de programas de divulgación.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lang w:val="es-ES_tradnl"/>
        </w:rPr>
      </w:pPr>
      <w:r>
        <w:rPr>
          <w:spacing w:val="0"/>
          <w:w w:val="100"/>
          <w:kern w:val="0"/>
          <w:sz w:val="24"/>
          <w:lang w:val="es-ES_tradnl"/>
        </w:rPr>
        <w:t>124.</w:t>
      </w:r>
      <w:r>
        <w:rPr>
          <w:spacing w:val="0"/>
          <w:w w:val="100"/>
          <w:kern w:val="0"/>
          <w:sz w:val="24"/>
          <w:lang w:val="es-ES_tradnl"/>
        </w:rPr>
        <w:tab/>
        <w:t>El Gobierno de Zanzíbar ha establecido una oficina para el registro de los n</w:t>
      </w:r>
      <w:r>
        <w:rPr>
          <w:spacing w:val="0"/>
          <w:w w:val="100"/>
          <w:kern w:val="0"/>
          <w:sz w:val="24"/>
          <w:lang w:val="es-ES_tradnl"/>
        </w:rPr>
        <w:t>a</w:t>
      </w:r>
      <w:r>
        <w:rPr>
          <w:spacing w:val="0"/>
          <w:w w:val="100"/>
          <w:kern w:val="0"/>
          <w:sz w:val="24"/>
          <w:lang w:val="es-ES_tradnl"/>
        </w:rPr>
        <w:t>cimientos en todos los distritos y Shehias, de conformidad con lo dispuesto en la normativa nacional sobre nacimientos y defunciones.  El Decreto sobre el registro de nacimientos y defunciones otorga a los padres un plazo de 42 días para inscribir el nacimiento.  En la oficina de la Shehia existen formularios a este fin, cuya present</w:t>
      </w:r>
      <w:r>
        <w:rPr>
          <w:spacing w:val="0"/>
          <w:w w:val="100"/>
          <w:kern w:val="0"/>
          <w:sz w:val="24"/>
          <w:lang w:val="es-ES_tradnl"/>
        </w:rPr>
        <w:t>a</w:t>
      </w:r>
      <w:r>
        <w:rPr>
          <w:spacing w:val="0"/>
          <w:w w:val="100"/>
          <w:kern w:val="0"/>
          <w:sz w:val="24"/>
          <w:lang w:val="es-ES_tradnl"/>
        </w:rPr>
        <w:t>ción supone el primer paso para la obtención del certificado de nacimiento de la of</w:t>
      </w:r>
      <w:r>
        <w:rPr>
          <w:spacing w:val="0"/>
          <w:w w:val="100"/>
          <w:kern w:val="0"/>
          <w:sz w:val="24"/>
          <w:lang w:val="es-ES_tradnl"/>
        </w:rPr>
        <w:t>i</w:t>
      </w:r>
      <w:r>
        <w:rPr>
          <w:spacing w:val="0"/>
          <w:w w:val="100"/>
          <w:kern w:val="0"/>
          <w:sz w:val="24"/>
          <w:lang w:val="es-ES_tradnl"/>
        </w:rPr>
        <w:t>cina de registro civil del distrito, que acredita la identidad y la nacionalidad.  La ley ha ido más allá al establecer que cuando el nacimiento se produzca en una prisión, hospital, orfanato o estación de cuarentena, la responsabilidad de notificarlo corre</w:t>
      </w:r>
      <w:r>
        <w:rPr>
          <w:spacing w:val="0"/>
          <w:w w:val="100"/>
          <w:kern w:val="0"/>
          <w:sz w:val="24"/>
          <w:lang w:val="es-ES_tradnl"/>
        </w:rPr>
        <w:t>s</w:t>
      </w:r>
      <w:r>
        <w:rPr>
          <w:spacing w:val="0"/>
          <w:w w:val="100"/>
          <w:kern w:val="0"/>
          <w:sz w:val="24"/>
          <w:lang w:val="es-ES_tradnl"/>
        </w:rPr>
        <w:t>ponde al funcionario a cargo de la institución de que se trate.  En la inscripción no se hará referencia al hecho de que el nacimiento se produjo en una prisión.  A fin de promover el registro de los nacimientos, algunas instituciones gubernamentales ex</w:t>
      </w:r>
      <w:r>
        <w:rPr>
          <w:spacing w:val="0"/>
          <w:w w:val="100"/>
          <w:kern w:val="0"/>
          <w:sz w:val="24"/>
          <w:lang w:val="es-ES_tradnl"/>
        </w:rPr>
        <w:t>i</w:t>
      </w:r>
      <w:r>
        <w:rPr>
          <w:spacing w:val="0"/>
          <w:w w:val="100"/>
          <w:kern w:val="0"/>
          <w:sz w:val="24"/>
          <w:lang w:val="es-ES_tradnl"/>
        </w:rPr>
        <w:t>gen la presentación del certificado de nacimiento como requisito para acceder a cie</w:t>
      </w:r>
      <w:r>
        <w:rPr>
          <w:spacing w:val="0"/>
          <w:w w:val="100"/>
          <w:kern w:val="0"/>
          <w:sz w:val="24"/>
          <w:lang w:val="es-ES_tradnl"/>
        </w:rPr>
        <w:t>r</w:t>
      </w:r>
      <w:r>
        <w:rPr>
          <w:spacing w:val="0"/>
          <w:w w:val="100"/>
          <w:kern w:val="0"/>
          <w:sz w:val="24"/>
          <w:lang w:val="es-ES_tradnl"/>
        </w:rPr>
        <w:t>tos der</w:t>
      </w:r>
      <w:r>
        <w:rPr>
          <w:spacing w:val="0"/>
          <w:w w:val="100"/>
          <w:kern w:val="0"/>
          <w:sz w:val="24"/>
          <w:lang w:val="es-ES_tradnl"/>
        </w:rPr>
        <w:t>e</w:t>
      </w:r>
      <w:r>
        <w:rPr>
          <w:spacing w:val="0"/>
          <w:w w:val="100"/>
          <w:kern w:val="0"/>
          <w:sz w:val="24"/>
          <w:lang w:val="es-ES_tradnl"/>
        </w:rPr>
        <w:t>chos.</w:t>
      </w:r>
    </w:p>
    <w:p w:rsidR="00000000" w:rsidRDefault="00000000">
      <w:pPr>
        <w:pStyle w:val="H23"/>
        <w:keepNext w:val="0"/>
        <w:keepLines w:val="0"/>
        <w:suppressAutoHyphens w:val="0"/>
        <w:spacing w:after="240" w:line="240" w:lineRule="auto"/>
        <w:outlineLvl w:val="9"/>
        <w:rPr>
          <w:bCs/>
          <w:spacing w:val="0"/>
          <w:w w:val="100"/>
          <w:kern w:val="0"/>
          <w:sz w:val="24"/>
          <w:lang w:val="es-ES_tradnl"/>
        </w:rPr>
      </w:pPr>
      <w:r>
        <w:rPr>
          <w:bCs/>
          <w:spacing w:val="0"/>
          <w:w w:val="100"/>
          <w:kern w:val="0"/>
          <w:sz w:val="24"/>
          <w:lang w:val="es-ES_tradnl"/>
        </w:rPr>
        <w:t>Brutalidad policial (artículo 13)</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lang w:val="es-ES_tradnl"/>
        </w:rPr>
      </w:pPr>
      <w:r>
        <w:rPr>
          <w:spacing w:val="0"/>
          <w:w w:val="100"/>
          <w:kern w:val="0"/>
          <w:sz w:val="24"/>
          <w:lang w:val="es-ES_tradnl"/>
        </w:rPr>
        <w:t>125.</w:t>
      </w:r>
      <w:r>
        <w:rPr>
          <w:spacing w:val="0"/>
          <w:w w:val="100"/>
          <w:kern w:val="0"/>
          <w:sz w:val="24"/>
          <w:lang w:val="es-ES_tradnl"/>
        </w:rPr>
        <w:tab/>
        <w:t>Los casos de brutalidad policial han disminuido gracias a los programas de promoción organizados por los medios de comunicación nacionales, la capacitación de los oficiales de policía y la celebración de seminarios y talleres sobre los der</w:t>
      </w:r>
      <w:r>
        <w:rPr>
          <w:spacing w:val="0"/>
          <w:w w:val="100"/>
          <w:kern w:val="0"/>
          <w:sz w:val="24"/>
          <w:lang w:val="es-ES_tradnl"/>
        </w:rPr>
        <w:t>e</w:t>
      </w:r>
      <w:r>
        <w:rPr>
          <w:spacing w:val="0"/>
          <w:w w:val="100"/>
          <w:kern w:val="0"/>
          <w:sz w:val="24"/>
          <w:lang w:val="es-ES_tradnl"/>
        </w:rPr>
        <w:t>chos humanos del niño.  Además, el Gobierno ha introducido una asignatura de der</w:t>
      </w:r>
      <w:r>
        <w:rPr>
          <w:spacing w:val="0"/>
          <w:w w:val="100"/>
          <w:kern w:val="0"/>
          <w:sz w:val="24"/>
          <w:lang w:val="es-ES_tradnl"/>
        </w:rPr>
        <w:t>e</w:t>
      </w:r>
      <w:r>
        <w:rPr>
          <w:spacing w:val="0"/>
          <w:w w:val="100"/>
          <w:kern w:val="0"/>
          <w:sz w:val="24"/>
          <w:lang w:val="es-ES_tradnl"/>
        </w:rPr>
        <w:t>chos humanos en los programas de estudios de los oficiales de policía y el personal penitenciario en que se trata también el tema de los derechos del niño.</w:t>
      </w:r>
    </w:p>
    <w:p w:rsidR="00000000" w:rsidRDefault="00000000">
      <w:pPr>
        <w:pStyle w:val="H23"/>
        <w:keepNext w:val="0"/>
        <w:keepLines w:val="0"/>
        <w:suppressAutoHyphens w:val="0"/>
        <w:spacing w:after="240" w:line="240" w:lineRule="auto"/>
        <w:outlineLvl w:val="9"/>
        <w:rPr>
          <w:bCs/>
          <w:spacing w:val="0"/>
          <w:w w:val="100"/>
          <w:kern w:val="0"/>
          <w:sz w:val="24"/>
          <w:lang w:val="es-ES_tradnl"/>
        </w:rPr>
      </w:pPr>
      <w:r>
        <w:rPr>
          <w:bCs/>
          <w:spacing w:val="0"/>
          <w:w w:val="100"/>
          <w:kern w:val="0"/>
          <w:sz w:val="24"/>
          <w:lang w:val="es-ES_tradnl"/>
        </w:rPr>
        <w:tab/>
        <w:t>Castigos corporales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lang w:val="es-ES_tradnl"/>
        </w:rPr>
      </w:pPr>
      <w:r>
        <w:rPr>
          <w:spacing w:val="0"/>
          <w:w w:val="100"/>
          <w:kern w:val="0"/>
          <w:sz w:val="24"/>
          <w:lang w:val="es-ES_tradnl"/>
        </w:rPr>
        <w:t>126.</w:t>
      </w:r>
      <w:r>
        <w:rPr>
          <w:spacing w:val="0"/>
          <w:w w:val="100"/>
          <w:kern w:val="0"/>
          <w:sz w:val="24"/>
          <w:lang w:val="es-ES_tradnl"/>
        </w:rPr>
        <w:tab/>
        <w:t>En 2000, el Ministerio del Desarrollo Comunitario, la Mujer y el Niño, que es la instancia competente en materia de promoción del niño, lanzó una campaña c</w:t>
      </w:r>
      <w:r>
        <w:rPr>
          <w:spacing w:val="0"/>
          <w:w w:val="100"/>
          <w:kern w:val="0"/>
          <w:sz w:val="24"/>
          <w:lang w:val="es-ES_tradnl"/>
        </w:rPr>
        <w:t>o</w:t>
      </w:r>
      <w:r>
        <w:rPr>
          <w:spacing w:val="0"/>
          <w:w w:val="100"/>
          <w:kern w:val="0"/>
          <w:sz w:val="24"/>
          <w:lang w:val="es-ES_tradnl"/>
        </w:rPr>
        <w:t>ntra los castigos corporales con el objetivo de iniciar un debate sobre los modos apropiados de interacción entre adultos y niños.  Varias ONG y comunitarias tomaron parte en esta campaña, que incluyó la difusión de materiales; la publicación de artículos periodísticos y comunicados de prensa; la emisión de programas de radio y televisión; y la celebración de diálogos en distintos lugares del país.  El Gobierno adoptó directrices sobre la regulación y el control de los castigos corporales en las escuelas, donde el número de azotes se ha reducido de seis a cuatro.  Según las nuevas directrices, únicamente los directores de las escuelas pueden infligir castigos corporales, y se prevén sanciones para los profesores que i</w:t>
      </w:r>
      <w:r>
        <w:rPr>
          <w:spacing w:val="0"/>
          <w:w w:val="100"/>
          <w:kern w:val="0"/>
          <w:sz w:val="24"/>
          <w:lang w:val="es-ES_tradnl"/>
        </w:rPr>
        <w:t>n</w:t>
      </w:r>
      <w:r>
        <w:rPr>
          <w:spacing w:val="0"/>
          <w:w w:val="100"/>
          <w:kern w:val="0"/>
          <w:sz w:val="24"/>
          <w:lang w:val="es-ES_tradnl"/>
        </w:rPr>
        <w:t>frinjan estas norma.  Además, como parte de esta iniciativa, el Gobierno ha introd</w:t>
      </w:r>
      <w:r>
        <w:rPr>
          <w:spacing w:val="0"/>
          <w:w w:val="100"/>
          <w:kern w:val="0"/>
          <w:sz w:val="24"/>
          <w:lang w:val="es-ES_tradnl"/>
        </w:rPr>
        <w:t>u</w:t>
      </w:r>
      <w:r>
        <w:rPr>
          <w:spacing w:val="0"/>
          <w:w w:val="100"/>
          <w:kern w:val="0"/>
          <w:sz w:val="24"/>
          <w:lang w:val="es-ES_tradnl"/>
        </w:rPr>
        <w:t>cido una disposición que pone límite al número de azotes que puede recibir un alumno.  Según la Ordenanza de castigos corporales (cap. 17, art. 8 2)) ni</w:t>
      </w:r>
      <w:r>
        <w:rPr>
          <w:spacing w:val="0"/>
          <w:w w:val="100"/>
          <w:kern w:val="0"/>
          <w:sz w:val="24"/>
          <w:lang w:val="es-ES_tradnl"/>
        </w:rPr>
        <w:t>n</w:t>
      </w:r>
      <w:r>
        <w:rPr>
          <w:spacing w:val="0"/>
          <w:w w:val="100"/>
          <w:kern w:val="0"/>
          <w:sz w:val="24"/>
          <w:lang w:val="es-ES_tradnl"/>
        </w:rPr>
        <w:t>guna sentencia de castigo corporal podrá imponer más de 20 azotes si se trata de un adulto o de 12 si se trata de un menor.</w:t>
      </w:r>
    </w:p>
    <w:p w:rsidR="00000000" w:rsidRDefault="00000000">
      <w:pPr>
        <w:pStyle w:val="H23"/>
        <w:keepNext w:val="0"/>
        <w:keepLines w:val="0"/>
        <w:suppressAutoHyphens w:val="0"/>
        <w:spacing w:after="240" w:line="240" w:lineRule="auto"/>
        <w:outlineLvl w:val="9"/>
        <w:rPr>
          <w:bCs/>
          <w:spacing w:val="0"/>
          <w:w w:val="100"/>
          <w:kern w:val="0"/>
          <w:sz w:val="24"/>
          <w:lang w:val="es-ES_tradnl"/>
        </w:rPr>
      </w:pPr>
      <w:r>
        <w:rPr>
          <w:bCs/>
          <w:spacing w:val="0"/>
          <w:w w:val="100"/>
          <w:kern w:val="0"/>
          <w:sz w:val="24"/>
          <w:lang w:val="es-ES_tradnl"/>
        </w:rPr>
        <w:t>Libertad de expresión (artículo 13)</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lang w:val="es-ES_tradnl"/>
        </w:rPr>
      </w:pPr>
      <w:r>
        <w:rPr>
          <w:spacing w:val="0"/>
          <w:w w:val="100"/>
          <w:kern w:val="0"/>
          <w:sz w:val="24"/>
          <w:lang w:val="es-ES_tradnl"/>
        </w:rPr>
        <w:t>127.</w:t>
      </w:r>
      <w:r>
        <w:rPr>
          <w:spacing w:val="0"/>
          <w:w w:val="100"/>
          <w:kern w:val="0"/>
          <w:sz w:val="24"/>
          <w:lang w:val="es-ES_tradnl"/>
        </w:rPr>
        <w:tab/>
        <w:t>Las Constituciones de la República Unida de Tanzanía y Zanzíbar establecen que todas las personas, incluidos los niños, tienen derecho a expresar sus opiniones y a solicitar, recibir y difundir información e ideas a través de los medios de com</w:t>
      </w:r>
      <w:r>
        <w:rPr>
          <w:spacing w:val="0"/>
          <w:w w:val="100"/>
          <w:kern w:val="0"/>
          <w:sz w:val="24"/>
          <w:lang w:val="es-ES_tradnl"/>
        </w:rPr>
        <w:t>u</w:t>
      </w:r>
      <w:r>
        <w:rPr>
          <w:spacing w:val="0"/>
          <w:w w:val="100"/>
          <w:kern w:val="0"/>
          <w:sz w:val="24"/>
          <w:lang w:val="es-ES_tradnl"/>
        </w:rPr>
        <w:t>nicación, sin estar restringidos por las fronteras nacionales. Asimismo, se garantiza que las comunicaciones de los niños no sufrirán interferencias.  En ambas Constit</w:t>
      </w:r>
      <w:r>
        <w:rPr>
          <w:spacing w:val="0"/>
          <w:w w:val="100"/>
          <w:kern w:val="0"/>
          <w:sz w:val="24"/>
          <w:lang w:val="es-ES_tradnl"/>
        </w:rPr>
        <w:t>u</w:t>
      </w:r>
      <w:r>
        <w:rPr>
          <w:spacing w:val="0"/>
          <w:w w:val="100"/>
          <w:kern w:val="0"/>
          <w:sz w:val="24"/>
          <w:lang w:val="es-ES_tradnl"/>
        </w:rPr>
        <w:t>ciones se consagra el derecho a ser informado en todo momento de los hechos de importancia para la vida y las actividades de las personas o que tienen trascendencia para la sociedad.</w:t>
      </w:r>
    </w:p>
    <w:p w:rsidR="00000000" w:rsidRDefault="00000000">
      <w:pPr>
        <w:pStyle w:val="H23"/>
        <w:keepNext w:val="0"/>
        <w:keepLines w:val="0"/>
        <w:suppressAutoHyphens w:val="0"/>
        <w:spacing w:after="240" w:line="240" w:lineRule="auto"/>
        <w:outlineLvl w:val="9"/>
        <w:rPr>
          <w:bCs/>
          <w:spacing w:val="0"/>
          <w:w w:val="100"/>
          <w:kern w:val="0"/>
          <w:sz w:val="24"/>
          <w:lang w:val="es-ES_tradnl"/>
        </w:rPr>
      </w:pPr>
      <w:r>
        <w:rPr>
          <w:bCs/>
          <w:spacing w:val="0"/>
          <w:w w:val="100"/>
          <w:kern w:val="0"/>
          <w:sz w:val="24"/>
          <w:lang w:val="es-ES_tradnl"/>
        </w:rPr>
        <w:t>Libertad de pensamiento, conciencia y religión (artículo 14)</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lang w:val="es-ES_tradnl"/>
        </w:rPr>
      </w:pPr>
      <w:r>
        <w:rPr>
          <w:spacing w:val="0"/>
          <w:w w:val="100"/>
          <w:kern w:val="0"/>
          <w:sz w:val="24"/>
          <w:lang w:val="es-ES_tradnl"/>
        </w:rPr>
        <w:t>128.</w:t>
      </w:r>
      <w:r>
        <w:rPr>
          <w:spacing w:val="0"/>
          <w:w w:val="100"/>
          <w:kern w:val="0"/>
          <w:sz w:val="24"/>
          <w:lang w:val="es-ES_tradnl"/>
        </w:rPr>
        <w:tab/>
        <w:t>El Gobierno de la República Unida de Tanzanía reconoce a todas las personas, incluidos los niños la libertad de pensamiento, de conciencia, de culto y de elección en materia de religión, incluida la libertad de cambiar de religión o de culto.  Ta</w:t>
      </w:r>
      <w:r>
        <w:rPr>
          <w:spacing w:val="0"/>
          <w:w w:val="100"/>
          <w:kern w:val="0"/>
          <w:sz w:val="24"/>
          <w:lang w:val="es-ES_tradnl"/>
        </w:rPr>
        <w:t>m</w:t>
      </w:r>
      <w:r>
        <w:rPr>
          <w:spacing w:val="0"/>
          <w:w w:val="100"/>
          <w:kern w:val="0"/>
          <w:sz w:val="24"/>
          <w:lang w:val="es-ES_tradnl"/>
        </w:rPr>
        <w:t>bién se establece que la práctica de la religión, y el culto y la propagación de las creencias, serán libres y se considerarán asuntos pertenecientes a la vida privada de la persona.  Sin embargo, el Gobierno de Zanzíbar, a través del Ministerio de Educ</w:t>
      </w:r>
      <w:r>
        <w:rPr>
          <w:spacing w:val="0"/>
          <w:w w:val="100"/>
          <w:kern w:val="0"/>
          <w:sz w:val="24"/>
          <w:lang w:val="es-ES_tradnl"/>
        </w:rPr>
        <w:t>a</w:t>
      </w:r>
      <w:r>
        <w:rPr>
          <w:spacing w:val="0"/>
          <w:w w:val="100"/>
          <w:kern w:val="0"/>
          <w:sz w:val="24"/>
          <w:lang w:val="es-ES_tradnl"/>
        </w:rPr>
        <w:t>ción, ha introducido la enseñanza de estudios islámicos en los planes de estudio de las escuelas públicas debido a que más del 90% de la población es musulmana.  No obstante, los estudiantes de esas escuelas que no son musulmanes no están obligados a cu</w:t>
      </w:r>
      <w:r>
        <w:rPr>
          <w:spacing w:val="0"/>
          <w:w w:val="100"/>
          <w:kern w:val="0"/>
          <w:sz w:val="24"/>
          <w:lang w:val="es-ES_tradnl"/>
        </w:rPr>
        <w:t>r</w:t>
      </w:r>
      <w:r>
        <w:rPr>
          <w:spacing w:val="0"/>
          <w:w w:val="100"/>
          <w:kern w:val="0"/>
          <w:sz w:val="24"/>
          <w:lang w:val="es-ES_tradnl"/>
        </w:rPr>
        <w:t>sar estudios islámicos.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lang w:val="es-ES_tradnl"/>
        </w:rPr>
      </w:pPr>
      <w:r>
        <w:rPr>
          <w:spacing w:val="0"/>
          <w:w w:val="100"/>
          <w:kern w:val="0"/>
          <w:sz w:val="24"/>
          <w:lang w:val="es-ES_tradnl"/>
        </w:rPr>
        <w:t>129.</w:t>
      </w:r>
      <w:r>
        <w:rPr>
          <w:spacing w:val="0"/>
          <w:w w:val="100"/>
          <w:kern w:val="0"/>
          <w:sz w:val="24"/>
          <w:lang w:val="es-ES_tradnl"/>
        </w:rPr>
        <w:tab/>
        <w:t>La Constitución de la República Unida de Tanzanía consagra la libertad de pensamiento, co</w:t>
      </w:r>
      <w:r>
        <w:rPr>
          <w:spacing w:val="0"/>
          <w:w w:val="100"/>
          <w:kern w:val="0"/>
          <w:sz w:val="24"/>
          <w:lang w:val="es-ES_tradnl"/>
        </w:rPr>
        <w:t>n</w:t>
      </w:r>
      <w:r>
        <w:rPr>
          <w:spacing w:val="0"/>
          <w:w w:val="100"/>
          <w:kern w:val="0"/>
          <w:sz w:val="24"/>
          <w:lang w:val="es-ES_tradnl"/>
        </w:rPr>
        <w:t>ciencia y religión del niño.</w:t>
      </w:r>
    </w:p>
    <w:p w:rsidR="00000000" w:rsidRDefault="00000000">
      <w:pPr>
        <w:pStyle w:val="H23"/>
        <w:keepNext w:val="0"/>
        <w:keepLines w:val="0"/>
        <w:suppressAutoHyphens w:val="0"/>
        <w:spacing w:after="240" w:line="240" w:lineRule="auto"/>
        <w:outlineLvl w:val="9"/>
        <w:rPr>
          <w:bCs/>
          <w:spacing w:val="0"/>
          <w:w w:val="100"/>
          <w:kern w:val="0"/>
          <w:sz w:val="24"/>
          <w:lang w:val="es-ES_tradnl"/>
        </w:rPr>
      </w:pPr>
      <w:r>
        <w:rPr>
          <w:bCs/>
          <w:spacing w:val="0"/>
          <w:w w:val="100"/>
          <w:kern w:val="0"/>
          <w:sz w:val="24"/>
          <w:lang w:val="es-ES_tradnl"/>
        </w:rPr>
        <w:t>El derecho a no ser sometido a torturas (artículo 37 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lang w:val="es-ES_tradnl"/>
        </w:rPr>
      </w:pPr>
      <w:r>
        <w:rPr>
          <w:spacing w:val="0"/>
          <w:w w:val="100"/>
          <w:kern w:val="0"/>
          <w:sz w:val="24"/>
          <w:lang w:val="es-ES_tradnl"/>
        </w:rPr>
        <w:t>130.</w:t>
      </w:r>
      <w:r>
        <w:rPr>
          <w:spacing w:val="0"/>
          <w:w w:val="100"/>
          <w:kern w:val="0"/>
          <w:sz w:val="24"/>
          <w:lang w:val="es-ES_tradnl"/>
        </w:rPr>
        <w:tab/>
        <w:t xml:space="preserve">El Gobierno de Zanzíbar promulgado varias leyes para proteger a los niños de a la tortura.  Un buen ejemplo en este sentido es la Ley del trabajo (Ley Nº 3 de 1997), que prohíbe cualquier clase de empleo a los menores de 17 años excepto cuando dicho empleo vaya en interés del niño.  El Decreto sobre niños y jóvenes (cap. 58) prevé el establecimiento de Tribunales de menores.  El mismo decreto (art. 6) obliga a los jefes de policía a evitar en la medida de lo posible que los niños y jóvenes que se encuentren detenidos puedan entrar en contacto con adultos, salvo que se trate de familiares acusados de un delito.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lang w:val="es-ES_tradnl"/>
        </w:rPr>
      </w:pPr>
      <w:r>
        <w:rPr>
          <w:spacing w:val="0"/>
          <w:w w:val="100"/>
          <w:kern w:val="0"/>
          <w:sz w:val="24"/>
          <w:lang w:val="es-ES_tradnl"/>
        </w:rPr>
        <w:t>131.</w:t>
      </w:r>
      <w:r>
        <w:rPr>
          <w:spacing w:val="0"/>
          <w:w w:val="100"/>
          <w:kern w:val="0"/>
          <w:sz w:val="24"/>
          <w:lang w:val="es-ES_tradnl"/>
        </w:rPr>
        <w:tab/>
        <w:t>El Gobierno de Zanzíbar estableció un grupo de trabajo interdisciplinario para combatir el abuso infantil, especialmente el de naturaleza sexual.  Entre sus miembros se cuentan oficiales de policía, abogados, médicos y personal de servicios s</w:t>
      </w:r>
      <w:r>
        <w:rPr>
          <w:spacing w:val="0"/>
          <w:w w:val="100"/>
          <w:kern w:val="0"/>
          <w:sz w:val="24"/>
          <w:lang w:val="es-ES_tradnl"/>
        </w:rPr>
        <w:t>o</w:t>
      </w:r>
      <w:r>
        <w:rPr>
          <w:spacing w:val="0"/>
          <w:w w:val="100"/>
          <w:kern w:val="0"/>
          <w:sz w:val="24"/>
          <w:lang w:val="es-ES_tradnl"/>
        </w:rPr>
        <w:t xml:space="preserve">ciales.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lang w:val="es-ES_tradnl"/>
        </w:rPr>
      </w:pPr>
      <w:r>
        <w:rPr>
          <w:spacing w:val="0"/>
          <w:w w:val="100"/>
          <w:kern w:val="0"/>
          <w:sz w:val="24"/>
          <w:lang w:val="es-ES_tradnl"/>
        </w:rPr>
        <w:t>132.</w:t>
      </w:r>
      <w:r>
        <w:rPr>
          <w:spacing w:val="0"/>
          <w:w w:val="100"/>
          <w:kern w:val="0"/>
          <w:sz w:val="24"/>
          <w:lang w:val="es-ES_tradnl"/>
        </w:rPr>
        <w:tab/>
        <w:t>El Gobierno de Zanzíbar desaconseja el uso del castigo corporal.  El proceso comenzó con la creación de dos escuelas piloto en las que no se imponen castigos corporales, una de ellas en una zona rural y la otra en un entorno urbano.  No obsta</w:t>
      </w:r>
      <w:r>
        <w:rPr>
          <w:spacing w:val="0"/>
          <w:w w:val="100"/>
          <w:kern w:val="0"/>
          <w:sz w:val="24"/>
          <w:lang w:val="es-ES_tradnl"/>
        </w:rPr>
        <w:t>n</w:t>
      </w:r>
      <w:r>
        <w:rPr>
          <w:spacing w:val="0"/>
          <w:w w:val="100"/>
          <w:kern w:val="0"/>
          <w:sz w:val="24"/>
          <w:lang w:val="es-ES_tradnl"/>
        </w:rPr>
        <w:t>te, todavía no se han hecho estudios para evaluar los efectos de este sistema.  A pesar de estas iniciativas, según las normas religiosas y culturales los azotes se co</w:t>
      </w:r>
      <w:r>
        <w:rPr>
          <w:spacing w:val="0"/>
          <w:w w:val="100"/>
          <w:kern w:val="0"/>
          <w:sz w:val="24"/>
          <w:lang w:val="es-ES_tradnl"/>
        </w:rPr>
        <w:t>n</w:t>
      </w:r>
      <w:r>
        <w:rPr>
          <w:spacing w:val="0"/>
          <w:w w:val="100"/>
          <w:kern w:val="0"/>
          <w:sz w:val="24"/>
          <w:lang w:val="es-ES_tradnl"/>
        </w:rPr>
        <w:t>sideran un método de socialización y educación más que un castigo.  De acuerdo con la trad</w:t>
      </w:r>
      <w:r>
        <w:rPr>
          <w:spacing w:val="0"/>
          <w:w w:val="100"/>
          <w:kern w:val="0"/>
          <w:sz w:val="24"/>
          <w:lang w:val="es-ES_tradnl"/>
        </w:rPr>
        <w:t>i</w:t>
      </w:r>
      <w:r>
        <w:rPr>
          <w:spacing w:val="0"/>
          <w:w w:val="100"/>
          <w:kern w:val="0"/>
          <w:sz w:val="24"/>
          <w:lang w:val="es-ES_tradnl"/>
        </w:rPr>
        <w:t>ción, son los padres los encargados de garantizar que los hijos a su cargo aprendan a comportarse debidamente en la familia y la comunidad a las que perten</w:t>
      </w:r>
      <w:r>
        <w:rPr>
          <w:spacing w:val="0"/>
          <w:w w:val="100"/>
          <w:kern w:val="0"/>
          <w:sz w:val="24"/>
          <w:lang w:val="es-ES_tradnl"/>
        </w:rPr>
        <w:t>e</w:t>
      </w:r>
      <w:r>
        <w:rPr>
          <w:spacing w:val="0"/>
          <w:w w:val="100"/>
          <w:kern w:val="0"/>
          <w:sz w:val="24"/>
          <w:lang w:val="es-ES_tradnl"/>
        </w:rPr>
        <w:t xml:space="preserve">cen. </w:t>
      </w:r>
    </w:p>
    <w:p w:rsidR="00000000" w:rsidRDefault="00000000">
      <w:pPr>
        <w:pStyle w:val="HCh"/>
        <w:keepNext w:val="0"/>
        <w:keepLines w:val="0"/>
        <w:suppressAutoHyphens w:val="0"/>
        <w:spacing w:before="480" w:after="240" w:line="240" w:lineRule="auto"/>
        <w:jc w:val="center"/>
        <w:outlineLvl w:val="9"/>
        <w:rPr>
          <w:bCs/>
          <w:spacing w:val="0"/>
          <w:w w:val="100"/>
          <w:kern w:val="0"/>
          <w:sz w:val="24"/>
          <w:lang w:val="es-ES_tradnl"/>
        </w:rPr>
      </w:pPr>
      <w:r>
        <w:rPr>
          <w:bCs/>
          <w:spacing w:val="0"/>
          <w:w w:val="100"/>
          <w:kern w:val="0"/>
          <w:sz w:val="24"/>
          <w:lang w:val="es-ES_tradnl"/>
        </w:rPr>
        <w:t>V.  MEDIO FAMILIAR Y CUIDADOS DE OTRO TIPO</w:t>
      </w:r>
    </w:p>
    <w:p w:rsidR="00000000" w:rsidRDefault="00000000">
      <w:pPr>
        <w:pStyle w:val="H23"/>
        <w:keepNext w:val="0"/>
        <w:keepLines w:val="0"/>
        <w:suppressAutoHyphens w:val="0"/>
        <w:spacing w:after="240" w:line="240" w:lineRule="auto"/>
        <w:outlineLvl w:val="9"/>
        <w:rPr>
          <w:b w:val="0"/>
          <w:spacing w:val="0"/>
          <w:w w:val="100"/>
          <w:kern w:val="0"/>
          <w:sz w:val="24"/>
          <w:lang w:val="es-ES_tradnl"/>
        </w:rPr>
      </w:pPr>
      <w:r>
        <w:rPr>
          <w:bCs/>
          <w:spacing w:val="0"/>
          <w:w w:val="100"/>
          <w:kern w:val="0"/>
          <w:sz w:val="24"/>
          <w:lang w:val="es-ES_tradnl"/>
        </w:rPr>
        <w:t>Niños privados de su medio familiar (artículo 20)</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lang w:val="es-ES_tradnl"/>
        </w:rPr>
      </w:pPr>
      <w:r>
        <w:rPr>
          <w:spacing w:val="0"/>
          <w:w w:val="100"/>
          <w:kern w:val="0"/>
          <w:sz w:val="24"/>
          <w:lang w:val="es-ES_tradnl"/>
        </w:rPr>
        <w:t>133.</w:t>
      </w:r>
      <w:r>
        <w:rPr>
          <w:spacing w:val="0"/>
          <w:w w:val="100"/>
          <w:kern w:val="0"/>
          <w:sz w:val="24"/>
          <w:lang w:val="es-ES_tradnl"/>
        </w:rPr>
        <w:tab/>
        <w:t>Entre las medidas adoptadas por la República Unida de Tanzanía para mejorar los cuidados alternativos se encuentran las siguientes:</w:t>
      </w:r>
    </w:p>
    <w:p w:rsidR="00000000" w:rsidRDefault="00000000">
      <w:pPr>
        <w:pStyle w:val="SingleTxt"/>
        <w:numPr>
          <w:ilvl w:val="0"/>
          <w:numId w:val="69"/>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924" w:right="0" w:hanging="357"/>
        <w:jc w:val="left"/>
        <w:rPr>
          <w:spacing w:val="0"/>
          <w:w w:val="100"/>
          <w:kern w:val="0"/>
          <w:sz w:val="24"/>
          <w:lang w:val="es-ES_tradnl"/>
        </w:rPr>
      </w:pPr>
      <w:r>
        <w:rPr>
          <w:spacing w:val="0"/>
          <w:w w:val="100"/>
          <w:kern w:val="0"/>
          <w:sz w:val="24"/>
          <w:lang w:val="es-ES_tradnl"/>
        </w:rPr>
        <w:t xml:space="preserve">Suscripciones para financiar el cuidado y la manutención de los niños internados en centros infantiles; </w:t>
      </w:r>
    </w:p>
    <w:p w:rsidR="00000000" w:rsidRDefault="00000000">
      <w:pPr>
        <w:pStyle w:val="SingleTxt"/>
        <w:numPr>
          <w:ilvl w:val="0"/>
          <w:numId w:val="69"/>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924" w:right="0" w:hanging="357"/>
        <w:jc w:val="left"/>
        <w:rPr>
          <w:spacing w:val="0"/>
          <w:w w:val="100"/>
          <w:kern w:val="0"/>
          <w:sz w:val="24"/>
          <w:lang w:val="es-ES_tradnl"/>
        </w:rPr>
      </w:pPr>
      <w:r>
        <w:rPr>
          <w:spacing w:val="0"/>
          <w:w w:val="100"/>
          <w:kern w:val="0"/>
          <w:sz w:val="24"/>
          <w:lang w:val="es-ES_tradnl"/>
        </w:rPr>
        <w:t>Elaboración de las Directrices nacionales para el cuidado, apoyo y protección de huérfanos y niños vulnerables en las comunidades (proyecto);</w:t>
      </w:r>
    </w:p>
    <w:p w:rsidR="00000000" w:rsidRDefault="00000000">
      <w:pPr>
        <w:pStyle w:val="SingleTxt"/>
        <w:numPr>
          <w:ilvl w:val="0"/>
          <w:numId w:val="69"/>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924" w:right="0" w:hanging="357"/>
        <w:jc w:val="left"/>
        <w:rPr>
          <w:spacing w:val="0"/>
          <w:w w:val="100"/>
          <w:kern w:val="0"/>
          <w:sz w:val="24"/>
          <w:lang w:val="es-ES_tradnl"/>
        </w:rPr>
      </w:pPr>
      <w:r>
        <w:rPr>
          <w:spacing w:val="0"/>
          <w:w w:val="100"/>
          <w:kern w:val="0"/>
          <w:sz w:val="24"/>
          <w:lang w:val="es-ES_tradnl"/>
        </w:rPr>
        <w:t xml:space="preserve">Elaboración de las Directrices nacionales para el cuidado y la protección de huérfanos y niños vulnerables internados en instituciones; </w:t>
      </w:r>
    </w:p>
    <w:p w:rsidR="00000000" w:rsidRDefault="00000000">
      <w:pPr>
        <w:pStyle w:val="SingleTxt"/>
        <w:numPr>
          <w:ilvl w:val="0"/>
          <w:numId w:val="69"/>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924" w:right="0" w:hanging="357"/>
        <w:jc w:val="left"/>
        <w:rPr>
          <w:spacing w:val="0"/>
          <w:w w:val="100"/>
          <w:kern w:val="0"/>
          <w:sz w:val="24"/>
          <w:lang w:val="es-ES_tradnl"/>
        </w:rPr>
      </w:pPr>
      <w:r>
        <w:rPr>
          <w:spacing w:val="0"/>
          <w:w w:val="100"/>
          <w:kern w:val="0"/>
          <w:sz w:val="24"/>
          <w:lang w:val="es-ES_tradnl"/>
        </w:rPr>
        <w:t xml:space="preserve">Asignación de recursos financieros adecuados, por ejemplo a través de la estrategia de reducción de la pobreza; </w:t>
      </w:r>
    </w:p>
    <w:p w:rsidR="00000000" w:rsidRDefault="00000000">
      <w:pPr>
        <w:pStyle w:val="SingleTxt"/>
        <w:numPr>
          <w:ilvl w:val="0"/>
          <w:numId w:val="69"/>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924" w:right="0" w:hanging="357"/>
        <w:jc w:val="left"/>
        <w:rPr>
          <w:spacing w:val="0"/>
          <w:w w:val="100"/>
          <w:kern w:val="0"/>
          <w:sz w:val="24"/>
          <w:lang w:val="es-ES_tradnl"/>
        </w:rPr>
      </w:pPr>
      <w:r>
        <w:rPr>
          <w:spacing w:val="0"/>
          <w:w w:val="100"/>
          <w:kern w:val="0"/>
          <w:sz w:val="24"/>
          <w:lang w:val="es-ES_tradnl"/>
        </w:rPr>
        <w:t>Participación de la comunidad en la identificación de huérfanos y niños vuln</w:t>
      </w:r>
      <w:r>
        <w:rPr>
          <w:spacing w:val="0"/>
          <w:w w:val="100"/>
          <w:kern w:val="0"/>
          <w:sz w:val="24"/>
          <w:lang w:val="es-ES_tradnl"/>
        </w:rPr>
        <w:t>e</w:t>
      </w:r>
      <w:r>
        <w:rPr>
          <w:spacing w:val="0"/>
          <w:w w:val="100"/>
          <w:kern w:val="0"/>
          <w:sz w:val="24"/>
          <w:lang w:val="es-ES_tradnl"/>
        </w:rPr>
        <w:t>rables y elaboración de planes comunitarios para prestar apoyo a estos n</w:t>
      </w:r>
      <w:r>
        <w:rPr>
          <w:spacing w:val="0"/>
          <w:w w:val="100"/>
          <w:kern w:val="0"/>
          <w:sz w:val="24"/>
          <w:lang w:val="es-ES_tradnl"/>
        </w:rPr>
        <w:t>i</w:t>
      </w:r>
      <w:r>
        <w:rPr>
          <w:spacing w:val="0"/>
          <w:w w:val="100"/>
          <w:kern w:val="0"/>
          <w:sz w:val="24"/>
          <w:lang w:val="es-ES_tradnl"/>
        </w:rPr>
        <w:t xml:space="preserve">ños; </w:t>
      </w:r>
    </w:p>
    <w:p w:rsidR="00000000" w:rsidRDefault="00000000">
      <w:pPr>
        <w:pStyle w:val="SingleTxt"/>
        <w:numPr>
          <w:ilvl w:val="0"/>
          <w:numId w:val="69"/>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924" w:right="0" w:hanging="357"/>
        <w:jc w:val="left"/>
        <w:rPr>
          <w:spacing w:val="0"/>
          <w:w w:val="100"/>
          <w:kern w:val="0"/>
          <w:sz w:val="24"/>
          <w:lang w:val="es-ES_tradnl"/>
        </w:rPr>
      </w:pPr>
      <w:r>
        <w:rPr>
          <w:spacing w:val="0"/>
          <w:w w:val="100"/>
          <w:kern w:val="0"/>
          <w:sz w:val="24"/>
          <w:lang w:val="es-ES_tradnl"/>
        </w:rPr>
        <w:t xml:space="preserve">Iniciación de programas de cuidado, apoyo y protección de huérfanos y niños vulnerables en las comunidades; </w:t>
      </w:r>
    </w:p>
    <w:p w:rsidR="00000000" w:rsidRDefault="00000000">
      <w:pPr>
        <w:pStyle w:val="SingleTxt"/>
        <w:numPr>
          <w:ilvl w:val="0"/>
          <w:numId w:val="69"/>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924" w:right="0" w:hanging="357"/>
        <w:jc w:val="left"/>
        <w:rPr>
          <w:spacing w:val="0"/>
          <w:w w:val="100"/>
          <w:kern w:val="0"/>
          <w:sz w:val="24"/>
          <w:lang w:val="es-ES_tradnl"/>
        </w:rPr>
      </w:pPr>
      <w:r>
        <w:rPr>
          <w:spacing w:val="0"/>
          <w:w w:val="100"/>
          <w:kern w:val="0"/>
          <w:sz w:val="24"/>
          <w:lang w:val="es-ES_tradnl"/>
        </w:rPr>
        <w:t>Se ha reconocido la necesidad de adoptar un código que recoja los principios generales para garantizar que los niños privados de un medio familiar reciban la atención y la protección adecuadas.  Se ha procedido a recabar opiniones que servirán de base para redactarlo;</w:t>
      </w:r>
    </w:p>
    <w:p w:rsidR="00000000" w:rsidRDefault="00000000">
      <w:pPr>
        <w:pStyle w:val="SingleTxt"/>
        <w:numPr>
          <w:ilvl w:val="0"/>
          <w:numId w:val="69"/>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924" w:right="0" w:hanging="357"/>
        <w:jc w:val="left"/>
        <w:rPr>
          <w:spacing w:val="0"/>
          <w:w w:val="100"/>
          <w:kern w:val="0"/>
          <w:sz w:val="24"/>
          <w:lang w:val="es-ES_tradnl"/>
        </w:rPr>
      </w:pPr>
      <w:r>
        <w:rPr>
          <w:spacing w:val="0"/>
          <w:w w:val="100"/>
          <w:kern w:val="0"/>
          <w:sz w:val="24"/>
          <w:lang w:val="es-ES_tradnl"/>
        </w:rPr>
        <w:t>Formación de un Comité técnico nacional para coordinar la respuesta frente a los problemas de los huérfanos y los niños vulnerables.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lang w:val="es-ES_tradnl"/>
        </w:rPr>
      </w:pPr>
      <w:r>
        <w:rPr>
          <w:spacing w:val="0"/>
          <w:w w:val="100"/>
          <w:kern w:val="0"/>
          <w:sz w:val="24"/>
          <w:lang w:val="es-ES_tradnl"/>
        </w:rPr>
        <w:t>134.</w:t>
      </w:r>
      <w:r>
        <w:rPr>
          <w:spacing w:val="0"/>
          <w:w w:val="100"/>
          <w:kern w:val="0"/>
          <w:sz w:val="24"/>
          <w:lang w:val="es-ES_tradnl"/>
        </w:rPr>
        <w:tab/>
        <w:t>En Zanzíbar, las disposiciones legislativas y administrativas sobre socializ</w:t>
      </w:r>
      <w:r>
        <w:rPr>
          <w:spacing w:val="0"/>
          <w:w w:val="100"/>
          <w:kern w:val="0"/>
          <w:sz w:val="24"/>
          <w:lang w:val="es-ES_tradnl"/>
        </w:rPr>
        <w:t>a</w:t>
      </w:r>
      <w:r>
        <w:rPr>
          <w:spacing w:val="0"/>
          <w:w w:val="100"/>
          <w:kern w:val="0"/>
          <w:sz w:val="24"/>
          <w:lang w:val="es-ES_tradnl"/>
        </w:rPr>
        <w:t>ción infantil no permiten que los niños se vean privados permanentemente de su medio familiar, lo cual se adecua a la ley islámica y se corresponde con la práctica de la mayoría de las familias.</w:t>
      </w:r>
    </w:p>
    <w:p w:rsidR="00000000" w:rsidRDefault="00000000">
      <w:pPr>
        <w:pStyle w:val="H23"/>
        <w:keepLines w:val="0"/>
        <w:suppressAutoHyphens w:val="0"/>
        <w:spacing w:after="240" w:line="240" w:lineRule="auto"/>
        <w:outlineLvl w:val="9"/>
        <w:rPr>
          <w:bCs/>
          <w:spacing w:val="0"/>
          <w:w w:val="100"/>
          <w:kern w:val="0"/>
          <w:sz w:val="24"/>
          <w:lang w:val="es-ES_tradnl"/>
        </w:rPr>
      </w:pPr>
      <w:r>
        <w:rPr>
          <w:bCs/>
          <w:spacing w:val="0"/>
          <w:w w:val="100"/>
          <w:kern w:val="0"/>
          <w:sz w:val="24"/>
          <w:lang w:val="es-ES_tradnl"/>
        </w:rPr>
        <w:t>Adopción y colocación en hogares de guarda (artículo 21)</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lang w:val="es-ES_tradnl"/>
        </w:rPr>
      </w:pPr>
      <w:r>
        <w:rPr>
          <w:spacing w:val="0"/>
          <w:w w:val="100"/>
          <w:kern w:val="0"/>
          <w:sz w:val="24"/>
          <w:lang w:val="es-ES_tradnl"/>
        </w:rPr>
        <w:t>135.</w:t>
      </w:r>
      <w:r>
        <w:rPr>
          <w:spacing w:val="0"/>
          <w:w w:val="100"/>
          <w:kern w:val="0"/>
          <w:sz w:val="24"/>
          <w:lang w:val="es-ES_tradnl"/>
        </w:rPr>
        <w:tab/>
        <w:t>Las Directrices nacionales para el cuidado y la protección de huérfanos y niños vulnerables internados en instituciones indica el procedimiento en materia de sist</w:t>
      </w:r>
      <w:r>
        <w:rPr>
          <w:spacing w:val="0"/>
          <w:w w:val="100"/>
          <w:kern w:val="0"/>
          <w:sz w:val="24"/>
          <w:lang w:val="es-ES_tradnl"/>
        </w:rPr>
        <w:t>e</w:t>
      </w:r>
      <w:r>
        <w:rPr>
          <w:spacing w:val="0"/>
          <w:w w:val="100"/>
          <w:kern w:val="0"/>
          <w:sz w:val="24"/>
          <w:lang w:val="es-ES_tradnl"/>
        </w:rPr>
        <w:t>mas formales o informales de guarda o servicios de adopción.  No podrá dictarse sentencia de adopción en favor de solicitantes que no residan en los territorios del África oriental.  El proyecto armonizado de ley de la infancia de Tanzanía contine</w:t>
      </w:r>
      <w:r>
        <w:rPr>
          <w:spacing w:val="0"/>
          <w:w w:val="100"/>
          <w:kern w:val="0"/>
          <w:sz w:val="24"/>
          <w:lang w:val="es-ES_tradnl"/>
        </w:rPr>
        <w:t>n</w:t>
      </w:r>
      <w:r>
        <w:rPr>
          <w:spacing w:val="0"/>
          <w:w w:val="100"/>
          <w:kern w:val="0"/>
          <w:sz w:val="24"/>
          <w:lang w:val="es-ES_tradnl"/>
        </w:rPr>
        <w:t>tal tendrá en cuenta la protección del niño y la cooperación en materia de adopción internacional.</w:t>
      </w:r>
    </w:p>
    <w:p w:rsidR="00000000" w:rsidRDefault="00000000">
      <w:pPr>
        <w:pStyle w:val="H23"/>
        <w:keepNext w:val="0"/>
        <w:keepLines w:val="0"/>
        <w:suppressAutoHyphens w:val="0"/>
        <w:spacing w:after="240" w:line="240" w:lineRule="auto"/>
        <w:outlineLvl w:val="9"/>
        <w:rPr>
          <w:bCs/>
          <w:spacing w:val="0"/>
          <w:w w:val="100"/>
          <w:kern w:val="0"/>
          <w:sz w:val="24"/>
          <w:lang w:val="es-ES_tradnl"/>
        </w:rPr>
      </w:pPr>
      <w:r>
        <w:rPr>
          <w:bCs/>
          <w:spacing w:val="0"/>
          <w:w w:val="100"/>
          <w:kern w:val="0"/>
          <w:sz w:val="24"/>
          <w:lang w:val="es-ES_tradnl"/>
        </w:rPr>
        <w:t>Orientación de los progenitores (artículo 5)</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lang w:val="es-ES_tradnl"/>
        </w:rPr>
      </w:pPr>
      <w:r>
        <w:rPr>
          <w:spacing w:val="0"/>
          <w:w w:val="100"/>
          <w:kern w:val="0"/>
          <w:sz w:val="24"/>
          <w:lang w:val="es-ES_tradnl"/>
        </w:rPr>
        <w:t>136.</w:t>
      </w:r>
      <w:r>
        <w:rPr>
          <w:spacing w:val="0"/>
          <w:w w:val="100"/>
          <w:kern w:val="0"/>
          <w:sz w:val="24"/>
          <w:lang w:val="es-ES_tradnl"/>
        </w:rPr>
        <w:tab/>
        <w:t>En la sociedad de Tanzanía predomina la familia extensa.  Si bien los princip</w:t>
      </w:r>
      <w:r>
        <w:rPr>
          <w:spacing w:val="0"/>
          <w:w w:val="100"/>
          <w:kern w:val="0"/>
          <w:sz w:val="24"/>
          <w:lang w:val="es-ES_tradnl"/>
        </w:rPr>
        <w:t>a</w:t>
      </w:r>
      <w:r>
        <w:rPr>
          <w:spacing w:val="0"/>
          <w:w w:val="100"/>
          <w:kern w:val="0"/>
          <w:sz w:val="24"/>
          <w:lang w:val="es-ES_tradnl"/>
        </w:rPr>
        <w:t>les responsables de la adecuada socialización del niño son los padres o los tutores, todos los parientes adultos deben aconsejarlo y orientarlo.  Debido al peso de la tr</w:t>
      </w:r>
      <w:r>
        <w:rPr>
          <w:spacing w:val="0"/>
          <w:w w:val="100"/>
          <w:kern w:val="0"/>
          <w:sz w:val="24"/>
          <w:lang w:val="es-ES_tradnl"/>
        </w:rPr>
        <w:t>a</w:t>
      </w:r>
      <w:r>
        <w:rPr>
          <w:spacing w:val="0"/>
          <w:w w:val="100"/>
          <w:kern w:val="0"/>
          <w:sz w:val="24"/>
          <w:lang w:val="es-ES_tradnl"/>
        </w:rPr>
        <w:t>dición y la costumbre en estas familias, la voz del niño es la última en ser oída y la que tiene menos peso en el clan familiar hasta que llega a la edad adu</w:t>
      </w:r>
      <w:r>
        <w:rPr>
          <w:spacing w:val="0"/>
          <w:w w:val="100"/>
          <w:kern w:val="0"/>
          <w:sz w:val="24"/>
          <w:lang w:val="es-ES_tradnl"/>
        </w:rPr>
        <w:t>l</w:t>
      </w:r>
      <w:r>
        <w:rPr>
          <w:spacing w:val="0"/>
          <w:w w:val="100"/>
          <w:kern w:val="0"/>
          <w:sz w:val="24"/>
          <w:lang w:val="es-ES_tradnl"/>
        </w:rPr>
        <w:t xml:space="preserve">ta.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lang w:val="es-ES_tradnl"/>
        </w:rPr>
      </w:pPr>
      <w:r>
        <w:rPr>
          <w:spacing w:val="0"/>
          <w:w w:val="100"/>
          <w:kern w:val="0"/>
          <w:sz w:val="24"/>
          <w:lang w:val="es-ES_tradnl"/>
        </w:rPr>
        <w:t>137.</w:t>
      </w:r>
      <w:r>
        <w:rPr>
          <w:spacing w:val="0"/>
          <w:w w:val="100"/>
          <w:kern w:val="0"/>
          <w:sz w:val="24"/>
          <w:lang w:val="es-ES_tradnl"/>
        </w:rPr>
        <w:tab/>
        <w:t>Según el Decreto sobre matrimonio de Zanzíbar, de 1985, y la Ordenanza de niños y jóvenes de Tanzanía continental (cap. 13), la manutención del niño es deber y responsabilidad del padre.  Asimismo, de conformidad con el Decreto penal de la legislación de Zanzíbar (cap. 13, art. 191), cuando un niño nace fuera del matrimonio este deber y responsabilidad recae sobre la persona que haya sido identif</w:t>
      </w:r>
      <w:r>
        <w:rPr>
          <w:spacing w:val="0"/>
          <w:w w:val="100"/>
          <w:kern w:val="0"/>
          <w:sz w:val="24"/>
          <w:lang w:val="es-ES_tradnl"/>
        </w:rPr>
        <w:t>i</w:t>
      </w:r>
      <w:r>
        <w:rPr>
          <w:spacing w:val="0"/>
          <w:w w:val="100"/>
          <w:kern w:val="0"/>
          <w:sz w:val="24"/>
          <w:lang w:val="es-ES_tradnl"/>
        </w:rPr>
        <w:t xml:space="preserve">cada como padre del menor. </w:t>
      </w:r>
    </w:p>
    <w:p w:rsidR="00000000" w:rsidRDefault="00000000">
      <w:pPr>
        <w:pStyle w:val="H23"/>
        <w:keepNext w:val="0"/>
        <w:keepLines w:val="0"/>
        <w:suppressAutoHyphens w:val="0"/>
        <w:spacing w:after="240" w:line="240" w:lineRule="auto"/>
        <w:outlineLvl w:val="9"/>
        <w:rPr>
          <w:bCs/>
          <w:spacing w:val="0"/>
          <w:w w:val="100"/>
          <w:kern w:val="0"/>
          <w:sz w:val="24"/>
          <w:lang w:val="es-ES_tradnl"/>
        </w:rPr>
      </w:pPr>
      <w:r>
        <w:rPr>
          <w:bCs/>
          <w:spacing w:val="0"/>
          <w:w w:val="100"/>
          <w:kern w:val="0"/>
          <w:sz w:val="24"/>
          <w:lang w:val="es-ES_tradnl"/>
        </w:rPr>
        <w:tab/>
        <w:t>Custodia de los hijos nacidos dentro del matrimonio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lang w:val="es-ES_tradnl"/>
        </w:rPr>
      </w:pPr>
      <w:r>
        <w:rPr>
          <w:spacing w:val="0"/>
          <w:w w:val="100"/>
          <w:kern w:val="0"/>
          <w:sz w:val="24"/>
          <w:lang w:val="es-ES_tradnl"/>
        </w:rPr>
        <w:t>138.</w:t>
      </w:r>
      <w:r>
        <w:rPr>
          <w:spacing w:val="0"/>
          <w:w w:val="100"/>
          <w:kern w:val="0"/>
          <w:sz w:val="24"/>
          <w:lang w:val="es-ES_tradnl"/>
        </w:rPr>
        <w:tab/>
        <w:t>En el caso de los hijos nacidos dentro del matrimonio ambos progenitores comparten la custodia.  En caso de separación o ruptura del vínculo matrimonial, la custodia de los hijos menores de 7 años corresponderá a la madre, mientras que el padre deberá hacen frente a los gastos de manutención habitual de los hijos, y en c</w:t>
      </w:r>
      <w:r>
        <w:rPr>
          <w:spacing w:val="0"/>
          <w:w w:val="100"/>
          <w:kern w:val="0"/>
          <w:sz w:val="24"/>
          <w:lang w:val="es-ES_tradnl"/>
        </w:rPr>
        <w:t>a</w:t>
      </w:r>
      <w:r>
        <w:rPr>
          <w:spacing w:val="0"/>
          <w:w w:val="100"/>
          <w:kern w:val="0"/>
          <w:sz w:val="24"/>
          <w:lang w:val="es-ES_tradnl"/>
        </w:rPr>
        <w:t>so de incumplimiento la Ordenanza de niños y jóvenes (capítulo 13 del Decreto p</w:t>
      </w:r>
      <w:r>
        <w:rPr>
          <w:spacing w:val="0"/>
          <w:w w:val="100"/>
          <w:kern w:val="0"/>
          <w:sz w:val="24"/>
          <w:lang w:val="es-ES_tradnl"/>
        </w:rPr>
        <w:t>e</w:t>
      </w:r>
      <w:r>
        <w:rPr>
          <w:spacing w:val="0"/>
          <w:w w:val="100"/>
          <w:kern w:val="0"/>
          <w:sz w:val="24"/>
          <w:lang w:val="es-ES_tradnl"/>
        </w:rPr>
        <w:t>nal de Zanzíbar) prevé el enjuiciamiento del infractor.</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lang w:val="es-MX"/>
        </w:rPr>
        <w:t>139.</w:t>
      </w:r>
      <w:r>
        <w:rPr>
          <w:spacing w:val="0"/>
          <w:w w:val="100"/>
          <w:kern w:val="0"/>
          <w:sz w:val="24"/>
          <w:lang w:val="es-MX"/>
        </w:rPr>
        <w:tab/>
        <w:t>El Gobierno de Zanzíbar, las ONG del país y la comunidad en su conjunto han adoptado diversas medidas para proporcionar los cuidados y la manutención que requieren los niños más vulnerables.  Un total de 37 niños de familias pobres son atendidos en instituciones gubernamentales.  En la A</w:t>
      </w:r>
      <w:r>
        <w:rPr>
          <w:spacing w:val="0"/>
          <w:w w:val="100"/>
          <w:kern w:val="0"/>
          <w:sz w:val="24"/>
          <w:lang w:val="es-MX"/>
        </w:rPr>
        <w:t>l</w:t>
      </w:r>
      <w:r>
        <w:rPr>
          <w:spacing w:val="0"/>
          <w:w w:val="100"/>
          <w:kern w:val="0"/>
          <w:sz w:val="24"/>
          <w:lang w:val="es-MX"/>
        </w:rPr>
        <w:t>dea Infantil SOS 124 niños (78 varones y 46 niñas) reciben cuidados.  La Agencia Musulmana de África se encarga de 115 huérfanos.  Entre las demás ONG que operan en este ámbito cabe mencionar a ZAWCO, ZAPHA, ZAMWASO, ZASO y ZACA.  Todas estas ONG se ocupan de los niños en situación más vulnerable, incluidos los huérfanos del VIH/SIDA.</w:t>
      </w:r>
    </w:p>
    <w:p w:rsidR="00000000" w:rsidRDefault="00000000">
      <w:pPr>
        <w:pStyle w:val="H23"/>
        <w:keepNext w:val="0"/>
        <w:keepLines w:val="0"/>
        <w:suppressAutoHyphens w:val="0"/>
        <w:spacing w:after="240" w:line="240" w:lineRule="auto"/>
        <w:outlineLvl w:val="9"/>
        <w:rPr>
          <w:bCs/>
          <w:spacing w:val="0"/>
          <w:w w:val="100"/>
          <w:kern w:val="0"/>
          <w:sz w:val="24"/>
        </w:rPr>
      </w:pPr>
      <w:r>
        <w:rPr>
          <w:bCs/>
          <w:spacing w:val="0"/>
          <w:w w:val="100"/>
          <w:kern w:val="0"/>
          <w:sz w:val="24"/>
        </w:rPr>
        <w:t>Separación de los padres (</w:t>
      </w:r>
      <w:r>
        <w:rPr>
          <w:bCs/>
          <w:spacing w:val="0"/>
          <w:w w:val="100"/>
          <w:kern w:val="0"/>
          <w:sz w:val="24"/>
          <w:lang w:val="es-ES_tradnl"/>
        </w:rPr>
        <w:t>artículo</w:t>
      </w:r>
      <w:r>
        <w:rPr>
          <w:bCs/>
          <w:spacing w:val="0"/>
          <w:w w:val="100"/>
          <w:kern w:val="0"/>
          <w:sz w:val="24"/>
        </w:rPr>
        <w:t xml:space="preserve"> 9)</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140.</w:t>
      </w:r>
      <w:r>
        <w:rPr>
          <w:spacing w:val="0"/>
          <w:w w:val="100"/>
          <w:kern w:val="0"/>
          <w:sz w:val="24"/>
        </w:rPr>
        <w:tab/>
        <w:t>En Zanzíbar, se desaprueba la adopción.  A todos los niños extranjeros que r</w:t>
      </w:r>
      <w:r>
        <w:rPr>
          <w:spacing w:val="0"/>
          <w:w w:val="100"/>
          <w:kern w:val="0"/>
          <w:sz w:val="24"/>
        </w:rPr>
        <w:t>e</w:t>
      </w:r>
      <w:r>
        <w:rPr>
          <w:spacing w:val="0"/>
          <w:w w:val="100"/>
          <w:kern w:val="0"/>
          <w:sz w:val="24"/>
        </w:rPr>
        <w:t>siden en el país se les aplican las normas internacionales y cuando se produce la s</w:t>
      </w:r>
      <w:r>
        <w:rPr>
          <w:spacing w:val="0"/>
          <w:w w:val="100"/>
          <w:kern w:val="0"/>
          <w:sz w:val="24"/>
        </w:rPr>
        <w:t>e</w:t>
      </w:r>
      <w:r>
        <w:rPr>
          <w:spacing w:val="0"/>
          <w:w w:val="100"/>
          <w:kern w:val="0"/>
          <w:sz w:val="24"/>
        </w:rPr>
        <w:t>paración, la jurisdicción del país permite la vuelta del niño a su comunidad de or</w:t>
      </w:r>
      <w:r>
        <w:rPr>
          <w:spacing w:val="0"/>
          <w:w w:val="100"/>
          <w:kern w:val="0"/>
          <w:sz w:val="24"/>
        </w:rPr>
        <w:t>i</w:t>
      </w:r>
      <w:r>
        <w:rPr>
          <w:spacing w:val="0"/>
          <w:w w:val="100"/>
          <w:kern w:val="0"/>
          <w:sz w:val="24"/>
        </w:rPr>
        <w:t>gen.  Sin embargo, en algunos casos surgen dificultades para el retorno de niños sacados de su país.</w:t>
      </w:r>
    </w:p>
    <w:p w:rsidR="00000000" w:rsidRDefault="00000000">
      <w:pPr>
        <w:pStyle w:val="H23"/>
        <w:keepLines w:val="0"/>
        <w:suppressAutoHyphens w:val="0"/>
        <w:spacing w:after="240" w:line="240" w:lineRule="auto"/>
        <w:outlineLvl w:val="9"/>
        <w:rPr>
          <w:bCs/>
          <w:spacing w:val="0"/>
          <w:w w:val="100"/>
          <w:kern w:val="0"/>
          <w:sz w:val="24"/>
        </w:rPr>
      </w:pPr>
      <w:r>
        <w:rPr>
          <w:bCs/>
          <w:spacing w:val="0"/>
          <w:w w:val="100"/>
          <w:kern w:val="0"/>
          <w:sz w:val="24"/>
        </w:rPr>
        <w:t>Abuso, descuido, abandono, malos tratos y violencia contra los niños (</w:t>
      </w:r>
      <w:r>
        <w:rPr>
          <w:bCs/>
          <w:spacing w:val="0"/>
          <w:w w:val="100"/>
          <w:kern w:val="0"/>
          <w:sz w:val="24"/>
          <w:lang w:val="es-ES_tradnl"/>
        </w:rPr>
        <w:t>artículo</w:t>
      </w:r>
      <w:r>
        <w:rPr>
          <w:bCs/>
          <w:spacing w:val="0"/>
          <w:w w:val="100"/>
          <w:kern w:val="0"/>
          <w:sz w:val="24"/>
        </w:rPr>
        <w:t xml:space="preserve"> 19)</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141.</w:t>
      </w:r>
      <w:r>
        <w:rPr>
          <w:spacing w:val="0"/>
          <w:w w:val="100"/>
          <w:kern w:val="0"/>
          <w:sz w:val="24"/>
        </w:rPr>
        <w:tab/>
        <w:t>En Tanzanía continental, el Gobierno y varias ONG han emprendido una serie de estudios y adoptado medidas para luchar contra el abuso sexual, el descuido, el abandono, los malos tratos y la violencia contra los n</w:t>
      </w:r>
      <w:r>
        <w:rPr>
          <w:spacing w:val="0"/>
          <w:w w:val="100"/>
          <w:kern w:val="0"/>
          <w:sz w:val="24"/>
        </w:rPr>
        <w:t>i</w:t>
      </w:r>
      <w:r>
        <w:rPr>
          <w:spacing w:val="0"/>
          <w:w w:val="100"/>
          <w:kern w:val="0"/>
          <w:sz w:val="24"/>
        </w:rPr>
        <w:t>ños.  El Ministerio del Desarrollo Comunitario, la Mujer y el Niño elaboró en 2003 un Plan Nacional de Acción orientado a combatir la violencia contra mujeres y n</w:t>
      </w:r>
      <w:r>
        <w:rPr>
          <w:spacing w:val="0"/>
          <w:w w:val="100"/>
          <w:kern w:val="0"/>
          <w:sz w:val="24"/>
        </w:rPr>
        <w:t>i</w:t>
      </w:r>
      <w:r>
        <w:rPr>
          <w:spacing w:val="0"/>
          <w:w w:val="100"/>
          <w:kern w:val="0"/>
          <w:sz w:val="24"/>
        </w:rPr>
        <w:t>ños.  El principal objetivo de ese plan es lograr una igualdad y equidad sostenibles entre los hombres y las mujeres de Tanzanía y ofrecer un marco para la acción e</w:t>
      </w:r>
      <w:r>
        <w:rPr>
          <w:spacing w:val="0"/>
          <w:w w:val="100"/>
          <w:kern w:val="0"/>
          <w:sz w:val="24"/>
        </w:rPr>
        <w:t>n</w:t>
      </w:r>
      <w:r>
        <w:rPr>
          <w:spacing w:val="0"/>
          <w:w w:val="100"/>
          <w:kern w:val="0"/>
          <w:sz w:val="24"/>
        </w:rPr>
        <w:t>caminada a prevenir la violencia contra mujeres y niños.  Por otra parte, las ONG han establecido programas comunitarios sobre los d</w:t>
      </w:r>
      <w:r>
        <w:rPr>
          <w:spacing w:val="0"/>
          <w:w w:val="100"/>
          <w:kern w:val="0"/>
          <w:sz w:val="24"/>
        </w:rPr>
        <w:t>e</w:t>
      </w:r>
      <w:r>
        <w:rPr>
          <w:spacing w:val="0"/>
          <w:w w:val="100"/>
          <w:kern w:val="0"/>
          <w:sz w:val="24"/>
        </w:rPr>
        <w:t>rechos del niño para identificar a los niños con problemas, de modo que puedan adoptarse las medidas de ayuda pertinentes.  En la actualidad es mucho más frecue</w:t>
      </w:r>
      <w:r>
        <w:rPr>
          <w:spacing w:val="0"/>
          <w:w w:val="100"/>
          <w:kern w:val="0"/>
          <w:sz w:val="24"/>
        </w:rPr>
        <w:t>n</w:t>
      </w:r>
      <w:r>
        <w:rPr>
          <w:spacing w:val="0"/>
          <w:w w:val="100"/>
          <w:kern w:val="0"/>
          <w:sz w:val="24"/>
        </w:rPr>
        <w:t>te que se denuncien los casos de violencia doméstica, malos tratos y abusos (sexu</w:t>
      </w:r>
      <w:r>
        <w:rPr>
          <w:spacing w:val="0"/>
          <w:w w:val="100"/>
          <w:kern w:val="0"/>
          <w:sz w:val="24"/>
        </w:rPr>
        <w:t>a</w:t>
      </w:r>
      <w:r>
        <w:rPr>
          <w:spacing w:val="0"/>
          <w:w w:val="100"/>
          <w:kern w:val="0"/>
          <w:sz w:val="24"/>
        </w:rPr>
        <w:t>les, físicos y psicológicos) y que se castigue a sus autores.  Ello podría debe</w:t>
      </w:r>
      <w:r>
        <w:rPr>
          <w:spacing w:val="0"/>
          <w:w w:val="100"/>
          <w:kern w:val="0"/>
          <w:sz w:val="24"/>
        </w:rPr>
        <w:t>r</w:t>
      </w:r>
      <w:r>
        <w:rPr>
          <w:spacing w:val="0"/>
          <w:w w:val="100"/>
          <w:kern w:val="0"/>
          <w:sz w:val="24"/>
        </w:rPr>
        <w:t>se a una mayor i</w:t>
      </w:r>
      <w:r>
        <w:rPr>
          <w:spacing w:val="0"/>
          <w:w w:val="100"/>
          <w:kern w:val="0"/>
          <w:sz w:val="24"/>
        </w:rPr>
        <w:t>n</w:t>
      </w:r>
      <w:r>
        <w:rPr>
          <w:spacing w:val="0"/>
          <w:w w:val="100"/>
          <w:kern w:val="0"/>
          <w:sz w:val="24"/>
        </w:rPr>
        <w:t>formación sobre los derechos del niño.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142.</w:t>
      </w:r>
      <w:r>
        <w:rPr>
          <w:spacing w:val="0"/>
          <w:w w:val="100"/>
          <w:kern w:val="0"/>
          <w:sz w:val="24"/>
        </w:rPr>
        <w:tab/>
        <w:t>El Gobierno de la República Unida de Tanzanía también ha establecido un procedimiento que permite que los niños presten declaración a puerta cerrada en ju</w:t>
      </w:r>
      <w:r>
        <w:rPr>
          <w:spacing w:val="0"/>
          <w:w w:val="100"/>
          <w:kern w:val="0"/>
          <w:sz w:val="24"/>
        </w:rPr>
        <w:t>i</w:t>
      </w:r>
      <w:r>
        <w:rPr>
          <w:spacing w:val="0"/>
          <w:w w:val="100"/>
          <w:kern w:val="0"/>
          <w:sz w:val="24"/>
        </w:rPr>
        <w:t>cios por malos tratos y abusos sexuales.  El público y los medios de comunicación no podrán acceder a la sala mientras la víctima preste declaración.  Además, la Ley de delitos sexuales (disposiciones especiales), de 1988, reformó la Ordenanza de niños y jóvenes, que establece ahora que:  "cuando un menor de 18 años sea víctima, test</w:t>
      </w:r>
      <w:r>
        <w:rPr>
          <w:spacing w:val="0"/>
          <w:w w:val="100"/>
          <w:kern w:val="0"/>
          <w:sz w:val="24"/>
        </w:rPr>
        <w:t>i</w:t>
      </w:r>
      <w:r>
        <w:rPr>
          <w:spacing w:val="0"/>
          <w:w w:val="100"/>
          <w:kern w:val="0"/>
          <w:sz w:val="24"/>
        </w:rPr>
        <w:t>go, acusado o coacusado en una causa en la que se ventilen delitos de naturaleza s</w:t>
      </w:r>
      <w:r>
        <w:rPr>
          <w:spacing w:val="0"/>
          <w:w w:val="100"/>
          <w:kern w:val="0"/>
          <w:sz w:val="24"/>
        </w:rPr>
        <w:t>e</w:t>
      </w:r>
      <w:r>
        <w:rPr>
          <w:spacing w:val="0"/>
          <w:w w:val="100"/>
          <w:kern w:val="0"/>
          <w:sz w:val="24"/>
        </w:rPr>
        <w:t>xual, el menor será enjuiciado a puerta cerrada y separadamente del adulto coacusado o su declar</w:t>
      </w:r>
      <w:r>
        <w:rPr>
          <w:spacing w:val="0"/>
          <w:w w:val="100"/>
          <w:kern w:val="0"/>
          <w:sz w:val="24"/>
        </w:rPr>
        <w:t>a</w:t>
      </w:r>
      <w:r>
        <w:rPr>
          <w:spacing w:val="0"/>
          <w:w w:val="100"/>
          <w:kern w:val="0"/>
          <w:sz w:val="24"/>
        </w:rPr>
        <w:t>ción se prestará a puerta cerrada".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143.</w:t>
      </w:r>
      <w:r>
        <w:rPr>
          <w:spacing w:val="0"/>
          <w:w w:val="100"/>
          <w:kern w:val="0"/>
          <w:sz w:val="24"/>
        </w:rPr>
        <w:tab/>
        <w:t>A través del Ministerio de Empleo Juvenil, Asuntos de la Mujer y Desarrollo del Niño, el Gobierno de Zanzíbar ha creado una Dependencia de orientación ante la que los niños que sufren descuido pueden presentar sus quejas.  La Dependencia se encarga de resolver el problema y garantizar que el niño reciba de su padre la man</w:t>
      </w:r>
      <w:r>
        <w:rPr>
          <w:spacing w:val="0"/>
          <w:w w:val="100"/>
          <w:kern w:val="0"/>
          <w:sz w:val="24"/>
        </w:rPr>
        <w:t>u</w:t>
      </w:r>
      <w:r>
        <w:rPr>
          <w:spacing w:val="0"/>
          <w:w w:val="100"/>
          <w:kern w:val="0"/>
          <w:sz w:val="24"/>
        </w:rPr>
        <w:t>tención y los cuidados que corresponden.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144.</w:t>
      </w:r>
      <w:r>
        <w:rPr>
          <w:spacing w:val="0"/>
          <w:w w:val="100"/>
          <w:kern w:val="0"/>
          <w:sz w:val="24"/>
        </w:rPr>
        <w:tab/>
        <w:t>En cuanto a los casos de abusos sexuales en Zanzíbar, la dependencia de orie</w:t>
      </w:r>
      <w:r>
        <w:rPr>
          <w:spacing w:val="0"/>
          <w:w w:val="100"/>
          <w:kern w:val="0"/>
          <w:sz w:val="24"/>
        </w:rPr>
        <w:t>n</w:t>
      </w:r>
      <w:r>
        <w:rPr>
          <w:spacing w:val="0"/>
          <w:w w:val="100"/>
          <w:kern w:val="0"/>
          <w:sz w:val="24"/>
        </w:rPr>
        <w:t>tación, en colaboración con el Departamento de Bienestar Social, la policía y expe</w:t>
      </w:r>
      <w:r>
        <w:rPr>
          <w:spacing w:val="0"/>
          <w:w w:val="100"/>
          <w:kern w:val="0"/>
          <w:sz w:val="24"/>
        </w:rPr>
        <w:t>r</w:t>
      </w:r>
      <w:r>
        <w:rPr>
          <w:spacing w:val="0"/>
          <w:w w:val="100"/>
          <w:kern w:val="0"/>
          <w:sz w:val="24"/>
        </w:rPr>
        <w:t>tos médicos, es el órgano encargado de crear estrategias para luchar contra los malos tratos, los abusos sexuales y otros actos violentos de que son víctimas los n</w:t>
      </w:r>
      <w:r>
        <w:rPr>
          <w:spacing w:val="0"/>
          <w:w w:val="100"/>
          <w:kern w:val="0"/>
          <w:sz w:val="24"/>
        </w:rPr>
        <w:t>i</w:t>
      </w:r>
      <w:r>
        <w:rPr>
          <w:spacing w:val="0"/>
          <w:w w:val="100"/>
          <w:kern w:val="0"/>
          <w:sz w:val="24"/>
        </w:rPr>
        <w:t>ños.  Los niños que sufren descuido o que carecen de hogar quedan a cargo del G</w:t>
      </w:r>
      <w:r>
        <w:rPr>
          <w:spacing w:val="0"/>
          <w:w w:val="100"/>
          <w:kern w:val="0"/>
          <w:sz w:val="24"/>
        </w:rPr>
        <w:t>o</w:t>
      </w:r>
      <w:r>
        <w:rPr>
          <w:spacing w:val="0"/>
          <w:w w:val="100"/>
          <w:kern w:val="0"/>
          <w:sz w:val="24"/>
        </w:rPr>
        <w:t>bierno, pero las instalaciones disponibles ya no dan más de sí.</w:t>
      </w:r>
    </w:p>
    <w:p w:rsidR="00000000" w:rsidRDefault="00000000">
      <w:pPr>
        <w:pStyle w:val="HCh"/>
        <w:keepNext w:val="0"/>
        <w:keepLines w:val="0"/>
        <w:suppressAutoHyphens w:val="0"/>
        <w:spacing w:before="480" w:after="240" w:line="240" w:lineRule="auto"/>
        <w:jc w:val="center"/>
        <w:outlineLvl w:val="9"/>
        <w:rPr>
          <w:bCs/>
          <w:spacing w:val="0"/>
          <w:w w:val="100"/>
          <w:kern w:val="0"/>
          <w:sz w:val="24"/>
        </w:rPr>
      </w:pPr>
      <w:r>
        <w:rPr>
          <w:bCs/>
          <w:spacing w:val="0"/>
          <w:w w:val="100"/>
          <w:kern w:val="0"/>
          <w:sz w:val="24"/>
        </w:rPr>
        <w:t>VI.  SALUD Y SERVICIOS SOCIALES BÁSICOS</w:t>
      </w:r>
    </w:p>
    <w:p w:rsidR="00000000" w:rsidRDefault="00000000">
      <w:pPr>
        <w:pStyle w:val="H23"/>
        <w:keepNext w:val="0"/>
        <w:keepLines w:val="0"/>
        <w:suppressAutoHyphens w:val="0"/>
        <w:spacing w:after="240" w:line="240" w:lineRule="auto"/>
        <w:outlineLvl w:val="9"/>
        <w:rPr>
          <w:bCs/>
          <w:spacing w:val="0"/>
          <w:w w:val="100"/>
          <w:kern w:val="0"/>
          <w:sz w:val="24"/>
        </w:rPr>
      </w:pPr>
      <w:r>
        <w:rPr>
          <w:bCs/>
          <w:spacing w:val="0"/>
          <w:w w:val="100"/>
          <w:kern w:val="0"/>
          <w:sz w:val="24"/>
        </w:rPr>
        <w:t>Derecho a la salud y acceso a servicios de salud (artículos 6, 8, párr. 3, 23, 24, 26, 27, párrs. 1 a 3)</w:t>
      </w:r>
    </w:p>
    <w:p w:rsidR="00000000" w:rsidRDefault="00000000">
      <w:pPr>
        <w:pStyle w:val="H23"/>
        <w:keepNext w:val="0"/>
        <w:keepLines w:val="0"/>
        <w:suppressAutoHyphens w:val="0"/>
        <w:spacing w:after="240" w:line="240" w:lineRule="auto"/>
        <w:outlineLvl w:val="9"/>
        <w:rPr>
          <w:bCs/>
          <w:spacing w:val="0"/>
          <w:w w:val="100"/>
          <w:kern w:val="0"/>
          <w:sz w:val="24"/>
        </w:rPr>
      </w:pPr>
      <w:r>
        <w:rPr>
          <w:b w:val="0"/>
          <w:spacing w:val="0"/>
          <w:w w:val="100"/>
          <w:kern w:val="0"/>
          <w:sz w:val="24"/>
        </w:rPr>
        <w:tab/>
      </w:r>
      <w:r>
        <w:rPr>
          <w:bCs/>
          <w:spacing w:val="0"/>
          <w:w w:val="100"/>
          <w:kern w:val="0"/>
          <w:sz w:val="24"/>
        </w:rPr>
        <w:t>Política de salud</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145.</w:t>
      </w:r>
      <w:r>
        <w:rPr>
          <w:spacing w:val="0"/>
          <w:w w:val="100"/>
          <w:kern w:val="0"/>
          <w:sz w:val="24"/>
        </w:rPr>
        <w:tab/>
        <w:t>En 1990 se formuló una Política nacional de salud, que se revisó en 2001.  El objetivo general de la Política de salud en Tanzanía continental es mejorar la salud y el bienestar de los ciudadanos, prestando especial atención a los que corren mayores riesgos, y procurar que el sistema sanitario responda mejor a las necesidades de la población.  Los objetivos específicos son:</w:t>
      </w:r>
    </w:p>
    <w:p w:rsidR="00000000" w:rsidRDefault="00000000">
      <w:pPr>
        <w:pStyle w:val="SingleTxt"/>
        <w:numPr>
          <w:ilvl w:val="0"/>
          <w:numId w:val="70"/>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924" w:right="0" w:hanging="357"/>
        <w:jc w:val="left"/>
        <w:rPr>
          <w:spacing w:val="0"/>
          <w:w w:val="100"/>
          <w:kern w:val="0"/>
          <w:sz w:val="24"/>
        </w:rPr>
      </w:pPr>
      <w:r>
        <w:rPr>
          <w:spacing w:val="0"/>
          <w:w w:val="100"/>
          <w:kern w:val="0"/>
          <w:sz w:val="24"/>
        </w:rPr>
        <w:t>Asegurar que toda la población urbana y rural tenga acceso a servicios de salud. Puesto que los niños son más vulnerables a las enfermedades, hay que aumentar el número de dispensarios en las zonas rurales.</w:t>
      </w:r>
    </w:p>
    <w:p w:rsidR="00000000" w:rsidRDefault="00000000">
      <w:pPr>
        <w:pStyle w:val="SingleTxt"/>
        <w:numPr>
          <w:ilvl w:val="0"/>
          <w:numId w:val="70"/>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924" w:right="0" w:hanging="357"/>
        <w:jc w:val="left"/>
        <w:rPr>
          <w:spacing w:val="0"/>
          <w:w w:val="100"/>
          <w:kern w:val="0"/>
          <w:sz w:val="24"/>
        </w:rPr>
      </w:pPr>
      <w:r>
        <w:rPr>
          <w:spacing w:val="0"/>
          <w:w w:val="100"/>
          <w:kern w:val="0"/>
          <w:sz w:val="24"/>
        </w:rPr>
        <w:t>Concienciar a la comunidad de los problemas comunes de salud que se pueden prevenir y aumentar la capacidad en todos los niveles de la sociedad de evaluar y analizar los problemas y formular las medidas apropiadas mediante una verdadera participación de la comunidad.</w:t>
      </w:r>
    </w:p>
    <w:p w:rsidR="00000000" w:rsidRDefault="00000000">
      <w:pPr>
        <w:pStyle w:val="SingleTxt"/>
        <w:numPr>
          <w:ilvl w:val="0"/>
          <w:numId w:val="70"/>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924" w:right="0" w:hanging="357"/>
        <w:jc w:val="left"/>
        <w:rPr>
          <w:spacing w:val="0"/>
          <w:w w:val="100"/>
          <w:kern w:val="0"/>
          <w:sz w:val="24"/>
        </w:rPr>
      </w:pPr>
      <w:r>
        <w:rPr>
          <w:spacing w:val="0"/>
          <w:w w:val="100"/>
          <w:kern w:val="0"/>
          <w:sz w:val="24"/>
        </w:rPr>
        <w:t>Crear conciencia en el Gobierno y la comunidad en general de que los problemas sanitarios sólo pueden solucionarse adecuadamente mediante la cooperación multicultural.  En la tarea deben participar los sectores de la educación, la agricultura, el agua y el saneamiento, el desarrollo comunitario, las organizaciones de mujeres, los partidos políticos y las ONG bajo la dirección del Ministerio de Salud.</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146.</w:t>
      </w:r>
      <w:r>
        <w:rPr>
          <w:spacing w:val="0"/>
          <w:w w:val="100"/>
          <w:kern w:val="0"/>
          <w:sz w:val="24"/>
        </w:rPr>
        <w:tab/>
        <w:t>Según la encuesta sobre la salud reproductiva e infantil en Tanzanía de 1999, las tasas de mortalidad infantil y de niños menores de 5 años son de 104 por 1.000 nacidos vivos y 165 por 1.000 nacidos vivos, respectivamente.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147.</w:t>
      </w:r>
      <w:r>
        <w:rPr>
          <w:spacing w:val="0"/>
          <w:w w:val="100"/>
          <w:kern w:val="0"/>
          <w:sz w:val="24"/>
        </w:rPr>
        <w:tab/>
        <w:t>En 1998 se calculaba que la tasa de mortalidad materna en Zanzíbar era de 377 por 100.000 nacidos vivos.  Esa tasa es ligeramente más baja que la de 400 por 100.000 nacidos vivos registrada en 1992.  En el caso de los niños pequeños, las tasas de mortalidad también son inferiores a las de 1992.  Las estimaciones actuales son de 83 por 1.000 nacidos vivos (2002) para la tasa de mortalidad infantil y de 114 por 1.000 nacidos vivos (2002) para la tasa de mortalidad en la niñez en comparación con 102 por 1.000 nacidos vivos y 202 por 1.000 nacidos vivos, respectivamente en 1992.</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148.</w:t>
      </w:r>
      <w:r>
        <w:rPr>
          <w:spacing w:val="0"/>
          <w:w w:val="100"/>
          <w:kern w:val="0"/>
          <w:sz w:val="24"/>
        </w:rPr>
        <w:tab/>
        <w:t>El Ministerio de Salud empezó a aplicar la iniciativa de atención integrada de las enfermedades de la infancia mediante la capacitación de trabajadores sanitarios en el tratamiento de los niños afectados.  Se ha capacitado a trabajadores de los di</w:t>
      </w:r>
      <w:r>
        <w:rPr>
          <w:spacing w:val="0"/>
          <w:w w:val="100"/>
          <w:kern w:val="0"/>
          <w:sz w:val="24"/>
        </w:rPr>
        <w:t>s</w:t>
      </w:r>
      <w:r>
        <w:rPr>
          <w:spacing w:val="0"/>
          <w:w w:val="100"/>
          <w:kern w:val="0"/>
          <w:sz w:val="24"/>
        </w:rPr>
        <w:t>tritos de Sengerema, Misungwi, Mbarali, Mpwapwa, Temeke y Kibaha y a profes</w:t>
      </w:r>
      <w:r>
        <w:rPr>
          <w:spacing w:val="0"/>
          <w:w w:val="100"/>
          <w:kern w:val="0"/>
          <w:sz w:val="24"/>
        </w:rPr>
        <w:t>o</w:t>
      </w:r>
      <w:r>
        <w:rPr>
          <w:spacing w:val="0"/>
          <w:w w:val="100"/>
          <w:kern w:val="0"/>
          <w:sz w:val="24"/>
        </w:rPr>
        <w:t>res de escuelas de enfermeros (Mbeya, Lindi y Masasi) y está previsto ampliar dicha capacitación a otras zonas del país.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149.</w:t>
      </w:r>
      <w:r>
        <w:rPr>
          <w:spacing w:val="0"/>
          <w:w w:val="100"/>
          <w:kern w:val="0"/>
          <w:sz w:val="24"/>
        </w:rPr>
        <w:tab/>
        <w:t>Con el apoyo del UNICEF, se ha capacitado a trabajadores sanitarios en la atención integrada de las enfermedades de la infancia y en la reducción de riesgos en los embarazos y los partos, especialmente en el plano comunitario.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150.</w:t>
      </w:r>
      <w:r>
        <w:rPr>
          <w:spacing w:val="0"/>
          <w:w w:val="100"/>
          <w:kern w:val="0"/>
          <w:sz w:val="24"/>
        </w:rPr>
        <w:tab/>
        <w:t>El principal objetivo del programa de atención integrada de las enfermedades de la infancia en Zanzíbar es mejorar la calidad del tratamiento de los niños enfe</w:t>
      </w:r>
      <w:r>
        <w:rPr>
          <w:spacing w:val="0"/>
          <w:w w:val="100"/>
          <w:kern w:val="0"/>
          <w:sz w:val="24"/>
        </w:rPr>
        <w:t>r</w:t>
      </w:r>
      <w:r>
        <w:rPr>
          <w:spacing w:val="0"/>
          <w:w w:val="100"/>
          <w:kern w:val="0"/>
          <w:sz w:val="24"/>
        </w:rPr>
        <w:t>mos en los servicios de atención primaria (unidades de atención primaria de la salud y clínicas de salud materno infantil en los hospitales) y los servicios del nivel s</w:t>
      </w:r>
      <w:r>
        <w:rPr>
          <w:spacing w:val="0"/>
          <w:w w:val="100"/>
          <w:kern w:val="0"/>
          <w:sz w:val="24"/>
        </w:rPr>
        <w:t>i</w:t>
      </w:r>
      <w:r>
        <w:rPr>
          <w:spacing w:val="0"/>
          <w:w w:val="100"/>
          <w:kern w:val="0"/>
          <w:sz w:val="24"/>
        </w:rPr>
        <w:t>guiente (centros de atención primaria de la salud) en todos los distritos.  La primera fase del programa, de 1997 a 2001, empezó en los pequeños hospitales de Michew</w:t>
      </w:r>
      <w:r>
        <w:rPr>
          <w:spacing w:val="0"/>
          <w:w w:val="100"/>
          <w:kern w:val="0"/>
          <w:sz w:val="24"/>
        </w:rPr>
        <w:t>e</w:t>
      </w:r>
      <w:r>
        <w:rPr>
          <w:spacing w:val="0"/>
          <w:w w:val="100"/>
          <w:kern w:val="0"/>
          <w:sz w:val="24"/>
        </w:rPr>
        <w:t>ni, Kivunge y Makunduchi.  En el programa de contratos entre el Gobierno de Ta</w:t>
      </w:r>
      <w:r>
        <w:rPr>
          <w:spacing w:val="0"/>
          <w:w w:val="100"/>
          <w:kern w:val="0"/>
          <w:sz w:val="24"/>
        </w:rPr>
        <w:t>n</w:t>
      </w:r>
      <w:r>
        <w:rPr>
          <w:spacing w:val="0"/>
          <w:w w:val="100"/>
          <w:kern w:val="0"/>
          <w:sz w:val="24"/>
        </w:rPr>
        <w:t>zanía y el UNICEF para 2002-2006 se incluyen más distritos:  Wete septentrional "B" y distritos urbanos.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151.</w:t>
      </w:r>
      <w:r>
        <w:rPr>
          <w:spacing w:val="0"/>
          <w:w w:val="100"/>
          <w:kern w:val="0"/>
          <w:sz w:val="24"/>
        </w:rPr>
        <w:tab/>
        <w:t>El programa de atención integrada de las enfermedades de la infancia tiene también componentes de fomento de la capacidad, capacitación en tratamiento de enfermedades infantiles, para trabajadores sanitarios, mejora de la capacidad de supervisión y fortalecimiento de la capacidad organizativa de la dependencia de coordinación, que también es responsable de la supervisión y la evaluación.  En algunos distritos se están llevando a cabo de manera experimental actividades de atención integrada de las enfermedades de la infancia a nivel de comunidad.</w:t>
      </w:r>
    </w:p>
    <w:p w:rsidR="00000000" w:rsidRDefault="00000000">
      <w:pPr>
        <w:pStyle w:val="H23"/>
        <w:keepNext w:val="0"/>
        <w:keepLines w:val="0"/>
        <w:suppressAutoHyphens w:val="0"/>
        <w:spacing w:after="240" w:line="240" w:lineRule="auto"/>
        <w:outlineLvl w:val="9"/>
        <w:rPr>
          <w:bCs/>
          <w:spacing w:val="0"/>
          <w:w w:val="100"/>
          <w:kern w:val="0"/>
          <w:sz w:val="24"/>
        </w:rPr>
      </w:pPr>
      <w:r>
        <w:rPr>
          <w:b w:val="0"/>
          <w:spacing w:val="0"/>
          <w:w w:val="100"/>
          <w:kern w:val="0"/>
          <w:sz w:val="24"/>
        </w:rPr>
        <w:tab/>
      </w:r>
      <w:r>
        <w:rPr>
          <w:bCs/>
          <w:spacing w:val="0"/>
          <w:w w:val="100"/>
          <w:kern w:val="0"/>
          <w:sz w:val="24"/>
        </w:rPr>
        <w:t>Prevención del paludismo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152.</w:t>
      </w:r>
      <w:r>
        <w:rPr>
          <w:spacing w:val="0"/>
          <w:w w:val="100"/>
          <w:kern w:val="0"/>
          <w:sz w:val="24"/>
        </w:rPr>
        <w:tab/>
        <w:t>El Ministerio de Salud, en colaboración con otras organizaciones como Servicios Internacionales de Población y Care International, distribuyó mosquiteros tratados con insecticidas después de que se llevara a cabo una investigación sobre medios de combatir el paludismo en los niños.  La investigación demostró también que la cloroquina no resultaba eficaz para tratar el paludismo en un porcentaje de casos que oscila entre el 20 y el 52%.  La amodiaquina fracasa en el 6% de los casos y el Fansidar en el 13%.  A partir de esos resultados, se considera que el Fansidar es el primer medicamento para sustituir a la cloroquina y el tercero para casos normales, y se encuentra en la primera línea para los casos complicados.  Tanzanía está actualmente en una situación excepcional por lo que se refiere al uso de mosquiteros tratados con insecticidas, ya que el Gobierno lo apoya firmemente.  El país tiene una gran experiencia en la promoción del uso y la distribución de distintos tipos de mosquiteros tratados con insecticidas, en comparación con otros países de África donde el paludismo es endémico.  Tanzanía cuenta también con una fábrica de mosquiteros, que los produce de gran calidad y a bajo precio.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153.</w:t>
      </w:r>
      <w:r>
        <w:rPr>
          <w:spacing w:val="0"/>
          <w:w w:val="100"/>
          <w:kern w:val="0"/>
          <w:sz w:val="24"/>
        </w:rPr>
        <w:tab/>
        <w:t>Durante la campaña contra el paludismo que se llevó a cabo en Zanzíbar en 2001/02, se realizó una investigación sobre la eficacia de la cloroquina en los pequeños hospitales de Micheweni y Kivunge, que demostró que fracasaba en el 60% de los casos.  Por consiguiente, se formuló una nueva política sobre los medicamentos antipalúdicos para luchar contra el paludismo en Zanzíbar.  La nueva terapia de combinación consiste en los medicamentos siguientes: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jc w:val="left"/>
        <w:rPr>
          <w:spacing w:val="0"/>
          <w:w w:val="100"/>
          <w:kern w:val="0"/>
          <w:sz w:val="24"/>
        </w:rPr>
      </w:pPr>
      <w:r>
        <w:rPr>
          <w:spacing w:val="0"/>
          <w:w w:val="100"/>
          <w:kern w:val="0"/>
          <w:sz w:val="24"/>
        </w:rPr>
        <w:t>Primera línea:  amodiaquina más artesunato.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jc w:val="left"/>
        <w:rPr>
          <w:spacing w:val="0"/>
          <w:w w:val="100"/>
          <w:kern w:val="0"/>
          <w:sz w:val="24"/>
        </w:rPr>
      </w:pPr>
      <w:r>
        <w:rPr>
          <w:spacing w:val="0"/>
          <w:w w:val="100"/>
          <w:kern w:val="0"/>
          <w:sz w:val="24"/>
        </w:rPr>
        <w:t>Segunda línea:  artemetero más lumefantrina.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jc w:val="left"/>
        <w:rPr>
          <w:spacing w:val="0"/>
          <w:w w:val="100"/>
          <w:kern w:val="0"/>
          <w:sz w:val="24"/>
        </w:rPr>
      </w:pPr>
      <w:r>
        <w:rPr>
          <w:spacing w:val="0"/>
          <w:w w:val="100"/>
          <w:kern w:val="0"/>
          <w:sz w:val="24"/>
        </w:rPr>
        <w:t>Tercera línea:  quinina.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154.</w:t>
      </w:r>
      <w:r>
        <w:rPr>
          <w:spacing w:val="0"/>
          <w:w w:val="100"/>
          <w:kern w:val="0"/>
          <w:sz w:val="24"/>
        </w:rPr>
        <w:tab/>
        <w:t>En Zanzíbar las mujeres embarazadas pueden utilizar también Fansidar.  Se calcula que el porcentaje de diagnóstico del departamento ambulatorio en el caso de las mujeres embarazadas es del 50%.</w:t>
      </w:r>
    </w:p>
    <w:p w:rsidR="00000000" w:rsidRDefault="00000000">
      <w:pPr>
        <w:pStyle w:val="H23"/>
        <w:keepNext w:val="0"/>
        <w:keepLines w:val="0"/>
        <w:suppressAutoHyphens w:val="0"/>
        <w:spacing w:after="240" w:line="240" w:lineRule="auto"/>
        <w:ind w:left="567"/>
        <w:outlineLvl w:val="9"/>
        <w:rPr>
          <w:bCs/>
          <w:spacing w:val="0"/>
          <w:w w:val="100"/>
          <w:kern w:val="0"/>
          <w:sz w:val="24"/>
        </w:rPr>
      </w:pPr>
      <w:r>
        <w:rPr>
          <w:bCs/>
          <w:spacing w:val="0"/>
          <w:w w:val="100"/>
          <w:kern w:val="0"/>
          <w:sz w:val="24"/>
        </w:rPr>
        <w:t>Salud de los adolescentes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155.</w:t>
      </w:r>
      <w:r>
        <w:rPr>
          <w:spacing w:val="0"/>
          <w:w w:val="100"/>
          <w:kern w:val="0"/>
          <w:sz w:val="24"/>
        </w:rPr>
        <w:tab/>
        <w:t>La epidemia del virus de la inmunodeficiencia humana (VIH) y el síndrome de inmunodeficiencia adquirida (SIDA) ha afectado a los adolescentes de manera de</w:t>
      </w:r>
      <w:r>
        <w:rPr>
          <w:spacing w:val="0"/>
          <w:w w:val="100"/>
          <w:kern w:val="0"/>
          <w:sz w:val="24"/>
        </w:rPr>
        <w:t>s</w:t>
      </w:r>
      <w:r>
        <w:rPr>
          <w:spacing w:val="0"/>
          <w:w w:val="100"/>
          <w:kern w:val="0"/>
          <w:sz w:val="24"/>
        </w:rPr>
        <w:t>proporcionada. Aunque los adolescentes de 13 a 18 años constituyen el 20% de la población de Tanzanía, representan aproximadamente el 6% de los nuevos casos de infección por el VIH.  Se han realizado actividades para proteger a los jóvenes del VIH/SIDA.  Uno de los programas que se han establecido es la iniciativa extraesc</w:t>
      </w:r>
      <w:r>
        <w:rPr>
          <w:spacing w:val="0"/>
          <w:w w:val="100"/>
          <w:kern w:val="0"/>
          <w:sz w:val="24"/>
        </w:rPr>
        <w:t>o</w:t>
      </w:r>
      <w:r>
        <w:rPr>
          <w:spacing w:val="0"/>
          <w:w w:val="100"/>
          <w:kern w:val="0"/>
          <w:sz w:val="24"/>
        </w:rPr>
        <w:t>lar de comunicación de joven a joven sobre el VIH/SIDA, que se está llevando a c</w:t>
      </w:r>
      <w:r>
        <w:rPr>
          <w:spacing w:val="0"/>
          <w:w w:val="100"/>
          <w:kern w:val="0"/>
          <w:sz w:val="24"/>
        </w:rPr>
        <w:t>a</w:t>
      </w:r>
      <w:r>
        <w:rPr>
          <w:spacing w:val="0"/>
          <w:w w:val="100"/>
          <w:kern w:val="0"/>
          <w:sz w:val="24"/>
        </w:rPr>
        <w:t>bo en diferentes partes del país.  El programa ha aportado muchos conocimientos s</w:t>
      </w:r>
      <w:r>
        <w:rPr>
          <w:spacing w:val="0"/>
          <w:w w:val="100"/>
          <w:kern w:val="0"/>
          <w:sz w:val="24"/>
        </w:rPr>
        <w:t>o</w:t>
      </w:r>
      <w:r>
        <w:rPr>
          <w:spacing w:val="0"/>
          <w:w w:val="100"/>
          <w:kern w:val="0"/>
          <w:sz w:val="24"/>
        </w:rPr>
        <w:t>bre las prácticas de los jóvenes y los riesgos que corren.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156.</w:t>
      </w:r>
      <w:r>
        <w:rPr>
          <w:spacing w:val="0"/>
          <w:w w:val="100"/>
          <w:kern w:val="0"/>
          <w:sz w:val="24"/>
        </w:rPr>
        <w:tab/>
        <w:t>La mayoría de los servicios sanitarios no responden a las necesidades de los jóvenes, especialmente en el ámbito de la salud reproductiva.  Para reducir la mort</w:t>
      </w:r>
      <w:r>
        <w:rPr>
          <w:spacing w:val="0"/>
          <w:w w:val="100"/>
          <w:kern w:val="0"/>
          <w:sz w:val="24"/>
        </w:rPr>
        <w:t>a</w:t>
      </w:r>
      <w:r>
        <w:rPr>
          <w:spacing w:val="0"/>
          <w:w w:val="100"/>
          <w:kern w:val="0"/>
          <w:sz w:val="24"/>
        </w:rPr>
        <w:t>lidad maternoinfantil, es esencial facilitar el acceso a servicios de salud y aumentar la proporción de partos, que tiene lugar en centros de salud.  No obstante, hay inici</w:t>
      </w:r>
      <w:r>
        <w:rPr>
          <w:spacing w:val="0"/>
          <w:w w:val="100"/>
          <w:kern w:val="0"/>
          <w:sz w:val="24"/>
        </w:rPr>
        <w:t>a</w:t>
      </w:r>
      <w:r>
        <w:rPr>
          <w:spacing w:val="0"/>
          <w:w w:val="100"/>
          <w:kern w:val="0"/>
          <w:sz w:val="24"/>
        </w:rPr>
        <w:t>tivas en curso para promover servicios de salud que respondan a las necesidades de los jóvenes.</w:t>
      </w:r>
    </w:p>
    <w:p w:rsidR="00000000" w:rsidRDefault="00000000">
      <w:pPr>
        <w:pStyle w:val="H23"/>
        <w:keepNext w:val="0"/>
        <w:keepLines w:val="0"/>
        <w:suppressAutoHyphens w:val="0"/>
        <w:spacing w:after="240" w:line="240" w:lineRule="auto"/>
        <w:outlineLvl w:val="9"/>
        <w:rPr>
          <w:bCs/>
          <w:spacing w:val="0"/>
          <w:w w:val="100"/>
          <w:kern w:val="0"/>
          <w:sz w:val="24"/>
        </w:rPr>
      </w:pPr>
      <w:r>
        <w:rPr>
          <w:b w:val="0"/>
          <w:spacing w:val="0"/>
          <w:w w:val="100"/>
          <w:kern w:val="0"/>
          <w:sz w:val="24"/>
        </w:rPr>
        <w:tab/>
      </w:r>
      <w:r>
        <w:rPr>
          <w:bCs/>
          <w:spacing w:val="0"/>
          <w:w w:val="100"/>
          <w:kern w:val="0"/>
          <w:sz w:val="24"/>
        </w:rPr>
        <w:t>Prevención de enfermedades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157.</w:t>
      </w:r>
      <w:r>
        <w:rPr>
          <w:spacing w:val="0"/>
          <w:w w:val="100"/>
          <w:kern w:val="0"/>
          <w:sz w:val="24"/>
        </w:rPr>
        <w:tab/>
        <w:t>El Departamento de Pediatría del Ministerio de Salud es el responsable de la salud de los niños.  En virtud de la Política de salud, los niños menores de 5 años tienen derecho a servicios sanitarios gratuitos.  A fin de reducir las tasas de mortal</w:t>
      </w:r>
      <w:r>
        <w:rPr>
          <w:spacing w:val="0"/>
          <w:w w:val="100"/>
          <w:kern w:val="0"/>
          <w:sz w:val="24"/>
        </w:rPr>
        <w:t>i</w:t>
      </w:r>
      <w:r>
        <w:rPr>
          <w:spacing w:val="0"/>
          <w:w w:val="100"/>
          <w:kern w:val="0"/>
          <w:sz w:val="24"/>
        </w:rPr>
        <w:t>dad maternoinfantil, el Gobierno, por conducto del Ministerio de Salud, ha puesto en marcha programas de capacitación en atención obstétrica de emergencia y práct</w:t>
      </w:r>
      <w:r>
        <w:rPr>
          <w:spacing w:val="0"/>
          <w:w w:val="100"/>
          <w:kern w:val="0"/>
          <w:sz w:val="24"/>
        </w:rPr>
        <w:t>i</w:t>
      </w:r>
      <w:r>
        <w:rPr>
          <w:spacing w:val="0"/>
          <w:w w:val="100"/>
          <w:kern w:val="0"/>
          <w:sz w:val="24"/>
        </w:rPr>
        <w:t>cas obstétricas recomendables.  Sin embargo, debido a la limitación de recursos, sólo 35 distritos se han beneficiado de esa capacit</w:t>
      </w:r>
      <w:r>
        <w:rPr>
          <w:spacing w:val="0"/>
          <w:w w:val="100"/>
          <w:kern w:val="0"/>
          <w:sz w:val="24"/>
        </w:rPr>
        <w:t>a</w:t>
      </w:r>
      <w:r>
        <w:rPr>
          <w:spacing w:val="0"/>
          <w:w w:val="100"/>
          <w:kern w:val="0"/>
          <w:sz w:val="24"/>
        </w:rPr>
        <w:t>ción.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158.</w:t>
      </w:r>
      <w:r>
        <w:rPr>
          <w:spacing w:val="0"/>
          <w:w w:val="100"/>
          <w:kern w:val="0"/>
          <w:sz w:val="24"/>
        </w:rPr>
        <w:tab/>
        <w:t>Se ha proporcionado equipo para servicios de salud reproductiva e infantil sólo a 11 de las 21 regiones de la República Unida de Tanzanía:  Kagera, Kigoma, Shi</w:t>
      </w:r>
      <w:r>
        <w:rPr>
          <w:spacing w:val="0"/>
          <w:w w:val="100"/>
          <w:kern w:val="0"/>
          <w:sz w:val="24"/>
        </w:rPr>
        <w:t>n</w:t>
      </w:r>
      <w:r>
        <w:rPr>
          <w:spacing w:val="0"/>
          <w:w w:val="100"/>
          <w:kern w:val="0"/>
          <w:sz w:val="24"/>
        </w:rPr>
        <w:t>yanga, Tabora, Singida, Ruvuma, Rukwa, Dodoma, Lindi, Arusha y Morogoro.</w:t>
      </w:r>
    </w:p>
    <w:p w:rsidR="00000000" w:rsidRDefault="00000000">
      <w:pPr>
        <w:pStyle w:val="H23"/>
        <w:keepNext w:val="0"/>
        <w:keepLines w:val="0"/>
        <w:suppressAutoHyphens w:val="0"/>
        <w:spacing w:after="240" w:line="240" w:lineRule="auto"/>
        <w:outlineLvl w:val="9"/>
        <w:rPr>
          <w:bCs/>
          <w:spacing w:val="0"/>
          <w:w w:val="100"/>
          <w:kern w:val="0"/>
          <w:sz w:val="24"/>
        </w:rPr>
      </w:pPr>
      <w:r>
        <w:rPr>
          <w:b w:val="0"/>
          <w:spacing w:val="0"/>
          <w:w w:val="100"/>
          <w:kern w:val="0"/>
          <w:sz w:val="24"/>
        </w:rPr>
        <w:tab/>
      </w:r>
      <w:r>
        <w:rPr>
          <w:bCs/>
          <w:spacing w:val="0"/>
          <w:w w:val="100"/>
          <w:kern w:val="0"/>
          <w:sz w:val="24"/>
        </w:rPr>
        <w:t>Inmunización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159.</w:t>
      </w:r>
      <w:r>
        <w:rPr>
          <w:spacing w:val="0"/>
          <w:w w:val="100"/>
          <w:kern w:val="0"/>
          <w:sz w:val="24"/>
        </w:rPr>
        <w:tab/>
        <w:t>El Programa Ampliado de Inmunización coordina la labor nacional para ma</w:t>
      </w:r>
      <w:r>
        <w:rPr>
          <w:spacing w:val="0"/>
          <w:w w:val="100"/>
          <w:kern w:val="0"/>
          <w:sz w:val="24"/>
        </w:rPr>
        <w:t>n</w:t>
      </w:r>
      <w:r>
        <w:rPr>
          <w:spacing w:val="0"/>
          <w:w w:val="100"/>
          <w:kern w:val="0"/>
          <w:sz w:val="24"/>
        </w:rPr>
        <w:t>tener y seguir ampliando la cobertura de la inmunización en Tanzanía. Los datos del Ministerio de Salud (1999) indican una cobertura del Programa del 75%, que a</w:t>
      </w:r>
      <w:r>
        <w:rPr>
          <w:spacing w:val="0"/>
          <w:w w:val="100"/>
          <w:kern w:val="0"/>
          <w:sz w:val="24"/>
        </w:rPr>
        <w:t>u</w:t>
      </w:r>
      <w:r>
        <w:rPr>
          <w:spacing w:val="0"/>
          <w:w w:val="100"/>
          <w:kern w:val="0"/>
          <w:sz w:val="24"/>
        </w:rPr>
        <w:t>mentó hasta el 79% en 2002. Entre 1999 y 2000 el Ministerio de Salud realizó ca</w:t>
      </w:r>
      <w:r>
        <w:rPr>
          <w:spacing w:val="0"/>
          <w:w w:val="100"/>
          <w:kern w:val="0"/>
          <w:sz w:val="24"/>
        </w:rPr>
        <w:t>m</w:t>
      </w:r>
      <w:r>
        <w:rPr>
          <w:spacing w:val="0"/>
          <w:w w:val="100"/>
          <w:kern w:val="0"/>
          <w:sz w:val="24"/>
        </w:rPr>
        <w:t>pañas de vacunación contra la poliomielitis en 44 distritos de Tanzanía continental y la cobertura general de la inmunización fue del 99%.</w:t>
      </w:r>
    </w:p>
    <w:p w:rsidR="00000000" w:rsidRDefault="00000000">
      <w:pPr>
        <w:pStyle w:val="H23"/>
        <w:keepNext w:val="0"/>
        <w:keepLines w:val="0"/>
        <w:suppressAutoHyphens w:val="0"/>
        <w:spacing w:after="240" w:line="240" w:lineRule="auto"/>
        <w:outlineLvl w:val="9"/>
        <w:rPr>
          <w:bCs/>
          <w:spacing w:val="0"/>
          <w:w w:val="100"/>
          <w:kern w:val="0"/>
          <w:sz w:val="24"/>
        </w:rPr>
      </w:pPr>
      <w:r>
        <w:rPr>
          <w:b w:val="0"/>
          <w:spacing w:val="0"/>
          <w:w w:val="100"/>
          <w:kern w:val="0"/>
          <w:sz w:val="24"/>
        </w:rPr>
        <w:tab/>
      </w:r>
      <w:r>
        <w:rPr>
          <w:bCs/>
          <w:spacing w:val="0"/>
          <w:w w:val="100"/>
          <w:kern w:val="0"/>
          <w:sz w:val="24"/>
        </w:rPr>
        <w:t>Nutrición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160.</w:t>
      </w:r>
      <w:r>
        <w:rPr>
          <w:spacing w:val="0"/>
          <w:w w:val="100"/>
          <w:kern w:val="0"/>
          <w:sz w:val="24"/>
        </w:rPr>
        <w:tab/>
        <w:t>Los principales problemas nutricionales que afectan a Tanzanía siguen siendo la malnutrición proteinicoenergética, los trastornos causados por la carencia de y</w:t>
      </w:r>
      <w:r>
        <w:rPr>
          <w:spacing w:val="0"/>
          <w:w w:val="100"/>
          <w:kern w:val="0"/>
          <w:sz w:val="24"/>
        </w:rPr>
        <w:t>o</w:t>
      </w:r>
      <w:r>
        <w:rPr>
          <w:spacing w:val="0"/>
          <w:w w:val="100"/>
          <w:kern w:val="0"/>
          <w:sz w:val="24"/>
        </w:rPr>
        <w:t>do, la anemia por carencia de hierro y la carencia de vitamina A.  Existen también otros trastornos de la nutrición, incluidas ciertas enfermedades transmisibles rel</w:t>
      </w:r>
      <w:r>
        <w:rPr>
          <w:spacing w:val="0"/>
          <w:w w:val="100"/>
          <w:kern w:val="0"/>
          <w:sz w:val="24"/>
        </w:rPr>
        <w:t>a</w:t>
      </w:r>
      <w:r>
        <w:rPr>
          <w:spacing w:val="0"/>
          <w:w w:val="100"/>
          <w:kern w:val="0"/>
          <w:sz w:val="24"/>
        </w:rPr>
        <w:t>cionadas con la dieta, como la pelagra, el beriberi, el escorbuto, el raquitismo, la c</w:t>
      </w:r>
      <w:r>
        <w:rPr>
          <w:spacing w:val="0"/>
          <w:w w:val="100"/>
          <w:kern w:val="0"/>
          <w:sz w:val="24"/>
        </w:rPr>
        <w:t>a</w:t>
      </w:r>
      <w:r>
        <w:rPr>
          <w:spacing w:val="0"/>
          <w:w w:val="100"/>
          <w:kern w:val="0"/>
          <w:sz w:val="24"/>
        </w:rPr>
        <w:t>rencia de algunos minerales como el zinc y la ingesta excesiva de flúor, que provoca la fluorisis.  La carencia de vitamina A y la malnutrición proteinicoenergética red</w:t>
      </w:r>
      <w:r>
        <w:rPr>
          <w:spacing w:val="0"/>
          <w:w w:val="100"/>
          <w:kern w:val="0"/>
          <w:sz w:val="24"/>
        </w:rPr>
        <w:t>u</w:t>
      </w:r>
      <w:r>
        <w:rPr>
          <w:spacing w:val="0"/>
          <w:w w:val="100"/>
          <w:kern w:val="0"/>
          <w:sz w:val="24"/>
        </w:rPr>
        <w:t>cen la supervivencia, pero esta última reduce también la productividad, mientras que la anemia por carencia de hierro afecta a la capacidad física y la inteligencia de las mujeres embarazadas, lo que ocasiona deficiencias intelectuales en el feto.  Tales d</w:t>
      </w:r>
      <w:r>
        <w:rPr>
          <w:spacing w:val="0"/>
          <w:w w:val="100"/>
          <w:kern w:val="0"/>
          <w:sz w:val="24"/>
        </w:rPr>
        <w:t>e</w:t>
      </w:r>
      <w:r>
        <w:rPr>
          <w:spacing w:val="0"/>
          <w:w w:val="100"/>
          <w:kern w:val="0"/>
          <w:sz w:val="24"/>
        </w:rPr>
        <w:t>ficiencias pueden manifestarse en el niño desde su nacimiento y tener repercusiones en su futuro rendimiento escolar y las siguientes generaciones; la malnutrición pr</w:t>
      </w:r>
      <w:r>
        <w:rPr>
          <w:spacing w:val="0"/>
          <w:w w:val="100"/>
          <w:kern w:val="0"/>
          <w:sz w:val="24"/>
        </w:rPr>
        <w:t>o</w:t>
      </w:r>
      <w:r>
        <w:rPr>
          <w:spacing w:val="0"/>
          <w:w w:val="100"/>
          <w:kern w:val="0"/>
          <w:sz w:val="24"/>
        </w:rPr>
        <w:t>teinicoenergética afecta también a la capacidad intelectual y al rendimiento escolar.</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161.</w:t>
      </w:r>
      <w:r>
        <w:rPr>
          <w:spacing w:val="0"/>
          <w:w w:val="100"/>
          <w:kern w:val="0"/>
          <w:sz w:val="24"/>
        </w:rPr>
        <w:tab/>
        <w:t>En Zanzíbar se procura reducir los porcentajes moderados y altos de malnutr</w:t>
      </w:r>
      <w:r>
        <w:rPr>
          <w:spacing w:val="0"/>
          <w:w w:val="100"/>
          <w:kern w:val="0"/>
          <w:sz w:val="24"/>
        </w:rPr>
        <w:t>i</w:t>
      </w:r>
      <w:r>
        <w:rPr>
          <w:spacing w:val="0"/>
          <w:w w:val="100"/>
          <w:kern w:val="0"/>
          <w:sz w:val="24"/>
        </w:rPr>
        <w:t xml:space="preserve">ción en los hogares, </w:t>
      </w:r>
      <w:r>
        <w:rPr>
          <w:i/>
          <w:iCs/>
          <w:spacing w:val="0"/>
          <w:w w:val="100"/>
          <w:kern w:val="0"/>
          <w:sz w:val="24"/>
        </w:rPr>
        <w:t>sheias</w:t>
      </w:r>
      <w:r>
        <w:rPr>
          <w:spacing w:val="0"/>
          <w:w w:val="100"/>
          <w:kern w:val="0"/>
          <w:sz w:val="24"/>
        </w:rPr>
        <w:t>, distritos y en el plano nacional.  Lamentablemente los porcentajes siguen siendo elevados a pesar del esfuerzo que se está realizando.  En 1992 se observó un 5% de malnutrición grave y un 26% de moderada y en 2002, un 7% de casos de malnutrición grave y un 38% de m</w:t>
      </w:r>
      <w:r>
        <w:rPr>
          <w:spacing w:val="0"/>
          <w:w w:val="100"/>
          <w:kern w:val="0"/>
          <w:sz w:val="24"/>
        </w:rPr>
        <w:t>o</w:t>
      </w:r>
      <w:r>
        <w:rPr>
          <w:spacing w:val="0"/>
          <w:w w:val="100"/>
          <w:kern w:val="0"/>
          <w:sz w:val="24"/>
        </w:rPr>
        <w:t>derada.</w:t>
      </w:r>
    </w:p>
    <w:p w:rsidR="00000000" w:rsidRDefault="00000000">
      <w:pPr>
        <w:pStyle w:val="H23"/>
        <w:keepNext w:val="0"/>
        <w:keepLines w:val="0"/>
        <w:suppressAutoHyphens w:val="0"/>
        <w:spacing w:after="240" w:line="240" w:lineRule="auto"/>
        <w:outlineLvl w:val="9"/>
        <w:rPr>
          <w:bCs/>
          <w:spacing w:val="0"/>
          <w:w w:val="100"/>
          <w:kern w:val="0"/>
          <w:sz w:val="24"/>
        </w:rPr>
      </w:pPr>
      <w:r>
        <w:rPr>
          <w:b w:val="0"/>
          <w:spacing w:val="0"/>
          <w:w w:val="100"/>
          <w:kern w:val="0"/>
          <w:sz w:val="24"/>
        </w:rPr>
        <w:tab/>
      </w:r>
      <w:r>
        <w:rPr>
          <w:bCs/>
          <w:spacing w:val="0"/>
          <w:w w:val="100"/>
          <w:kern w:val="0"/>
          <w:sz w:val="24"/>
        </w:rPr>
        <w:t>Malnutrición proteinicoenergética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162.</w:t>
      </w:r>
      <w:r>
        <w:rPr>
          <w:spacing w:val="0"/>
          <w:w w:val="100"/>
          <w:kern w:val="0"/>
          <w:sz w:val="24"/>
        </w:rPr>
        <w:tab/>
        <w:t>La malnutrición proteinicoenergética afecta a todos los grupos de edad pero es más frecuente en los niños menores de 5 años.  Se manifiesta en forma de bajos niveles de crecimiento mental y físico, deficiencia de peso o, desde el punto de vista clínico, como marasmo, kwashiorkor o kwashiorkor marasmático.  La ingesta insuf</w:t>
      </w:r>
      <w:r>
        <w:rPr>
          <w:spacing w:val="0"/>
          <w:w w:val="100"/>
          <w:kern w:val="0"/>
          <w:sz w:val="24"/>
        </w:rPr>
        <w:t>i</w:t>
      </w:r>
      <w:r>
        <w:rPr>
          <w:spacing w:val="0"/>
          <w:w w:val="100"/>
          <w:kern w:val="0"/>
          <w:sz w:val="24"/>
        </w:rPr>
        <w:t>ciente de energía y proteínas va acompañada frecuentemente de deficiencias de otros elementos nutricionales esenciales, como vitaminas y minerales.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163.</w:t>
      </w:r>
      <w:r>
        <w:rPr>
          <w:spacing w:val="0"/>
          <w:w w:val="100"/>
          <w:kern w:val="0"/>
          <w:sz w:val="24"/>
        </w:rPr>
        <w:tab/>
        <w:t>Según la encuesta sobre la salud reproductiva e infantil en Tanzanía de 1999, la prevalencia del retraso en el crecimiento sigue siendo del 44% aproximadamente entre los niños menores de 5 años, de los que el 17% está gravemente afectado.  La atrofia aumentó del 6% en 1991/92 al 7% en 1996 (encuestas de demografía y s</w:t>
      </w:r>
      <w:r>
        <w:rPr>
          <w:spacing w:val="0"/>
          <w:w w:val="100"/>
          <w:kern w:val="0"/>
          <w:sz w:val="24"/>
        </w:rPr>
        <w:t>a</w:t>
      </w:r>
      <w:r>
        <w:rPr>
          <w:spacing w:val="0"/>
          <w:w w:val="100"/>
          <w:kern w:val="0"/>
          <w:sz w:val="24"/>
        </w:rPr>
        <w:t>lud de Tanzanía de 1992 y 1996), pero disminuyó al 5,4% en 1999 (encuesta sobre la salud reproductiva e infantil en Tanzanía de 1999).  El porcentaje de niños con d</w:t>
      </w:r>
      <w:r>
        <w:rPr>
          <w:spacing w:val="0"/>
          <w:w w:val="100"/>
          <w:kern w:val="0"/>
          <w:sz w:val="24"/>
        </w:rPr>
        <w:t>e</w:t>
      </w:r>
      <w:r>
        <w:rPr>
          <w:spacing w:val="0"/>
          <w:w w:val="100"/>
          <w:kern w:val="0"/>
          <w:sz w:val="24"/>
        </w:rPr>
        <w:t>ficiencia de peso disminuyó del 7,8% en 1996 al 6,5% en 1999.  En ambos casos, los niños que vivían en zonas rurales estaban más afectados que los de las zonas urb</w:t>
      </w:r>
      <w:r>
        <w:rPr>
          <w:spacing w:val="0"/>
          <w:w w:val="100"/>
          <w:kern w:val="0"/>
          <w:sz w:val="24"/>
        </w:rPr>
        <w:t>a</w:t>
      </w:r>
      <w:r>
        <w:rPr>
          <w:spacing w:val="0"/>
          <w:w w:val="100"/>
          <w:kern w:val="0"/>
          <w:sz w:val="24"/>
        </w:rPr>
        <w:t>nas, y las tasas de retraso en el crecimiento eran del 48% en las primeras y del 26% en las segundas.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164.</w:t>
      </w:r>
      <w:r>
        <w:rPr>
          <w:spacing w:val="0"/>
          <w:w w:val="100"/>
          <w:kern w:val="0"/>
          <w:sz w:val="24"/>
        </w:rPr>
        <w:tab/>
        <w:t>La malnutrición de los adultos constituye igualmente un problema en Tanz</w:t>
      </w:r>
      <w:r>
        <w:rPr>
          <w:spacing w:val="0"/>
          <w:w w:val="100"/>
          <w:kern w:val="0"/>
          <w:sz w:val="24"/>
        </w:rPr>
        <w:t>a</w:t>
      </w:r>
      <w:r>
        <w:rPr>
          <w:spacing w:val="0"/>
          <w:w w:val="100"/>
          <w:kern w:val="0"/>
          <w:sz w:val="24"/>
        </w:rPr>
        <w:t>nía.  El índice que se utiliza generalmente para evaluar la malnutrición de los adultos es el índice de masa corporal, que se obtiene dividiendo el peso en kilogramos por la altura en centímetros, con un límite del 18,5.  Los resultados de la encuesta de d</w:t>
      </w:r>
      <w:r>
        <w:rPr>
          <w:spacing w:val="0"/>
          <w:w w:val="100"/>
          <w:kern w:val="0"/>
          <w:sz w:val="24"/>
        </w:rPr>
        <w:t>e</w:t>
      </w:r>
      <w:r>
        <w:rPr>
          <w:spacing w:val="0"/>
          <w:w w:val="100"/>
          <w:kern w:val="0"/>
          <w:sz w:val="24"/>
        </w:rPr>
        <w:t>mografía y salud de Tanzanía de 1996 mostraban que el índice de masa corporal de las mujeres no embarazadas estaba por debajo del límite de 18,5, lo que indicaba un elevado porcentaje de malnutrición en ese grupo.  En un estudio realizado en siete distritos de Tanzanía continental en 2002 sobre el bajo peso al nacer, los factores de riesgo y los servicios disponibles, se observó una elevada prevalencia de la maln</w:t>
      </w:r>
      <w:r>
        <w:rPr>
          <w:spacing w:val="0"/>
          <w:w w:val="100"/>
          <w:kern w:val="0"/>
          <w:sz w:val="24"/>
        </w:rPr>
        <w:t>u</w:t>
      </w:r>
      <w:r>
        <w:rPr>
          <w:spacing w:val="0"/>
          <w:w w:val="100"/>
          <w:kern w:val="0"/>
          <w:sz w:val="24"/>
        </w:rPr>
        <w:t>trición entre las madres evaluadas de 4 a 6 semanas después del parto.  La propo</w:t>
      </w:r>
      <w:r>
        <w:rPr>
          <w:spacing w:val="0"/>
          <w:w w:val="100"/>
          <w:kern w:val="0"/>
          <w:sz w:val="24"/>
        </w:rPr>
        <w:t>r</w:t>
      </w:r>
      <w:r>
        <w:rPr>
          <w:spacing w:val="0"/>
          <w:w w:val="100"/>
          <w:kern w:val="0"/>
          <w:sz w:val="24"/>
        </w:rPr>
        <w:t>ción de madres con un índice de masa corporal bajo oscilaba entre el 0,8 y el 13,8%.  El porcentaje de las que presentaba malnutrición era más elevado entre las de 16 a 18 años que entre las de mayor edad (más de 25 años).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165.</w:t>
      </w:r>
      <w:r>
        <w:rPr>
          <w:spacing w:val="0"/>
          <w:w w:val="100"/>
          <w:kern w:val="0"/>
          <w:sz w:val="24"/>
        </w:rPr>
        <w:tab/>
        <w:t>La estatura es un buen indicador para identificar a las mujeres que se encue</w:t>
      </w:r>
      <w:r>
        <w:rPr>
          <w:spacing w:val="0"/>
          <w:w w:val="100"/>
          <w:kern w:val="0"/>
          <w:sz w:val="24"/>
        </w:rPr>
        <w:t>n</w:t>
      </w:r>
      <w:r>
        <w:rPr>
          <w:spacing w:val="0"/>
          <w:w w:val="100"/>
          <w:kern w:val="0"/>
          <w:sz w:val="24"/>
        </w:rPr>
        <w:t>tran en peligro desde el punto de vista nutricional.  Además, la estatura de la madre se utiliza para predecir el riesgo de dificultad en el parto.  Según la encuesta de d</w:t>
      </w:r>
      <w:r>
        <w:rPr>
          <w:spacing w:val="0"/>
          <w:w w:val="100"/>
          <w:kern w:val="0"/>
          <w:sz w:val="24"/>
        </w:rPr>
        <w:t>e</w:t>
      </w:r>
      <w:r>
        <w:rPr>
          <w:spacing w:val="0"/>
          <w:w w:val="100"/>
          <w:kern w:val="0"/>
          <w:sz w:val="24"/>
        </w:rPr>
        <w:t>mografía y salud de Tanzanía de 1996, el 17% de las mujeres medía menos de 150 cm.  El estudio de 2002 indicaba un porcentaje del 7,2 al 39,3% de madres de baja estatura.  Las madres adolescentes eran considerablemente más bajas que las de mayor edad.</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166.</w:t>
      </w:r>
      <w:r>
        <w:rPr>
          <w:spacing w:val="0"/>
          <w:w w:val="100"/>
          <w:kern w:val="0"/>
          <w:sz w:val="24"/>
        </w:rPr>
        <w:tab/>
        <w:t>Por lo que respecta al bajo peso al nacer, un niño que nazca con menos de 2,5 kg es el resultado de problemas en el embarazo, lo que tiene muchas co</w:t>
      </w:r>
      <w:r>
        <w:rPr>
          <w:spacing w:val="0"/>
          <w:w w:val="100"/>
          <w:kern w:val="0"/>
          <w:sz w:val="24"/>
        </w:rPr>
        <w:t>n</w:t>
      </w:r>
      <w:r>
        <w:rPr>
          <w:spacing w:val="0"/>
          <w:w w:val="100"/>
          <w:kern w:val="0"/>
          <w:sz w:val="24"/>
        </w:rPr>
        <w:t>secuencias sobre la supervivencia, el crecimiento y el desarrollo posteriores del recién nacido.  El bajo peso al nacer es el resultado de numerosas circunstancias a las que e</w:t>
      </w:r>
      <w:r>
        <w:rPr>
          <w:spacing w:val="0"/>
          <w:w w:val="100"/>
          <w:kern w:val="0"/>
          <w:sz w:val="24"/>
        </w:rPr>
        <w:t>s</w:t>
      </w:r>
      <w:r>
        <w:rPr>
          <w:spacing w:val="0"/>
          <w:w w:val="100"/>
          <w:kern w:val="0"/>
          <w:sz w:val="24"/>
        </w:rPr>
        <w:t>tán expuestas las mujeres embarazadas antes del embarazo y durante éste.  Entre ellas se cuentan la desnutrición anterior al embarazo, algunas enfermedades infecciosas y la maternidad durante la adolescencia, la anemia materna y el consumo de drogas y alc</w:t>
      </w:r>
      <w:r>
        <w:rPr>
          <w:spacing w:val="0"/>
          <w:w w:val="100"/>
          <w:kern w:val="0"/>
          <w:sz w:val="24"/>
        </w:rPr>
        <w:t>o</w:t>
      </w:r>
      <w:r>
        <w:rPr>
          <w:spacing w:val="0"/>
          <w:w w:val="100"/>
          <w:kern w:val="0"/>
          <w:sz w:val="24"/>
        </w:rPr>
        <w:t>hol.  Los niños que nacen con peso bajo corren un mayor riesgo de mortalidad y morb</w:t>
      </w:r>
      <w:r>
        <w:rPr>
          <w:spacing w:val="0"/>
          <w:w w:val="100"/>
          <w:kern w:val="0"/>
          <w:sz w:val="24"/>
        </w:rPr>
        <w:t>i</w:t>
      </w:r>
      <w:r>
        <w:rPr>
          <w:spacing w:val="0"/>
          <w:w w:val="100"/>
          <w:kern w:val="0"/>
          <w:sz w:val="24"/>
        </w:rPr>
        <w:t>lidad prenatal y neonatal.  De conformidad con un estudio realizado en 2002 en 7 di</w:t>
      </w:r>
      <w:r>
        <w:rPr>
          <w:spacing w:val="0"/>
          <w:w w:val="100"/>
          <w:kern w:val="0"/>
          <w:sz w:val="24"/>
        </w:rPr>
        <w:t>s</w:t>
      </w:r>
      <w:r>
        <w:rPr>
          <w:spacing w:val="0"/>
          <w:w w:val="100"/>
          <w:kern w:val="0"/>
          <w:sz w:val="24"/>
        </w:rPr>
        <w:t>tritos, Mbarali, Ngara, Magu, Songea, Musoma, Karagwe y Kilosa, la prevalencia de nacimientos con peso bajo (menos de 2,5 kg) era elevada y oscilaba entre el 7,9 y el 21,1% de los recién nacidos.  Los nacimientos de niños con peso medio eran cons</w:t>
      </w:r>
      <w:r>
        <w:rPr>
          <w:spacing w:val="0"/>
          <w:w w:val="100"/>
          <w:kern w:val="0"/>
          <w:sz w:val="24"/>
        </w:rPr>
        <w:t>i</w:t>
      </w:r>
      <w:r>
        <w:rPr>
          <w:spacing w:val="0"/>
          <w:w w:val="100"/>
          <w:kern w:val="0"/>
          <w:sz w:val="24"/>
        </w:rPr>
        <w:t>derablemente menos numerosos en el caso de madres adolescentes.</w:t>
      </w:r>
    </w:p>
    <w:p w:rsidR="00000000" w:rsidRDefault="00000000">
      <w:pPr>
        <w:pStyle w:val="H23"/>
        <w:keepNext w:val="0"/>
        <w:keepLines w:val="0"/>
        <w:suppressAutoHyphens w:val="0"/>
        <w:spacing w:after="240" w:line="240" w:lineRule="auto"/>
        <w:outlineLvl w:val="9"/>
        <w:rPr>
          <w:bCs/>
          <w:spacing w:val="0"/>
          <w:w w:val="100"/>
          <w:kern w:val="0"/>
          <w:sz w:val="24"/>
        </w:rPr>
      </w:pPr>
      <w:r>
        <w:rPr>
          <w:b w:val="0"/>
          <w:spacing w:val="0"/>
          <w:w w:val="100"/>
          <w:kern w:val="0"/>
          <w:sz w:val="24"/>
        </w:rPr>
        <w:tab/>
      </w:r>
      <w:r>
        <w:rPr>
          <w:bCs/>
          <w:spacing w:val="0"/>
          <w:w w:val="100"/>
          <w:kern w:val="0"/>
          <w:sz w:val="24"/>
        </w:rPr>
        <w:t>Anemia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167.</w:t>
      </w:r>
      <w:r>
        <w:rPr>
          <w:spacing w:val="0"/>
          <w:w w:val="100"/>
          <w:kern w:val="0"/>
          <w:sz w:val="24"/>
        </w:rPr>
        <w:tab/>
        <w:t>La anemia ocasiona una reducción de la capacidad física y mental.  Asimismo hay una correlación entre la anemia y los nacimientos con peso bajo, los defectos de nacimiento y la disminución de la inmunidad en los niños.  Durante el embarazo, provoca una mayor morbilidad e impide resistir la pérdida normal de sangre durante el parto, dos razones que pueden causar la muerte inmediata de la madre y, por lo tanto, poner en peligro el cuidado del niño.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168.</w:t>
      </w:r>
      <w:r>
        <w:rPr>
          <w:spacing w:val="0"/>
          <w:w w:val="100"/>
          <w:kern w:val="0"/>
          <w:sz w:val="24"/>
        </w:rPr>
        <w:tab/>
        <w:t>En 1993 un estudio realizado en comunidades de 10 distritos de Tanzanía co</w:t>
      </w:r>
      <w:r>
        <w:rPr>
          <w:spacing w:val="0"/>
          <w:w w:val="100"/>
          <w:kern w:val="0"/>
          <w:sz w:val="24"/>
        </w:rPr>
        <w:t>n</w:t>
      </w:r>
      <w:r>
        <w:rPr>
          <w:spacing w:val="0"/>
          <w:w w:val="100"/>
          <w:kern w:val="0"/>
          <w:sz w:val="24"/>
        </w:rPr>
        <w:t>tinental en los que se ejecutaba un programa de salud y nutrición mostró que la pr</w:t>
      </w:r>
      <w:r>
        <w:rPr>
          <w:spacing w:val="0"/>
          <w:w w:val="100"/>
          <w:kern w:val="0"/>
          <w:sz w:val="24"/>
        </w:rPr>
        <w:t>e</w:t>
      </w:r>
      <w:r>
        <w:rPr>
          <w:spacing w:val="0"/>
          <w:w w:val="100"/>
          <w:kern w:val="0"/>
          <w:sz w:val="24"/>
        </w:rPr>
        <w:t>valencia de anemia, con niveles de hemoglobina inferiores a 11,0 gr/dl, entre 1.032 mujeres embarazadas estudiadas oscilaba entre el 13,9% en el distrito rural de Si</w:t>
      </w:r>
      <w:r>
        <w:rPr>
          <w:spacing w:val="0"/>
          <w:w w:val="100"/>
          <w:kern w:val="0"/>
          <w:sz w:val="24"/>
        </w:rPr>
        <w:t>n</w:t>
      </w:r>
      <w:r>
        <w:rPr>
          <w:spacing w:val="0"/>
          <w:w w:val="100"/>
          <w:kern w:val="0"/>
          <w:sz w:val="24"/>
        </w:rPr>
        <w:t>gida y el 79,9 en el distrito rural de Lindi (Ministerio de Salud, encuesta sobre salud y nutrición en Tanzanía, 1994).  En el mismo estudio, los porcentajes de anemia en niños menores de 5 años oscilaban entre el 27,2% en el distrito de Iramba y el 94,8% en el de Liwale.  Según los datos sobre 6.218 niños menores de 5 años reun</w:t>
      </w:r>
      <w:r>
        <w:rPr>
          <w:spacing w:val="0"/>
          <w:w w:val="100"/>
          <w:kern w:val="0"/>
          <w:sz w:val="24"/>
        </w:rPr>
        <w:t>i</w:t>
      </w:r>
      <w:r>
        <w:rPr>
          <w:spacing w:val="0"/>
          <w:w w:val="100"/>
          <w:kern w:val="0"/>
          <w:sz w:val="24"/>
        </w:rPr>
        <w:t>dos en 1998 mediante el sistema de vigilancia de la anemia en Tanzanía, el 61,9% tenía pr</w:t>
      </w:r>
      <w:r>
        <w:rPr>
          <w:spacing w:val="0"/>
          <w:w w:val="100"/>
          <w:kern w:val="0"/>
          <w:sz w:val="24"/>
        </w:rPr>
        <w:t>o</w:t>
      </w:r>
      <w:r>
        <w:rPr>
          <w:spacing w:val="0"/>
          <w:w w:val="100"/>
          <w:kern w:val="0"/>
          <w:sz w:val="24"/>
        </w:rPr>
        <w:t>blemas de anemia.</w:t>
      </w:r>
    </w:p>
    <w:p w:rsidR="00000000" w:rsidRDefault="00000000">
      <w:pPr>
        <w:pStyle w:val="H23"/>
        <w:keepNext w:val="0"/>
        <w:keepLines w:val="0"/>
        <w:suppressAutoHyphens w:val="0"/>
        <w:spacing w:after="240" w:line="240" w:lineRule="auto"/>
        <w:outlineLvl w:val="9"/>
        <w:rPr>
          <w:bCs/>
          <w:spacing w:val="0"/>
          <w:w w:val="100"/>
          <w:kern w:val="0"/>
          <w:sz w:val="24"/>
        </w:rPr>
      </w:pPr>
      <w:r>
        <w:rPr>
          <w:b w:val="0"/>
          <w:spacing w:val="0"/>
          <w:w w:val="100"/>
          <w:kern w:val="0"/>
          <w:sz w:val="24"/>
        </w:rPr>
        <w:tab/>
      </w:r>
      <w:r>
        <w:rPr>
          <w:bCs/>
          <w:spacing w:val="0"/>
          <w:w w:val="100"/>
          <w:kern w:val="0"/>
          <w:sz w:val="24"/>
        </w:rPr>
        <w:t>Trastornos causados por la carencia de yodo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169.</w:t>
      </w:r>
      <w:r>
        <w:rPr>
          <w:spacing w:val="0"/>
          <w:w w:val="100"/>
          <w:kern w:val="0"/>
          <w:sz w:val="24"/>
        </w:rPr>
        <w:tab/>
        <w:t>El bocio es el signo más visible  de la carencia de yodo, que tiene también efectos más graves como el cretinismo, el retraso mental, cretinoidismo y otras m</w:t>
      </w:r>
      <w:r>
        <w:rPr>
          <w:spacing w:val="0"/>
          <w:w w:val="100"/>
          <w:kern w:val="0"/>
          <w:sz w:val="24"/>
        </w:rPr>
        <w:t>a</w:t>
      </w:r>
      <w:r>
        <w:rPr>
          <w:spacing w:val="0"/>
          <w:w w:val="100"/>
          <w:kern w:val="0"/>
          <w:sz w:val="24"/>
        </w:rPr>
        <w:t>nifestaciones neurológicas.  Sobre la base de investigaciones puntuales realizadas en los decenios de 1980 y 1990, se calcula que el 27% de la población de Tanzanía vive en zonas en las que hay carencia de yodo y, por lo tanto, corre peligro de sufrir los trastornos que provoca. Se calcula que dichos trastornos afectan al 24% de la pobl</w:t>
      </w:r>
      <w:r>
        <w:rPr>
          <w:spacing w:val="0"/>
          <w:w w:val="100"/>
          <w:kern w:val="0"/>
          <w:sz w:val="24"/>
        </w:rPr>
        <w:t>a</w:t>
      </w:r>
      <w:r>
        <w:rPr>
          <w:spacing w:val="0"/>
          <w:w w:val="100"/>
          <w:kern w:val="0"/>
          <w:sz w:val="24"/>
        </w:rPr>
        <w:t>ción.  También se calcula que el 30% de las muertes prenatales se debe a la carencia de yodo.  Una evaluación realizada en 1999/2000 indica que el problema de los tra</w:t>
      </w:r>
      <w:r>
        <w:rPr>
          <w:spacing w:val="0"/>
          <w:w w:val="100"/>
          <w:kern w:val="0"/>
          <w:sz w:val="24"/>
        </w:rPr>
        <w:t>s</w:t>
      </w:r>
      <w:r>
        <w:rPr>
          <w:spacing w:val="0"/>
          <w:w w:val="100"/>
          <w:kern w:val="0"/>
          <w:sz w:val="24"/>
        </w:rPr>
        <w:t>tornos causados por la carencia de yodo ha disminuido, lo que se manifiesta en una reducción del porcentaje de bocio, de 67,6% en 1988 a 23,5% en 2000.  El co</w:t>
      </w:r>
      <w:r>
        <w:rPr>
          <w:spacing w:val="0"/>
          <w:w w:val="100"/>
          <w:kern w:val="0"/>
          <w:sz w:val="24"/>
        </w:rPr>
        <w:t>n</w:t>
      </w:r>
      <w:r>
        <w:rPr>
          <w:spacing w:val="0"/>
          <w:w w:val="100"/>
          <w:kern w:val="0"/>
          <w:sz w:val="24"/>
        </w:rPr>
        <w:t>sumo de sal yodada, que ha aumentando del 0% de los hogares en 1990 a más del 80% en 2000, ha contribuido en gran medida a esa mej</w:t>
      </w:r>
      <w:r>
        <w:rPr>
          <w:spacing w:val="0"/>
          <w:w w:val="100"/>
          <w:kern w:val="0"/>
          <w:sz w:val="24"/>
        </w:rPr>
        <w:t>o</w:t>
      </w:r>
      <w:r>
        <w:rPr>
          <w:spacing w:val="0"/>
          <w:w w:val="100"/>
          <w:kern w:val="0"/>
          <w:sz w:val="24"/>
        </w:rPr>
        <w:t>ra.</w:t>
      </w:r>
    </w:p>
    <w:p w:rsidR="00000000" w:rsidRDefault="00000000">
      <w:pPr>
        <w:pStyle w:val="H23"/>
        <w:keepNext w:val="0"/>
        <w:keepLines w:val="0"/>
        <w:suppressAutoHyphens w:val="0"/>
        <w:spacing w:after="240" w:line="240" w:lineRule="auto"/>
        <w:outlineLvl w:val="9"/>
        <w:rPr>
          <w:bCs/>
          <w:spacing w:val="0"/>
          <w:w w:val="100"/>
          <w:kern w:val="0"/>
          <w:sz w:val="24"/>
        </w:rPr>
      </w:pPr>
      <w:r>
        <w:rPr>
          <w:b w:val="0"/>
          <w:spacing w:val="0"/>
          <w:w w:val="100"/>
          <w:kern w:val="0"/>
          <w:sz w:val="24"/>
        </w:rPr>
        <w:tab/>
      </w:r>
      <w:r>
        <w:rPr>
          <w:bCs/>
          <w:spacing w:val="0"/>
          <w:w w:val="100"/>
          <w:kern w:val="0"/>
          <w:sz w:val="24"/>
        </w:rPr>
        <w:t>Carencia de vitamina 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170.</w:t>
      </w:r>
      <w:r>
        <w:rPr>
          <w:spacing w:val="0"/>
          <w:w w:val="100"/>
          <w:kern w:val="0"/>
          <w:sz w:val="24"/>
        </w:rPr>
        <w:tab/>
        <w:t>La carencia de vitamina A se manifiesta por los bajos niveles de suero retinal y exoftalmía. Afecta a los ojos, en particular en los niños pequeños y, si no se contr</w:t>
      </w:r>
      <w:r>
        <w:rPr>
          <w:spacing w:val="0"/>
          <w:w w:val="100"/>
          <w:kern w:val="0"/>
          <w:sz w:val="24"/>
        </w:rPr>
        <w:t>o</w:t>
      </w:r>
      <w:r>
        <w:rPr>
          <w:spacing w:val="0"/>
          <w:w w:val="100"/>
          <w:kern w:val="0"/>
          <w:sz w:val="24"/>
        </w:rPr>
        <w:t>la, puede causar ceguera.  Tanto las formas leves como las graves de la carencia de vitamina A se asocian con morbilidad, mortalidad y retraso en el crecimiento.  La v</w:t>
      </w:r>
      <w:r>
        <w:rPr>
          <w:spacing w:val="0"/>
          <w:w w:val="100"/>
          <w:kern w:val="0"/>
          <w:sz w:val="24"/>
        </w:rPr>
        <w:t>i</w:t>
      </w:r>
      <w:r>
        <w:rPr>
          <w:spacing w:val="0"/>
          <w:w w:val="100"/>
          <w:kern w:val="0"/>
          <w:sz w:val="24"/>
        </w:rPr>
        <w:t>tamina A desempeña un papel importante en la visión, el crecimiento, la reprodu</w:t>
      </w:r>
      <w:r>
        <w:rPr>
          <w:spacing w:val="0"/>
          <w:w w:val="100"/>
          <w:kern w:val="0"/>
          <w:sz w:val="24"/>
        </w:rPr>
        <w:t>c</w:t>
      </w:r>
      <w:r>
        <w:rPr>
          <w:spacing w:val="0"/>
          <w:w w:val="100"/>
          <w:kern w:val="0"/>
          <w:sz w:val="24"/>
        </w:rPr>
        <w:t>ción, el mantenimiento de las células epiteliales y la inmunidad corp</w:t>
      </w:r>
      <w:r>
        <w:rPr>
          <w:spacing w:val="0"/>
          <w:w w:val="100"/>
          <w:kern w:val="0"/>
          <w:sz w:val="24"/>
        </w:rPr>
        <w:t>o</w:t>
      </w:r>
      <w:r>
        <w:rPr>
          <w:spacing w:val="0"/>
          <w:w w:val="100"/>
          <w:kern w:val="0"/>
          <w:sz w:val="24"/>
        </w:rPr>
        <w:t>ral.</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171.</w:t>
      </w:r>
      <w:r>
        <w:rPr>
          <w:spacing w:val="0"/>
          <w:w w:val="100"/>
          <w:kern w:val="0"/>
          <w:sz w:val="24"/>
        </w:rPr>
        <w:tab/>
        <w:t>Los resultados de un estudio de prevalencia llevado a cabo en 10 regiones de Tanzanía continental por el Centro de alimentación y nutrición de Tanzanía, indic</w:t>
      </w:r>
      <w:r>
        <w:rPr>
          <w:spacing w:val="0"/>
          <w:w w:val="100"/>
          <w:kern w:val="0"/>
          <w:sz w:val="24"/>
        </w:rPr>
        <w:t>a</w:t>
      </w:r>
      <w:r>
        <w:rPr>
          <w:spacing w:val="0"/>
          <w:w w:val="100"/>
          <w:kern w:val="0"/>
          <w:sz w:val="24"/>
        </w:rPr>
        <w:t>ron que el 24% de los niños de 6 meses a 6 años sufría carencia de vitamina A.  El estudio mostró también que los niveles en la leche materna de aproximadamente el 69% de las mujeres del país estaban por debajo de 30 mg/dl, lo que significa que la carencia de vitamina A es un grave problema de salud pública en Tanzanía.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172.</w:t>
      </w:r>
      <w:r>
        <w:rPr>
          <w:spacing w:val="0"/>
          <w:w w:val="100"/>
          <w:kern w:val="0"/>
          <w:sz w:val="24"/>
        </w:rPr>
        <w:tab/>
        <w:t>Entre las medidas adoptadas para hacer frente a la malnutrición proteinicoenergét</w:t>
      </w:r>
      <w:r>
        <w:rPr>
          <w:spacing w:val="0"/>
          <w:w w:val="100"/>
          <w:kern w:val="0"/>
          <w:sz w:val="24"/>
        </w:rPr>
        <w:t>i</w:t>
      </w:r>
      <w:r>
        <w:rPr>
          <w:spacing w:val="0"/>
          <w:w w:val="100"/>
          <w:kern w:val="0"/>
          <w:sz w:val="24"/>
        </w:rPr>
        <w:t>ca y las carencias de micronutrientes, se cuentan las siguientes:</w:t>
      </w:r>
    </w:p>
    <w:p w:rsidR="00000000" w:rsidRDefault="00000000">
      <w:pPr>
        <w:pStyle w:val="SingleTxt"/>
        <w:numPr>
          <w:ilvl w:val="0"/>
          <w:numId w:val="73"/>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924" w:right="0" w:hanging="357"/>
        <w:jc w:val="left"/>
        <w:rPr>
          <w:spacing w:val="0"/>
          <w:w w:val="100"/>
          <w:kern w:val="0"/>
          <w:sz w:val="24"/>
        </w:rPr>
      </w:pPr>
      <w:r>
        <w:rPr>
          <w:spacing w:val="0"/>
          <w:w w:val="100"/>
          <w:kern w:val="0"/>
          <w:sz w:val="24"/>
        </w:rPr>
        <w:t>Administración de suplementos de hierro y folatos a los niños y las mujeres en edad fértil a través de los servicios de salud reproductiva e infantil;</w:t>
      </w:r>
    </w:p>
    <w:p w:rsidR="00000000" w:rsidRDefault="00000000">
      <w:pPr>
        <w:pStyle w:val="SingleTxt"/>
        <w:numPr>
          <w:ilvl w:val="0"/>
          <w:numId w:val="73"/>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924" w:right="0" w:hanging="357"/>
        <w:jc w:val="left"/>
        <w:rPr>
          <w:spacing w:val="0"/>
          <w:w w:val="100"/>
          <w:kern w:val="0"/>
          <w:sz w:val="24"/>
        </w:rPr>
      </w:pPr>
      <w:r>
        <w:rPr>
          <w:spacing w:val="0"/>
          <w:w w:val="100"/>
          <w:kern w:val="0"/>
          <w:sz w:val="24"/>
        </w:rPr>
        <w:t>Administración de suplementos de vitaminas a los niños prematuros, los que nacen con bajo peso, los niños menores de 2 años, los adolescentes y las mujeres embar</w:t>
      </w:r>
      <w:r>
        <w:rPr>
          <w:spacing w:val="0"/>
          <w:w w:val="100"/>
          <w:kern w:val="0"/>
          <w:sz w:val="24"/>
        </w:rPr>
        <w:t>a</w:t>
      </w:r>
      <w:r>
        <w:rPr>
          <w:spacing w:val="0"/>
          <w:w w:val="100"/>
          <w:kern w:val="0"/>
          <w:sz w:val="24"/>
        </w:rPr>
        <w:t>zadas por conducto de los servicios sanitarios y campañas específicas; se ha iniciado la administración de suplementos de vitamina A a los niños de 6 meses a 5 años;</w:t>
      </w:r>
    </w:p>
    <w:p w:rsidR="00000000" w:rsidRDefault="00000000">
      <w:pPr>
        <w:pStyle w:val="SingleTxt"/>
        <w:numPr>
          <w:ilvl w:val="0"/>
          <w:numId w:val="73"/>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924" w:right="0" w:hanging="357"/>
        <w:jc w:val="left"/>
        <w:rPr>
          <w:spacing w:val="0"/>
          <w:w w:val="100"/>
          <w:kern w:val="0"/>
          <w:sz w:val="24"/>
        </w:rPr>
      </w:pPr>
      <w:r>
        <w:rPr>
          <w:spacing w:val="0"/>
          <w:w w:val="100"/>
          <w:kern w:val="0"/>
          <w:sz w:val="24"/>
        </w:rPr>
        <w:t>Administración de suplementos de vitamina A en ocasión del Día del Niño Africano en junio de 2002 a 5.482.219 niños, es decir el 80% del objetivo de 5.770.268 niños;</w:t>
      </w:r>
    </w:p>
    <w:p w:rsidR="00000000" w:rsidRDefault="00000000">
      <w:pPr>
        <w:pStyle w:val="SingleTxt"/>
        <w:numPr>
          <w:ilvl w:val="0"/>
          <w:numId w:val="73"/>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924" w:right="0" w:hanging="357"/>
        <w:jc w:val="left"/>
        <w:rPr>
          <w:spacing w:val="0"/>
          <w:w w:val="100"/>
          <w:kern w:val="0"/>
          <w:sz w:val="24"/>
        </w:rPr>
      </w:pPr>
      <w:r>
        <w:rPr>
          <w:spacing w:val="0"/>
          <w:w w:val="100"/>
          <w:kern w:val="0"/>
          <w:sz w:val="24"/>
        </w:rPr>
        <w:t>Promoción del consumo de sal yodada mediante la concienciación, la creación de capacidad y la intensificación de la vigilancia de la yodación de sal por las indu</w:t>
      </w:r>
      <w:r>
        <w:rPr>
          <w:spacing w:val="0"/>
          <w:w w:val="100"/>
          <w:kern w:val="0"/>
          <w:sz w:val="24"/>
        </w:rPr>
        <w:t>s</w:t>
      </w:r>
      <w:r>
        <w:rPr>
          <w:spacing w:val="0"/>
          <w:w w:val="100"/>
          <w:kern w:val="0"/>
          <w:sz w:val="24"/>
        </w:rPr>
        <w:t>trias y los procesadores a pequeña escala a través de un sistema creado a tal efecto;</w:t>
      </w:r>
    </w:p>
    <w:p w:rsidR="00000000" w:rsidRDefault="00000000">
      <w:pPr>
        <w:pStyle w:val="SingleTxt"/>
        <w:numPr>
          <w:ilvl w:val="0"/>
          <w:numId w:val="73"/>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924" w:right="0" w:hanging="357"/>
        <w:jc w:val="left"/>
        <w:rPr>
          <w:spacing w:val="0"/>
          <w:w w:val="100"/>
          <w:kern w:val="0"/>
          <w:sz w:val="24"/>
        </w:rPr>
      </w:pPr>
      <w:r>
        <w:rPr>
          <w:spacing w:val="0"/>
          <w:w w:val="100"/>
          <w:kern w:val="0"/>
          <w:sz w:val="24"/>
        </w:rPr>
        <w:t>Aumento de la producción, la conservación y el consumo de alimentos ricos en vitaminas y minerales, especialmente por niños menores de 5 años;</w:t>
      </w:r>
    </w:p>
    <w:p w:rsidR="00000000" w:rsidRDefault="00000000">
      <w:pPr>
        <w:pStyle w:val="SingleTxt"/>
        <w:numPr>
          <w:ilvl w:val="0"/>
          <w:numId w:val="73"/>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924" w:right="0" w:hanging="357"/>
        <w:jc w:val="left"/>
        <w:rPr>
          <w:spacing w:val="0"/>
          <w:w w:val="100"/>
          <w:kern w:val="0"/>
          <w:sz w:val="24"/>
        </w:rPr>
      </w:pPr>
      <w:r>
        <w:rPr>
          <w:spacing w:val="0"/>
          <w:w w:val="100"/>
          <w:kern w:val="0"/>
          <w:sz w:val="24"/>
        </w:rPr>
        <w:t>Adopción de medidas para fortalecer la salud pública, incluidas la inmuniz</w:t>
      </w:r>
      <w:r>
        <w:rPr>
          <w:spacing w:val="0"/>
          <w:w w:val="100"/>
          <w:kern w:val="0"/>
          <w:sz w:val="24"/>
        </w:rPr>
        <w:t>a</w:t>
      </w:r>
      <w:r>
        <w:rPr>
          <w:spacing w:val="0"/>
          <w:w w:val="100"/>
          <w:kern w:val="0"/>
          <w:sz w:val="24"/>
        </w:rPr>
        <w:t>ción, el mantenimiento de la higiene y el saneamiento ambiental y la lucha c</w:t>
      </w:r>
      <w:r>
        <w:rPr>
          <w:spacing w:val="0"/>
          <w:w w:val="100"/>
          <w:kern w:val="0"/>
          <w:sz w:val="24"/>
        </w:rPr>
        <w:t>o</w:t>
      </w:r>
      <w:r>
        <w:rPr>
          <w:spacing w:val="0"/>
          <w:w w:val="100"/>
          <w:kern w:val="0"/>
          <w:sz w:val="24"/>
        </w:rPr>
        <w:t>ntra los trastornos deformantes y el paludismo.  Otras medidas fueron la concie</w:t>
      </w:r>
      <w:r>
        <w:rPr>
          <w:spacing w:val="0"/>
          <w:w w:val="100"/>
          <w:kern w:val="0"/>
          <w:sz w:val="24"/>
        </w:rPr>
        <w:t>n</w:t>
      </w:r>
      <w:r>
        <w:rPr>
          <w:spacing w:val="0"/>
          <w:w w:val="100"/>
          <w:kern w:val="0"/>
          <w:sz w:val="24"/>
        </w:rPr>
        <w:t>ciación de los responsables de la adopción de decisiones, los agentes principales y los comités; el control del crecimiento en los servicios sanitarios y las com</w:t>
      </w:r>
      <w:r>
        <w:rPr>
          <w:spacing w:val="0"/>
          <w:w w:val="100"/>
          <w:kern w:val="0"/>
          <w:sz w:val="24"/>
        </w:rPr>
        <w:t>u</w:t>
      </w:r>
      <w:r>
        <w:rPr>
          <w:spacing w:val="0"/>
          <w:w w:val="100"/>
          <w:kern w:val="0"/>
          <w:sz w:val="24"/>
        </w:rPr>
        <w:t>nidades; y el establecimiento y fortalecimiento de sistemas de guardería infantil;</w:t>
      </w:r>
    </w:p>
    <w:p w:rsidR="00000000" w:rsidRDefault="00000000">
      <w:pPr>
        <w:pStyle w:val="SingleTxt"/>
        <w:numPr>
          <w:ilvl w:val="0"/>
          <w:numId w:val="73"/>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924" w:right="0" w:hanging="357"/>
        <w:jc w:val="left"/>
        <w:rPr>
          <w:spacing w:val="0"/>
          <w:w w:val="100"/>
          <w:kern w:val="0"/>
          <w:sz w:val="24"/>
        </w:rPr>
      </w:pPr>
      <w:r>
        <w:rPr>
          <w:spacing w:val="0"/>
          <w:w w:val="100"/>
          <w:kern w:val="0"/>
          <w:sz w:val="24"/>
        </w:rPr>
        <w:t>Promoción de mejores prácticas de alimentación de los lactantes y los niños media</w:t>
      </w:r>
      <w:r>
        <w:rPr>
          <w:spacing w:val="0"/>
          <w:w w:val="100"/>
          <w:kern w:val="0"/>
          <w:sz w:val="24"/>
        </w:rPr>
        <w:t>n</w:t>
      </w:r>
      <w:r>
        <w:rPr>
          <w:spacing w:val="0"/>
          <w:w w:val="100"/>
          <w:kern w:val="0"/>
          <w:sz w:val="24"/>
        </w:rPr>
        <w:t>te la protección y estímulo de la lactancia materna hasta los 6 meses a través de: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1281" w:right="0" w:hanging="357"/>
        <w:jc w:val="left"/>
        <w:rPr>
          <w:spacing w:val="0"/>
          <w:w w:val="100"/>
          <w:kern w:val="0"/>
          <w:sz w:val="24"/>
        </w:rPr>
      </w:pPr>
      <w:r>
        <w:rPr>
          <w:spacing w:val="0"/>
          <w:w w:val="100"/>
          <w:kern w:val="0"/>
          <w:sz w:val="24"/>
        </w:rPr>
        <w:t>-</w:t>
      </w:r>
      <w:r>
        <w:rPr>
          <w:spacing w:val="0"/>
          <w:w w:val="100"/>
          <w:kern w:val="0"/>
          <w:sz w:val="24"/>
        </w:rPr>
        <w:tab/>
        <w:t>Promoción y concienciación de la opinión pública;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1281" w:right="0" w:hanging="357"/>
        <w:jc w:val="left"/>
        <w:rPr>
          <w:spacing w:val="0"/>
          <w:w w:val="100"/>
          <w:kern w:val="0"/>
          <w:sz w:val="24"/>
        </w:rPr>
      </w:pPr>
      <w:r>
        <w:rPr>
          <w:spacing w:val="0"/>
          <w:w w:val="100"/>
          <w:kern w:val="0"/>
          <w:sz w:val="24"/>
        </w:rPr>
        <w:t>-</w:t>
      </w:r>
      <w:r>
        <w:rPr>
          <w:spacing w:val="0"/>
          <w:w w:val="100"/>
          <w:kern w:val="0"/>
          <w:sz w:val="24"/>
        </w:rPr>
        <w:tab/>
        <w:t>Fortalecimiento de la información, la educación y la comunicación sobre la nutrición de lactantes y niños pequeños;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1281" w:right="0" w:hanging="357"/>
        <w:jc w:val="left"/>
        <w:rPr>
          <w:spacing w:val="0"/>
          <w:w w:val="100"/>
          <w:kern w:val="0"/>
          <w:sz w:val="24"/>
        </w:rPr>
      </w:pPr>
      <w:r>
        <w:rPr>
          <w:spacing w:val="0"/>
          <w:w w:val="100"/>
          <w:kern w:val="0"/>
          <w:sz w:val="24"/>
        </w:rPr>
        <w:t>-</w:t>
      </w:r>
      <w:r>
        <w:rPr>
          <w:spacing w:val="0"/>
          <w:w w:val="100"/>
          <w:kern w:val="0"/>
          <w:sz w:val="24"/>
        </w:rPr>
        <w:tab/>
        <w:t>Fomento de la capacidad en cuestiones de lactancia, lactancia materna y VIH, y asesoramiento en materia de alimentación de los lactantes, prom</w:t>
      </w:r>
      <w:r>
        <w:rPr>
          <w:spacing w:val="0"/>
          <w:w w:val="100"/>
          <w:kern w:val="0"/>
          <w:sz w:val="24"/>
        </w:rPr>
        <w:t>o</w:t>
      </w:r>
      <w:r>
        <w:rPr>
          <w:spacing w:val="0"/>
          <w:w w:val="100"/>
          <w:kern w:val="0"/>
          <w:sz w:val="24"/>
        </w:rPr>
        <w:t>ción de la Iniciativa de Hospitales Amigos de los Niños, etc.;</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1281" w:right="0" w:hanging="357"/>
        <w:jc w:val="left"/>
        <w:rPr>
          <w:spacing w:val="0"/>
          <w:w w:val="100"/>
          <w:kern w:val="0"/>
          <w:sz w:val="24"/>
        </w:rPr>
      </w:pPr>
      <w:r>
        <w:rPr>
          <w:spacing w:val="0"/>
          <w:w w:val="100"/>
          <w:kern w:val="0"/>
          <w:sz w:val="24"/>
        </w:rPr>
        <w:t>-</w:t>
      </w:r>
      <w:r>
        <w:rPr>
          <w:spacing w:val="0"/>
          <w:w w:val="100"/>
          <w:kern w:val="0"/>
          <w:sz w:val="24"/>
        </w:rPr>
        <w:tab/>
        <w:t>Fortalecimiento del componente de asesoramiento sobre lactancia materna y alimentación del lactante en caso de infección con VIH/SIDA mediante la formación de capacitadores y asesores, la adopción y traducción de los m</w:t>
      </w:r>
      <w:r>
        <w:rPr>
          <w:spacing w:val="0"/>
          <w:w w:val="100"/>
          <w:kern w:val="0"/>
          <w:sz w:val="24"/>
        </w:rPr>
        <w:t>a</w:t>
      </w:r>
      <w:r>
        <w:rPr>
          <w:spacing w:val="0"/>
          <w:w w:val="100"/>
          <w:kern w:val="0"/>
          <w:sz w:val="24"/>
        </w:rPr>
        <w:t>nuales de la OMS y el UNICEF, y la difusión de materiales de información, educación y c</w:t>
      </w:r>
      <w:r>
        <w:rPr>
          <w:spacing w:val="0"/>
          <w:w w:val="100"/>
          <w:kern w:val="0"/>
          <w:sz w:val="24"/>
        </w:rPr>
        <w:t>o</w:t>
      </w:r>
      <w:r>
        <w:rPr>
          <w:spacing w:val="0"/>
          <w:w w:val="100"/>
          <w:kern w:val="0"/>
          <w:sz w:val="24"/>
        </w:rPr>
        <w:t>municación;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1281" w:right="0" w:hanging="357"/>
        <w:jc w:val="left"/>
        <w:rPr>
          <w:spacing w:val="0"/>
          <w:w w:val="100"/>
          <w:kern w:val="0"/>
          <w:sz w:val="24"/>
        </w:rPr>
      </w:pPr>
      <w:r>
        <w:rPr>
          <w:spacing w:val="0"/>
          <w:w w:val="100"/>
          <w:kern w:val="0"/>
          <w:sz w:val="24"/>
        </w:rPr>
        <w:t>-</w:t>
      </w:r>
      <w:r>
        <w:rPr>
          <w:spacing w:val="0"/>
          <w:w w:val="100"/>
          <w:kern w:val="0"/>
          <w:sz w:val="24"/>
        </w:rPr>
        <w:tab/>
        <w:t>Fortalecimiento de la Iniciativa de Hospitales Amigos de los Niños.  En 2003, de los 128 hospitales que recibieron capacitación y se evaluaron, 59 fueron d</w:t>
      </w:r>
      <w:r>
        <w:rPr>
          <w:spacing w:val="0"/>
          <w:w w:val="100"/>
          <w:kern w:val="0"/>
          <w:sz w:val="24"/>
        </w:rPr>
        <w:t>e</w:t>
      </w:r>
      <w:r>
        <w:rPr>
          <w:spacing w:val="0"/>
          <w:w w:val="100"/>
          <w:kern w:val="0"/>
          <w:sz w:val="24"/>
        </w:rPr>
        <w:t>clarados amigos de los niños;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1281" w:right="0" w:hanging="357"/>
        <w:jc w:val="left"/>
        <w:rPr>
          <w:spacing w:val="0"/>
          <w:w w:val="100"/>
          <w:kern w:val="0"/>
          <w:sz w:val="24"/>
        </w:rPr>
      </w:pPr>
      <w:r>
        <w:rPr>
          <w:spacing w:val="0"/>
          <w:w w:val="100"/>
          <w:kern w:val="0"/>
          <w:sz w:val="24"/>
        </w:rPr>
        <w:t>-</w:t>
      </w:r>
      <w:r>
        <w:rPr>
          <w:spacing w:val="0"/>
          <w:w w:val="100"/>
          <w:kern w:val="0"/>
          <w:sz w:val="24"/>
        </w:rPr>
        <w:tab/>
        <w:t>Intensificación de la aplicación y la vigilancia de la normativa nacional de Comercialización de Sucedáneos de la Leche Materna y otros productos mediante la capacitación de los funcionarios autorizados y los supervisores del código nacional, y la regulación de los anuncios publicitarios en los di</w:t>
      </w:r>
      <w:r>
        <w:rPr>
          <w:spacing w:val="0"/>
          <w:w w:val="100"/>
          <w:kern w:val="0"/>
          <w:sz w:val="24"/>
        </w:rPr>
        <w:t>s</w:t>
      </w:r>
      <w:r>
        <w:rPr>
          <w:spacing w:val="0"/>
          <w:w w:val="100"/>
          <w:kern w:val="0"/>
          <w:sz w:val="24"/>
        </w:rPr>
        <w:t>tintos medios de inform</w:t>
      </w:r>
      <w:r>
        <w:rPr>
          <w:spacing w:val="0"/>
          <w:w w:val="100"/>
          <w:kern w:val="0"/>
          <w:sz w:val="24"/>
        </w:rPr>
        <w:t>a</w:t>
      </w:r>
      <w:r>
        <w:rPr>
          <w:spacing w:val="0"/>
          <w:w w:val="100"/>
          <w:kern w:val="0"/>
          <w:sz w:val="24"/>
        </w:rPr>
        <w:t>ción y servicios sanitarios;</w:t>
      </w:r>
    </w:p>
    <w:p w:rsidR="00000000" w:rsidRDefault="00000000">
      <w:pPr>
        <w:pStyle w:val="SingleTxt"/>
        <w:numPr>
          <w:ilvl w:val="0"/>
          <w:numId w:val="74"/>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924" w:right="0" w:hanging="357"/>
        <w:jc w:val="left"/>
        <w:rPr>
          <w:spacing w:val="0"/>
          <w:w w:val="100"/>
          <w:kern w:val="0"/>
          <w:sz w:val="24"/>
        </w:rPr>
      </w:pPr>
      <w:r>
        <w:rPr>
          <w:spacing w:val="0"/>
          <w:w w:val="100"/>
          <w:kern w:val="0"/>
          <w:sz w:val="24"/>
        </w:rPr>
        <w:t>Promoción de alimentos complementarios adecuados, como alimentos germ</w:t>
      </w:r>
      <w:r>
        <w:rPr>
          <w:spacing w:val="0"/>
          <w:w w:val="100"/>
          <w:kern w:val="0"/>
          <w:sz w:val="24"/>
        </w:rPr>
        <w:t>i</w:t>
      </w:r>
      <w:r>
        <w:rPr>
          <w:spacing w:val="0"/>
          <w:w w:val="100"/>
          <w:kern w:val="0"/>
          <w:sz w:val="24"/>
        </w:rPr>
        <w:t>nados y fermentados para aumentar la biodisponibilidad de hierro y nutrientes en las dietas infantiles; aumentar la calidad, la seguridad y el contenido nutr</w:t>
      </w:r>
      <w:r>
        <w:rPr>
          <w:spacing w:val="0"/>
          <w:w w:val="100"/>
          <w:kern w:val="0"/>
          <w:sz w:val="24"/>
        </w:rPr>
        <w:t>i</w:t>
      </w:r>
      <w:r>
        <w:rPr>
          <w:spacing w:val="0"/>
          <w:w w:val="100"/>
          <w:kern w:val="0"/>
          <w:sz w:val="24"/>
        </w:rPr>
        <w:t>cional de los alimentos; y poner más alimentos al alcance de la población;</w:t>
      </w:r>
    </w:p>
    <w:p w:rsidR="00000000" w:rsidRDefault="00000000">
      <w:pPr>
        <w:pStyle w:val="SingleTxt"/>
        <w:numPr>
          <w:ilvl w:val="0"/>
          <w:numId w:val="74"/>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924" w:right="0" w:hanging="357"/>
        <w:jc w:val="left"/>
        <w:rPr>
          <w:spacing w:val="0"/>
          <w:w w:val="100"/>
          <w:kern w:val="0"/>
          <w:sz w:val="24"/>
        </w:rPr>
      </w:pPr>
      <w:r>
        <w:rPr>
          <w:spacing w:val="0"/>
          <w:w w:val="100"/>
          <w:kern w:val="0"/>
          <w:sz w:val="24"/>
        </w:rPr>
        <w:t>Examen, formulación y aplicación de políticas y directrices: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1281" w:right="0" w:hanging="357"/>
        <w:jc w:val="left"/>
        <w:rPr>
          <w:spacing w:val="0"/>
          <w:w w:val="100"/>
          <w:kern w:val="0"/>
          <w:sz w:val="24"/>
        </w:rPr>
      </w:pPr>
      <w:r>
        <w:rPr>
          <w:spacing w:val="0"/>
          <w:w w:val="100"/>
          <w:kern w:val="0"/>
          <w:sz w:val="24"/>
        </w:rPr>
        <w:t>-</w:t>
      </w:r>
      <w:r>
        <w:rPr>
          <w:spacing w:val="0"/>
          <w:w w:val="100"/>
          <w:kern w:val="0"/>
          <w:sz w:val="24"/>
        </w:rPr>
        <w:tab/>
        <w:t>Se está reconsiderando la Política nacional sobre alimentación y nutrición.  Hasta el momento, se han incluido aspectos relativos a la erradicación de la pobreza, la atención de la nutrición y el apoyo a las personas que viven con el VIH/SIDA.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1281" w:right="0" w:hanging="357"/>
        <w:jc w:val="left"/>
        <w:rPr>
          <w:spacing w:val="0"/>
          <w:w w:val="100"/>
          <w:kern w:val="0"/>
          <w:sz w:val="24"/>
        </w:rPr>
      </w:pPr>
      <w:r>
        <w:rPr>
          <w:spacing w:val="0"/>
          <w:w w:val="100"/>
          <w:kern w:val="0"/>
          <w:sz w:val="24"/>
        </w:rPr>
        <w:t>-</w:t>
      </w:r>
      <w:r>
        <w:rPr>
          <w:spacing w:val="0"/>
          <w:w w:val="100"/>
          <w:kern w:val="0"/>
          <w:sz w:val="24"/>
        </w:rPr>
        <w:tab/>
        <w:t>Se ha elaborado una guía nacional sobre la atención de la nutrición y el apoyo a las personas que viven con el VIH/SIDA, junto con directrices s</w:t>
      </w:r>
      <w:r>
        <w:rPr>
          <w:spacing w:val="0"/>
          <w:w w:val="100"/>
          <w:kern w:val="0"/>
          <w:sz w:val="24"/>
        </w:rPr>
        <w:t>o</w:t>
      </w:r>
      <w:r>
        <w:rPr>
          <w:spacing w:val="0"/>
          <w:w w:val="100"/>
          <w:kern w:val="0"/>
          <w:sz w:val="24"/>
        </w:rPr>
        <w:t>bre una alimentación saludable para esas personas.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1281" w:right="0" w:hanging="357"/>
        <w:jc w:val="left"/>
        <w:rPr>
          <w:spacing w:val="0"/>
          <w:w w:val="100"/>
          <w:kern w:val="0"/>
          <w:sz w:val="24"/>
        </w:rPr>
      </w:pPr>
      <w:r>
        <w:rPr>
          <w:spacing w:val="0"/>
          <w:w w:val="100"/>
          <w:kern w:val="0"/>
          <w:sz w:val="24"/>
        </w:rPr>
        <w:t>-</w:t>
      </w:r>
      <w:r>
        <w:rPr>
          <w:spacing w:val="0"/>
          <w:w w:val="100"/>
          <w:kern w:val="0"/>
          <w:sz w:val="24"/>
        </w:rPr>
        <w:tab/>
        <w:t>Se han seguido aplicando las directrices para la lucha contra la carencia de micronutrientes, publicadas en abril de 1997, a fin de administrar supleme</w:t>
      </w:r>
      <w:r>
        <w:rPr>
          <w:spacing w:val="0"/>
          <w:w w:val="100"/>
          <w:kern w:val="0"/>
          <w:sz w:val="24"/>
        </w:rPr>
        <w:t>n</w:t>
      </w:r>
      <w:r>
        <w:rPr>
          <w:spacing w:val="0"/>
          <w:w w:val="100"/>
          <w:kern w:val="0"/>
          <w:sz w:val="24"/>
        </w:rPr>
        <w:t>tos a grupos carenciados.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1281" w:right="0" w:hanging="357"/>
        <w:jc w:val="left"/>
        <w:rPr>
          <w:spacing w:val="0"/>
          <w:w w:val="100"/>
          <w:kern w:val="0"/>
          <w:sz w:val="24"/>
        </w:rPr>
      </w:pPr>
      <w:r>
        <w:rPr>
          <w:spacing w:val="0"/>
          <w:w w:val="100"/>
          <w:kern w:val="0"/>
          <w:sz w:val="24"/>
        </w:rPr>
        <w:t>-</w:t>
      </w:r>
      <w:r>
        <w:rPr>
          <w:spacing w:val="0"/>
          <w:w w:val="100"/>
          <w:kern w:val="0"/>
          <w:sz w:val="24"/>
        </w:rPr>
        <w:tab/>
        <w:t>Se supervisa la aplicación de la normativa nacional de Comercialización de Sucedáneos de la Leche Materna y otros productos.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1281" w:right="0" w:hanging="357"/>
        <w:jc w:val="left"/>
        <w:rPr>
          <w:spacing w:val="0"/>
          <w:w w:val="100"/>
          <w:kern w:val="0"/>
          <w:sz w:val="24"/>
        </w:rPr>
      </w:pPr>
      <w:r>
        <w:rPr>
          <w:spacing w:val="0"/>
          <w:w w:val="100"/>
          <w:kern w:val="0"/>
          <w:sz w:val="24"/>
        </w:rPr>
        <w:t>-</w:t>
      </w:r>
      <w:r>
        <w:rPr>
          <w:spacing w:val="0"/>
          <w:w w:val="100"/>
          <w:kern w:val="0"/>
          <w:sz w:val="24"/>
        </w:rPr>
        <w:tab/>
        <w:t>Se está elaborando una Política nacional de seguridad alimentaria, en virtud de la cual se prestará atención a los grupos vulnerables afectados por la i</w:t>
      </w:r>
      <w:r>
        <w:rPr>
          <w:spacing w:val="0"/>
          <w:w w:val="100"/>
          <w:kern w:val="0"/>
          <w:sz w:val="24"/>
        </w:rPr>
        <w:t>n</w:t>
      </w:r>
      <w:r>
        <w:rPr>
          <w:spacing w:val="0"/>
          <w:w w:val="100"/>
          <w:kern w:val="0"/>
          <w:sz w:val="24"/>
        </w:rPr>
        <w:t>seguridad alimentaria, en particular los niños menores de 5 años.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173.</w:t>
      </w:r>
      <w:r>
        <w:rPr>
          <w:spacing w:val="0"/>
          <w:w w:val="100"/>
          <w:kern w:val="0"/>
          <w:sz w:val="24"/>
        </w:rPr>
        <w:tab/>
        <w:t>Algunos de los principales desafíos en materia de nutrición son:</w:t>
      </w:r>
    </w:p>
    <w:p w:rsidR="00000000" w:rsidRDefault="00000000">
      <w:pPr>
        <w:pStyle w:val="SingleTxt"/>
        <w:numPr>
          <w:ilvl w:val="0"/>
          <w:numId w:val="75"/>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924" w:right="0" w:hanging="357"/>
        <w:jc w:val="left"/>
        <w:rPr>
          <w:spacing w:val="0"/>
          <w:w w:val="100"/>
          <w:kern w:val="0"/>
          <w:sz w:val="24"/>
        </w:rPr>
      </w:pPr>
      <w:r>
        <w:rPr>
          <w:spacing w:val="0"/>
          <w:w w:val="100"/>
          <w:kern w:val="0"/>
          <w:sz w:val="24"/>
        </w:rPr>
        <w:t>Luchar contra la malnutrición proteinicoenergética y la carencia de micron</w:t>
      </w:r>
      <w:r>
        <w:rPr>
          <w:spacing w:val="0"/>
          <w:w w:val="100"/>
          <w:kern w:val="0"/>
          <w:sz w:val="24"/>
        </w:rPr>
        <w:t>u</w:t>
      </w:r>
      <w:r>
        <w:rPr>
          <w:spacing w:val="0"/>
          <w:w w:val="100"/>
          <w:kern w:val="0"/>
          <w:sz w:val="24"/>
        </w:rPr>
        <w:t>trientes en el contexto del VIH/SIDA y la pobreza absoluta;</w:t>
      </w:r>
    </w:p>
    <w:p w:rsidR="00000000" w:rsidRDefault="00000000">
      <w:pPr>
        <w:pStyle w:val="SingleTxt"/>
        <w:numPr>
          <w:ilvl w:val="0"/>
          <w:numId w:val="75"/>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924" w:right="0" w:hanging="357"/>
        <w:jc w:val="left"/>
        <w:rPr>
          <w:spacing w:val="0"/>
          <w:w w:val="100"/>
          <w:kern w:val="0"/>
          <w:sz w:val="24"/>
        </w:rPr>
      </w:pPr>
      <w:r>
        <w:rPr>
          <w:spacing w:val="0"/>
          <w:w w:val="100"/>
          <w:kern w:val="0"/>
          <w:sz w:val="24"/>
        </w:rPr>
        <w:t>Mejorar las prácticas de alimentación de los lactantes en el contexto del VIH/SIDA y la liberación del comercio;</w:t>
      </w:r>
    </w:p>
    <w:p w:rsidR="00000000" w:rsidRDefault="00000000">
      <w:pPr>
        <w:pStyle w:val="SingleTxt"/>
        <w:numPr>
          <w:ilvl w:val="0"/>
          <w:numId w:val="75"/>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924" w:right="0" w:hanging="357"/>
        <w:jc w:val="left"/>
        <w:rPr>
          <w:spacing w:val="0"/>
          <w:w w:val="100"/>
          <w:kern w:val="0"/>
          <w:sz w:val="24"/>
        </w:rPr>
      </w:pPr>
      <w:r>
        <w:rPr>
          <w:spacing w:val="0"/>
          <w:w w:val="100"/>
          <w:kern w:val="0"/>
          <w:sz w:val="24"/>
        </w:rPr>
        <w:t>Mantener la Iniciativa de Hospitales Amigos de los Niños con recursos hum</w:t>
      </w:r>
      <w:r>
        <w:rPr>
          <w:spacing w:val="0"/>
          <w:w w:val="100"/>
          <w:kern w:val="0"/>
          <w:sz w:val="24"/>
        </w:rPr>
        <w:t>a</w:t>
      </w:r>
      <w:r>
        <w:rPr>
          <w:spacing w:val="0"/>
          <w:w w:val="100"/>
          <w:kern w:val="0"/>
          <w:sz w:val="24"/>
        </w:rPr>
        <w:t>nos, financieros y materiales limitados;</w:t>
      </w:r>
    </w:p>
    <w:p w:rsidR="00000000" w:rsidRDefault="00000000">
      <w:pPr>
        <w:pStyle w:val="SingleTxt"/>
        <w:numPr>
          <w:ilvl w:val="0"/>
          <w:numId w:val="75"/>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924" w:right="0" w:hanging="357"/>
        <w:jc w:val="left"/>
        <w:rPr>
          <w:spacing w:val="0"/>
          <w:w w:val="100"/>
          <w:kern w:val="0"/>
          <w:sz w:val="24"/>
        </w:rPr>
      </w:pPr>
      <w:r>
        <w:rPr>
          <w:spacing w:val="0"/>
          <w:w w:val="100"/>
          <w:kern w:val="0"/>
          <w:sz w:val="24"/>
        </w:rPr>
        <w:t>Establecer sistemas de apoyo basados en la comunidad para complementar la Iniciativa de Hospitales Amigos de los Niños;</w:t>
      </w:r>
    </w:p>
    <w:p w:rsidR="00000000" w:rsidRDefault="00000000">
      <w:pPr>
        <w:pStyle w:val="SingleTxt"/>
        <w:numPr>
          <w:ilvl w:val="0"/>
          <w:numId w:val="75"/>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924" w:right="0" w:hanging="357"/>
        <w:jc w:val="left"/>
        <w:rPr>
          <w:spacing w:val="0"/>
          <w:w w:val="100"/>
          <w:kern w:val="0"/>
          <w:sz w:val="24"/>
        </w:rPr>
      </w:pPr>
      <w:r>
        <w:rPr>
          <w:spacing w:val="0"/>
          <w:w w:val="100"/>
          <w:kern w:val="0"/>
          <w:sz w:val="24"/>
        </w:rPr>
        <w:t xml:space="preserve">Prestar servicios de asesoramiento de calidad en el plano comunitario a las madres, especialmente las que viven con el VIH/SIDA; </w:t>
      </w:r>
    </w:p>
    <w:p w:rsidR="00000000" w:rsidRDefault="00000000">
      <w:pPr>
        <w:pStyle w:val="SingleTxt"/>
        <w:numPr>
          <w:ilvl w:val="0"/>
          <w:numId w:val="75"/>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924" w:right="0" w:hanging="357"/>
        <w:jc w:val="left"/>
        <w:rPr>
          <w:spacing w:val="0"/>
          <w:w w:val="100"/>
          <w:kern w:val="0"/>
          <w:sz w:val="24"/>
        </w:rPr>
      </w:pPr>
      <w:r>
        <w:rPr>
          <w:spacing w:val="0"/>
          <w:w w:val="100"/>
          <w:kern w:val="0"/>
          <w:sz w:val="24"/>
        </w:rPr>
        <w:t>Proteger las prestaciones por maternidad para las mujeres;</w:t>
      </w:r>
    </w:p>
    <w:p w:rsidR="00000000" w:rsidRDefault="00000000">
      <w:pPr>
        <w:pStyle w:val="SingleTxt"/>
        <w:numPr>
          <w:ilvl w:val="0"/>
          <w:numId w:val="75"/>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924" w:right="0" w:hanging="357"/>
        <w:jc w:val="left"/>
        <w:rPr>
          <w:spacing w:val="0"/>
          <w:w w:val="100"/>
          <w:kern w:val="0"/>
          <w:sz w:val="24"/>
        </w:rPr>
      </w:pPr>
      <w:r>
        <w:rPr>
          <w:spacing w:val="0"/>
          <w:w w:val="100"/>
          <w:kern w:val="0"/>
          <w:sz w:val="24"/>
        </w:rPr>
        <w:t>Fomentar la capacidad a distintos niveles para responder al aumento de la demanda;</w:t>
      </w:r>
    </w:p>
    <w:p w:rsidR="00000000" w:rsidRDefault="00000000">
      <w:pPr>
        <w:pStyle w:val="SingleTxt"/>
        <w:numPr>
          <w:ilvl w:val="0"/>
          <w:numId w:val="75"/>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924" w:right="0" w:hanging="357"/>
        <w:jc w:val="left"/>
        <w:rPr>
          <w:spacing w:val="0"/>
          <w:w w:val="100"/>
          <w:kern w:val="0"/>
          <w:sz w:val="24"/>
        </w:rPr>
      </w:pPr>
      <w:r>
        <w:rPr>
          <w:spacing w:val="0"/>
          <w:w w:val="100"/>
          <w:kern w:val="0"/>
          <w:sz w:val="24"/>
        </w:rPr>
        <w:t>Llevar a cabo una investigación operacional sobre las necesidades nutricion</w:t>
      </w:r>
      <w:r>
        <w:rPr>
          <w:spacing w:val="0"/>
          <w:w w:val="100"/>
          <w:kern w:val="0"/>
          <w:sz w:val="24"/>
        </w:rPr>
        <w:t>a</w:t>
      </w:r>
      <w:r>
        <w:rPr>
          <w:spacing w:val="0"/>
          <w:w w:val="100"/>
          <w:kern w:val="0"/>
          <w:sz w:val="24"/>
        </w:rPr>
        <w:t>les de grupos especiales, incluidos los lactantes, los niños, los adolescentes y las mujeres; y</w:t>
      </w:r>
    </w:p>
    <w:p w:rsidR="00000000" w:rsidRDefault="00000000">
      <w:pPr>
        <w:pStyle w:val="SingleTxt"/>
        <w:numPr>
          <w:ilvl w:val="0"/>
          <w:numId w:val="75"/>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924" w:right="0" w:hanging="357"/>
        <w:jc w:val="left"/>
        <w:rPr>
          <w:spacing w:val="0"/>
          <w:w w:val="100"/>
          <w:kern w:val="0"/>
          <w:sz w:val="24"/>
        </w:rPr>
      </w:pPr>
      <w:r>
        <w:rPr>
          <w:spacing w:val="0"/>
          <w:w w:val="100"/>
          <w:kern w:val="0"/>
          <w:sz w:val="24"/>
        </w:rPr>
        <w:t>Supervisar y evaluar la aplicación de políticas, directrices y normativas dest</w:t>
      </w:r>
      <w:r>
        <w:rPr>
          <w:spacing w:val="0"/>
          <w:w w:val="100"/>
          <w:kern w:val="0"/>
          <w:sz w:val="24"/>
        </w:rPr>
        <w:t>i</w:t>
      </w:r>
      <w:r>
        <w:rPr>
          <w:spacing w:val="0"/>
          <w:w w:val="100"/>
          <w:kern w:val="0"/>
          <w:sz w:val="24"/>
        </w:rPr>
        <w:t>nadas a mejorar la nutrición, especialmente de las mujeres y los niños.</w:t>
      </w:r>
    </w:p>
    <w:p w:rsidR="00000000" w:rsidRDefault="00000000">
      <w:pPr>
        <w:pStyle w:val="H23"/>
        <w:keepNext w:val="0"/>
        <w:keepLines w:val="0"/>
        <w:suppressAutoHyphens w:val="0"/>
        <w:spacing w:after="240" w:line="240" w:lineRule="auto"/>
        <w:outlineLvl w:val="9"/>
        <w:rPr>
          <w:bCs/>
          <w:spacing w:val="0"/>
          <w:w w:val="100"/>
          <w:kern w:val="0"/>
          <w:sz w:val="24"/>
        </w:rPr>
      </w:pPr>
      <w:r>
        <w:rPr>
          <w:bCs/>
          <w:spacing w:val="0"/>
          <w:w w:val="100"/>
          <w:kern w:val="0"/>
          <w:sz w:val="24"/>
        </w:rPr>
        <w:tab/>
        <w:t>Agua y saneamiento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174.</w:t>
      </w:r>
      <w:r>
        <w:rPr>
          <w:spacing w:val="0"/>
          <w:w w:val="100"/>
          <w:kern w:val="0"/>
          <w:sz w:val="24"/>
        </w:rPr>
        <w:tab/>
        <w:t>Según la encuesta sobre el presupuesto de los hogares de 2000/01 en Tanz</w:t>
      </w:r>
      <w:r>
        <w:rPr>
          <w:spacing w:val="0"/>
          <w:w w:val="100"/>
          <w:kern w:val="0"/>
          <w:sz w:val="24"/>
        </w:rPr>
        <w:t>a</w:t>
      </w:r>
      <w:r>
        <w:rPr>
          <w:spacing w:val="0"/>
          <w:w w:val="100"/>
          <w:kern w:val="0"/>
          <w:sz w:val="24"/>
        </w:rPr>
        <w:t>nía continental, la pobreza está muy extendida y es más aguda en las zonas rurales, donde vive aproximadamente el 77% del total de la población pobre.  Ello reafirma los motivos del Gobierno de prestar mayor atención al desarrollo social de las zonas rurales.  El análisis de los datos de la encuesta relativos al sector del agua y el s</w:t>
      </w:r>
      <w:r>
        <w:rPr>
          <w:spacing w:val="0"/>
          <w:w w:val="100"/>
          <w:kern w:val="0"/>
          <w:sz w:val="24"/>
        </w:rPr>
        <w:t>a</w:t>
      </w:r>
      <w:r>
        <w:rPr>
          <w:spacing w:val="0"/>
          <w:w w:val="100"/>
          <w:kern w:val="0"/>
          <w:sz w:val="24"/>
        </w:rPr>
        <w:t>neamiento indica que aún queda mucho por hacer sobre el terreno.  Aproximadame</w:t>
      </w:r>
      <w:r>
        <w:rPr>
          <w:spacing w:val="0"/>
          <w:w w:val="100"/>
          <w:kern w:val="0"/>
          <w:sz w:val="24"/>
        </w:rPr>
        <w:t>n</w:t>
      </w:r>
      <w:r>
        <w:rPr>
          <w:spacing w:val="0"/>
          <w:w w:val="100"/>
          <w:kern w:val="0"/>
          <w:sz w:val="24"/>
        </w:rPr>
        <w:t>te el 54% del sector más pobre de la población todavía anda largas distancias para llegar a las fuentes de agua para el consumo d</w:t>
      </w:r>
      <w:r>
        <w:rPr>
          <w:spacing w:val="0"/>
          <w:w w:val="100"/>
          <w:kern w:val="0"/>
          <w:sz w:val="24"/>
        </w:rPr>
        <w:t>o</w:t>
      </w:r>
      <w:r>
        <w:rPr>
          <w:spacing w:val="0"/>
          <w:w w:val="100"/>
          <w:kern w:val="0"/>
          <w:sz w:val="24"/>
        </w:rPr>
        <w:t>méstico.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175.</w:t>
      </w:r>
      <w:r>
        <w:rPr>
          <w:spacing w:val="0"/>
          <w:w w:val="100"/>
          <w:kern w:val="0"/>
          <w:sz w:val="24"/>
        </w:rPr>
        <w:tab/>
        <w:t>En el marco de las reformas estructurales e institucionales, el Gobierno aprobó el 27 de julio de 2002 la Política nacional revisada sobre el agua, que adopta la p</w:t>
      </w:r>
      <w:r>
        <w:rPr>
          <w:spacing w:val="0"/>
          <w:w w:val="100"/>
          <w:kern w:val="0"/>
          <w:sz w:val="24"/>
        </w:rPr>
        <w:t>o</w:t>
      </w:r>
      <w:r>
        <w:rPr>
          <w:spacing w:val="0"/>
          <w:w w:val="100"/>
          <w:kern w:val="0"/>
          <w:sz w:val="24"/>
        </w:rPr>
        <w:t>sición de que el agua es un bien económico finito, que tiene un valor y por el que hay que pagar.  Las fuentes de agua se deben utilizar de manera sostenible y se debe seguir insistiendo en la distribución equitativa y la conservación del medio ambie</w:t>
      </w:r>
      <w:r>
        <w:rPr>
          <w:spacing w:val="0"/>
          <w:w w:val="100"/>
          <w:kern w:val="0"/>
          <w:sz w:val="24"/>
        </w:rPr>
        <w:t>n</w:t>
      </w:r>
      <w:r>
        <w:rPr>
          <w:spacing w:val="0"/>
          <w:w w:val="100"/>
          <w:kern w:val="0"/>
          <w:sz w:val="24"/>
        </w:rPr>
        <w:t>te.  Al mismo tiempo, hay que delimitar las cuencas hidrográficas que deben tomarse como unidades de planificación para la ordenación y coordinación integrada de los recursos hídricos, lo cual tiene ventajas administrativas.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176.</w:t>
      </w:r>
      <w:r>
        <w:rPr>
          <w:spacing w:val="0"/>
          <w:w w:val="100"/>
          <w:kern w:val="0"/>
          <w:sz w:val="24"/>
        </w:rPr>
        <w:tab/>
        <w:t>La política prevé la participación comunitaria en el abastecimiento de agua mediante sistemas que respondan a la demanda; asociaciones de los sectores público y privado; la coordinación y colaboración intersectorial y el intercambio de info</w:t>
      </w:r>
      <w:r>
        <w:rPr>
          <w:spacing w:val="0"/>
          <w:w w:val="100"/>
          <w:kern w:val="0"/>
          <w:sz w:val="24"/>
        </w:rPr>
        <w:t>r</w:t>
      </w:r>
      <w:r>
        <w:rPr>
          <w:spacing w:val="0"/>
          <w:w w:val="100"/>
          <w:kern w:val="0"/>
          <w:sz w:val="24"/>
        </w:rPr>
        <w:t>mación; la incorporación de una perspectiva de género y la concienciación al re</w:t>
      </w:r>
      <w:r>
        <w:rPr>
          <w:spacing w:val="0"/>
          <w:w w:val="100"/>
          <w:kern w:val="0"/>
          <w:sz w:val="24"/>
        </w:rPr>
        <w:t>s</w:t>
      </w:r>
      <w:r>
        <w:rPr>
          <w:spacing w:val="0"/>
          <w:w w:val="100"/>
          <w:kern w:val="0"/>
          <w:sz w:val="24"/>
        </w:rPr>
        <w:t>pecto; y el uso de tecnologías apropiadas.  Además, dispone la promoción de tecn</w:t>
      </w:r>
      <w:r>
        <w:rPr>
          <w:spacing w:val="0"/>
          <w:w w:val="100"/>
          <w:kern w:val="0"/>
          <w:sz w:val="24"/>
        </w:rPr>
        <w:t>o</w:t>
      </w:r>
      <w:r>
        <w:rPr>
          <w:spacing w:val="0"/>
          <w:w w:val="100"/>
          <w:kern w:val="0"/>
          <w:sz w:val="24"/>
        </w:rPr>
        <w:t>logías para recoger el agua de lluvia y el establecimiento de un marco institucional y regulador adecuado.  La participación comunitaria es básica, ya que tiende a fome</w:t>
      </w:r>
      <w:r>
        <w:rPr>
          <w:spacing w:val="0"/>
          <w:w w:val="100"/>
          <w:kern w:val="0"/>
          <w:sz w:val="24"/>
        </w:rPr>
        <w:t>n</w:t>
      </w:r>
      <w:r>
        <w:rPr>
          <w:spacing w:val="0"/>
          <w:w w:val="100"/>
          <w:kern w:val="0"/>
          <w:sz w:val="24"/>
        </w:rPr>
        <w:t>tar en las comunidades un sentimiento de implicación en los planes hídricos.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177.</w:t>
      </w:r>
      <w:r>
        <w:rPr>
          <w:spacing w:val="0"/>
          <w:w w:val="100"/>
          <w:kern w:val="0"/>
          <w:sz w:val="24"/>
        </w:rPr>
        <w:tab/>
        <w:t>Las estrategias de asociación entre el sector público y el privado comprenden la privatización de empresas públicas paraestatales, como la Dirección de Aguas Dar es Salaam.  Dichas asociaciones, alientan a las empresas privadas a instalar si</w:t>
      </w:r>
      <w:r>
        <w:rPr>
          <w:spacing w:val="0"/>
          <w:w w:val="100"/>
          <w:kern w:val="0"/>
          <w:sz w:val="24"/>
        </w:rPr>
        <w:t>s</w:t>
      </w:r>
      <w:r>
        <w:rPr>
          <w:spacing w:val="0"/>
          <w:w w:val="100"/>
          <w:kern w:val="0"/>
          <w:sz w:val="24"/>
        </w:rPr>
        <w:t>temas de abastecimiento de agua en colaboración con las comunid</w:t>
      </w:r>
      <w:r>
        <w:rPr>
          <w:spacing w:val="0"/>
          <w:w w:val="100"/>
          <w:kern w:val="0"/>
          <w:sz w:val="24"/>
        </w:rPr>
        <w:t>a</w:t>
      </w:r>
      <w:r>
        <w:rPr>
          <w:spacing w:val="0"/>
          <w:w w:val="100"/>
          <w:kern w:val="0"/>
          <w:sz w:val="24"/>
        </w:rPr>
        <w:t>des.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178.</w:t>
      </w:r>
      <w:r>
        <w:rPr>
          <w:spacing w:val="0"/>
          <w:w w:val="100"/>
          <w:kern w:val="0"/>
          <w:sz w:val="24"/>
        </w:rPr>
        <w:tab/>
        <w:t>El abastecimiento de agua y los servicios de saneamiento contribuyen posit</w:t>
      </w:r>
      <w:r>
        <w:rPr>
          <w:spacing w:val="0"/>
          <w:w w:val="100"/>
          <w:kern w:val="0"/>
          <w:sz w:val="24"/>
        </w:rPr>
        <w:t>i</w:t>
      </w:r>
      <w:r>
        <w:rPr>
          <w:spacing w:val="0"/>
          <w:w w:val="100"/>
          <w:kern w:val="0"/>
          <w:sz w:val="24"/>
        </w:rPr>
        <w:t>vamente a reducir la pobreza al disminuir la cantidad de tiempo y energía que se i</w:t>
      </w:r>
      <w:r>
        <w:rPr>
          <w:spacing w:val="0"/>
          <w:w w:val="100"/>
          <w:kern w:val="0"/>
          <w:sz w:val="24"/>
        </w:rPr>
        <w:t>n</w:t>
      </w:r>
      <w:r>
        <w:rPr>
          <w:spacing w:val="0"/>
          <w:w w:val="100"/>
          <w:kern w:val="0"/>
          <w:sz w:val="24"/>
        </w:rPr>
        <w:t>vierten en ir a buscar agua y contribuyen además a mejorar la salud.  En general, contribuyen directa e indirectamente a aumentar el bienestar socioeconómico de la sociedad, por ejemplo al crear condiciones que facilitan la asistencia a la escu</w:t>
      </w:r>
      <w:r>
        <w:rPr>
          <w:spacing w:val="0"/>
          <w:w w:val="100"/>
          <w:kern w:val="0"/>
          <w:sz w:val="24"/>
        </w:rPr>
        <w:t>e</w:t>
      </w:r>
      <w:r>
        <w:rPr>
          <w:spacing w:val="0"/>
          <w:w w:val="100"/>
          <w:kern w:val="0"/>
          <w:sz w:val="24"/>
        </w:rPr>
        <w:t>la.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178.</w:t>
      </w:r>
      <w:r>
        <w:rPr>
          <w:spacing w:val="0"/>
          <w:w w:val="100"/>
          <w:kern w:val="0"/>
          <w:sz w:val="24"/>
        </w:rPr>
        <w:tab/>
        <w:t>Desde 1998 se han logrado progresos en el sector del agua y el saneamiento.  Entre ellos, se cuentan:</w:t>
      </w:r>
    </w:p>
    <w:p w:rsidR="00000000" w:rsidRDefault="00000000">
      <w:pPr>
        <w:pStyle w:val="SingleTxt"/>
        <w:numPr>
          <w:ilvl w:val="0"/>
          <w:numId w:val="76"/>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924" w:right="0" w:hanging="357"/>
        <w:jc w:val="left"/>
        <w:rPr>
          <w:spacing w:val="0"/>
          <w:w w:val="100"/>
          <w:kern w:val="0"/>
          <w:sz w:val="24"/>
        </w:rPr>
      </w:pPr>
      <w:r>
        <w:rPr>
          <w:spacing w:val="0"/>
          <w:w w:val="100"/>
          <w:kern w:val="0"/>
          <w:sz w:val="24"/>
        </w:rPr>
        <w:t>La rehabilitación y ampliación de los sistemas de abastecimiento de agua en las zonas rurales.  Esto está mejorando lentamente debido a las limitaciones de recursos.  Entre 1998 y 2003, de los 794 sistemas que necesitaban rehabilitarse y ampliarse, se renovaron 122;</w:t>
      </w:r>
    </w:p>
    <w:p w:rsidR="00000000" w:rsidRDefault="00000000">
      <w:pPr>
        <w:pStyle w:val="SingleTxt"/>
        <w:numPr>
          <w:ilvl w:val="0"/>
          <w:numId w:val="76"/>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924" w:right="0" w:hanging="357"/>
        <w:jc w:val="left"/>
        <w:rPr>
          <w:spacing w:val="0"/>
          <w:w w:val="100"/>
          <w:kern w:val="0"/>
          <w:sz w:val="24"/>
        </w:rPr>
      </w:pPr>
      <w:r>
        <w:rPr>
          <w:spacing w:val="0"/>
          <w:w w:val="100"/>
          <w:kern w:val="0"/>
          <w:sz w:val="24"/>
        </w:rPr>
        <w:t>Durante el período que se examina, se construyeron en todo el país 292 nuevos sistemas de abastecimiento de agua, 3 grandes presas, 14 presas de tamaño mediano, 134 pozos de agua profundos y 1.990 pozos someros;</w:t>
      </w:r>
    </w:p>
    <w:p w:rsidR="00000000" w:rsidRDefault="00000000">
      <w:pPr>
        <w:pStyle w:val="SingleTxt"/>
        <w:numPr>
          <w:ilvl w:val="0"/>
          <w:numId w:val="76"/>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924" w:right="0" w:hanging="357"/>
        <w:jc w:val="left"/>
        <w:rPr>
          <w:spacing w:val="0"/>
          <w:w w:val="100"/>
          <w:kern w:val="0"/>
          <w:sz w:val="24"/>
        </w:rPr>
      </w:pPr>
      <w:r>
        <w:rPr>
          <w:spacing w:val="0"/>
          <w:w w:val="100"/>
          <w:kern w:val="0"/>
          <w:sz w:val="24"/>
        </w:rPr>
        <w:t>En octubre de 2002, había 5.384 aldeas con comités vecinales de aguas y 1.279 aldeas disponían de entidades autónomas de aguas con su dotación de fondos.  Ese aumento se debió a la participación comunitaria y la contribución financiera de los miembros de la aldea.  Los fondos para aguas de las aldeas ascendían a 7.000 millones de chelines tanzanianos.</w:t>
      </w:r>
    </w:p>
    <w:p w:rsidR="00000000" w:rsidRDefault="00000000">
      <w:pPr>
        <w:pStyle w:val="SingleTxt"/>
        <w:numPr>
          <w:ilvl w:val="0"/>
          <w:numId w:val="76"/>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924" w:right="0" w:hanging="357"/>
        <w:jc w:val="left"/>
        <w:rPr>
          <w:spacing w:val="0"/>
          <w:w w:val="100"/>
          <w:kern w:val="0"/>
          <w:sz w:val="24"/>
        </w:rPr>
      </w:pPr>
      <w:r>
        <w:rPr>
          <w:spacing w:val="0"/>
          <w:w w:val="100"/>
          <w:kern w:val="0"/>
          <w:sz w:val="24"/>
        </w:rPr>
        <w:t>Se ha intensificado la vigilancia de la calidad del agua y se toman periódic</w:t>
      </w:r>
      <w:r>
        <w:rPr>
          <w:spacing w:val="0"/>
          <w:w w:val="100"/>
          <w:kern w:val="0"/>
          <w:sz w:val="24"/>
        </w:rPr>
        <w:t>a</w:t>
      </w:r>
      <w:r>
        <w:rPr>
          <w:spacing w:val="0"/>
          <w:w w:val="100"/>
          <w:kern w:val="0"/>
          <w:sz w:val="24"/>
        </w:rPr>
        <w:t>mente muestras de agua en todo el país para analizar la turbidez y la cantidad de productos químicos presentes; en las zonas rurales esos análisis se hacen dos veces al año.</w:t>
      </w:r>
    </w:p>
    <w:p w:rsidR="00000000" w:rsidRDefault="00000000">
      <w:pPr>
        <w:pStyle w:val="SingleTxt"/>
        <w:numPr>
          <w:ilvl w:val="0"/>
          <w:numId w:val="76"/>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924" w:right="0" w:hanging="357"/>
        <w:jc w:val="left"/>
        <w:rPr>
          <w:spacing w:val="0"/>
          <w:w w:val="100"/>
          <w:kern w:val="0"/>
          <w:sz w:val="24"/>
        </w:rPr>
      </w:pPr>
      <w:r>
        <w:rPr>
          <w:spacing w:val="0"/>
          <w:w w:val="100"/>
          <w:kern w:val="0"/>
          <w:sz w:val="24"/>
        </w:rPr>
        <w:t>Desde noviembre de 2002 está en vigor la carta de servicios al usuario para las empresas del sector.  Su objetivo principal es informar mejor a los clientes s</w:t>
      </w:r>
      <w:r>
        <w:rPr>
          <w:spacing w:val="0"/>
          <w:w w:val="100"/>
          <w:kern w:val="0"/>
          <w:sz w:val="24"/>
        </w:rPr>
        <w:t>o</w:t>
      </w:r>
      <w:r>
        <w:rPr>
          <w:spacing w:val="0"/>
          <w:w w:val="100"/>
          <w:kern w:val="0"/>
          <w:sz w:val="24"/>
        </w:rPr>
        <w:t>bre los servicios de agua y saneamiento prestados y la calidad de éstos.</w:t>
      </w:r>
    </w:p>
    <w:p w:rsidR="00000000" w:rsidRDefault="00000000">
      <w:pPr>
        <w:pStyle w:val="SingleTxt"/>
        <w:numPr>
          <w:ilvl w:val="0"/>
          <w:numId w:val="76"/>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924" w:right="0" w:hanging="357"/>
        <w:jc w:val="left"/>
        <w:rPr>
          <w:spacing w:val="0"/>
          <w:w w:val="100"/>
          <w:kern w:val="0"/>
          <w:sz w:val="24"/>
        </w:rPr>
      </w:pPr>
      <w:r>
        <w:rPr>
          <w:spacing w:val="0"/>
          <w:w w:val="100"/>
          <w:kern w:val="0"/>
          <w:sz w:val="24"/>
        </w:rPr>
        <w:t>La proporción de población que tiene acceso a agua potable en las zonas rur</w:t>
      </w:r>
      <w:r>
        <w:rPr>
          <w:spacing w:val="0"/>
          <w:w w:val="100"/>
          <w:kern w:val="0"/>
          <w:sz w:val="24"/>
        </w:rPr>
        <w:t>a</w:t>
      </w:r>
      <w:r>
        <w:rPr>
          <w:spacing w:val="0"/>
          <w:w w:val="100"/>
          <w:kern w:val="0"/>
          <w:sz w:val="24"/>
        </w:rPr>
        <w:t>les aumentó del 46% en 1996 al 50% en junio de 2002.</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180.</w:t>
      </w:r>
      <w:r>
        <w:rPr>
          <w:spacing w:val="0"/>
          <w:w w:val="100"/>
          <w:kern w:val="0"/>
          <w:sz w:val="24"/>
        </w:rPr>
        <w:tab/>
        <w:t>La introducción de la transformación participativa de la higiene y el sane</w:t>
      </w:r>
      <w:r>
        <w:rPr>
          <w:spacing w:val="0"/>
          <w:w w:val="100"/>
          <w:kern w:val="0"/>
          <w:sz w:val="24"/>
        </w:rPr>
        <w:t>a</w:t>
      </w:r>
      <w:r>
        <w:rPr>
          <w:spacing w:val="0"/>
          <w:w w:val="100"/>
          <w:kern w:val="0"/>
          <w:sz w:val="24"/>
        </w:rPr>
        <w:t>miento y otras metodologías participativas en el ámbito de las aldeas han logrado promover en los hogares y las escuelas el hábito de lavarse las manos después de utilizar las letrinas.  El Ministerio de Salud y el Ministerio de Desarrollo de los R</w:t>
      </w:r>
      <w:r>
        <w:rPr>
          <w:spacing w:val="0"/>
          <w:w w:val="100"/>
          <w:kern w:val="0"/>
          <w:sz w:val="24"/>
        </w:rPr>
        <w:t>e</w:t>
      </w:r>
      <w:r>
        <w:rPr>
          <w:spacing w:val="0"/>
          <w:w w:val="100"/>
          <w:kern w:val="0"/>
          <w:sz w:val="24"/>
        </w:rPr>
        <w:t>cursos Hídricos y la Ganadería, en colaboración con el UNICEF, apoyaron el des</w:t>
      </w:r>
      <w:r>
        <w:rPr>
          <w:spacing w:val="0"/>
          <w:w w:val="100"/>
          <w:kern w:val="0"/>
          <w:sz w:val="24"/>
        </w:rPr>
        <w:t>a</w:t>
      </w:r>
      <w:r>
        <w:rPr>
          <w:spacing w:val="0"/>
          <w:w w:val="100"/>
          <w:kern w:val="0"/>
          <w:sz w:val="24"/>
        </w:rPr>
        <w:t>rrollo de la metodología de transformación participativa como medio esencial de mejorar la h</w:t>
      </w:r>
      <w:r>
        <w:rPr>
          <w:spacing w:val="0"/>
          <w:w w:val="100"/>
          <w:kern w:val="0"/>
          <w:sz w:val="24"/>
        </w:rPr>
        <w:t>i</w:t>
      </w:r>
      <w:r>
        <w:rPr>
          <w:spacing w:val="0"/>
          <w:w w:val="100"/>
          <w:kern w:val="0"/>
          <w:sz w:val="24"/>
        </w:rPr>
        <w:t>giene, el abastecimiento de agua y el saneamiento en las comunidades.</w:t>
      </w:r>
    </w:p>
    <w:p w:rsidR="00000000" w:rsidRDefault="00000000">
      <w:pPr>
        <w:pStyle w:val="H23"/>
        <w:keepLines w:val="0"/>
        <w:suppressAutoHyphens w:val="0"/>
        <w:spacing w:after="240" w:line="240" w:lineRule="auto"/>
        <w:outlineLvl w:val="9"/>
        <w:rPr>
          <w:bCs/>
          <w:spacing w:val="0"/>
          <w:w w:val="100"/>
          <w:kern w:val="0"/>
          <w:sz w:val="24"/>
        </w:rPr>
      </w:pPr>
      <w:r>
        <w:rPr>
          <w:bCs/>
          <w:spacing w:val="0"/>
          <w:w w:val="100"/>
          <w:kern w:val="0"/>
          <w:sz w:val="24"/>
        </w:rPr>
        <w:t>Niños impedidos (artículo 23)</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181.</w:t>
      </w:r>
      <w:r>
        <w:rPr>
          <w:spacing w:val="0"/>
          <w:w w:val="100"/>
          <w:kern w:val="0"/>
          <w:sz w:val="24"/>
        </w:rPr>
        <w:tab/>
        <w:t>El Gobierno ha incluido la cuestión de los con discapacidad en el censo naci</w:t>
      </w:r>
      <w:r>
        <w:rPr>
          <w:spacing w:val="0"/>
          <w:w w:val="100"/>
          <w:kern w:val="0"/>
          <w:sz w:val="24"/>
        </w:rPr>
        <w:t>o</w:t>
      </w:r>
      <w:r>
        <w:rPr>
          <w:spacing w:val="0"/>
          <w:w w:val="100"/>
          <w:kern w:val="0"/>
          <w:sz w:val="24"/>
        </w:rPr>
        <w:t>nal de población y vivienda de 2002, a fin de obtener información para conocer la magnitud del problema e iniciar programas de apoyo al respecto.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182.</w:t>
      </w:r>
      <w:r>
        <w:rPr>
          <w:spacing w:val="0"/>
          <w:w w:val="100"/>
          <w:kern w:val="0"/>
          <w:sz w:val="24"/>
        </w:rPr>
        <w:tab/>
        <w:t>Se ha creado el Instituto ortopédico de Muhimbili, donde se da prioridad a los niños con discapacidad.  Hay que dar mayor acceso a la atención especializada a los niños con discapac</w:t>
      </w:r>
      <w:r>
        <w:rPr>
          <w:spacing w:val="0"/>
          <w:w w:val="100"/>
          <w:kern w:val="0"/>
          <w:sz w:val="24"/>
        </w:rPr>
        <w:t>i</w:t>
      </w:r>
      <w:r>
        <w:rPr>
          <w:spacing w:val="0"/>
          <w:w w:val="100"/>
          <w:kern w:val="0"/>
          <w:sz w:val="24"/>
        </w:rPr>
        <w:t>dad, ya que en Muhimbili se atiende a muy pocos.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183.</w:t>
      </w:r>
      <w:r>
        <w:rPr>
          <w:spacing w:val="0"/>
          <w:w w:val="100"/>
          <w:kern w:val="0"/>
          <w:sz w:val="24"/>
        </w:rPr>
        <w:tab/>
        <w:t>El Gobierno ha formulado iniciativas para el establecimiento de un programa de atención y desarrollo de la primera infancia.  En el distrito de Kibaha ha come</w:t>
      </w:r>
      <w:r>
        <w:rPr>
          <w:spacing w:val="0"/>
          <w:w w:val="100"/>
          <w:kern w:val="0"/>
          <w:sz w:val="24"/>
        </w:rPr>
        <w:t>n</w:t>
      </w:r>
      <w:r>
        <w:rPr>
          <w:spacing w:val="0"/>
          <w:w w:val="100"/>
          <w:kern w:val="0"/>
          <w:sz w:val="24"/>
        </w:rPr>
        <w:t>zado un programa experimental, mediante el cual se tratará de identificar tempr</w:t>
      </w:r>
      <w:r>
        <w:rPr>
          <w:spacing w:val="0"/>
          <w:w w:val="100"/>
          <w:kern w:val="0"/>
          <w:sz w:val="24"/>
        </w:rPr>
        <w:t>a</w:t>
      </w:r>
      <w:r>
        <w:rPr>
          <w:spacing w:val="0"/>
          <w:w w:val="100"/>
          <w:kern w:val="0"/>
          <w:sz w:val="24"/>
        </w:rPr>
        <w:t>namente los niños con discapacidad con fines de prevención.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184.</w:t>
      </w:r>
      <w:r>
        <w:rPr>
          <w:spacing w:val="0"/>
          <w:w w:val="100"/>
          <w:kern w:val="0"/>
          <w:sz w:val="24"/>
        </w:rPr>
        <w:tab/>
        <w:t>Se ha hecho todo lo posible para que el ingreso de niños con discapacidad en medios institucionales sea una medida de último recurso.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185.</w:t>
      </w:r>
      <w:r>
        <w:rPr>
          <w:spacing w:val="0"/>
          <w:w w:val="100"/>
          <w:kern w:val="0"/>
          <w:sz w:val="24"/>
        </w:rPr>
        <w:tab/>
        <w:t>Se han establecido programas especiales para los niños con discapacidad v</w:t>
      </w:r>
      <w:r>
        <w:rPr>
          <w:spacing w:val="0"/>
          <w:w w:val="100"/>
          <w:kern w:val="0"/>
          <w:sz w:val="24"/>
        </w:rPr>
        <w:t>i</w:t>
      </w:r>
      <w:r>
        <w:rPr>
          <w:spacing w:val="0"/>
          <w:w w:val="100"/>
          <w:kern w:val="0"/>
          <w:sz w:val="24"/>
        </w:rPr>
        <w:t>sual, intelectual, auditiva, y física, sordos y autistas.  En el cuadro 10 se muestra el número de escuelas especiales y de unidades integradas en escuelas ordinarias y e</w:t>
      </w:r>
      <w:r>
        <w:rPr>
          <w:spacing w:val="0"/>
          <w:w w:val="100"/>
          <w:kern w:val="0"/>
          <w:sz w:val="24"/>
        </w:rPr>
        <w:t>s</w:t>
      </w:r>
      <w:r>
        <w:rPr>
          <w:spacing w:val="0"/>
          <w:w w:val="100"/>
          <w:kern w:val="0"/>
          <w:sz w:val="24"/>
        </w:rPr>
        <w:t>cuelas primarias.</w:t>
      </w:r>
    </w:p>
    <w:p w:rsidR="00000000" w:rsidRDefault="00000000">
      <w:pPr>
        <w:pStyle w:val="H23"/>
        <w:keepNext w:val="0"/>
        <w:keepLines w:val="0"/>
        <w:suppressAutoHyphens w:val="0"/>
        <w:spacing w:after="240" w:line="240" w:lineRule="auto"/>
        <w:jc w:val="center"/>
        <w:outlineLvl w:val="9"/>
        <w:rPr>
          <w:bCs/>
          <w:spacing w:val="0"/>
          <w:w w:val="100"/>
          <w:kern w:val="0"/>
          <w:sz w:val="24"/>
        </w:rPr>
      </w:pPr>
      <w:r>
        <w:rPr>
          <w:bCs/>
          <w:spacing w:val="0"/>
          <w:w w:val="100"/>
          <w:kern w:val="0"/>
          <w:sz w:val="24"/>
        </w:rPr>
        <w:t>Cuadro 10</w:t>
      </w:r>
    </w:p>
    <w:p w:rsidR="00000000" w:rsidRDefault="00000000">
      <w:pPr>
        <w:pStyle w:val="H23"/>
        <w:keepNext w:val="0"/>
        <w:keepLines w:val="0"/>
        <w:suppressAutoHyphens w:val="0"/>
        <w:spacing w:after="240" w:line="240" w:lineRule="auto"/>
        <w:jc w:val="center"/>
        <w:outlineLvl w:val="9"/>
        <w:rPr>
          <w:bCs/>
          <w:spacing w:val="0"/>
          <w:w w:val="100"/>
          <w:kern w:val="0"/>
          <w:sz w:val="24"/>
        </w:rPr>
      </w:pPr>
      <w:r>
        <w:rPr>
          <w:bCs/>
          <w:spacing w:val="0"/>
          <w:w w:val="100"/>
          <w:kern w:val="0"/>
          <w:sz w:val="24"/>
        </w:rPr>
        <w:t>Escuelas especiales, ordinarias y primarias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743"/>
        <w:gridCol w:w="2440"/>
        <w:gridCol w:w="2440"/>
      </w:tblGrid>
      <w:tr w:rsidR="00000000">
        <w:tblPrEx>
          <w:tblCellMar>
            <w:top w:w="0" w:type="dxa"/>
            <w:left w:w="0" w:type="dxa"/>
            <w:bottom w:w="0" w:type="dxa"/>
            <w:right w:w="0" w:type="dxa"/>
          </w:tblCellMar>
        </w:tblPrEx>
        <w:trPr>
          <w:tblHeader/>
          <w:jc w:val="center"/>
        </w:trPr>
        <w:tc>
          <w:tcPr>
            <w:tcW w:w="2743" w:type="dxa"/>
            <w:vAlign w:val="center"/>
          </w:tcPr>
          <w:p w:rsidR="00000000" w:rsidRDefault="00000000">
            <w:pPr>
              <w:jc w:val="center"/>
            </w:pPr>
            <w:r>
              <w:t>Tipo de discapacidad</w:t>
            </w:r>
          </w:p>
        </w:tc>
        <w:tc>
          <w:tcPr>
            <w:tcW w:w="2440" w:type="dxa"/>
            <w:vAlign w:val="center"/>
          </w:tcPr>
          <w:p w:rsidR="00000000" w:rsidRDefault="00000000">
            <w:pPr>
              <w:jc w:val="center"/>
            </w:pPr>
            <w:r>
              <w:t>Número de escuelas especiales</w:t>
            </w:r>
          </w:p>
        </w:tc>
        <w:tc>
          <w:tcPr>
            <w:tcW w:w="2440" w:type="dxa"/>
            <w:vAlign w:val="center"/>
          </w:tcPr>
          <w:p w:rsidR="00000000" w:rsidRDefault="00000000">
            <w:pPr>
              <w:jc w:val="center"/>
            </w:pPr>
            <w:r>
              <w:t>Número de unidades integradas  en escuelas ordinarias</w:t>
            </w:r>
          </w:p>
        </w:tc>
      </w:tr>
      <w:tr w:rsidR="00000000">
        <w:tblPrEx>
          <w:tblCellMar>
            <w:top w:w="0" w:type="dxa"/>
            <w:left w:w="0" w:type="dxa"/>
            <w:bottom w:w="0" w:type="dxa"/>
            <w:right w:w="0" w:type="dxa"/>
          </w:tblCellMar>
        </w:tblPrEx>
        <w:trPr>
          <w:jc w:val="center"/>
        </w:trPr>
        <w:tc>
          <w:tcPr>
            <w:tcW w:w="2743" w:type="dxa"/>
            <w:tcMar>
              <w:left w:w="108" w:type="dxa"/>
              <w:right w:w="108" w:type="dxa"/>
            </w:tcMar>
            <w:vAlign w:val="bottom"/>
          </w:tcPr>
          <w:p w:rsidR="00000000" w:rsidRDefault="00000000">
            <w:r>
              <w:t>Visual</w:t>
            </w:r>
          </w:p>
        </w:tc>
        <w:tc>
          <w:tcPr>
            <w:tcW w:w="2440" w:type="dxa"/>
            <w:tcMar>
              <w:left w:w="108" w:type="dxa"/>
              <w:right w:w="108" w:type="dxa"/>
            </w:tcMar>
            <w:vAlign w:val="bottom"/>
          </w:tcPr>
          <w:p w:rsidR="00000000" w:rsidRDefault="00000000">
            <w:pPr>
              <w:tabs>
                <w:tab w:val="decimal" w:pos="1337"/>
              </w:tabs>
            </w:pPr>
            <w:r>
              <w:t>3</w:t>
            </w:r>
          </w:p>
        </w:tc>
        <w:tc>
          <w:tcPr>
            <w:tcW w:w="2440" w:type="dxa"/>
            <w:tcMar>
              <w:left w:w="108" w:type="dxa"/>
              <w:right w:w="108" w:type="dxa"/>
            </w:tcMar>
            <w:vAlign w:val="bottom"/>
          </w:tcPr>
          <w:p w:rsidR="00000000" w:rsidRDefault="00000000">
            <w:pPr>
              <w:tabs>
                <w:tab w:val="decimal" w:pos="1337"/>
              </w:tabs>
            </w:pPr>
            <w:r>
              <w:t>28</w:t>
            </w:r>
          </w:p>
        </w:tc>
      </w:tr>
      <w:tr w:rsidR="00000000">
        <w:tblPrEx>
          <w:tblCellMar>
            <w:top w:w="0" w:type="dxa"/>
            <w:left w:w="0" w:type="dxa"/>
            <w:bottom w:w="0" w:type="dxa"/>
            <w:right w:w="0" w:type="dxa"/>
          </w:tblCellMar>
        </w:tblPrEx>
        <w:trPr>
          <w:jc w:val="center"/>
        </w:trPr>
        <w:tc>
          <w:tcPr>
            <w:tcW w:w="2743" w:type="dxa"/>
            <w:tcMar>
              <w:left w:w="108" w:type="dxa"/>
              <w:right w:w="108" w:type="dxa"/>
            </w:tcMar>
            <w:vAlign w:val="bottom"/>
          </w:tcPr>
          <w:p w:rsidR="00000000" w:rsidRDefault="00000000">
            <w:r>
              <w:t>Auditiva</w:t>
            </w:r>
          </w:p>
        </w:tc>
        <w:tc>
          <w:tcPr>
            <w:tcW w:w="2440" w:type="dxa"/>
            <w:tcMar>
              <w:left w:w="108" w:type="dxa"/>
              <w:right w:w="108" w:type="dxa"/>
            </w:tcMar>
            <w:vAlign w:val="bottom"/>
          </w:tcPr>
          <w:p w:rsidR="00000000" w:rsidRDefault="00000000">
            <w:pPr>
              <w:tabs>
                <w:tab w:val="decimal" w:pos="1337"/>
              </w:tabs>
            </w:pPr>
            <w:r>
              <w:t>7</w:t>
            </w:r>
          </w:p>
        </w:tc>
        <w:tc>
          <w:tcPr>
            <w:tcW w:w="2440" w:type="dxa"/>
            <w:tcMar>
              <w:left w:w="108" w:type="dxa"/>
              <w:right w:w="108" w:type="dxa"/>
            </w:tcMar>
            <w:vAlign w:val="bottom"/>
          </w:tcPr>
          <w:p w:rsidR="00000000" w:rsidRDefault="00000000">
            <w:pPr>
              <w:tabs>
                <w:tab w:val="decimal" w:pos="1337"/>
              </w:tabs>
            </w:pPr>
            <w:r>
              <w:t>22</w:t>
            </w:r>
          </w:p>
        </w:tc>
      </w:tr>
      <w:tr w:rsidR="00000000">
        <w:tblPrEx>
          <w:tblCellMar>
            <w:top w:w="0" w:type="dxa"/>
            <w:left w:w="0" w:type="dxa"/>
            <w:bottom w:w="0" w:type="dxa"/>
            <w:right w:w="0" w:type="dxa"/>
          </w:tblCellMar>
        </w:tblPrEx>
        <w:trPr>
          <w:jc w:val="center"/>
        </w:trPr>
        <w:tc>
          <w:tcPr>
            <w:tcW w:w="2743" w:type="dxa"/>
            <w:tcMar>
              <w:left w:w="108" w:type="dxa"/>
              <w:right w:w="108" w:type="dxa"/>
            </w:tcMar>
            <w:vAlign w:val="bottom"/>
          </w:tcPr>
          <w:p w:rsidR="00000000" w:rsidRDefault="00000000">
            <w:r>
              <w:t>Intelectual</w:t>
            </w:r>
          </w:p>
        </w:tc>
        <w:tc>
          <w:tcPr>
            <w:tcW w:w="2440" w:type="dxa"/>
            <w:tcMar>
              <w:left w:w="108" w:type="dxa"/>
              <w:right w:w="108" w:type="dxa"/>
            </w:tcMar>
            <w:vAlign w:val="bottom"/>
          </w:tcPr>
          <w:p w:rsidR="00000000" w:rsidRDefault="00000000">
            <w:pPr>
              <w:tabs>
                <w:tab w:val="decimal" w:pos="1337"/>
              </w:tabs>
            </w:pPr>
            <w:r>
              <w:t>5</w:t>
            </w:r>
          </w:p>
        </w:tc>
        <w:tc>
          <w:tcPr>
            <w:tcW w:w="2440" w:type="dxa"/>
            <w:tcMar>
              <w:left w:w="108" w:type="dxa"/>
              <w:right w:w="108" w:type="dxa"/>
            </w:tcMar>
            <w:vAlign w:val="bottom"/>
          </w:tcPr>
          <w:p w:rsidR="00000000" w:rsidRDefault="00000000">
            <w:pPr>
              <w:tabs>
                <w:tab w:val="decimal" w:pos="1337"/>
              </w:tabs>
            </w:pPr>
            <w:r>
              <w:t>104</w:t>
            </w:r>
          </w:p>
        </w:tc>
      </w:tr>
      <w:tr w:rsidR="00000000">
        <w:tblPrEx>
          <w:tblCellMar>
            <w:top w:w="0" w:type="dxa"/>
            <w:left w:w="0" w:type="dxa"/>
            <w:bottom w:w="0" w:type="dxa"/>
            <w:right w:w="0" w:type="dxa"/>
          </w:tblCellMar>
        </w:tblPrEx>
        <w:trPr>
          <w:jc w:val="center"/>
        </w:trPr>
        <w:tc>
          <w:tcPr>
            <w:tcW w:w="2743" w:type="dxa"/>
            <w:tcMar>
              <w:left w:w="108" w:type="dxa"/>
              <w:right w:w="108" w:type="dxa"/>
            </w:tcMar>
            <w:vAlign w:val="bottom"/>
          </w:tcPr>
          <w:p w:rsidR="00000000" w:rsidRDefault="00000000">
            <w:r>
              <w:t>Física</w:t>
            </w:r>
          </w:p>
        </w:tc>
        <w:tc>
          <w:tcPr>
            <w:tcW w:w="2440" w:type="dxa"/>
            <w:tcMar>
              <w:left w:w="108" w:type="dxa"/>
              <w:right w:w="108" w:type="dxa"/>
            </w:tcMar>
            <w:vAlign w:val="bottom"/>
          </w:tcPr>
          <w:p w:rsidR="00000000" w:rsidRDefault="00000000">
            <w:pPr>
              <w:tabs>
                <w:tab w:val="decimal" w:pos="1337"/>
              </w:tabs>
            </w:pPr>
            <w:r>
              <w:t>1</w:t>
            </w:r>
          </w:p>
        </w:tc>
        <w:tc>
          <w:tcPr>
            <w:tcW w:w="2440" w:type="dxa"/>
            <w:tcMar>
              <w:left w:w="108" w:type="dxa"/>
              <w:right w:w="108" w:type="dxa"/>
            </w:tcMar>
            <w:vAlign w:val="bottom"/>
          </w:tcPr>
          <w:p w:rsidR="00000000" w:rsidRDefault="00000000">
            <w:pPr>
              <w:tabs>
                <w:tab w:val="decimal" w:pos="1337"/>
              </w:tabs>
            </w:pPr>
            <w:r>
              <w:t>3</w:t>
            </w:r>
          </w:p>
        </w:tc>
      </w:tr>
      <w:tr w:rsidR="00000000">
        <w:tblPrEx>
          <w:tblCellMar>
            <w:top w:w="0" w:type="dxa"/>
            <w:left w:w="0" w:type="dxa"/>
            <w:bottom w:w="0" w:type="dxa"/>
            <w:right w:w="0" w:type="dxa"/>
          </w:tblCellMar>
        </w:tblPrEx>
        <w:trPr>
          <w:jc w:val="center"/>
        </w:trPr>
        <w:tc>
          <w:tcPr>
            <w:tcW w:w="2743" w:type="dxa"/>
            <w:tcMar>
              <w:left w:w="108" w:type="dxa"/>
              <w:right w:w="108" w:type="dxa"/>
            </w:tcMar>
            <w:vAlign w:val="bottom"/>
          </w:tcPr>
          <w:p w:rsidR="00000000" w:rsidRDefault="00000000">
            <w:r>
              <w:t>Sordera/ceguera</w:t>
            </w:r>
          </w:p>
        </w:tc>
        <w:tc>
          <w:tcPr>
            <w:tcW w:w="2440" w:type="dxa"/>
            <w:tcMar>
              <w:left w:w="108" w:type="dxa"/>
              <w:right w:w="108" w:type="dxa"/>
            </w:tcMar>
            <w:vAlign w:val="bottom"/>
          </w:tcPr>
          <w:p w:rsidR="00000000" w:rsidRDefault="00000000">
            <w:pPr>
              <w:tabs>
                <w:tab w:val="decimal" w:pos="1337"/>
              </w:tabs>
            </w:pPr>
            <w:r>
              <w:t>–</w:t>
            </w:r>
          </w:p>
        </w:tc>
        <w:tc>
          <w:tcPr>
            <w:tcW w:w="2440" w:type="dxa"/>
            <w:tcMar>
              <w:left w:w="108" w:type="dxa"/>
              <w:right w:w="108" w:type="dxa"/>
            </w:tcMar>
            <w:vAlign w:val="bottom"/>
          </w:tcPr>
          <w:p w:rsidR="00000000" w:rsidRDefault="00000000">
            <w:pPr>
              <w:tabs>
                <w:tab w:val="decimal" w:pos="1337"/>
              </w:tabs>
            </w:pPr>
            <w:r>
              <w:t>1</w:t>
            </w:r>
          </w:p>
        </w:tc>
      </w:tr>
      <w:tr w:rsidR="00000000">
        <w:tblPrEx>
          <w:tblCellMar>
            <w:top w:w="0" w:type="dxa"/>
            <w:left w:w="0" w:type="dxa"/>
            <w:bottom w:w="0" w:type="dxa"/>
            <w:right w:w="0" w:type="dxa"/>
          </w:tblCellMar>
        </w:tblPrEx>
        <w:trPr>
          <w:jc w:val="center"/>
        </w:trPr>
        <w:tc>
          <w:tcPr>
            <w:tcW w:w="2743" w:type="dxa"/>
            <w:tcMar>
              <w:left w:w="108" w:type="dxa"/>
              <w:right w:w="108" w:type="dxa"/>
            </w:tcMar>
            <w:vAlign w:val="bottom"/>
          </w:tcPr>
          <w:p w:rsidR="00000000" w:rsidRDefault="00000000">
            <w:r>
              <w:t>Autismo</w:t>
            </w:r>
          </w:p>
        </w:tc>
        <w:tc>
          <w:tcPr>
            <w:tcW w:w="2440" w:type="dxa"/>
            <w:tcMar>
              <w:left w:w="108" w:type="dxa"/>
              <w:right w:w="108" w:type="dxa"/>
            </w:tcMar>
            <w:vAlign w:val="bottom"/>
          </w:tcPr>
          <w:p w:rsidR="00000000" w:rsidRDefault="00000000">
            <w:pPr>
              <w:tabs>
                <w:tab w:val="decimal" w:pos="1337"/>
              </w:tabs>
            </w:pPr>
            <w:r>
              <w:t>–</w:t>
            </w:r>
          </w:p>
        </w:tc>
        <w:tc>
          <w:tcPr>
            <w:tcW w:w="2440" w:type="dxa"/>
            <w:tcMar>
              <w:left w:w="108" w:type="dxa"/>
              <w:right w:w="108" w:type="dxa"/>
            </w:tcMar>
            <w:vAlign w:val="bottom"/>
          </w:tcPr>
          <w:p w:rsidR="00000000" w:rsidRDefault="00000000">
            <w:pPr>
              <w:tabs>
                <w:tab w:val="decimal" w:pos="1337"/>
              </w:tabs>
            </w:pPr>
            <w:r>
              <w:t>1</w:t>
            </w:r>
          </w:p>
        </w:tc>
      </w:tr>
      <w:tr w:rsidR="00000000">
        <w:tblPrEx>
          <w:tblCellMar>
            <w:top w:w="0" w:type="dxa"/>
            <w:left w:w="0" w:type="dxa"/>
            <w:bottom w:w="0" w:type="dxa"/>
            <w:right w:w="0" w:type="dxa"/>
          </w:tblCellMar>
        </w:tblPrEx>
        <w:trPr>
          <w:jc w:val="center"/>
        </w:trPr>
        <w:tc>
          <w:tcPr>
            <w:tcW w:w="2743" w:type="dxa"/>
            <w:tcMar>
              <w:left w:w="108" w:type="dxa"/>
              <w:right w:w="108" w:type="dxa"/>
            </w:tcMar>
            <w:vAlign w:val="bottom"/>
          </w:tcPr>
          <w:p w:rsidR="00000000" w:rsidRDefault="00000000">
            <w:r>
              <w:tab/>
              <w:t>Total</w:t>
            </w:r>
          </w:p>
        </w:tc>
        <w:tc>
          <w:tcPr>
            <w:tcW w:w="2440" w:type="dxa"/>
            <w:tcMar>
              <w:left w:w="108" w:type="dxa"/>
              <w:right w:w="108" w:type="dxa"/>
            </w:tcMar>
            <w:vAlign w:val="bottom"/>
          </w:tcPr>
          <w:p w:rsidR="00000000" w:rsidRDefault="00000000">
            <w:pPr>
              <w:tabs>
                <w:tab w:val="decimal" w:pos="1337"/>
              </w:tabs>
            </w:pPr>
            <w:r>
              <w:t>16</w:t>
            </w:r>
          </w:p>
        </w:tc>
        <w:tc>
          <w:tcPr>
            <w:tcW w:w="2440" w:type="dxa"/>
            <w:tcMar>
              <w:left w:w="108" w:type="dxa"/>
              <w:right w:w="108" w:type="dxa"/>
            </w:tcMar>
            <w:vAlign w:val="bottom"/>
          </w:tcPr>
          <w:p w:rsidR="00000000" w:rsidRDefault="00000000">
            <w:pPr>
              <w:tabs>
                <w:tab w:val="decimal" w:pos="1337"/>
              </w:tabs>
            </w:pPr>
            <w:r>
              <w:t>159</w:t>
            </w:r>
          </w:p>
        </w:tc>
      </w:tr>
    </w:tbl>
    <w:p w:rsidR="00000000" w:rsidRDefault="00000000">
      <w:pPr>
        <w:pStyle w:val="FootnoteText"/>
        <w:spacing w:before="200" w:after="480" w:line="240" w:lineRule="auto"/>
        <w:ind w:left="840"/>
      </w:pPr>
      <w:r>
        <w:rPr>
          <w:i/>
          <w:iCs/>
        </w:rPr>
        <w:t>Fuente</w:t>
      </w:r>
      <w:r>
        <w:t>:  Ministerio de Educación y Cultura (República Unida de Tanzanía), 2003.</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186.</w:t>
      </w:r>
      <w:r>
        <w:rPr>
          <w:spacing w:val="0"/>
          <w:w w:val="100"/>
          <w:kern w:val="0"/>
          <w:sz w:val="24"/>
        </w:rPr>
        <w:tab/>
        <w:t>Actualmente sólo existe una escuela de magisterio en la que se forman prof</w:t>
      </w:r>
      <w:r>
        <w:rPr>
          <w:spacing w:val="0"/>
          <w:w w:val="100"/>
          <w:kern w:val="0"/>
          <w:sz w:val="24"/>
        </w:rPr>
        <w:t>e</w:t>
      </w:r>
      <w:r>
        <w:rPr>
          <w:spacing w:val="0"/>
          <w:w w:val="100"/>
          <w:kern w:val="0"/>
          <w:sz w:val="24"/>
        </w:rPr>
        <w:t>sores para trabajar con niños con discapacidad.</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187.</w:t>
      </w:r>
      <w:r>
        <w:rPr>
          <w:spacing w:val="0"/>
          <w:w w:val="100"/>
          <w:kern w:val="0"/>
          <w:sz w:val="24"/>
        </w:rPr>
        <w:tab/>
        <w:t>La Asociación de personas con discapacidad de Zanzíbar tiene un programa de rehabilitación integral basado en la comunidad para apoyar a las personas con di</w:t>
      </w:r>
      <w:r>
        <w:rPr>
          <w:spacing w:val="0"/>
          <w:w w:val="100"/>
          <w:kern w:val="0"/>
          <w:sz w:val="24"/>
        </w:rPr>
        <w:t>s</w:t>
      </w:r>
      <w:r>
        <w:rPr>
          <w:spacing w:val="0"/>
          <w:w w:val="100"/>
          <w:kern w:val="0"/>
          <w:sz w:val="24"/>
        </w:rPr>
        <w:t>capacidad (especialmente niños).  Se trata de un programa experimental que se ej</w:t>
      </w:r>
      <w:r>
        <w:rPr>
          <w:spacing w:val="0"/>
          <w:w w:val="100"/>
          <w:kern w:val="0"/>
          <w:sz w:val="24"/>
        </w:rPr>
        <w:t>e</w:t>
      </w:r>
      <w:r>
        <w:rPr>
          <w:spacing w:val="0"/>
          <w:w w:val="100"/>
          <w:kern w:val="0"/>
          <w:sz w:val="24"/>
        </w:rPr>
        <w:t>cuta en dos distritos de Unguja y un distrito de Pemba.  La Asociación ha llevado a cabo un estudio para determinar la situación de los niños con discapacidad en Za</w:t>
      </w:r>
      <w:r>
        <w:rPr>
          <w:spacing w:val="0"/>
          <w:w w:val="100"/>
          <w:kern w:val="0"/>
          <w:sz w:val="24"/>
        </w:rPr>
        <w:t>n</w:t>
      </w:r>
      <w:r>
        <w:rPr>
          <w:spacing w:val="0"/>
          <w:w w:val="100"/>
          <w:kern w:val="0"/>
          <w:sz w:val="24"/>
        </w:rPr>
        <w:t>zíbar.  Actualmente 1.548 niños participan en el programa.  En el cuadro 11 se los clasifica por tipo de discapacidad.</w:t>
      </w:r>
    </w:p>
    <w:p w:rsidR="00000000" w:rsidRDefault="00000000">
      <w:pPr>
        <w:pStyle w:val="H23"/>
        <w:keepNext w:val="0"/>
        <w:keepLines w:val="0"/>
        <w:suppressAutoHyphens w:val="0"/>
        <w:spacing w:after="240" w:line="240" w:lineRule="auto"/>
        <w:jc w:val="center"/>
        <w:outlineLvl w:val="9"/>
        <w:rPr>
          <w:bCs/>
          <w:spacing w:val="0"/>
          <w:w w:val="100"/>
          <w:kern w:val="0"/>
          <w:sz w:val="24"/>
        </w:rPr>
      </w:pPr>
      <w:r>
        <w:rPr>
          <w:bCs/>
          <w:spacing w:val="0"/>
          <w:w w:val="100"/>
          <w:kern w:val="0"/>
          <w:sz w:val="24"/>
        </w:rPr>
        <w:t>Cuadro 11</w:t>
      </w:r>
    </w:p>
    <w:p w:rsidR="00000000" w:rsidRDefault="00000000">
      <w:pPr>
        <w:pStyle w:val="H23"/>
        <w:keepNext w:val="0"/>
        <w:keepLines w:val="0"/>
        <w:suppressAutoHyphens w:val="0"/>
        <w:spacing w:after="240" w:line="240" w:lineRule="auto"/>
        <w:jc w:val="center"/>
        <w:outlineLvl w:val="9"/>
        <w:rPr>
          <w:bCs/>
          <w:spacing w:val="0"/>
          <w:w w:val="100"/>
          <w:kern w:val="0"/>
          <w:sz w:val="24"/>
        </w:rPr>
      </w:pPr>
      <w:r>
        <w:rPr>
          <w:bCs/>
          <w:spacing w:val="0"/>
          <w:w w:val="100"/>
          <w:kern w:val="0"/>
          <w:sz w:val="24"/>
        </w:rPr>
        <w:t>Niños discapacitados clasificados por tipo de discapacidad. Zanzíbar</w:t>
      </w:r>
    </w:p>
    <w:tbl>
      <w:tblPr>
        <w:tblW w:w="0" w:type="auto"/>
        <w:tblInd w:w="1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240"/>
        <w:gridCol w:w="1530"/>
        <w:gridCol w:w="1350"/>
        <w:gridCol w:w="1200"/>
      </w:tblGrid>
      <w:tr w:rsidR="00000000">
        <w:tblPrEx>
          <w:tblCellMar>
            <w:top w:w="0" w:type="dxa"/>
            <w:left w:w="0" w:type="dxa"/>
            <w:bottom w:w="0" w:type="dxa"/>
            <w:right w:w="0" w:type="dxa"/>
          </w:tblCellMar>
        </w:tblPrEx>
        <w:trPr>
          <w:tblHeader/>
        </w:trPr>
        <w:tc>
          <w:tcPr>
            <w:tcW w:w="3240" w:type="dxa"/>
            <w:tcMar>
              <w:left w:w="108" w:type="dxa"/>
              <w:right w:w="108" w:type="dxa"/>
            </w:tcMar>
            <w:vAlign w:val="center"/>
          </w:tcPr>
          <w:p w:rsidR="00000000" w:rsidRDefault="00000000">
            <w:pPr>
              <w:jc w:val="center"/>
            </w:pPr>
            <w:r>
              <w:t>Tipo de discapacidad</w:t>
            </w:r>
          </w:p>
        </w:tc>
        <w:tc>
          <w:tcPr>
            <w:tcW w:w="1530" w:type="dxa"/>
            <w:tcMar>
              <w:left w:w="108" w:type="dxa"/>
              <w:right w:w="108" w:type="dxa"/>
            </w:tcMar>
            <w:vAlign w:val="center"/>
          </w:tcPr>
          <w:p w:rsidR="00000000" w:rsidRDefault="00000000">
            <w:pPr>
              <w:jc w:val="center"/>
            </w:pPr>
            <w:r>
              <w:t>Niños</w:t>
            </w:r>
          </w:p>
        </w:tc>
        <w:tc>
          <w:tcPr>
            <w:tcW w:w="1350" w:type="dxa"/>
            <w:tcMar>
              <w:left w:w="108" w:type="dxa"/>
              <w:right w:w="108" w:type="dxa"/>
            </w:tcMar>
            <w:vAlign w:val="center"/>
          </w:tcPr>
          <w:p w:rsidR="00000000" w:rsidRDefault="00000000">
            <w:pPr>
              <w:jc w:val="center"/>
            </w:pPr>
            <w:r>
              <w:t>Niñas</w:t>
            </w:r>
          </w:p>
        </w:tc>
        <w:tc>
          <w:tcPr>
            <w:tcW w:w="1200" w:type="dxa"/>
            <w:tcMar>
              <w:left w:w="108" w:type="dxa"/>
              <w:right w:w="108" w:type="dxa"/>
            </w:tcMar>
            <w:vAlign w:val="center"/>
          </w:tcPr>
          <w:p w:rsidR="00000000" w:rsidRDefault="00000000">
            <w:pPr>
              <w:jc w:val="center"/>
            </w:pPr>
            <w:r>
              <w:t>Total</w:t>
            </w:r>
          </w:p>
        </w:tc>
      </w:tr>
      <w:tr w:rsidR="00000000">
        <w:tblPrEx>
          <w:tblCellMar>
            <w:top w:w="0" w:type="dxa"/>
            <w:left w:w="0" w:type="dxa"/>
            <w:bottom w:w="0" w:type="dxa"/>
            <w:right w:w="0" w:type="dxa"/>
          </w:tblCellMar>
        </w:tblPrEx>
        <w:tc>
          <w:tcPr>
            <w:tcW w:w="3240" w:type="dxa"/>
            <w:tcMar>
              <w:left w:w="108" w:type="dxa"/>
              <w:right w:w="108" w:type="dxa"/>
            </w:tcMar>
            <w:vAlign w:val="bottom"/>
          </w:tcPr>
          <w:p w:rsidR="00000000" w:rsidRDefault="00000000">
            <w:r>
              <w:t>Problemas auditivos y orales</w:t>
            </w:r>
          </w:p>
        </w:tc>
        <w:tc>
          <w:tcPr>
            <w:tcW w:w="1530" w:type="dxa"/>
            <w:tcMar>
              <w:left w:w="108" w:type="dxa"/>
              <w:right w:w="108" w:type="dxa"/>
            </w:tcMar>
            <w:vAlign w:val="bottom"/>
          </w:tcPr>
          <w:p w:rsidR="00000000" w:rsidRDefault="00000000">
            <w:pPr>
              <w:tabs>
                <w:tab w:val="decimal" w:pos="892"/>
              </w:tabs>
            </w:pPr>
            <w:r>
              <w:t>139</w:t>
            </w:r>
          </w:p>
        </w:tc>
        <w:tc>
          <w:tcPr>
            <w:tcW w:w="1350" w:type="dxa"/>
            <w:tcMar>
              <w:left w:w="108" w:type="dxa"/>
              <w:right w:w="108" w:type="dxa"/>
            </w:tcMar>
            <w:vAlign w:val="bottom"/>
          </w:tcPr>
          <w:p w:rsidR="00000000" w:rsidRDefault="00000000">
            <w:pPr>
              <w:tabs>
                <w:tab w:val="decimal" w:pos="802"/>
              </w:tabs>
            </w:pPr>
            <w:r>
              <w:t>126</w:t>
            </w:r>
          </w:p>
        </w:tc>
        <w:tc>
          <w:tcPr>
            <w:tcW w:w="1200" w:type="dxa"/>
            <w:tcMar>
              <w:left w:w="108" w:type="dxa"/>
              <w:right w:w="108" w:type="dxa"/>
            </w:tcMar>
            <w:vAlign w:val="bottom"/>
          </w:tcPr>
          <w:p w:rsidR="00000000" w:rsidRDefault="00000000">
            <w:pPr>
              <w:tabs>
                <w:tab w:val="decimal" w:pos="652"/>
              </w:tabs>
            </w:pPr>
            <w:r>
              <w:t>265</w:t>
            </w:r>
          </w:p>
        </w:tc>
      </w:tr>
      <w:tr w:rsidR="00000000">
        <w:tblPrEx>
          <w:tblCellMar>
            <w:top w:w="0" w:type="dxa"/>
            <w:left w:w="0" w:type="dxa"/>
            <w:bottom w:w="0" w:type="dxa"/>
            <w:right w:w="0" w:type="dxa"/>
          </w:tblCellMar>
        </w:tblPrEx>
        <w:tc>
          <w:tcPr>
            <w:tcW w:w="3240" w:type="dxa"/>
            <w:tcMar>
              <w:left w:w="108" w:type="dxa"/>
              <w:right w:w="108" w:type="dxa"/>
            </w:tcMar>
            <w:vAlign w:val="bottom"/>
          </w:tcPr>
          <w:p w:rsidR="00000000" w:rsidRDefault="00000000">
            <w:r>
              <w:t>Discapacidad visual</w:t>
            </w:r>
          </w:p>
        </w:tc>
        <w:tc>
          <w:tcPr>
            <w:tcW w:w="1530" w:type="dxa"/>
            <w:tcMar>
              <w:left w:w="108" w:type="dxa"/>
              <w:right w:w="108" w:type="dxa"/>
            </w:tcMar>
            <w:vAlign w:val="bottom"/>
          </w:tcPr>
          <w:p w:rsidR="00000000" w:rsidRDefault="00000000">
            <w:pPr>
              <w:tabs>
                <w:tab w:val="decimal" w:pos="892"/>
              </w:tabs>
            </w:pPr>
            <w:r>
              <w:t>30</w:t>
            </w:r>
          </w:p>
        </w:tc>
        <w:tc>
          <w:tcPr>
            <w:tcW w:w="1350" w:type="dxa"/>
            <w:tcMar>
              <w:left w:w="108" w:type="dxa"/>
              <w:right w:w="108" w:type="dxa"/>
            </w:tcMar>
            <w:vAlign w:val="bottom"/>
          </w:tcPr>
          <w:p w:rsidR="00000000" w:rsidRDefault="00000000">
            <w:pPr>
              <w:tabs>
                <w:tab w:val="decimal" w:pos="802"/>
              </w:tabs>
            </w:pPr>
            <w:r>
              <w:t>32</w:t>
            </w:r>
          </w:p>
        </w:tc>
        <w:tc>
          <w:tcPr>
            <w:tcW w:w="1200" w:type="dxa"/>
            <w:tcMar>
              <w:left w:w="108" w:type="dxa"/>
              <w:right w:w="108" w:type="dxa"/>
            </w:tcMar>
            <w:vAlign w:val="bottom"/>
          </w:tcPr>
          <w:p w:rsidR="00000000" w:rsidRDefault="00000000">
            <w:pPr>
              <w:tabs>
                <w:tab w:val="decimal" w:pos="652"/>
              </w:tabs>
            </w:pPr>
            <w:r>
              <w:t>62</w:t>
            </w:r>
          </w:p>
        </w:tc>
      </w:tr>
      <w:tr w:rsidR="00000000">
        <w:tblPrEx>
          <w:tblCellMar>
            <w:top w:w="0" w:type="dxa"/>
            <w:left w:w="0" w:type="dxa"/>
            <w:bottom w:w="0" w:type="dxa"/>
            <w:right w:w="0" w:type="dxa"/>
          </w:tblCellMar>
        </w:tblPrEx>
        <w:tc>
          <w:tcPr>
            <w:tcW w:w="3240" w:type="dxa"/>
            <w:tcMar>
              <w:left w:w="108" w:type="dxa"/>
              <w:right w:w="108" w:type="dxa"/>
            </w:tcMar>
            <w:vAlign w:val="bottom"/>
          </w:tcPr>
          <w:p w:rsidR="00000000" w:rsidRDefault="00000000">
            <w:r>
              <w:t>Epilepsia</w:t>
            </w:r>
          </w:p>
        </w:tc>
        <w:tc>
          <w:tcPr>
            <w:tcW w:w="1530" w:type="dxa"/>
            <w:tcMar>
              <w:left w:w="108" w:type="dxa"/>
              <w:right w:w="108" w:type="dxa"/>
            </w:tcMar>
            <w:vAlign w:val="bottom"/>
          </w:tcPr>
          <w:p w:rsidR="00000000" w:rsidRDefault="00000000">
            <w:pPr>
              <w:tabs>
                <w:tab w:val="decimal" w:pos="892"/>
              </w:tabs>
            </w:pPr>
            <w:r>
              <w:t>47</w:t>
            </w:r>
          </w:p>
        </w:tc>
        <w:tc>
          <w:tcPr>
            <w:tcW w:w="1350" w:type="dxa"/>
            <w:tcMar>
              <w:left w:w="108" w:type="dxa"/>
              <w:right w:w="108" w:type="dxa"/>
            </w:tcMar>
            <w:vAlign w:val="bottom"/>
          </w:tcPr>
          <w:p w:rsidR="00000000" w:rsidRDefault="00000000">
            <w:pPr>
              <w:tabs>
                <w:tab w:val="decimal" w:pos="802"/>
              </w:tabs>
            </w:pPr>
            <w:r>
              <w:t>41</w:t>
            </w:r>
          </w:p>
        </w:tc>
        <w:tc>
          <w:tcPr>
            <w:tcW w:w="1200" w:type="dxa"/>
            <w:tcMar>
              <w:left w:w="108" w:type="dxa"/>
              <w:right w:w="108" w:type="dxa"/>
            </w:tcMar>
            <w:vAlign w:val="bottom"/>
          </w:tcPr>
          <w:p w:rsidR="00000000" w:rsidRDefault="00000000">
            <w:pPr>
              <w:tabs>
                <w:tab w:val="decimal" w:pos="652"/>
              </w:tabs>
            </w:pPr>
            <w:r>
              <w:t>88</w:t>
            </w:r>
          </w:p>
        </w:tc>
      </w:tr>
      <w:tr w:rsidR="00000000">
        <w:tblPrEx>
          <w:tblCellMar>
            <w:top w:w="0" w:type="dxa"/>
            <w:left w:w="0" w:type="dxa"/>
            <w:bottom w:w="0" w:type="dxa"/>
            <w:right w:w="0" w:type="dxa"/>
          </w:tblCellMar>
        </w:tblPrEx>
        <w:tc>
          <w:tcPr>
            <w:tcW w:w="3240" w:type="dxa"/>
            <w:tcMar>
              <w:left w:w="108" w:type="dxa"/>
              <w:right w:w="108" w:type="dxa"/>
            </w:tcMar>
            <w:vAlign w:val="bottom"/>
          </w:tcPr>
          <w:p w:rsidR="00000000" w:rsidRDefault="00000000">
            <w:r>
              <w:t>Albinos</w:t>
            </w:r>
          </w:p>
        </w:tc>
        <w:tc>
          <w:tcPr>
            <w:tcW w:w="1530" w:type="dxa"/>
            <w:tcMar>
              <w:left w:w="108" w:type="dxa"/>
              <w:right w:w="108" w:type="dxa"/>
            </w:tcMar>
            <w:vAlign w:val="bottom"/>
          </w:tcPr>
          <w:p w:rsidR="00000000" w:rsidRDefault="00000000">
            <w:pPr>
              <w:tabs>
                <w:tab w:val="decimal" w:pos="892"/>
              </w:tabs>
            </w:pPr>
            <w:r>
              <w:t>21</w:t>
            </w:r>
          </w:p>
        </w:tc>
        <w:tc>
          <w:tcPr>
            <w:tcW w:w="1350" w:type="dxa"/>
            <w:tcMar>
              <w:left w:w="108" w:type="dxa"/>
              <w:right w:w="108" w:type="dxa"/>
            </w:tcMar>
            <w:vAlign w:val="bottom"/>
          </w:tcPr>
          <w:p w:rsidR="00000000" w:rsidRDefault="00000000">
            <w:pPr>
              <w:tabs>
                <w:tab w:val="decimal" w:pos="802"/>
              </w:tabs>
            </w:pPr>
            <w:r>
              <w:t>21</w:t>
            </w:r>
          </w:p>
        </w:tc>
        <w:tc>
          <w:tcPr>
            <w:tcW w:w="1200" w:type="dxa"/>
            <w:tcMar>
              <w:left w:w="108" w:type="dxa"/>
              <w:right w:w="108" w:type="dxa"/>
            </w:tcMar>
            <w:vAlign w:val="bottom"/>
          </w:tcPr>
          <w:p w:rsidR="00000000" w:rsidRDefault="00000000">
            <w:pPr>
              <w:tabs>
                <w:tab w:val="decimal" w:pos="652"/>
              </w:tabs>
            </w:pPr>
            <w:r>
              <w:t>42</w:t>
            </w:r>
          </w:p>
        </w:tc>
      </w:tr>
      <w:tr w:rsidR="00000000">
        <w:tblPrEx>
          <w:tblCellMar>
            <w:top w:w="0" w:type="dxa"/>
            <w:left w:w="0" w:type="dxa"/>
            <w:bottom w:w="0" w:type="dxa"/>
            <w:right w:w="0" w:type="dxa"/>
          </w:tblCellMar>
        </w:tblPrEx>
        <w:tc>
          <w:tcPr>
            <w:tcW w:w="3240" w:type="dxa"/>
            <w:tcMar>
              <w:left w:w="108" w:type="dxa"/>
              <w:right w:w="108" w:type="dxa"/>
            </w:tcMar>
            <w:vAlign w:val="bottom"/>
          </w:tcPr>
          <w:p w:rsidR="00000000" w:rsidRDefault="00000000">
            <w:r>
              <w:t>Discapacidad mental</w:t>
            </w:r>
          </w:p>
        </w:tc>
        <w:tc>
          <w:tcPr>
            <w:tcW w:w="1530" w:type="dxa"/>
            <w:tcMar>
              <w:left w:w="108" w:type="dxa"/>
              <w:right w:w="108" w:type="dxa"/>
            </w:tcMar>
            <w:vAlign w:val="bottom"/>
          </w:tcPr>
          <w:p w:rsidR="00000000" w:rsidRDefault="00000000">
            <w:pPr>
              <w:tabs>
                <w:tab w:val="decimal" w:pos="892"/>
              </w:tabs>
            </w:pPr>
            <w:r>
              <w:t>101</w:t>
            </w:r>
          </w:p>
        </w:tc>
        <w:tc>
          <w:tcPr>
            <w:tcW w:w="1350" w:type="dxa"/>
            <w:tcMar>
              <w:left w:w="108" w:type="dxa"/>
              <w:right w:w="108" w:type="dxa"/>
            </w:tcMar>
            <w:vAlign w:val="bottom"/>
          </w:tcPr>
          <w:p w:rsidR="00000000" w:rsidRDefault="00000000">
            <w:pPr>
              <w:tabs>
                <w:tab w:val="decimal" w:pos="802"/>
              </w:tabs>
            </w:pPr>
            <w:r>
              <w:t>76</w:t>
            </w:r>
          </w:p>
        </w:tc>
        <w:tc>
          <w:tcPr>
            <w:tcW w:w="1200" w:type="dxa"/>
            <w:tcMar>
              <w:left w:w="108" w:type="dxa"/>
              <w:right w:w="108" w:type="dxa"/>
            </w:tcMar>
            <w:vAlign w:val="bottom"/>
          </w:tcPr>
          <w:p w:rsidR="00000000" w:rsidRDefault="00000000">
            <w:pPr>
              <w:tabs>
                <w:tab w:val="decimal" w:pos="652"/>
              </w:tabs>
            </w:pPr>
            <w:r>
              <w:t>177</w:t>
            </w:r>
          </w:p>
        </w:tc>
      </w:tr>
      <w:tr w:rsidR="00000000">
        <w:tblPrEx>
          <w:tblCellMar>
            <w:top w:w="0" w:type="dxa"/>
            <w:left w:w="0" w:type="dxa"/>
            <w:bottom w:w="0" w:type="dxa"/>
            <w:right w:w="0" w:type="dxa"/>
          </w:tblCellMar>
        </w:tblPrEx>
        <w:tc>
          <w:tcPr>
            <w:tcW w:w="3240" w:type="dxa"/>
            <w:tcMar>
              <w:left w:w="108" w:type="dxa"/>
              <w:right w:w="108" w:type="dxa"/>
            </w:tcMar>
            <w:vAlign w:val="bottom"/>
          </w:tcPr>
          <w:p w:rsidR="00000000" w:rsidRDefault="00000000">
            <w:r>
              <w:t>Discapacidad física</w:t>
            </w:r>
          </w:p>
        </w:tc>
        <w:tc>
          <w:tcPr>
            <w:tcW w:w="1530" w:type="dxa"/>
            <w:tcMar>
              <w:left w:w="108" w:type="dxa"/>
              <w:right w:w="108" w:type="dxa"/>
            </w:tcMar>
            <w:vAlign w:val="bottom"/>
          </w:tcPr>
          <w:p w:rsidR="00000000" w:rsidRDefault="00000000">
            <w:pPr>
              <w:tabs>
                <w:tab w:val="decimal" w:pos="892"/>
              </w:tabs>
            </w:pPr>
            <w:r>
              <w:t>250</w:t>
            </w:r>
          </w:p>
        </w:tc>
        <w:tc>
          <w:tcPr>
            <w:tcW w:w="1350" w:type="dxa"/>
            <w:tcMar>
              <w:left w:w="108" w:type="dxa"/>
              <w:right w:w="108" w:type="dxa"/>
            </w:tcMar>
            <w:vAlign w:val="bottom"/>
          </w:tcPr>
          <w:p w:rsidR="00000000" w:rsidRDefault="00000000">
            <w:pPr>
              <w:tabs>
                <w:tab w:val="decimal" w:pos="802"/>
              </w:tabs>
            </w:pPr>
            <w:r>
              <w:t>200</w:t>
            </w:r>
          </w:p>
        </w:tc>
        <w:tc>
          <w:tcPr>
            <w:tcW w:w="1200" w:type="dxa"/>
            <w:tcMar>
              <w:left w:w="108" w:type="dxa"/>
              <w:right w:w="108" w:type="dxa"/>
            </w:tcMar>
            <w:vAlign w:val="bottom"/>
          </w:tcPr>
          <w:p w:rsidR="00000000" w:rsidRDefault="00000000">
            <w:pPr>
              <w:tabs>
                <w:tab w:val="decimal" w:pos="652"/>
              </w:tabs>
            </w:pPr>
            <w:r>
              <w:t>450</w:t>
            </w:r>
          </w:p>
        </w:tc>
      </w:tr>
      <w:tr w:rsidR="00000000">
        <w:tblPrEx>
          <w:tblCellMar>
            <w:top w:w="0" w:type="dxa"/>
            <w:left w:w="0" w:type="dxa"/>
            <w:bottom w:w="0" w:type="dxa"/>
            <w:right w:w="0" w:type="dxa"/>
          </w:tblCellMar>
        </w:tblPrEx>
        <w:tc>
          <w:tcPr>
            <w:tcW w:w="3240" w:type="dxa"/>
            <w:tcMar>
              <w:left w:w="108" w:type="dxa"/>
              <w:right w:w="108" w:type="dxa"/>
            </w:tcMar>
            <w:vAlign w:val="bottom"/>
          </w:tcPr>
          <w:p w:rsidR="00000000" w:rsidRDefault="00000000">
            <w:r>
              <w:t>Discapacidad múltiple</w:t>
            </w:r>
          </w:p>
        </w:tc>
        <w:tc>
          <w:tcPr>
            <w:tcW w:w="1530" w:type="dxa"/>
            <w:tcMar>
              <w:left w:w="108" w:type="dxa"/>
              <w:right w:w="108" w:type="dxa"/>
            </w:tcMar>
            <w:vAlign w:val="bottom"/>
          </w:tcPr>
          <w:p w:rsidR="00000000" w:rsidRDefault="00000000">
            <w:pPr>
              <w:tabs>
                <w:tab w:val="decimal" w:pos="892"/>
              </w:tabs>
            </w:pPr>
            <w:r>
              <w:t>203</w:t>
            </w:r>
          </w:p>
        </w:tc>
        <w:tc>
          <w:tcPr>
            <w:tcW w:w="1350" w:type="dxa"/>
            <w:tcMar>
              <w:left w:w="108" w:type="dxa"/>
              <w:right w:w="108" w:type="dxa"/>
            </w:tcMar>
            <w:vAlign w:val="bottom"/>
          </w:tcPr>
          <w:p w:rsidR="00000000" w:rsidRDefault="00000000">
            <w:pPr>
              <w:tabs>
                <w:tab w:val="decimal" w:pos="802"/>
              </w:tabs>
            </w:pPr>
            <w:r>
              <w:t>164</w:t>
            </w:r>
          </w:p>
        </w:tc>
        <w:tc>
          <w:tcPr>
            <w:tcW w:w="1200" w:type="dxa"/>
            <w:tcMar>
              <w:left w:w="108" w:type="dxa"/>
              <w:right w:w="108" w:type="dxa"/>
            </w:tcMar>
            <w:vAlign w:val="bottom"/>
          </w:tcPr>
          <w:p w:rsidR="00000000" w:rsidRDefault="00000000">
            <w:pPr>
              <w:tabs>
                <w:tab w:val="decimal" w:pos="652"/>
              </w:tabs>
            </w:pPr>
            <w:r>
              <w:t>367</w:t>
            </w:r>
          </w:p>
        </w:tc>
      </w:tr>
      <w:tr w:rsidR="00000000">
        <w:tblPrEx>
          <w:tblCellMar>
            <w:top w:w="0" w:type="dxa"/>
            <w:left w:w="0" w:type="dxa"/>
            <w:bottom w:w="0" w:type="dxa"/>
            <w:right w:w="0" w:type="dxa"/>
          </w:tblCellMar>
        </w:tblPrEx>
        <w:tc>
          <w:tcPr>
            <w:tcW w:w="3240" w:type="dxa"/>
            <w:tcMar>
              <w:left w:w="108" w:type="dxa"/>
              <w:right w:w="108" w:type="dxa"/>
            </w:tcMar>
            <w:vAlign w:val="bottom"/>
          </w:tcPr>
          <w:p w:rsidR="00000000" w:rsidRDefault="00000000">
            <w:r>
              <w:t>Hidrocefalia</w:t>
            </w:r>
          </w:p>
        </w:tc>
        <w:tc>
          <w:tcPr>
            <w:tcW w:w="1530" w:type="dxa"/>
            <w:tcMar>
              <w:left w:w="108" w:type="dxa"/>
              <w:right w:w="108" w:type="dxa"/>
            </w:tcMar>
            <w:vAlign w:val="bottom"/>
          </w:tcPr>
          <w:p w:rsidR="00000000" w:rsidRDefault="00000000">
            <w:pPr>
              <w:tabs>
                <w:tab w:val="decimal" w:pos="892"/>
              </w:tabs>
            </w:pPr>
            <w:r>
              <w:t>31</w:t>
            </w:r>
          </w:p>
        </w:tc>
        <w:tc>
          <w:tcPr>
            <w:tcW w:w="1350" w:type="dxa"/>
            <w:tcMar>
              <w:left w:w="108" w:type="dxa"/>
              <w:right w:w="108" w:type="dxa"/>
            </w:tcMar>
            <w:vAlign w:val="bottom"/>
          </w:tcPr>
          <w:p w:rsidR="00000000" w:rsidRDefault="00000000">
            <w:pPr>
              <w:tabs>
                <w:tab w:val="decimal" w:pos="802"/>
              </w:tabs>
            </w:pPr>
            <w:r>
              <w:t>12</w:t>
            </w:r>
          </w:p>
        </w:tc>
        <w:tc>
          <w:tcPr>
            <w:tcW w:w="1200" w:type="dxa"/>
            <w:tcMar>
              <w:left w:w="108" w:type="dxa"/>
              <w:right w:w="108" w:type="dxa"/>
            </w:tcMar>
            <w:vAlign w:val="bottom"/>
          </w:tcPr>
          <w:p w:rsidR="00000000" w:rsidRDefault="00000000">
            <w:pPr>
              <w:tabs>
                <w:tab w:val="decimal" w:pos="652"/>
              </w:tabs>
            </w:pPr>
            <w:r>
              <w:t>43</w:t>
            </w:r>
          </w:p>
        </w:tc>
      </w:tr>
      <w:tr w:rsidR="00000000">
        <w:tblPrEx>
          <w:tblCellMar>
            <w:top w:w="0" w:type="dxa"/>
            <w:left w:w="0" w:type="dxa"/>
            <w:bottom w:w="0" w:type="dxa"/>
            <w:right w:w="0" w:type="dxa"/>
          </w:tblCellMar>
        </w:tblPrEx>
        <w:tc>
          <w:tcPr>
            <w:tcW w:w="3240" w:type="dxa"/>
            <w:tcMar>
              <w:left w:w="108" w:type="dxa"/>
              <w:right w:w="108" w:type="dxa"/>
            </w:tcMar>
            <w:vAlign w:val="bottom"/>
          </w:tcPr>
          <w:p w:rsidR="00000000" w:rsidRDefault="00000000">
            <w:r>
              <w:t>Otros</w:t>
            </w:r>
          </w:p>
        </w:tc>
        <w:tc>
          <w:tcPr>
            <w:tcW w:w="1530" w:type="dxa"/>
            <w:tcMar>
              <w:left w:w="108" w:type="dxa"/>
              <w:right w:w="108" w:type="dxa"/>
            </w:tcMar>
            <w:vAlign w:val="bottom"/>
          </w:tcPr>
          <w:p w:rsidR="00000000" w:rsidRDefault="00000000">
            <w:pPr>
              <w:tabs>
                <w:tab w:val="decimal" w:pos="892"/>
              </w:tabs>
            </w:pPr>
            <w:r>
              <w:t>26</w:t>
            </w:r>
          </w:p>
        </w:tc>
        <w:tc>
          <w:tcPr>
            <w:tcW w:w="1350" w:type="dxa"/>
            <w:tcMar>
              <w:left w:w="108" w:type="dxa"/>
              <w:right w:w="108" w:type="dxa"/>
            </w:tcMar>
            <w:vAlign w:val="bottom"/>
          </w:tcPr>
          <w:p w:rsidR="00000000" w:rsidRDefault="00000000">
            <w:pPr>
              <w:tabs>
                <w:tab w:val="decimal" w:pos="802"/>
              </w:tabs>
            </w:pPr>
            <w:r>
              <w:t>28</w:t>
            </w:r>
          </w:p>
        </w:tc>
        <w:tc>
          <w:tcPr>
            <w:tcW w:w="1200" w:type="dxa"/>
            <w:tcMar>
              <w:left w:w="108" w:type="dxa"/>
              <w:right w:w="108" w:type="dxa"/>
            </w:tcMar>
            <w:vAlign w:val="bottom"/>
          </w:tcPr>
          <w:p w:rsidR="00000000" w:rsidRDefault="00000000">
            <w:pPr>
              <w:tabs>
                <w:tab w:val="decimal" w:pos="652"/>
              </w:tabs>
            </w:pPr>
            <w:r>
              <w:t>54</w:t>
            </w:r>
          </w:p>
        </w:tc>
      </w:tr>
      <w:tr w:rsidR="00000000">
        <w:tblPrEx>
          <w:tblCellMar>
            <w:top w:w="0" w:type="dxa"/>
            <w:left w:w="0" w:type="dxa"/>
            <w:bottom w:w="0" w:type="dxa"/>
            <w:right w:w="0" w:type="dxa"/>
          </w:tblCellMar>
        </w:tblPrEx>
        <w:tc>
          <w:tcPr>
            <w:tcW w:w="3240" w:type="dxa"/>
            <w:tcMar>
              <w:left w:w="108" w:type="dxa"/>
              <w:right w:w="108" w:type="dxa"/>
            </w:tcMar>
            <w:vAlign w:val="bottom"/>
          </w:tcPr>
          <w:p w:rsidR="00000000" w:rsidRDefault="00000000">
            <w:r>
              <w:tab/>
              <w:t>Total</w:t>
            </w:r>
          </w:p>
        </w:tc>
        <w:tc>
          <w:tcPr>
            <w:tcW w:w="1530" w:type="dxa"/>
            <w:tcMar>
              <w:left w:w="108" w:type="dxa"/>
              <w:right w:w="108" w:type="dxa"/>
            </w:tcMar>
            <w:vAlign w:val="bottom"/>
          </w:tcPr>
          <w:p w:rsidR="00000000" w:rsidRDefault="00000000">
            <w:pPr>
              <w:tabs>
                <w:tab w:val="decimal" w:pos="892"/>
              </w:tabs>
            </w:pPr>
            <w:r>
              <w:t>848</w:t>
            </w:r>
          </w:p>
        </w:tc>
        <w:tc>
          <w:tcPr>
            <w:tcW w:w="1350" w:type="dxa"/>
            <w:tcMar>
              <w:left w:w="108" w:type="dxa"/>
              <w:right w:w="108" w:type="dxa"/>
            </w:tcMar>
            <w:vAlign w:val="bottom"/>
          </w:tcPr>
          <w:p w:rsidR="00000000" w:rsidRDefault="00000000">
            <w:pPr>
              <w:tabs>
                <w:tab w:val="decimal" w:pos="802"/>
              </w:tabs>
            </w:pPr>
            <w:r>
              <w:t>700</w:t>
            </w:r>
          </w:p>
        </w:tc>
        <w:tc>
          <w:tcPr>
            <w:tcW w:w="1200" w:type="dxa"/>
            <w:tcMar>
              <w:left w:w="108" w:type="dxa"/>
              <w:right w:w="108" w:type="dxa"/>
            </w:tcMar>
            <w:vAlign w:val="bottom"/>
          </w:tcPr>
          <w:p w:rsidR="00000000" w:rsidRDefault="00000000">
            <w:pPr>
              <w:tabs>
                <w:tab w:val="decimal" w:pos="652"/>
              </w:tabs>
            </w:pPr>
            <w:r>
              <w:t>1.548</w:t>
            </w:r>
          </w:p>
        </w:tc>
      </w:tr>
    </w:tbl>
    <w:p w:rsidR="00000000" w:rsidRDefault="00000000">
      <w:pPr>
        <w:pStyle w:val="FootnoteText"/>
        <w:spacing w:before="200" w:after="480" w:line="240" w:lineRule="auto"/>
        <w:ind w:left="1202"/>
      </w:pPr>
      <w:r>
        <w:rPr>
          <w:i/>
          <w:iCs/>
        </w:rPr>
        <w:t>Fuente</w:t>
      </w:r>
      <w:r>
        <w:t>:  Asociación de personas con discapacidad de Zanzíbar.</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188.</w:t>
      </w:r>
      <w:r>
        <w:rPr>
          <w:spacing w:val="0"/>
          <w:w w:val="100"/>
          <w:kern w:val="0"/>
          <w:sz w:val="24"/>
        </w:rPr>
        <w:tab/>
        <w:t>Otras ONG que trabajan con personas con discapacidad son la Asociación n</w:t>
      </w:r>
      <w:r>
        <w:rPr>
          <w:spacing w:val="0"/>
          <w:w w:val="100"/>
          <w:kern w:val="0"/>
          <w:sz w:val="24"/>
        </w:rPr>
        <w:t>a</w:t>
      </w:r>
      <w:r>
        <w:rPr>
          <w:spacing w:val="0"/>
          <w:w w:val="100"/>
          <w:kern w:val="0"/>
          <w:sz w:val="24"/>
        </w:rPr>
        <w:t>cional de ciegos de Zanzíbar y la Asociación de padres de niños con discapacidad mental de Zanzíbar.</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189.</w:t>
      </w:r>
      <w:r>
        <w:rPr>
          <w:spacing w:val="0"/>
          <w:w w:val="100"/>
          <w:kern w:val="0"/>
          <w:sz w:val="24"/>
        </w:rPr>
        <w:tab/>
        <w:t>El estudio llevado a cabo en 1998 en el marco del programa de rehabilitación basado en la comunidad indicó que el 50% de la población tiene menos de 15 años.  Se calcula que hay 3.000 niños con discapacidad.  Otro estudio realizado por la As</w:t>
      </w:r>
      <w:r>
        <w:rPr>
          <w:spacing w:val="0"/>
          <w:w w:val="100"/>
          <w:kern w:val="0"/>
          <w:sz w:val="24"/>
        </w:rPr>
        <w:t>o</w:t>
      </w:r>
      <w:r>
        <w:rPr>
          <w:spacing w:val="0"/>
          <w:w w:val="100"/>
          <w:kern w:val="0"/>
          <w:sz w:val="24"/>
        </w:rPr>
        <w:t>ciación nacional de ciegos de Zanzíbar en un distrito solamente mostró que unas 1.003 personas de un total de 4.000 sufrían discapacidad.  De esas, el 60% tenía m</w:t>
      </w:r>
      <w:r>
        <w:rPr>
          <w:spacing w:val="0"/>
          <w:w w:val="100"/>
          <w:kern w:val="0"/>
          <w:sz w:val="24"/>
        </w:rPr>
        <w:t>e</w:t>
      </w:r>
      <w:r>
        <w:rPr>
          <w:spacing w:val="0"/>
          <w:w w:val="100"/>
          <w:kern w:val="0"/>
          <w:sz w:val="24"/>
        </w:rPr>
        <w:t>nos de 19 años.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190.</w:t>
      </w:r>
      <w:r>
        <w:rPr>
          <w:spacing w:val="0"/>
          <w:w w:val="100"/>
          <w:kern w:val="0"/>
          <w:sz w:val="24"/>
        </w:rPr>
        <w:tab/>
        <w:t>El Gobierno de Zanzíbar, en colaboración con la Asociación de personas con discapacidad de Zanzíbar, ha creado tres centros de formación profesional para pe</w:t>
      </w:r>
      <w:r>
        <w:rPr>
          <w:spacing w:val="0"/>
          <w:w w:val="100"/>
          <w:kern w:val="0"/>
          <w:sz w:val="24"/>
        </w:rPr>
        <w:t>r</w:t>
      </w:r>
      <w:r>
        <w:rPr>
          <w:spacing w:val="0"/>
          <w:w w:val="100"/>
          <w:kern w:val="0"/>
          <w:sz w:val="24"/>
        </w:rPr>
        <w:t>sonas con discapacidad.  Hasta el momento, se ha capacitado a 27 personas, 12 ho</w:t>
      </w:r>
      <w:r>
        <w:rPr>
          <w:spacing w:val="0"/>
          <w:w w:val="100"/>
          <w:kern w:val="0"/>
          <w:sz w:val="24"/>
        </w:rPr>
        <w:t>m</w:t>
      </w:r>
      <w:r>
        <w:rPr>
          <w:spacing w:val="0"/>
          <w:w w:val="100"/>
          <w:kern w:val="0"/>
          <w:sz w:val="24"/>
        </w:rPr>
        <w:t>bres y 15 mujeres.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191.</w:t>
      </w:r>
      <w:r>
        <w:rPr>
          <w:spacing w:val="0"/>
          <w:w w:val="100"/>
          <w:kern w:val="0"/>
          <w:sz w:val="24"/>
        </w:rPr>
        <w:tab/>
        <w:t>La Asociación de personas con discapacidad de Zanzíbar cuenta con 65 volu</w:t>
      </w:r>
      <w:r>
        <w:rPr>
          <w:spacing w:val="0"/>
          <w:w w:val="100"/>
          <w:kern w:val="0"/>
          <w:sz w:val="24"/>
        </w:rPr>
        <w:t>n</w:t>
      </w:r>
      <w:r>
        <w:rPr>
          <w:spacing w:val="0"/>
          <w:w w:val="100"/>
          <w:kern w:val="0"/>
          <w:sz w:val="24"/>
        </w:rPr>
        <w:t>tarios, que han recibido capacitación, en dos distritos (el distrito septentrional A y el central), 65 parteras tradicionales capacitadas y 20 curanderos tradicionales capac</w:t>
      </w:r>
      <w:r>
        <w:rPr>
          <w:spacing w:val="0"/>
          <w:w w:val="100"/>
          <w:kern w:val="0"/>
          <w:sz w:val="24"/>
        </w:rPr>
        <w:t>i</w:t>
      </w:r>
      <w:r>
        <w:rPr>
          <w:spacing w:val="0"/>
          <w:w w:val="100"/>
          <w:kern w:val="0"/>
          <w:sz w:val="24"/>
        </w:rPr>
        <w:t>tados en cuatro distritos.  Esos asesores de la comunidad trabajan para detectar tipos comunes de disc</w:t>
      </w:r>
      <w:r>
        <w:rPr>
          <w:spacing w:val="0"/>
          <w:w w:val="100"/>
          <w:kern w:val="0"/>
          <w:sz w:val="24"/>
        </w:rPr>
        <w:t>a</w:t>
      </w:r>
      <w:r>
        <w:rPr>
          <w:spacing w:val="0"/>
          <w:w w:val="100"/>
          <w:kern w:val="0"/>
          <w:sz w:val="24"/>
        </w:rPr>
        <w:t>pacidad en la infancia.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192.</w:t>
      </w:r>
      <w:r>
        <w:rPr>
          <w:spacing w:val="0"/>
          <w:w w:val="100"/>
          <w:kern w:val="0"/>
          <w:sz w:val="24"/>
        </w:rPr>
        <w:tab/>
        <w:t>El hospital público Mnazi Mmoja, que recibe casos derivados de otros centros de salud, ha iniciado un servicio de malformaciones congénitas, en que ha ofrecido trat</w:t>
      </w:r>
      <w:r>
        <w:rPr>
          <w:spacing w:val="0"/>
          <w:w w:val="100"/>
          <w:kern w:val="0"/>
          <w:sz w:val="24"/>
        </w:rPr>
        <w:t>a</w:t>
      </w:r>
      <w:r>
        <w:rPr>
          <w:spacing w:val="0"/>
          <w:w w:val="100"/>
          <w:kern w:val="0"/>
          <w:sz w:val="24"/>
        </w:rPr>
        <w:t>miento médico y quirúrgico a 41 personas con discapacidad (25 hombres y 16 mujeres).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193.</w:t>
      </w:r>
      <w:r>
        <w:rPr>
          <w:spacing w:val="0"/>
          <w:w w:val="100"/>
          <w:kern w:val="0"/>
          <w:sz w:val="24"/>
        </w:rPr>
        <w:tab/>
        <w:t>El Gobierno de Zanzíbar, por conducto del Ministerio de Educación, Cultura y Deportes y en colaboración con la Asociación de personas con discapacidad de Za</w:t>
      </w:r>
      <w:r>
        <w:rPr>
          <w:spacing w:val="0"/>
          <w:w w:val="100"/>
          <w:kern w:val="0"/>
          <w:sz w:val="24"/>
        </w:rPr>
        <w:t>n</w:t>
      </w:r>
      <w:r>
        <w:rPr>
          <w:spacing w:val="0"/>
          <w:w w:val="100"/>
          <w:kern w:val="0"/>
          <w:sz w:val="24"/>
        </w:rPr>
        <w:t>zíbar, ha iniciado un programa de educación integradora que tiene como objetivo i</w:t>
      </w:r>
      <w:r>
        <w:rPr>
          <w:spacing w:val="0"/>
          <w:w w:val="100"/>
          <w:kern w:val="0"/>
          <w:sz w:val="24"/>
        </w:rPr>
        <w:t>n</w:t>
      </w:r>
      <w:r>
        <w:rPr>
          <w:spacing w:val="0"/>
          <w:w w:val="100"/>
          <w:kern w:val="0"/>
          <w:sz w:val="24"/>
        </w:rPr>
        <w:t>corporar a los niños con discapacidad en las clases normales.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194.</w:t>
      </w:r>
      <w:r>
        <w:rPr>
          <w:spacing w:val="0"/>
          <w:w w:val="100"/>
          <w:kern w:val="0"/>
          <w:sz w:val="24"/>
        </w:rPr>
        <w:tab/>
        <w:t>La Asociación de personas con discapacidad de Zanzíbar, con el apoyo del S</w:t>
      </w:r>
      <w:r>
        <w:rPr>
          <w:spacing w:val="0"/>
          <w:w w:val="100"/>
          <w:kern w:val="0"/>
          <w:sz w:val="24"/>
        </w:rPr>
        <w:t>a</w:t>
      </w:r>
      <w:r>
        <w:rPr>
          <w:spacing w:val="0"/>
          <w:w w:val="100"/>
          <w:kern w:val="0"/>
          <w:sz w:val="24"/>
        </w:rPr>
        <w:t>ve the Children Fund, está mejorando los sistemas de rehabilitación basados en la comunidad, a fin de ayudar a las personas con discapacidad a ser independientes.</w:t>
      </w:r>
    </w:p>
    <w:p w:rsidR="00000000" w:rsidRDefault="00000000">
      <w:pPr>
        <w:pStyle w:val="H23"/>
        <w:keepNext w:val="0"/>
        <w:keepLines w:val="0"/>
        <w:suppressAutoHyphens w:val="0"/>
        <w:spacing w:after="240" w:line="240" w:lineRule="auto"/>
        <w:outlineLvl w:val="9"/>
        <w:rPr>
          <w:bCs/>
          <w:spacing w:val="0"/>
          <w:w w:val="100"/>
          <w:kern w:val="0"/>
          <w:sz w:val="24"/>
        </w:rPr>
      </w:pPr>
      <w:r>
        <w:rPr>
          <w:b w:val="0"/>
          <w:spacing w:val="0"/>
          <w:w w:val="100"/>
          <w:kern w:val="0"/>
          <w:sz w:val="24"/>
        </w:rPr>
        <w:tab/>
      </w:r>
      <w:r>
        <w:rPr>
          <w:bCs/>
          <w:spacing w:val="0"/>
          <w:w w:val="100"/>
          <w:kern w:val="0"/>
          <w:sz w:val="24"/>
        </w:rPr>
        <w:t>VIH/SIDA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195.</w:t>
      </w:r>
      <w:r>
        <w:rPr>
          <w:spacing w:val="0"/>
          <w:w w:val="100"/>
          <w:kern w:val="0"/>
          <w:sz w:val="24"/>
        </w:rPr>
        <w:tab/>
        <w:t>El VIH/SIDA se ha convertido en la principal amenaza al desarrollo humano en Tanzanía. Se calcula que el 12% de la población adulta está infectada por el VIH.  El VIH/SIDA es actualmente la principal causa de mortalidad entre la población s</w:t>
      </w:r>
      <w:r>
        <w:rPr>
          <w:spacing w:val="0"/>
          <w:w w:val="100"/>
          <w:kern w:val="0"/>
          <w:sz w:val="24"/>
        </w:rPr>
        <w:t>e</w:t>
      </w:r>
      <w:r>
        <w:rPr>
          <w:spacing w:val="0"/>
          <w:w w:val="100"/>
          <w:kern w:val="0"/>
          <w:sz w:val="24"/>
        </w:rPr>
        <w:t>xualmente activa y puede convertirse pronto en una de las tres principales causas de muerte entre los menores de 5 años.  Hoy día se calcula que hay 2 millones de niños huérfanos por razón del SIDA y el número sigue aumentando rápidamente.  Entre las actividades realizadas para luchar contra la pandemia se i</w:t>
      </w:r>
      <w:r>
        <w:rPr>
          <w:spacing w:val="0"/>
          <w:w w:val="100"/>
          <w:kern w:val="0"/>
          <w:sz w:val="24"/>
        </w:rPr>
        <w:t>n</w:t>
      </w:r>
      <w:r>
        <w:rPr>
          <w:spacing w:val="0"/>
          <w:w w:val="100"/>
          <w:kern w:val="0"/>
          <w:sz w:val="24"/>
        </w:rPr>
        <w:t>cluyen:</w:t>
      </w:r>
    </w:p>
    <w:p w:rsidR="00000000" w:rsidRDefault="00000000">
      <w:pPr>
        <w:pStyle w:val="SingleTxt"/>
        <w:numPr>
          <w:ilvl w:val="0"/>
          <w:numId w:val="77"/>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924" w:right="0" w:hanging="357"/>
        <w:jc w:val="left"/>
        <w:rPr>
          <w:spacing w:val="0"/>
          <w:w w:val="100"/>
          <w:kern w:val="0"/>
          <w:sz w:val="24"/>
        </w:rPr>
      </w:pPr>
      <w:r>
        <w:rPr>
          <w:spacing w:val="0"/>
          <w:w w:val="100"/>
          <w:kern w:val="0"/>
          <w:sz w:val="24"/>
        </w:rPr>
        <w:t>La creación en diciembre de 2000 de la Comisión de lucha contra el SIDA de Tanzanía;</w:t>
      </w:r>
    </w:p>
    <w:p w:rsidR="00000000" w:rsidRDefault="00000000">
      <w:pPr>
        <w:pStyle w:val="SingleTxt"/>
        <w:numPr>
          <w:ilvl w:val="0"/>
          <w:numId w:val="77"/>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924" w:right="0" w:hanging="357"/>
        <w:jc w:val="left"/>
        <w:rPr>
          <w:spacing w:val="0"/>
          <w:w w:val="100"/>
          <w:kern w:val="0"/>
          <w:sz w:val="24"/>
        </w:rPr>
      </w:pPr>
      <w:r>
        <w:rPr>
          <w:spacing w:val="0"/>
          <w:w w:val="100"/>
          <w:kern w:val="0"/>
          <w:sz w:val="24"/>
        </w:rPr>
        <w:t>El establecimiento en noviembre de 2001 de la Política nacional contra el VIH/SIDA, que ofrece un marco para la dirección y coordinación de la re</w:t>
      </w:r>
      <w:r>
        <w:rPr>
          <w:spacing w:val="0"/>
          <w:w w:val="100"/>
          <w:kern w:val="0"/>
          <w:sz w:val="24"/>
        </w:rPr>
        <w:t>s</w:t>
      </w:r>
      <w:r>
        <w:rPr>
          <w:spacing w:val="0"/>
          <w:w w:val="100"/>
          <w:kern w:val="0"/>
          <w:sz w:val="24"/>
        </w:rPr>
        <w:t>puesta nacional multisectorial a la epidemia de VIH/SIDA;</w:t>
      </w:r>
    </w:p>
    <w:p w:rsidR="00000000" w:rsidRDefault="00000000">
      <w:pPr>
        <w:pStyle w:val="SingleTxt"/>
        <w:numPr>
          <w:ilvl w:val="0"/>
          <w:numId w:val="77"/>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924" w:right="0" w:hanging="357"/>
        <w:jc w:val="left"/>
        <w:rPr>
          <w:spacing w:val="0"/>
          <w:w w:val="100"/>
          <w:kern w:val="0"/>
          <w:sz w:val="24"/>
        </w:rPr>
      </w:pPr>
      <w:r>
        <w:rPr>
          <w:spacing w:val="0"/>
          <w:w w:val="100"/>
          <w:kern w:val="0"/>
          <w:sz w:val="24"/>
        </w:rPr>
        <w:t>La adopción por el Gobierno en mayo de 2003 del marco estratégico multise</w:t>
      </w:r>
      <w:r>
        <w:rPr>
          <w:spacing w:val="0"/>
          <w:w w:val="100"/>
          <w:kern w:val="0"/>
          <w:sz w:val="24"/>
        </w:rPr>
        <w:t>c</w:t>
      </w:r>
      <w:r>
        <w:rPr>
          <w:spacing w:val="0"/>
          <w:w w:val="100"/>
          <w:kern w:val="0"/>
          <w:sz w:val="24"/>
        </w:rPr>
        <w:t>torial nacional sobre el VIH/SIDA para un período de cuatro años (2003-2007) a fin de aplicar la Política nacional contra el VIH/SIDA;</w:t>
      </w:r>
    </w:p>
    <w:p w:rsidR="00000000" w:rsidRDefault="00000000">
      <w:pPr>
        <w:pStyle w:val="SingleTxt"/>
        <w:numPr>
          <w:ilvl w:val="0"/>
          <w:numId w:val="77"/>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924" w:right="0" w:hanging="357"/>
        <w:jc w:val="left"/>
        <w:rPr>
          <w:spacing w:val="0"/>
          <w:w w:val="100"/>
          <w:kern w:val="0"/>
          <w:sz w:val="24"/>
        </w:rPr>
      </w:pPr>
      <w:r>
        <w:rPr>
          <w:spacing w:val="0"/>
          <w:w w:val="100"/>
          <w:kern w:val="0"/>
          <w:sz w:val="24"/>
        </w:rPr>
        <w:t>La elaboración por todos los ministerios del Gobierno de programas relacion</w:t>
      </w:r>
      <w:r>
        <w:rPr>
          <w:spacing w:val="0"/>
          <w:w w:val="100"/>
          <w:kern w:val="0"/>
          <w:sz w:val="24"/>
        </w:rPr>
        <w:t>a</w:t>
      </w:r>
      <w:r>
        <w:rPr>
          <w:spacing w:val="0"/>
          <w:w w:val="100"/>
          <w:kern w:val="0"/>
          <w:sz w:val="24"/>
        </w:rPr>
        <w:t>dos con la prevención del VIH/SIDA.  Por ejemplo, el Ministerio del Desarr</w:t>
      </w:r>
      <w:r>
        <w:rPr>
          <w:spacing w:val="0"/>
          <w:w w:val="100"/>
          <w:kern w:val="0"/>
          <w:sz w:val="24"/>
        </w:rPr>
        <w:t>o</w:t>
      </w:r>
      <w:r>
        <w:rPr>
          <w:spacing w:val="0"/>
          <w:w w:val="100"/>
          <w:kern w:val="0"/>
          <w:sz w:val="24"/>
        </w:rPr>
        <w:t>llo Comunitario, la Mujer y el Niño ha aprobado un marco estratégico de pr</w:t>
      </w:r>
      <w:r>
        <w:rPr>
          <w:spacing w:val="0"/>
          <w:w w:val="100"/>
          <w:kern w:val="0"/>
          <w:sz w:val="24"/>
        </w:rPr>
        <w:t>o</w:t>
      </w:r>
      <w:r>
        <w:rPr>
          <w:spacing w:val="0"/>
          <w:w w:val="100"/>
          <w:kern w:val="0"/>
          <w:sz w:val="24"/>
        </w:rPr>
        <w:t>tección de las mujeres y los niños contra el VIH/SIDA y las enfermedades de transmisión sexual basado en la comunidad (2002-2007).  Asimismo, tiene pr</w:t>
      </w:r>
      <w:r>
        <w:rPr>
          <w:spacing w:val="0"/>
          <w:w w:val="100"/>
          <w:kern w:val="0"/>
          <w:sz w:val="24"/>
        </w:rPr>
        <w:t>o</w:t>
      </w:r>
      <w:r>
        <w:rPr>
          <w:spacing w:val="0"/>
          <w:w w:val="100"/>
          <w:kern w:val="0"/>
          <w:sz w:val="24"/>
        </w:rPr>
        <w:t>gramas contra el VIH/SIDA destinados a sus propios empleados en la sede central, los centros educativos del Ministerio, las secretarías regionales y los representantes de los consejos.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196.</w:t>
      </w:r>
      <w:r>
        <w:rPr>
          <w:spacing w:val="0"/>
          <w:w w:val="100"/>
          <w:kern w:val="0"/>
          <w:sz w:val="24"/>
        </w:rPr>
        <w:tab/>
        <w:t>Desde 1999 se viene ejecutando en Tanzanía un proyecto experimental en el marco de un programa de prevención de la transmisión de madre a hijo en el que participan desde mediados de 2000 los hospitales de Muhimbili, Bugando, Mbeya y Kagera y el Kilimanjaro Christian Medical Center.  Un grupo de trabajo dirigido por el Ministerio de Salud coordina la labor junto con el Programa nacional de lucha contra el SIDA y el UNICEF.  El programa de prevención de la transmisión de madre a hijo consiste en servicios de asesoramiento y análisis confidenciales y voluntarios prestados a través de clínicas prenatales y la atención y el tratamiento posteriores para las personas seropositivas, incluido el asesoramiento sobre la alimentación para los lactantes.  El proyecto suministra fondos para el establecimiento de servicios de asesoramiento, la capacitación de asesores y la adquisición de medicamentos, i</w:t>
      </w:r>
      <w:r>
        <w:rPr>
          <w:spacing w:val="0"/>
          <w:w w:val="100"/>
          <w:kern w:val="0"/>
          <w:sz w:val="24"/>
        </w:rPr>
        <w:t>n</w:t>
      </w:r>
      <w:r>
        <w:rPr>
          <w:spacing w:val="0"/>
          <w:w w:val="100"/>
          <w:kern w:val="0"/>
          <w:sz w:val="24"/>
        </w:rPr>
        <w:t>cluidos antirretrovirales, y material para los análisis.  El proyecto experimental se ha centrado en gran medida en prevenir la transmisión de la infección por el VIH y l</w:t>
      </w:r>
      <w:r>
        <w:rPr>
          <w:spacing w:val="0"/>
          <w:w w:val="100"/>
          <w:kern w:val="0"/>
          <w:sz w:val="24"/>
        </w:rPr>
        <w:t>o</w:t>
      </w:r>
      <w:r>
        <w:rPr>
          <w:spacing w:val="0"/>
          <w:w w:val="100"/>
          <w:kern w:val="0"/>
          <w:sz w:val="24"/>
        </w:rPr>
        <w:t>grar la s</w:t>
      </w:r>
      <w:r>
        <w:rPr>
          <w:spacing w:val="0"/>
          <w:w w:val="100"/>
          <w:kern w:val="0"/>
          <w:sz w:val="24"/>
        </w:rPr>
        <w:t>u</w:t>
      </w:r>
      <w:r>
        <w:rPr>
          <w:spacing w:val="0"/>
          <w:w w:val="100"/>
          <w:kern w:val="0"/>
          <w:sz w:val="24"/>
        </w:rPr>
        <w:t>pervivencia del niño.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197.</w:t>
      </w:r>
      <w:r>
        <w:rPr>
          <w:spacing w:val="0"/>
          <w:w w:val="100"/>
          <w:kern w:val="0"/>
          <w:sz w:val="24"/>
        </w:rPr>
        <w:tab/>
        <w:t>Desde julio de 2001, unas 17.000 pacientes de clínicas prenatales han recibido asesoramiento y se han hecho análisis voluntariamente en el marco del proyecto.  De ellas, el 35% han utilizado los servicios de asesoramiento y análisis voluntarios, el 85% optaron por los análisis.  Se hicieron análisis a 5.050 pacientes y el 13% r</w:t>
      </w:r>
      <w:r>
        <w:rPr>
          <w:spacing w:val="0"/>
          <w:w w:val="100"/>
          <w:kern w:val="0"/>
          <w:sz w:val="24"/>
        </w:rPr>
        <w:t>e</w:t>
      </w:r>
      <w:r>
        <w:rPr>
          <w:spacing w:val="0"/>
          <w:w w:val="100"/>
          <w:kern w:val="0"/>
          <w:sz w:val="24"/>
        </w:rPr>
        <w:t>sultaron seropositivas.  La Fundación Africana de Medicina e Investigación, a través del programa Angaza, una iniciativa de Tanzanía, está realizando otras actividades en materia de asesoramiento y análisis v</w:t>
      </w:r>
      <w:r>
        <w:rPr>
          <w:spacing w:val="0"/>
          <w:w w:val="100"/>
          <w:kern w:val="0"/>
          <w:sz w:val="24"/>
        </w:rPr>
        <w:t>o</w:t>
      </w:r>
      <w:r>
        <w:rPr>
          <w:spacing w:val="0"/>
          <w:w w:val="100"/>
          <w:kern w:val="0"/>
          <w:sz w:val="24"/>
        </w:rPr>
        <w:t>luntarios.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198.</w:t>
      </w:r>
      <w:r>
        <w:rPr>
          <w:spacing w:val="0"/>
          <w:w w:val="100"/>
          <w:kern w:val="0"/>
          <w:sz w:val="24"/>
        </w:rPr>
        <w:tab/>
        <w:t>Varias instituciones han llevado a cabo programas de concienciación sobre la repercusión del VIH/SIDA y programas de promoción.  Esas instituciones han pr</w:t>
      </w:r>
      <w:r>
        <w:rPr>
          <w:spacing w:val="0"/>
          <w:w w:val="100"/>
          <w:kern w:val="0"/>
          <w:sz w:val="24"/>
        </w:rPr>
        <w:t>o</w:t>
      </w:r>
      <w:r>
        <w:rPr>
          <w:spacing w:val="0"/>
          <w:w w:val="100"/>
          <w:kern w:val="0"/>
          <w:sz w:val="24"/>
        </w:rPr>
        <w:t>movido actividades de información en materia de VIH/SIDA y enfermedades de transmisión sexual, preparación para la vida cotidiana, formación profesional, tr</w:t>
      </w:r>
      <w:r>
        <w:rPr>
          <w:spacing w:val="0"/>
          <w:w w:val="100"/>
          <w:kern w:val="0"/>
          <w:sz w:val="24"/>
        </w:rPr>
        <w:t>a</w:t>
      </w:r>
      <w:r>
        <w:rPr>
          <w:spacing w:val="0"/>
          <w:w w:val="100"/>
          <w:kern w:val="0"/>
          <w:sz w:val="24"/>
        </w:rPr>
        <w:t>tamiento de las infecciones de transmisión sexual, asesoramiento y análisis para n</w:t>
      </w:r>
      <w:r>
        <w:rPr>
          <w:spacing w:val="0"/>
          <w:w w:val="100"/>
          <w:kern w:val="0"/>
          <w:sz w:val="24"/>
        </w:rPr>
        <w:t>i</w:t>
      </w:r>
      <w:r>
        <w:rPr>
          <w:spacing w:val="0"/>
          <w:w w:val="100"/>
          <w:kern w:val="0"/>
          <w:sz w:val="24"/>
        </w:rPr>
        <w:t>ños y jóvenes no escolar</w:t>
      </w:r>
      <w:r>
        <w:rPr>
          <w:spacing w:val="0"/>
          <w:w w:val="100"/>
          <w:kern w:val="0"/>
          <w:sz w:val="24"/>
        </w:rPr>
        <w:t>i</w:t>
      </w:r>
      <w:r>
        <w:rPr>
          <w:spacing w:val="0"/>
          <w:w w:val="100"/>
          <w:kern w:val="0"/>
          <w:sz w:val="24"/>
        </w:rPr>
        <w:t>zados.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199.</w:t>
      </w:r>
      <w:r>
        <w:rPr>
          <w:spacing w:val="0"/>
          <w:w w:val="100"/>
          <w:kern w:val="0"/>
          <w:sz w:val="24"/>
        </w:rPr>
        <w:tab/>
        <w:t>Con el fin de entender mejor el problema del VIH en Zanzíbar, la Comisión de Zanzíbar sobre el VIH/SIDA preparó en 2003 un informe en que se analizaban la s</w:t>
      </w:r>
      <w:r>
        <w:rPr>
          <w:spacing w:val="0"/>
          <w:w w:val="100"/>
          <w:kern w:val="0"/>
          <w:sz w:val="24"/>
        </w:rPr>
        <w:t>i</w:t>
      </w:r>
      <w:r>
        <w:rPr>
          <w:spacing w:val="0"/>
          <w:w w:val="100"/>
          <w:kern w:val="0"/>
          <w:sz w:val="24"/>
        </w:rPr>
        <w:t>tuación y la respuesta como primera medida para la preparación de un plan estrat</w:t>
      </w:r>
      <w:r>
        <w:rPr>
          <w:spacing w:val="0"/>
          <w:w w:val="100"/>
          <w:kern w:val="0"/>
          <w:sz w:val="24"/>
        </w:rPr>
        <w:t>é</w:t>
      </w:r>
      <w:r>
        <w:rPr>
          <w:spacing w:val="0"/>
          <w:w w:val="100"/>
          <w:kern w:val="0"/>
          <w:sz w:val="24"/>
        </w:rPr>
        <w:t>gico completo.  En el informe se pone de manifiesto un nivel de incidencia consid</w:t>
      </w:r>
      <w:r>
        <w:rPr>
          <w:spacing w:val="0"/>
          <w:w w:val="100"/>
          <w:kern w:val="0"/>
          <w:sz w:val="24"/>
        </w:rPr>
        <w:t>e</w:t>
      </w:r>
      <w:r>
        <w:rPr>
          <w:spacing w:val="0"/>
          <w:w w:val="100"/>
          <w:kern w:val="0"/>
          <w:sz w:val="24"/>
        </w:rPr>
        <w:t>rable.  Actualmente se calcula que la prevalencia del VIH en la población general es del 0,6%.  Las mujeres registran unos porcentajes de infección entre 4 y 6 veces más elevados que los de los hombres.  Se calcula que más de 600 habitantes de Za</w:t>
      </w:r>
      <w:r>
        <w:rPr>
          <w:spacing w:val="0"/>
          <w:w w:val="100"/>
          <w:kern w:val="0"/>
          <w:sz w:val="24"/>
        </w:rPr>
        <w:t>n</w:t>
      </w:r>
      <w:r>
        <w:rPr>
          <w:spacing w:val="0"/>
          <w:w w:val="100"/>
          <w:kern w:val="0"/>
          <w:sz w:val="24"/>
        </w:rPr>
        <w:t>zíbar han muerto de SIDA desde que se detectó el primer caso en 1986.  Hasta el mome</w:t>
      </w:r>
      <w:r>
        <w:rPr>
          <w:spacing w:val="0"/>
          <w:w w:val="100"/>
          <w:kern w:val="0"/>
          <w:sz w:val="24"/>
        </w:rPr>
        <w:t>n</w:t>
      </w:r>
      <w:r>
        <w:rPr>
          <w:spacing w:val="0"/>
          <w:w w:val="100"/>
          <w:kern w:val="0"/>
          <w:sz w:val="24"/>
        </w:rPr>
        <w:t>to, las ONG que trabajan con huérfanos por causa del VIH/SIDA han regi</w:t>
      </w:r>
      <w:r>
        <w:rPr>
          <w:spacing w:val="0"/>
          <w:w w:val="100"/>
          <w:kern w:val="0"/>
          <w:sz w:val="24"/>
        </w:rPr>
        <w:t>s</w:t>
      </w:r>
      <w:r>
        <w:rPr>
          <w:spacing w:val="0"/>
          <w:w w:val="100"/>
          <w:kern w:val="0"/>
          <w:sz w:val="24"/>
        </w:rPr>
        <w:t>trado 500 casos de niños en esa situación y los cálculos indican que unos 6.000 adultos y niños viven con el VIH/SIDA.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200.</w:t>
      </w:r>
      <w:r>
        <w:rPr>
          <w:spacing w:val="0"/>
          <w:w w:val="100"/>
          <w:kern w:val="0"/>
          <w:sz w:val="24"/>
        </w:rPr>
        <w:tab/>
        <w:t>Se determinó que más del 95% de la población de Zanzíbar es consciente de la pandemia, pero sigue siendo un grave problema traducir esa conciencia en cambios del comportamiento, especialmente entre los grupos vu</w:t>
      </w:r>
      <w:r>
        <w:rPr>
          <w:spacing w:val="0"/>
          <w:w w:val="100"/>
          <w:kern w:val="0"/>
          <w:sz w:val="24"/>
        </w:rPr>
        <w:t>l</w:t>
      </w:r>
      <w:r>
        <w:rPr>
          <w:spacing w:val="0"/>
          <w:w w:val="100"/>
          <w:kern w:val="0"/>
          <w:sz w:val="24"/>
        </w:rPr>
        <w:t>nerables como los jóvenes.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201.</w:t>
      </w:r>
      <w:r>
        <w:rPr>
          <w:spacing w:val="0"/>
          <w:w w:val="100"/>
          <w:kern w:val="0"/>
          <w:sz w:val="24"/>
        </w:rPr>
        <w:tab/>
        <w:t>El informe mencionado indicó claramente que la respuesta nacional a la pa</w:t>
      </w:r>
      <w:r>
        <w:rPr>
          <w:spacing w:val="0"/>
          <w:w w:val="100"/>
          <w:kern w:val="0"/>
          <w:sz w:val="24"/>
        </w:rPr>
        <w:t>n</w:t>
      </w:r>
      <w:r>
        <w:rPr>
          <w:spacing w:val="0"/>
          <w:w w:val="100"/>
          <w:kern w:val="0"/>
          <w:sz w:val="24"/>
        </w:rPr>
        <w:t>demia había sido débil.  Por ejemplo, aunque varios ministerios habían designado c</w:t>
      </w:r>
      <w:r>
        <w:rPr>
          <w:spacing w:val="0"/>
          <w:w w:val="100"/>
          <w:kern w:val="0"/>
          <w:sz w:val="24"/>
        </w:rPr>
        <w:t>o</w:t>
      </w:r>
      <w:r>
        <w:rPr>
          <w:spacing w:val="0"/>
          <w:w w:val="100"/>
          <w:kern w:val="0"/>
          <w:sz w:val="24"/>
        </w:rPr>
        <w:t>ordinadores en materia de VIH/SIDA, éstos nunca desempeñaron realmente sus fu</w:t>
      </w:r>
      <w:r>
        <w:rPr>
          <w:spacing w:val="0"/>
          <w:w w:val="100"/>
          <w:kern w:val="0"/>
          <w:sz w:val="24"/>
        </w:rPr>
        <w:t>n</w:t>
      </w:r>
      <w:r>
        <w:rPr>
          <w:spacing w:val="0"/>
          <w:w w:val="100"/>
          <w:kern w:val="0"/>
          <w:sz w:val="24"/>
        </w:rPr>
        <w:t>ciones.  Los comités técnicos para el VIH/SIDA creados por el Ministerio de Salud y Bienestar Social en virtud del plan de la Comisión de Zanzíbar sobre el SIDA no cumplieron plenamente los mandatos que se les habían encomendado.  El grupo de trabajo especial de los secretarios principales sobre el VIH/SIDA nunca funcionó.  Aunque se ocupó del tema, el sector de la salud no llegó a adoptar una política en materia de VIH/SIDA ni incorporó actividades al respecto en el resto de su quehacer.  El Gobierno de Zanzíbar elaboró un plan estratégico nacional sobre el VIH/SIDA p</w:t>
      </w:r>
      <w:r>
        <w:rPr>
          <w:spacing w:val="0"/>
          <w:w w:val="100"/>
          <w:kern w:val="0"/>
          <w:sz w:val="24"/>
        </w:rPr>
        <w:t>a</w:t>
      </w:r>
      <w:r>
        <w:rPr>
          <w:spacing w:val="0"/>
          <w:w w:val="100"/>
          <w:kern w:val="0"/>
          <w:sz w:val="24"/>
        </w:rPr>
        <w:t>ra el período 2003-2007, cuyo principal objetivo era contener la pandemia de VIH mediante una participación multisectorial del máximo número de asociados y agentes posible y centrar la atención en grupos prioritarios para disminuir el impacto de la pandemia y reducir al mínimo la propagación del VIH a la población gen</w:t>
      </w:r>
      <w:r>
        <w:rPr>
          <w:spacing w:val="0"/>
          <w:w w:val="100"/>
          <w:kern w:val="0"/>
          <w:sz w:val="24"/>
        </w:rPr>
        <w:t>e</w:t>
      </w:r>
      <w:r>
        <w:rPr>
          <w:spacing w:val="0"/>
          <w:w w:val="100"/>
          <w:kern w:val="0"/>
          <w:sz w:val="24"/>
        </w:rPr>
        <w:t>ral.</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202.</w:t>
      </w:r>
      <w:r>
        <w:rPr>
          <w:spacing w:val="0"/>
          <w:w w:val="100"/>
          <w:kern w:val="0"/>
          <w:sz w:val="24"/>
        </w:rPr>
        <w:tab/>
        <w:t>En más del 90% de los casos la transmisión del VIH en Zanzíbar se produce a través de las relaciones sexuales.  La transmisión a través del contacto con los flu</w:t>
      </w:r>
      <w:r>
        <w:rPr>
          <w:spacing w:val="0"/>
          <w:w w:val="100"/>
          <w:kern w:val="0"/>
          <w:sz w:val="24"/>
        </w:rPr>
        <w:t>i</w:t>
      </w:r>
      <w:r>
        <w:rPr>
          <w:spacing w:val="0"/>
          <w:w w:val="100"/>
          <w:kern w:val="0"/>
          <w:sz w:val="24"/>
        </w:rPr>
        <w:t>dos corporales y la sangre en el medio hospitalario es mínima y nula gracias a los procedimientos ordinarios de control y de esterilización de los equipos para pruebas invasivas.  Otros factores de transmisión del VIH son la perforación y el uso de otros instrumentos de cirugía invasiva.  Se han distribuido orientaciones o directrices para que se utilicen técnicas antisépticas en todos los servicios de salud.  Según los datos del plan de la Comisión de Zanzíbar sobre el SIDA, se calcula que en aproximad</w:t>
      </w:r>
      <w:r>
        <w:rPr>
          <w:spacing w:val="0"/>
          <w:w w:val="100"/>
          <w:kern w:val="0"/>
          <w:sz w:val="24"/>
        </w:rPr>
        <w:t>a</w:t>
      </w:r>
      <w:r>
        <w:rPr>
          <w:spacing w:val="0"/>
          <w:w w:val="100"/>
          <w:kern w:val="0"/>
          <w:sz w:val="24"/>
        </w:rPr>
        <w:t>mente el 4% de los casos la transmisión del VIH es de carácter vertical (transmisión de madre a hijo), incluso durante el período de lactancia m</w:t>
      </w:r>
      <w:r>
        <w:rPr>
          <w:spacing w:val="0"/>
          <w:w w:val="100"/>
          <w:kern w:val="0"/>
          <w:sz w:val="24"/>
        </w:rPr>
        <w:t>a</w:t>
      </w:r>
      <w:r>
        <w:rPr>
          <w:spacing w:val="0"/>
          <w:w w:val="100"/>
          <w:kern w:val="0"/>
          <w:sz w:val="24"/>
        </w:rPr>
        <w:t>terna.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203.</w:t>
      </w:r>
      <w:r>
        <w:rPr>
          <w:spacing w:val="0"/>
          <w:w w:val="100"/>
          <w:kern w:val="0"/>
          <w:sz w:val="24"/>
        </w:rPr>
        <w:tab/>
        <w:t>Por conducto del Departamento de Bienestar Social, el Gobierno de Zanzíbar ha puesto en marcha programas para el cuidado y el mantenimiento de niños desf</w:t>
      </w:r>
      <w:r>
        <w:rPr>
          <w:spacing w:val="0"/>
          <w:w w:val="100"/>
          <w:kern w:val="0"/>
          <w:sz w:val="24"/>
        </w:rPr>
        <w:t>a</w:t>
      </w:r>
      <w:r>
        <w:rPr>
          <w:spacing w:val="0"/>
          <w:w w:val="100"/>
          <w:kern w:val="0"/>
          <w:sz w:val="24"/>
        </w:rPr>
        <w:t>vorecidos, incluidos los huérfanos de padres que han sido víctimas del SIDA.  Las instituciones religiosas, en particular African Village, y otras organizaciones benéf</w:t>
      </w:r>
      <w:r>
        <w:rPr>
          <w:spacing w:val="0"/>
          <w:w w:val="100"/>
          <w:kern w:val="0"/>
          <w:sz w:val="24"/>
        </w:rPr>
        <w:t>i</w:t>
      </w:r>
      <w:r>
        <w:rPr>
          <w:spacing w:val="0"/>
          <w:w w:val="100"/>
          <w:kern w:val="0"/>
          <w:sz w:val="24"/>
        </w:rPr>
        <w:t>cas como ZAWCO, ZAPHA, ZAMWASO y ZASO, hacen donaciones de alimentos, uniformes escolares, material escolar, colchones y mosquiteros para los niños vuln</w:t>
      </w:r>
      <w:r>
        <w:rPr>
          <w:spacing w:val="0"/>
          <w:w w:val="100"/>
          <w:kern w:val="0"/>
          <w:sz w:val="24"/>
        </w:rPr>
        <w:t>e</w:t>
      </w:r>
      <w:r>
        <w:rPr>
          <w:spacing w:val="0"/>
          <w:w w:val="100"/>
          <w:kern w:val="0"/>
          <w:sz w:val="24"/>
        </w:rPr>
        <w:t>rables, incluidos los huérfanos a ca</w:t>
      </w:r>
      <w:r>
        <w:rPr>
          <w:spacing w:val="0"/>
          <w:w w:val="100"/>
          <w:kern w:val="0"/>
          <w:sz w:val="24"/>
        </w:rPr>
        <w:t>u</w:t>
      </w:r>
      <w:r>
        <w:rPr>
          <w:spacing w:val="0"/>
          <w:w w:val="100"/>
          <w:kern w:val="0"/>
          <w:sz w:val="24"/>
        </w:rPr>
        <w:t>sa del SIDA.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204.</w:t>
      </w:r>
      <w:r>
        <w:rPr>
          <w:spacing w:val="0"/>
          <w:w w:val="100"/>
          <w:kern w:val="0"/>
          <w:sz w:val="24"/>
        </w:rPr>
        <w:tab/>
        <w:t>En la comunidad de Zanzíbar se dan casos de aborto, que quedan registrados cua</w:t>
      </w:r>
      <w:r>
        <w:rPr>
          <w:spacing w:val="0"/>
          <w:w w:val="100"/>
          <w:kern w:val="0"/>
          <w:sz w:val="24"/>
        </w:rPr>
        <w:t>n</w:t>
      </w:r>
      <w:r>
        <w:rPr>
          <w:spacing w:val="0"/>
          <w:w w:val="100"/>
          <w:kern w:val="0"/>
          <w:sz w:val="24"/>
        </w:rPr>
        <w:t>do suponen una hospitalización.  No hay datos disponibles sobre los casos de aborto.</w:t>
      </w:r>
    </w:p>
    <w:p w:rsidR="00000000" w:rsidRDefault="00000000">
      <w:pPr>
        <w:pStyle w:val="H23"/>
        <w:keepNext w:val="0"/>
        <w:keepLines w:val="0"/>
        <w:suppressAutoHyphens w:val="0"/>
        <w:spacing w:after="240" w:line="240" w:lineRule="auto"/>
        <w:outlineLvl w:val="9"/>
        <w:rPr>
          <w:bCs/>
          <w:spacing w:val="0"/>
          <w:w w:val="100"/>
          <w:kern w:val="0"/>
          <w:sz w:val="24"/>
        </w:rPr>
      </w:pPr>
      <w:r>
        <w:rPr>
          <w:b w:val="0"/>
          <w:spacing w:val="0"/>
          <w:w w:val="100"/>
          <w:kern w:val="0"/>
          <w:sz w:val="24"/>
        </w:rPr>
        <w:tab/>
      </w:r>
      <w:r>
        <w:rPr>
          <w:bCs/>
          <w:spacing w:val="0"/>
          <w:w w:val="100"/>
          <w:kern w:val="0"/>
          <w:sz w:val="24"/>
        </w:rPr>
        <w:t>Mutilación genital femenina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205.</w:t>
      </w:r>
      <w:r>
        <w:rPr>
          <w:spacing w:val="0"/>
          <w:w w:val="100"/>
          <w:kern w:val="0"/>
          <w:sz w:val="24"/>
        </w:rPr>
        <w:tab/>
        <w:t>En noviembre de 2001, el Gobierno inauguró la sección de Tanzanía de la Red de África oriental para la eliminación de la mutilación genital femenina.  El objetivo de la Red es facilitar el intercambio de información, materiales y experiencias entre sus miembros sobre la eliminación de esa práctica en sus áreas respectivas.  Se ha preparado un plan de acción nacional para la eliminación de la mutilación genital femenina a fin de proteger a las mujeres y las niñas contra esa práctica.  El Gobie</w:t>
      </w:r>
      <w:r>
        <w:rPr>
          <w:spacing w:val="0"/>
          <w:w w:val="100"/>
          <w:kern w:val="0"/>
          <w:sz w:val="24"/>
        </w:rPr>
        <w:t>r</w:t>
      </w:r>
      <w:r>
        <w:rPr>
          <w:spacing w:val="0"/>
          <w:w w:val="100"/>
          <w:kern w:val="0"/>
          <w:sz w:val="24"/>
        </w:rPr>
        <w:t>no de Tanzanía, las ONG y otros asociados para el desarrollo han adoptado medidas para realizar campañas de promoción masivas, que comprenden la capacitación de los profesionales de los medios de información, con el objetivo de sensibilizar a las comunidades sobre las cuestiones relativas a la mutilación genital femenina.  En ese sentido, se han alcanzado los siguientes logros:</w:t>
      </w:r>
    </w:p>
    <w:p w:rsidR="00000000" w:rsidRDefault="00000000">
      <w:pPr>
        <w:pStyle w:val="SingleTxt"/>
        <w:numPr>
          <w:ilvl w:val="0"/>
          <w:numId w:val="78"/>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924" w:right="0" w:hanging="357"/>
        <w:jc w:val="left"/>
        <w:rPr>
          <w:spacing w:val="0"/>
          <w:w w:val="100"/>
          <w:kern w:val="0"/>
          <w:sz w:val="24"/>
        </w:rPr>
      </w:pPr>
      <w:r>
        <w:rPr>
          <w:spacing w:val="0"/>
          <w:w w:val="100"/>
          <w:kern w:val="0"/>
          <w:sz w:val="24"/>
        </w:rPr>
        <w:t>Los habitantes de las regiones donde se practica la mutilación genital femenina han expr</w:t>
      </w:r>
      <w:r>
        <w:rPr>
          <w:spacing w:val="0"/>
          <w:w w:val="100"/>
          <w:kern w:val="0"/>
          <w:sz w:val="24"/>
        </w:rPr>
        <w:t>e</w:t>
      </w:r>
      <w:r>
        <w:rPr>
          <w:spacing w:val="0"/>
          <w:w w:val="100"/>
          <w:kern w:val="0"/>
          <w:sz w:val="24"/>
        </w:rPr>
        <w:t>sado sus opiniones sobre el modo de erradicarla.</w:t>
      </w:r>
    </w:p>
    <w:p w:rsidR="00000000" w:rsidRDefault="00000000">
      <w:pPr>
        <w:pStyle w:val="SingleTxt"/>
        <w:numPr>
          <w:ilvl w:val="0"/>
          <w:numId w:val="78"/>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924" w:right="0" w:hanging="357"/>
        <w:jc w:val="left"/>
        <w:rPr>
          <w:spacing w:val="0"/>
          <w:w w:val="100"/>
          <w:kern w:val="0"/>
          <w:sz w:val="24"/>
        </w:rPr>
      </w:pPr>
      <w:r>
        <w:rPr>
          <w:spacing w:val="0"/>
          <w:w w:val="100"/>
          <w:kern w:val="0"/>
          <w:sz w:val="24"/>
        </w:rPr>
        <w:t>Se utilizan programas de radio y televisión para sensibilizar al público al respecto.</w:t>
      </w:r>
    </w:p>
    <w:p w:rsidR="00000000" w:rsidRDefault="00000000">
      <w:pPr>
        <w:pStyle w:val="SingleTxt"/>
        <w:numPr>
          <w:ilvl w:val="0"/>
          <w:numId w:val="78"/>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924" w:right="0" w:hanging="357"/>
        <w:jc w:val="left"/>
        <w:rPr>
          <w:spacing w:val="0"/>
          <w:w w:val="100"/>
          <w:kern w:val="0"/>
          <w:sz w:val="24"/>
        </w:rPr>
      </w:pPr>
      <w:r>
        <w:rPr>
          <w:spacing w:val="0"/>
          <w:w w:val="100"/>
          <w:kern w:val="0"/>
          <w:sz w:val="24"/>
        </w:rPr>
        <w:t>Los medios de información utilizan juegos de material de prensa para informar más a fondo a la sociedad sobre la mutilación genital femenina y sus reperc</w:t>
      </w:r>
      <w:r>
        <w:rPr>
          <w:spacing w:val="0"/>
          <w:w w:val="100"/>
          <w:kern w:val="0"/>
          <w:sz w:val="24"/>
        </w:rPr>
        <w:t>u</w:t>
      </w:r>
      <w:r>
        <w:rPr>
          <w:spacing w:val="0"/>
          <w:w w:val="100"/>
          <w:kern w:val="0"/>
          <w:sz w:val="24"/>
        </w:rPr>
        <w:t>siones en el contexto social, económico y político.  Se ha concienciado a la prensa sobre la cuestión.</w:t>
      </w:r>
    </w:p>
    <w:p w:rsidR="00000000" w:rsidRDefault="00000000">
      <w:pPr>
        <w:pStyle w:val="SingleTxt"/>
        <w:numPr>
          <w:ilvl w:val="0"/>
          <w:numId w:val="78"/>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924" w:right="0" w:hanging="357"/>
        <w:jc w:val="left"/>
        <w:rPr>
          <w:spacing w:val="0"/>
          <w:w w:val="100"/>
          <w:kern w:val="0"/>
          <w:sz w:val="24"/>
        </w:rPr>
      </w:pPr>
      <w:r>
        <w:rPr>
          <w:spacing w:val="0"/>
          <w:w w:val="100"/>
          <w:kern w:val="0"/>
          <w:sz w:val="24"/>
        </w:rPr>
        <w:t>Se lanzó un llamamiento especial sobre la mutilación genital femenina y se r</w:t>
      </w:r>
      <w:r>
        <w:rPr>
          <w:spacing w:val="0"/>
          <w:w w:val="100"/>
          <w:kern w:val="0"/>
          <w:sz w:val="24"/>
        </w:rPr>
        <w:t>e</w:t>
      </w:r>
      <w:r>
        <w:rPr>
          <w:spacing w:val="0"/>
          <w:w w:val="100"/>
          <w:kern w:val="0"/>
          <w:sz w:val="24"/>
        </w:rPr>
        <w:t>unieron firmas de conocidas personalidades que repudian esa práctica.  En g</w:t>
      </w:r>
      <w:r>
        <w:rPr>
          <w:spacing w:val="0"/>
          <w:w w:val="100"/>
          <w:kern w:val="0"/>
          <w:sz w:val="24"/>
        </w:rPr>
        <w:t>e</w:t>
      </w:r>
      <w:r>
        <w:rPr>
          <w:spacing w:val="0"/>
          <w:w w:val="100"/>
          <w:kern w:val="0"/>
          <w:sz w:val="24"/>
        </w:rPr>
        <w:t>neral, como resultado de esa labor, en 2003 se redujo el alcance de la práctica del 12 al 10%.</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206.</w:t>
      </w:r>
      <w:r>
        <w:rPr>
          <w:spacing w:val="0"/>
          <w:w w:val="100"/>
          <w:kern w:val="0"/>
          <w:sz w:val="24"/>
        </w:rPr>
        <w:tab/>
        <w:t>Además, el Gobierno de la República Unida de Tanzanía ha realizado también actividades en el distrito de Tarime de la región de Mara, donde se presentó el plan de acción nacional a los funcionarios y se informó a los curanderos tradicionales de todos los grupos étnicos sobre los peligros de la mutilación genital femenina.</w:t>
      </w:r>
    </w:p>
    <w:p w:rsidR="00000000" w:rsidRDefault="00000000">
      <w:pPr>
        <w:pStyle w:val="H23"/>
        <w:keepLines w:val="0"/>
        <w:suppressAutoHyphens w:val="0"/>
        <w:spacing w:after="240" w:line="240" w:lineRule="auto"/>
        <w:outlineLvl w:val="9"/>
        <w:rPr>
          <w:bCs/>
          <w:spacing w:val="0"/>
          <w:w w:val="100"/>
          <w:kern w:val="0"/>
          <w:sz w:val="24"/>
        </w:rPr>
      </w:pPr>
      <w:r>
        <w:rPr>
          <w:b w:val="0"/>
          <w:spacing w:val="0"/>
          <w:w w:val="100"/>
          <w:kern w:val="0"/>
          <w:sz w:val="24"/>
        </w:rPr>
        <w:tab/>
      </w:r>
      <w:r>
        <w:rPr>
          <w:bCs/>
          <w:spacing w:val="0"/>
          <w:w w:val="100"/>
          <w:kern w:val="0"/>
          <w:sz w:val="24"/>
        </w:rPr>
        <w:t>Salud mental</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207.</w:t>
      </w:r>
      <w:r>
        <w:rPr>
          <w:spacing w:val="0"/>
          <w:w w:val="100"/>
          <w:kern w:val="0"/>
          <w:sz w:val="24"/>
        </w:rPr>
        <w:tab/>
        <w:t>En Zanzíbar la mayoría de los trastornos mentales se tratan en el hospital K</w:t>
      </w:r>
      <w:r>
        <w:rPr>
          <w:spacing w:val="0"/>
          <w:w w:val="100"/>
          <w:kern w:val="0"/>
          <w:sz w:val="24"/>
        </w:rPr>
        <w:t>i</w:t>
      </w:r>
      <w:r>
        <w:rPr>
          <w:spacing w:val="0"/>
          <w:w w:val="100"/>
          <w:kern w:val="0"/>
          <w:sz w:val="24"/>
        </w:rPr>
        <w:t>dongo Chekundu.  Los casos menos graves se atienden en Pemba, en los hospitales Chake Chake y Abdalla Mzee.  En el cuadro 12 se presenta una estadística de los p</w:t>
      </w:r>
      <w:r>
        <w:rPr>
          <w:spacing w:val="0"/>
          <w:w w:val="100"/>
          <w:kern w:val="0"/>
          <w:sz w:val="24"/>
        </w:rPr>
        <w:t>a</w:t>
      </w:r>
      <w:r>
        <w:rPr>
          <w:spacing w:val="0"/>
          <w:w w:val="100"/>
          <w:kern w:val="0"/>
          <w:sz w:val="24"/>
        </w:rPr>
        <w:t>cientes atendidos en el hospital Kidongo Chekundu entre 2001 y 2003.</w:t>
      </w:r>
    </w:p>
    <w:p w:rsidR="00000000" w:rsidRDefault="00000000">
      <w:pPr>
        <w:pStyle w:val="H23"/>
        <w:keepNext w:val="0"/>
        <w:keepLines w:val="0"/>
        <w:suppressAutoHyphens w:val="0"/>
        <w:spacing w:after="220" w:line="240" w:lineRule="auto"/>
        <w:jc w:val="center"/>
        <w:outlineLvl w:val="9"/>
        <w:rPr>
          <w:bCs/>
          <w:spacing w:val="0"/>
          <w:w w:val="100"/>
          <w:kern w:val="0"/>
          <w:sz w:val="22"/>
        </w:rPr>
      </w:pPr>
      <w:r>
        <w:rPr>
          <w:bCs/>
          <w:spacing w:val="0"/>
          <w:w w:val="100"/>
          <w:kern w:val="0"/>
          <w:sz w:val="22"/>
        </w:rPr>
        <w:t>Cuadro 12</w:t>
      </w:r>
    </w:p>
    <w:p w:rsidR="00000000" w:rsidRDefault="00000000">
      <w:pPr>
        <w:pStyle w:val="H23"/>
        <w:keepNext w:val="0"/>
        <w:keepLines w:val="0"/>
        <w:suppressAutoHyphens w:val="0"/>
        <w:spacing w:after="220" w:line="240" w:lineRule="auto"/>
        <w:jc w:val="center"/>
        <w:outlineLvl w:val="9"/>
        <w:rPr>
          <w:bCs/>
          <w:spacing w:val="0"/>
          <w:w w:val="100"/>
          <w:kern w:val="0"/>
          <w:sz w:val="22"/>
        </w:rPr>
      </w:pPr>
      <w:r>
        <w:rPr>
          <w:bCs/>
          <w:spacing w:val="0"/>
          <w:w w:val="100"/>
          <w:kern w:val="0"/>
          <w:sz w:val="22"/>
        </w:rPr>
        <w:t>Pacientes de los servicios de salud mental entre 2001 y 2003</w:t>
      </w:r>
    </w:p>
    <w:tbl>
      <w:tblPr>
        <w:tblW w:w="0" w:type="auto"/>
        <w:jc w:val="center"/>
        <w:tblInd w:w="-8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450"/>
        <w:gridCol w:w="960"/>
        <w:gridCol w:w="1080"/>
        <w:gridCol w:w="960"/>
        <w:gridCol w:w="720"/>
        <w:gridCol w:w="1080"/>
        <w:gridCol w:w="1045"/>
      </w:tblGrid>
      <w:tr w:rsidR="00000000">
        <w:tblPrEx>
          <w:tblCellMar>
            <w:top w:w="0" w:type="dxa"/>
            <w:left w:w="0" w:type="dxa"/>
            <w:bottom w:w="0" w:type="dxa"/>
            <w:right w:w="0" w:type="dxa"/>
          </w:tblCellMar>
        </w:tblPrEx>
        <w:trPr>
          <w:tblHeader/>
          <w:jc w:val="center"/>
        </w:trPr>
        <w:tc>
          <w:tcPr>
            <w:tcW w:w="3450" w:type="dxa"/>
            <w:tcMar>
              <w:left w:w="108" w:type="dxa"/>
              <w:right w:w="108" w:type="dxa"/>
            </w:tcMar>
            <w:vAlign w:val="center"/>
          </w:tcPr>
          <w:p w:rsidR="00000000" w:rsidRDefault="00000000">
            <w:pPr>
              <w:jc w:val="center"/>
              <w:rPr>
                <w:sz w:val="22"/>
              </w:rPr>
            </w:pPr>
          </w:p>
        </w:tc>
        <w:tc>
          <w:tcPr>
            <w:tcW w:w="960" w:type="dxa"/>
            <w:tcMar>
              <w:left w:w="108" w:type="dxa"/>
              <w:right w:w="108" w:type="dxa"/>
            </w:tcMar>
            <w:vAlign w:val="center"/>
          </w:tcPr>
          <w:p w:rsidR="00000000" w:rsidRDefault="00000000">
            <w:pPr>
              <w:jc w:val="center"/>
              <w:rPr>
                <w:sz w:val="22"/>
              </w:rPr>
            </w:pPr>
            <w:r>
              <w:rPr>
                <w:sz w:val="22"/>
              </w:rPr>
              <w:t>Total</w:t>
            </w:r>
          </w:p>
        </w:tc>
        <w:tc>
          <w:tcPr>
            <w:tcW w:w="1080" w:type="dxa"/>
            <w:tcMar>
              <w:left w:w="108" w:type="dxa"/>
              <w:right w:w="108" w:type="dxa"/>
            </w:tcMar>
            <w:vAlign w:val="center"/>
          </w:tcPr>
          <w:p w:rsidR="00000000" w:rsidRDefault="00000000">
            <w:pPr>
              <w:jc w:val="center"/>
              <w:rPr>
                <w:sz w:val="22"/>
              </w:rPr>
            </w:pPr>
            <w:r>
              <w:rPr>
                <w:sz w:val="22"/>
              </w:rPr>
              <w:t>Hombres</w:t>
            </w:r>
          </w:p>
        </w:tc>
        <w:tc>
          <w:tcPr>
            <w:tcW w:w="960" w:type="dxa"/>
            <w:tcMar>
              <w:left w:w="108" w:type="dxa"/>
              <w:right w:w="108" w:type="dxa"/>
            </w:tcMar>
            <w:vAlign w:val="center"/>
          </w:tcPr>
          <w:p w:rsidR="00000000" w:rsidRDefault="00000000">
            <w:pPr>
              <w:jc w:val="center"/>
              <w:rPr>
                <w:sz w:val="22"/>
              </w:rPr>
            </w:pPr>
            <w:r>
              <w:rPr>
                <w:sz w:val="22"/>
              </w:rPr>
              <w:t>Mujeres</w:t>
            </w:r>
          </w:p>
        </w:tc>
        <w:tc>
          <w:tcPr>
            <w:tcW w:w="720" w:type="dxa"/>
            <w:tcMar>
              <w:left w:w="108" w:type="dxa"/>
              <w:right w:w="108" w:type="dxa"/>
            </w:tcMar>
            <w:vAlign w:val="center"/>
          </w:tcPr>
          <w:p w:rsidR="00000000" w:rsidRDefault="00000000">
            <w:pPr>
              <w:jc w:val="center"/>
              <w:rPr>
                <w:sz w:val="22"/>
              </w:rPr>
            </w:pPr>
            <w:r>
              <w:rPr>
                <w:sz w:val="22"/>
              </w:rPr>
              <w:t>Total</w:t>
            </w:r>
          </w:p>
        </w:tc>
        <w:tc>
          <w:tcPr>
            <w:tcW w:w="1080" w:type="dxa"/>
            <w:tcMar>
              <w:left w:w="108" w:type="dxa"/>
              <w:right w:w="108" w:type="dxa"/>
            </w:tcMar>
            <w:vAlign w:val="center"/>
          </w:tcPr>
          <w:p w:rsidR="00000000" w:rsidRDefault="00000000">
            <w:pPr>
              <w:jc w:val="center"/>
              <w:rPr>
                <w:sz w:val="22"/>
              </w:rPr>
            </w:pPr>
            <w:r>
              <w:rPr>
                <w:sz w:val="22"/>
              </w:rPr>
              <w:t>Hombres</w:t>
            </w:r>
          </w:p>
        </w:tc>
        <w:tc>
          <w:tcPr>
            <w:tcW w:w="1045" w:type="dxa"/>
            <w:tcMar>
              <w:left w:w="108" w:type="dxa"/>
              <w:right w:w="108" w:type="dxa"/>
            </w:tcMar>
            <w:vAlign w:val="center"/>
          </w:tcPr>
          <w:p w:rsidR="00000000" w:rsidRDefault="00000000">
            <w:pPr>
              <w:jc w:val="center"/>
              <w:rPr>
                <w:sz w:val="22"/>
              </w:rPr>
            </w:pPr>
            <w:r>
              <w:rPr>
                <w:sz w:val="22"/>
              </w:rPr>
              <w:t>Mujeres</w:t>
            </w:r>
          </w:p>
        </w:tc>
      </w:tr>
      <w:tr w:rsidR="00000000">
        <w:tblPrEx>
          <w:tblCellMar>
            <w:top w:w="0" w:type="dxa"/>
            <w:left w:w="0" w:type="dxa"/>
            <w:bottom w:w="0" w:type="dxa"/>
            <w:right w:w="0" w:type="dxa"/>
          </w:tblCellMar>
        </w:tblPrEx>
        <w:trPr>
          <w:jc w:val="center"/>
        </w:trPr>
        <w:tc>
          <w:tcPr>
            <w:tcW w:w="3450" w:type="dxa"/>
            <w:tcMar>
              <w:left w:w="108" w:type="dxa"/>
              <w:right w:w="108" w:type="dxa"/>
            </w:tcMar>
            <w:vAlign w:val="center"/>
          </w:tcPr>
          <w:p w:rsidR="00000000" w:rsidRDefault="00000000">
            <w:pPr>
              <w:rPr>
                <w:sz w:val="22"/>
              </w:rPr>
            </w:pPr>
            <w:r>
              <w:rPr>
                <w:sz w:val="22"/>
              </w:rPr>
              <w:t>Nuevos pacientes</w:t>
            </w:r>
          </w:p>
        </w:tc>
        <w:tc>
          <w:tcPr>
            <w:tcW w:w="960" w:type="dxa"/>
            <w:tcMar>
              <w:left w:w="108" w:type="dxa"/>
              <w:right w:w="108" w:type="dxa"/>
            </w:tcMar>
            <w:vAlign w:val="center"/>
          </w:tcPr>
          <w:p w:rsidR="00000000" w:rsidRDefault="00000000">
            <w:pPr>
              <w:tabs>
                <w:tab w:val="decimal" w:pos="612"/>
              </w:tabs>
              <w:rPr>
                <w:sz w:val="22"/>
              </w:rPr>
            </w:pPr>
            <w:r>
              <w:rPr>
                <w:sz w:val="22"/>
              </w:rPr>
              <w:t>172</w:t>
            </w:r>
          </w:p>
        </w:tc>
        <w:tc>
          <w:tcPr>
            <w:tcW w:w="1080" w:type="dxa"/>
            <w:tcMar>
              <w:left w:w="108" w:type="dxa"/>
              <w:right w:w="108" w:type="dxa"/>
            </w:tcMar>
            <w:vAlign w:val="center"/>
          </w:tcPr>
          <w:p w:rsidR="00000000" w:rsidRDefault="00000000">
            <w:pPr>
              <w:tabs>
                <w:tab w:val="decimal" w:pos="612"/>
              </w:tabs>
              <w:rPr>
                <w:sz w:val="22"/>
              </w:rPr>
            </w:pPr>
            <w:r>
              <w:rPr>
                <w:sz w:val="22"/>
              </w:rPr>
              <w:t>120</w:t>
            </w:r>
          </w:p>
        </w:tc>
        <w:tc>
          <w:tcPr>
            <w:tcW w:w="960" w:type="dxa"/>
            <w:tcMar>
              <w:left w:w="108" w:type="dxa"/>
              <w:right w:w="108" w:type="dxa"/>
            </w:tcMar>
            <w:vAlign w:val="center"/>
          </w:tcPr>
          <w:p w:rsidR="00000000" w:rsidRDefault="00000000">
            <w:pPr>
              <w:tabs>
                <w:tab w:val="decimal" w:pos="612"/>
              </w:tabs>
              <w:rPr>
                <w:sz w:val="22"/>
              </w:rPr>
            </w:pPr>
            <w:r>
              <w:rPr>
                <w:sz w:val="22"/>
              </w:rPr>
              <w:t>52</w:t>
            </w:r>
          </w:p>
        </w:tc>
        <w:tc>
          <w:tcPr>
            <w:tcW w:w="720" w:type="dxa"/>
            <w:tcMar>
              <w:left w:w="108" w:type="dxa"/>
              <w:right w:w="108" w:type="dxa"/>
            </w:tcMar>
            <w:vAlign w:val="center"/>
          </w:tcPr>
          <w:p w:rsidR="00000000" w:rsidRDefault="00000000">
            <w:pPr>
              <w:tabs>
                <w:tab w:val="decimal" w:pos="612"/>
              </w:tabs>
              <w:rPr>
                <w:sz w:val="22"/>
              </w:rPr>
            </w:pPr>
            <w:r>
              <w:rPr>
                <w:sz w:val="22"/>
              </w:rPr>
              <w:t>207</w:t>
            </w:r>
          </w:p>
        </w:tc>
        <w:tc>
          <w:tcPr>
            <w:tcW w:w="1080" w:type="dxa"/>
            <w:tcMar>
              <w:left w:w="108" w:type="dxa"/>
              <w:right w:w="108" w:type="dxa"/>
            </w:tcMar>
            <w:vAlign w:val="center"/>
          </w:tcPr>
          <w:p w:rsidR="00000000" w:rsidRDefault="00000000">
            <w:pPr>
              <w:tabs>
                <w:tab w:val="decimal" w:pos="612"/>
              </w:tabs>
              <w:rPr>
                <w:sz w:val="22"/>
              </w:rPr>
            </w:pPr>
            <w:r>
              <w:rPr>
                <w:sz w:val="22"/>
              </w:rPr>
              <w:t>131</w:t>
            </w:r>
          </w:p>
        </w:tc>
        <w:tc>
          <w:tcPr>
            <w:tcW w:w="1045" w:type="dxa"/>
            <w:tcMar>
              <w:left w:w="108" w:type="dxa"/>
              <w:right w:w="108" w:type="dxa"/>
            </w:tcMar>
            <w:vAlign w:val="center"/>
          </w:tcPr>
          <w:p w:rsidR="00000000" w:rsidRDefault="00000000">
            <w:pPr>
              <w:tabs>
                <w:tab w:val="decimal" w:pos="612"/>
              </w:tabs>
              <w:rPr>
                <w:sz w:val="22"/>
              </w:rPr>
            </w:pPr>
            <w:r>
              <w:rPr>
                <w:sz w:val="22"/>
              </w:rPr>
              <w:t>76</w:t>
            </w:r>
          </w:p>
        </w:tc>
      </w:tr>
      <w:tr w:rsidR="00000000">
        <w:tblPrEx>
          <w:tblCellMar>
            <w:top w:w="0" w:type="dxa"/>
            <w:left w:w="0" w:type="dxa"/>
            <w:bottom w:w="0" w:type="dxa"/>
            <w:right w:w="0" w:type="dxa"/>
          </w:tblCellMar>
        </w:tblPrEx>
        <w:trPr>
          <w:jc w:val="center"/>
        </w:trPr>
        <w:tc>
          <w:tcPr>
            <w:tcW w:w="3450" w:type="dxa"/>
            <w:tcMar>
              <w:left w:w="108" w:type="dxa"/>
              <w:right w:w="108" w:type="dxa"/>
            </w:tcMar>
            <w:vAlign w:val="center"/>
          </w:tcPr>
          <w:p w:rsidR="00000000" w:rsidRDefault="00000000">
            <w:pPr>
              <w:rPr>
                <w:sz w:val="22"/>
              </w:rPr>
            </w:pPr>
            <w:r>
              <w:rPr>
                <w:sz w:val="22"/>
              </w:rPr>
              <w:t>Pacientes ya tratados en otra oportunidad</w:t>
            </w:r>
          </w:p>
        </w:tc>
        <w:tc>
          <w:tcPr>
            <w:tcW w:w="960" w:type="dxa"/>
            <w:tcMar>
              <w:left w:w="108" w:type="dxa"/>
              <w:right w:w="108" w:type="dxa"/>
            </w:tcMar>
            <w:vAlign w:val="center"/>
          </w:tcPr>
          <w:p w:rsidR="00000000" w:rsidRDefault="00000000">
            <w:pPr>
              <w:tabs>
                <w:tab w:val="decimal" w:pos="612"/>
              </w:tabs>
              <w:rPr>
                <w:sz w:val="22"/>
              </w:rPr>
            </w:pPr>
            <w:r>
              <w:rPr>
                <w:sz w:val="22"/>
              </w:rPr>
              <w:t>325</w:t>
            </w:r>
          </w:p>
        </w:tc>
        <w:tc>
          <w:tcPr>
            <w:tcW w:w="1080" w:type="dxa"/>
            <w:tcMar>
              <w:left w:w="108" w:type="dxa"/>
              <w:right w:w="108" w:type="dxa"/>
            </w:tcMar>
            <w:vAlign w:val="center"/>
          </w:tcPr>
          <w:p w:rsidR="00000000" w:rsidRDefault="00000000">
            <w:pPr>
              <w:tabs>
                <w:tab w:val="decimal" w:pos="612"/>
              </w:tabs>
              <w:rPr>
                <w:sz w:val="22"/>
              </w:rPr>
            </w:pPr>
            <w:r>
              <w:rPr>
                <w:sz w:val="22"/>
              </w:rPr>
              <w:t>182</w:t>
            </w:r>
          </w:p>
        </w:tc>
        <w:tc>
          <w:tcPr>
            <w:tcW w:w="960" w:type="dxa"/>
            <w:tcMar>
              <w:left w:w="108" w:type="dxa"/>
              <w:right w:w="108" w:type="dxa"/>
            </w:tcMar>
            <w:vAlign w:val="center"/>
          </w:tcPr>
          <w:p w:rsidR="00000000" w:rsidRDefault="00000000">
            <w:pPr>
              <w:tabs>
                <w:tab w:val="decimal" w:pos="612"/>
              </w:tabs>
              <w:rPr>
                <w:sz w:val="22"/>
              </w:rPr>
            </w:pPr>
            <w:r>
              <w:rPr>
                <w:sz w:val="22"/>
              </w:rPr>
              <w:t>143</w:t>
            </w:r>
          </w:p>
        </w:tc>
        <w:tc>
          <w:tcPr>
            <w:tcW w:w="720" w:type="dxa"/>
            <w:tcMar>
              <w:left w:w="108" w:type="dxa"/>
              <w:right w:w="108" w:type="dxa"/>
            </w:tcMar>
            <w:vAlign w:val="center"/>
          </w:tcPr>
          <w:p w:rsidR="00000000" w:rsidRDefault="00000000">
            <w:pPr>
              <w:tabs>
                <w:tab w:val="decimal" w:pos="612"/>
              </w:tabs>
              <w:rPr>
                <w:sz w:val="22"/>
              </w:rPr>
            </w:pPr>
            <w:r>
              <w:rPr>
                <w:sz w:val="22"/>
              </w:rPr>
              <w:t>499</w:t>
            </w:r>
          </w:p>
        </w:tc>
        <w:tc>
          <w:tcPr>
            <w:tcW w:w="1080" w:type="dxa"/>
            <w:tcMar>
              <w:left w:w="108" w:type="dxa"/>
              <w:right w:w="108" w:type="dxa"/>
            </w:tcMar>
            <w:vAlign w:val="center"/>
          </w:tcPr>
          <w:p w:rsidR="00000000" w:rsidRDefault="00000000">
            <w:pPr>
              <w:tabs>
                <w:tab w:val="decimal" w:pos="612"/>
              </w:tabs>
              <w:rPr>
                <w:sz w:val="22"/>
              </w:rPr>
            </w:pPr>
            <w:r>
              <w:rPr>
                <w:sz w:val="22"/>
              </w:rPr>
              <w:t>338</w:t>
            </w:r>
          </w:p>
        </w:tc>
        <w:tc>
          <w:tcPr>
            <w:tcW w:w="1045" w:type="dxa"/>
            <w:tcMar>
              <w:left w:w="108" w:type="dxa"/>
              <w:right w:w="108" w:type="dxa"/>
            </w:tcMar>
            <w:vAlign w:val="center"/>
          </w:tcPr>
          <w:p w:rsidR="00000000" w:rsidRDefault="00000000">
            <w:pPr>
              <w:tabs>
                <w:tab w:val="decimal" w:pos="612"/>
              </w:tabs>
              <w:rPr>
                <w:sz w:val="22"/>
              </w:rPr>
            </w:pPr>
            <w:r>
              <w:rPr>
                <w:sz w:val="22"/>
              </w:rPr>
              <w:t>161</w:t>
            </w:r>
          </w:p>
        </w:tc>
      </w:tr>
      <w:tr w:rsidR="00000000">
        <w:tblPrEx>
          <w:tblCellMar>
            <w:top w:w="0" w:type="dxa"/>
            <w:left w:w="0" w:type="dxa"/>
            <w:bottom w:w="0" w:type="dxa"/>
            <w:right w:w="0" w:type="dxa"/>
          </w:tblCellMar>
        </w:tblPrEx>
        <w:trPr>
          <w:jc w:val="center"/>
        </w:trPr>
        <w:tc>
          <w:tcPr>
            <w:tcW w:w="3450" w:type="dxa"/>
            <w:tcMar>
              <w:left w:w="108" w:type="dxa"/>
              <w:right w:w="108" w:type="dxa"/>
            </w:tcMar>
            <w:vAlign w:val="center"/>
          </w:tcPr>
          <w:p w:rsidR="00000000" w:rsidRDefault="00000000">
            <w:pPr>
              <w:rPr>
                <w:sz w:val="22"/>
              </w:rPr>
            </w:pPr>
            <w:r>
              <w:rPr>
                <w:sz w:val="22"/>
              </w:rPr>
              <w:t>Procedentes del consultorio externo</w:t>
            </w:r>
          </w:p>
        </w:tc>
        <w:tc>
          <w:tcPr>
            <w:tcW w:w="960" w:type="dxa"/>
            <w:tcMar>
              <w:left w:w="108" w:type="dxa"/>
              <w:right w:w="108" w:type="dxa"/>
            </w:tcMar>
            <w:vAlign w:val="center"/>
          </w:tcPr>
          <w:p w:rsidR="00000000" w:rsidRDefault="00000000">
            <w:pPr>
              <w:tabs>
                <w:tab w:val="decimal" w:pos="612"/>
              </w:tabs>
              <w:rPr>
                <w:sz w:val="22"/>
              </w:rPr>
            </w:pPr>
            <w:r>
              <w:rPr>
                <w:sz w:val="22"/>
              </w:rPr>
              <w:t>347</w:t>
            </w:r>
          </w:p>
        </w:tc>
        <w:tc>
          <w:tcPr>
            <w:tcW w:w="1080" w:type="dxa"/>
            <w:tcMar>
              <w:left w:w="108" w:type="dxa"/>
              <w:right w:w="108" w:type="dxa"/>
            </w:tcMar>
            <w:vAlign w:val="center"/>
          </w:tcPr>
          <w:p w:rsidR="00000000" w:rsidRDefault="00000000">
            <w:pPr>
              <w:tabs>
                <w:tab w:val="decimal" w:pos="612"/>
              </w:tabs>
              <w:rPr>
                <w:sz w:val="22"/>
              </w:rPr>
            </w:pPr>
            <w:r>
              <w:rPr>
                <w:sz w:val="22"/>
              </w:rPr>
              <w:t>185</w:t>
            </w:r>
          </w:p>
        </w:tc>
        <w:tc>
          <w:tcPr>
            <w:tcW w:w="960" w:type="dxa"/>
            <w:tcMar>
              <w:left w:w="108" w:type="dxa"/>
              <w:right w:w="108" w:type="dxa"/>
            </w:tcMar>
            <w:vAlign w:val="center"/>
          </w:tcPr>
          <w:p w:rsidR="00000000" w:rsidRDefault="00000000">
            <w:pPr>
              <w:tabs>
                <w:tab w:val="decimal" w:pos="612"/>
              </w:tabs>
              <w:rPr>
                <w:sz w:val="22"/>
              </w:rPr>
            </w:pPr>
            <w:r>
              <w:rPr>
                <w:sz w:val="22"/>
              </w:rPr>
              <w:t>162</w:t>
            </w:r>
          </w:p>
        </w:tc>
        <w:tc>
          <w:tcPr>
            <w:tcW w:w="720" w:type="dxa"/>
            <w:tcMar>
              <w:left w:w="108" w:type="dxa"/>
              <w:right w:w="108" w:type="dxa"/>
            </w:tcMar>
            <w:vAlign w:val="center"/>
          </w:tcPr>
          <w:p w:rsidR="00000000" w:rsidRDefault="00000000">
            <w:pPr>
              <w:tabs>
                <w:tab w:val="decimal" w:pos="612"/>
              </w:tabs>
              <w:rPr>
                <w:sz w:val="22"/>
              </w:rPr>
            </w:pPr>
            <w:r>
              <w:rPr>
                <w:sz w:val="22"/>
              </w:rPr>
              <w:t>803</w:t>
            </w:r>
          </w:p>
        </w:tc>
        <w:tc>
          <w:tcPr>
            <w:tcW w:w="1080" w:type="dxa"/>
            <w:tcMar>
              <w:left w:w="108" w:type="dxa"/>
              <w:right w:w="108" w:type="dxa"/>
            </w:tcMar>
            <w:vAlign w:val="center"/>
          </w:tcPr>
          <w:p w:rsidR="00000000" w:rsidRDefault="00000000">
            <w:pPr>
              <w:tabs>
                <w:tab w:val="decimal" w:pos="612"/>
              </w:tabs>
              <w:rPr>
                <w:sz w:val="22"/>
              </w:rPr>
            </w:pPr>
            <w:r>
              <w:rPr>
                <w:sz w:val="22"/>
              </w:rPr>
              <w:t>374</w:t>
            </w:r>
          </w:p>
        </w:tc>
        <w:tc>
          <w:tcPr>
            <w:tcW w:w="1045" w:type="dxa"/>
            <w:tcMar>
              <w:left w:w="108" w:type="dxa"/>
              <w:right w:w="108" w:type="dxa"/>
            </w:tcMar>
            <w:vAlign w:val="center"/>
          </w:tcPr>
          <w:p w:rsidR="00000000" w:rsidRDefault="00000000">
            <w:pPr>
              <w:tabs>
                <w:tab w:val="decimal" w:pos="612"/>
              </w:tabs>
              <w:rPr>
                <w:sz w:val="22"/>
              </w:rPr>
            </w:pPr>
            <w:r>
              <w:rPr>
                <w:sz w:val="22"/>
              </w:rPr>
              <w:t>429</w:t>
            </w:r>
          </w:p>
        </w:tc>
      </w:tr>
      <w:tr w:rsidR="00000000">
        <w:tblPrEx>
          <w:tblCellMar>
            <w:top w:w="0" w:type="dxa"/>
            <w:left w:w="0" w:type="dxa"/>
            <w:bottom w:w="0" w:type="dxa"/>
            <w:right w:w="0" w:type="dxa"/>
          </w:tblCellMar>
        </w:tblPrEx>
        <w:trPr>
          <w:jc w:val="center"/>
        </w:trPr>
        <w:tc>
          <w:tcPr>
            <w:tcW w:w="3450" w:type="dxa"/>
            <w:tcMar>
              <w:left w:w="108" w:type="dxa"/>
              <w:right w:w="108" w:type="dxa"/>
            </w:tcMar>
            <w:vAlign w:val="center"/>
          </w:tcPr>
          <w:p w:rsidR="00000000" w:rsidRDefault="00000000">
            <w:pPr>
              <w:rPr>
                <w:sz w:val="22"/>
              </w:rPr>
            </w:pPr>
            <w:r>
              <w:rPr>
                <w:sz w:val="22"/>
              </w:rPr>
              <w:t>Seguimientos</w:t>
            </w:r>
          </w:p>
        </w:tc>
        <w:tc>
          <w:tcPr>
            <w:tcW w:w="960" w:type="dxa"/>
            <w:tcMar>
              <w:left w:w="108" w:type="dxa"/>
              <w:right w:w="108" w:type="dxa"/>
            </w:tcMar>
            <w:vAlign w:val="center"/>
          </w:tcPr>
          <w:p w:rsidR="00000000" w:rsidRDefault="00000000">
            <w:pPr>
              <w:tabs>
                <w:tab w:val="decimal" w:pos="612"/>
              </w:tabs>
              <w:rPr>
                <w:sz w:val="22"/>
              </w:rPr>
            </w:pPr>
            <w:r>
              <w:rPr>
                <w:sz w:val="22"/>
              </w:rPr>
              <w:t>9.161</w:t>
            </w:r>
          </w:p>
        </w:tc>
        <w:tc>
          <w:tcPr>
            <w:tcW w:w="1080" w:type="dxa"/>
            <w:tcMar>
              <w:left w:w="108" w:type="dxa"/>
              <w:right w:w="108" w:type="dxa"/>
            </w:tcMar>
            <w:vAlign w:val="center"/>
          </w:tcPr>
          <w:p w:rsidR="00000000" w:rsidRDefault="00000000">
            <w:pPr>
              <w:tabs>
                <w:tab w:val="decimal" w:pos="612"/>
              </w:tabs>
              <w:rPr>
                <w:sz w:val="22"/>
              </w:rPr>
            </w:pPr>
            <w:r>
              <w:rPr>
                <w:sz w:val="22"/>
              </w:rPr>
              <w:t>–</w:t>
            </w:r>
          </w:p>
        </w:tc>
        <w:tc>
          <w:tcPr>
            <w:tcW w:w="960" w:type="dxa"/>
            <w:tcMar>
              <w:left w:w="108" w:type="dxa"/>
              <w:right w:w="108" w:type="dxa"/>
            </w:tcMar>
            <w:vAlign w:val="center"/>
          </w:tcPr>
          <w:p w:rsidR="00000000" w:rsidRDefault="00000000">
            <w:pPr>
              <w:tabs>
                <w:tab w:val="decimal" w:pos="612"/>
              </w:tabs>
              <w:rPr>
                <w:sz w:val="22"/>
              </w:rPr>
            </w:pPr>
            <w:r>
              <w:rPr>
                <w:sz w:val="22"/>
              </w:rPr>
              <w:t>–</w:t>
            </w:r>
          </w:p>
        </w:tc>
        <w:tc>
          <w:tcPr>
            <w:tcW w:w="720" w:type="dxa"/>
            <w:tcMar>
              <w:left w:w="108" w:type="dxa"/>
              <w:right w:w="108" w:type="dxa"/>
            </w:tcMar>
            <w:vAlign w:val="center"/>
          </w:tcPr>
          <w:p w:rsidR="00000000" w:rsidRDefault="00000000">
            <w:pPr>
              <w:tabs>
                <w:tab w:val="decimal" w:pos="612"/>
              </w:tabs>
              <w:rPr>
                <w:sz w:val="22"/>
              </w:rPr>
            </w:pPr>
            <w:r>
              <w:rPr>
                <w:sz w:val="22"/>
              </w:rPr>
              <w:t>9.899</w:t>
            </w:r>
          </w:p>
        </w:tc>
        <w:tc>
          <w:tcPr>
            <w:tcW w:w="1080" w:type="dxa"/>
            <w:tcMar>
              <w:left w:w="108" w:type="dxa"/>
              <w:right w:w="108" w:type="dxa"/>
            </w:tcMar>
            <w:vAlign w:val="center"/>
          </w:tcPr>
          <w:p w:rsidR="00000000" w:rsidRDefault="00000000">
            <w:pPr>
              <w:tabs>
                <w:tab w:val="decimal" w:pos="612"/>
              </w:tabs>
              <w:rPr>
                <w:sz w:val="22"/>
              </w:rPr>
            </w:pPr>
            <w:r>
              <w:rPr>
                <w:sz w:val="22"/>
              </w:rPr>
              <w:t>4.587</w:t>
            </w:r>
          </w:p>
        </w:tc>
        <w:tc>
          <w:tcPr>
            <w:tcW w:w="1045" w:type="dxa"/>
            <w:tcMar>
              <w:left w:w="108" w:type="dxa"/>
              <w:right w:w="108" w:type="dxa"/>
            </w:tcMar>
            <w:vAlign w:val="center"/>
          </w:tcPr>
          <w:p w:rsidR="00000000" w:rsidRDefault="00000000">
            <w:pPr>
              <w:tabs>
                <w:tab w:val="decimal" w:pos="612"/>
              </w:tabs>
              <w:rPr>
                <w:sz w:val="22"/>
              </w:rPr>
            </w:pPr>
            <w:r>
              <w:rPr>
                <w:sz w:val="22"/>
              </w:rPr>
              <w:t>5.312</w:t>
            </w:r>
          </w:p>
        </w:tc>
      </w:tr>
    </w:tbl>
    <w:p w:rsidR="00000000" w:rsidRDefault="00000000">
      <w:pPr>
        <w:pStyle w:val="FootnoteText"/>
        <w:spacing w:before="160" w:after="480" w:line="240" w:lineRule="auto"/>
        <w:rPr>
          <w:sz w:val="22"/>
        </w:rPr>
      </w:pPr>
      <w:r>
        <w:rPr>
          <w:i/>
          <w:iCs/>
          <w:sz w:val="22"/>
        </w:rPr>
        <w:t>Fuente</w:t>
      </w:r>
      <w:r>
        <w:rPr>
          <w:sz w:val="22"/>
        </w:rPr>
        <w:t>:  Hospitales de salud mental de Zanzíbar.</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480" w:line="240" w:lineRule="auto"/>
        <w:ind w:left="0" w:right="0"/>
        <w:jc w:val="left"/>
        <w:rPr>
          <w:spacing w:val="0"/>
          <w:w w:val="100"/>
          <w:kern w:val="0"/>
          <w:sz w:val="24"/>
        </w:rPr>
      </w:pPr>
      <w:r>
        <w:rPr>
          <w:spacing w:val="0"/>
          <w:w w:val="100"/>
          <w:kern w:val="0"/>
          <w:sz w:val="24"/>
        </w:rPr>
        <w:t>208.</w:t>
      </w:r>
      <w:r>
        <w:rPr>
          <w:spacing w:val="0"/>
          <w:w w:val="100"/>
          <w:kern w:val="0"/>
          <w:sz w:val="24"/>
        </w:rPr>
        <w:tab/>
        <w:t>El Gobierno de Zanzíbar ha establecido una junta del hospital mental dentro del Ministerio de Salud, cuya función principal es supervisar a todos los niños con problemas de salud mental y vigilar su estado físico y psic</w:t>
      </w:r>
      <w:r>
        <w:rPr>
          <w:spacing w:val="0"/>
          <w:w w:val="100"/>
          <w:kern w:val="0"/>
          <w:sz w:val="24"/>
        </w:rPr>
        <w:t>o</w:t>
      </w:r>
      <w:r>
        <w:rPr>
          <w:spacing w:val="0"/>
          <w:w w:val="100"/>
          <w:kern w:val="0"/>
          <w:sz w:val="24"/>
        </w:rPr>
        <w:t>lógico.</w:t>
      </w:r>
    </w:p>
    <w:p w:rsidR="00000000" w:rsidRDefault="00000000">
      <w:pPr>
        <w:pStyle w:val="HCh"/>
        <w:keepNext w:val="0"/>
        <w:keepLines w:val="0"/>
        <w:suppressAutoHyphens w:val="0"/>
        <w:spacing w:after="240" w:line="240" w:lineRule="auto"/>
        <w:ind w:left="567" w:hanging="567"/>
        <w:jc w:val="center"/>
        <w:outlineLvl w:val="9"/>
        <w:rPr>
          <w:bCs/>
          <w:spacing w:val="0"/>
          <w:w w:val="100"/>
          <w:kern w:val="0"/>
          <w:sz w:val="24"/>
        </w:rPr>
      </w:pPr>
      <w:r>
        <w:rPr>
          <w:bCs/>
          <w:spacing w:val="0"/>
          <w:w w:val="100"/>
          <w:kern w:val="0"/>
          <w:sz w:val="24"/>
        </w:rPr>
        <w:t>VII.  EDUCACIÓN, ESPARCIMIENTO Y ACTIVIDADES CULTURALES (ARTÍCULOS 28, 29 Y 31)</w:t>
      </w:r>
    </w:p>
    <w:p w:rsidR="00000000" w:rsidRDefault="00000000">
      <w:pPr>
        <w:pStyle w:val="H23"/>
        <w:keepNext w:val="0"/>
        <w:keepLines w:val="0"/>
        <w:suppressAutoHyphens w:val="0"/>
        <w:spacing w:after="240" w:line="240" w:lineRule="auto"/>
        <w:outlineLvl w:val="9"/>
        <w:rPr>
          <w:bCs/>
          <w:spacing w:val="0"/>
          <w:w w:val="100"/>
          <w:kern w:val="0"/>
          <w:sz w:val="24"/>
        </w:rPr>
      </w:pPr>
      <w:r>
        <w:rPr>
          <w:bCs/>
          <w:spacing w:val="0"/>
          <w:w w:val="100"/>
          <w:kern w:val="0"/>
          <w:sz w:val="24"/>
        </w:rPr>
        <w:t>Objetivos en materia de educación (artículo 29)</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209.</w:t>
      </w:r>
      <w:r>
        <w:rPr>
          <w:spacing w:val="0"/>
          <w:w w:val="100"/>
          <w:kern w:val="0"/>
          <w:sz w:val="24"/>
        </w:rPr>
        <w:tab/>
        <w:t xml:space="preserve">El Gobierno de la República Unida de Tanzanía ha puesto en marcha el Plan de mejora de la enseñanza primaria para 2002-2006 como estrategia de ejecución del Programa de mejora del sector educativo en Tanzanía continental.  La ejecución del Plan comenzó en enero de 2002 con los siguientes objetivos:  </w:t>
      </w:r>
    </w:p>
    <w:p w:rsidR="00000000" w:rsidRDefault="00000000">
      <w:pPr>
        <w:pStyle w:val="SingleTxt"/>
        <w:numPr>
          <w:ilvl w:val="0"/>
          <w:numId w:val="79"/>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924" w:right="0" w:hanging="357"/>
        <w:jc w:val="left"/>
        <w:rPr>
          <w:spacing w:val="0"/>
          <w:w w:val="100"/>
          <w:kern w:val="0"/>
          <w:sz w:val="24"/>
        </w:rPr>
      </w:pPr>
      <w:r>
        <w:rPr>
          <w:spacing w:val="0"/>
          <w:w w:val="100"/>
          <w:kern w:val="0"/>
          <w:sz w:val="24"/>
        </w:rPr>
        <w:t>Volver a implantar la enseñanza primaria universal para lograr que todos los niños de entre 7 y 13 años de edad que tienen derecho a la enseñanza primaria la r</w:t>
      </w:r>
      <w:r>
        <w:rPr>
          <w:spacing w:val="0"/>
          <w:w w:val="100"/>
          <w:kern w:val="0"/>
          <w:sz w:val="24"/>
        </w:rPr>
        <w:t>e</w:t>
      </w:r>
      <w:r>
        <w:rPr>
          <w:spacing w:val="0"/>
          <w:w w:val="100"/>
          <w:kern w:val="0"/>
          <w:sz w:val="24"/>
        </w:rPr>
        <w:t>ciban.</w:t>
      </w:r>
    </w:p>
    <w:p w:rsidR="00000000" w:rsidRDefault="00000000">
      <w:pPr>
        <w:pStyle w:val="SingleTxt"/>
        <w:numPr>
          <w:ilvl w:val="0"/>
          <w:numId w:val="79"/>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924" w:right="0" w:hanging="357"/>
        <w:jc w:val="left"/>
        <w:rPr>
          <w:spacing w:val="0"/>
          <w:w w:val="100"/>
          <w:kern w:val="0"/>
          <w:sz w:val="24"/>
        </w:rPr>
      </w:pPr>
      <w:r>
        <w:rPr>
          <w:spacing w:val="0"/>
          <w:w w:val="100"/>
          <w:kern w:val="0"/>
          <w:sz w:val="24"/>
        </w:rPr>
        <w:t>Mejorar la calidad de la educación de manera que haya: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1281" w:right="0" w:hanging="357"/>
        <w:jc w:val="left"/>
        <w:rPr>
          <w:spacing w:val="0"/>
          <w:w w:val="100"/>
          <w:kern w:val="0"/>
          <w:sz w:val="24"/>
        </w:rPr>
      </w:pPr>
      <w:r>
        <w:rPr>
          <w:spacing w:val="0"/>
          <w:w w:val="100"/>
          <w:kern w:val="0"/>
          <w:sz w:val="24"/>
        </w:rPr>
        <w:t>-</w:t>
      </w:r>
      <w:r>
        <w:rPr>
          <w:spacing w:val="0"/>
          <w:w w:val="100"/>
          <w:kern w:val="0"/>
          <w:sz w:val="24"/>
        </w:rPr>
        <w:tab/>
        <w:t>Materiales de enseñanza y aprendizaje adecuados;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1281" w:right="0" w:hanging="357"/>
        <w:jc w:val="left"/>
        <w:rPr>
          <w:spacing w:val="0"/>
          <w:w w:val="100"/>
          <w:kern w:val="0"/>
          <w:sz w:val="24"/>
        </w:rPr>
      </w:pPr>
      <w:r>
        <w:rPr>
          <w:spacing w:val="0"/>
          <w:w w:val="100"/>
          <w:kern w:val="0"/>
          <w:sz w:val="24"/>
        </w:rPr>
        <w:t>-</w:t>
      </w:r>
      <w:r>
        <w:rPr>
          <w:spacing w:val="0"/>
          <w:w w:val="100"/>
          <w:kern w:val="0"/>
          <w:sz w:val="24"/>
        </w:rPr>
        <w:tab/>
        <w:t>Maestros suficientes y cualificados; y</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1281" w:right="0" w:hanging="357"/>
        <w:jc w:val="left"/>
        <w:rPr>
          <w:spacing w:val="0"/>
          <w:w w:val="100"/>
          <w:kern w:val="0"/>
          <w:sz w:val="24"/>
        </w:rPr>
      </w:pPr>
      <w:r>
        <w:rPr>
          <w:spacing w:val="0"/>
          <w:w w:val="100"/>
          <w:kern w:val="0"/>
          <w:sz w:val="24"/>
        </w:rPr>
        <w:t>-</w:t>
      </w:r>
      <w:r>
        <w:rPr>
          <w:spacing w:val="0"/>
          <w:w w:val="100"/>
          <w:kern w:val="0"/>
          <w:sz w:val="24"/>
        </w:rPr>
        <w:tab/>
        <w:t>Un mejor sistema de gestión de la enseñanza primaria, que contribuya a m</w:t>
      </w:r>
      <w:r>
        <w:rPr>
          <w:spacing w:val="0"/>
          <w:w w:val="100"/>
          <w:kern w:val="0"/>
          <w:sz w:val="24"/>
        </w:rPr>
        <w:t>e</w:t>
      </w:r>
      <w:r>
        <w:rPr>
          <w:spacing w:val="0"/>
          <w:w w:val="100"/>
          <w:kern w:val="0"/>
          <w:sz w:val="24"/>
        </w:rPr>
        <w:t>jorar la calidad de los servicios de enseñanza.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210.</w:t>
      </w:r>
      <w:r>
        <w:rPr>
          <w:spacing w:val="0"/>
          <w:w w:val="100"/>
          <w:kern w:val="0"/>
          <w:sz w:val="24"/>
        </w:rPr>
        <w:tab/>
        <w:t>La ejecución del Plan de mejora de la enseñanza primaria ha repercutido vis</w:t>
      </w:r>
      <w:r>
        <w:rPr>
          <w:spacing w:val="0"/>
          <w:w w:val="100"/>
          <w:kern w:val="0"/>
          <w:sz w:val="24"/>
        </w:rPr>
        <w:t>i</w:t>
      </w:r>
      <w:r>
        <w:rPr>
          <w:spacing w:val="0"/>
          <w:w w:val="100"/>
          <w:kern w:val="0"/>
          <w:sz w:val="24"/>
        </w:rPr>
        <w:t>blemente en algunos indicadores de la estrategia de lucha contra la pobreza.  En 2003, la tasa bruta de escolarización fue del 105,3%, superior al objetivo del 85% f</w:t>
      </w:r>
      <w:r>
        <w:rPr>
          <w:spacing w:val="0"/>
          <w:w w:val="100"/>
          <w:kern w:val="0"/>
          <w:sz w:val="24"/>
        </w:rPr>
        <w:t>i</w:t>
      </w:r>
      <w:r>
        <w:rPr>
          <w:spacing w:val="0"/>
          <w:w w:val="100"/>
          <w:kern w:val="0"/>
          <w:sz w:val="24"/>
        </w:rPr>
        <w:t>jado para ese año y al 77,6% registrado en 1990, en tanto que la tasa neta de escol</w:t>
      </w:r>
      <w:r>
        <w:rPr>
          <w:spacing w:val="0"/>
          <w:w w:val="100"/>
          <w:kern w:val="0"/>
          <w:sz w:val="24"/>
        </w:rPr>
        <w:t>a</w:t>
      </w:r>
      <w:r>
        <w:rPr>
          <w:spacing w:val="0"/>
          <w:w w:val="100"/>
          <w:kern w:val="0"/>
          <w:sz w:val="24"/>
        </w:rPr>
        <w:t>rización aumentó del 58,8% en 1990 al 88,5% en 2003.  Ello es consecuencia de la supresión de los derechos de matrícula y otras contribuciones y de las campañas de escolarización impulsadas por todos los niveles del gobierno y las comunidades, que incluyen, entre otras medidas, la construcción de nuevas aulas, la contratación de más personal docente y la mejora de la nutrición.  En los cuadros 13, 14 y 15, fig</w:t>
      </w:r>
      <w:r>
        <w:rPr>
          <w:spacing w:val="0"/>
          <w:w w:val="100"/>
          <w:kern w:val="0"/>
          <w:sz w:val="24"/>
        </w:rPr>
        <w:t>u</w:t>
      </w:r>
      <w:r>
        <w:rPr>
          <w:spacing w:val="0"/>
          <w:w w:val="100"/>
          <w:kern w:val="0"/>
          <w:sz w:val="24"/>
        </w:rPr>
        <w:t>ran las tasas bruta y neta de escolarización correspondientes a los años 2000 y 2003 de los niños de 7 a 13 años de edad, y el número de alumnos matriculados en primero de pr</w:t>
      </w:r>
      <w:r>
        <w:rPr>
          <w:spacing w:val="0"/>
          <w:w w:val="100"/>
          <w:kern w:val="0"/>
          <w:sz w:val="24"/>
        </w:rPr>
        <w:t>i</w:t>
      </w:r>
      <w:r>
        <w:rPr>
          <w:spacing w:val="0"/>
          <w:w w:val="100"/>
          <w:kern w:val="0"/>
          <w:sz w:val="24"/>
        </w:rPr>
        <w:t>maria (7 años de edad).</w:t>
      </w:r>
    </w:p>
    <w:p w:rsidR="00000000" w:rsidRDefault="00000000">
      <w:pPr>
        <w:pStyle w:val="H23"/>
        <w:keepNext w:val="0"/>
        <w:keepLines w:val="0"/>
        <w:suppressAutoHyphens w:val="0"/>
        <w:spacing w:after="240" w:line="240" w:lineRule="auto"/>
        <w:jc w:val="center"/>
        <w:outlineLvl w:val="9"/>
        <w:rPr>
          <w:bCs/>
          <w:spacing w:val="0"/>
          <w:w w:val="100"/>
          <w:kern w:val="0"/>
          <w:sz w:val="24"/>
        </w:rPr>
      </w:pPr>
      <w:r>
        <w:rPr>
          <w:bCs/>
          <w:spacing w:val="0"/>
          <w:w w:val="100"/>
          <w:kern w:val="0"/>
          <w:sz w:val="24"/>
        </w:rPr>
        <w:t>Cuadro 13</w:t>
      </w:r>
    </w:p>
    <w:p w:rsidR="00000000" w:rsidRDefault="00000000">
      <w:pPr>
        <w:pStyle w:val="H23"/>
        <w:keepNext w:val="0"/>
        <w:keepLines w:val="0"/>
        <w:suppressAutoHyphens w:val="0"/>
        <w:spacing w:after="240" w:line="240" w:lineRule="auto"/>
        <w:jc w:val="center"/>
        <w:outlineLvl w:val="9"/>
        <w:rPr>
          <w:bCs/>
          <w:spacing w:val="0"/>
          <w:w w:val="100"/>
          <w:kern w:val="0"/>
          <w:sz w:val="24"/>
        </w:rPr>
      </w:pPr>
      <w:r>
        <w:rPr>
          <w:bCs/>
          <w:spacing w:val="0"/>
          <w:w w:val="100"/>
          <w:kern w:val="0"/>
          <w:sz w:val="24"/>
        </w:rPr>
        <w:t>Tasa bruta de escolarización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381"/>
        <w:gridCol w:w="2640"/>
        <w:gridCol w:w="1920"/>
        <w:gridCol w:w="1376"/>
      </w:tblGrid>
      <w:tr w:rsidR="00000000">
        <w:tblPrEx>
          <w:tblCellMar>
            <w:top w:w="0" w:type="dxa"/>
            <w:left w:w="0" w:type="dxa"/>
            <w:bottom w:w="0" w:type="dxa"/>
            <w:right w:w="0" w:type="dxa"/>
          </w:tblCellMar>
        </w:tblPrEx>
        <w:trPr>
          <w:trHeight w:val="611"/>
          <w:tblHeader/>
          <w:jc w:val="center"/>
        </w:trPr>
        <w:tc>
          <w:tcPr>
            <w:tcW w:w="1381" w:type="dxa"/>
            <w:tcMar>
              <w:left w:w="108" w:type="dxa"/>
              <w:right w:w="108" w:type="dxa"/>
            </w:tcMar>
            <w:vAlign w:val="center"/>
          </w:tcPr>
          <w:p w:rsidR="00000000" w:rsidRDefault="00000000">
            <w:pPr>
              <w:pStyle w:val="BodyText"/>
              <w:spacing w:line="240" w:lineRule="auto"/>
              <w:jc w:val="center"/>
              <w:rPr>
                <w:rFonts w:ascii="Times New Roman" w:hAnsi="Times New Roman"/>
                <w:lang w:val="es-ES"/>
              </w:rPr>
            </w:pPr>
            <w:r>
              <w:rPr>
                <w:rFonts w:ascii="Times New Roman" w:hAnsi="Times New Roman"/>
                <w:lang w:val="es-ES"/>
              </w:rPr>
              <w:t>Año</w:t>
            </w:r>
          </w:p>
        </w:tc>
        <w:tc>
          <w:tcPr>
            <w:tcW w:w="2640" w:type="dxa"/>
            <w:tcMar>
              <w:left w:w="108" w:type="dxa"/>
              <w:right w:w="108" w:type="dxa"/>
            </w:tcMar>
            <w:vAlign w:val="center"/>
          </w:tcPr>
          <w:p w:rsidR="00000000" w:rsidRDefault="00000000">
            <w:pPr>
              <w:pStyle w:val="BodyText"/>
              <w:spacing w:line="240" w:lineRule="auto"/>
              <w:jc w:val="center"/>
              <w:rPr>
                <w:rFonts w:ascii="Times New Roman" w:hAnsi="Times New Roman"/>
                <w:lang w:val="es-ES"/>
              </w:rPr>
            </w:pPr>
            <w:r>
              <w:rPr>
                <w:rFonts w:ascii="Times New Roman" w:hAnsi="Times New Roman"/>
                <w:lang w:val="es-ES"/>
              </w:rPr>
              <w:t>Total de niños de 7 a 13 años de edad</w:t>
            </w:r>
          </w:p>
        </w:tc>
        <w:tc>
          <w:tcPr>
            <w:tcW w:w="1920" w:type="dxa"/>
            <w:tcMar>
              <w:left w:w="108" w:type="dxa"/>
              <w:right w:w="108" w:type="dxa"/>
            </w:tcMar>
            <w:vAlign w:val="center"/>
          </w:tcPr>
          <w:p w:rsidR="00000000" w:rsidRDefault="00000000">
            <w:pPr>
              <w:pStyle w:val="BodyText"/>
              <w:spacing w:line="240" w:lineRule="auto"/>
              <w:jc w:val="center"/>
              <w:rPr>
                <w:rFonts w:ascii="Times New Roman" w:hAnsi="Times New Roman"/>
                <w:lang w:val="es-ES"/>
              </w:rPr>
            </w:pPr>
            <w:r>
              <w:rPr>
                <w:rFonts w:ascii="Times New Roman" w:hAnsi="Times New Roman"/>
                <w:lang w:val="es-ES"/>
              </w:rPr>
              <w:t>Total de niños  escol</w:t>
            </w:r>
            <w:r>
              <w:rPr>
                <w:rFonts w:ascii="Times New Roman" w:hAnsi="Times New Roman"/>
                <w:lang w:val="es-ES"/>
              </w:rPr>
              <w:t>a</w:t>
            </w:r>
            <w:r>
              <w:rPr>
                <w:rFonts w:ascii="Times New Roman" w:hAnsi="Times New Roman"/>
                <w:lang w:val="es-ES"/>
              </w:rPr>
              <w:t>rizados</w:t>
            </w:r>
          </w:p>
        </w:tc>
        <w:tc>
          <w:tcPr>
            <w:tcW w:w="1376" w:type="dxa"/>
            <w:tcMar>
              <w:left w:w="108" w:type="dxa"/>
              <w:right w:w="108" w:type="dxa"/>
            </w:tcMar>
            <w:vAlign w:val="center"/>
          </w:tcPr>
          <w:p w:rsidR="00000000" w:rsidRDefault="00000000">
            <w:pPr>
              <w:pStyle w:val="BodyText"/>
              <w:spacing w:line="240" w:lineRule="auto"/>
              <w:jc w:val="center"/>
              <w:rPr>
                <w:rFonts w:ascii="Times New Roman" w:hAnsi="Times New Roman"/>
                <w:lang w:val="es-ES"/>
              </w:rPr>
            </w:pPr>
            <w:r>
              <w:rPr>
                <w:rFonts w:ascii="Times New Roman" w:hAnsi="Times New Roman"/>
                <w:lang w:val="es-ES"/>
              </w:rPr>
              <w:t>Porce</w:t>
            </w:r>
            <w:r>
              <w:rPr>
                <w:rFonts w:ascii="Times New Roman" w:hAnsi="Times New Roman"/>
                <w:lang w:val="es-ES"/>
              </w:rPr>
              <w:t>n</w:t>
            </w:r>
            <w:r>
              <w:rPr>
                <w:rFonts w:ascii="Times New Roman" w:hAnsi="Times New Roman"/>
                <w:lang w:val="es-ES"/>
              </w:rPr>
              <w:t>taje</w:t>
            </w:r>
          </w:p>
        </w:tc>
      </w:tr>
      <w:tr w:rsidR="00000000">
        <w:tblPrEx>
          <w:tblCellMar>
            <w:top w:w="0" w:type="dxa"/>
            <w:left w:w="0" w:type="dxa"/>
            <w:bottom w:w="0" w:type="dxa"/>
            <w:right w:w="0" w:type="dxa"/>
          </w:tblCellMar>
        </w:tblPrEx>
        <w:trPr>
          <w:jc w:val="center"/>
        </w:trPr>
        <w:tc>
          <w:tcPr>
            <w:tcW w:w="1381" w:type="dxa"/>
            <w:tcMar>
              <w:left w:w="108" w:type="dxa"/>
              <w:right w:w="108" w:type="dxa"/>
            </w:tcMar>
            <w:vAlign w:val="center"/>
          </w:tcPr>
          <w:p w:rsidR="00000000" w:rsidRDefault="00000000">
            <w:pPr>
              <w:pStyle w:val="BodyText"/>
              <w:spacing w:line="240" w:lineRule="auto"/>
              <w:jc w:val="center"/>
              <w:rPr>
                <w:rFonts w:ascii="Times New Roman" w:hAnsi="Times New Roman"/>
                <w:lang w:val="es-ES"/>
              </w:rPr>
            </w:pPr>
            <w:r>
              <w:rPr>
                <w:rFonts w:ascii="Times New Roman" w:hAnsi="Times New Roman"/>
                <w:lang w:val="es-ES"/>
              </w:rPr>
              <w:t>2000</w:t>
            </w:r>
          </w:p>
        </w:tc>
        <w:tc>
          <w:tcPr>
            <w:tcW w:w="2640" w:type="dxa"/>
            <w:tcMar>
              <w:left w:w="108" w:type="dxa"/>
              <w:right w:w="108" w:type="dxa"/>
            </w:tcMar>
            <w:vAlign w:val="bottom"/>
          </w:tcPr>
          <w:p w:rsidR="00000000" w:rsidRDefault="00000000">
            <w:pPr>
              <w:pStyle w:val="BodyText"/>
              <w:tabs>
                <w:tab w:val="decimal" w:pos="1692"/>
              </w:tabs>
              <w:spacing w:line="240" w:lineRule="auto"/>
              <w:jc w:val="left"/>
              <w:rPr>
                <w:rFonts w:ascii="Times New Roman" w:hAnsi="Times New Roman"/>
                <w:lang w:val="es-ES"/>
              </w:rPr>
            </w:pPr>
            <w:r>
              <w:rPr>
                <w:rFonts w:ascii="Times New Roman" w:hAnsi="Times New Roman"/>
                <w:lang w:val="es-ES"/>
              </w:rPr>
              <w:t>5.646.293</w:t>
            </w:r>
          </w:p>
        </w:tc>
        <w:tc>
          <w:tcPr>
            <w:tcW w:w="1920" w:type="dxa"/>
            <w:tcMar>
              <w:left w:w="108" w:type="dxa"/>
              <w:right w:w="108" w:type="dxa"/>
            </w:tcMar>
            <w:vAlign w:val="bottom"/>
          </w:tcPr>
          <w:p w:rsidR="00000000" w:rsidRDefault="00000000">
            <w:pPr>
              <w:pStyle w:val="BodyText"/>
              <w:tabs>
                <w:tab w:val="decimal" w:pos="1243"/>
              </w:tabs>
              <w:spacing w:line="240" w:lineRule="auto"/>
              <w:jc w:val="left"/>
              <w:rPr>
                <w:rFonts w:ascii="Times New Roman" w:hAnsi="Times New Roman"/>
                <w:lang w:val="es-ES"/>
              </w:rPr>
            </w:pPr>
            <w:r>
              <w:rPr>
                <w:rFonts w:ascii="Times New Roman" w:hAnsi="Times New Roman"/>
                <w:lang w:val="es-ES"/>
              </w:rPr>
              <w:t>4.382.362</w:t>
            </w:r>
          </w:p>
        </w:tc>
        <w:tc>
          <w:tcPr>
            <w:tcW w:w="1376" w:type="dxa"/>
            <w:tcMar>
              <w:left w:w="108" w:type="dxa"/>
              <w:right w:w="108" w:type="dxa"/>
            </w:tcMar>
            <w:vAlign w:val="bottom"/>
          </w:tcPr>
          <w:p w:rsidR="00000000" w:rsidRDefault="00000000">
            <w:pPr>
              <w:pStyle w:val="BodyText"/>
              <w:tabs>
                <w:tab w:val="decimal" w:pos="732"/>
              </w:tabs>
              <w:spacing w:line="240" w:lineRule="auto"/>
              <w:jc w:val="left"/>
              <w:rPr>
                <w:rFonts w:ascii="Times New Roman" w:hAnsi="Times New Roman"/>
                <w:lang w:val="es-ES"/>
              </w:rPr>
            </w:pPr>
            <w:r>
              <w:rPr>
                <w:rFonts w:ascii="Times New Roman" w:hAnsi="Times New Roman"/>
                <w:lang w:val="es-ES"/>
              </w:rPr>
              <w:t>77</w:t>
            </w:r>
          </w:p>
        </w:tc>
      </w:tr>
      <w:tr w:rsidR="00000000">
        <w:tblPrEx>
          <w:tblCellMar>
            <w:top w:w="0" w:type="dxa"/>
            <w:left w:w="0" w:type="dxa"/>
            <w:bottom w:w="0" w:type="dxa"/>
            <w:right w:w="0" w:type="dxa"/>
          </w:tblCellMar>
        </w:tblPrEx>
        <w:trPr>
          <w:jc w:val="center"/>
        </w:trPr>
        <w:tc>
          <w:tcPr>
            <w:tcW w:w="1381" w:type="dxa"/>
            <w:tcMar>
              <w:left w:w="108" w:type="dxa"/>
              <w:right w:w="108" w:type="dxa"/>
            </w:tcMar>
            <w:vAlign w:val="center"/>
          </w:tcPr>
          <w:p w:rsidR="00000000" w:rsidRDefault="00000000">
            <w:pPr>
              <w:pStyle w:val="BodyText"/>
              <w:spacing w:line="240" w:lineRule="auto"/>
              <w:jc w:val="center"/>
              <w:rPr>
                <w:rFonts w:ascii="Times New Roman" w:hAnsi="Times New Roman"/>
                <w:lang w:val="es-ES"/>
              </w:rPr>
            </w:pPr>
            <w:r>
              <w:rPr>
                <w:rFonts w:ascii="Times New Roman" w:hAnsi="Times New Roman"/>
                <w:lang w:val="es-ES"/>
              </w:rPr>
              <w:t>2003</w:t>
            </w:r>
          </w:p>
        </w:tc>
        <w:tc>
          <w:tcPr>
            <w:tcW w:w="2640" w:type="dxa"/>
            <w:tcMar>
              <w:left w:w="108" w:type="dxa"/>
              <w:right w:w="108" w:type="dxa"/>
            </w:tcMar>
            <w:vAlign w:val="bottom"/>
          </w:tcPr>
          <w:p w:rsidR="00000000" w:rsidRDefault="00000000">
            <w:pPr>
              <w:pStyle w:val="BodyText"/>
              <w:tabs>
                <w:tab w:val="decimal" w:pos="1692"/>
              </w:tabs>
              <w:spacing w:line="240" w:lineRule="auto"/>
              <w:jc w:val="left"/>
              <w:rPr>
                <w:rFonts w:ascii="Times New Roman" w:hAnsi="Times New Roman"/>
                <w:lang w:val="es-ES"/>
              </w:rPr>
            </w:pPr>
            <w:r>
              <w:rPr>
                <w:rFonts w:ascii="Times New Roman" w:hAnsi="Times New Roman"/>
                <w:lang w:val="es-ES"/>
              </w:rPr>
              <w:t>6.229.830</w:t>
            </w:r>
          </w:p>
        </w:tc>
        <w:tc>
          <w:tcPr>
            <w:tcW w:w="1920" w:type="dxa"/>
            <w:tcMar>
              <w:left w:w="108" w:type="dxa"/>
              <w:right w:w="108" w:type="dxa"/>
            </w:tcMar>
            <w:vAlign w:val="bottom"/>
          </w:tcPr>
          <w:p w:rsidR="00000000" w:rsidRDefault="00000000">
            <w:pPr>
              <w:pStyle w:val="BodyText"/>
              <w:tabs>
                <w:tab w:val="decimal" w:pos="1243"/>
              </w:tabs>
              <w:spacing w:line="240" w:lineRule="auto"/>
              <w:jc w:val="left"/>
              <w:rPr>
                <w:rFonts w:ascii="Times New Roman" w:hAnsi="Times New Roman"/>
                <w:lang w:val="es-ES"/>
              </w:rPr>
            </w:pPr>
            <w:r>
              <w:rPr>
                <w:rFonts w:ascii="Times New Roman" w:hAnsi="Times New Roman"/>
                <w:lang w:val="es-ES"/>
              </w:rPr>
              <w:t>6.562.772</w:t>
            </w:r>
          </w:p>
        </w:tc>
        <w:tc>
          <w:tcPr>
            <w:tcW w:w="1376" w:type="dxa"/>
            <w:tcMar>
              <w:left w:w="108" w:type="dxa"/>
              <w:right w:w="108" w:type="dxa"/>
            </w:tcMar>
            <w:vAlign w:val="bottom"/>
          </w:tcPr>
          <w:p w:rsidR="00000000" w:rsidRDefault="00000000">
            <w:pPr>
              <w:pStyle w:val="BodyText"/>
              <w:tabs>
                <w:tab w:val="decimal" w:pos="732"/>
              </w:tabs>
              <w:spacing w:line="240" w:lineRule="auto"/>
              <w:jc w:val="left"/>
              <w:rPr>
                <w:rFonts w:ascii="Times New Roman" w:hAnsi="Times New Roman"/>
                <w:lang w:val="es-ES"/>
              </w:rPr>
            </w:pPr>
            <w:r>
              <w:rPr>
                <w:rFonts w:ascii="Times New Roman" w:hAnsi="Times New Roman"/>
                <w:lang w:val="es-ES"/>
              </w:rPr>
              <w:t>105,3</w:t>
            </w:r>
          </w:p>
        </w:tc>
      </w:tr>
    </w:tbl>
    <w:p w:rsidR="00000000" w:rsidRDefault="00000000">
      <w:pPr>
        <w:pStyle w:val="FootnoteText"/>
        <w:spacing w:before="200" w:after="480" w:line="240" w:lineRule="auto"/>
        <w:ind w:left="1009"/>
      </w:pPr>
      <w:r>
        <w:rPr>
          <w:i/>
          <w:iCs/>
        </w:rPr>
        <w:t>Fuente</w:t>
      </w:r>
      <w:r>
        <w:t>:  Ministerio de Educación y Cultura, 2003.</w:t>
      </w:r>
    </w:p>
    <w:p w:rsidR="00000000" w:rsidRDefault="00000000">
      <w:pPr>
        <w:pStyle w:val="H23"/>
        <w:keepNext w:val="0"/>
        <w:keepLines w:val="0"/>
        <w:suppressAutoHyphens w:val="0"/>
        <w:spacing w:after="240" w:line="240" w:lineRule="auto"/>
        <w:jc w:val="center"/>
        <w:outlineLvl w:val="9"/>
        <w:rPr>
          <w:bCs/>
          <w:spacing w:val="0"/>
          <w:w w:val="100"/>
          <w:kern w:val="0"/>
          <w:sz w:val="24"/>
        </w:rPr>
      </w:pPr>
      <w:r>
        <w:rPr>
          <w:bCs/>
          <w:spacing w:val="0"/>
          <w:w w:val="100"/>
          <w:kern w:val="0"/>
          <w:sz w:val="24"/>
        </w:rPr>
        <w:t>Cuadro 14</w:t>
      </w:r>
    </w:p>
    <w:p w:rsidR="00000000" w:rsidRDefault="00000000">
      <w:pPr>
        <w:pStyle w:val="H23"/>
        <w:keepNext w:val="0"/>
        <w:keepLines w:val="0"/>
        <w:suppressAutoHyphens w:val="0"/>
        <w:spacing w:after="240" w:line="240" w:lineRule="auto"/>
        <w:jc w:val="center"/>
        <w:outlineLvl w:val="9"/>
        <w:rPr>
          <w:bCs/>
          <w:spacing w:val="0"/>
          <w:w w:val="100"/>
          <w:kern w:val="0"/>
          <w:sz w:val="24"/>
        </w:rPr>
      </w:pPr>
      <w:r>
        <w:rPr>
          <w:bCs/>
          <w:spacing w:val="0"/>
          <w:w w:val="100"/>
          <w:kern w:val="0"/>
          <w:sz w:val="24"/>
        </w:rPr>
        <w:t>Tasa neta de escolarización</w:t>
      </w:r>
    </w:p>
    <w:tbl>
      <w:tblPr>
        <w:tblW w:w="0" w:type="auto"/>
        <w:jc w:val="center"/>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65"/>
        <w:gridCol w:w="1680"/>
        <w:gridCol w:w="1680"/>
        <w:gridCol w:w="1800"/>
        <w:gridCol w:w="1599"/>
      </w:tblGrid>
      <w:tr w:rsidR="00000000">
        <w:tblPrEx>
          <w:tblCellMar>
            <w:top w:w="0" w:type="dxa"/>
            <w:left w:w="0" w:type="dxa"/>
            <w:bottom w:w="0" w:type="dxa"/>
            <w:right w:w="0" w:type="dxa"/>
          </w:tblCellMar>
        </w:tblPrEx>
        <w:trPr>
          <w:tblHeader/>
          <w:jc w:val="center"/>
        </w:trPr>
        <w:tc>
          <w:tcPr>
            <w:tcW w:w="765" w:type="dxa"/>
            <w:tcMar>
              <w:left w:w="108" w:type="dxa"/>
              <w:right w:w="108" w:type="dxa"/>
            </w:tcMar>
            <w:vAlign w:val="center"/>
          </w:tcPr>
          <w:p w:rsidR="00000000" w:rsidRDefault="00000000">
            <w:pPr>
              <w:pStyle w:val="BodyText"/>
              <w:spacing w:line="240" w:lineRule="auto"/>
              <w:jc w:val="center"/>
              <w:rPr>
                <w:rFonts w:ascii="Times New Roman" w:hAnsi="Times New Roman"/>
                <w:lang w:val="es-ES"/>
              </w:rPr>
            </w:pPr>
            <w:r>
              <w:rPr>
                <w:rFonts w:ascii="Times New Roman" w:hAnsi="Times New Roman"/>
                <w:lang w:val="es-ES"/>
              </w:rPr>
              <w:t>Año</w:t>
            </w:r>
          </w:p>
        </w:tc>
        <w:tc>
          <w:tcPr>
            <w:tcW w:w="1680" w:type="dxa"/>
            <w:tcMar>
              <w:left w:w="108" w:type="dxa"/>
              <w:right w:w="108" w:type="dxa"/>
            </w:tcMar>
            <w:vAlign w:val="center"/>
          </w:tcPr>
          <w:p w:rsidR="00000000" w:rsidRDefault="00000000">
            <w:pPr>
              <w:pStyle w:val="BodyText"/>
              <w:spacing w:line="240" w:lineRule="auto"/>
              <w:jc w:val="center"/>
              <w:rPr>
                <w:rFonts w:ascii="Times New Roman" w:hAnsi="Times New Roman"/>
                <w:lang w:val="es-ES"/>
              </w:rPr>
            </w:pPr>
            <w:r>
              <w:rPr>
                <w:rFonts w:ascii="Times New Roman" w:hAnsi="Times New Roman"/>
                <w:lang w:val="es-ES"/>
              </w:rPr>
              <w:t>Total de niños de 7 a 13 años de edad</w:t>
            </w:r>
          </w:p>
        </w:tc>
        <w:tc>
          <w:tcPr>
            <w:tcW w:w="1680" w:type="dxa"/>
            <w:tcMar>
              <w:left w:w="108" w:type="dxa"/>
              <w:right w:w="108" w:type="dxa"/>
            </w:tcMar>
            <w:vAlign w:val="center"/>
          </w:tcPr>
          <w:p w:rsidR="00000000" w:rsidRDefault="00000000">
            <w:pPr>
              <w:pStyle w:val="BodyText"/>
              <w:spacing w:line="240" w:lineRule="auto"/>
              <w:jc w:val="center"/>
              <w:rPr>
                <w:rFonts w:ascii="Times New Roman" w:hAnsi="Times New Roman"/>
                <w:lang w:val="es-ES"/>
              </w:rPr>
            </w:pPr>
            <w:r>
              <w:rPr>
                <w:rFonts w:ascii="Times New Roman" w:hAnsi="Times New Roman"/>
                <w:lang w:val="es-ES"/>
              </w:rPr>
              <w:t>Total de niños escolariz</w:t>
            </w:r>
            <w:r>
              <w:rPr>
                <w:rFonts w:ascii="Times New Roman" w:hAnsi="Times New Roman"/>
                <w:lang w:val="es-ES"/>
              </w:rPr>
              <w:t>a</w:t>
            </w:r>
            <w:r>
              <w:rPr>
                <w:rFonts w:ascii="Times New Roman" w:hAnsi="Times New Roman"/>
                <w:lang w:val="es-ES"/>
              </w:rPr>
              <w:t>dos</w:t>
            </w:r>
          </w:p>
        </w:tc>
        <w:tc>
          <w:tcPr>
            <w:tcW w:w="1800" w:type="dxa"/>
            <w:tcMar>
              <w:left w:w="108" w:type="dxa"/>
              <w:right w:w="108" w:type="dxa"/>
            </w:tcMar>
            <w:vAlign w:val="center"/>
          </w:tcPr>
          <w:p w:rsidR="00000000" w:rsidRDefault="00000000">
            <w:pPr>
              <w:pStyle w:val="BodyText"/>
              <w:spacing w:line="240" w:lineRule="auto"/>
              <w:jc w:val="center"/>
              <w:rPr>
                <w:rFonts w:ascii="Times New Roman" w:hAnsi="Times New Roman"/>
                <w:lang w:val="es-ES"/>
              </w:rPr>
            </w:pPr>
            <w:r>
              <w:rPr>
                <w:rFonts w:ascii="Times New Roman" w:hAnsi="Times New Roman"/>
                <w:lang w:val="es-ES"/>
              </w:rPr>
              <w:t xml:space="preserve">Porcentaje </w:t>
            </w:r>
            <w:r>
              <w:rPr>
                <w:rFonts w:ascii="Times New Roman" w:hAnsi="Times New Roman"/>
                <w:lang w:val="es-ES"/>
              </w:rPr>
              <w:br/>
              <w:t>de niños escolar</w:t>
            </w:r>
            <w:r>
              <w:rPr>
                <w:rFonts w:ascii="Times New Roman" w:hAnsi="Times New Roman"/>
                <w:lang w:val="es-ES"/>
              </w:rPr>
              <w:t>i</w:t>
            </w:r>
            <w:r>
              <w:rPr>
                <w:rFonts w:ascii="Times New Roman" w:hAnsi="Times New Roman"/>
                <w:lang w:val="es-ES"/>
              </w:rPr>
              <w:t>zados</w:t>
            </w:r>
          </w:p>
        </w:tc>
        <w:tc>
          <w:tcPr>
            <w:tcW w:w="1599" w:type="dxa"/>
            <w:tcMar>
              <w:left w:w="108" w:type="dxa"/>
              <w:right w:w="108" w:type="dxa"/>
            </w:tcMar>
            <w:vAlign w:val="center"/>
          </w:tcPr>
          <w:p w:rsidR="00000000" w:rsidRDefault="00000000">
            <w:pPr>
              <w:pStyle w:val="BodyText"/>
              <w:spacing w:line="240" w:lineRule="auto"/>
              <w:jc w:val="center"/>
              <w:rPr>
                <w:rFonts w:ascii="Times New Roman" w:hAnsi="Times New Roman"/>
                <w:lang w:val="es-ES"/>
              </w:rPr>
            </w:pPr>
            <w:r>
              <w:rPr>
                <w:rFonts w:ascii="Times New Roman" w:hAnsi="Times New Roman"/>
                <w:lang w:val="es-ES"/>
              </w:rPr>
              <w:t>Porcentaje de niños sin escolarizar</w:t>
            </w:r>
          </w:p>
        </w:tc>
      </w:tr>
      <w:tr w:rsidR="00000000">
        <w:tblPrEx>
          <w:tblCellMar>
            <w:top w:w="0" w:type="dxa"/>
            <w:left w:w="0" w:type="dxa"/>
            <w:bottom w:w="0" w:type="dxa"/>
            <w:right w:w="0" w:type="dxa"/>
          </w:tblCellMar>
        </w:tblPrEx>
        <w:trPr>
          <w:jc w:val="center"/>
        </w:trPr>
        <w:tc>
          <w:tcPr>
            <w:tcW w:w="765" w:type="dxa"/>
            <w:tcMar>
              <w:left w:w="108" w:type="dxa"/>
              <w:right w:w="108" w:type="dxa"/>
            </w:tcMar>
            <w:vAlign w:val="bottom"/>
          </w:tcPr>
          <w:p w:rsidR="00000000" w:rsidRDefault="00000000">
            <w:pPr>
              <w:pStyle w:val="BodyText"/>
              <w:spacing w:line="240" w:lineRule="auto"/>
              <w:jc w:val="left"/>
              <w:rPr>
                <w:rFonts w:ascii="Times New Roman" w:hAnsi="Times New Roman"/>
                <w:lang w:val="es-ES"/>
              </w:rPr>
            </w:pPr>
            <w:r>
              <w:rPr>
                <w:rFonts w:ascii="Times New Roman" w:hAnsi="Times New Roman"/>
                <w:lang w:val="es-ES"/>
              </w:rPr>
              <w:t>2000</w:t>
            </w:r>
          </w:p>
        </w:tc>
        <w:tc>
          <w:tcPr>
            <w:tcW w:w="1680" w:type="dxa"/>
            <w:tcMar>
              <w:left w:w="108" w:type="dxa"/>
              <w:right w:w="108" w:type="dxa"/>
            </w:tcMar>
            <w:vAlign w:val="bottom"/>
          </w:tcPr>
          <w:p w:rsidR="00000000" w:rsidRDefault="00000000">
            <w:pPr>
              <w:pStyle w:val="BodyText"/>
              <w:tabs>
                <w:tab w:val="decimal" w:pos="1212"/>
              </w:tabs>
              <w:spacing w:line="240" w:lineRule="auto"/>
              <w:jc w:val="left"/>
              <w:rPr>
                <w:rFonts w:ascii="Times New Roman" w:hAnsi="Times New Roman"/>
                <w:lang w:val="es-ES"/>
              </w:rPr>
            </w:pPr>
            <w:r>
              <w:rPr>
                <w:rFonts w:ascii="Times New Roman" w:hAnsi="Times New Roman"/>
                <w:lang w:val="es-ES"/>
              </w:rPr>
              <w:t>5.646.293</w:t>
            </w:r>
          </w:p>
        </w:tc>
        <w:tc>
          <w:tcPr>
            <w:tcW w:w="1680" w:type="dxa"/>
            <w:tcMar>
              <w:left w:w="108" w:type="dxa"/>
              <w:right w:w="108" w:type="dxa"/>
            </w:tcMar>
            <w:vAlign w:val="bottom"/>
          </w:tcPr>
          <w:p w:rsidR="00000000" w:rsidRDefault="00000000">
            <w:pPr>
              <w:pStyle w:val="BodyText"/>
              <w:tabs>
                <w:tab w:val="decimal" w:pos="1212"/>
              </w:tabs>
              <w:spacing w:line="240" w:lineRule="auto"/>
              <w:jc w:val="left"/>
              <w:rPr>
                <w:rFonts w:ascii="Times New Roman" w:hAnsi="Times New Roman"/>
                <w:lang w:val="es-ES"/>
              </w:rPr>
            </w:pPr>
            <w:r>
              <w:rPr>
                <w:rFonts w:ascii="Times New Roman" w:hAnsi="Times New Roman"/>
                <w:lang w:val="es-ES"/>
              </w:rPr>
              <w:t>3.309.977</w:t>
            </w:r>
          </w:p>
        </w:tc>
        <w:tc>
          <w:tcPr>
            <w:tcW w:w="1800" w:type="dxa"/>
            <w:tcMar>
              <w:left w:w="108" w:type="dxa"/>
              <w:right w:w="108" w:type="dxa"/>
            </w:tcMar>
            <w:vAlign w:val="bottom"/>
          </w:tcPr>
          <w:p w:rsidR="00000000" w:rsidRDefault="00000000">
            <w:pPr>
              <w:pStyle w:val="BodyText"/>
              <w:tabs>
                <w:tab w:val="decimal" w:pos="852"/>
              </w:tabs>
              <w:spacing w:line="240" w:lineRule="auto"/>
              <w:jc w:val="left"/>
              <w:rPr>
                <w:rFonts w:ascii="Times New Roman" w:hAnsi="Times New Roman"/>
                <w:lang w:val="es-ES"/>
              </w:rPr>
            </w:pPr>
            <w:r>
              <w:rPr>
                <w:rFonts w:ascii="Times New Roman" w:hAnsi="Times New Roman"/>
                <w:lang w:val="es-ES"/>
              </w:rPr>
              <w:t>58,6</w:t>
            </w:r>
          </w:p>
        </w:tc>
        <w:tc>
          <w:tcPr>
            <w:tcW w:w="1599" w:type="dxa"/>
            <w:tcMar>
              <w:left w:w="108" w:type="dxa"/>
              <w:right w:w="108" w:type="dxa"/>
            </w:tcMar>
            <w:vAlign w:val="bottom"/>
          </w:tcPr>
          <w:p w:rsidR="00000000" w:rsidRDefault="00000000">
            <w:pPr>
              <w:pStyle w:val="BodyText"/>
              <w:tabs>
                <w:tab w:val="decimal" w:pos="732"/>
              </w:tabs>
              <w:spacing w:line="240" w:lineRule="auto"/>
              <w:jc w:val="left"/>
              <w:rPr>
                <w:rFonts w:ascii="Times New Roman" w:hAnsi="Times New Roman"/>
                <w:lang w:val="es-ES"/>
              </w:rPr>
            </w:pPr>
            <w:r>
              <w:rPr>
                <w:rFonts w:ascii="Times New Roman" w:hAnsi="Times New Roman"/>
                <w:lang w:val="es-ES"/>
              </w:rPr>
              <w:t>41,38</w:t>
            </w:r>
          </w:p>
        </w:tc>
      </w:tr>
      <w:tr w:rsidR="00000000">
        <w:tblPrEx>
          <w:tblCellMar>
            <w:top w:w="0" w:type="dxa"/>
            <w:left w:w="0" w:type="dxa"/>
            <w:bottom w:w="0" w:type="dxa"/>
            <w:right w:w="0" w:type="dxa"/>
          </w:tblCellMar>
        </w:tblPrEx>
        <w:trPr>
          <w:jc w:val="center"/>
        </w:trPr>
        <w:tc>
          <w:tcPr>
            <w:tcW w:w="765" w:type="dxa"/>
            <w:tcMar>
              <w:left w:w="108" w:type="dxa"/>
              <w:right w:w="108" w:type="dxa"/>
            </w:tcMar>
            <w:vAlign w:val="bottom"/>
          </w:tcPr>
          <w:p w:rsidR="00000000" w:rsidRDefault="00000000">
            <w:pPr>
              <w:pStyle w:val="BodyText"/>
              <w:spacing w:line="240" w:lineRule="auto"/>
              <w:jc w:val="left"/>
              <w:rPr>
                <w:rFonts w:ascii="Times New Roman" w:hAnsi="Times New Roman"/>
                <w:lang w:val="es-ES"/>
              </w:rPr>
            </w:pPr>
            <w:r>
              <w:rPr>
                <w:rFonts w:ascii="Times New Roman" w:hAnsi="Times New Roman"/>
                <w:lang w:val="es-ES"/>
              </w:rPr>
              <w:t>2003</w:t>
            </w:r>
          </w:p>
        </w:tc>
        <w:tc>
          <w:tcPr>
            <w:tcW w:w="1680" w:type="dxa"/>
            <w:tcMar>
              <w:left w:w="108" w:type="dxa"/>
              <w:right w:w="108" w:type="dxa"/>
            </w:tcMar>
            <w:vAlign w:val="bottom"/>
          </w:tcPr>
          <w:p w:rsidR="00000000" w:rsidRDefault="00000000">
            <w:pPr>
              <w:pStyle w:val="BodyText"/>
              <w:tabs>
                <w:tab w:val="decimal" w:pos="1212"/>
              </w:tabs>
              <w:spacing w:line="240" w:lineRule="auto"/>
              <w:jc w:val="left"/>
              <w:rPr>
                <w:rFonts w:ascii="Times New Roman" w:hAnsi="Times New Roman"/>
                <w:lang w:val="es-ES"/>
              </w:rPr>
            </w:pPr>
            <w:r>
              <w:rPr>
                <w:rFonts w:ascii="Times New Roman" w:hAnsi="Times New Roman"/>
                <w:lang w:val="es-ES"/>
              </w:rPr>
              <w:t>6.229.830</w:t>
            </w:r>
          </w:p>
        </w:tc>
        <w:tc>
          <w:tcPr>
            <w:tcW w:w="1680" w:type="dxa"/>
            <w:tcMar>
              <w:left w:w="108" w:type="dxa"/>
              <w:right w:w="108" w:type="dxa"/>
            </w:tcMar>
            <w:vAlign w:val="bottom"/>
          </w:tcPr>
          <w:p w:rsidR="00000000" w:rsidRDefault="00000000">
            <w:pPr>
              <w:pStyle w:val="BodyText"/>
              <w:tabs>
                <w:tab w:val="decimal" w:pos="1212"/>
              </w:tabs>
              <w:spacing w:line="240" w:lineRule="auto"/>
              <w:jc w:val="left"/>
              <w:rPr>
                <w:rFonts w:ascii="Times New Roman" w:hAnsi="Times New Roman"/>
                <w:lang w:val="es-ES"/>
              </w:rPr>
            </w:pPr>
            <w:r>
              <w:rPr>
                <w:rFonts w:ascii="Times New Roman" w:hAnsi="Times New Roman"/>
                <w:lang w:val="es-ES"/>
              </w:rPr>
              <w:t>5.515.793</w:t>
            </w:r>
          </w:p>
        </w:tc>
        <w:tc>
          <w:tcPr>
            <w:tcW w:w="1800" w:type="dxa"/>
            <w:tcMar>
              <w:left w:w="108" w:type="dxa"/>
              <w:right w:w="108" w:type="dxa"/>
            </w:tcMar>
            <w:vAlign w:val="bottom"/>
          </w:tcPr>
          <w:p w:rsidR="00000000" w:rsidRDefault="00000000">
            <w:pPr>
              <w:pStyle w:val="BodyText"/>
              <w:tabs>
                <w:tab w:val="decimal" w:pos="852"/>
              </w:tabs>
              <w:spacing w:line="240" w:lineRule="auto"/>
              <w:jc w:val="left"/>
              <w:rPr>
                <w:rFonts w:ascii="Times New Roman" w:hAnsi="Times New Roman"/>
                <w:lang w:val="es-ES"/>
              </w:rPr>
            </w:pPr>
            <w:r>
              <w:rPr>
                <w:rFonts w:ascii="Times New Roman" w:hAnsi="Times New Roman"/>
                <w:lang w:val="es-ES"/>
              </w:rPr>
              <w:t>88,5</w:t>
            </w:r>
          </w:p>
        </w:tc>
        <w:tc>
          <w:tcPr>
            <w:tcW w:w="1599" w:type="dxa"/>
            <w:tcMar>
              <w:left w:w="108" w:type="dxa"/>
              <w:right w:w="108" w:type="dxa"/>
            </w:tcMar>
            <w:vAlign w:val="bottom"/>
          </w:tcPr>
          <w:p w:rsidR="00000000" w:rsidRDefault="00000000">
            <w:pPr>
              <w:pStyle w:val="BodyText"/>
              <w:tabs>
                <w:tab w:val="decimal" w:pos="732"/>
              </w:tabs>
              <w:spacing w:line="240" w:lineRule="auto"/>
              <w:jc w:val="left"/>
              <w:rPr>
                <w:rFonts w:ascii="Times New Roman" w:hAnsi="Times New Roman"/>
                <w:lang w:val="es-ES"/>
              </w:rPr>
            </w:pPr>
            <w:r>
              <w:rPr>
                <w:rFonts w:ascii="Times New Roman" w:hAnsi="Times New Roman"/>
                <w:lang w:val="es-ES"/>
              </w:rPr>
              <w:t>11,5</w:t>
            </w:r>
          </w:p>
        </w:tc>
      </w:tr>
    </w:tbl>
    <w:p w:rsidR="00000000" w:rsidRDefault="00000000">
      <w:pPr>
        <w:pStyle w:val="FootnoteText"/>
        <w:spacing w:before="200" w:after="480" w:line="240" w:lineRule="auto"/>
        <w:ind w:left="958"/>
      </w:pPr>
      <w:r>
        <w:rPr>
          <w:i/>
          <w:iCs/>
        </w:rPr>
        <w:t>Fuente</w:t>
      </w:r>
      <w:r>
        <w:t>:  Ministerio de Educación y Cultura, 2003.</w:t>
      </w:r>
    </w:p>
    <w:p w:rsidR="00000000" w:rsidRDefault="00000000">
      <w:pPr>
        <w:pStyle w:val="H23"/>
        <w:keepNext w:val="0"/>
        <w:keepLines w:val="0"/>
        <w:suppressAutoHyphens w:val="0"/>
        <w:spacing w:after="240" w:line="240" w:lineRule="auto"/>
        <w:jc w:val="center"/>
        <w:outlineLvl w:val="9"/>
        <w:rPr>
          <w:bCs/>
          <w:spacing w:val="0"/>
          <w:w w:val="100"/>
          <w:kern w:val="0"/>
          <w:sz w:val="24"/>
        </w:rPr>
      </w:pPr>
      <w:r>
        <w:rPr>
          <w:bCs/>
          <w:spacing w:val="0"/>
          <w:w w:val="100"/>
          <w:kern w:val="0"/>
          <w:sz w:val="24"/>
        </w:rPr>
        <w:t>Cuadro 15</w:t>
      </w:r>
    </w:p>
    <w:p w:rsidR="00000000" w:rsidRDefault="00000000">
      <w:pPr>
        <w:pStyle w:val="H23"/>
        <w:keepNext w:val="0"/>
        <w:keepLines w:val="0"/>
        <w:suppressAutoHyphens w:val="0"/>
        <w:spacing w:after="240" w:line="240" w:lineRule="auto"/>
        <w:jc w:val="center"/>
        <w:outlineLvl w:val="9"/>
        <w:rPr>
          <w:bCs/>
          <w:spacing w:val="0"/>
          <w:w w:val="100"/>
          <w:kern w:val="0"/>
          <w:sz w:val="24"/>
        </w:rPr>
      </w:pPr>
      <w:r>
        <w:rPr>
          <w:bCs/>
          <w:spacing w:val="0"/>
          <w:w w:val="100"/>
          <w:kern w:val="0"/>
          <w:sz w:val="24"/>
        </w:rPr>
        <w:t>Alumnos matriculados en primero de primaria</w:t>
      </w:r>
    </w:p>
    <w:tbl>
      <w:tblPr>
        <w:tblW w:w="0" w:type="auto"/>
        <w:tblInd w:w="1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560"/>
        <w:gridCol w:w="1670"/>
        <w:gridCol w:w="1530"/>
        <w:gridCol w:w="1530"/>
      </w:tblGrid>
      <w:tr w:rsidR="00000000">
        <w:tblPrEx>
          <w:tblCellMar>
            <w:top w:w="0" w:type="dxa"/>
            <w:left w:w="0" w:type="dxa"/>
            <w:bottom w:w="0" w:type="dxa"/>
            <w:right w:w="0" w:type="dxa"/>
          </w:tblCellMar>
        </w:tblPrEx>
        <w:trPr>
          <w:tblHeader/>
        </w:trPr>
        <w:tc>
          <w:tcPr>
            <w:tcW w:w="2560" w:type="dxa"/>
            <w:tcMar>
              <w:left w:w="108" w:type="dxa"/>
              <w:right w:w="108" w:type="dxa"/>
            </w:tcMar>
            <w:vAlign w:val="center"/>
          </w:tcPr>
          <w:p w:rsidR="00000000" w:rsidRDefault="00000000">
            <w:pPr>
              <w:pStyle w:val="BodyText"/>
              <w:spacing w:line="240" w:lineRule="auto"/>
              <w:jc w:val="center"/>
              <w:rPr>
                <w:rFonts w:ascii="Times New Roman" w:hAnsi="Times New Roman"/>
                <w:lang w:val="es-ES"/>
              </w:rPr>
            </w:pPr>
            <w:r>
              <w:rPr>
                <w:rFonts w:ascii="Times New Roman" w:hAnsi="Times New Roman"/>
                <w:lang w:val="es-ES"/>
              </w:rPr>
              <w:t>Año</w:t>
            </w:r>
          </w:p>
        </w:tc>
        <w:tc>
          <w:tcPr>
            <w:tcW w:w="1670" w:type="dxa"/>
            <w:tcMar>
              <w:left w:w="108" w:type="dxa"/>
              <w:right w:w="108" w:type="dxa"/>
            </w:tcMar>
            <w:vAlign w:val="center"/>
          </w:tcPr>
          <w:p w:rsidR="00000000" w:rsidRDefault="00000000">
            <w:pPr>
              <w:pStyle w:val="BodyText"/>
              <w:spacing w:line="240" w:lineRule="auto"/>
              <w:jc w:val="center"/>
              <w:rPr>
                <w:rFonts w:ascii="Times New Roman" w:hAnsi="Times New Roman"/>
                <w:lang w:val="es-ES"/>
              </w:rPr>
            </w:pPr>
            <w:r>
              <w:rPr>
                <w:rFonts w:ascii="Times New Roman" w:hAnsi="Times New Roman"/>
                <w:lang w:val="es-ES"/>
              </w:rPr>
              <w:t>2002</w:t>
            </w:r>
          </w:p>
        </w:tc>
        <w:tc>
          <w:tcPr>
            <w:tcW w:w="1530" w:type="dxa"/>
            <w:tcMar>
              <w:left w:w="108" w:type="dxa"/>
              <w:right w:w="108" w:type="dxa"/>
            </w:tcMar>
            <w:vAlign w:val="center"/>
          </w:tcPr>
          <w:p w:rsidR="00000000" w:rsidRDefault="00000000">
            <w:pPr>
              <w:pStyle w:val="BodyText"/>
              <w:spacing w:line="240" w:lineRule="auto"/>
              <w:jc w:val="center"/>
              <w:rPr>
                <w:rFonts w:ascii="Times New Roman" w:hAnsi="Times New Roman"/>
                <w:lang w:val="es-ES"/>
              </w:rPr>
            </w:pPr>
            <w:r>
              <w:rPr>
                <w:rFonts w:ascii="Times New Roman" w:hAnsi="Times New Roman"/>
                <w:lang w:val="es-ES"/>
              </w:rPr>
              <w:t>2003</w:t>
            </w:r>
          </w:p>
        </w:tc>
        <w:tc>
          <w:tcPr>
            <w:tcW w:w="1530" w:type="dxa"/>
            <w:tcMar>
              <w:left w:w="108" w:type="dxa"/>
              <w:right w:w="108" w:type="dxa"/>
            </w:tcMar>
            <w:vAlign w:val="center"/>
          </w:tcPr>
          <w:p w:rsidR="00000000" w:rsidRDefault="00000000">
            <w:pPr>
              <w:pStyle w:val="BodyText"/>
              <w:spacing w:line="240" w:lineRule="auto"/>
              <w:jc w:val="center"/>
              <w:rPr>
                <w:rFonts w:ascii="Times New Roman" w:hAnsi="Times New Roman"/>
                <w:lang w:val="es-ES"/>
              </w:rPr>
            </w:pPr>
            <w:r>
              <w:rPr>
                <w:rFonts w:ascii="Times New Roman" w:hAnsi="Times New Roman"/>
                <w:lang w:val="es-ES"/>
              </w:rPr>
              <w:t>Total</w:t>
            </w:r>
          </w:p>
        </w:tc>
      </w:tr>
      <w:tr w:rsidR="00000000">
        <w:tblPrEx>
          <w:tblCellMar>
            <w:top w:w="0" w:type="dxa"/>
            <w:left w:w="0" w:type="dxa"/>
            <w:bottom w:w="0" w:type="dxa"/>
            <w:right w:w="0" w:type="dxa"/>
          </w:tblCellMar>
        </w:tblPrEx>
        <w:tc>
          <w:tcPr>
            <w:tcW w:w="2560" w:type="dxa"/>
            <w:tcMar>
              <w:left w:w="108" w:type="dxa"/>
              <w:right w:w="108" w:type="dxa"/>
            </w:tcMar>
            <w:vAlign w:val="bottom"/>
          </w:tcPr>
          <w:p w:rsidR="00000000" w:rsidRDefault="00000000">
            <w:pPr>
              <w:pStyle w:val="BodyText"/>
              <w:spacing w:line="240" w:lineRule="auto"/>
              <w:jc w:val="left"/>
              <w:rPr>
                <w:rFonts w:ascii="Times New Roman" w:hAnsi="Times New Roman"/>
                <w:lang w:val="es-ES"/>
              </w:rPr>
            </w:pPr>
            <w:r>
              <w:rPr>
                <w:rFonts w:ascii="Times New Roman" w:hAnsi="Times New Roman"/>
                <w:lang w:val="es-ES"/>
              </w:rPr>
              <w:t>Objetivo del Plan</w:t>
            </w:r>
          </w:p>
        </w:tc>
        <w:tc>
          <w:tcPr>
            <w:tcW w:w="1670" w:type="dxa"/>
            <w:tcMar>
              <w:left w:w="108" w:type="dxa"/>
              <w:right w:w="108" w:type="dxa"/>
            </w:tcMar>
            <w:vAlign w:val="bottom"/>
          </w:tcPr>
          <w:p w:rsidR="00000000" w:rsidRDefault="00000000">
            <w:pPr>
              <w:pStyle w:val="BodyText"/>
              <w:tabs>
                <w:tab w:val="decimal" w:pos="1092"/>
              </w:tabs>
              <w:spacing w:line="240" w:lineRule="auto"/>
              <w:jc w:val="left"/>
              <w:rPr>
                <w:rFonts w:ascii="Times New Roman" w:hAnsi="Times New Roman"/>
                <w:lang w:val="es-ES"/>
              </w:rPr>
            </w:pPr>
            <w:r>
              <w:rPr>
                <w:rFonts w:ascii="Times New Roman" w:hAnsi="Times New Roman"/>
                <w:lang w:val="es-ES"/>
              </w:rPr>
              <w:t>1.500.000</w:t>
            </w:r>
          </w:p>
        </w:tc>
        <w:tc>
          <w:tcPr>
            <w:tcW w:w="1530" w:type="dxa"/>
            <w:tcMar>
              <w:left w:w="108" w:type="dxa"/>
              <w:right w:w="108" w:type="dxa"/>
            </w:tcMar>
            <w:vAlign w:val="bottom"/>
          </w:tcPr>
          <w:p w:rsidR="00000000" w:rsidRDefault="00000000">
            <w:pPr>
              <w:pStyle w:val="BodyText"/>
              <w:tabs>
                <w:tab w:val="decimal" w:pos="1092"/>
              </w:tabs>
              <w:spacing w:line="240" w:lineRule="auto"/>
              <w:jc w:val="left"/>
              <w:rPr>
                <w:rFonts w:ascii="Times New Roman" w:hAnsi="Times New Roman"/>
                <w:lang w:val="es-ES"/>
              </w:rPr>
            </w:pPr>
            <w:r>
              <w:rPr>
                <w:rFonts w:ascii="Times New Roman" w:hAnsi="Times New Roman"/>
                <w:lang w:val="es-ES"/>
              </w:rPr>
              <w:t>1.600.000</w:t>
            </w:r>
          </w:p>
        </w:tc>
        <w:tc>
          <w:tcPr>
            <w:tcW w:w="1530" w:type="dxa"/>
            <w:tcMar>
              <w:left w:w="108" w:type="dxa"/>
              <w:right w:w="108" w:type="dxa"/>
            </w:tcMar>
            <w:vAlign w:val="bottom"/>
          </w:tcPr>
          <w:p w:rsidR="00000000" w:rsidRDefault="00000000">
            <w:pPr>
              <w:pStyle w:val="BodyText"/>
              <w:tabs>
                <w:tab w:val="decimal" w:pos="1092"/>
              </w:tabs>
              <w:spacing w:line="240" w:lineRule="auto"/>
              <w:jc w:val="left"/>
              <w:rPr>
                <w:rFonts w:ascii="Times New Roman" w:hAnsi="Times New Roman"/>
                <w:lang w:val="es-ES"/>
              </w:rPr>
            </w:pPr>
            <w:r>
              <w:rPr>
                <w:rFonts w:ascii="Times New Roman" w:hAnsi="Times New Roman"/>
                <w:lang w:val="es-ES"/>
              </w:rPr>
              <w:t>3.100.000</w:t>
            </w:r>
          </w:p>
        </w:tc>
      </w:tr>
      <w:tr w:rsidR="00000000">
        <w:tblPrEx>
          <w:tblCellMar>
            <w:top w:w="0" w:type="dxa"/>
            <w:left w:w="0" w:type="dxa"/>
            <w:bottom w:w="0" w:type="dxa"/>
            <w:right w:w="0" w:type="dxa"/>
          </w:tblCellMar>
        </w:tblPrEx>
        <w:tc>
          <w:tcPr>
            <w:tcW w:w="2560" w:type="dxa"/>
            <w:tcMar>
              <w:left w:w="108" w:type="dxa"/>
              <w:right w:w="108" w:type="dxa"/>
            </w:tcMar>
            <w:vAlign w:val="bottom"/>
          </w:tcPr>
          <w:p w:rsidR="00000000" w:rsidRDefault="00000000">
            <w:pPr>
              <w:pStyle w:val="BodyText"/>
              <w:spacing w:line="240" w:lineRule="auto"/>
              <w:jc w:val="left"/>
              <w:rPr>
                <w:rFonts w:ascii="Times New Roman" w:hAnsi="Times New Roman"/>
                <w:lang w:val="es-ES"/>
              </w:rPr>
            </w:pPr>
            <w:r>
              <w:rPr>
                <w:rFonts w:ascii="Times New Roman" w:hAnsi="Times New Roman"/>
                <w:lang w:val="es-ES"/>
              </w:rPr>
              <w:t>Alumnos matr</w:t>
            </w:r>
            <w:r>
              <w:rPr>
                <w:rFonts w:ascii="Times New Roman" w:hAnsi="Times New Roman"/>
                <w:lang w:val="es-ES"/>
              </w:rPr>
              <w:t>i</w:t>
            </w:r>
            <w:r>
              <w:rPr>
                <w:rFonts w:ascii="Times New Roman" w:hAnsi="Times New Roman"/>
                <w:lang w:val="es-ES"/>
              </w:rPr>
              <w:t>culados</w:t>
            </w:r>
          </w:p>
        </w:tc>
        <w:tc>
          <w:tcPr>
            <w:tcW w:w="1670" w:type="dxa"/>
            <w:tcMar>
              <w:left w:w="108" w:type="dxa"/>
              <w:right w:w="108" w:type="dxa"/>
            </w:tcMar>
            <w:vAlign w:val="bottom"/>
          </w:tcPr>
          <w:p w:rsidR="00000000" w:rsidRDefault="00000000">
            <w:pPr>
              <w:pStyle w:val="BodyText"/>
              <w:tabs>
                <w:tab w:val="decimal" w:pos="1092"/>
              </w:tabs>
              <w:spacing w:line="240" w:lineRule="auto"/>
              <w:jc w:val="left"/>
              <w:rPr>
                <w:rFonts w:ascii="Times New Roman" w:hAnsi="Times New Roman"/>
                <w:lang w:val="es-ES"/>
              </w:rPr>
            </w:pPr>
            <w:r>
              <w:rPr>
                <w:rFonts w:ascii="Times New Roman" w:hAnsi="Times New Roman"/>
                <w:lang w:val="es-ES"/>
              </w:rPr>
              <w:t>132.141</w:t>
            </w:r>
          </w:p>
        </w:tc>
        <w:tc>
          <w:tcPr>
            <w:tcW w:w="1530" w:type="dxa"/>
            <w:tcMar>
              <w:left w:w="108" w:type="dxa"/>
              <w:right w:w="108" w:type="dxa"/>
            </w:tcMar>
            <w:vAlign w:val="bottom"/>
          </w:tcPr>
          <w:p w:rsidR="00000000" w:rsidRDefault="00000000">
            <w:pPr>
              <w:pStyle w:val="BodyText"/>
              <w:tabs>
                <w:tab w:val="decimal" w:pos="1092"/>
              </w:tabs>
              <w:spacing w:line="240" w:lineRule="auto"/>
              <w:jc w:val="left"/>
              <w:rPr>
                <w:rFonts w:ascii="Times New Roman" w:hAnsi="Times New Roman"/>
                <w:lang w:val="es-ES"/>
              </w:rPr>
            </w:pPr>
            <w:r>
              <w:rPr>
                <w:rFonts w:ascii="Times New Roman" w:hAnsi="Times New Roman"/>
                <w:lang w:val="es-ES"/>
              </w:rPr>
              <w:t>1.481.354</w:t>
            </w:r>
          </w:p>
        </w:tc>
        <w:tc>
          <w:tcPr>
            <w:tcW w:w="1530" w:type="dxa"/>
            <w:tcMar>
              <w:left w:w="108" w:type="dxa"/>
              <w:right w:w="108" w:type="dxa"/>
            </w:tcMar>
            <w:vAlign w:val="bottom"/>
          </w:tcPr>
          <w:p w:rsidR="00000000" w:rsidRDefault="00000000">
            <w:pPr>
              <w:pStyle w:val="BodyText"/>
              <w:tabs>
                <w:tab w:val="decimal" w:pos="1092"/>
              </w:tabs>
              <w:spacing w:line="240" w:lineRule="auto"/>
              <w:jc w:val="left"/>
              <w:rPr>
                <w:rFonts w:ascii="Times New Roman" w:hAnsi="Times New Roman"/>
                <w:lang w:val="es-ES"/>
              </w:rPr>
            </w:pPr>
            <w:r>
              <w:rPr>
                <w:rFonts w:ascii="Times New Roman" w:hAnsi="Times New Roman"/>
                <w:lang w:val="es-ES"/>
              </w:rPr>
              <w:t>3.113.495</w:t>
            </w:r>
          </w:p>
        </w:tc>
      </w:tr>
    </w:tbl>
    <w:p w:rsidR="00000000" w:rsidRDefault="00000000">
      <w:pPr>
        <w:pStyle w:val="FootnoteText"/>
        <w:spacing w:before="200" w:line="240" w:lineRule="auto"/>
        <w:ind w:left="1202"/>
      </w:pPr>
      <w:r>
        <w:rPr>
          <w:i/>
          <w:iCs/>
        </w:rPr>
        <w:t>Fuente</w:t>
      </w:r>
      <w:r>
        <w:t>:  Ministerio de Educación y Cultura, 2003.</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211.</w:t>
      </w:r>
      <w:r>
        <w:rPr>
          <w:spacing w:val="0"/>
          <w:w w:val="100"/>
          <w:kern w:val="0"/>
          <w:sz w:val="24"/>
        </w:rPr>
        <w:tab/>
        <w:t>En el cuadro 16 se observa el aumento del número de aulas, viviendas para maestros, pupitres y aseos disponibles que se ha producido entre los años 2002 y 2003 en el marco del Plan.</w:t>
      </w:r>
    </w:p>
    <w:p w:rsidR="00000000" w:rsidRDefault="00000000">
      <w:pPr>
        <w:pStyle w:val="H23"/>
        <w:keepLines w:val="0"/>
        <w:suppressAutoHyphens w:val="0"/>
        <w:spacing w:after="240" w:line="240" w:lineRule="auto"/>
        <w:jc w:val="center"/>
        <w:outlineLvl w:val="9"/>
        <w:rPr>
          <w:bCs/>
          <w:spacing w:val="0"/>
          <w:w w:val="100"/>
          <w:kern w:val="0"/>
          <w:sz w:val="24"/>
        </w:rPr>
      </w:pPr>
      <w:r>
        <w:rPr>
          <w:bCs/>
          <w:spacing w:val="0"/>
          <w:w w:val="100"/>
          <w:kern w:val="0"/>
          <w:sz w:val="24"/>
        </w:rPr>
        <w:t>Cuadro 16</w:t>
      </w:r>
    </w:p>
    <w:p w:rsidR="00000000" w:rsidRDefault="00000000">
      <w:pPr>
        <w:pStyle w:val="H23"/>
        <w:keepLines w:val="0"/>
        <w:suppressAutoHyphens w:val="0"/>
        <w:spacing w:after="240" w:line="240" w:lineRule="auto"/>
        <w:jc w:val="center"/>
        <w:outlineLvl w:val="9"/>
        <w:rPr>
          <w:b w:val="0"/>
          <w:spacing w:val="0"/>
          <w:w w:val="100"/>
          <w:kern w:val="0"/>
          <w:sz w:val="24"/>
        </w:rPr>
      </w:pPr>
      <w:r>
        <w:rPr>
          <w:bCs/>
          <w:spacing w:val="0"/>
          <w:w w:val="100"/>
          <w:kern w:val="0"/>
          <w:sz w:val="24"/>
        </w:rPr>
        <w:t>Rehabilitación de la infraestructura física</w:t>
      </w:r>
    </w:p>
    <w:tbl>
      <w:tblPr>
        <w:tblW w:w="0" w:type="auto"/>
        <w:jc w:val="center"/>
        <w:tblInd w:w="-5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22"/>
        <w:gridCol w:w="1680"/>
        <w:gridCol w:w="1680"/>
        <w:gridCol w:w="1898"/>
        <w:gridCol w:w="1719"/>
      </w:tblGrid>
      <w:tr w:rsidR="00000000">
        <w:tblPrEx>
          <w:tblCellMar>
            <w:top w:w="0" w:type="dxa"/>
            <w:left w:w="0" w:type="dxa"/>
            <w:bottom w:w="0" w:type="dxa"/>
            <w:right w:w="0" w:type="dxa"/>
          </w:tblCellMar>
        </w:tblPrEx>
        <w:trPr>
          <w:tblHeader/>
          <w:jc w:val="center"/>
        </w:trPr>
        <w:tc>
          <w:tcPr>
            <w:tcW w:w="1222" w:type="dxa"/>
            <w:tcMar>
              <w:left w:w="108" w:type="dxa"/>
              <w:right w:w="108" w:type="dxa"/>
            </w:tcMar>
            <w:vAlign w:val="center"/>
          </w:tcPr>
          <w:p w:rsidR="00000000" w:rsidRDefault="00000000">
            <w:pPr>
              <w:pStyle w:val="BodyText"/>
              <w:spacing w:line="240" w:lineRule="auto"/>
              <w:jc w:val="center"/>
              <w:rPr>
                <w:rFonts w:ascii="Times New Roman" w:hAnsi="Times New Roman"/>
                <w:lang w:val="es-ES"/>
              </w:rPr>
            </w:pPr>
            <w:r>
              <w:rPr>
                <w:rFonts w:ascii="Times New Roman" w:hAnsi="Times New Roman"/>
                <w:lang w:val="es-ES"/>
              </w:rPr>
              <w:t>Año</w:t>
            </w:r>
          </w:p>
        </w:tc>
        <w:tc>
          <w:tcPr>
            <w:tcW w:w="1680" w:type="dxa"/>
            <w:tcMar>
              <w:left w:w="108" w:type="dxa"/>
              <w:right w:w="108" w:type="dxa"/>
            </w:tcMar>
            <w:vAlign w:val="center"/>
          </w:tcPr>
          <w:p w:rsidR="00000000" w:rsidRDefault="00000000">
            <w:pPr>
              <w:pStyle w:val="BodyText"/>
              <w:spacing w:line="240" w:lineRule="auto"/>
              <w:jc w:val="center"/>
              <w:rPr>
                <w:rFonts w:ascii="Times New Roman" w:hAnsi="Times New Roman"/>
                <w:lang w:val="es-ES"/>
              </w:rPr>
            </w:pPr>
            <w:r>
              <w:rPr>
                <w:rFonts w:ascii="Times New Roman" w:hAnsi="Times New Roman"/>
                <w:lang w:val="es-ES"/>
              </w:rPr>
              <w:t>A</w:t>
            </w:r>
            <w:r>
              <w:rPr>
                <w:rFonts w:ascii="Times New Roman" w:hAnsi="Times New Roman"/>
                <w:lang w:val="es-ES"/>
              </w:rPr>
              <w:t>u</w:t>
            </w:r>
            <w:r>
              <w:rPr>
                <w:rFonts w:ascii="Times New Roman" w:hAnsi="Times New Roman"/>
                <w:lang w:val="es-ES"/>
              </w:rPr>
              <w:t>las</w:t>
            </w:r>
          </w:p>
        </w:tc>
        <w:tc>
          <w:tcPr>
            <w:tcW w:w="1680" w:type="dxa"/>
            <w:tcMar>
              <w:left w:w="108" w:type="dxa"/>
              <w:right w:w="108" w:type="dxa"/>
            </w:tcMar>
            <w:vAlign w:val="center"/>
          </w:tcPr>
          <w:p w:rsidR="00000000" w:rsidRDefault="00000000">
            <w:pPr>
              <w:pStyle w:val="BodyText"/>
              <w:spacing w:line="240" w:lineRule="auto"/>
              <w:jc w:val="center"/>
              <w:rPr>
                <w:rFonts w:ascii="Times New Roman" w:hAnsi="Times New Roman"/>
                <w:lang w:val="es-ES"/>
              </w:rPr>
            </w:pPr>
            <w:r>
              <w:rPr>
                <w:rFonts w:ascii="Times New Roman" w:hAnsi="Times New Roman"/>
                <w:lang w:val="es-ES"/>
              </w:rPr>
              <w:t>Viviendas para mae</w:t>
            </w:r>
            <w:r>
              <w:rPr>
                <w:rFonts w:ascii="Times New Roman" w:hAnsi="Times New Roman"/>
                <w:lang w:val="es-ES"/>
              </w:rPr>
              <w:t>s</w:t>
            </w:r>
            <w:r>
              <w:rPr>
                <w:rFonts w:ascii="Times New Roman" w:hAnsi="Times New Roman"/>
                <w:lang w:val="es-ES"/>
              </w:rPr>
              <w:t>tros</w:t>
            </w:r>
          </w:p>
        </w:tc>
        <w:tc>
          <w:tcPr>
            <w:tcW w:w="1898" w:type="dxa"/>
            <w:tcMar>
              <w:left w:w="108" w:type="dxa"/>
              <w:right w:w="108" w:type="dxa"/>
            </w:tcMar>
            <w:vAlign w:val="center"/>
          </w:tcPr>
          <w:p w:rsidR="00000000" w:rsidRDefault="00000000">
            <w:pPr>
              <w:pStyle w:val="BodyText"/>
              <w:spacing w:line="240" w:lineRule="auto"/>
              <w:jc w:val="center"/>
              <w:rPr>
                <w:rFonts w:ascii="Times New Roman" w:hAnsi="Times New Roman"/>
                <w:lang w:val="es-ES"/>
              </w:rPr>
            </w:pPr>
            <w:r>
              <w:rPr>
                <w:rFonts w:ascii="Times New Roman" w:hAnsi="Times New Roman"/>
                <w:lang w:val="es-ES"/>
              </w:rPr>
              <w:t>Pup</w:t>
            </w:r>
            <w:r>
              <w:rPr>
                <w:rFonts w:ascii="Times New Roman" w:hAnsi="Times New Roman"/>
                <w:lang w:val="es-ES"/>
              </w:rPr>
              <w:t>i</w:t>
            </w:r>
            <w:r>
              <w:rPr>
                <w:rFonts w:ascii="Times New Roman" w:hAnsi="Times New Roman"/>
                <w:lang w:val="es-ES"/>
              </w:rPr>
              <w:t>tres</w:t>
            </w:r>
          </w:p>
        </w:tc>
        <w:tc>
          <w:tcPr>
            <w:tcW w:w="1719" w:type="dxa"/>
            <w:tcMar>
              <w:left w:w="108" w:type="dxa"/>
              <w:right w:w="108" w:type="dxa"/>
            </w:tcMar>
            <w:vAlign w:val="center"/>
          </w:tcPr>
          <w:p w:rsidR="00000000" w:rsidRDefault="00000000">
            <w:pPr>
              <w:pStyle w:val="BodyText"/>
              <w:spacing w:line="240" w:lineRule="auto"/>
              <w:jc w:val="center"/>
              <w:rPr>
                <w:rFonts w:ascii="Times New Roman" w:hAnsi="Times New Roman"/>
                <w:lang w:val="es-ES"/>
              </w:rPr>
            </w:pPr>
            <w:r>
              <w:rPr>
                <w:rFonts w:ascii="Times New Roman" w:hAnsi="Times New Roman"/>
                <w:lang w:val="es-ES"/>
              </w:rPr>
              <w:t>Aseos</w:t>
            </w:r>
          </w:p>
        </w:tc>
      </w:tr>
      <w:tr w:rsidR="00000000">
        <w:tblPrEx>
          <w:tblCellMar>
            <w:top w:w="0" w:type="dxa"/>
            <w:left w:w="0" w:type="dxa"/>
            <w:bottom w:w="0" w:type="dxa"/>
            <w:right w:w="0" w:type="dxa"/>
          </w:tblCellMar>
        </w:tblPrEx>
        <w:trPr>
          <w:jc w:val="center"/>
        </w:trPr>
        <w:tc>
          <w:tcPr>
            <w:tcW w:w="1222" w:type="dxa"/>
            <w:tcMar>
              <w:left w:w="108" w:type="dxa"/>
              <w:right w:w="108" w:type="dxa"/>
            </w:tcMar>
            <w:vAlign w:val="bottom"/>
          </w:tcPr>
          <w:p w:rsidR="00000000" w:rsidRDefault="00000000">
            <w:pPr>
              <w:pStyle w:val="BodyText"/>
              <w:spacing w:line="240" w:lineRule="auto"/>
              <w:jc w:val="left"/>
              <w:rPr>
                <w:rFonts w:ascii="Times New Roman" w:hAnsi="Times New Roman"/>
                <w:lang w:val="es-ES"/>
              </w:rPr>
            </w:pPr>
            <w:r>
              <w:rPr>
                <w:rFonts w:ascii="Times New Roman" w:hAnsi="Times New Roman"/>
                <w:lang w:val="es-ES"/>
              </w:rPr>
              <w:t>2002</w:t>
            </w:r>
          </w:p>
        </w:tc>
        <w:tc>
          <w:tcPr>
            <w:tcW w:w="1680" w:type="dxa"/>
            <w:tcMar>
              <w:left w:w="108" w:type="dxa"/>
              <w:right w:w="108" w:type="dxa"/>
            </w:tcMar>
            <w:vAlign w:val="bottom"/>
          </w:tcPr>
          <w:p w:rsidR="00000000" w:rsidRDefault="00000000">
            <w:pPr>
              <w:pStyle w:val="BodyText"/>
              <w:spacing w:line="240" w:lineRule="auto"/>
              <w:jc w:val="left"/>
              <w:rPr>
                <w:rFonts w:ascii="Times New Roman" w:hAnsi="Times New Roman"/>
                <w:lang w:val="es-ES"/>
              </w:rPr>
            </w:pPr>
            <w:r>
              <w:rPr>
                <w:rFonts w:ascii="Times New Roman" w:hAnsi="Times New Roman"/>
                <w:lang w:val="es-ES"/>
              </w:rPr>
              <w:t>61.006</w:t>
            </w:r>
          </w:p>
        </w:tc>
        <w:tc>
          <w:tcPr>
            <w:tcW w:w="1680" w:type="dxa"/>
            <w:tcMar>
              <w:left w:w="108" w:type="dxa"/>
              <w:right w:w="108" w:type="dxa"/>
            </w:tcMar>
            <w:vAlign w:val="bottom"/>
          </w:tcPr>
          <w:p w:rsidR="00000000" w:rsidRDefault="00000000">
            <w:pPr>
              <w:pStyle w:val="BodyText"/>
              <w:tabs>
                <w:tab w:val="decimal" w:pos="930"/>
              </w:tabs>
              <w:spacing w:line="240" w:lineRule="auto"/>
              <w:jc w:val="left"/>
              <w:rPr>
                <w:rFonts w:ascii="Times New Roman" w:hAnsi="Times New Roman"/>
                <w:lang w:val="es-ES"/>
              </w:rPr>
            </w:pPr>
            <w:r>
              <w:rPr>
                <w:rFonts w:ascii="Times New Roman" w:hAnsi="Times New Roman"/>
                <w:lang w:val="es-ES"/>
              </w:rPr>
              <w:t>25.639</w:t>
            </w:r>
          </w:p>
        </w:tc>
        <w:tc>
          <w:tcPr>
            <w:tcW w:w="1898" w:type="dxa"/>
            <w:tcMar>
              <w:left w:w="108" w:type="dxa"/>
              <w:right w:w="108" w:type="dxa"/>
            </w:tcMar>
            <w:vAlign w:val="bottom"/>
          </w:tcPr>
          <w:p w:rsidR="00000000" w:rsidRDefault="00000000">
            <w:pPr>
              <w:pStyle w:val="BodyText"/>
              <w:tabs>
                <w:tab w:val="decimal" w:pos="972"/>
              </w:tabs>
              <w:spacing w:line="240" w:lineRule="auto"/>
              <w:jc w:val="left"/>
              <w:rPr>
                <w:rFonts w:ascii="Times New Roman" w:hAnsi="Times New Roman"/>
                <w:lang w:val="es-ES"/>
              </w:rPr>
            </w:pPr>
            <w:r>
              <w:rPr>
                <w:rFonts w:ascii="Times New Roman" w:hAnsi="Times New Roman"/>
                <w:lang w:val="es-ES"/>
              </w:rPr>
              <w:t>1.320.186</w:t>
            </w:r>
          </w:p>
        </w:tc>
        <w:tc>
          <w:tcPr>
            <w:tcW w:w="1719" w:type="dxa"/>
            <w:tcMar>
              <w:left w:w="108" w:type="dxa"/>
              <w:right w:w="108" w:type="dxa"/>
            </w:tcMar>
            <w:vAlign w:val="bottom"/>
          </w:tcPr>
          <w:p w:rsidR="00000000" w:rsidRDefault="00000000">
            <w:pPr>
              <w:pStyle w:val="BodyText"/>
              <w:tabs>
                <w:tab w:val="decimal" w:pos="852"/>
              </w:tabs>
              <w:spacing w:line="240" w:lineRule="auto"/>
              <w:jc w:val="left"/>
              <w:rPr>
                <w:rFonts w:ascii="Times New Roman" w:hAnsi="Times New Roman"/>
                <w:lang w:val="es-ES"/>
              </w:rPr>
            </w:pPr>
            <w:r>
              <w:rPr>
                <w:rFonts w:ascii="Times New Roman" w:hAnsi="Times New Roman"/>
                <w:lang w:val="es-ES"/>
              </w:rPr>
              <w:t>50.747</w:t>
            </w:r>
          </w:p>
        </w:tc>
      </w:tr>
      <w:tr w:rsidR="00000000">
        <w:tblPrEx>
          <w:tblCellMar>
            <w:top w:w="0" w:type="dxa"/>
            <w:left w:w="0" w:type="dxa"/>
            <w:bottom w:w="0" w:type="dxa"/>
            <w:right w:w="0" w:type="dxa"/>
          </w:tblCellMar>
        </w:tblPrEx>
        <w:trPr>
          <w:jc w:val="center"/>
        </w:trPr>
        <w:tc>
          <w:tcPr>
            <w:tcW w:w="1222" w:type="dxa"/>
            <w:tcMar>
              <w:left w:w="108" w:type="dxa"/>
              <w:right w:w="108" w:type="dxa"/>
            </w:tcMar>
            <w:vAlign w:val="bottom"/>
          </w:tcPr>
          <w:p w:rsidR="00000000" w:rsidRDefault="00000000">
            <w:pPr>
              <w:pStyle w:val="BodyText"/>
              <w:spacing w:line="240" w:lineRule="auto"/>
              <w:jc w:val="left"/>
              <w:rPr>
                <w:rFonts w:ascii="Times New Roman" w:hAnsi="Times New Roman"/>
                <w:lang w:val="es-ES"/>
              </w:rPr>
            </w:pPr>
            <w:r>
              <w:rPr>
                <w:rFonts w:ascii="Times New Roman" w:hAnsi="Times New Roman"/>
                <w:lang w:val="es-ES"/>
              </w:rPr>
              <w:t>2003</w:t>
            </w:r>
          </w:p>
        </w:tc>
        <w:tc>
          <w:tcPr>
            <w:tcW w:w="1680" w:type="dxa"/>
            <w:tcMar>
              <w:left w:w="108" w:type="dxa"/>
              <w:right w:w="108" w:type="dxa"/>
            </w:tcMar>
            <w:vAlign w:val="bottom"/>
          </w:tcPr>
          <w:p w:rsidR="00000000" w:rsidRDefault="00000000">
            <w:pPr>
              <w:pStyle w:val="BodyText"/>
              <w:spacing w:line="240" w:lineRule="auto"/>
              <w:jc w:val="left"/>
              <w:rPr>
                <w:rFonts w:ascii="Times New Roman" w:hAnsi="Times New Roman"/>
                <w:lang w:val="es-ES"/>
              </w:rPr>
            </w:pPr>
            <w:r>
              <w:rPr>
                <w:rFonts w:ascii="Times New Roman" w:hAnsi="Times New Roman"/>
                <w:lang w:val="es-ES"/>
              </w:rPr>
              <w:t>80.691</w:t>
            </w:r>
          </w:p>
        </w:tc>
        <w:tc>
          <w:tcPr>
            <w:tcW w:w="1680" w:type="dxa"/>
            <w:tcMar>
              <w:left w:w="108" w:type="dxa"/>
              <w:right w:w="108" w:type="dxa"/>
            </w:tcMar>
            <w:vAlign w:val="bottom"/>
          </w:tcPr>
          <w:p w:rsidR="00000000" w:rsidRDefault="00000000">
            <w:pPr>
              <w:pStyle w:val="BodyText"/>
              <w:tabs>
                <w:tab w:val="decimal" w:pos="930"/>
              </w:tabs>
              <w:spacing w:line="240" w:lineRule="auto"/>
              <w:jc w:val="left"/>
              <w:rPr>
                <w:rFonts w:ascii="Times New Roman" w:hAnsi="Times New Roman"/>
                <w:lang w:val="es-ES"/>
              </w:rPr>
            </w:pPr>
            <w:r>
              <w:rPr>
                <w:rFonts w:ascii="Times New Roman" w:hAnsi="Times New Roman"/>
                <w:lang w:val="es-ES"/>
              </w:rPr>
              <w:t>27.156</w:t>
            </w:r>
          </w:p>
        </w:tc>
        <w:tc>
          <w:tcPr>
            <w:tcW w:w="1898" w:type="dxa"/>
            <w:tcMar>
              <w:left w:w="108" w:type="dxa"/>
              <w:right w:w="108" w:type="dxa"/>
            </w:tcMar>
            <w:vAlign w:val="bottom"/>
          </w:tcPr>
          <w:p w:rsidR="00000000" w:rsidRDefault="00000000">
            <w:pPr>
              <w:pStyle w:val="BodyText"/>
              <w:tabs>
                <w:tab w:val="decimal" w:pos="972"/>
              </w:tabs>
              <w:spacing w:line="240" w:lineRule="auto"/>
              <w:jc w:val="left"/>
              <w:rPr>
                <w:rFonts w:ascii="Times New Roman" w:hAnsi="Times New Roman"/>
                <w:lang w:val="es-ES"/>
              </w:rPr>
            </w:pPr>
            <w:r>
              <w:rPr>
                <w:rFonts w:ascii="Times New Roman" w:hAnsi="Times New Roman"/>
                <w:lang w:val="es-ES"/>
              </w:rPr>
              <w:t>1.407.283</w:t>
            </w:r>
          </w:p>
        </w:tc>
        <w:tc>
          <w:tcPr>
            <w:tcW w:w="1719" w:type="dxa"/>
            <w:tcMar>
              <w:left w:w="108" w:type="dxa"/>
              <w:right w:w="108" w:type="dxa"/>
            </w:tcMar>
            <w:vAlign w:val="bottom"/>
          </w:tcPr>
          <w:p w:rsidR="00000000" w:rsidRDefault="00000000">
            <w:pPr>
              <w:pStyle w:val="BodyText"/>
              <w:tabs>
                <w:tab w:val="decimal" w:pos="852"/>
              </w:tabs>
              <w:spacing w:line="240" w:lineRule="auto"/>
              <w:jc w:val="left"/>
              <w:rPr>
                <w:rFonts w:ascii="Times New Roman" w:hAnsi="Times New Roman"/>
                <w:lang w:val="es-ES"/>
              </w:rPr>
            </w:pPr>
            <w:r>
              <w:rPr>
                <w:rFonts w:ascii="Times New Roman" w:hAnsi="Times New Roman"/>
                <w:lang w:val="es-ES"/>
              </w:rPr>
              <w:t>88.990</w:t>
            </w:r>
          </w:p>
        </w:tc>
      </w:tr>
      <w:tr w:rsidR="00000000">
        <w:tblPrEx>
          <w:tblCellMar>
            <w:top w:w="0" w:type="dxa"/>
            <w:left w:w="0" w:type="dxa"/>
            <w:bottom w:w="0" w:type="dxa"/>
            <w:right w:w="0" w:type="dxa"/>
          </w:tblCellMar>
        </w:tblPrEx>
        <w:trPr>
          <w:jc w:val="center"/>
        </w:trPr>
        <w:tc>
          <w:tcPr>
            <w:tcW w:w="1222" w:type="dxa"/>
            <w:tcMar>
              <w:left w:w="108" w:type="dxa"/>
              <w:right w:w="108" w:type="dxa"/>
            </w:tcMar>
            <w:vAlign w:val="bottom"/>
          </w:tcPr>
          <w:p w:rsidR="00000000" w:rsidRDefault="00000000">
            <w:pPr>
              <w:pStyle w:val="BodyText"/>
              <w:spacing w:line="240" w:lineRule="auto"/>
              <w:jc w:val="left"/>
              <w:rPr>
                <w:rFonts w:ascii="Times New Roman" w:hAnsi="Times New Roman"/>
                <w:lang w:val="es-ES"/>
              </w:rPr>
            </w:pPr>
            <w:r>
              <w:rPr>
                <w:rFonts w:ascii="Times New Roman" w:hAnsi="Times New Roman"/>
                <w:lang w:val="es-ES"/>
              </w:rPr>
              <w:t>A</w:t>
            </w:r>
            <w:r>
              <w:rPr>
                <w:rFonts w:ascii="Times New Roman" w:hAnsi="Times New Roman"/>
                <w:lang w:val="es-ES"/>
              </w:rPr>
              <w:t>u</w:t>
            </w:r>
            <w:r>
              <w:rPr>
                <w:rFonts w:ascii="Times New Roman" w:hAnsi="Times New Roman"/>
                <w:lang w:val="es-ES"/>
              </w:rPr>
              <w:t>mento</w:t>
            </w:r>
          </w:p>
        </w:tc>
        <w:tc>
          <w:tcPr>
            <w:tcW w:w="1680" w:type="dxa"/>
            <w:tcMar>
              <w:left w:w="108" w:type="dxa"/>
              <w:right w:w="108" w:type="dxa"/>
            </w:tcMar>
            <w:vAlign w:val="bottom"/>
          </w:tcPr>
          <w:p w:rsidR="00000000" w:rsidRDefault="00000000">
            <w:pPr>
              <w:pStyle w:val="BodyText"/>
              <w:spacing w:line="240" w:lineRule="auto"/>
              <w:jc w:val="left"/>
              <w:rPr>
                <w:rFonts w:ascii="Times New Roman" w:hAnsi="Times New Roman"/>
                <w:lang w:val="es-ES"/>
              </w:rPr>
            </w:pPr>
            <w:r>
              <w:rPr>
                <w:rFonts w:ascii="Times New Roman" w:hAnsi="Times New Roman"/>
                <w:lang w:val="es-ES"/>
              </w:rPr>
              <w:t>19.685 (24%)</w:t>
            </w:r>
          </w:p>
        </w:tc>
        <w:tc>
          <w:tcPr>
            <w:tcW w:w="1680" w:type="dxa"/>
            <w:tcMar>
              <w:left w:w="108" w:type="dxa"/>
              <w:right w:w="108" w:type="dxa"/>
            </w:tcMar>
            <w:vAlign w:val="bottom"/>
          </w:tcPr>
          <w:p w:rsidR="00000000" w:rsidRDefault="00000000">
            <w:pPr>
              <w:pStyle w:val="BodyText"/>
              <w:tabs>
                <w:tab w:val="decimal" w:pos="930"/>
              </w:tabs>
              <w:spacing w:line="240" w:lineRule="auto"/>
              <w:jc w:val="left"/>
              <w:rPr>
                <w:rFonts w:ascii="Times New Roman" w:hAnsi="Times New Roman"/>
                <w:lang w:val="es-ES"/>
              </w:rPr>
            </w:pPr>
            <w:r>
              <w:rPr>
                <w:rFonts w:ascii="Times New Roman" w:hAnsi="Times New Roman"/>
                <w:lang w:val="es-ES"/>
              </w:rPr>
              <w:t>1.517</w:t>
            </w:r>
          </w:p>
        </w:tc>
        <w:tc>
          <w:tcPr>
            <w:tcW w:w="1898" w:type="dxa"/>
            <w:tcMar>
              <w:left w:w="108" w:type="dxa"/>
              <w:right w:w="108" w:type="dxa"/>
            </w:tcMar>
            <w:vAlign w:val="bottom"/>
          </w:tcPr>
          <w:p w:rsidR="00000000" w:rsidRDefault="00000000">
            <w:pPr>
              <w:pStyle w:val="BodyText"/>
              <w:tabs>
                <w:tab w:val="decimal" w:pos="972"/>
              </w:tabs>
              <w:spacing w:line="240" w:lineRule="auto"/>
              <w:jc w:val="left"/>
              <w:rPr>
                <w:rFonts w:ascii="Times New Roman" w:hAnsi="Times New Roman"/>
                <w:lang w:val="es-ES"/>
              </w:rPr>
            </w:pPr>
            <w:r>
              <w:rPr>
                <w:rFonts w:ascii="Times New Roman" w:hAnsi="Times New Roman"/>
                <w:lang w:val="es-ES"/>
              </w:rPr>
              <w:t>89.097 (66%)</w:t>
            </w:r>
          </w:p>
        </w:tc>
        <w:tc>
          <w:tcPr>
            <w:tcW w:w="1719" w:type="dxa"/>
            <w:tcMar>
              <w:left w:w="108" w:type="dxa"/>
              <w:right w:w="108" w:type="dxa"/>
            </w:tcMar>
            <w:vAlign w:val="bottom"/>
          </w:tcPr>
          <w:p w:rsidR="00000000" w:rsidRDefault="00000000">
            <w:pPr>
              <w:pStyle w:val="BodyText"/>
              <w:tabs>
                <w:tab w:val="decimal" w:pos="852"/>
              </w:tabs>
              <w:spacing w:line="240" w:lineRule="auto"/>
              <w:jc w:val="left"/>
              <w:rPr>
                <w:rFonts w:ascii="Times New Roman" w:hAnsi="Times New Roman"/>
                <w:lang w:val="es-ES"/>
              </w:rPr>
            </w:pPr>
            <w:r>
              <w:rPr>
                <w:rFonts w:ascii="Times New Roman" w:hAnsi="Times New Roman"/>
                <w:lang w:val="es-ES"/>
              </w:rPr>
              <w:t>88.243 (26%)</w:t>
            </w:r>
          </w:p>
        </w:tc>
      </w:tr>
    </w:tbl>
    <w:p w:rsidR="00000000" w:rsidRDefault="00000000">
      <w:pPr>
        <w:pStyle w:val="FootnoteText"/>
        <w:spacing w:before="200" w:after="480" w:line="240" w:lineRule="auto"/>
        <w:ind w:left="601"/>
      </w:pPr>
      <w:r>
        <w:rPr>
          <w:i/>
          <w:iCs/>
        </w:rPr>
        <w:t>Fuente</w:t>
      </w:r>
      <w:r>
        <w:t>:  Ministerio de Educación y Cultura, 2003.</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212.</w:t>
      </w:r>
      <w:r>
        <w:rPr>
          <w:spacing w:val="0"/>
          <w:w w:val="100"/>
          <w:kern w:val="0"/>
          <w:sz w:val="24"/>
        </w:rPr>
        <w:tab/>
        <w:t>En el marco del Plan, se han contratado a 17.854 maestros de plantilla, a los que se suman otros 6.000 maestros con otras modalidades de contratación, lo que hace un total de 23.854 maestros.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213.</w:t>
      </w:r>
      <w:r>
        <w:rPr>
          <w:spacing w:val="0"/>
          <w:w w:val="100"/>
          <w:kern w:val="0"/>
          <w:sz w:val="24"/>
        </w:rPr>
        <w:tab/>
        <w:t xml:space="preserve">En cuanto a la aplicación de la Política de educación y formación de 1995, se han abierto 7.212 centros preescolares, públicos y privados.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214.</w:t>
      </w:r>
      <w:r>
        <w:rPr>
          <w:spacing w:val="0"/>
          <w:w w:val="100"/>
          <w:kern w:val="0"/>
          <w:sz w:val="24"/>
        </w:rPr>
        <w:tab/>
        <w:t>En lo que respecta al objetivo de ofrecer una enseñanza de calidad, el Minist</w:t>
      </w:r>
      <w:r>
        <w:rPr>
          <w:spacing w:val="0"/>
          <w:w w:val="100"/>
          <w:kern w:val="0"/>
          <w:sz w:val="24"/>
        </w:rPr>
        <w:t>e</w:t>
      </w:r>
      <w:r>
        <w:rPr>
          <w:spacing w:val="0"/>
          <w:w w:val="100"/>
          <w:kern w:val="0"/>
          <w:sz w:val="24"/>
        </w:rPr>
        <w:t>rio de Educación y Cultura se ha propuesto dotar de materiales de enseñanza y aprendizaje a todas las escuelas primarias, con la intención de que haya un libro de texto por cada alumno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215.</w:t>
      </w:r>
      <w:r>
        <w:rPr>
          <w:spacing w:val="0"/>
          <w:w w:val="100"/>
          <w:kern w:val="0"/>
          <w:sz w:val="24"/>
        </w:rPr>
        <w:tab/>
        <w:t>En el cuadro 17 se indica la dotación presupuestaria asignada a la ejecución del Plan de mejora de la enseñanza primaria para 2002/03.  El Plan se financia por medio de un fondo colectivo en el que participan varios donantes.</w:t>
      </w:r>
    </w:p>
    <w:p w:rsidR="00000000" w:rsidRDefault="00000000">
      <w:pPr>
        <w:pStyle w:val="H23"/>
        <w:keepNext w:val="0"/>
        <w:keepLines w:val="0"/>
        <w:suppressAutoHyphens w:val="0"/>
        <w:spacing w:after="240" w:line="240" w:lineRule="auto"/>
        <w:jc w:val="center"/>
        <w:outlineLvl w:val="9"/>
        <w:rPr>
          <w:bCs/>
          <w:spacing w:val="0"/>
          <w:w w:val="100"/>
          <w:kern w:val="0"/>
        </w:rPr>
      </w:pPr>
      <w:r>
        <w:rPr>
          <w:bCs/>
          <w:spacing w:val="0"/>
          <w:w w:val="100"/>
          <w:kern w:val="0"/>
        </w:rPr>
        <w:t>Cuadro 17</w:t>
      </w:r>
    </w:p>
    <w:p w:rsidR="00000000" w:rsidRDefault="00000000">
      <w:pPr>
        <w:pStyle w:val="H23"/>
        <w:keepNext w:val="0"/>
        <w:keepLines w:val="0"/>
        <w:suppressAutoHyphens w:val="0"/>
        <w:spacing w:after="240" w:line="240" w:lineRule="auto"/>
        <w:jc w:val="center"/>
        <w:outlineLvl w:val="9"/>
        <w:rPr>
          <w:bCs/>
          <w:spacing w:val="0"/>
          <w:w w:val="100"/>
          <w:kern w:val="0"/>
        </w:rPr>
      </w:pPr>
      <w:r>
        <w:rPr>
          <w:bCs/>
          <w:spacing w:val="0"/>
          <w:w w:val="100"/>
          <w:kern w:val="0"/>
        </w:rPr>
        <w:t>Presupuesto del Plan de mejora de la enseñanza primaria para 2002/03</w:t>
      </w:r>
    </w:p>
    <w:p w:rsidR="00000000" w:rsidRDefault="00000000">
      <w:pPr>
        <w:pStyle w:val="H23"/>
        <w:keepNext w:val="0"/>
        <w:keepLines w:val="0"/>
        <w:suppressAutoHyphens w:val="0"/>
        <w:spacing w:after="240" w:line="240" w:lineRule="auto"/>
        <w:jc w:val="center"/>
        <w:outlineLvl w:val="9"/>
        <w:rPr>
          <w:b w:val="0"/>
          <w:spacing w:val="0"/>
          <w:w w:val="100"/>
          <w:kern w:val="0"/>
        </w:rPr>
      </w:pPr>
      <w:r>
        <w:rPr>
          <w:b w:val="0"/>
          <w:spacing w:val="0"/>
          <w:w w:val="100"/>
          <w:kern w:val="0"/>
        </w:rPr>
        <w:t>(En miles de millones de chelines tanzanianos)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57"/>
        <w:gridCol w:w="1920"/>
        <w:gridCol w:w="1080"/>
        <w:gridCol w:w="2040"/>
        <w:gridCol w:w="1920"/>
        <w:gridCol w:w="1011"/>
      </w:tblGrid>
      <w:tr w:rsidR="00000000">
        <w:tblPrEx>
          <w:tblCellMar>
            <w:top w:w="0" w:type="dxa"/>
            <w:bottom w:w="0" w:type="dxa"/>
          </w:tblCellMar>
        </w:tblPrEx>
        <w:trPr>
          <w:tblHeader/>
          <w:jc w:val="center"/>
        </w:trPr>
        <w:tc>
          <w:tcPr>
            <w:tcW w:w="1257" w:type="dxa"/>
            <w:tcMar>
              <w:left w:w="57" w:type="dxa"/>
              <w:right w:w="57" w:type="dxa"/>
            </w:tcMar>
            <w:vAlign w:val="center"/>
          </w:tcPr>
          <w:p w:rsidR="00000000" w:rsidRDefault="00000000">
            <w:pPr>
              <w:pStyle w:val="BodyText"/>
              <w:spacing w:line="240" w:lineRule="auto"/>
              <w:jc w:val="center"/>
              <w:rPr>
                <w:rFonts w:ascii="Times New Roman" w:hAnsi="Times New Roman"/>
                <w:sz w:val="20"/>
                <w:lang w:val="es-ES"/>
              </w:rPr>
            </w:pPr>
            <w:r>
              <w:rPr>
                <w:rFonts w:ascii="Times New Roman" w:hAnsi="Times New Roman"/>
                <w:sz w:val="20"/>
                <w:lang w:val="es-ES"/>
              </w:rPr>
              <w:t>Fuentes de fina</w:t>
            </w:r>
            <w:r>
              <w:rPr>
                <w:rFonts w:ascii="Times New Roman" w:hAnsi="Times New Roman"/>
                <w:sz w:val="20"/>
                <w:lang w:val="es-ES"/>
              </w:rPr>
              <w:t>n</w:t>
            </w:r>
            <w:r>
              <w:rPr>
                <w:rFonts w:ascii="Times New Roman" w:hAnsi="Times New Roman"/>
                <w:sz w:val="20"/>
                <w:lang w:val="es-ES"/>
              </w:rPr>
              <w:t>ciación</w:t>
            </w:r>
          </w:p>
        </w:tc>
        <w:tc>
          <w:tcPr>
            <w:tcW w:w="1920" w:type="dxa"/>
            <w:tcMar>
              <w:left w:w="57" w:type="dxa"/>
              <w:right w:w="57" w:type="dxa"/>
            </w:tcMar>
            <w:vAlign w:val="center"/>
          </w:tcPr>
          <w:p w:rsidR="00000000" w:rsidRDefault="00000000">
            <w:pPr>
              <w:pStyle w:val="BodyText"/>
              <w:spacing w:line="240" w:lineRule="auto"/>
              <w:jc w:val="center"/>
              <w:rPr>
                <w:rFonts w:ascii="Times New Roman" w:hAnsi="Times New Roman"/>
                <w:sz w:val="20"/>
                <w:lang w:val="es-ES"/>
              </w:rPr>
            </w:pPr>
            <w:r>
              <w:rPr>
                <w:rFonts w:ascii="Times New Roman" w:hAnsi="Times New Roman"/>
                <w:sz w:val="20"/>
                <w:lang w:val="es-ES"/>
              </w:rPr>
              <w:t>Chelines tanzani</w:t>
            </w:r>
            <w:r>
              <w:rPr>
                <w:rFonts w:ascii="Times New Roman" w:hAnsi="Times New Roman"/>
                <w:sz w:val="20"/>
                <w:lang w:val="es-ES"/>
              </w:rPr>
              <w:t>a</w:t>
            </w:r>
            <w:r>
              <w:rPr>
                <w:rFonts w:ascii="Times New Roman" w:hAnsi="Times New Roman"/>
                <w:sz w:val="20"/>
                <w:lang w:val="es-ES"/>
              </w:rPr>
              <w:t>nos (miles de m</w:t>
            </w:r>
            <w:r>
              <w:rPr>
                <w:rFonts w:ascii="Times New Roman" w:hAnsi="Times New Roman"/>
                <w:sz w:val="20"/>
                <w:lang w:val="es-ES"/>
              </w:rPr>
              <w:t>i</w:t>
            </w:r>
            <w:r>
              <w:rPr>
                <w:rFonts w:ascii="Times New Roman" w:hAnsi="Times New Roman"/>
                <w:sz w:val="20"/>
                <w:lang w:val="es-ES"/>
              </w:rPr>
              <w:t>llones)</w:t>
            </w:r>
          </w:p>
        </w:tc>
        <w:tc>
          <w:tcPr>
            <w:tcW w:w="1080" w:type="dxa"/>
            <w:tcMar>
              <w:left w:w="57" w:type="dxa"/>
              <w:right w:w="57" w:type="dxa"/>
            </w:tcMar>
            <w:vAlign w:val="center"/>
          </w:tcPr>
          <w:p w:rsidR="00000000" w:rsidRDefault="00000000">
            <w:pPr>
              <w:pStyle w:val="BodyText"/>
              <w:spacing w:line="240" w:lineRule="auto"/>
              <w:jc w:val="center"/>
              <w:rPr>
                <w:rFonts w:ascii="Times New Roman" w:hAnsi="Times New Roman"/>
                <w:sz w:val="20"/>
                <w:lang w:val="es-ES"/>
              </w:rPr>
            </w:pPr>
            <w:r>
              <w:rPr>
                <w:rFonts w:ascii="Times New Roman" w:hAnsi="Times New Roman"/>
                <w:sz w:val="20"/>
                <w:lang w:val="es-ES"/>
              </w:rPr>
              <w:t>Porcentaje</w:t>
            </w:r>
          </w:p>
        </w:tc>
        <w:tc>
          <w:tcPr>
            <w:tcW w:w="2040" w:type="dxa"/>
            <w:tcMar>
              <w:left w:w="57" w:type="dxa"/>
              <w:right w:w="57" w:type="dxa"/>
            </w:tcMar>
            <w:vAlign w:val="center"/>
          </w:tcPr>
          <w:p w:rsidR="00000000" w:rsidRDefault="00000000">
            <w:pPr>
              <w:pStyle w:val="BodyText"/>
              <w:spacing w:line="240" w:lineRule="auto"/>
              <w:jc w:val="center"/>
              <w:rPr>
                <w:rFonts w:ascii="Times New Roman" w:hAnsi="Times New Roman"/>
                <w:sz w:val="20"/>
                <w:lang w:val="es-ES"/>
              </w:rPr>
            </w:pPr>
            <w:r>
              <w:rPr>
                <w:rFonts w:ascii="Times New Roman" w:hAnsi="Times New Roman"/>
                <w:sz w:val="20"/>
                <w:lang w:val="es-ES"/>
              </w:rPr>
              <w:t>Concepto</w:t>
            </w:r>
          </w:p>
        </w:tc>
        <w:tc>
          <w:tcPr>
            <w:tcW w:w="1920" w:type="dxa"/>
            <w:tcMar>
              <w:left w:w="57" w:type="dxa"/>
              <w:right w:w="57" w:type="dxa"/>
            </w:tcMar>
            <w:vAlign w:val="center"/>
          </w:tcPr>
          <w:p w:rsidR="00000000" w:rsidRDefault="00000000">
            <w:pPr>
              <w:pStyle w:val="BodyText"/>
              <w:spacing w:line="240" w:lineRule="auto"/>
              <w:jc w:val="center"/>
              <w:rPr>
                <w:rFonts w:ascii="Times New Roman" w:hAnsi="Times New Roman"/>
                <w:sz w:val="20"/>
                <w:lang w:val="es-ES"/>
              </w:rPr>
            </w:pPr>
            <w:r>
              <w:rPr>
                <w:rFonts w:ascii="Times New Roman" w:hAnsi="Times New Roman"/>
                <w:sz w:val="20"/>
                <w:lang w:val="es-ES"/>
              </w:rPr>
              <w:t>Chelines tanzanianos (miles de mill</w:t>
            </w:r>
            <w:r>
              <w:rPr>
                <w:rFonts w:ascii="Times New Roman" w:hAnsi="Times New Roman"/>
                <w:sz w:val="20"/>
                <w:lang w:val="es-ES"/>
              </w:rPr>
              <w:t>o</w:t>
            </w:r>
            <w:r>
              <w:rPr>
                <w:rFonts w:ascii="Times New Roman" w:hAnsi="Times New Roman"/>
                <w:sz w:val="20"/>
                <w:lang w:val="es-ES"/>
              </w:rPr>
              <w:t>nes)</w:t>
            </w:r>
          </w:p>
        </w:tc>
        <w:tc>
          <w:tcPr>
            <w:tcW w:w="1011" w:type="dxa"/>
            <w:tcMar>
              <w:left w:w="57" w:type="dxa"/>
              <w:right w:w="57" w:type="dxa"/>
            </w:tcMar>
            <w:vAlign w:val="center"/>
          </w:tcPr>
          <w:p w:rsidR="00000000" w:rsidRDefault="00000000">
            <w:pPr>
              <w:pStyle w:val="BodyText"/>
              <w:spacing w:line="240" w:lineRule="auto"/>
              <w:jc w:val="center"/>
              <w:rPr>
                <w:rFonts w:ascii="Times New Roman" w:hAnsi="Times New Roman"/>
                <w:sz w:val="20"/>
                <w:lang w:val="es-ES"/>
              </w:rPr>
            </w:pPr>
            <w:r>
              <w:rPr>
                <w:rFonts w:ascii="Times New Roman" w:hAnsi="Times New Roman"/>
                <w:sz w:val="20"/>
                <w:lang w:val="es-ES"/>
              </w:rPr>
              <w:t>Porcentaje</w:t>
            </w:r>
          </w:p>
        </w:tc>
      </w:tr>
      <w:tr w:rsidR="00000000">
        <w:tblPrEx>
          <w:tblCellMar>
            <w:top w:w="0" w:type="dxa"/>
            <w:bottom w:w="0" w:type="dxa"/>
          </w:tblCellMar>
        </w:tblPrEx>
        <w:trPr>
          <w:jc w:val="center"/>
        </w:trPr>
        <w:tc>
          <w:tcPr>
            <w:tcW w:w="1257" w:type="dxa"/>
            <w:tcMar>
              <w:left w:w="57" w:type="dxa"/>
              <w:right w:w="57" w:type="dxa"/>
            </w:tcMar>
          </w:tcPr>
          <w:p w:rsidR="00000000" w:rsidRDefault="00000000">
            <w:pPr>
              <w:pStyle w:val="BodyText"/>
              <w:spacing w:line="240" w:lineRule="auto"/>
              <w:jc w:val="left"/>
              <w:rPr>
                <w:rFonts w:ascii="Times New Roman" w:hAnsi="Times New Roman"/>
                <w:sz w:val="20"/>
                <w:lang w:val="es-ES"/>
              </w:rPr>
            </w:pPr>
            <w:r>
              <w:rPr>
                <w:rFonts w:ascii="Times New Roman" w:hAnsi="Times New Roman"/>
                <w:sz w:val="20"/>
                <w:lang w:val="es-ES"/>
              </w:rPr>
              <w:t>G</w:t>
            </w:r>
            <w:r>
              <w:rPr>
                <w:rFonts w:ascii="Times New Roman" w:hAnsi="Times New Roman"/>
                <w:sz w:val="20"/>
                <w:lang w:val="es-ES"/>
              </w:rPr>
              <w:t>o</w:t>
            </w:r>
            <w:r>
              <w:rPr>
                <w:rFonts w:ascii="Times New Roman" w:hAnsi="Times New Roman"/>
                <w:sz w:val="20"/>
                <w:lang w:val="es-ES"/>
              </w:rPr>
              <w:t>bierno</w:t>
            </w:r>
          </w:p>
        </w:tc>
        <w:tc>
          <w:tcPr>
            <w:tcW w:w="1920" w:type="dxa"/>
            <w:tcMar>
              <w:left w:w="57" w:type="dxa"/>
              <w:right w:w="57" w:type="dxa"/>
            </w:tcMar>
          </w:tcPr>
          <w:p w:rsidR="00000000" w:rsidRDefault="00000000">
            <w:pPr>
              <w:pStyle w:val="BodyText"/>
              <w:tabs>
                <w:tab w:val="decimal" w:pos="1023"/>
              </w:tabs>
              <w:spacing w:line="240" w:lineRule="auto"/>
              <w:jc w:val="left"/>
              <w:rPr>
                <w:rFonts w:ascii="Times New Roman" w:hAnsi="Times New Roman"/>
                <w:sz w:val="20"/>
                <w:lang w:val="es-ES"/>
              </w:rPr>
            </w:pPr>
            <w:r>
              <w:rPr>
                <w:rFonts w:ascii="Times New Roman" w:hAnsi="Times New Roman"/>
                <w:sz w:val="20"/>
                <w:lang w:val="es-ES"/>
              </w:rPr>
              <w:t>175,1</w:t>
            </w:r>
          </w:p>
        </w:tc>
        <w:tc>
          <w:tcPr>
            <w:tcW w:w="1080" w:type="dxa"/>
            <w:tcMar>
              <w:left w:w="57" w:type="dxa"/>
              <w:right w:w="57" w:type="dxa"/>
            </w:tcMar>
          </w:tcPr>
          <w:p w:rsidR="00000000" w:rsidRDefault="00000000">
            <w:pPr>
              <w:pStyle w:val="BodyText"/>
              <w:tabs>
                <w:tab w:val="decimal" w:pos="543"/>
              </w:tabs>
              <w:spacing w:line="240" w:lineRule="auto"/>
              <w:jc w:val="left"/>
              <w:rPr>
                <w:rFonts w:ascii="Times New Roman" w:hAnsi="Times New Roman"/>
                <w:sz w:val="20"/>
                <w:lang w:val="es-ES"/>
              </w:rPr>
            </w:pPr>
            <w:r>
              <w:rPr>
                <w:rFonts w:ascii="Times New Roman" w:hAnsi="Times New Roman"/>
                <w:sz w:val="20"/>
                <w:lang w:val="es-ES"/>
              </w:rPr>
              <w:t>60,4</w:t>
            </w:r>
          </w:p>
        </w:tc>
        <w:tc>
          <w:tcPr>
            <w:tcW w:w="2040" w:type="dxa"/>
            <w:tcMar>
              <w:left w:w="57" w:type="dxa"/>
              <w:right w:w="57" w:type="dxa"/>
            </w:tcMar>
          </w:tcPr>
          <w:p w:rsidR="00000000" w:rsidRDefault="00000000">
            <w:pPr>
              <w:pStyle w:val="BodyText"/>
              <w:spacing w:line="240" w:lineRule="auto"/>
              <w:jc w:val="left"/>
              <w:rPr>
                <w:rFonts w:ascii="Times New Roman" w:hAnsi="Times New Roman"/>
                <w:sz w:val="20"/>
                <w:lang w:val="es-ES"/>
              </w:rPr>
            </w:pPr>
            <w:r>
              <w:rPr>
                <w:rFonts w:ascii="Times New Roman" w:hAnsi="Times New Roman"/>
                <w:sz w:val="20"/>
                <w:lang w:val="es-ES"/>
              </w:rPr>
              <w:t xml:space="preserve">Subvenciones proporcionales al número de alumnos </w:t>
            </w:r>
          </w:p>
        </w:tc>
        <w:tc>
          <w:tcPr>
            <w:tcW w:w="1920" w:type="dxa"/>
            <w:tcMar>
              <w:left w:w="57" w:type="dxa"/>
              <w:right w:w="57" w:type="dxa"/>
            </w:tcMar>
          </w:tcPr>
          <w:p w:rsidR="00000000" w:rsidRDefault="00000000">
            <w:pPr>
              <w:pStyle w:val="BodyText"/>
              <w:tabs>
                <w:tab w:val="decimal" w:pos="903"/>
              </w:tabs>
              <w:spacing w:line="240" w:lineRule="auto"/>
              <w:jc w:val="left"/>
              <w:rPr>
                <w:rFonts w:ascii="Times New Roman" w:hAnsi="Times New Roman"/>
                <w:sz w:val="20"/>
                <w:lang w:val="es-ES"/>
              </w:rPr>
            </w:pPr>
            <w:r>
              <w:rPr>
                <w:rFonts w:ascii="Times New Roman" w:hAnsi="Times New Roman"/>
                <w:sz w:val="20"/>
                <w:lang w:val="es-ES"/>
              </w:rPr>
              <w:t>70,1</w:t>
            </w:r>
          </w:p>
        </w:tc>
        <w:tc>
          <w:tcPr>
            <w:tcW w:w="1011" w:type="dxa"/>
            <w:tcMar>
              <w:left w:w="57" w:type="dxa"/>
              <w:right w:w="57" w:type="dxa"/>
            </w:tcMar>
          </w:tcPr>
          <w:p w:rsidR="00000000" w:rsidRDefault="00000000">
            <w:pPr>
              <w:pStyle w:val="BodyText"/>
              <w:tabs>
                <w:tab w:val="decimal" w:pos="543"/>
              </w:tabs>
              <w:spacing w:line="240" w:lineRule="auto"/>
              <w:jc w:val="left"/>
              <w:rPr>
                <w:rFonts w:ascii="Times New Roman" w:hAnsi="Times New Roman"/>
                <w:sz w:val="20"/>
                <w:lang w:val="es-ES"/>
              </w:rPr>
            </w:pPr>
            <w:r>
              <w:rPr>
                <w:rFonts w:ascii="Times New Roman" w:hAnsi="Times New Roman"/>
                <w:sz w:val="20"/>
                <w:lang w:val="es-ES"/>
              </w:rPr>
              <w:t>24,2</w:t>
            </w:r>
          </w:p>
        </w:tc>
      </w:tr>
      <w:tr w:rsidR="00000000">
        <w:tblPrEx>
          <w:tblCellMar>
            <w:top w:w="0" w:type="dxa"/>
            <w:bottom w:w="0" w:type="dxa"/>
          </w:tblCellMar>
        </w:tblPrEx>
        <w:trPr>
          <w:jc w:val="center"/>
        </w:trPr>
        <w:tc>
          <w:tcPr>
            <w:tcW w:w="1257" w:type="dxa"/>
            <w:tcMar>
              <w:left w:w="57" w:type="dxa"/>
              <w:right w:w="57" w:type="dxa"/>
            </w:tcMar>
          </w:tcPr>
          <w:p w:rsidR="00000000" w:rsidRDefault="00000000">
            <w:pPr>
              <w:pStyle w:val="BodyText"/>
              <w:spacing w:line="240" w:lineRule="auto"/>
              <w:jc w:val="left"/>
              <w:rPr>
                <w:rFonts w:ascii="Times New Roman" w:hAnsi="Times New Roman"/>
                <w:sz w:val="20"/>
                <w:lang w:val="es-ES"/>
              </w:rPr>
            </w:pPr>
            <w:r>
              <w:rPr>
                <w:rFonts w:ascii="Times New Roman" w:hAnsi="Times New Roman"/>
                <w:sz w:val="20"/>
                <w:lang w:val="es-ES"/>
              </w:rPr>
              <w:t>D</w:t>
            </w:r>
            <w:r>
              <w:rPr>
                <w:rFonts w:ascii="Times New Roman" w:hAnsi="Times New Roman"/>
                <w:sz w:val="20"/>
                <w:lang w:val="es-ES"/>
              </w:rPr>
              <w:t>o</w:t>
            </w:r>
            <w:r>
              <w:rPr>
                <w:rFonts w:ascii="Times New Roman" w:hAnsi="Times New Roman"/>
                <w:sz w:val="20"/>
                <w:lang w:val="es-ES"/>
              </w:rPr>
              <w:t>nantes</w:t>
            </w:r>
          </w:p>
        </w:tc>
        <w:tc>
          <w:tcPr>
            <w:tcW w:w="1920" w:type="dxa"/>
            <w:tcMar>
              <w:left w:w="57" w:type="dxa"/>
              <w:right w:w="57" w:type="dxa"/>
            </w:tcMar>
          </w:tcPr>
          <w:p w:rsidR="00000000" w:rsidRDefault="00000000">
            <w:pPr>
              <w:pStyle w:val="BodyText"/>
              <w:tabs>
                <w:tab w:val="decimal" w:pos="1023"/>
              </w:tabs>
              <w:spacing w:line="240" w:lineRule="auto"/>
              <w:jc w:val="left"/>
              <w:rPr>
                <w:rFonts w:ascii="Times New Roman" w:hAnsi="Times New Roman"/>
                <w:sz w:val="20"/>
                <w:lang w:val="es-ES"/>
              </w:rPr>
            </w:pPr>
            <w:r>
              <w:rPr>
                <w:rFonts w:ascii="Times New Roman" w:hAnsi="Times New Roman"/>
                <w:sz w:val="20"/>
                <w:lang w:val="es-ES"/>
              </w:rPr>
              <w:t>114,6</w:t>
            </w:r>
          </w:p>
        </w:tc>
        <w:tc>
          <w:tcPr>
            <w:tcW w:w="1080" w:type="dxa"/>
            <w:tcMar>
              <w:left w:w="57" w:type="dxa"/>
              <w:right w:w="57" w:type="dxa"/>
            </w:tcMar>
          </w:tcPr>
          <w:p w:rsidR="00000000" w:rsidRDefault="00000000">
            <w:pPr>
              <w:pStyle w:val="BodyText"/>
              <w:tabs>
                <w:tab w:val="decimal" w:pos="543"/>
              </w:tabs>
              <w:spacing w:line="240" w:lineRule="auto"/>
              <w:jc w:val="left"/>
              <w:rPr>
                <w:rFonts w:ascii="Times New Roman" w:hAnsi="Times New Roman"/>
                <w:sz w:val="20"/>
                <w:lang w:val="es-ES"/>
              </w:rPr>
            </w:pPr>
            <w:r>
              <w:rPr>
                <w:rFonts w:ascii="Times New Roman" w:hAnsi="Times New Roman"/>
                <w:sz w:val="20"/>
                <w:lang w:val="es-ES"/>
              </w:rPr>
              <w:t>39,6</w:t>
            </w:r>
          </w:p>
        </w:tc>
        <w:tc>
          <w:tcPr>
            <w:tcW w:w="2040" w:type="dxa"/>
            <w:tcMar>
              <w:left w:w="57" w:type="dxa"/>
              <w:right w:w="57" w:type="dxa"/>
            </w:tcMar>
          </w:tcPr>
          <w:p w:rsidR="00000000" w:rsidRDefault="00000000">
            <w:pPr>
              <w:pStyle w:val="BodyText"/>
              <w:spacing w:line="240" w:lineRule="auto"/>
              <w:jc w:val="left"/>
              <w:rPr>
                <w:rFonts w:ascii="Times New Roman" w:hAnsi="Times New Roman"/>
                <w:sz w:val="20"/>
                <w:lang w:val="es-ES"/>
              </w:rPr>
            </w:pPr>
            <w:r>
              <w:rPr>
                <w:rFonts w:ascii="Times New Roman" w:hAnsi="Times New Roman"/>
                <w:sz w:val="20"/>
                <w:lang w:val="es-ES"/>
              </w:rPr>
              <w:t>Otros desembo</w:t>
            </w:r>
            <w:r>
              <w:rPr>
                <w:rFonts w:ascii="Times New Roman" w:hAnsi="Times New Roman"/>
                <w:sz w:val="20"/>
                <w:lang w:val="es-ES"/>
              </w:rPr>
              <w:t>l</w:t>
            </w:r>
            <w:r>
              <w:rPr>
                <w:rFonts w:ascii="Times New Roman" w:hAnsi="Times New Roman"/>
                <w:sz w:val="20"/>
                <w:lang w:val="es-ES"/>
              </w:rPr>
              <w:t>sos</w:t>
            </w:r>
          </w:p>
        </w:tc>
        <w:tc>
          <w:tcPr>
            <w:tcW w:w="1920" w:type="dxa"/>
            <w:tcMar>
              <w:left w:w="57" w:type="dxa"/>
              <w:right w:w="57" w:type="dxa"/>
            </w:tcMar>
          </w:tcPr>
          <w:p w:rsidR="00000000" w:rsidRDefault="00000000">
            <w:pPr>
              <w:tabs>
                <w:tab w:val="decimal" w:pos="903"/>
              </w:tabs>
              <w:rPr>
                <w:sz w:val="20"/>
              </w:rPr>
            </w:pPr>
            <w:r>
              <w:rPr>
                <w:sz w:val="20"/>
              </w:rPr>
              <w:t>13,7</w:t>
            </w:r>
          </w:p>
        </w:tc>
        <w:tc>
          <w:tcPr>
            <w:tcW w:w="1011" w:type="dxa"/>
            <w:tcMar>
              <w:left w:w="57" w:type="dxa"/>
              <w:right w:w="57" w:type="dxa"/>
            </w:tcMar>
          </w:tcPr>
          <w:p w:rsidR="00000000" w:rsidRDefault="00000000">
            <w:pPr>
              <w:tabs>
                <w:tab w:val="decimal" w:pos="543"/>
              </w:tabs>
              <w:rPr>
                <w:sz w:val="20"/>
              </w:rPr>
            </w:pPr>
            <w:r>
              <w:rPr>
                <w:sz w:val="20"/>
              </w:rPr>
              <w:t>4,73</w:t>
            </w:r>
          </w:p>
        </w:tc>
      </w:tr>
      <w:tr w:rsidR="00000000">
        <w:tblPrEx>
          <w:tblCellMar>
            <w:top w:w="0" w:type="dxa"/>
            <w:bottom w:w="0" w:type="dxa"/>
          </w:tblCellMar>
        </w:tblPrEx>
        <w:trPr>
          <w:jc w:val="center"/>
        </w:trPr>
        <w:tc>
          <w:tcPr>
            <w:tcW w:w="1257" w:type="dxa"/>
            <w:tcMar>
              <w:left w:w="57" w:type="dxa"/>
              <w:right w:w="57" w:type="dxa"/>
            </w:tcMar>
          </w:tcPr>
          <w:p w:rsidR="00000000" w:rsidRDefault="00000000">
            <w:pPr>
              <w:pStyle w:val="BodyText"/>
              <w:spacing w:line="240" w:lineRule="auto"/>
              <w:jc w:val="left"/>
              <w:rPr>
                <w:rFonts w:ascii="Times New Roman" w:hAnsi="Times New Roman"/>
                <w:sz w:val="20"/>
                <w:lang w:val="es-ES"/>
              </w:rPr>
            </w:pPr>
          </w:p>
        </w:tc>
        <w:tc>
          <w:tcPr>
            <w:tcW w:w="1920" w:type="dxa"/>
            <w:tcMar>
              <w:left w:w="57" w:type="dxa"/>
              <w:right w:w="57" w:type="dxa"/>
            </w:tcMar>
          </w:tcPr>
          <w:p w:rsidR="00000000" w:rsidRDefault="00000000">
            <w:pPr>
              <w:pStyle w:val="BodyText"/>
              <w:tabs>
                <w:tab w:val="decimal" w:pos="1023"/>
              </w:tabs>
              <w:spacing w:line="240" w:lineRule="auto"/>
              <w:jc w:val="left"/>
              <w:rPr>
                <w:rFonts w:ascii="Times New Roman" w:hAnsi="Times New Roman"/>
                <w:sz w:val="20"/>
                <w:lang w:val="es-ES"/>
              </w:rPr>
            </w:pPr>
          </w:p>
        </w:tc>
        <w:tc>
          <w:tcPr>
            <w:tcW w:w="1080" w:type="dxa"/>
            <w:tcMar>
              <w:left w:w="57" w:type="dxa"/>
              <w:right w:w="57" w:type="dxa"/>
            </w:tcMar>
          </w:tcPr>
          <w:p w:rsidR="00000000" w:rsidRDefault="00000000">
            <w:pPr>
              <w:pStyle w:val="BodyText"/>
              <w:tabs>
                <w:tab w:val="decimal" w:pos="543"/>
              </w:tabs>
              <w:spacing w:line="240" w:lineRule="auto"/>
              <w:jc w:val="left"/>
              <w:rPr>
                <w:rFonts w:ascii="Times New Roman" w:hAnsi="Times New Roman"/>
                <w:sz w:val="20"/>
                <w:lang w:val="es-ES"/>
              </w:rPr>
            </w:pPr>
          </w:p>
        </w:tc>
        <w:tc>
          <w:tcPr>
            <w:tcW w:w="2040" w:type="dxa"/>
            <w:tcMar>
              <w:left w:w="57" w:type="dxa"/>
              <w:right w:w="57" w:type="dxa"/>
            </w:tcMar>
          </w:tcPr>
          <w:p w:rsidR="00000000" w:rsidRDefault="00000000">
            <w:pPr>
              <w:pStyle w:val="BodyText"/>
              <w:spacing w:line="240" w:lineRule="auto"/>
              <w:jc w:val="left"/>
              <w:rPr>
                <w:rFonts w:ascii="Times New Roman" w:hAnsi="Times New Roman"/>
                <w:sz w:val="20"/>
                <w:lang w:val="es-ES"/>
              </w:rPr>
            </w:pPr>
            <w:r>
              <w:rPr>
                <w:rFonts w:ascii="Times New Roman" w:hAnsi="Times New Roman"/>
                <w:sz w:val="20"/>
                <w:lang w:val="es-ES"/>
              </w:rPr>
              <w:t>M</w:t>
            </w:r>
            <w:r>
              <w:rPr>
                <w:rFonts w:ascii="Times New Roman" w:hAnsi="Times New Roman"/>
                <w:sz w:val="20"/>
                <w:lang w:val="es-ES"/>
              </w:rPr>
              <w:t>e</w:t>
            </w:r>
            <w:r>
              <w:rPr>
                <w:rFonts w:ascii="Times New Roman" w:hAnsi="Times New Roman"/>
                <w:sz w:val="20"/>
                <w:lang w:val="es-ES"/>
              </w:rPr>
              <w:t>joras</w:t>
            </w:r>
          </w:p>
        </w:tc>
        <w:tc>
          <w:tcPr>
            <w:tcW w:w="1920" w:type="dxa"/>
            <w:tcMar>
              <w:left w:w="57" w:type="dxa"/>
              <w:right w:w="57" w:type="dxa"/>
            </w:tcMar>
          </w:tcPr>
          <w:p w:rsidR="00000000" w:rsidRDefault="00000000">
            <w:pPr>
              <w:pStyle w:val="BodyText"/>
              <w:tabs>
                <w:tab w:val="decimal" w:pos="903"/>
              </w:tabs>
              <w:spacing w:line="240" w:lineRule="auto"/>
              <w:jc w:val="left"/>
              <w:rPr>
                <w:rFonts w:ascii="Times New Roman" w:hAnsi="Times New Roman"/>
                <w:sz w:val="20"/>
                <w:lang w:val="es-ES"/>
              </w:rPr>
            </w:pPr>
            <w:r>
              <w:rPr>
                <w:rFonts w:ascii="Times New Roman" w:hAnsi="Times New Roman"/>
                <w:sz w:val="20"/>
                <w:lang w:val="es-ES"/>
              </w:rPr>
              <w:t>51,4</w:t>
            </w:r>
          </w:p>
        </w:tc>
        <w:tc>
          <w:tcPr>
            <w:tcW w:w="1011" w:type="dxa"/>
            <w:tcMar>
              <w:left w:w="57" w:type="dxa"/>
              <w:right w:w="57" w:type="dxa"/>
            </w:tcMar>
          </w:tcPr>
          <w:p w:rsidR="00000000" w:rsidRDefault="00000000">
            <w:pPr>
              <w:pStyle w:val="BodyText"/>
              <w:tabs>
                <w:tab w:val="decimal" w:pos="543"/>
              </w:tabs>
              <w:spacing w:line="240" w:lineRule="auto"/>
              <w:jc w:val="left"/>
              <w:rPr>
                <w:rFonts w:ascii="Times New Roman" w:hAnsi="Times New Roman"/>
                <w:sz w:val="20"/>
                <w:lang w:val="es-ES"/>
              </w:rPr>
            </w:pPr>
            <w:r>
              <w:rPr>
                <w:rFonts w:ascii="Times New Roman" w:hAnsi="Times New Roman"/>
                <w:sz w:val="20"/>
                <w:lang w:val="es-ES"/>
              </w:rPr>
              <w:t>17,7</w:t>
            </w:r>
          </w:p>
        </w:tc>
      </w:tr>
      <w:tr w:rsidR="00000000">
        <w:tblPrEx>
          <w:tblCellMar>
            <w:top w:w="0" w:type="dxa"/>
            <w:bottom w:w="0" w:type="dxa"/>
          </w:tblCellMar>
        </w:tblPrEx>
        <w:trPr>
          <w:jc w:val="center"/>
        </w:trPr>
        <w:tc>
          <w:tcPr>
            <w:tcW w:w="1257" w:type="dxa"/>
            <w:tcMar>
              <w:left w:w="57" w:type="dxa"/>
              <w:right w:w="57" w:type="dxa"/>
            </w:tcMar>
          </w:tcPr>
          <w:p w:rsidR="00000000" w:rsidRDefault="00000000">
            <w:pPr>
              <w:pStyle w:val="BodyText"/>
              <w:spacing w:line="240" w:lineRule="auto"/>
              <w:jc w:val="left"/>
              <w:rPr>
                <w:rFonts w:ascii="Times New Roman" w:hAnsi="Times New Roman"/>
                <w:sz w:val="20"/>
                <w:lang w:val="es-ES"/>
              </w:rPr>
            </w:pPr>
          </w:p>
        </w:tc>
        <w:tc>
          <w:tcPr>
            <w:tcW w:w="1920" w:type="dxa"/>
            <w:tcMar>
              <w:left w:w="57" w:type="dxa"/>
              <w:right w:w="57" w:type="dxa"/>
            </w:tcMar>
          </w:tcPr>
          <w:p w:rsidR="00000000" w:rsidRDefault="00000000">
            <w:pPr>
              <w:pStyle w:val="BodyText"/>
              <w:tabs>
                <w:tab w:val="decimal" w:pos="1023"/>
              </w:tabs>
              <w:spacing w:line="240" w:lineRule="auto"/>
              <w:jc w:val="left"/>
              <w:rPr>
                <w:rFonts w:ascii="Times New Roman" w:hAnsi="Times New Roman"/>
                <w:sz w:val="20"/>
                <w:lang w:val="es-ES"/>
              </w:rPr>
            </w:pPr>
          </w:p>
        </w:tc>
        <w:tc>
          <w:tcPr>
            <w:tcW w:w="1080" w:type="dxa"/>
            <w:tcMar>
              <w:left w:w="57" w:type="dxa"/>
              <w:right w:w="57" w:type="dxa"/>
            </w:tcMar>
          </w:tcPr>
          <w:p w:rsidR="00000000" w:rsidRDefault="00000000">
            <w:pPr>
              <w:pStyle w:val="BodyText"/>
              <w:tabs>
                <w:tab w:val="decimal" w:pos="543"/>
              </w:tabs>
              <w:spacing w:line="240" w:lineRule="auto"/>
              <w:jc w:val="left"/>
              <w:rPr>
                <w:rFonts w:ascii="Times New Roman" w:hAnsi="Times New Roman"/>
                <w:sz w:val="20"/>
                <w:lang w:val="es-ES"/>
              </w:rPr>
            </w:pPr>
          </w:p>
        </w:tc>
        <w:tc>
          <w:tcPr>
            <w:tcW w:w="2040" w:type="dxa"/>
            <w:tcMar>
              <w:left w:w="57" w:type="dxa"/>
              <w:right w:w="57" w:type="dxa"/>
            </w:tcMar>
          </w:tcPr>
          <w:p w:rsidR="00000000" w:rsidRDefault="00000000">
            <w:pPr>
              <w:pStyle w:val="BodyText"/>
              <w:spacing w:line="240" w:lineRule="auto"/>
              <w:jc w:val="left"/>
              <w:rPr>
                <w:rFonts w:ascii="Times New Roman" w:hAnsi="Times New Roman"/>
                <w:sz w:val="20"/>
                <w:lang w:val="es-ES"/>
              </w:rPr>
            </w:pPr>
            <w:r>
              <w:rPr>
                <w:rFonts w:ascii="Times New Roman" w:hAnsi="Times New Roman"/>
                <w:sz w:val="20"/>
                <w:lang w:val="es-ES"/>
              </w:rPr>
              <w:t>Gastos diversos</w:t>
            </w:r>
          </w:p>
        </w:tc>
        <w:tc>
          <w:tcPr>
            <w:tcW w:w="1920" w:type="dxa"/>
            <w:tcMar>
              <w:left w:w="57" w:type="dxa"/>
              <w:right w:w="57" w:type="dxa"/>
            </w:tcMar>
          </w:tcPr>
          <w:p w:rsidR="00000000" w:rsidRDefault="00000000">
            <w:pPr>
              <w:pStyle w:val="BodyText"/>
              <w:tabs>
                <w:tab w:val="decimal" w:pos="903"/>
              </w:tabs>
              <w:spacing w:line="240" w:lineRule="auto"/>
              <w:jc w:val="left"/>
              <w:rPr>
                <w:rFonts w:ascii="Times New Roman" w:hAnsi="Times New Roman"/>
                <w:sz w:val="20"/>
                <w:lang w:val="es-ES"/>
              </w:rPr>
            </w:pPr>
            <w:r>
              <w:rPr>
                <w:rFonts w:ascii="Times New Roman" w:hAnsi="Times New Roman"/>
                <w:sz w:val="20"/>
                <w:lang w:val="es-ES"/>
              </w:rPr>
              <w:t>154,5</w:t>
            </w:r>
          </w:p>
        </w:tc>
        <w:tc>
          <w:tcPr>
            <w:tcW w:w="1011" w:type="dxa"/>
            <w:tcMar>
              <w:left w:w="57" w:type="dxa"/>
              <w:right w:w="57" w:type="dxa"/>
            </w:tcMar>
          </w:tcPr>
          <w:p w:rsidR="00000000" w:rsidRDefault="00000000">
            <w:pPr>
              <w:pStyle w:val="BodyText"/>
              <w:tabs>
                <w:tab w:val="decimal" w:pos="543"/>
              </w:tabs>
              <w:spacing w:line="240" w:lineRule="auto"/>
              <w:jc w:val="left"/>
              <w:rPr>
                <w:rFonts w:ascii="Times New Roman" w:hAnsi="Times New Roman"/>
                <w:sz w:val="20"/>
                <w:lang w:val="es-ES"/>
              </w:rPr>
            </w:pPr>
            <w:r>
              <w:rPr>
                <w:rFonts w:ascii="Times New Roman" w:hAnsi="Times New Roman"/>
                <w:sz w:val="20"/>
                <w:lang w:val="es-ES"/>
              </w:rPr>
              <w:t>53,3</w:t>
            </w:r>
          </w:p>
        </w:tc>
      </w:tr>
      <w:tr w:rsidR="00000000">
        <w:tblPrEx>
          <w:tblCellMar>
            <w:top w:w="0" w:type="dxa"/>
            <w:bottom w:w="0" w:type="dxa"/>
          </w:tblCellMar>
        </w:tblPrEx>
        <w:trPr>
          <w:jc w:val="center"/>
        </w:trPr>
        <w:tc>
          <w:tcPr>
            <w:tcW w:w="1257" w:type="dxa"/>
            <w:tcMar>
              <w:left w:w="57" w:type="dxa"/>
              <w:right w:w="57" w:type="dxa"/>
            </w:tcMar>
          </w:tcPr>
          <w:p w:rsidR="00000000" w:rsidRDefault="00000000">
            <w:pPr>
              <w:pStyle w:val="BodyText"/>
              <w:spacing w:line="240" w:lineRule="auto"/>
              <w:jc w:val="left"/>
              <w:rPr>
                <w:rFonts w:ascii="Times New Roman" w:hAnsi="Times New Roman"/>
                <w:sz w:val="20"/>
                <w:lang w:val="es-ES"/>
              </w:rPr>
            </w:pPr>
          </w:p>
        </w:tc>
        <w:tc>
          <w:tcPr>
            <w:tcW w:w="1920" w:type="dxa"/>
            <w:tcMar>
              <w:left w:w="57" w:type="dxa"/>
              <w:right w:w="57" w:type="dxa"/>
            </w:tcMar>
          </w:tcPr>
          <w:p w:rsidR="00000000" w:rsidRDefault="00000000">
            <w:pPr>
              <w:pStyle w:val="BodyText"/>
              <w:tabs>
                <w:tab w:val="decimal" w:pos="1023"/>
              </w:tabs>
              <w:spacing w:line="240" w:lineRule="auto"/>
              <w:jc w:val="left"/>
              <w:rPr>
                <w:rFonts w:ascii="Times New Roman" w:hAnsi="Times New Roman"/>
                <w:sz w:val="20"/>
                <w:lang w:val="es-ES"/>
              </w:rPr>
            </w:pPr>
          </w:p>
        </w:tc>
        <w:tc>
          <w:tcPr>
            <w:tcW w:w="1080" w:type="dxa"/>
            <w:tcMar>
              <w:left w:w="57" w:type="dxa"/>
              <w:right w:w="57" w:type="dxa"/>
            </w:tcMar>
          </w:tcPr>
          <w:p w:rsidR="00000000" w:rsidRDefault="00000000">
            <w:pPr>
              <w:pStyle w:val="BodyText"/>
              <w:tabs>
                <w:tab w:val="decimal" w:pos="543"/>
              </w:tabs>
              <w:spacing w:line="240" w:lineRule="auto"/>
              <w:jc w:val="left"/>
              <w:rPr>
                <w:rFonts w:ascii="Times New Roman" w:hAnsi="Times New Roman"/>
                <w:sz w:val="20"/>
                <w:lang w:val="es-ES"/>
              </w:rPr>
            </w:pPr>
          </w:p>
        </w:tc>
        <w:tc>
          <w:tcPr>
            <w:tcW w:w="2040" w:type="dxa"/>
            <w:tcMar>
              <w:left w:w="57" w:type="dxa"/>
              <w:right w:w="57" w:type="dxa"/>
            </w:tcMar>
          </w:tcPr>
          <w:p w:rsidR="00000000" w:rsidRDefault="00000000">
            <w:pPr>
              <w:pStyle w:val="BodyText"/>
              <w:spacing w:line="240" w:lineRule="auto"/>
              <w:jc w:val="left"/>
              <w:rPr>
                <w:rFonts w:ascii="Times New Roman" w:hAnsi="Times New Roman"/>
                <w:sz w:val="20"/>
                <w:lang w:val="es-ES"/>
              </w:rPr>
            </w:pPr>
            <w:r>
              <w:rPr>
                <w:rFonts w:ascii="Times New Roman" w:hAnsi="Times New Roman"/>
                <w:sz w:val="20"/>
                <w:lang w:val="es-ES"/>
              </w:rPr>
              <w:t xml:space="preserve"> (incluidos sueldos)</w:t>
            </w:r>
          </w:p>
        </w:tc>
        <w:tc>
          <w:tcPr>
            <w:tcW w:w="1920" w:type="dxa"/>
            <w:tcMar>
              <w:left w:w="57" w:type="dxa"/>
              <w:right w:w="57" w:type="dxa"/>
            </w:tcMar>
          </w:tcPr>
          <w:p w:rsidR="00000000" w:rsidRDefault="00000000">
            <w:pPr>
              <w:pStyle w:val="BodyText"/>
              <w:tabs>
                <w:tab w:val="decimal" w:pos="903"/>
              </w:tabs>
              <w:spacing w:line="240" w:lineRule="auto"/>
              <w:jc w:val="left"/>
              <w:rPr>
                <w:rFonts w:ascii="Times New Roman" w:hAnsi="Times New Roman"/>
                <w:sz w:val="20"/>
                <w:lang w:val="es-ES"/>
              </w:rPr>
            </w:pPr>
            <w:r>
              <w:rPr>
                <w:rFonts w:ascii="Times New Roman" w:hAnsi="Times New Roman"/>
                <w:sz w:val="20"/>
                <w:lang w:val="es-ES"/>
              </w:rPr>
              <w:t>(138,4)</w:t>
            </w:r>
          </w:p>
        </w:tc>
        <w:tc>
          <w:tcPr>
            <w:tcW w:w="1011" w:type="dxa"/>
            <w:tcMar>
              <w:left w:w="57" w:type="dxa"/>
              <w:right w:w="57" w:type="dxa"/>
            </w:tcMar>
          </w:tcPr>
          <w:p w:rsidR="00000000" w:rsidRDefault="00000000">
            <w:pPr>
              <w:pStyle w:val="BodyText"/>
              <w:tabs>
                <w:tab w:val="decimal" w:pos="543"/>
              </w:tabs>
              <w:spacing w:line="240" w:lineRule="auto"/>
              <w:jc w:val="left"/>
              <w:rPr>
                <w:rFonts w:ascii="Times New Roman" w:hAnsi="Times New Roman"/>
                <w:sz w:val="20"/>
                <w:lang w:val="es-ES"/>
              </w:rPr>
            </w:pPr>
            <w:r>
              <w:rPr>
                <w:rFonts w:ascii="Times New Roman" w:hAnsi="Times New Roman"/>
                <w:sz w:val="20"/>
                <w:lang w:val="es-ES"/>
              </w:rPr>
              <w:t xml:space="preserve"> (47,8)</w:t>
            </w:r>
          </w:p>
        </w:tc>
      </w:tr>
      <w:tr w:rsidR="00000000">
        <w:tblPrEx>
          <w:tblCellMar>
            <w:top w:w="0" w:type="dxa"/>
            <w:bottom w:w="0" w:type="dxa"/>
          </w:tblCellMar>
        </w:tblPrEx>
        <w:trPr>
          <w:jc w:val="center"/>
        </w:trPr>
        <w:tc>
          <w:tcPr>
            <w:tcW w:w="1257" w:type="dxa"/>
            <w:tcMar>
              <w:left w:w="57" w:type="dxa"/>
              <w:right w:w="57" w:type="dxa"/>
            </w:tcMar>
            <w:vAlign w:val="bottom"/>
          </w:tcPr>
          <w:p w:rsidR="00000000" w:rsidRDefault="00000000">
            <w:pPr>
              <w:pStyle w:val="BodyText"/>
              <w:spacing w:line="240" w:lineRule="auto"/>
              <w:jc w:val="left"/>
              <w:rPr>
                <w:rFonts w:ascii="Times New Roman" w:hAnsi="Times New Roman"/>
                <w:sz w:val="20"/>
                <w:lang w:val="es-ES"/>
              </w:rPr>
            </w:pPr>
            <w:r>
              <w:rPr>
                <w:rFonts w:ascii="Times New Roman" w:hAnsi="Times New Roman"/>
                <w:sz w:val="20"/>
                <w:lang w:val="es-ES"/>
              </w:rPr>
              <w:t>Total</w:t>
            </w:r>
          </w:p>
        </w:tc>
        <w:tc>
          <w:tcPr>
            <w:tcW w:w="1920" w:type="dxa"/>
            <w:tcMar>
              <w:left w:w="57" w:type="dxa"/>
              <w:right w:w="57" w:type="dxa"/>
            </w:tcMar>
            <w:vAlign w:val="bottom"/>
          </w:tcPr>
          <w:p w:rsidR="00000000" w:rsidRDefault="00000000">
            <w:pPr>
              <w:pStyle w:val="BodyText"/>
              <w:tabs>
                <w:tab w:val="decimal" w:pos="1023"/>
              </w:tabs>
              <w:spacing w:line="240" w:lineRule="auto"/>
              <w:jc w:val="left"/>
              <w:rPr>
                <w:rFonts w:ascii="Times New Roman" w:hAnsi="Times New Roman"/>
                <w:sz w:val="20"/>
                <w:lang w:val="es-ES"/>
              </w:rPr>
            </w:pPr>
            <w:r>
              <w:rPr>
                <w:rFonts w:ascii="Times New Roman" w:hAnsi="Times New Roman"/>
                <w:sz w:val="20"/>
                <w:lang w:val="es-ES"/>
              </w:rPr>
              <w:t>289,7</w:t>
            </w:r>
          </w:p>
        </w:tc>
        <w:tc>
          <w:tcPr>
            <w:tcW w:w="1080" w:type="dxa"/>
            <w:tcMar>
              <w:left w:w="57" w:type="dxa"/>
              <w:right w:w="57" w:type="dxa"/>
            </w:tcMar>
            <w:vAlign w:val="bottom"/>
          </w:tcPr>
          <w:p w:rsidR="00000000" w:rsidRDefault="00000000">
            <w:pPr>
              <w:pStyle w:val="BodyText"/>
              <w:tabs>
                <w:tab w:val="decimal" w:pos="543"/>
              </w:tabs>
              <w:spacing w:line="240" w:lineRule="auto"/>
              <w:jc w:val="left"/>
              <w:rPr>
                <w:rFonts w:ascii="Times New Roman" w:hAnsi="Times New Roman"/>
                <w:sz w:val="20"/>
                <w:lang w:val="es-ES"/>
              </w:rPr>
            </w:pPr>
            <w:r>
              <w:rPr>
                <w:rFonts w:ascii="Times New Roman" w:hAnsi="Times New Roman"/>
                <w:sz w:val="20"/>
                <w:lang w:val="es-ES"/>
              </w:rPr>
              <w:t>100</w:t>
            </w:r>
          </w:p>
        </w:tc>
        <w:tc>
          <w:tcPr>
            <w:tcW w:w="2040" w:type="dxa"/>
            <w:tcMar>
              <w:left w:w="57" w:type="dxa"/>
              <w:right w:w="57" w:type="dxa"/>
            </w:tcMar>
            <w:vAlign w:val="bottom"/>
          </w:tcPr>
          <w:p w:rsidR="00000000" w:rsidRDefault="00000000">
            <w:pPr>
              <w:pStyle w:val="BodyText"/>
              <w:spacing w:line="240" w:lineRule="auto"/>
              <w:jc w:val="left"/>
              <w:rPr>
                <w:rFonts w:ascii="Times New Roman" w:hAnsi="Times New Roman"/>
                <w:sz w:val="20"/>
                <w:lang w:val="es-ES"/>
              </w:rPr>
            </w:pPr>
            <w:r>
              <w:rPr>
                <w:rFonts w:ascii="Times New Roman" w:hAnsi="Times New Roman"/>
                <w:sz w:val="20"/>
                <w:lang w:val="es-ES"/>
              </w:rPr>
              <w:t>Total</w:t>
            </w:r>
          </w:p>
        </w:tc>
        <w:tc>
          <w:tcPr>
            <w:tcW w:w="1920" w:type="dxa"/>
            <w:tcMar>
              <w:left w:w="57" w:type="dxa"/>
              <w:right w:w="57" w:type="dxa"/>
            </w:tcMar>
            <w:vAlign w:val="bottom"/>
          </w:tcPr>
          <w:p w:rsidR="00000000" w:rsidRDefault="00000000">
            <w:pPr>
              <w:pStyle w:val="BodyText"/>
              <w:tabs>
                <w:tab w:val="decimal" w:pos="903"/>
              </w:tabs>
              <w:spacing w:line="240" w:lineRule="auto"/>
              <w:jc w:val="left"/>
              <w:rPr>
                <w:rFonts w:ascii="Times New Roman" w:hAnsi="Times New Roman"/>
                <w:sz w:val="20"/>
                <w:lang w:val="es-ES"/>
              </w:rPr>
            </w:pPr>
            <w:r>
              <w:rPr>
                <w:rFonts w:ascii="Times New Roman" w:hAnsi="Times New Roman"/>
                <w:sz w:val="20"/>
                <w:lang w:val="es-ES"/>
              </w:rPr>
              <w:t>289,7</w:t>
            </w:r>
          </w:p>
        </w:tc>
        <w:tc>
          <w:tcPr>
            <w:tcW w:w="1011" w:type="dxa"/>
            <w:tcMar>
              <w:left w:w="57" w:type="dxa"/>
              <w:right w:w="57" w:type="dxa"/>
            </w:tcMar>
            <w:vAlign w:val="bottom"/>
          </w:tcPr>
          <w:p w:rsidR="00000000" w:rsidRDefault="00000000">
            <w:pPr>
              <w:tabs>
                <w:tab w:val="decimal" w:pos="543"/>
              </w:tabs>
              <w:rPr>
                <w:sz w:val="20"/>
              </w:rPr>
            </w:pPr>
            <w:r>
              <w:rPr>
                <w:sz w:val="20"/>
              </w:rPr>
              <w:t>100</w:t>
            </w:r>
          </w:p>
        </w:tc>
      </w:tr>
    </w:tbl>
    <w:p w:rsidR="00000000" w:rsidRDefault="00000000">
      <w:pPr>
        <w:pStyle w:val="FootnoteText"/>
        <w:spacing w:before="200" w:after="480" w:line="240" w:lineRule="auto"/>
        <w:rPr>
          <w:sz w:val="20"/>
        </w:rPr>
      </w:pPr>
      <w:r>
        <w:rPr>
          <w:i/>
          <w:iCs/>
          <w:sz w:val="20"/>
        </w:rPr>
        <w:t>Fuente</w:t>
      </w:r>
      <w:r>
        <w:rPr>
          <w:sz w:val="20"/>
        </w:rPr>
        <w:t>:  Ministerio de Educación y Cultura, 2003.</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216.</w:t>
      </w:r>
      <w:r>
        <w:rPr>
          <w:spacing w:val="0"/>
          <w:w w:val="100"/>
          <w:kern w:val="0"/>
          <w:sz w:val="24"/>
        </w:rPr>
        <w:tab/>
        <w:t>Hasta la fecha, se han abierto 202 escuelas satélite para reducir la distancia que han de recorrer los alumnos para ir a la escuela.  El Gobierno se propone crear un entorno acogedor para los niños para que no abandonen los estudios, especia</w:t>
      </w:r>
      <w:r>
        <w:rPr>
          <w:spacing w:val="0"/>
          <w:w w:val="100"/>
          <w:kern w:val="0"/>
          <w:sz w:val="24"/>
        </w:rPr>
        <w:t>l</w:t>
      </w:r>
      <w:r>
        <w:rPr>
          <w:spacing w:val="0"/>
          <w:w w:val="100"/>
          <w:kern w:val="0"/>
          <w:sz w:val="24"/>
        </w:rPr>
        <w:t>mente las niñas.  Una de las medidas para crear un entorno acogedor para los niños consiste en construir aseos para que la proporción sea de 1 aseo por cada 40 niños y 1 aseo por cada 25 niñas.  La construcción de aseos está en marcha.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217.</w:t>
      </w:r>
      <w:r>
        <w:rPr>
          <w:spacing w:val="0"/>
          <w:w w:val="100"/>
          <w:kern w:val="0"/>
          <w:sz w:val="24"/>
        </w:rPr>
        <w:tab/>
        <w:t xml:space="preserve">En un intento de mejorar los resultados académicos, el Gobierno de Tanzanía ha revisado la nota mínima para aprobar los cursos cuarto y séptimo de primaria y la ha fijado en 45 y 61 respectivamente. </w:t>
      </w:r>
    </w:p>
    <w:p w:rsidR="00000000" w:rsidRDefault="00000000">
      <w:pPr>
        <w:pStyle w:val="H23"/>
        <w:keepNext w:val="0"/>
        <w:keepLines w:val="0"/>
        <w:suppressAutoHyphens w:val="0"/>
        <w:spacing w:after="240" w:line="240" w:lineRule="auto"/>
        <w:outlineLvl w:val="9"/>
        <w:rPr>
          <w:bCs/>
          <w:spacing w:val="0"/>
          <w:w w:val="100"/>
          <w:kern w:val="0"/>
          <w:sz w:val="24"/>
        </w:rPr>
      </w:pPr>
      <w:r>
        <w:rPr>
          <w:bCs/>
          <w:spacing w:val="0"/>
          <w:w w:val="100"/>
          <w:kern w:val="0"/>
          <w:sz w:val="24"/>
        </w:rPr>
        <w:tab/>
        <w:t>Iniciativas para la creación de escuelas "amigas de los niños"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218.</w:t>
      </w:r>
      <w:r>
        <w:rPr>
          <w:spacing w:val="0"/>
          <w:w w:val="100"/>
          <w:kern w:val="0"/>
          <w:sz w:val="24"/>
        </w:rPr>
        <w:tab/>
        <w:t>Se han creado escuelas piloto "amigas de los niños" en 11 distritos de Kisarawe, Musoma Rural, Masasi Ngara, Mufindi, Songea, Hai, Kinondoni, Magu e Ilala.  La iniciativa tiene por objeto crear escuelas que favorezcan la enseñanza y el aprend</w:t>
      </w:r>
      <w:r>
        <w:rPr>
          <w:spacing w:val="0"/>
          <w:w w:val="100"/>
          <w:kern w:val="0"/>
          <w:sz w:val="24"/>
        </w:rPr>
        <w:t>i</w:t>
      </w:r>
      <w:r>
        <w:rPr>
          <w:spacing w:val="0"/>
          <w:w w:val="100"/>
          <w:kern w:val="0"/>
          <w:sz w:val="24"/>
        </w:rPr>
        <w:t>zaje, así como promover los derechos del niño a través de escuelas acogedoras para los niños.  Con estas iniciativas se pretende que todas las organizaciones sociales participen en la elaboración de un modelo de escuelas "amigas de los niños", en el que las escuelas colaboren con agentes de otros sectores y con las comunidades locales en la determinación de las necesidades de los niños.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219.</w:t>
      </w:r>
      <w:r>
        <w:rPr>
          <w:spacing w:val="0"/>
          <w:w w:val="100"/>
          <w:kern w:val="0"/>
          <w:sz w:val="24"/>
        </w:rPr>
        <w:tab/>
        <w:t>El Gobierno de Zanzíbar ha puesto en marcha el Plan general de educación de Zanzíbar con el objetivo de ofrecer una enseñanza de calidad en Zanzíbar.</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220.</w:t>
      </w:r>
      <w:r>
        <w:rPr>
          <w:spacing w:val="0"/>
          <w:w w:val="100"/>
          <w:kern w:val="0"/>
          <w:sz w:val="24"/>
        </w:rPr>
        <w:tab/>
        <w:t>En el plan se presta una atención especial a las niñas, para las que se crean dos clases especiales de ciencias.  Con el Plan se pretende también ampliar las oportun</w:t>
      </w:r>
      <w:r>
        <w:rPr>
          <w:spacing w:val="0"/>
          <w:w w:val="100"/>
          <w:kern w:val="0"/>
          <w:sz w:val="24"/>
        </w:rPr>
        <w:t>i</w:t>
      </w:r>
      <w:r>
        <w:rPr>
          <w:spacing w:val="0"/>
          <w:w w:val="100"/>
          <w:kern w:val="0"/>
          <w:sz w:val="24"/>
        </w:rPr>
        <w:t>dades de las niñas de cursar estudios sociales y de ciencias.  El número de mujeres que cursan estudios superiores ha aumentado de 89.964 en 1999 a 122.279 en 2003.</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221.</w:t>
      </w:r>
      <w:r>
        <w:rPr>
          <w:spacing w:val="0"/>
          <w:w w:val="100"/>
          <w:kern w:val="0"/>
          <w:sz w:val="24"/>
        </w:rPr>
        <w:tab/>
        <w:t>El Ministerio de Educación, en colaboración con la Asociación de Personas con Discapacidad de Zanzíbar (ZAD) ha establecido clases especiales para los alumnos con discapacidad.  Hay ya siete clases de este tipo al servicio de 202 niños con discapacidades como problemas de vista, retraso mental, dificultades de apre</w:t>
      </w:r>
      <w:r>
        <w:rPr>
          <w:spacing w:val="0"/>
          <w:w w:val="100"/>
          <w:kern w:val="0"/>
          <w:sz w:val="24"/>
        </w:rPr>
        <w:t>n</w:t>
      </w:r>
      <w:r>
        <w:rPr>
          <w:spacing w:val="0"/>
          <w:w w:val="100"/>
          <w:kern w:val="0"/>
          <w:sz w:val="24"/>
        </w:rPr>
        <w:t>dizaje o deficiencias intelectuales.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222.</w:t>
      </w:r>
      <w:r>
        <w:rPr>
          <w:spacing w:val="0"/>
          <w:w w:val="100"/>
          <w:kern w:val="0"/>
          <w:sz w:val="24"/>
        </w:rPr>
        <w:tab/>
        <w:t>Ha aumentado el número de niños escolarizados porque la distancia a los ce</w:t>
      </w:r>
      <w:r>
        <w:rPr>
          <w:spacing w:val="0"/>
          <w:w w:val="100"/>
          <w:kern w:val="0"/>
          <w:sz w:val="24"/>
        </w:rPr>
        <w:t>n</w:t>
      </w:r>
      <w:r>
        <w:rPr>
          <w:spacing w:val="0"/>
          <w:w w:val="100"/>
          <w:kern w:val="0"/>
          <w:sz w:val="24"/>
        </w:rPr>
        <w:t>tros docentes se ha reducido a raíz de la creación de muchas escuelas cerca de los núcleos de población.  Actualmente, la localidad más alejada de una escuela se e</w:t>
      </w:r>
      <w:r>
        <w:rPr>
          <w:spacing w:val="0"/>
          <w:w w:val="100"/>
          <w:kern w:val="0"/>
          <w:sz w:val="24"/>
        </w:rPr>
        <w:t>n</w:t>
      </w:r>
      <w:r>
        <w:rPr>
          <w:spacing w:val="0"/>
          <w:w w:val="100"/>
          <w:kern w:val="0"/>
          <w:sz w:val="24"/>
        </w:rPr>
        <w:t>cuentra a 3 km.</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223.</w:t>
      </w:r>
      <w:r>
        <w:rPr>
          <w:spacing w:val="0"/>
          <w:w w:val="100"/>
          <w:kern w:val="0"/>
          <w:sz w:val="24"/>
        </w:rPr>
        <w:tab/>
        <w:t>El Gobierno de Zanzíbar ha tomado medidas para aumentar el número de maestros cualificados, como demuestran los siguientes datos.  Antes de junio de 2003, habían recibido formación unos 5.676 maestros (2.545 hombres y 3.131 mujeres).  En junio de 2003, este número aumentó a 6.584 (3.829 hombres y 3.735 mujeres).  Otros 250 maestros (52 hombres y 49 mujeres) recibieron formación docente por medio de programas de formación a distancia en varios centros.  El Gobierno abrió un centro de la Escuela de Magisterio en Pemba.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224.</w:t>
      </w:r>
      <w:r>
        <w:rPr>
          <w:spacing w:val="0"/>
          <w:w w:val="100"/>
          <w:kern w:val="0"/>
          <w:sz w:val="24"/>
        </w:rPr>
        <w:tab/>
        <w:t>En Zanzíbar, está autorizada la enseñanza privada, que ha aumentado la oferta educativa desde 1999.  Hay registradas un total de 250 escuelas.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225.</w:t>
      </w:r>
      <w:r>
        <w:rPr>
          <w:spacing w:val="0"/>
          <w:w w:val="100"/>
          <w:kern w:val="0"/>
          <w:sz w:val="24"/>
        </w:rPr>
        <w:tab/>
        <w:t>Como medida para reducir al mínimo los problemas psicológicos entre los alumnos, se ha implantado un programa especial de orientación y asesoramiento en todas las escuelas públicas.  En cada escuela hay al menos dos consejeros.  En todas las escuelas secundarias públicas se han introducido las materias de ética, medio ambiente y preparación para la vida cotidiana.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226.</w:t>
      </w:r>
      <w:r>
        <w:rPr>
          <w:spacing w:val="0"/>
          <w:w w:val="100"/>
          <w:kern w:val="0"/>
          <w:sz w:val="24"/>
        </w:rPr>
        <w:tab/>
        <w:t>Sin embargo, la proporción de alumnos por profesor sigue sin ser satisfactoria.  Hasta el momento, el Gobierno no permite el establecimiento de escuelas de magist</w:t>
      </w:r>
      <w:r>
        <w:rPr>
          <w:spacing w:val="0"/>
          <w:w w:val="100"/>
          <w:kern w:val="0"/>
          <w:sz w:val="24"/>
        </w:rPr>
        <w:t>e</w:t>
      </w:r>
      <w:r>
        <w:rPr>
          <w:spacing w:val="0"/>
          <w:w w:val="100"/>
          <w:kern w:val="0"/>
          <w:sz w:val="24"/>
        </w:rPr>
        <w:t>rio privadas en Zanzíbar.  Como consecuencia de ello, el número de maestros titulados es limitado.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227.</w:t>
      </w:r>
      <w:r>
        <w:rPr>
          <w:spacing w:val="0"/>
          <w:w w:val="100"/>
          <w:kern w:val="0"/>
          <w:sz w:val="24"/>
        </w:rPr>
        <w:tab/>
        <w:t>El Gobierno de Zanzíbar se propone también mejorar los centros preescolares para lograr que el acceso a una educación de calidad comience a una edad temprana.  El Ministerio de Educación, Cultura y Deportes está estudiando la posibilidad de adoptar una política de educación y desarrollo en la primera infancia.  La Fundación Aga Khan ha apoyado esta iniciativa en el país.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228.</w:t>
      </w:r>
      <w:r>
        <w:rPr>
          <w:spacing w:val="0"/>
          <w:w w:val="100"/>
          <w:kern w:val="0"/>
          <w:sz w:val="24"/>
        </w:rPr>
        <w:tab/>
        <w:t>El Gobierno ha tomado medidas para poner a los jóvenes en mejores condici</w:t>
      </w:r>
      <w:r>
        <w:rPr>
          <w:spacing w:val="0"/>
          <w:w w:val="100"/>
          <w:kern w:val="0"/>
          <w:sz w:val="24"/>
        </w:rPr>
        <w:t>o</w:t>
      </w:r>
      <w:r>
        <w:rPr>
          <w:spacing w:val="0"/>
          <w:w w:val="100"/>
          <w:kern w:val="0"/>
          <w:sz w:val="24"/>
        </w:rPr>
        <w:t>nes de competir en el mercado de trabajo, aumentando su preparación, sus conoc</w:t>
      </w:r>
      <w:r>
        <w:rPr>
          <w:spacing w:val="0"/>
          <w:w w:val="100"/>
          <w:kern w:val="0"/>
          <w:sz w:val="24"/>
        </w:rPr>
        <w:t>i</w:t>
      </w:r>
      <w:r>
        <w:rPr>
          <w:spacing w:val="0"/>
          <w:w w:val="100"/>
          <w:kern w:val="0"/>
          <w:sz w:val="24"/>
        </w:rPr>
        <w:t>mientos y la calidad de su educación.  Se han instituido otras alternativas educativas para que los alumnos que no terminan la educación básica asistan a centros de ed</w:t>
      </w:r>
      <w:r>
        <w:rPr>
          <w:spacing w:val="0"/>
          <w:w w:val="100"/>
          <w:kern w:val="0"/>
          <w:sz w:val="24"/>
        </w:rPr>
        <w:t>u</w:t>
      </w:r>
      <w:r>
        <w:rPr>
          <w:spacing w:val="0"/>
          <w:w w:val="100"/>
          <w:kern w:val="0"/>
          <w:sz w:val="24"/>
        </w:rPr>
        <w:t>cación no escolar.  Esta alternativa está abierta igualmente a las personas que no han ido a la escuela cuando les correspondía.  Hasta la fecha se han abierto cinco clases.</w:t>
      </w:r>
    </w:p>
    <w:p w:rsidR="00000000" w:rsidRDefault="00000000">
      <w:pPr>
        <w:pStyle w:val="H23"/>
        <w:keepNext w:val="0"/>
        <w:keepLines w:val="0"/>
        <w:suppressAutoHyphens w:val="0"/>
        <w:spacing w:after="240" w:line="240" w:lineRule="auto"/>
        <w:outlineLvl w:val="9"/>
        <w:rPr>
          <w:bCs/>
          <w:spacing w:val="0"/>
          <w:w w:val="100"/>
          <w:kern w:val="0"/>
          <w:sz w:val="24"/>
        </w:rPr>
      </w:pPr>
      <w:r>
        <w:rPr>
          <w:bCs/>
          <w:spacing w:val="0"/>
          <w:w w:val="100"/>
          <w:kern w:val="0"/>
          <w:sz w:val="24"/>
        </w:rPr>
        <w:t>Educación, incluidas la formación y la orientación profesionales (artículo 28)</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229.</w:t>
      </w:r>
      <w:r>
        <w:rPr>
          <w:spacing w:val="0"/>
          <w:w w:val="100"/>
          <w:kern w:val="0"/>
          <w:sz w:val="24"/>
        </w:rPr>
        <w:tab/>
        <w:t>El Gobierno de Zanzíbar aplica desde 1964 una política de gratuidad de la e</w:t>
      </w:r>
      <w:r>
        <w:rPr>
          <w:spacing w:val="0"/>
          <w:w w:val="100"/>
          <w:kern w:val="0"/>
          <w:sz w:val="24"/>
        </w:rPr>
        <w:t>n</w:t>
      </w:r>
      <w:r>
        <w:rPr>
          <w:spacing w:val="0"/>
          <w:w w:val="100"/>
          <w:kern w:val="0"/>
          <w:sz w:val="24"/>
        </w:rPr>
        <w:t>señanza para todos los niños en edad escolar, para que todos los niños puedan eje</w:t>
      </w:r>
      <w:r>
        <w:rPr>
          <w:spacing w:val="0"/>
          <w:w w:val="100"/>
          <w:kern w:val="0"/>
          <w:sz w:val="24"/>
        </w:rPr>
        <w:t>r</w:t>
      </w:r>
      <w:r>
        <w:rPr>
          <w:spacing w:val="0"/>
          <w:w w:val="100"/>
          <w:kern w:val="0"/>
          <w:sz w:val="24"/>
        </w:rPr>
        <w:t>cer su derecho a la educación.  Esta política atañe a la enseñanza pública primaria y secundaria, que va de primero de primaria a sexto de secundaria.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230.</w:t>
      </w:r>
      <w:r>
        <w:rPr>
          <w:spacing w:val="0"/>
          <w:w w:val="100"/>
          <w:kern w:val="0"/>
          <w:sz w:val="24"/>
        </w:rPr>
        <w:tab/>
        <w:t>Se han construido más escuelas nuevas con apoyo tanto gubernamental como comunitario.  En 2002 se habían construido unas 272 escuelas nuevas y se están construyendo 7 escuelas más.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231.</w:t>
      </w:r>
      <w:r>
        <w:rPr>
          <w:spacing w:val="0"/>
          <w:w w:val="100"/>
          <w:kern w:val="0"/>
          <w:sz w:val="24"/>
        </w:rPr>
        <w:tab/>
        <w:t>La tasa de escolarización ha mejorado de una media del 80% en 1998-2000 al 100% en 2001.  Actualmente, todos los niños de 7 a 13 años de edad están matric</w:t>
      </w:r>
      <w:r>
        <w:rPr>
          <w:spacing w:val="0"/>
          <w:w w:val="100"/>
          <w:kern w:val="0"/>
          <w:sz w:val="24"/>
        </w:rPr>
        <w:t>u</w:t>
      </w:r>
      <w:r>
        <w:rPr>
          <w:spacing w:val="0"/>
          <w:w w:val="100"/>
          <w:kern w:val="0"/>
          <w:sz w:val="24"/>
        </w:rPr>
        <w:t>lados en la escuela primaria.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232.</w:t>
      </w:r>
      <w:r>
        <w:rPr>
          <w:spacing w:val="0"/>
          <w:w w:val="100"/>
          <w:kern w:val="0"/>
          <w:sz w:val="24"/>
        </w:rPr>
        <w:tab/>
        <w:t>El número de centros educativos (preescolares y de enseñanza primaria y s</w:t>
      </w:r>
      <w:r>
        <w:rPr>
          <w:spacing w:val="0"/>
          <w:w w:val="100"/>
          <w:kern w:val="0"/>
          <w:sz w:val="24"/>
        </w:rPr>
        <w:t>e</w:t>
      </w:r>
      <w:r>
        <w:rPr>
          <w:spacing w:val="0"/>
          <w:w w:val="100"/>
          <w:kern w:val="0"/>
          <w:sz w:val="24"/>
        </w:rPr>
        <w:t>cundaria) ha aumentado de 293 en 1999 a 415 en 2003.  Recientemente, se han abierto tres instituciones de enseñanza superior y los estudiantes pueden obtener títulos universitarios en facultades de letras y de ciencias.  También ha aumentado el número de escuelas secundarias.  Hay 38 escuelas secundarias, como se indica a co</w:t>
      </w:r>
      <w:r>
        <w:rPr>
          <w:spacing w:val="0"/>
          <w:w w:val="100"/>
          <w:kern w:val="0"/>
          <w:sz w:val="24"/>
        </w:rPr>
        <w:t>n</w:t>
      </w:r>
      <w:r>
        <w:rPr>
          <w:spacing w:val="0"/>
          <w:w w:val="100"/>
          <w:kern w:val="0"/>
          <w:sz w:val="24"/>
        </w:rPr>
        <w:t>tinuación, en el cuadro 18.</w:t>
      </w:r>
    </w:p>
    <w:p w:rsidR="00000000" w:rsidRDefault="00000000">
      <w:pPr>
        <w:pStyle w:val="H23"/>
        <w:keepLines w:val="0"/>
        <w:suppressAutoHyphens w:val="0"/>
        <w:spacing w:after="240" w:line="240" w:lineRule="auto"/>
        <w:jc w:val="center"/>
        <w:outlineLvl w:val="9"/>
        <w:rPr>
          <w:bCs/>
          <w:spacing w:val="0"/>
          <w:w w:val="100"/>
          <w:kern w:val="0"/>
          <w:sz w:val="24"/>
        </w:rPr>
      </w:pPr>
      <w:r>
        <w:rPr>
          <w:bCs/>
          <w:spacing w:val="0"/>
          <w:w w:val="100"/>
          <w:kern w:val="0"/>
          <w:sz w:val="24"/>
        </w:rPr>
        <w:t>Cuadro 18</w:t>
      </w:r>
    </w:p>
    <w:p w:rsidR="00000000" w:rsidRDefault="00000000">
      <w:pPr>
        <w:pStyle w:val="H23"/>
        <w:keepLines w:val="0"/>
        <w:suppressAutoHyphens w:val="0"/>
        <w:spacing w:after="240" w:line="240" w:lineRule="auto"/>
        <w:jc w:val="center"/>
        <w:outlineLvl w:val="9"/>
        <w:rPr>
          <w:bCs/>
          <w:spacing w:val="0"/>
          <w:w w:val="100"/>
          <w:kern w:val="0"/>
          <w:sz w:val="24"/>
        </w:rPr>
      </w:pPr>
      <w:r>
        <w:rPr>
          <w:bCs/>
          <w:spacing w:val="0"/>
          <w:w w:val="100"/>
          <w:kern w:val="0"/>
          <w:sz w:val="24"/>
        </w:rPr>
        <w:t>Escuelas secundarias nuevas en Zanzíbar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80"/>
        <w:gridCol w:w="3080"/>
      </w:tblGrid>
      <w:tr w:rsidR="00000000">
        <w:tblPrEx>
          <w:tblCellMar>
            <w:top w:w="0" w:type="dxa"/>
            <w:bottom w:w="0" w:type="dxa"/>
          </w:tblCellMar>
        </w:tblPrEx>
        <w:trPr>
          <w:tblHeader/>
          <w:jc w:val="center"/>
        </w:trPr>
        <w:tc>
          <w:tcPr>
            <w:tcW w:w="3480" w:type="dxa"/>
            <w:vAlign w:val="center"/>
          </w:tcPr>
          <w:p w:rsidR="00000000" w:rsidRDefault="00000000">
            <w:pPr>
              <w:keepNext/>
              <w:jc w:val="center"/>
              <w:rPr>
                <w:rFonts w:eastAsia="Batang"/>
              </w:rPr>
            </w:pPr>
            <w:r>
              <w:rPr>
                <w:rFonts w:eastAsia="Batang"/>
              </w:rPr>
              <w:t>Distrito</w:t>
            </w:r>
          </w:p>
        </w:tc>
        <w:tc>
          <w:tcPr>
            <w:tcW w:w="3080" w:type="dxa"/>
            <w:vAlign w:val="center"/>
          </w:tcPr>
          <w:p w:rsidR="00000000" w:rsidRDefault="00000000">
            <w:pPr>
              <w:keepNext/>
              <w:jc w:val="center"/>
              <w:rPr>
                <w:rFonts w:eastAsia="Batang"/>
              </w:rPr>
            </w:pPr>
            <w:r>
              <w:rPr>
                <w:rFonts w:eastAsia="Batang"/>
              </w:rPr>
              <w:t>Número de escuelas nuevas</w:t>
            </w:r>
          </w:p>
        </w:tc>
      </w:tr>
      <w:tr w:rsidR="00000000">
        <w:tblPrEx>
          <w:tblCellMar>
            <w:top w:w="0" w:type="dxa"/>
            <w:bottom w:w="0" w:type="dxa"/>
          </w:tblCellMar>
        </w:tblPrEx>
        <w:trPr>
          <w:jc w:val="center"/>
        </w:trPr>
        <w:tc>
          <w:tcPr>
            <w:tcW w:w="3480" w:type="dxa"/>
            <w:vAlign w:val="bottom"/>
          </w:tcPr>
          <w:p w:rsidR="00000000" w:rsidRDefault="00000000">
            <w:pPr>
              <w:keepNext/>
            </w:pPr>
            <w:r>
              <w:t>Occidental</w:t>
            </w:r>
            <w:r>
              <w:tab/>
            </w:r>
          </w:p>
        </w:tc>
        <w:tc>
          <w:tcPr>
            <w:tcW w:w="3080" w:type="dxa"/>
            <w:vAlign w:val="bottom"/>
          </w:tcPr>
          <w:p w:rsidR="00000000" w:rsidRDefault="00000000">
            <w:pPr>
              <w:keepNext/>
              <w:tabs>
                <w:tab w:val="decimal" w:pos="1452"/>
              </w:tabs>
            </w:pPr>
            <w:r>
              <w:t>4</w:t>
            </w:r>
          </w:p>
        </w:tc>
      </w:tr>
      <w:tr w:rsidR="00000000">
        <w:tblPrEx>
          <w:tblCellMar>
            <w:top w:w="0" w:type="dxa"/>
            <w:bottom w:w="0" w:type="dxa"/>
          </w:tblCellMar>
        </w:tblPrEx>
        <w:trPr>
          <w:jc w:val="center"/>
        </w:trPr>
        <w:tc>
          <w:tcPr>
            <w:tcW w:w="3480" w:type="dxa"/>
            <w:vAlign w:val="bottom"/>
          </w:tcPr>
          <w:p w:rsidR="00000000" w:rsidRDefault="00000000">
            <w:pPr>
              <w:keepNext/>
            </w:pPr>
            <w:r>
              <w:t>Central</w:t>
            </w:r>
            <w:r>
              <w:tab/>
            </w:r>
          </w:p>
        </w:tc>
        <w:tc>
          <w:tcPr>
            <w:tcW w:w="3080" w:type="dxa"/>
            <w:vAlign w:val="bottom"/>
          </w:tcPr>
          <w:p w:rsidR="00000000" w:rsidRDefault="00000000">
            <w:pPr>
              <w:keepNext/>
              <w:tabs>
                <w:tab w:val="decimal" w:pos="1452"/>
              </w:tabs>
            </w:pPr>
            <w:r>
              <w:t>4</w:t>
            </w:r>
          </w:p>
        </w:tc>
      </w:tr>
      <w:tr w:rsidR="00000000">
        <w:tblPrEx>
          <w:tblCellMar>
            <w:top w:w="0" w:type="dxa"/>
            <w:bottom w:w="0" w:type="dxa"/>
          </w:tblCellMar>
        </w:tblPrEx>
        <w:trPr>
          <w:jc w:val="center"/>
        </w:trPr>
        <w:tc>
          <w:tcPr>
            <w:tcW w:w="3480" w:type="dxa"/>
            <w:vAlign w:val="bottom"/>
          </w:tcPr>
          <w:p w:rsidR="00000000" w:rsidRDefault="00000000">
            <w:pPr>
              <w:keepNext/>
            </w:pPr>
            <w:r>
              <w:t>Meridional</w:t>
            </w:r>
            <w:r>
              <w:tab/>
            </w:r>
          </w:p>
        </w:tc>
        <w:tc>
          <w:tcPr>
            <w:tcW w:w="3080" w:type="dxa"/>
            <w:vAlign w:val="bottom"/>
          </w:tcPr>
          <w:p w:rsidR="00000000" w:rsidRDefault="00000000">
            <w:pPr>
              <w:keepNext/>
              <w:tabs>
                <w:tab w:val="decimal" w:pos="1452"/>
              </w:tabs>
            </w:pPr>
            <w:r>
              <w:t>4</w:t>
            </w:r>
          </w:p>
        </w:tc>
      </w:tr>
      <w:tr w:rsidR="00000000">
        <w:tblPrEx>
          <w:tblCellMar>
            <w:top w:w="0" w:type="dxa"/>
            <w:bottom w:w="0" w:type="dxa"/>
          </w:tblCellMar>
        </w:tblPrEx>
        <w:trPr>
          <w:jc w:val="center"/>
        </w:trPr>
        <w:tc>
          <w:tcPr>
            <w:tcW w:w="3480" w:type="dxa"/>
            <w:vAlign w:val="bottom"/>
          </w:tcPr>
          <w:p w:rsidR="00000000" w:rsidRDefault="00000000">
            <w:r>
              <w:t>Septentrional A</w:t>
            </w:r>
            <w:r>
              <w:tab/>
            </w:r>
          </w:p>
        </w:tc>
        <w:tc>
          <w:tcPr>
            <w:tcW w:w="3080" w:type="dxa"/>
            <w:vAlign w:val="bottom"/>
          </w:tcPr>
          <w:p w:rsidR="00000000" w:rsidRDefault="00000000">
            <w:pPr>
              <w:tabs>
                <w:tab w:val="decimal" w:pos="1452"/>
              </w:tabs>
            </w:pPr>
            <w:r>
              <w:t>4</w:t>
            </w:r>
          </w:p>
        </w:tc>
      </w:tr>
      <w:tr w:rsidR="00000000">
        <w:tblPrEx>
          <w:tblCellMar>
            <w:top w:w="0" w:type="dxa"/>
            <w:bottom w:w="0" w:type="dxa"/>
          </w:tblCellMar>
        </w:tblPrEx>
        <w:trPr>
          <w:jc w:val="center"/>
        </w:trPr>
        <w:tc>
          <w:tcPr>
            <w:tcW w:w="3480" w:type="dxa"/>
            <w:vAlign w:val="bottom"/>
          </w:tcPr>
          <w:p w:rsidR="00000000" w:rsidRDefault="00000000">
            <w:r>
              <w:t>Septentrional B</w:t>
            </w:r>
            <w:r>
              <w:tab/>
            </w:r>
          </w:p>
        </w:tc>
        <w:tc>
          <w:tcPr>
            <w:tcW w:w="3080" w:type="dxa"/>
            <w:vAlign w:val="bottom"/>
          </w:tcPr>
          <w:p w:rsidR="00000000" w:rsidRDefault="00000000">
            <w:pPr>
              <w:tabs>
                <w:tab w:val="decimal" w:pos="1452"/>
              </w:tabs>
            </w:pPr>
            <w:r>
              <w:t>3</w:t>
            </w:r>
          </w:p>
        </w:tc>
      </w:tr>
      <w:tr w:rsidR="00000000">
        <w:tblPrEx>
          <w:tblCellMar>
            <w:top w:w="0" w:type="dxa"/>
            <w:bottom w:w="0" w:type="dxa"/>
          </w:tblCellMar>
        </w:tblPrEx>
        <w:trPr>
          <w:jc w:val="center"/>
        </w:trPr>
        <w:tc>
          <w:tcPr>
            <w:tcW w:w="3480" w:type="dxa"/>
            <w:vAlign w:val="bottom"/>
          </w:tcPr>
          <w:p w:rsidR="00000000" w:rsidRDefault="00000000">
            <w:r>
              <w:t>Mkoani</w:t>
            </w:r>
            <w:r>
              <w:tab/>
            </w:r>
          </w:p>
        </w:tc>
        <w:tc>
          <w:tcPr>
            <w:tcW w:w="3080" w:type="dxa"/>
            <w:vAlign w:val="bottom"/>
          </w:tcPr>
          <w:p w:rsidR="00000000" w:rsidRDefault="00000000">
            <w:pPr>
              <w:tabs>
                <w:tab w:val="decimal" w:pos="1452"/>
              </w:tabs>
            </w:pPr>
            <w:r>
              <w:t>5</w:t>
            </w:r>
          </w:p>
        </w:tc>
      </w:tr>
      <w:tr w:rsidR="00000000">
        <w:tblPrEx>
          <w:tblCellMar>
            <w:top w:w="0" w:type="dxa"/>
            <w:bottom w:w="0" w:type="dxa"/>
          </w:tblCellMar>
        </w:tblPrEx>
        <w:trPr>
          <w:jc w:val="center"/>
        </w:trPr>
        <w:tc>
          <w:tcPr>
            <w:tcW w:w="3480" w:type="dxa"/>
            <w:vAlign w:val="bottom"/>
          </w:tcPr>
          <w:p w:rsidR="00000000" w:rsidRDefault="00000000">
            <w:r>
              <w:t>Chake</w:t>
            </w:r>
            <w:r>
              <w:tab/>
            </w:r>
          </w:p>
        </w:tc>
        <w:tc>
          <w:tcPr>
            <w:tcW w:w="3080" w:type="dxa"/>
            <w:vAlign w:val="bottom"/>
          </w:tcPr>
          <w:p w:rsidR="00000000" w:rsidRDefault="00000000">
            <w:pPr>
              <w:tabs>
                <w:tab w:val="decimal" w:pos="1452"/>
              </w:tabs>
            </w:pPr>
            <w:r>
              <w:t>5</w:t>
            </w:r>
          </w:p>
        </w:tc>
      </w:tr>
      <w:tr w:rsidR="00000000">
        <w:tblPrEx>
          <w:tblCellMar>
            <w:top w:w="0" w:type="dxa"/>
            <w:bottom w:w="0" w:type="dxa"/>
          </w:tblCellMar>
        </w:tblPrEx>
        <w:trPr>
          <w:jc w:val="center"/>
        </w:trPr>
        <w:tc>
          <w:tcPr>
            <w:tcW w:w="3480" w:type="dxa"/>
            <w:vAlign w:val="bottom"/>
          </w:tcPr>
          <w:p w:rsidR="00000000" w:rsidRDefault="00000000">
            <w:r>
              <w:t>Wete</w:t>
            </w:r>
            <w:r>
              <w:tab/>
            </w:r>
          </w:p>
        </w:tc>
        <w:tc>
          <w:tcPr>
            <w:tcW w:w="3080" w:type="dxa"/>
            <w:vAlign w:val="bottom"/>
          </w:tcPr>
          <w:p w:rsidR="00000000" w:rsidRDefault="00000000">
            <w:pPr>
              <w:tabs>
                <w:tab w:val="decimal" w:pos="1452"/>
              </w:tabs>
            </w:pPr>
            <w:r>
              <w:t>5</w:t>
            </w:r>
          </w:p>
        </w:tc>
      </w:tr>
      <w:tr w:rsidR="00000000">
        <w:tblPrEx>
          <w:tblCellMar>
            <w:top w:w="0" w:type="dxa"/>
            <w:bottom w:w="0" w:type="dxa"/>
          </w:tblCellMar>
        </w:tblPrEx>
        <w:trPr>
          <w:jc w:val="center"/>
        </w:trPr>
        <w:tc>
          <w:tcPr>
            <w:tcW w:w="3480" w:type="dxa"/>
            <w:vAlign w:val="bottom"/>
          </w:tcPr>
          <w:p w:rsidR="00000000" w:rsidRDefault="00000000">
            <w:r>
              <w:t>Micheweni</w:t>
            </w:r>
            <w:r>
              <w:tab/>
            </w:r>
          </w:p>
        </w:tc>
        <w:tc>
          <w:tcPr>
            <w:tcW w:w="3080" w:type="dxa"/>
            <w:vAlign w:val="bottom"/>
          </w:tcPr>
          <w:p w:rsidR="00000000" w:rsidRDefault="00000000">
            <w:pPr>
              <w:tabs>
                <w:tab w:val="decimal" w:pos="1452"/>
              </w:tabs>
            </w:pPr>
            <w:r>
              <w:t>4</w:t>
            </w:r>
          </w:p>
        </w:tc>
      </w:tr>
      <w:tr w:rsidR="00000000">
        <w:tblPrEx>
          <w:tblCellMar>
            <w:top w:w="0" w:type="dxa"/>
            <w:bottom w:w="0" w:type="dxa"/>
          </w:tblCellMar>
        </w:tblPrEx>
        <w:trPr>
          <w:jc w:val="center"/>
        </w:trPr>
        <w:tc>
          <w:tcPr>
            <w:tcW w:w="3480" w:type="dxa"/>
            <w:vAlign w:val="bottom"/>
          </w:tcPr>
          <w:p w:rsidR="00000000" w:rsidRDefault="00000000">
            <w:r>
              <w:tab/>
              <w:t>Total</w:t>
            </w:r>
            <w:r>
              <w:tab/>
            </w:r>
          </w:p>
        </w:tc>
        <w:tc>
          <w:tcPr>
            <w:tcW w:w="3080" w:type="dxa"/>
            <w:vAlign w:val="bottom"/>
          </w:tcPr>
          <w:p w:rsidR="00000000" w:rsidRDefault="00000000">
            <w:pPr>
              <w:tabs>
                <w:tab w:val="decimal" w:pos="1452"/>
              </w:tabs>
            </w:pPr>
            <w:r>
              <w:t>38</w:t>
            </w:r>
          </w:p>
        </w:tc>
      </w:tr>
    </w:tbl>
    <w:p w:rsidR="00000000" w:rsidRDefault="00000000">
      <w:pPr>
        <w:pStyle w:val="FootnoteText"/>
        <w:spacing w:before="200" w:after="480" w:line="240" w:lineRule="auto"/>
        <w:ind w:left="1320"/>
        <w:rPr>
          <w:rFonts w:eastAsia="Batang"/>
        </w:rPr>
      </w:pPr>
      <w:r>
        <w:rPr>
          <w:i/>
          <w:iCs/>
        </w:rPr>
        <w:t>Fuente</w:t>
      </w:r>
      <w:r>
        <w:t>:  Ministerio de Educación, Cultura y Deportes, 2003.</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233.</w:t>
      </w:r>
      <w:r>
        <w:rPr>
          <w:spacing w:val="0"/>
          <w:w w:val="100"/>
          <w:kern w:val="0"/>
          <w:sz w:val="24"/>
        </w:rPr>
        <w:tab/>
        <w:t>Se ha revisado la política de educación de Zanzíbar con miras a promover una educación de mejor calidad.</w:t>
      </w:r>
    </w:p>
    <w:p w:rsidR="00000000" w:rsidRDefault="00000000">
      <w:pPr>
        <w:pStyle w:val="H23"/>
        <w:keepNext w:val="0"/>
        <w:keepLines w:val="0"/>
        <w:suppressAutoHyphens w:val="0"/>
        <w:spacing w:after="240" w:line="240" w:lineRule="auto"/>
        <w:outlineLvl w:val="9"/>
        <w:rPr>
          <w:bCs/>
          <w:spacing w:val="0"/>
          <w:w w:val="100"/>
          <w:kern w:val="0"/>
          <w:sz w:val="24"/>
        </w:rPr>
      </w:pPr>
      <w:r>
        <w:rPr>
          <w:b w:val="0"/>
          <w:spacing w:val="0"/>
          <w:w w:val="100"/>
          <w:kern w:val="0"/>
          <w:sz w:val="24"/>
        </w:rPr>
        <w:tab/>
      </w:r>
      <w:r>
        <w:rPr>
          <w:bCs/>
          <w:spacing w:val="0"/>
          <w:w w:val="100"/>
          <w:kern w:val="0"/>
          <w:sz w:val="24"/>
        </w:rPr>
        <w:t>Enseñanza secundaria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234.</w:t>
      </w:r>
      <w:r>
        <w:rPr>
          <w:spacing w:val="0"/>
          <w:w w:val="100"/>
          <w:kern w:val="0"/>
          <w:sz w:val="24"/>
        </w:rPr>
        <w:tab/>
        <w:t>Después de obtener excelentes resultados con el Plan de mejora de la enseña</w:t>
      </w:r>
      <w:r>
        <w:rPr>
          <w:spacing w:val="0"/>
          <w:w w:val="100"/>
          <w:kern w:val="0"/>
          <w:sz w:val="24"/>
        </w:rPr>
        <w:t>n</w:t>
      </w:r>
      <w:r>
        <w:rPr>
          <w:spacing w:val="0"/>
          <w:w w:val="100"/>
          <w:kern w:val="0"/>
          <w:sz w:val="24"/>
        </w:rPr>
        <w:t>za primaria, el Gobierno decidió centrar sus esfuerzos en la enseñanza secundaria, que, además de ser vital para el despegue económico sostenible del país, contribuye a la obtención de importantes beneficios sociales que son cruciales para la modern</w:t>
      </w:r>
      <w:r>
        <w:rPr>
          <w:spacing w:val="0"/>
          <w:w w:val="100"/>
          <w:kern w:val="0"/>
          <w:sz w:val="24"/>
        </w:rPr>
        <w:t>i</w:t>
      </w:r>
      <w:r>
        <w:rPr>
          <w:spacing w:val="0"/>
          <w:w w:val="100"/>
          <w:kern w:val="0"/>
          <w:sz w:val="24"/>
        </w:rPr>
        <w:t>zación y el desarrollo de la sociedad en su conjunto.  El Plan de mejora de la ens</w:t>
      </w:r>
      <w:r>
        <w:rPr>
          <w:spacing w:val="0"/>
          <w:w w:val="100"/>
          <w:kern w:val="0"/>
          <w:sz w:val="24"/>
        </w:rPr>
        <w:t>e</w:t>
      </w:r>
      <w:r>
        <w:rPr>
          <w:spacing w:val="0"/>
          <w:w w:val="100"/>
          <w:kern w:val="0"/>
          <w:sz w:val="24"/>
        </w:rPr>
        <w:t>ñanza secundaria para 2004-2009 es una continuación esencial y oportuna del Plan de mejora de la enseñanza primaria y tiene por objeto propiciar una transición sati</w:t>
      </w:r>
      <w:r>
        <w:rPr>
          <w:spacing w:val="0"/>
          <w:w w:val="100"/>
          <w:kern w:val="0"/>
          <w:sz w:val="24"/>
        </w:rPr>
        <w:t>s</w:t>
      </w:r>
      <w:r>
        <w:rPr>
          <w:spacing w:val="0"/>
          <w:w w:val="100"/>
          <w:kern w:val="0"/>
          <w:sz w:val="24"/>
        </w:rPr>
        <w:t>factoria de la ya robustecida enseñanza primaria a la enseñanza secundaria pública.  El Gobierno viene prestando apoyo a las niñas de familias pobres para que prosigan sus estudios secundarios por medio de un programa especial conocido como Pr</w:t>
      </w:r>
      <w:r>
        <w:rPr>
          <w:spacing w:val="0"/>
          <w:w w:val="100"/>
          <w:kern w:val="0"/>
          <w:sz w:val="24"/>
        </w:rPr>
        <w:t>o</w:t>
      </w:r>
      <w:r>
        <w:rPr>
          <w:spacing w:val="0"/>
          <w:w w:val="100"/>
          <w:kern w:val="0"/>
          <w:sz w:val="24"/>
        </w:rPr>
        <w:t>grama de apoyo al acceso de las niñas a la educación secundaria.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235.</w:t>
      </w:r>
      <w:r>
        <w:rPr>
          <w:spacing w:val="0"/>
          <w:w w:val="100"/>
          <w:kern w:val="0"/>
          <w:sz w:val="24"/>
        </w:rPr>
        <w:tab/>
        <w:t>En el Plan de mejora de la enseñanza secundaria se ofrece un marco para lograr un mayor acceso a la enseñanza secundaria y, al mismo tiempo, abordar las cuesti</w:t>
      </w:r>
      <w:r>
        <w:rPr>
          <w:spacing w:val="0"/>
          <w:w w:val="100"/>
          <w:kern w:val="0"/>
          <w:sz w:val="24"/>
        </w:rPr>
        <w:t>o</w:t>
      </w:r>
      <w:r>
        <w:rPr>
          <w:spacing w:val="0"/>
          <w:w w:val="100"/>
          <w:kern w:val="0"/>
          <w:sz w:val="24"/>
        </w:rPr>
        <w:t>nes de la igualdad, la retención en el sistema educativo, la calidad y los problemas de gestión.  El Plan se ocupa también de la política del Gobierno de descentralización de la gestión de los servicios sociales, incluida la educación, y presta una atención esp</w:t>
      </w:r>
      <w:r>
        <w:rPr>
          <w:spacing w:val="0"/>
          <w:w w:val="100"/>
          <w:kern w:val="0"/>
          <w:sz w:val="24"/>
        </w:rPr>
        <w:t>e</w:t>
      </w:r>
      <w:r>
        <w:rPr>
          <w:spacing w:val="0"/>
          <w:w w:val="100"/>
          <w:kern w:val="0"/>
          <w:sz w:val="24"/>
        </w:rPr>
        <w:t>cial al aumento de la capacidad del Gobierno central para ejercer mejor sus funciones básicas en materia de formulación de políticas, constitución de un marco regulador flexible, garantía de la calidad y mejora del seguimiento y la ev</w:t>
      </w:r>
      <w:r>
        <w:rPr>
          <w:spacing w:val="0"/>
          <w:w w:val="100"/>
          <w:kern w:val="0"/>
          <w:sz w:val="24"/>
        </w:rPr>
        <w:t>a</w:t>
      </w:r>
      <w:r>
        <w:rPr>
          <w:spacing w:val="0"/>
          <w:w w:val="100"/>
          <w:kern w:val="0"/>
          <w:sz w:val="24"/>
        </w:rPr>
        <w:t>luación.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236.</w:t>
      </w:r>
      <w:r>
        <w:rPr>
          <w:spacing w:val="0"/>
          <w:w w:val="100"/>
          <w:kern w:val="0"/>
          <w:sz w:val="24"/>
        </w:rPr>
        <w:tab/>
        <w:t>El objetivo general del Plan es aumentar el porcentaje de jóvenes tanzanianos que finalizan la enseñanza secundaria con unos resultados académicos aceptables.  El Plan tiene cinco áreas:</w:t>
      </w:r>
    </w:p>
    <w:p w:rsidR="00000000" w:rsidRDefault="00000000">
      <w:pPr>
        <w:pStyle w:val="SingleTxt"/>
        <w:numPr>
          <w:ilvl w:val="0"/>
          <w:numId w:val="80"/>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924" w:right="0" w:hanging="357"/>
        <w:jc w:val="left"/>
        <w:rPr>
          <w:spacing w:val="0"/>
          <w:w w:val="100"/>
          <w:kern w:val="0"/>
          <w:sz w:val="24"/>
        </w:rPr>
      </w:pPr>
      <w:r>
        <w:rPr>
          <w:b/>
          <w:bCs/>
          <w:spacing w:val="0"/>
          <w:w w:val="100"/>
          <w:kern w:val="0"/>
          <w:sz w:val="24"/>
        </w:rPr>
        <w:t>Mejora del acceso</w:t>
      </w:r>
      <w:r>
        <w:rPr>
          <w:spacing w:val="0"/>
          <w:w w:val="100"/>
          <w:kern w:val="0"/>
          <w:sz w:val="24"/>
        </w:rPr>
        <w:t xml:space="preserve"> con el fin de alcanzar una tasa de participación por cohorte y una tasa de transición de la enseñanza primaria a la secundaria del 50% en 2010.</w:t>
      </w:r>
    </w:p>
    <w:p w:rsidR="00000000" w:rsidRDefault="00000000">
      <w:pPr>
        <w:pStyle w:val="SingleTxt"/>
        <w:numPr>
          <w:ilvl w:val="0"/>
          <w:numId w:val="80"/>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924" w:right="0" w:hanging="357"/>
        <w:jc w:val="left"/>
        <w:rPr>
          <w:spacing w:val="0"/>
          <w:w w:val="100"/>
          <w:kern w:val="0"/>
          <w:sz w:val="24"/>
        </w:rPr>
      </w:pPr>
      <w:r>
        <w:rPr>
          <w:b/>
          <w:bCs/>
          <w:spacing w:val="0"/>
          <w:w w:val="100"/>
          <w:kern w:val="0"/>
          <w:sz w:val="24"/>
        </w:rPr>
        <w:t>Aumento de la igualdad</w:t>
      </w:r>
      <w:r>
        <w:rPr>
          <w:spacing w:val="0"/>
          <w:w w:val="100"/>
          <w:kern w:val="0"/>
          <w:sz w:val="24"/>
        </w:rPr>
        <w:t xml:space="preserve"> con el fin de lograr la igualdad de participación en las zonas desasistidas y eliminar las diferencias motivadas por la situación geográf</w:t>
      </w:r>
      <w:r>
        <w:rPr>
          <w:spacing w:val="0"/>
          <w:w w:val="100"/>
          <w:kern w:val="0"/>
          <w:sz w:val="24"/>
        </w:rPr>
        <w:t>i</w:t>
      </w:r>
      <w:r>
        <w:rPr>
          <w:spacing w:val="0"/>
          <w:w w:val="100"/>
          <w:kern w:val="0"/>
          <w:sz w:val="24"/>
        </w:rPr>
        <w:t>ca, el género y las desigualdades económicas.</w:t>
      </w:r>
    </w:p>
    <w:p w:rsidR="00000000" w:rsidRDefault="00000000">
      <w:pPr>
        <w:pStyle w:val="SingleTxt"/>
        <w:numPr>
          <w:ilvl w:val="0"/>
          <w:numId w:val="80"/>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924" w:right="0" w:hanging="357"/>
        <w:jc w:val="left"/>
        <w:rPr>
          <w:spacing w:val="0"/>
          <w:w w:val="100"/>
          <w:kern w:val="0"/>
          <w:sz w:val="24"/>
        </w:rPr>
      </w:pPr>
      <w:r>
        <w:rPr>
          <w:b/>
          <w:bCs/>
          <w:spacing w:val="0"/>
          <w:w w:val="100"/>
          <w:kern w:val="0"/>
          <w:sz w:val="24"/>
        </w:rPr>
        <w:t>Mejora de la calidad</w:t>
      </w:r>
      <w:r>
        <w:rPr>
          <w:spacing w:val="0"/>
          <w:w w:val="100"/>
          <w:kern w:val="0"/>
          <w:sz w:val="24"/>
        </w:rPr>
        <w:t xml:space="preserve"> con el fin de elevar el índice de alumnos que aprueban con buena nota ("Division I-III") el examen de cuarto de secundaria del actual 36 al 70%.</w:t>
      </w:r>
    </w:p>
    <w:p w:rsidR="00000000" w:rsidRDefault="00000000">
      <w:pPr>
        <w:pStyle w:val="SingleTxt"/>
        <w:numPr>
          <w:ilvl w:val="0"/>
          <w:numId w:val="80"/>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924" w:right="0" w:hanging="357"/>
        <w:jc w:val="left"/>
        <w:rPr>
          <w:spacing w:val="0"/>
          <w:w w:val="100"/>
          <w:kern w:val="0"/>
          <w:sz w:val="24"/>
        </w:rPr>
      </w:pPr>
      <w:r>
        <w:rPr>
          <w:b/>
          <w:bCs/>
          <w:spacing w:val="0"/>
          <w:w w:val="100"/>
          <w:kern w:val="0"/>
          <w:sz w:val="24"/>
        </w:rPr>
        <w:t>Reformas de gestión y traspaso de competencias</w:t>
      </w:r>
      <w:r>
        <w:rPr>
          <w:spacing w:val="0"/>
          <w:w w:val="100"/>
          <w:kern w:val="0"/>
          <w:sz w:val="24"/>
        </w:rPr>
        <w:t xml:space="preserve"> con el fin de aumentar la eficacia y la flexibilidad en la gestión de la enseñanza secundaria.</w:t>
      </w:r>
    </w:p>
    <w:p w:rsidR="00000000" w:rsidRDefault="00000000">
      <w:pPr>
        <w:pStyle w:val="SingleTxt"/>
        <w:numPr>
          <w:ilvl w:val="0"/>
          <w:numId w:val="80"/>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924" w:right="0" w:hanging="357"/>
        <w:jc w:val="left"/>
        <w:rPr>
          <w:spacing w:val="0"/>
          <w:w w:val="100"/>
          <w:kern w:val="0"/>
          <w:sz w:val="24"/>
        </w:rPr>
      </w:pPr>
      <w:r>
        <w:rPr>
          <w:b/>
          <w:bCs/>
          <w:spacing w:val="0"/>
          <w:w w:val="100"/>
          <w:kern w:val="0"/>
          <w:sz w:val="24"/>
        </w:rPr>
        <w:t xml:space="preserve">Mejora del sistema de gestión de la enseñanza </w:t>
      </w:r>
      <w:r>
        <w:rPr>
          <w:spacing w:val="0"/>
          <w:w w:val="100"/>
          <w:kern w:val="0"/>
          <w:sz w:val="24"/>
        </w:rPr>
        <w:t>con el fin de lograr que el M</w:t>
      </w:r>
      <w:r>
        <w:rPr>
          <w:spacing w:val="0"/>
          <w:w w:val="100"/>
          <w:kern w:val="0"/>
          <w:sz w:val="24"/>
        </w:rPr>
        <w:t>i</w:t>
      </w:r>
      <w:r>
        <w:rPr>
          <w:spacing w:val="0"/>
          <w:w w:val="100"/>
          <w:kern w:val="0"/>
          <w:sz w:val="24"/>
        </w:rPr>
        <w:t>nisterio de Educación y Cultura desempeñe de forma más eficiente sus funci</w:t>
      </w:r>
      <w:r>
        <w:rPr>
          <w:spacing w:val="0"/>
          <w:w w:val="100"/>
          <w:kern w:val="0"/>
          <w:sz w:val="24"/>
        </w:rPr>
        <w:t>o</w:t>
      </w:r>
      <w:r>
        <w:rPr>
          <w:spacing w:val="0"/>
          <w:w w:val="100"/>
          <w:kern w:val="0"/>
          <w:sz w:val="24"/>
        </w:rPr>
        <w:t>nes básicas en materia de formulación de políticas, seguimiento y evaluación, constitución de un marco regulador, coordinación y uso óptimo de los recursos.  El aumento de la capacidad de los profesionales mediante actividades de formación es también competencia del Ministerio de Educación y Cultura.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237.</w:t>
      </w:r>
      <w:r>
        <w:rPr>
          <w:spacing w:val="0"/>
          <w:w w:val="100"/>
          <w:kern w:val="0"/>
          <w:sz w:val="24"/>
        </w:rPr>
        <w:tab/>
        <w:t>Actualmente se está elaborando en Zanzíbar el Plan de enseñanza secundaria entre cuyos objetivos figuran: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924" w:right="0" w:hanging="357"/>
        <w:jc w:val="left"/>
        <w:rPr>
          <w:spacing w:val="0"/>
          <w:w w:val="100"/>
          <w:kern w:val="0"/>
          <w:sz w:val="24"/>
        </w:rPr>
      </w:pPr>
      <w:r>
        <w:rPr>
          <w:spacing w:val="0"/>
          <w:w w:val="100"/>
          <w:kern w:val="0"/>
          <w:sz w:val="24"/>
        </w:rPr>
        <w:t>-</w:t>
      </w:r>
      <w:r>
        <w:rPr>
          <w:spacing w:val="0"/>
          <w:w w:val="100"/>
          <w:kern w:val="0"/>
          <w:sz w:val="24"/>
        </w:rPr>
        <w:tab/>
        <w:t>El aumento de la tasa de matriculación del 19,5 al 50% en 2015.</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924" w:right="0" w:hanging="357"/>
        <w:jc w:val="left"/>
        <w:rPr>
          <w:spacing w:val="0"/>
          <w:w w:val="100"/>
          <w:kern w:val="0"/>
          <w:sz w:val="24"/>
        </w:rPr>
      </w:pPr>
      <w:r>
        <w:rPr>
          <w:spacing w:val="0"/>
          <w:w w:val="100"/>
          <w:kern w:val="0"/>
          <w:sz w:val="24"/>
        </w:rPr>
        <w:t>-</w:t>
      </w:r>
      <w:r>
        <w:rPr>
          <w:spacing w:val="0"/>
          <w:w w:val="100"/>
          <w:kern w:val="0"/>
          <w:sz w:val="24"/>
        </w:rPr>
        <w:tab/>
        <w:t>La igualdad de oportunidades entre regiones y distritos.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238.</w:t>
      </w:r>
      <w:r>
        <w:rPr>
          <w:spacing w:val="0"/>
          <w:w w:val="100"/>
          <w:kern w:val="0"/>
          <w:sz w:val="24"/>
        </w:rPr>
        <w:tab/>
        <w:t>Entretanto, se han obtenido logros notables durante el proceso de mejora de la calidad de la enseñanza secundaria.  Los logros más importantes son: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924" w:right="0" w:hanging="357"/>
        <w:jc w:val="left"/>
        <w:rPr>
          <w:spacing w:val="0"/>
          <w:w w:val="100"/>
          <w:kern w:val="0"/>
          <w:sz w:val="24"/>
        </w:rPr>
      </w:pPr>
      <w:r>
        <w:rPr>
          <w:spacing w:val="0"/>
          <w:w w:val="100"/>
          <w:kern w:val="0"/>
          <w:sz w:val="24"/>
        </w:rPr>
        <w:t>-</w:t>
      </w:r>
      <w:r>
        <w:rPr>
          <w:spacing w:val="0"/>
          <w:w w:val="100"/>
          <w:kern w:val="0"/>
          <w:sz w:val="24"/>
        </w:rPr>
        <w:tab/>
        <w:t>El número de escuelas secundarias ha aumentado en un 6%.</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924" w:right="0" w:hanging="357"/>
        <w:jc w:val="left"/>
        <w:rPr>
          <w:spacing w:val="0"/>
          <w:w w:val="100"/>
          <w:kern w:val="0"/>
          <w:sz w:val="24"/>
        </w:rPr>
      </w:pPr>
      <w:r>
        <w:rPr>
          <w:spacing w:val="0"/>
          <w:w w:val="100"/>
          <w:kern w:val="0"/>
          <w:sz w:val="24"/>
        </w:rPr>
        <w:t>-</w:t>
      </w:r>
      <w:r>
        <w:rPr>
          <w:spacing w:val="0"/>
          <w:w w:val="100"/>
          <w:kern w:val="0"/>
          <w:sz w:val="24"/>
        </w:rPr>
        <w:tab/>
        <w:t>El número de alumnos ha aumentado en un 8%.</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924" w:right="0" w:hanging="357"/>
        <w:jc w:val="left"/>
        <w:rPr>
          <w:spacing w:val="0"/>
          <w:w w:val="100"/>
          <w:kern w:val="0"/>
          <w:sz w:val="24"/>
        </w:rPr>
      </w:pPr>
      <w:r>
        <w:rPr>
          <w:spacing w:val="0"/>
          <w:w w:val="100"/>
          <w:kern w:val="0"/>
          <w:sz w:val="24"/>
        </w:rPr>
        <w:t>-</w:t>
      </w:r>
      <w:r>
        <w:rPr>
          <w:spacing w:val="0"/>
          <w:w w:val="100"/>
          <w:kern w:val="0"/>
          <w:sz w:val="24"/>
        </w:rPr>
        <w:tab/>
        <w:t>Se han impartido cursos de corta y larga duración a los profesores.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924" w:right="0" w:hanging="357"/>
        <w:jc w:val="left"/>
        <w:rPr>
          <w:spacing w:val="0"/>
          <w:w w:val="100"/>
          <w:kern w:val="0"/>
          <w:sz w:val="24"/>
        </w:rPr>
      </w:pPr>
      <w:r>
        <w:rPr>
          <w:spacing w:val="0"/>
          <w:w w:val="100"/>
          <w:kern w:val="0"/>
          <w:sz w:val="24"/>
        </w:rPr>
        <w:t>-</w:t>
      </w:r>
      <w:r>
        <w:rPr>
          <w:spacing w:val="0"/>
          <w:w w:val="100"/>
          <w:kern w:val="0"/>
          <w:sz w:val="24"/>
        </w:rPr>
        <w:tab/>
        <w:t>Se han proporcionado fondos a 622 escuelas para la compra de material de enseñanza y aprendizaje.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924" w:right="0" w:hanging="357"/>
        <w:jc w:val="left"/>
        <w:rPr>
          <w:spacing w:val="0"/>
          <w:w w:val="100"/>
          <w:kern w:val="0"/>
          <w:sz w:val="24"/>
        </w:rPr>
      </w:pPr>
      <w:r>
        <w:rPr>
          <w:spacing w:val="0"/>
          <w:w w:val="100"/>
          <w:kern w:val="0"/>
          <w:sz w:val="24"/>
        </w:rPr>
        <w:t>-</w:t>
      </w:r>
      <w:r>
        <w:rPr>
          <w:spacing w:val="0"/>
          <w:w w:val="100"/>
          <w:kern w:val="0"/>
          <w:sz w:val="24"/>
        </w:rPr>
        <w:tab/>
        <w:t>Se han renovado y rehabilitado 63 escuelas.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924" w:right="0" w:hanging="357"/>
        <w:jc w:val="left"/>
        <w:rPr>
          <w:spacing w:val="0"/>
          <w:w w:val="100"/>
          <w:kern w:val="0"/>
          <w:sz w:val="24"/>
        </w:rPr>
      </w:pPr>
      <w:r>
        <w:rPr>
          <w:spacing w:val="0"/>
          <w:w w:val="100"/>
          <w:kern w:val="0"/>
          <w:sz w:val="24"/>
        </w:rPr>
        <w:t>-</w:t>
      </w:r>
      <w:r>
        <w:rPr>
          <w:spacing w:val="0"/>
          <w:w w:val="100"/>
          <w:kern w:val="0"/>
          <w:sz w:val="24"/>
        </w:rPr>
        <w:tab/>
        <w:t>El porcentaje de alumnos varones de cuarto curso de secundaria que obtienen buenas notas ha aumentado del 38 al 45%.</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b/>
          <w:spacing w:val="0"/>
          <w:w w:val="100"/>
          <w:kern w:val="0"/>
          <w:sz w:val="24"/>
        </w:rPr>
      </w:pPr>
      <w:r>
        <w:rPr>
          <w:b/>
          <w:spacing w:val="0"/>
          <w:w w:val="100"/>
          <w:kern w:val="0"/>
          <w:sz w:val="24"/>
        </w:rPr>
        <w:tab/>
        <w:t xml:space="preserve">Programa de </w:t>
      </w:r>
      <w:r>
        <w:rPr>
          <w:b/>
          <w:bCs/>
          <w:spacing w:val="0"/>
          <w:w w:val="100"/>
          <w:kern w:val="0"/>
          <w:sz w:val="24"/>
        </w:rPr>
        <w:t>educación</w:t>
      </w:r>
      <w:r>
        <w:rPr>
          <w:b/>
          <w:spacing w:val="0"/>
          <w:w w:val="100"/>
          <w:kern w:val="0"/>
          <w:sz w:val="24"/>
        </w:rPr>
        <w:t xml:space="preserve"> básica complementaria en Tanzanía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239.</w:t>
      </w:r>
      <w:r>
        <w:rPr>
          <w:spacing w:val="0"/>
          <w:w w:val="100"/>
          <w:kern w:val="0"/>
          <w:sz w:val="24"/>
        </w:rPr>
        <w:tab/>
        <w:t>En los últimos años, con el apoyo del UNICEF y las ONG, se han puesto en marcha varias iniciativas, entre ellas el programa de acceso a la educación y de educación básica complementaria.  El principal objetivo de este programa es garantizar que los niños que no tienen acceso al sistema escolar puedan ejercer su derecho a una educación básica.  Una de las principales caracterí</w:t>
      </w:r>
      <w:r>
        <w:rPr>
          <w:spacing w:val="0"/>
          <w:w w:val="100"/>
          <w:kern w:val="0"/>
          <w:sz w:val="24"/>
        </w:rPr>
        <w:t>s</w:t>
      </w:r>
      <w:r>
        <w:rPr>
          <w:spacing w:val="0"/>
          <w:w w:val="100"/>
          <w:kern w:val="0"/>
          <w:sz w:val="24"/>
        </w:rPr>
        <w:t>ticas del programa es la educación gratuita para adultos.  Además, en él, el ciclo de enseñanza correspondiente a los cursos primero a quinto de primaria se ha reducido de cinco años a tres.</w:t>
      </w:r>
    </w:p>
    <w:p w:rsidR="00000000" w:rsidRDefault="00000000">
      <w:pPr>
        <w:pStyle w:val="H23"/>
        <w:keepLines w:val="0"/>
        <w:suppressAutoHyphens w:val="0"/>
        <w:spacing w:after="240" w:line="240" w:lineRule="auto"/>
        <w:outlineLvl w:val="9"/>
        <w:rPr>
          <w:bCs/>
          <w:spacing w:val="0"/>
          <w:w w:val="100"/>
          <w:kern w:val="0"/>
          <w:sz w:val="24"/>
        </w:rPr>
      </w:pPr>
      <w:r>
        <w:rPr>
          <w:bCs/>
          <w:spacing w:val="0"/>
          <w:w w:val="100"/>
          <w:kern w:val="0"/>
          <w:sz w:val="24"/>
        </w:rPr>
        <w:t>Actividades de esparcimiento, recreativas y culturales (artículo 31)</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240.</w:t>
      </w:r>
      <w:r>
        <w:rPr>
          <w:spacing w:val="0"/>
          <w:w w:val="100"/>
          <w:kern w:val="0"/>
          <w:sz w:val="24"/>
        </w:rPr>
        <w:tab/>
        <w:t>En la Política cultural de 1997 del Gobierno de Tanzanía se dispone que debe brindarse a los niños todas las oportunidades posibles para su desarrollo cultural.  Concretamente, se establece que:</w:t>
      </w:r>
    </w:p>
    <w:p w:rsidR="00000000" w:rsidRDefault="00000000">
      <w:pPr>
        <w:pStyle w:val="SingleTxt"/>
        <w:numPr>
          <w:ilvl w:val="0"/>
          <w:numId w:val="81"/>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924" w:right="0" w:hanging="357"/>
        <w:jc w:val="left"/>
        <w:rPr>
          <w:spacing w:val="0"/>
          <w:w w:val="100"/>
          <w:kern w:val="0"/>
          <w:sz w:val="24"/>
        </w:rPr>
      </w:pPr>
      <w:r>
        <w:rPr>
          <w:spacing w:val="0"/>
          <w:w w:val="100"/>
          <w:kern w:val="0"/>
          <w:sz w:val="24"/>
        </w:rPr>
        <w:t>La educación cultural debe ser parte integral de todo el proceso educativo, desde la educación preescolar a la enseñanza primaria y secundaria;</w:t>
      </w:r>
    </w:p>
    <w:p w:rsidR="00000000" w:rsidRDefault="00000000">
      <w:pPr>
        <w:pStyle w:val="SingleTxt"/>
        <w:numPr>
          <w:ilvl w:val="0"/>
          <w:numId w:val="81"/>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924" w:right="0" w:hanging="357"/>
        <w:jc w:val="left"/>
        <w:rPr>
          <w:spacing w:val="0"/>
          <w:w w:val="100"/>
          <w:kern w:val="0"/>
          <w:sz w:val="24"/>
        </w:rPr>
      </w:pPr>
      <w:r>
        <w:rPr>
          <w:spacing w:val="0"/>
          <w:w w:val="100"/>
          <w:kern w:val="0"/>
          <w:sz w:val="24"/>
        </w:rPr>
        <w:t>El sistema de exámenes de ese nivel de enseñanza debe incluir materias cultur</w:t>
      </w:r>
      <w:r>
        <w:rPr>
          <w:spacing w:val="0"/>
          <w:w w:val="100"/>
          <w:kern w:val="0"/>
          <w:sz w:val="24"/>
        </w:rPr>
        <w:t>a</w:t>
      </w:r>
      <w:r>
        <w:rPr>
          <w:spacing w:val="0"/>
          <w:w w:val="100"/>
          <w:kern w:val="0"/>
          <w:sz w:val="24"/>
        </w:rPr>
        <w:t>les.</w:t>
      </w:r>
    </w:p>
    <w:p w:rsidR="00000000" w:rsidRDefault="00000000">
      <w:pPr>
        <w:pStyle w:val="H23"/>
        <w:keepNext w:val="0"/>
        <w:keepLines w:val="0"/>
        <w:suppressAutoHyphens w:val="0"/>
        <w:spacing w:after="240" w:line="240" w:lineRule="auto"/>
        <w:outlineLvl w:val="9"/>
        <w:rPr>
          <w:bCs/>
          <w:spacing w:val="0"/>
          <w:w w:val="100"/>
          <w:kern w:val="0"/>
          <w:sz w:val="24"/>
        </w:rPr>
      </w:pPr>
      <w:r>
        <w:rPr>
          <w:bCs/>
          <w:spacing w:val="0"/>
          <w:w w:val="100"/>
          <w:kern w:val="0"/>
          <w:sz w:val="24"/>
        </w:rPr>
        <w:tab/>
        <w:t>Actividades recreativas y de esparcimiento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241.</w:t>
      </w:r>
      <w:r>
        <w:rPr>
          <w:spacing w:val="0"/>
          <w:w w:val="100"/>
          <w:kern w:val="0"/>
          <w:sz w:val="24"/>
        </w:rPr>
        <w:tab/>
        <w:t>En los actuales programas se da especial prioridad a las actividades culturales infantiles. La oferta en este sentido comprende:</w:t>
      </w:r>
    </w:p>
    <w:p w:rsidR="00000000" w:rsidRDefault="00000000">
      <w:pPr>
        <w:pStyle w:val="SingleTxt"/>
        <w:numPr>
          <w:ilvl w:val="0"/>
          <w:numId w:val="82"/>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924" w:right="0" w:hanging="357"/>
        <w:jc w:val="left"/>
        <w:rPr>
          <w:spacing w:val="0"/>
          <w:w w:val="100"/>
          <w:kern w:val="0"/>
          <w:sz w:val="24"/>
        </w:rPr>
      </w:pPr>
      <w:r>
        <w:rPr>
          <w:spacing w:val="0"/>
          <w:w w:val="100"/>
          <w:kern w:val="0"/>
          <w:sz w:val="24"/>
        </w:rPr>
        <w:t>Parques infantiles.</w:t>
      </w:r>
    </w:p>
    <w:p w:rsidR="00000000" w:rsidRDefault="00000000">
      <w:pPr>
        <w:pStyle w:val="SingleTxt"/>
        <w:numPr>
          <w:ilvl w:val="0"/>
          <w:numId w:val="82"/>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924" w:right="0" w:hanging="357"/>
        <w:jc w:val="left"/>
        <w:rPr>
          <w:spacing w:val="0"/>
          <w:w w:val="100"/>
          <w:kern w:val="0"/>
          <w:sz w:val="24"/>
        </w:rPr>
      </w:pPr>
      <w:r>
        <w:rPr>
          <w:spacing w:val="0"/>
          <w:w w:val="100"/>
          <w:kern w:val="0"/>
          <w:sz w:val="24"/>
        </w:rPr>
        <w:t>El Proyecto de Teatro Infantil, en el que actualmente participan 70 escuelas primarias de 3 de las 21 regiones administrativas.  El proyecto se ampliará a más escuelas en cuanto se disponga de más medios.</w:t>
      </w:r>
    </w:p>
    <w:p w:rsidR="00000000" w:rsidRDefault="00000000">
      <w:pPr>
        <w:pStyle w:val="SingleTxt"/>
        <w:numPr>
          <w:ilvl w:val="0"/>
          <w:numId w:val="82"/>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924" w:right="0" w:hanging="357"/>
        <w:jc w:val="left"/>
        <w:rPr>
          <w:spacing w:val="0"/>
          <w:w w:val="100"/>
          <w:kern w:val="0"/>
          <w:sz w:val="24"/>
        </w:rPr>
      </w:pPr>
      <w:r>
        <w:rPr>
          <w:spacing w:val="0"/>
          <w:w w:val="100"/>
          <w:kern w:val="0"/>
          <w:sz w:val="24"/>
        </w:rPr>
        <w:t>El Festival de Teatro Infantil, que es un certamen anual en el que actualmente participan alumnos de enseñanza primaria.</w:t>
      </w:r>
    </w:p>
    <w:p w:rsidR="00000000" w:rsidRDefault="00000000">
      <w:pPr>
        <w:pStyle w:val="SingleTxt"/>
        <w:numPr>
          <w:ilvl w:val="0"/>
          <w:numId w:val="82"/>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924" w:right="0" w:hanging="357"/>
        <w:jc w:val="left"/>
        <w:rPr>
          <w:spacing w:val="0"/>
          <w:w w:val="100"/>
          <w:kern w:val="0"/>
          <w:sz w:val="24"/>
        </w:rPr>
      </w:pPr>
      <w:r>
        <w:rPr>
          <w:spacing w:val="0"/>
          <w:w w:val="100"/>
          <w:kern w:val="0"/>
          <w:sz w:val="24"/>
        </w:rPr>
        <w:t>Eventos especiales para niños en los principales núcleos de población, esp</w:t>
      </w:r>
      <w:r>
        <w:rPr>
          <w:spacing w:val="0"/>
          <w:w w:val="100"/>
          <w:kern w:val="0"/>
          <w:sz w:val="24"/>
        </w:rPr>
        <w:t>e</w:t>
      </w:r>
      <w:r>
        <w:rPr>
          <w:spacing w:val="0"/>
          <w:w w:val="100"/>
          <w:kern w:val="0"/>
          <w:sz w:val="24"/>
        </w:rPr>
        <w:t>cialmente en las zonas urbanas.</w:t>
      </w:r>
    </w:p>
    <w:p w:rsidR="00000000" w:rsidRDefault="00000000">
      <w:pPr>
        <w:pStyle w:val="SingleTxt"/>
        <w:numPr>
          <w:ilvl w:val="0"/>
          <w:numId w:val="82"/>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924" w:right="0" w:hanging="357"/>
        <w:jc w:val="left"/>
        <w:rPr>
          <w:spacing w:val="0"/>
          <w:w w:val="100"/>
          <w:kern w:val="0"/>
          <w:sz w:val="24"/>
        </w:rPr>
      </w:pPr>
      <w:r>
        <w:rPr>
          <w:spacing w:val="0"/>
          <w:w w:val="100"/>
          <w:kern w:val="0"/>
          <w:sz w:val="24"/>
        </w:rPr>
        <w:t>Un programa de formación artística para el personal docente de centros preescolares.</w:t>
      </w:r>
    </w:p>
    <w:p w:rsidR="00000000" w:rsidRDefault="00000000">
      <w:pPr>
        <w:pStyle w:val="SingleTxt"/>
        <w:numPr>
          <w:ilvl w:val="0"/>
          <w:numId w:val="82"/>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924" w:right="0" w:hanging="357"/>
        <w:jc w:val="left"/>
        <w:rPr>
          <w:spacing w:val="0"/>
          <w:w w:val="100"/>
          <w:kern w:val="0"/>
          <w:sz w:val="24"/>
        </w:rPr>
      </w:pPr>
      <w:r>
        <w:rPr>
          <w:spacing w:val="0"/>
          <w:w w:val="100"/>
          <w:kern w:val="0"/>
          <w:sz w:val="24"/>
        </w:rPr>
        <w:t>Además, los niños tienen oportunidad de visitar lugares históricos y reservas de caza; participar en programas de televisión y de radio, conciertos y debates; jugar y hacer deporte; y participar en prácticas tradicionales y culturales.</w:t>
      </w:r>
    </w:p>
    <w:p w:rsidR="00000000" w:rsidRDefault="00000000">
      <w:pPr>
        <w:pStyle w:val="H23"/>
        <w:keepNext w:val="0"/>
        <w:keepLines w:val="0"/>
        <w:suppressAutoHyphens w:val="0"/>
        <w:spacing w:after="240" w:line="240" w:lineRule="auto"/>
        <w:outlineLvl w:val="9"/>
        <w:rPr>
          <w:bCs/>
          <w:spacing w:val="0"/>
          <w:w w:val="100"/>
          <w:kern w:val="0"/>
          <w:sz w:val="24"/>
        </w:rPr>
      </w:pPr>
      <w:r>
        <w:rPr>
          <w:bCs/>
          <w:spacing w:val="0"/>
          <w:w w:val="100"/>
          <w:kern w:val="0"/>
          <w:sz w:val="24"/>
        </w:rPr>
        <w:tab/>
        <w:t>Niveles de financiación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242.</w:t>
      </w:r>
      <w:r>
        <w:rPr>
          <w:spacing w:val="0"/>
          <w:w w:val="100"/>
          <w:kern w:val="0"/>
          <w:sz w:val="24"/>
        </w:rPr>
        <w:tab/>
        <w:t>Aproximadamente el 1% del presupuesto total de cultura se destina a activid</w:t>
      </w:r>
      <w:r>
        <w:rPr>
          <w:spacing w:val="0"/>
          <w:w w:val="100"/>
          <w:kern w:val="0"/>
          <w:sz w:val="24"/>
        </w:rPr>
        <w:t>a</w:t>
      </w:r>
      <w:r>
        <w:rPr>
          <w:spacing w:val="0"/>
          <w:w w:val="100"/>
          <w:kern w:val="0"/>
          <w:sz w:val="24"/>
        </w:rPr>
        <w:t>des recreativas o culturales para niños.</w:t>
      </w:r>
    </w:p>
    <w:p w:rsidR="00000000" w:rsidRDefault="00000000">
      <w:pPr>
        <w:pStyle w:val="H23"/>
        <w:keepNext w:val="0"/>
        <w:keepLines w:val="0"/>
        <w:suppressAutoHyphens w:val="0"/>
        <w:spacing w:after="240" w:line="240" w:lineRule="auto"/>
        <w:outlineLvl w:val="9"/>
        <w:rPr>
          <w:bCs/>
          <w:spacing w:val="0"/>
          <w:w w:val="100"/>
          <w:kern w:val="0"/>
          <w:sz w:val="24"/>
        </w:rPr>
      </w:pPr>
      <w:r>
        <w:rPr>
          <w:b w:val="0"/>
          <w:spacing w:val="0"/>
          <w:w w:val="100"/>
          <w:kern w:val="0"/>
          <w:sz w:val="24"/>
        </w:rPr>
        <w:tab/>
      </w:r>
      <w:r>
        <w:rPr>
          <w:bCs/>
          <w:spacing w:val="0"/>
          <w:w w:val="100"/>
          <w:kern w:val="0"/>
          <w:sz w:val="24"/>
        </w:rPr>
        <w:t>Aspectos jurídicos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243.</w:t>
      </w:r>
      <w:r>
        <w:rPr>
          <w:spacing w:val="0"/>
          <w:w w:val="100"/>
          <w:kern w:val="0"/>
          <w:sz w:val="24"/>
        </w:rPr>
        <w:tab/>
        <w:t>Es cada vez más frecuente que se asigne a niños de muy corta edad funciones destacadas en diversas ceremonias, en particular en las bodas.  En esas circunsta</w:t>
      </w:r>
      <w:r>
        <w:rPr>
          <w:spacing w:val="0"/>
          <w:w w:val="100"/>
          <w:kern w:val="0"/>
          <w:sz w:val="24"/>
        </w:rPr>
        <w:t>n</w:t>
      </w:r>
      <w:r>
        <w:rPr>
          <w:spacing w:val="0"/>
          <w:w w:val="100"/>
          <w:kern w:val="0"/>
          <w:sz w:val="24"/>
        </w:rPr>
        <w:t>cias, a menudo se obliga a los niños a permanecer en su puesto durante muchas horas y se les priva, entre otras cosas, de su derecho al descanso.  Por otro lado, está el problema de los concursos de belleza y los desfiles de moda, en que se utiliza a los niños para generar ingresos para otros, mientras que ellos reciben poco o nada.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244.</w:t>
      </w:r>
      <w:r>
        <w:rPr>
          <w:spacing w:val="0"/>
          <w:w w:val="100"/>
          <w:kern w:val="0"/>
          <w:sz w:val="24"/>
        </w:rPr>
        <w:tab/>
        <w:t>Todas las escuelas públicas y privadas de Zanzíbar tienen patios de recreo.  En las zonas urbanas hay más posibilidades de realizar actividades recreativas y de esparcimiento y éstas tienen precios más asequibles que en las zonas rurales.  Hay más instalaciones de juegos y de recreo en las escuelas que en lugares públicos.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245.</w:t>
      </w:r>
      <w:r>
        <w:rPr>
          <w:spacing w:val="0"/>
          <w:w w:val="100"/>
          <w:kern w:val="0"/>
          <w:sz w:val="24"/>
        </w:rPr>
        <w:tab/>
        <w:t>Zanzíbar tiene 3 estadios oficiales (2 en Unguja y 1 en Pemba).  En Zanzíbar hay 2 parques infantiles públicos, 1 en Unguja y otro en Pemba.  Sin embargo, estas instalaciones no están en buenas condiciones.  En este tipo de instal</w:t>
      </w:r>
      <w:r>
        <w:rPr>
          <w:spacing w:val="0"/>
          <w:w w:val="100"/>
          <w:kern w:val="0"/>
          <w:sz w:val="24"/>
        </w:rPr>
        <w:t>a</w:t>
      </w:r>
      <w:r>
        <w:rPr>
          <w:spacing w:val="0"/>
          <w:w w:val="100"/>
          <w:kern w:val="0"/>
          <w:sz w:val="24"/>
        </w:rPr>
        <w:t xml:space="preserve">ciones han de tenerse en cuenta los intereses del niño.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246.</w:t>
      </w:r>
      <w:r>
        <w:rPr>
          <w:spacing w:val="0"/>
          <w:w w:val="100"/>
          <w:kern w:val="0"/>
          <w:sz w:val="24"/>
        </w:rPr>
        <w:tab/>
        <w:t>En 2003, la selección sub-19 de fútbol quedó campeona de la Copa de la CECAFA (Campeonato de selecciones nacionales de África oriental y central).</w:t>
      </w:r>
    </w:p>
    <w:p w:rsidR="00000000" w:rsidRDefault="00000000">
      <w:pPr>
        <w:pStyle w:val="HCh"/>
        <w:keepNext w:val="0"/>
        <w:keepLines w:val="0"/>
        <w:suppressAutoHyphens w:val="0"/>
        <w:spacing w:before="480" w:after="240" w:line="240" w:lineRule="auto"/>
        <w:jc w:val="center"/>
        <w:outlineLvl w:val="9"/>
        <w:rPr>
          <w:bCs/>
          <w:spacing w:val="0"/>
          <w:w w:val="100"/>
          <w:kern w:val="0"/>
          <w:sz w:val="24"/>
        </w:rPr>
      </w:pPr>
      <w:r>
        <w:rPr>
          <w:bCs/>
          <w:spacing w:val="0"/>
          <w:w w:val="100"/>
          <w:kern w:val="0"/>
          <w:sz w:val="24"/>
        </w:rPr>
        <w:t>VIII.  MEDIDAS ESPECIALES DE PROTECCIÓN</w:t>
      </w:r>
    </w:p>
    <w:p w:rsidR="00000000" w:rsidRDefault="00000000">
      <w:pPr>
        <w:pStyle w:val="H23"/>
        <w:keepNext w:val="0"/>
        <w:keepLines w:val="0"/>
        <w:suppressAutoHyphens w:val="0"/>
        <w:spacing w:after="240" w:line="240" w:lineRule="auto"/>
        <w:outlineLvl w:val="9"/>
        <w:rPr>
          <w:bCs/>
          <w:spacing w:val="0"/>
          <w:w w:val="100"/>
          <w:kern w:val="0"/>
          <w:sz w:val="24"/>
        </w:rPr>
      </w:pPr>
      <w:r>
        <w:rPr>
          <w:bCs/>
          <w:spacing w:val="0"/>
          <w:w w:val="100"/>
          <w:kern w:val="0"/>
          <w:sz w:val="24"/>
        </w:rPr>
        <w:t>Niños refugiados (artículos 22 y 38 1))</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247.</w:t>
      </w:r>
      <w:r>
        <w:rPr>
          <w:spacing w:val="0"/>
          <w:w w:val="100"/>
          <w:kern w:val="0"/>
          <w:sz w:val="24"/>
        </w:rPr>
        <w:tab/>
        <w:t>Más de 520.000 refugiados se han asentado en la región occidental de Tanz</w:t>
      </w:r>
      <w:r>
        <w:rPr>
          <w:spacing w:val="0"/>
          <w:w w:val="100"/>
          <w:kern w:val="0"/>
          <w:sz w:val="24"/>
        </w:rPr>
        <w:t>a</w:t>
      </w:r>
      <w:r>
        <w:rPr>
          <w:spacing w:val="0"/>
          <w:w w:val="100"/>
          <w:kern w:val="0"/>
          <w:sz w:val="24"/>
        </w:rPr>
        <w:t>nía, que se ha convertido en el principal país de acogida de África.  Entre ellos se encuentran 100.000 niños menores de cinco años y 200.000 niños y jóvenes en edad escolar.  En los campamentos de refugiados nacen más de 20.000 niños por año.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248.</w:t>
      </w:r>
      <w:r>
        <w:rPr>
          <w:spacing w:val="0"/>
          <w:w w:val="100"/>
          <w:kern w:val="0"/>
          <w:sz w:val="24"/>
        </w:rPr>
        <w:tab/>
        <w:t>El Gobierno de la República Unida de Tanzanía ha adoptado medidas a fin de ofrecer una protección adecuada a los solicitantes de asilo y a los menores que no están acompañados, especialmente las niñas.  Todos los refugiados y solicitantes de asilo, en particular las niñas que no están acompañadas, son debidamente inscritos y se les proporciona la documentación pertinente al llegar a los puntos de entrada, a</w:t>
      </w:r>
      <w:r>
        <w:rPr>
          <w:spacing w:val="0"/>
          <w:w w:val="100"/>
          <w:kern w:val="0"/>
          <w:sz w:val="24"/>
        </w:rPr>
        <w:t>n</w:t>
      </w:r>
      <w:r>
        <w:rPr>
          <w:spacing w:val="0"/>
          <w:w w:val="100"/>
          <w:kern w:val="0"/>
          <w:sz w:val="24"/>
        </w:rPr>
        <w:t>tes de ser enviados a las zonas designadas.</w:t>
      </w:r>
    </w:p>
    <w:p w:rsidR="00000000" w:rsidRDefault="00000000">
      <w:pPr>
        <w:pStyle w:val="H23"/>
        <w:keepNext w:val="0"/>
        <w:keepLines w:val="0"/>
        <w:suppressAutoHyphens w:val="0"/>
        <w:spacing w:after="240" w:line="240" w:lineRule="auto"/>
        <w:ind w:left="567"/>
        <w:outlineLvl w:val="9"/>
        <w:rPr>
          <w:bCs/>
          <w:spacing w:val="0"/>
          <w:w w:val="100"/>
          <w:kern w:val="0"/>
          <w:sz w:val="24"/>
        </w:rPr>
      </w:pPr>
      <w:r>
        <w:rPr>
          <w:bCs/>
          <w:spacing w:val="0"/>
          <w:w w:val="100"/>
          <w:kern w:val="0"/>
          <w:sz w:val="24"/>
        </w:rPr>
        <w:t>Ejecución de políticas y programas para garantizarles el acceso  adecuado a los servicios médicos, educativos y sociales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249.</w:t>
      </w:r>
      <w:r>
        <w:rPr>
          <w:spacing w:val="0"/>
          <w:w w:val="100"/>
          <w:kern w:val="0"/>
          <w:sz w:val="24"/>
        </w:rPr>
        <w:tab/>
        <w:t>Los niños refugiados tienen acceso adecuado a los servicios médicos, educat</w:t>
      </w:r>
      <w:r>
        <w:rPr>
          <w:spacing w:val="0"/>
          <w:w w:val="100"/>
          <w:kern w:val="0"/>
          <w:sz w:val="24"/>
        </w:rPr>
        <w:t>i</w:t>
      </w:r>
      <w:r>
        <w:rPr>
          <w:spacing w:val="0"/>
          <w:w w:val="100"/>
          <w:kern w:val="0"/>
          <w:sz w:val="24"/>
        </w:rPr>
        <w:t>vos y otros servicios sociales.  Al ejecutar los programas de atención y manutención destinados a los refugiados se prestó particular atención a las necesidades especiales de los niños refugiados.  Los niños refugiados reciben atención médica como cua</w:t>
      </w:r>
      <w:r>
        <w:rPr>
          <w:spacing w:val="0"/>
          <w:w w:val="100"/>
          <w:kern w:val="0"/>
          <w:sz w:val="24"/>
        </w:rPr>
        <w:t>l</w:t>
      </w:r>
      <w:r>
        <w:rPr>
          <w:spacing w:val="0"/>
          <w:w w:val="100"/>
          <w:kern w:val="0"/>
          <w:sz w:val="24"/>
        </w:rPr>
        <w:t>quier otro refugiado, reciben enseñanza extraescolar y escolar en los campamentos y ti</w:t>
      </w:r>
      <w:r>
        <w:rPr>
          <w:spacing w:val="0"/>
          <w:w w:val="100"/>
          <w:kern w:val="0"/>
          <w:sz w:val="24"/>
        </w:rPr>
        <w:t>e</w:t>
      </w:r>
      <w:r>
        <w:rPr>
          <w:spacing w:val="0"/>
          <w:w w:val="100"/>
          <w:kern w:val="0"/>
          <w:sz w:val="24"/>
        </w:rPr>
        <w:t>nen acceso a otros servicios como el suministro de agua y actividades recreativas.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250.</w:t>
      </w:r>
      <w:r>
        <w:rPr>
          <w:spacing w:val="0"/>
          <w:w w:val="100"/>
          <w:kern w:val="0"/>
          <w:sz w:val="24"/>
        </w:rPr>
        <w:tab/>
        <w:t>El Gobierno aprobó en 2003 la Política nacional para los refugiados que abarca varios aspectos de la gestión de la cuestiones relacionadas con los refugiados en Tanzanía.  En 1998 se promulgó la Ley de refugiados, cuyas disposiciones protegen los intereses de los niños.  El artículo 35 de la ley trata sobre la reunión de los niños con sus progenitores u otros miembros de su familia, si bien no se estipula nada sobre los niños que no están acompañados.  La enseñanza primaria es obligatoria, de conformidad con el párrafo 1 del artículo 31.  Con arreglo a la ley, todos los niños refugiados tienen derecho a la enseñanza primaria de conformidad con la legislación nacional y todos los adultos refugiados que deseen participar en los programas de enseñanza para adultos tendrán derecho a hacerlo de conformidad con la Ley de enseñanza para adultos.</w:t>
      </w:r>
    </w:p>
    <w:p w:rsidR="00000000" w:rsidRDefault="00000000">
      <w:pPr>
        <w:pStyle w:val="H23"/>
        <w:keepNext w:val="0"/>
        <w:keepLines w:val="0"/>
        <w:suppressAutoHyphens w:val="0"/>
        <w:spacing w:after="240" w:line="240" w:lineRule="auto"/>
        <w:ind w:left="567"/>
        <w:outlineLvl w:val="9"/>
        <w:rPr>
          <w:bCs/>
          <w:spacing w:val="0"/>
          <w:w w:val="100"/>
          <w:kern w:val="0"/>
          <w:sz w:val="24"/>
        </w:rPr>
      </w:pPr>
      <w:r>
        <w:rPr>
          <w:bCs/>
          <w:spacing w:val="0"/>
          <w:w w:val="100"/>
          <w:kern w:val="0"/>
          <w:sz w:val="24"/>
        </w:rPr>
        <w:t>Revisión de normas y procedimientos en el proceso de concesión de asilo para que se ajusten a las normas internacionales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251.</w:t>
      </w:r>
      <w:r>
        <w:rPr>
          <w:spacing w:val="0"/>
          <w:w w:val="100"/>
          <w:kern w:val="0"/>
          <w:sz w:val="24"/>
        </w:rPr>
        <w:tab/>
        <w:t>Los niños refugiados, como el resto de los refugiados, tienen acceso a los pr</w:t>
      </w:r>
      <w:r>
        <w:rPr>
          <w:spacing w:val="0"/>
          <w:w w:val="100"/>
          <w:kern w:val="0"/>
          <w:sz w:val="24"/>
        </w:rPr>
        <w:t>o</w:t>
      </w:r>
      <w:r>
        <w:rPr>
          <w:spacing w:val="0"/>
          <w:w w:val="100"/>
          <w:kern w:val="0"/>
          <w:sz w:val="24"/>
        </w:rPr>
        <w:t>cesos de concesión de asilo del país.  En situaciones de emergencia, cuando se pr</w:t>
      </w:r>
      <w:r>
        <w:rPr>
          <w:spacing w:val="0"/>
          <w:w w:val="100"/>
          <w:kern w:val="0"/>
          <w:sz w:val="24"/>
        </w:rPr>
        <w:t>o</w:t>
      </w:r>
      <w:r>
        <w:rPr>
          <w:spacing w:val="0"/>
          <w:w w:val="100"/>
          <w:kern w:val="0"/>
          <w:sz w:val="24"/>
        </w:rPr>
        <w:t>ducen entradas en masa de refugiados, los niños siguen los mismos trámites en los puntos de entrada o centros de recepción, como la investigación de antecedentes y los exámenes médicos, y reciben alimentos y artículos no aliment</w:t>
      </w:r>
      <w:r>
        <w:rPr>
          <w:spacing w:val="0"/>
          <w:w w:val="100"/>
          <w:kern w:val="0"/>
          <w:sz w:val="24"/>
        </w:rPr>
        <w:t>a</w:t>
      </w:r>
      <w:r>
        <w:rPr>
          <w:spacing w:val="0"/>
          <w:w w:val="100"/>
          <w:kern w:val="0"/>
          <w:sz w:val="24"/>
        </w:rPr>
        <w:t>rios.</w:t>
      </w:r>
    </w:p>
    <w:p w:rsidR="00000000" w:rsidRDefault="00000000">
      <w:pPr>
        <w:pStyle w:val="H23"/>
        <w:keepNext w:val="0"/>
        <w:keepLines w:val="0"/>
        <w:suppressAutoHyphens w:val="0"/>
        <w:spacing w:after="240" w:line="240" w:lineRule="auto"/>
        <w:ind w:left="567"/>
        <w:outlineLvl w:val="9"/>
        <w:rPr>
          <w:bCs/>
          <w:spacing w:val="0"/>
          <w:w w:val="100"/>
          <w:kern w:val="0"/>
          <w:sz w:val="24"/>
        </w:rPr>
      </w:pPr>
      <w:r>
        <w:rPr>
          <w:bCs/>
          <w:spacing w:val="0"/>
          <w:w w:val="100"/>
          <w:kern w:val="0"/>
          <w:sz w:val="24"/>
        </w:rPr>
        <w:t>Procedimientos especiales para niños refugiados, en particular los que están separados de sus familias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252.</w:t>
      </w:r>
      <w:r>
        <w:rPr>
          <w:spacing w:val="0"/>
          <w:w w:val="100"/>
          <w:kern w:val="0"/>
          <w:sz w:val="24"/>
        </w:rPr>
        <w:tab/>
        <w:t>En los campamentos de refugiados se emplean algunos procedimientos adm</w:t>
      </w:r>
      <w:r>
        <w:rPr>
          <w:spacing w:val="0"/>
          <w:w w:val="100"/>
          <w:kern w:val="0"/>
          <w:sz w:val="24"/>
        </w:rPr>
        <w:t>i</w:t>
      </w:r>
      <w:r>
        <w:rPr>
          <w:spacing w:val="0"/>
          <w:w w:val="100"/>
          <w:kern w:val="0"/>
          <w:sz w:val="24"/>
        </w:rPr>
        <w:t>nistrativos especiales en el caso de los niños refugiados que han sido separados de sus familias durante los enfrentamientos armados.  Por lo general estos niños se e</w:t>
      </w:r>
      <w:r>
        <w:rPr>
          <w:spacing w:val="0"/>
          <w:w w:val="100"/>
          <w:kern w:val="0"/>
          <w:sz w:val="24"/>
        </w:rPr>
        <w:t>n</w:t>
      </w:r>
      <w:r>
        <w:rPr>
          <w:spacing w:val="0"/>
          <w:w w:val="100"/>
          <w:kern w:val="0"/>
          <w:sz w:val="24"/>
        </w:rPr>
        <w:t>comiendan a familias de acogida, con lo que se asegura que se atienda a todas sus necesidades básicas.  Las gestiones para averiguar el paradero de los familiares se realizan en el marco de un programa de la Sociedad de la Cruz Roja de Tanzanía.</w:t>
      </w:r>
    </w:p>
    <w:p w:rsidR="00000000" w:rsidRDefault="00000000">
      <w:pPr>
        <w:pStyle w:val="H23"/>
        <w:keepNext w:val="0"/>
        <w:keepLines w:val="0"/>
        <w:suppressAutoHyphens w:val="0"/>
        <w:spacing w:after="240" w:line="240" w:lineRule="auto"/>
        <w:ind w:left="567"/>
        <w:outlineLvl w:val="9"/>
        <w:rPr>
          <w:bCs/>
          <w:spacing w:val="0"/>
          <w:w w:val="100"/>
          <w:kern w:val="0"/>
          <w:sz w:val="24"/>
        </w:rPr>
      </w:pPr>
      <w:r>
        <w:rPr>
          <w:bCs/>
          <w:spacing w:val="0"/>
          <w:w w:val="100"/>
          <w:kern w:val="0"/>
          <w:sz w:val="24"/>
        </w:rPr>
        <w:t>Normas para que los refugiados de ambos géneros que hayan contraído matrimonio con nacionales de Tanzanía puedan obtener la condición de residentes y/o la naturalización y que además garanticen los derechos  de los hijos de esas uniones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253.</w:t>
      </w:r>
      <w:r>
        <w:rPr>
          <w:spacing w:val="0"/>
          <w:w w:val="100"/>
          <w:kern w:val="0"/>
          <w:sz w:val="24"/>
        </w:rPr>
        <w:tab/>
        <w:t>Se han dado algunos casos de matrimonios entre varones nacionales de Tanzanía y mujeres refugiadas.  Dado que la legislación no permite que los cabezas de familia en esa situación vivan en los campamentos de refugiados, a menos que trabajen en ellos, el Departamento de Refugiados les aconseja por norma general que soliciten pases para las personas a su cargo en el Departamento de Inmigración.  Esto les pe</w:t>
      </w:r>
      <w:r>
        <w:rPr>
          <w:spacing w:val="0"/>
          <w:w w:val="100"/>
          <w:kern w:val="0"/>
          <w:sz w:val="24"/>
        </w:rPr>
        <w:t>r</w:t>
      </w:r>
      <w:r>
        <w:rPr>
          <w:spacing w:val="0"/>
          <w:w w:val="100"/>
          <w:kern w:val="0"/>
          <w:sz w:val="24"/>
        </w:rPr>
        <w:t>mitiría vivir con sus esposas refugiadas fuera de los campamentos y posteriormente, si así lo desearan, podrían iniciar los trámites para obtener la naturaliz</w:t>
      </w:r>
      <w:r>
        <w:rPr>
          <w:spacing w:val="0"/>
          <w:w w:val="100"/>
          <w:kern w:val="0"/>
          <w:sz w:val="24"/>
        </w:rPr>
        <w:t>a</w:t>
      </w:r>
      <w:r>
        <w:rPr>
          <w:spacing w:val="0"/>
          <w:w w:val="100"/>
          <w:kern w:val="0"/>
          <w:sz w:val="24"/>
        </w:rPr>
        <w:t xml:space="preserve">ción. </w:t>
      </w:r>
    </w:p>
    <w:p w:rsidR="00000000" w:rsidRDefault="00000000">
      <w:pPr>
        <w:pStyle w:val="H23"/>
        <w:keepNext w:val="0"/>
        <w:keepLines w:val="0"/>
        <w:suppressAutoHyphens w:val="0"/>
        <w:spacing w:after="240" w:line="240" w:lineRule="auto"/>
        <w:ind w:left="567"/>
        <w:outlineLvl w:val="9"/>
        <w:rPr>
          <w:bCs/>
          <w:spacing w:val="0"/>
          <w:w w:val="100"/>
          <w:kern w:val="0"/>
          <w:sz w:val="24"/>
        </w:rPr>
      </w:pPr>
      <w:r>
        <w:rPr>
          <w:bCs/>
          <w:spacing w:val="0"/>
          <w:w w:val="100"/>
          <w:kern w:val="0"/>
          <w:sz w:val="24"/>
        </w:rPr>
        <w:t>Cooperación con la Oficina del Alto Comisionado de las Naciones Unidas para los Refugiados (ACNUR)</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254.</w:t>
      </w:r>
      <w:r>
        <w:rPr>
          <w:spacing w:val="0"/>
          <w:w w:val="100"/>
          <w:kern w:val="0"/>
          <w:sz w:val="24"/>
        </w:rPr>
        <w:tab/>
        <w:t>El Gobierno de la República Unida de Tanzanía ha instituido medidas en el marco de su cooperación con el ACNUR y otras organizaciones intergubernament</w:t>
      </w:r>
      <w:r>
        <w:rPr>
          <w:spacing w:val="0"/>
          <w:w w:val="100"/>
          <w:kern w:val="0"/>
          <w:sz w:val="24"/>
        </w:rPr>
        <w:t>a</w:t>
      </w:r>
      <w:r>
        <w:rPr>
          <w:spacing w:val="0"/>
          <w:w w:val="100"/>
          <w:kern w:val="0"/>
          <w:sz w:val="24"/>
        </w:rPr>
        <w:t>les y no gubernamentales que colaboran con las Naciones Unidas, para proteger y prestar asistencia a los niños que no están acompañados y ayudarles a hallar el parad</w:t>
      </w:r>
      <w:r>
        <w:rPr>
          <w:spacing w:val="0"/>
          <w:w w:val="100"/>
          <w:kern w:val="0"/>
          <w:sz w:val="24"/>
        </w:rPr>
        <w:t>e</w:t>
      </w:r>
      <w:r>
        <w:rPr>
          <w:spacing w:val="0"/>
          <w:w w:val="100"/>
          <w:kern w:val="0"/>
          <w:sz w:val="24"/>
        </w:rPr>
        <w:t>ro de sus padres u otros familiares, a fin de obtener la información necesaria para que puedan reunirse con ellos.  Por ejemplo, en los campamentos de refugiados de Tanz</w:t>
      </w:r>
      <w:r>
        <w:rPr>
          <w:spacing w:val="0"/>
          <w:w w:val="100"/>
          <w:kern w:val="0"/>
          <w:sz w:val="24"/>
        </w:rPr>
        <w:t>a</w:t>
      </w:r>
      <w:r>
        <w:rPr>
          <w:spacing w:val="0"/>
          <w:w w:val="100"/>
          <w:kern w:val="0"/>
          <w:sz w:val="24"/>
        </w:rPr>
        <w:t>nía occidental, la Sociedad de la Cruz Roja de Tanzanía ha puesto en marcha progr</w:t>
      </w:r>
      <w:r>
        <w:rPr>
          <w:spacing w:val="0"/>
          <w:w w:val="100"/>
          <w:kern w:val="0"/>
          <w:sz w:val="24"/>
        </w:rPr>
        <w:t>a</w:t>
      </w:r>
      <w:r>
        <w:rPr>
          <w:spacing w:val="0"/>
          <w:w w:val="100"/>
          <w:kern w:val="0"/>
          <w:sz w:val="24"/>
        </w:rPr>
        <w:t>mas para hallar el paradero de familiares, a los que tienen acceso todos los refugiados, incluidos los niños.  Gracias a estos programas muchos niños refugiados no acomp</w:t>
      </w:r>
      <w:r>
        <w:rPr>
          <w:spacing w:val="0"/>
          <w:w w:val="100"/>
          <w:kern w:val="0"/>
          <w:sz w:val="24"/>
        </w:rPr>
        <w:t>a</w:t>
      </w:r>
      <w:r>
        <w:rPr>
          <w:spacing w:val="0"/>
          <w:w w:val="100"/>
          <w:kern w:val="0"/>
          <w:sz w:val="24"/>
        </w:rPr>
        <w:t>ñados han podido reunirse con sus familiares dentro del país y en el extra</w:t>
      </w:r>
      <w:r>
        <w:rPr>
          <w:spacing w:val="0"/>
          <w:w w:val="100"/>
          <w:kern w:val="0"/>
          <w:sz w:val="24"/>
        </w:rPr>
        <w:t>n</w:t>
      </w:r>
      <w:r>
        <w:rPr>
          <w:spacing w:val="0"/>
          <w:w w:val="100"/>
          <w:kern w:val="0"/>
          <w:sz w:val="24"/>
        </w:rPr>
        <w:t>jero.</w:t>
      </w:r>
    </w:p>
    <w:p w:rsidR="00000000" w:rsidRDefault="00000000">
      <w:pPr>
        <w:pStyle w:val="H23"/>
        <w:keepNext w:val="0"/>
        <w:keepLines w:val="0"/>
        <w:suppressAutoHyphens w:val="0"/>
        <w:spacing w:after="240" w:line="240" w:lineRule="auto"/>
        <w:outlineLvl w:val="9"/>
        <w:rPr>
          <w:bCs/>
          <w:spacing w:val="0"/>
          <w:w w:val="100"/>
          <w:kern w:val="0"/>
          <w:sz w:val="24"/>
        </w:rPr>
      </w:pPr>
      <w:r>
        <w:rPr>
          <w:bCs/>
          <w:spacing w:val="0"/>
          <w:w w:val="100"/>
          <w:kern w:val="0"/>
          <w:sz w:val="24"/>
        </w:rPr>
        <w:t>Administración de justicia de menores (artículo 40)</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255.</w:t>
      </w:r>
      <w:r>
        <w:rPr>
          <w:spacing w:val="0"/>
          <w:w w:val="100"/>
          <w:kern w:val="0"/>
          <w:sz w:val="24"/>
        </w:rPr>
        <w:tab/>
        <w:t>El primer tribunal de menores del país se estableció en 1997 en Dar es Salam y desde entonces se han establecido otros tribunales similares en otras regiones.  Se han puesto en marcha iniciativas para establecer tribunales también en las regiones de Mtwara y Mbeya.  El Gobierno se propone hacer lo posible por que todos los niños tengan acceso al sistema de justicia de menores.  En Tanzanía, cuando hay menores involucrados en una causa, los tribunales de distrito desempeñan las fu</w:t>
      </w:r>
      <w:r>
        <w:rPr>
          <w:spacing w:val="0"/>
          <w:w w:val="100"/>
          <w:kern w:val="0"/>
          <w:sz w:val="24"/>
        </w:rPr>
        <w:t>n</w:t>
      </w:r>
      <w:r>
        <w:rPr>
          <w:spacing w:val="0"/>
          <w:w w:val="100"/>
          <w:kern w:val="0"/>
          <w:sz w:val="24"/>
        </w:rPr>
        <w:t>ciones de tribunales de menores con arreglo al artículo 3 de la Ley sobre los niños y jóvenes, en que se estipula, entre otras cosas, que las causas contra menores se sub</w:t>
      </w:r>
      <w:r>
        <w:rPr>
          <w:spacing w:val="0"/>
          <w:w w:val="100"/>
          <w:kern w:val="0"/>
          <w:sz w:val="24"/>
        </w:rPr>
        <w:t>s</w:t>
      </w:r>
      <w:r>
        <w:rPr>
          <w:spacing w:val="0"/>
          <w:w w:val="100"/>
          <w:kern w:val="0"/>
          <w:sz w:val="24"/>
        </w:rPr>
        <w:t>tancien a puerta cerrada en la medida de lo posible para proteger la intimidad del menor, a menos que entre los acusados haya también adultos.  Por otra parte, en la Ley de prisiones de 1967 se estipula que los delincuentes menores de edad no deben e</w:t>
      </w:r>
      <w:r>
        <w:rPr>
          <w:spacing w:val="0"/>
          <w:w w:val="100"/>
          <w:kern w:val="0"/>
          <w:sz w:val="24"/>
        </w:rPr>
        <w:t>s</w:t>
      </w:r>
      <w:r>
        <w:rPr>
          <w:spacing w:val="0"/>
          <w:w w:val="100"/>
          <w:kern w:val="0"/>
          <w:sz w:val="24"/>
        </w:rPr>
        <w:t>tar recluidos con adultos.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256.</w:t>
      </w:r>
      <w:r>
        <w:rPr>
          <w:spacing w:val="0"/>
          <w:w w:val="100"/>
          <w:kern w:val="0"/>
          <w:sz w:val="24"/>
        </w:rPr>
        <w:tab/>
        <w:t>En Zanzíbar no se puede ejercer acciones penales contra un niño menor de 12 años, en virtud de la Ley Nº 11 de 1986.</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257.</w:t>
      </w:r>
      <w:r>
        <w:rPr>
          <w:spacing w:val="0"/>
          <w:w w:val="100"/>
          <w:kern w:val="0"/>
          <w:sz w:val="24"/>
        </w:rPr>
        <w:tab/>
        <w:t>En Zanzíbar, los tribunales de menores se establecen con arreglo a lo estipulado en el artículo 3 del capítulo 58 del Decreto sobre los niños y jóvenes y en la Ley de tribunales de primera instancia de 1985.  Los tribunales de menores están constitu</w:t>
      </w:r>
      <w:r>
        <w:rPr>
          <w:spacing w:val="0"/>
          <w:w w:val="100"/>
          <w:kern w:val="0"/>
          <w:sz w:val="24"/>
        </w:rPr>
        <w:t>i</w:t>
      </w:r>
      <w:r>
        <w:rPr>
          <w:spacing w:val="0"/>
          <w:w w:val="100"/>
          <w:kern w:val="0"/>
          <w:sz w:val="24"/>
        </w:rPr>
        <w:t>dos por jueces regionales y se establecen para enjuiciar a niños o jóvenes.  Un trib</w:t>
      </w:r>
      <w:r>
        <w:rPr>
          <w:spacing w:val="0"/>
          <w:w w:val="100"/>
          <w:kern w:val="0"/>
          <w:sz w:val="24"/>
        </w:rPr>
        <w:t>u</w:t>
      </w:r>
      <w:r>
        <w:rPr>
          <w:spacing w:val="0"/>
          <w:w w:val="100"/>
          <w:kern w:val="0"/>
          <w:sz w:val="24"/>
        </w:rPr>
        <w:t>nal de menores puede juzgar a un niño o un joven con arreglo a los estipulado en el art</w:t>
      </w:r>
      <w:r>
        <w:rPr>
          <w:spacing w:val="0"/>
          <w:w w:val="100"/>
          <w:kern w:val="0"/>
          <w:sz w:val="24"/>
        </w:rPr>
        <w:t>í</w:t>
      </w:r>
      <w:r>
        <w:rPr>
          <w:spacing w:val="0"/>
          <w:w w:val="100"/>
          <w:kern w:val="0"/>
          <w:sz w:val="24"/>
        </w:rPr>
        <w:t xml:space="preserve">culo 8 del decreto por todo tipo de delitos, a excepción del homicidio.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258.</w:t>
      </w:r>
      <w:r>
        <w:rPr>
          <w:spacing w:val="0"/>
          <w:w w:val="100"/>
          <w:kern w:val="0"/>
          <w:sz w:val="24"/>
        </w:rPr>
        <w:tab/>
        <w:t>Conforme a lo estipulado en la legislación, los delincuentes menores de edad recluidos con carácter provisional o para cumplir condena deberán estar separados de los adultos.  En cumplimiento de lo estipulado en el artículo 40 de la Convención sobre los Derechos del Niño, en el citado Decreto de Zanzíbar se establecen dete</w:t>
      </w:r>
      <w:r>
        <w:rPr>
          <w:spacing w:val="0"/>
          <w:w w:val="100"/>
          <w:kern w:val="0"/>
          <w:sz w:val="24"/>
        </w:rPr>
        <w:t>r</w:t>
      </w:r>
      <w:r>
        <w:rPr>
          <w:spacing w:val="0"/>
          <w:w w:val="100"/>
          <w:kern w:val="0"/>
          <w:sz w:val="24"/>
        </w:rPr>
        <w:t>minadas normas de trato y se reafirman una serie de garantías procesales para los menores que hayan delinquido.  En particular, en el decreto se exige que los men</w:t>
      </w:r>
      <w:r>
        <w:rPr>
          <w:spacing w:val="0"/>
          <w:w w:val="100"/>
          <w:kern w:val="0"/>
          <w:sz w:val="24"/>
        </w:rPr>
        <w:t>o</w:t>
      </w:r>
      <w:r>
        <w:rPr>
          <w:spacing w:val="0"/>
          <w:w w:val="100"/>
          <w:kern w:val="0"/>
          <w:sz w:val="24"/>
        </w:rPr>
        <w:t>res reciban un trato que favorezca su sentido de la dignidad y de su propio valor.  De conformidad con el artículo 3 de la Convención sobre los Derechos del Niño, el decreto dispone que el interés superior del niño será la consideración primordial en t</w:t>
      </w:r>
      <w:r>
        <w:rPr>
          <w:spacing w:val="0"/>
          <w:w w:val="100"/>
          <w:kern w:val="0"/>
          <w:sz w:val="24"/>
        </w:rPr>
        <w:t>o</w:t>
      </w:r>
      <w:r>
        <w:rPr>
          <w:spacing w:val="0"/>
          <w:w w:val="100"/>
          <w:kern w:val="0"/>
          <w:sz w:val="24"/>
        </w:rPr>
        <w:t>dos los procedimientos judiciales relativos a menores.</w:t>
      </w:r>
    </w:p>
    <w:p w:rsidR="00000000" w:rsidRDefault="00000000">
      <w:pPr>
        <w:pStyle w:val="H23"/>
        <w:keepNext w:val="0"/>
        <w:keepLines w:val="0"/>
        <w:suppressAutoHyphens w:val="0"/>
        <w:spacing w:after="240" w:line="240" w:lineRule="auto"/>
        <w:outlineLvl w:val="9"/>
        <w:rPr>
          <w:bCs/>
          <w:spacing w:val="0"/>
          <w:w w:val="100"/>
          <w:kern w:val="0"/>
          <w:sz w:val="24"/>
        </w:rPr>
      </w:pPr>
      <w:r>
        <w:rPr>
          <w:bCs/>
          <w:spacing w:val="0"/>
          <w:w w:val="100"/>
          <w:kern w:val="0"/>
          <w:sz w:val="24"/>
        </w:rPr>
        <w:t>Menores privados de libertad (artículo 37)</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259.</w:t>
      </w:r>
      <w:r>
        <w:rPr>
          <w:spacing w:val="0"/>
          <w:w w:val="100"/>
          <w:kern w:val="0"/>
          <w:sz w:val="24"/>
        </w:rPr>
        <w:tab/>
        <w:t>En la actualidad existen cinco centros de detención provisional en Tanzanía continental situados en Tanga, Moshi, Arusha, Mbeya y Dar es Salam.  El Ministerio de Bienestar Social administra los centros de detención provisional, pero los trib</w:t>
      </w:r>
      <w:r>
        <w:rPr>
          <w:spacing w:val="0"/>
          <w:w w:val="100"/>
          <w:kern w:val="0"/>
          <w:sz w:val="24"/>
        </w:rPr>
        <w:t>u</w:t>
      </w:r>
      <w:r>
        <w:rPr>
          <w:spacing w:val="0"/>
          <w:w w:val="100"/>
          <w:kern w:val="0"/>
          <w:sz w:val="24"/>
        </w:rPr>
        <w:t>nales deciden qué menores deben ingresar en ellos.  Sólo existe una escuela autor</w:t>
      </w:r>
      <w:r>
        <w:rPr>
          <w:spacing w:val="0"/>
          <w:w w:val="100"/>
          <w:kern w:val="0"/>
          <w:sz w:val="24"/>
        </w:rPr>
        <w:t>i</w:t>
      </w:r>
      <w:r>
        <w:rPr>
          <w:spacing w:val="0"/>
          <w:w w:val="100"/>
          <w:kern w:val="0"/>
          <w:sz w:val="24"/>
        </w:rPr>
        <w:t>zada, que se encuentra en Irambo, en la región de Mbeya, y recibe únicamente menores varones.  Se han adoptado, entre otras, las siguientes medidas para mejorar la situación de los centros de detención provisional:</w:t>
      </w:r>
    </w:p>
    <w:p w:rsidR="00000000" w:rsidRDefault="00000000">
      <w:pPr>
        <w:pStyle w:val="SingleTxt"/>
        <w:numPr>
          <w:ilvl w:val="0"/>
          <w:numId w:val="83"/>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924" w:right="0" w:hanging="357"/>
        <w:jc w:val="left"/>
        <w:rPr>
          <w:spacing w:val="0"/>
          <w:w w:val="100"/>
          <w:kern w:val="0"/>
          <w:sz w:val="24"/>
        </w:rPr>
      </w:pPr>
      <w:r>
        <w:rPr>
          <w:spacing w:val="0"/>
          <w:w w:val="100"/>
          <w:kern w:val="0"/>
          <w:sz w:val="24"/>
        </w:rPr>
        <w:t>Capacitar al personal sobre cómo tratar a estos menores.  La actitud del personal hacia ellos ha mejorado.</w:t>
      </w:r>
    </w:p>
    <w:p w:rsidR="00000000" w:rsidRDefault="00000000">
      <w:pPr>
        <w:pStyle w:val="SingleTxt"/>
        <w:numPr>
          <w:ilvl w:val="0"/>
          <w:numId w:val="83"/>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924" w:right="0" w:hanging="357"/>
        <w:jc w:val="left"/>
        <w:rPr>
          <w:spacing w:val="0"/>
          <w:w w:val="100"/>
          <w:kern w:val="0"/>
          <w:sz w:val="24"/>
        </w:rPr>
      </w:pPr>
      <w:r>
        <w:rPr>
          <w:spacing w:val="0"/>
          <w:w w:val="100"/>
          <w:kern w:val="0"/>
          <w:sz w:val="24"/>
        </w:rPr>
        <w:t>Renovar las instalaciones.</w:t>
      </w:r>
    </w:p>
    <w:p w:rsidR="00000000" w:rsidRDefault="00000000">
      <w:pPr>
        <w:pStyle w:val="SingleTxt"/>
        <w:numPr>
          <w:ilvl w:val="0"/>
          <w:numId w:val="83"/>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924" w:right="0" w:hanging="357"/>
        <w:jc w:val="left"/>
        <w:rPr>
          <w:spacing w:val="0"/>
          <w:w w:val="100"/>
          <w:kern w:val="0"/>
          <w:sz w:val="24"/>
        </w:rPr>
      </w:pPr>
      <w:r>
        <w:rPr>
          <w:spacing w:val="0"/>
          <w:w w:val="100"/>
          <w:kern w:val="0"/>
          <w:sz w:val="24"/>
        </w:rPr>
        <w:t>Impartir enseñanza primaria o formación profesional (carpintería y sastrería) durante el internamiento del menor en el centro de detención provisional, en función de su nivel educativo.</w:t>
      </w:r>
    </w:p>
    <w:p w:rsidR="00000000" w:rsidRDefault="00000000">
      <w:pPr>
        <w:pStyle w:val="H23"/>
        <w:keepNext w:val="0"/>
        <w:keepLines w:val="0"/>
        <w:suppressAutoHyphens w:val="0"/>
        <w:spacing w:after="240" w:line="240" w:lineRule="auto"/>
        <w:outlineLvl w:val="9"/>
        <w:rPr>
          <w:bCs/>
          <w:spacing w:val="0"/>
          <w:w w:val="100"/>
          <w:kern w:val="0"/>
          <w:sz w:val="24"/>
        </w:rPr>
      </w:pPr>
      <w:r>
        <w:rPr>
          <w:bCs/>
          <w:spacing w:val="0"/>
          <w:w w:val="100"/>
          <w:kern w:val="0"/>
          <w:sz w:val="24"/>
        </w:rPr>
        <w:t>Menores en situaciones de explotación. Recuperación física y psicológica y reinserción social (artículo 39)</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260.</w:t>
      </w:r>
      <w:r>
        <w:rPr>
          <w:spacing w:val="0"/>
          <w:w w:val="100"/>
          <w:kern w:val="0"/>
          <w:sz w:val="24"/>
        </w:rPr>
        <w:tab/>
        <w:t>Se han adoptado medidas apropiadas para lograr la recuperación psicológica y reinserción social de los niños.  En 1998 la Asociación de mujeres periodistas de Tanzanía, en colaboración con el Programa Internacional para la Erradicación del Trabajo Infantil de la OIT, puso en marcha la tercera fase de ejecución del Programa de Acción para prevenir la contratación de niñas como empleadas del hogar.  El cit</w:t>
      </w:r>
      <w:r>
        <w:rPr>
          <w:spacing w:val="0"/>
          <w:w w:val="100"/>
          <w:kern w:val="0"/>
          <w:sz w:val="24"/>
        </w:rPr>
        <w:t>a</w:t>
      </w:r>
      <w:r>
        <w:rPr>
          <w:spacing w:val="0"/>
          <w:w w:val="100"/>
          <w:kern w:val="0"/>
          <w:sz w:val="24"/>
        </w:rPr>
        <w:t>do Programa de Acción forma parte del programa básico de la Asociación para crear conciencia de la discriminación y la violencia de género y promover su erradic</w:t>
      </w:r>
      <w:r>
        <w:rPr>
          <w:spacing w:val="0"/>
          <w:w w:val="100"/>
          <w:kern w:val="0"/>
          <w:sz w:val="24"/>
        </w:rPr>
        <w:t>a</w:t>
      </w:r>
      <w:r>
        <w:rPr>
          <w:spacing w:val="0"/>
          <w:w w:val="100"/>
          <w:kern w:val="0"/>
          <w:sz w:val="24"/>
        </w:rPr>
        <w:t>ción.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261.</w:t>
      </w:r>
      <w:r>
        <w:rPr>
          <w:spacing w:val="0"/>
          <w:w w:val="100"/>
          <w:kern w:val="0"/>
          <w:sz w:val="24"/>
        </w:rPr>
        <w:tab/>
        <w:t>El objetivo del Programa de Acción es concienciar de los efectos negativos del trabajo infantil a las niñas que podrían ser contratadas como empleadas domésticas y a sus familias en las zonas donde se las suele reclutar.  Esto contribuirá a prevenir la contratación de niñas como empleadas domésticas e impulsará la introducción de cambios normativos y jurídicos para su protección y des</w:t>
      </w:r>
      <w:r>
        <w:rPr>
          <w:spacing w:val="0"/>
          <w:w w:val="100"/>
          <w:kern w:val="0"/>
          <w:sz w:val="24"/>
        </w:rPr>
        <w:t>a</w:t>
      </w:r>
      <w:r>
        <w:rPr>
          <w:spacing w:val="0"/>
          <w:w w:val="100"/>
          <w:kern w:val="0"/>
          <w:sz w:val="24"/>
        </w:rPr>
        <w:t>rrollo.</w:t>
      </w:r>
    </w:p>
    <w:p w:rsidR="00000000" w:rsidRDefault="00000000">
      <w:pPr>
        <w:pStyle w:val="H23"/>
        <w:keepNext w:val="0"/>
        <w:keepLines w:val="0"/>
        <w:suppressAutoHyphens w:val="0"/>
        <w:spacing w:after="240" w:line="240" w:lineRule="auto"/>
        <w:outlineLvl w:val="9"/>
        <w:rPr>
          <w:bCs/>
          <w:spacing w:val="0"/>
          <w:w w:val="100"/>
          <w:kern w:val="0"/>
          <w:sz w:val="24"/>
        </w:rPr>
      </w:pPr>
      <w:r>
        <w:rPr>
          <w:bCs/>
          <w:spacing w:val="0"/>
          <w:w w:val="100"/>
          <w:kern w:val="0"/>
          <w:sz w:val="24"/>
        </w:rPr>
        <w:t>Trabajo infantil (artículo 32)</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262.</w:t>
      </w:r>
      <w:r>
        <w:rPr>
          <w:spacing w:val="0"/>
          <w:w w:val="100"/>
          <w:kern w:val="0"/>
          <w:sz w:val="24"/>
        </w:rPr>
        <w:tab/>
        <w:t>Tanzanía se encuentra entre los países que ejecutan el Programa para eliminar las peores formas de trabajo infantil para una fecha establecida, que se puso en marcha en Ginebra en junio de 2001.  El Programa apunta a combatir el trabajo infantil en la agr</w:t>
      </w:r>
      <w:r>
        <w:rPr>
          <w:spacing w:val="0"/>
          <w:w w:val="100"/>
          <w:kern w:val="0"/>
          <w:sz w:val="24"/>
        </w:rPr>
        <w:t>i</w:t>
      </w:r>
      <w:r>
        <w:rPr>
          <w:spacing w:val="0"/>
          <w:w w:val="100"/>
          <w:kern w:val="0"/>
          <w:sz w:val="24"/>
        </w:rPr>
        <w:t>cultura comercial, la minería, la prostitución y el servicio doméstico y se está ejec</w:t>
      </w:r>
      <w:r>
        <w:rPr>
          <w:spacing w:val="0"/>
          <w:w w:val="100"/>
          <w:kern w:val="0"/>
          <w:sz w:val="24"/>
        </w:rPr>
        <w:t>u</w:t>
      </w:r>
      <w:r>
        <w:rPr>
          <w:spacing w:val="0"/>
          <w:w w:val="100"/>
          <w:kern w:val="0"/>
          <w:sz w:val="24"/>
        </w:rPr>
        <w:t>tando con carácter experimental en 11 distritos:  Ilala, Kinondoni, Temeke, Arusha u</w:t>
      </w:r>
      <w:r>
        <w:rPr>
          <w:spacing w:val="0"/>
          <w:w w:val="100"/>
          <w:kern w:val="0"/>
          <w:sz w:val="24"/>
        </w:rPr>
        <w:t>r</w:t>
      </w:r>
      <w:r>
        <w:rPr>
          <w:spacing w:val="0"/>
          <w:w w:val="100"/>
          <w:kern w:val="0"/>
          <w:sz w:val="24"/>
        </w:rPr>
        <w:t>bana, Arumeru, Simanjiro, Iringa rural, Mufindi, Iramba, Kondoa y Ura</w:t>
      </w:r>
      <w:r>
        <w:rPr>
          <w:spacing w:val="0"/>
          <w:w w:val="100"/>
          <w:kern w:val="0"/>
          <w:sz w:val="24"/>
        </w:rPr>
        <w:t>m</w:t>
      </w:r>
      <w:r>
        <w:rPr>
          <w:spacing w:val="0"/>
          <w:w w:val="100"/>
          <w:kern w:val="0"/>
          <w:sz w:val="24"/>
        </w:rPr>
        <w:t>bo.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263.</w:t>
      </w:r>
      <w:r>
        <w:rPr>
          <w:spacing w:val="0"/>
          <w:w w:val="100"/>
          <w:kern w:val="0"/>
          <w:sz w:val="24"/>
        </w:rPr>
        <w:tab/>
        <w:t>Para ejecutar el Programa, el Gobierno estableció el Comité Nacional Interse</w:t>
      </w:r>
      <w:r>
        <w:rPr>
          <w:spacing w:val="0"/>
          <w:w w:val="100"/>
          <w:kern w:val="0"/>
          <w:sz w:val="24"/>
        </w:rPr>
        <w:t>c</w:t>
      </w:r>
      <w:r>
        <w:rPr>
          <w:spacing w:val="0"/>
          <w:w w:val="100"/>
          <w:kern w:val="0"/>
          <w:sz w:val="24"/>
        </w:rPr>
        <w:t>torial de Coordinación a nivel nacional para supervisar y coordinar las actividades contra el trabajo infantil en general y las peores formas de trabajo infantil en part</w:t>
      </w:r>
      <w:r>
        <w:rPr>
          <w:spacing w:val="0"/>
          <w:w w:val="100"/>
          <w:kern w:val="0"/>
          <w:sz w:val="24"/>
        </w:rPr>
        <w:t>i</w:t>
      </w:r>
      <w:r>
        <w:rPr>
          <w:spacing w:val="0"/>
          <w:w w:val="100"/>
          <w:kern w:val="0"/>
          <w:sz w:val="24"/>
        </w:rPr>
        <w:t>cular.  El Comité cuenta con la asistencia de cuatro subcomités:  Agricultura Come</w:t>
      </w:r>
      <w:r>
        <w:rPr>
          <w:spacing w:val="0"/>
          <w:w w:val="100"/>
          <w:kern w:val="0"/>
          <w:sz w:val="24"/>
        </w:rPr>
        <w:t>r</w:t>
      </w:r>
      <w:r>
        <w:rPr>
          <w:spacing w:val="0"/>
          <w:w w:val="100"/>
          <w:kern w:val="0"/>
          <w:sz w:val="24"/>
        </w:rPr>
        <w:t>cial y Minería, Servicio Doméstico y Prostitución, Educación y Tecnología y Vig</w:t>
      </w:r>
      <w:r>
        <w:rPr>
          <w:spacing w:val="0"/>
          <w:w w:val="100"/>
          <w:kern w:val="0"/>
          <w:sz w:val="24"/>
        </w:rPr>
        <w:t>i</w:t>
      </w:r>
      <w:r>
        <w:rPr>
          <w:spacing w:val="0"/>
          <w:w w:val="100"/>
          <w:kern w:val="0"/>
          <w:sz w:val="24"/>
        </w:rPr>
        <w:t>lancia y Coordinación de las actividades para combatir el trabajo infantil.  A nivel local, el Gobierno ha establecido subcomités de distrito y ha nombrado coordinad</w:t>
      </w:r>
      <w:r>
        <w:rPr>
          <w:spacing w:val="0"/>
          <w:w w:val="100"/>
          <w:kern w:val="0"/>
          <w:sz w:val="24"/>
        </w:rPr>
        <w:t>o</w:t>
      </w:r>
      <w:r>
        <w:rPr>
          <w:spacing w:val="0"/>
          <w:w w:val="100"/>
          <w:kern w:val="0"/>
          <w:sz w:val="24"/>
        </w:rPr>
        <w:t>res encargados de vigilar y coordinar las actividades para combatir el trabajo infantil a nivel de distrito.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264.</w:t>
      </w:r>
      <w:r>
        <w:rPr>
          <w:spacing w:val="0"/>
          <w:w w:val="100"/>
          <w:kern w:val="0"/>
          <w:sz w:val="24"/>
        </w:rPr>
        <w:tab/>
        <w:t>El Gobierno, en colaboración con varias ONG, e</w:t>
      </w:r>
      <w:r>
        <w:rPr>
          <w:spacing w:val="0"/>
          <w:w w:val="100"/>
          <w:kern w:val="0"/>
          <w:sz w:val="24"/>
        </w:rPr>
        <w:t>s</w:t>
      </w:r>
      <w:r>
        <w:rPr>
          <w:spacing w:val="0"/>
          <w:w w:val="100"/>
          <w:kern w:val="0"/>
          <w:sz w:val="24"/>
        </w:rPr>
        <w:t>tá ejecutando el Programa para eliminar las peores formas de trabajo infantil, para lo que se sirve, entre otras cosas, de los medios de comunicación.  El objetivo del pr</w:t>
      </w:r>
      <w:r>
        <w:rPr>
          <w:spacing w:val="0"/>
          <w:w w:val="100"/>
          <w:kern w:val="0"/>
          <w:sz w:val="24"/>
        </w:rPr>
        <w:t>o</w:t>
      </w:r>
      <w:r>
        <w:rPr>
          <w:spacing w:val="0"/>
          <w:w w:val="100"/>
          <w:kern w:val="0"/>
          <w:sz w:val="24"/>
        </w:rPr>
        <w:t>grama es que los medios de comunicación participen en actividades de sensibilización de la opinión pública y movilización de la comunidad a fin de eliminar las peores formas de trabajo infantil en Tanzanía.  Se trata de establecer un mecanismo efectivo para que los medios de comunicación desempeñen una labor estratégica de moviliz</w:t>
      </w:r>
      <w:r>
        <w:rPr>
          <w:spacing w:val="0"/>
          <w:w w:val="100"/>
          <w:kern w:val="0"/>
          <w:sz w:val="24"/>
        </w:rPr>
        <w:t>a</w:t>
      </w:r>
      <w:r>
        <w:rPr>
          <w:spacing w:val="0"/>
          <w:w w:val="100"/>
          <w:kern w:val="0"/>
          <w:sz w:val="24"/>
        </w:rPr>
        <w:t>ción de la opinión pública y organicen campañas de información contra las peores formas de trabajo infantil e institucionalizar a nivel de distrito una acción amplia e i</w:t>
      </w:r>
      <w:r>
        <w:rPr>
          <w:spacing w:val="0"/>
          <w:w w:val="100"/>
          <w:kern w:val="0"/>
          <w:sz w:val="24"/>
        </w:rPr>
        <w:t>n</w:t>
      </w:r>
      <w:r>
        <w:rPr>
          <w:spacing w:val="0"/>
          <w:w w:val="100"/>
          <w:kern w:val="0"/>
          <w:sz w:val="24"/>
        </w:rPr>
        <w:t>tegral de los medios de comunicación contra las peores formas de trabajo i</w:t>
      </w:r>
      <w:r>
        <w:rPr>
          <w:spacing w:val="0"/>
          <w:w w:val="100"/>
          <w:kern w:val="0"/>
          <w:sz w:val="24"/>
        </w:rPr>
        <w:t>n</w:t>
      </w:r>
      <w:r>
        <w:rPr>
          <w:spacing w:val="0"/>
          <w:w w:val="100"/>
          <w:kern w:val="0"/>
          <w:sz w:val="24"/>
        </w:rPr>
        <w:t>fantil.</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265.</w:t>
      </w:r>
      <w:r>
        <w:rPr>
          <w:spacing w:val="0"/>
          <w:w w:val="100"/>
          <w:kern w:val="0"/>
          <w:sz w:val="24"/>
        </w:rPr>
        <w:tab/>
        <w:t>Gracias al establecimiento de una guía de inspección y la organización de activid</w:t>
      </w:r>
      <w:r>
        <w:rPr>
          <w:spacing w:val="0"/>
          <w:w w:val="100"/>
          <w:kern w:val="0"/>
          <w:sz w:val="24"/>
        </w:rPr>
        <w:t>a</w:t>
      </w:r>
      <w:r>
        <w:rPr>
          <w:spacing w:val="0"/>
          <w:w w:val="100"/>
          <w:kern w:val="0"/>
          <w:sz w:val="24"/>
        </w:rPr>
        <w:t>des de capacitación continua en materia de trabajo infantil, los inspectores y los funci</w:t>
      </w:r>
      <w:r>
        <w:rPr>
          <w:spacing w:val="0"/>
          <w:w w:val="100"/>
          <w:kern w:val="0"/>
          <w:sz w:val="24"/>
        </w:rPr>
        <w:t>o</w:t>
      </w:r>
      <w:r>
        <w:rPr>
          <w:spacing w:val="0"/>
          <w:w w:val="100"/>
          <w:kern w:val="0"/>
          <w:sz w:val="24"/>
        </w:rPr>
        <w:t>narios del Ministerio de Trabajo son capaces de descubrir y reconocer las peores formas de trabajo infantil.  Esto les permitirá concienciar a los empleadores de los perjuicios asociados al trabajo infantil y asesorarles sobre otras alternativas para los men</w:t>
      </w:r>
      <w:r>
        <w:rPr>
          <w:spacing w:val="0"/>
          <w:w w:val="100"/>
          <w:kern w:val="0"/>
          <w:sz w:val="24"/>
        </w:rPr>
        <w:t>o</w:t>
      </w:r>
      <w:r>
        <w:rPr>
          <w:spacing w:val="0"/>
          <w:w w:val="100"/>
          <w:kern w:val="0"/>
          <w:sz w:val="24"/>
        </w:rPr>
        <w:t>res.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266.</w:t>
      </w:r>
      <w:r>
        <w:rPr>
          <w:spacing w:val="0"/>
          <w:w w:val="100"/>
          <w:kern w:val="0"/>
          <w:sz w:val="24"/>
        </w:rPr>
        <w:tab/>
        <w:t>En el marco del Programa se localiza a los niños que trabajan en la agricultura comercial, se les presta asesoramiento y, posteriormente, se les ofrecen servicios de rehabilitación, que concluyen con la reinserción gradual en su entorno familiar.  Tras ello se les imparte educación básica complementaria y formación profesional.  Una vez que han abandonado la agricultura comercial y se les ha impartido capacitación especializada, los beneficiarios reciben pequeños subsidios para poner en marcha a</w:t>
      </w:r>
      <w:r>
        <w:rPr>
          <w:spacing w:val="0"/>
          <w:w w:val="100"/>
          <w:kern w:val="0"/>
          <w:sz w:val="24"/>
        </w:rPr>
        <w:t>c</w:t>
      </w:r>
      <w:r>
        <w:rPr>
          <w:spacing w:val="0"/>
          <w:w w:val="100"/>
          <w:kern w:val="0"/>
          <w:sz w:val="24"/>
        </w:rPr>
        <w:t>tividades remunerativas viables en sus respectivas comunidades.  Más de 5.000 niños que trabajan actualmente en el sector de la agricultura comercial, en las plantaciones de café, té y tabaco de Arusha, Arumeru, Iringa rural, Mufindi y Urambo recibirán asistencia de este programa, que se ejecutará en un período de 18 meses comprend</w:t>
      </w:r>
      <w:r>
        <w:rPr>
          <w:spacing w:val="0"/>
          <w:w w:val="100"/>
          <w:kern w:val="0"/>
          <w:sz w:val="24"/>
        </w:rPr>
        <w:t>i</w:t>
      </w:r>
      <w:r>
        <w:rPr>
          <w:spacing w:val="0"/>
          <w:w w:val="100"/>
          <w:kern w:val="0"/>
          <w:sz w:val="24"/>
        </w:rPr>
        <w:t>do entre mayo de 2003 y noviembre de 2004.</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267.</w:t>
      </w:r>
      <w:r>
        <w:rPr>
          <w:spacing w:val="0"/>
          <w:w w:val="100"/>
          <w:kern w:val="0"/>
          <w:sz w:val="24"/>
        </w:rPr>
        <w:tab/>
        <w:t>El Ministerio del Desarrollo Comunitario, la Mujer y el Niño imparte cursos avanzados para la obtención de diplomas en desarrollo comunitario, cuestiones de g</w:t>
      </w:r>
      <w:r>
        <w:rPr>
          <w:spacing w:val="0"/>
          <w:w w:val="100"/>
          <w:kern w:val="0"/>
          <w:sz w:val="24"/>
        </w:rPr>
        <w:t>é</w:t>
      </w:r>
      <w:r>
        <w:rPr>
          <w:spacing w:val="0"/>
          <w:w w:val="100"/>
          <w:kern w:val="0"/>
          <w:sz w:val="24"/>
        </w:rPr>
        <w:t>nero y desarrollo de la mujer y planificación y gestión de proyectos en su Instituto de Capacitación para el Desarrollo Comunitario de Tengeru.  Otras tres instituciones d</w:t>
      </w:r>
      <w:r>
        <w:rPr>
          <w:spacing w:val="0"/>
          <w:w w:val="100"/>
          <w:kern w:val="0"/>
          <w:sz w:val="24"/>
        </w:rPr>
        <w:t>o</w:t>
      </w:r>
      <w:r>
        <w:rPr>
          <w:spacing w:val="0"/>
          <w:w w:val="100"/>
          <w:kern w:val="0"/>
          <w:sz w:val="24"/>
        </w:rPr>
        <w:t>centes de Buhare, Rungemba y Missungwi ofrecen certificados básicos en desarrollo comunitario.  El Ministerio ha examinado recientemente los planes de estudios para la capacitación en materia de desarrollo comunitario y ha incorporado a ellos cuestiones relativas al desarrollo de los niños, que incluirán el problema del trabajo infantil en el marco de la Convención sobre los Derechos del Niño y los convenios de la OIT sobre la edad mínima de admisión al empleo y las peores formas de tr</w:t>
      </w:r>
      <w:r>
        <w:rPr>
          <w:spacing w:val="0"/>
          <w:w w:val="100"/>
          <w:kern w:val="0"/>
          <w:sz w:val="24"/>
        </w:rPr>
        <w:t>a</w:t>
      </w:r>
      <w:r>
        <w:rPr>
          <w:spacing w:val="0"/>
          <w:w w:val="100"/>
          <w:kern w:val="0"/>
          <w:sz w:val="24"/>
        </w:rPr>
        <w:t>bajo infantil.</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268.</w:t>
      </w:r>
      <w:r>
        <w:rPr>
          <w:spacing w:val="0"/>
          <w:w w:val="100"/>
          <w:kern w:val="0"/>
          <w:sz w:val="24"/>
        </w:rPr>
        <w:tab/>
        <w:t>El Ministerio del Desarrollo Comunitario, la Mujer y el Niño está examinando en la actualidad la Política nacional para el desarrollo del niño de 1996 a fin de i</w:t>
      </w:r>
      <w:r>
        <w:rPr>
          <w:spacing w:val="0"/>
          <w:w w:val="100"/>
          <w:kern w:val="0"/>
          <w:sz w:val="24"/>
        </w:rPr>
        <w:t>n</w:t>
      </w:r>
      <w:r>
        <w:rPr>
          <w:spacing w:val="0"/>
          <w:w w:val="100"/>
          <w:kern w:val="0"/>
          <w:sz w:val="24"/>
        </w:rPr>
        <w:t>corporar cuestiones relevantes como los derechos de participación de los niños, los problemas que plantea la pandemia del VIH/SIDA, el número cada vez mayor de huérfanos y otras cuestiones relacionadas con las peores formas de trabajo infantil.</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269.</w:t>
      </w:r>
      <w:r>
        <w:rPr>
          <w:spacing w:val="0"/>
          <w:w w:val="100"/>
          <w:kern w:val="0"/>
          <w:sz w:val="24"/>
        </w:rPr>
        <w:tab/>
        <w:t>El Programa para eliminar las peores formas de trabajo infantil incluye activ</w:t>
      </w:r>
      <w:r>
        <w:rPr>
          <w:spacing w:val="0"/>
          <w:w w:val="100"/>
          <w:kern w:val="0"/>
          <w:sz w:val="24"/>
        </w:rPr>
        <w:t>i</w:t>
      </w:r>
      <w:r>
        <w:rPr>
          <w:spacing w:val="0"/>
          <w:w w:val="100"/>
          <w:kern w:val="0"/>
          <w:sz w:val="24"/>
        </w:rPr>
        <w:t>dades de protección socioeconómica consistentes en campañas de concienciación y negociaciones colectivas entre empresarios, trabajadores y sindicatos que contribu</w:t>
      </w:r>
      <w:r>
        <w:rPr>
          <w:spacing w:val="0"/>
          <w:w w:val="100"/>
          <w:kern w:val="0"/>
          <w:sz w:val="24"/>
        </w:rPr>
        <w:t>i</w:t>
      </w:r>
      <w:r>
        <w:rPr>
          <w:spacing w:val="0"/>
          <w:w w:val="100"/>
          <w:kern w:val="0"/>
          <w:sz w:val="24"/>
        </w:rPr>
        <w:t>rán a negociar y formular convenios colectivos sobre la prohibición del trabajo i</w:t>
      </w:r>
      <w:r>
        <w:rPr>
          <w:spacing w:val="0"/>
          <w:w w:val="100"/>
          <w:kern w:val="0"/>
          <w:sz w:val="24"/>
        </w:rPr>
        <w:t>n</w:t>
      </w:r>
      <w:r>
        <w:rPr>
          <w:spacing w:val="0"/>
          <w:w w:val="100"/>
          <w:kern w:val="0"/>
          <w:sz w:val="24"/>
        </w:rPr>
        <w:t>fantil en las plantaciones y explotaciones agrícolas.  El programa ofrecerá también alternativas de mejoramiento económico a las familias pobres.  Tanzanía ha ejecut</w:t>
      </w:r>
      <w:r>
        <w:rPr>
          <w:spacing w:val="0"/>
          <w:w w:val="100"/>
          <w:kern w:val="0"/>
          <w:sz w:val="24"/>
        </w:rPr>
        <w:t>a</w:t>
      </w:r>
      <w:r>
        <w:rPr>
          <w:spacing w:val="0"/>
          <w:w w:val="100"/>
          <w:kern w:val="0"/>
          <w:sz w:val="24"/>
        </w:rPr>
        <w:t>do el programa subregional de lucha contra el trabajo infantil peligroso en la agr</w:t>
      </w:r>
      <w:r>
        <w:rPr>
          <w:spacing w:val="0"/>
          <w:w w:val="100"/>
          <w:kern w:val="0"/>
          <w:sz w:val="24"/>
        </w:rPr>
        <w:t>i</w:t>
      </w:r>
      <w:r>
        <w:rPr>
          <w:spacing w:val="0"/>
          <w:w w:val="100"/>
          <w:kern w:val="0"/>
          <w:sz w:val="24"/>
        </w:rPr>
        <w:t>cultura comercial.</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270.</w:t>
      </w:r>
      <w:r>
        <w:rPr>
          <w:spacing w:val="0"/>
          <w:w w:val="100"/>
          <w:kern w:val="0"/>
          <w:sz w:val="24"/>
        </w:rPr>
        <w:tab/>
        <w:t>En la constitución de Zanzíbar se estipula que la edad mínima para ejercer el derecho a un empleo remunerado son los 18 años.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271.</w:t>
      </w:r>
      <w:r>
        <w:rPr>
          <w:spacing w:val="0"/>
          <w:w w:val="100"/>
          <w:kern w:val="0"/>
          <w:sz w:val="24"/>
        </w:rPr>
        <w:tab/>
        <w:t>Se está examinando la legislación laboral en el marco del Proyecto sobre rel</w:t>
      </w:r>
      <w:r>
        <w:rPr>
          <w:spacing w:val="0"/>
          <w:w w:val="100"/>
          <w:kern w:val="0"/>
          <w:sz w:val="24"/>
        </w:rPr>
        <w:t>a</w:t>
      </w:r>
      <w:r>
        <w:rPr>
          <w:spacing w:val="0"/>
          <w:w w:val="100"/>
          <w:kern w:val="0"/>
          <w:sz w:val="24"/>
        </w:rPr>
        <w:t>ciones laborales en la subregión de África Oriental, en colaboración con la OIT.</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272.</w:t>
      </w:r>
      <w:r>
        <w:rPr>
          <w:spacing w:val="0"/>
          <w:w w:val="100"/>
          <w:kern w:val="0"/>
          <w:sz w:val="24"/>
        </w:rPr>
        <w:tab/>
        <w:t>Se han creado programas especiales para los medios de comunicación sobre los derechos del niño, en particular sobre los malos tratos y la explotación económ</w:t>
      </w:r>
      <w:r>
        <w:rPr>
          <w:spacing w:val="0"/>
          <w:w w:val="100"/>
          <w:kern w:val="0"/>
          <w:sz w:val="24"/>
        </w:rPr>
        <w:t>i</w:t>
      </w:r>
      <w:r>
        <w:rPr>
          <w:spacing w:val="0"/>
          <w:w w:val="100"/>
          <w:kern w:val="0"/>
          <w:sz w:val="24"/>
        </w:rPr>
        <w:t>ca, que se transmiten en Televisión Zanzíbar y Radio Zanzíbar.  Radio Zanzíbar ha comenzado a emitir un programa semanal en pro de los derechos de los niños a fin de sensibilizar a la opinión pública sobre la necesidad de proteger a los niños contra toda forma de explotación, en particular la explotación económica, física y sexual.</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273.</w:t>
      </w:r>
      <w:r>
        <w:rPr>
          <w:spacing w:val="0"/>
          <w:w w:val="100"/>
          <w:kern w:val="0"/>
          <w:sz w:val="24"/>
        </w:rPr>
        <w:tab/>
        <w:t>En todo Zanzíbar se ha llevado a cabo una encuesta sobre trabajo infantil, con especial hincapié en lugares como las zonas costeras, donde la explotación laboral de los menores es muy frecuente.  Se ha puesto en marcha un programa piloto para corregir la situación en Chwaka, Uroa, Kiwengwa y Mkokotoni, en la isla de Ung</w:t>
      </w:r>
      <w:r>
        <w:rPr>
          <w:spacing w:val="0"/>
          <w:w w:val="100"/>
          <w:kern w:val="0"/>
          <w:sz w:val="24"/>
        </w:rPr>
        <w:t>u</w:t>
      </w:r>
      <w:r>
        <w:rPr>
          <w:spacing w:val="0"/>
          <w:w w:val="100"/>
          <w:kern w:val="0"/>
          <w:sz w:val="24"/>
        </w:rPr>
        <w:t>ja, y Nanguji, Mwambe, Chokocho, Micheweni y Tumbe en Pemba.  Recientemente, 62 niños han dejado de trabajar y regresado a las aulas en Unguja y 112 en Pemba.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274.</w:t>
      </w:r>
      <w:r>
        <w:rPr>
          <w:spacing w:val="0"/>
          <w:w w:val="100"/>
          <w:kern w:val="0"/>
          <w:sz w:val="24"/>
        </w:rPr>
        <w:tab/>
        <w:t>Durante el festival anual Ziff el simposio SARA organiza talleres para niños en edad escolar (y niños que no están escolarizados).  Al menos dos niños regresan a la escuela cada año.</w:t>
      </w:r>
    </w:p>
    <w:p w:rsidR="00000000" w:rsidRDefault="00000000">
      <w:pPr>
        <w:pStyle w:val="H23"/>
        <w:keepNext w:val="0"/>
        <w:keepLines w:val="0"/>
        <w:suppressAutoHyphens w:val="0"/>
        <w:spacing w:after="240" w:line="240" w:lineRule="auto"/>
        <w:outlineLvl w:val="9"/>
        <w:rPr>
          <w:bCs/>
          <w:spacing w:val="0"/>
          <w:w w:val="100"/>
          <w:kern w:val="0"/>
          <w:sz w:val="24"/>
        </w:rPr>
      </w:pPr>
      <w:r>
        <w:rPr>
          <w:bCs/>
          <w:spacing w:val="0"/>
          <w:w w:val="100"/>
          <w:kern w:val="0"/>
          <w:sz w:val="24"/>
        </w:rPr>
        <w:t>Uso indebido de drogas (artículo 33)</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275.</w:t>
      </w:r>
      <w:r>
        <w:rPr>
          <w:spacing w:val="0"/>
          <w:w w:val="100"/>
          <w:kern w:val="0"/>
          <w:sz w:val="24"/>
        </w:rPr>
        <w:tab/>
        <w:t>El problema del uso indebido de drogas está cada vez más extendido entre los jóvenes y los estudiantes de Tanzanía.  La Comisión para la Fiscalización de Drogas, como parte de una iniciativa para luchar contra esta amenaza, ha lanzado amplias campañas de sensibilización de la opinión pública para paliar el problema.  Las ca</w:t>
      </w:r>
      <w:r>
        <w:rPr>
          <w:spacing w:val="0"/>
          <w:w w:val="100"/>
          <w:kern w:val="0"/>
          <w:sz w:val="24"/>
        </w:rPr>
        <w:t>m</w:t>
      </w:r>
      <w:r>
        <w:rPr>
          <w:spacing w:val="0"/>
          <w:w w:val="100"/>
          <w:kern w:val="0"/>
          <w:sz w:val="24"/>
        </w:rPr>
        <w:t>pañas de sensibilización se hacen coincidir con fechas señaladas, nacionales o inte</w:t>
      </w:r>
      <w:r>
        <w:rPr>
          <w:spacing w:val="0"/>
          <w:w w:val="100"/>
          <w:kern w:val="0"/>
          <w:sz w:val="24"/>
        </w:rPr>
        <w:t>r</w:t>
      </w:r>
      <w:r>
        <w:rPr>
          <w:spacing w:val="0"/>
          <w:w w:val="100"/>
          <w:kern w:val="0"/>
          <w:sz w:val="24"/>
        </w:rPr>
        <w:t>nacionales, como el Día Internacional de la Mujer, el Día del Niño Africano, el Día Nane Nane (Día nacional del agricultor) y el Día Internacional de la lucha contra el uso indebido y el tráfico de drogas.  Asimismo, la Comisión organiza cursos práct</w:t>
      </w:r>
      <w:r>
        <w:rPr>
          <w:spacing w:val="0"/>
          <w:w w:val="100"/>
          <w:kern w:val="0"/>
          <w:sz w:val="24"/>
        </w:rPr>
        <w:t>i</w:t>
      </w:r>
      <w:r>
        <w:rPr>
          <w:spacing w:val="0"/>
          <w:w w:val="100"/>
          <w:kern w:val="0"/>
          <w:sz w:val="24"/>
        </w:rPr>
        <w:t>cos de capacitación para profesores, personal de los medios de comunicación, arti</w:t>
      </w:r>
      <w:r>
        <w:rPr>
          <w:spacing w:val="0"/>
          <w:w w:val="100"/>
          <w:kern w:val="0"/>
          <w:sz w:val="24"/>
        </w:rPr>
        <w:t>s</w:t>
      </w:r>
      <w:r>
        <w:rPr>
          <w:spacing w:val="0"/>
          <w:w w:val="100"/>
          <w:kern w:val="0"/>
          <w:sz w:val="24"/>
        </w:rPr>
        <w:t>tas y dirigentes de la comunidad.  El Gobierno ha promulgado una ley por la que se prohíbe fumar cigarrillos en lug</w:t>
      </w:r>
      <w:r>
        <w:rPr>
          <w:spacing w:val="0"/>
          <w:w w:val="100"/>
          <w:kern w:val="0"/>
          <w:sz w:val="24"/>
        </w:rPr>
        <w:t>a</w:t>
      </w:r>
      <w:r>
        <w:rPr>
          <w:spacing w:val="0"/>
          <w:w w:val="100"/>
          <w:kern w:val="0"/>
          <w:sz w:val="24"/>
        </w:rPr>
        <w:t>res públicos y la publicidad que lo fomenta.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276.</w:t>
      </w:r>
      <w:r>
        <w:rPr>
          <w:spacing w:val="0"/>
          <w:w w:val="100"/>
          <w:kern w:val="0"/>
          <w:sz w:val="24"/>
        </w:rPr>
        <w:tab/>
        <w:t>En octubre de 2002, la Comisión Internacional contra la Droga, en colabor</w:t>
      </w:r>
      <w:r>
        <w:rPr>
          <w:spacing w:val="0"/>
          <w:w w:val="100"/>
          <w:kern w:val="0"/>
          <w:sz w:val="24"/>
        </w:rPr>
        <w:t>a</w:t>
      </w:r>
      <w:r>
        <w:rPr>
          <w:spacing w:val="0"/>
          <w:w w:val="100"/>
          <w:kern w:val="0"/>
          <w:sz w:val="24"/>
        </w:rPr>
        <w:t>ción con el Ayuntamiento de Dar es Salaam, introdujo un programa de tratamiento de toxicómanos en los centros de salud existentes.  En cada hospital hay un médico especial</w:t>
      </w:r>
      <w:r>
        <w:rPr>
          <w:spacing w:val="0"/>
          <w:w w:val="100"/>
          <w:kern w:val="0"/>
          <w:sz w:val="24"/>
        </w:rPr>
        <w:t>i</w:t>
      </w:r>
      <w:r>
        <w:rPr>
          <w:spacing w:val="0"/>
          <w:w w:val="100"/>
          <w:kern w:val="0"/>
          <w:sz w:val="24"/>
        </w:rPr>
        <w:t>zado en esta labor.</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277.</w:t>
      </w:r>
      <w:r>
        <w:rPr>
          <w:spacing w:val="0"/>
          <w:w w:val="100"/>
          <w:kern w:val="0"/>
          <w:sz w:val="24"/>
        </w:rPr>
        <w:tab/>
        <w:t>En Zanzíbar se ha establecido un departamento encargado de luchar contra el uso indebido de drogas y sustancias nocivas.  En la ciudad de Zanzíbar se registraron 173 víctimas en 2002, cifra superior a las de otros distritos de la isla.  La dependencia de lucha contra el uso indebido de drogas y sustancias nocivas ofrece asesoramiento y, cuando es preciso, remite los casos a las instituciones pertinentes.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278.</w:t>
      </w:r>
      <w:r>
        <w:rPr>
          <w:spacing w:val="0"/>
          <w:w w:val="100"/>
          <w:kern w:val="0"/>
          <w:sz w:val="24"/>
        </w:rPr>
        <w:tab/>
        <w:t>Se han establecido varias organizaciones privadas que se ocupan del problema del uso indebido de estupefacientes y sustancias psicotrópicas por niños y jóvenes.  Entre ellas figuran el Foro de la juventud de Zanzíbar, la Asociación de apoyo a la juventud, la educación, el medio ambiente y el desarrollo de Zanzíbar y la Asoci</w:t>
      </w:r>
      <w:r>
        <w:rPr>
          <w:spacing w:val="0"/>
          <w:w w:val="100"/>
          <w:kern w:val="0"/>
          <w:sz w:val="24"/>
        </w:rPr>
        <w:t>a</w:t>
      </w:r>
      <w:r>
        <w:rPr>
          <w:spacing w:val="0"/>
          <w:w w:val="100"/>
          <w:kern w:val="0"/>
          <w:sz w:val="24"/>
        </w:rPr>
        <w:t>ción para la información contra el uso indebido de las drogas y el alcohol de Zanz</w:t>
      </w:r>
      <w:r>
        <w:rPr>
          <w:spacing w:val="0"/>
          <w:w w:val="100"/>
          <w:kern w:val="0"/>
          <w:sz w:val="24"/>
        </w:rPr>
        <w:t>í</w:t>
      </w:r>
      <w:r>
        <w:rPr>
          <w:spacing w:val="0"/>
          <w:w w:val="100"/>
          <w:kern w:val="0"/>
          <w:sz w:val="24"/>
        </w:rPr>
        <w:t>bar.  Se han empezado a construir centros de rehabilitación para niños mentalmente retrasados por iniciativa del Foro para la juventud de Zanzíbar y la asociación de hospitales psiquiátricos públicos.</w:t>
      </w:r>
    </w:p>
    <w:p w:rsidR="00000000" w:rsidRDefault="00000000">
      <w:pPr>
        <w:pStyle w:val="H23"/>
        <w:keepNext w:val="0"/>
        <w:keepLines w:val="0"/>
        <w:suppressAutoHyphens w:val="0"/>
        <w:spacing w:after="240" w:line="240" w:lineRule="auto"/>
        <w:outlineLvl w:val="9"/>
        <w:rPr>
          <w:bCs/>
          <w:spacing w:val="0"/>
          <w:w w:val="100"/>
          <w:kern w:val="0"/>
          <w:sz w:val="24"/>
        </w:rPr>
      </w:pPr>
      <w:r>
        <w:rPr>
          <w:b w:val="0"/>
          <w:spacing w:val="0"/>
          <w:w w:val="100"/>
          <w:kern w:val="0"/>
          <w:sz w:val="24"/>
        </w:rPr>
        <w:tab/>
      </w:r>
      <w:r>
        <w:rPr>
          <w:bCs/>
          <w:spacing w:val="0"/>
          <w:w w:val="100"/>
          <w:kern w:val="0"/>
          <w:sz w:val="24"/>
        </w:rPr>
        <w:t>Malos tratos a menores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279.</w:t>
      </w:r>
      <w:r>
        <w:rPr>
          <w:spacing w:val="0"/>
          <w:w w:val="100"/>
          <w:kern w:val="0"/>
          <w:sz w:val="24"/>
        </w:rPr>
        <w:tab/>
        <w:t>El proyecto de ley de la infancia adoptará una definición de los malos tratos a menores que incluya toda forma de menoscabo al bienestar de un menor, en particular los malos tratos físicos y emocionales, el abuso sexual y el abandono.  Mientras tanto, los casos de malos tratos a menores son cada vez más frecuentes en la sociedad de Tanzanía.  Algunos grupos y asociaciones comunitarios, como la Asociación de muj</w:t>
      </w:r>
      <w:r>
        <w:rPr>
          <w:spacing w:val="0"/>
          <w:w w:val="100"/>
          <w:kern w:val="0"/>
          <w:sz w:val="24"/>
        </w:rPr>
        <w:t>e</w:t>
      </w:r>
      <w:r>
        <w:rPr>
          <w:spacing w:val="0"/>
          <w:w w:val="100"/>
          <w:kern w:val="0"/>
          <w:sz w:val="24"/>
        </w:rPr>
        <w:t>res periodistas de Tanzanía y KIWOHEDE, han denunciado el maltrato a menores y abogado por su eliminación, pero se trata de iniciativas aisladas.</w:t>
      </w:r>
    </w:p>
    <w:p w:rsidR="00000000" w:rsidRDefault="00000000">
      <w:pPr>
        <w:pStyle w:val="H23"/>
        <w:keepNext w:val="0"/>
        <w:keepLines w:val="0"/>
        <w:suppressAutoHyphens w:val="0"/>
        <w:spacing w:after="240" w:line="240" w:lineRule="auto"/>
        <w:outlineLvl w:val="9"/>
        <w:rPr>
          <w:bCs/>
          <w:spacing w:val="0"/>
          <w:w w:val="100"/>
          <w:kern w:val="0"/>
          <w:sz w:val="24"/>
        </w:rPr>
      </w:pPr>
      <w:r>
        <w:rPr>
          <w:b w:val="0"/>
          <w:spacing w:val="0"/>
          <w:w w:val="100"/>
          <w:kern w:val="0"/>
          <w:sz w:val="24"/>
        </w:rPr>
        <w:tab/>
      </w:r>
      <w:r>
        <w:rPr>
          <w:bCs/>
          <w:spacing w:val="0"/>
          <w:w w:val="100"/>
          <w:kern w:val="0"/>
          <w:sz w:val="24"/>
        </w:rPr>
        <w:t>Protección de los niños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280.</w:t>
      </w:r>
      <w:r>
        <w:rPr>
          <w:spacing w:val="0"/>
          <w:w w:val="100"/>
          <w:kern w:val="0"/>
          <w:sz w:val="24"/>
        </w:rPr>
        <w:tab/>
        <w:t>Varias ONG imparten formación profesional a niños para que puedan ser autosuficientes. Estas organizaciones ofrecen programas que tienen como fin impartir a las niñas conocimientos prácticos y ofrecerles la oportunidad de realizar actividades remunerativas en los centros y en la comun</w:t>
      </w:r>
      <w:r>
        <w:rPr>
          <w:spacing w:val="0"/>
          <w:w w:val="100"/>
          <w:kern w:val="0"/>
          <w:sz w:val="24"/>
        </w:rPr>
        <w:t>i</w:t>
      </w:r>
      <w:r>
        <w:rPr>
          <w:spacing w:val="0"/>
          <w:w w:val="100"/>
          <w:kern w:val="0"/>
          <w:sz w:val="24"/>
        </w:rPr>
        <w:t>dad.  Entre las actividades que llevan a cabo estas ONG f</w:t>
      </w:r>
      <w:r>
        <w:rPr>
          <w:spacing w:val="0"/>
          <w:w w:val="100"/>
          <w:kern w:val="0"/>
          <w:sz w:val="24"/>
        </w:rPr>
        <w:t>i</w:t>
      </w:r>
      <w:r>
        <w:rPr>
          <w:spacing w:val="0"/>
          <w:w w:val="100"/>
          <w:kern w:val="0"/>
          <w:sz w:val="24"/>
        </w:rPr>
        <w:t>guran:</w:t>
      </w:r>
    </w:p>
    <w:p w:rsidR="00000000" w:rsidRDefault="00000000">
      <w:pPr>
        <w:pStyle w:val="SingleTxt"/>
        <w:numPr>
          <w:ilvl w:val="0"/>
          <w:numId w:val="84"/>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924" w:right="0" w:hanging="357"/>
        <w:jc w:val="left"/>
        <w:rPr>
          <w:spacing w:val="0"/>
          <w:w w:val="100"/>
          <w:kern w:val="0"/>
          <w:sz w:val="24"/>
        </w:rPr>
      </w:pPr>
      <w:r>
        <w:rPr>
          <w:spacing w:val="0"/>
          <w:w w:val="100"/>
          <w:kern w:val="0"/>
          <w:sz w:val="24"/>
        </w:rPr>
        <w:t>Asesoramiento, fortalecimiento de la autoestima, prevención del VIH/SIDA;</w:t>
      </w:r>
    </w:p>
    <w:p w:rsidR="00000000" w:rsidRDefault="00000000">
      <w:pPr>
        <w:pStyle w:val="SingleTxt"/>
        <w:numPr>
          <w:ilvl w:val="0"/>
          <w:numId w:val="84"/>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924" w:right="0" w:hanging="357"/>
        <w:jc w:val="left"/>
        <w:rPr>
          <w:spacing w:val="0"/>
          <w:w w:val="100"/>
          <w:kern w:val="0"/>
          <w:sz w:val="24"/>
        </w:rPr>
      </w:pPr>
      <w:r>
        <w:rPr>
          <w:spacing w:val="0"/>
          <w:w w:val="100"/>
          <w:kern w:val="0"/>
          <w:sz w:val="24"/>
        </w:rPr>
        <w:t>Enseñanza extraescolar para quienes se ven obligados a abandonar los estudios por diferentes motivos;</w:t>
      </w:r>
    </w:p>
    <w:p w:rsidR="00000000" w:rsidRDefault="00000000">
      <w:pPr>
        <w:pStyle w:val="SingleTxt"/>
        <w:numPr>
          <w:ilvl w:val="0"/>
          <w:numId w:val="84"/>
        </w:numPr>
        <w:tabs>
          <w:tab w:val="clear" w:pos="720"/>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924" w:right="0" w:hanging="357"/>
        <w:jc w:val="left"/>
        <w:rPr>
          <w:spacing w:val="0"/>
          <w:w w:val="100"/>
          <w:kern w:val="0"/>
          <w:sz w:val="24"/>
        </w:rPr>
      </w:pPr>
      <w:r>
        <w:rPr>
          <w:spacing w:val="0"/>
          <w:w w:val="100"/>
          <w:kern w:val="0"/>
          <w:sz w:val="24"/>
        </w:rPr>
        <w:t xml:space="preserve">Formación profesional que ofrece cursos de costura, batik, teatro, artesanía y cocina.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281.</w:t>
      </w:r>
      <w:r>
        <w:rPr>
          <w:spacing w:val="0"/>
          <w:w w:val="100"/>
          <w:kern w:val="0"/>
          <w:sz w:val="24"/>
        </w:rPr>
        <w:tab/>
        <w:t>En el artículo 156 del Decreto penal de Zanzíbar se prohíbe estrictamente comprar, vender o cambiar a un ser humano por dinero u otra compensación.  Const</w:t>
      </w:r>
      <w:r>
        <w:rPr>
          <w:spacing w:val="0"/>
          <w:w w:val="100"/>
          <w:kern w:val="0"/>
          <w:sz w:val="24"/>
        </w:rPr>
        <w:t>i</w:t>
      </w:r>
      <w:r>
        <w:rPr>
          <w:spacing w:val="0"/>
          <w:w w:val="100"/>
          <w:kern w:val="0"/>
          <w:sz w:val="24"/>
        </w:rPr>
        <w:t>tuye también delito ayudar a un menor a viajar al extranjero o realizar las gestiones necesarias para ello, obtener una declaración jurada de una mujer embarazada por la que consienta en dar a su hijo no nato en adopción, inscribir nacimientos con la i</w:t>
      </w:r>
      <w:r>
        <w:rPr>
          <w:spacing w:val="0"/>
          <w:w w:val="100"/>
          <w:kern w:val="0"/>
          <w:sz w:val="24"/>
        </w:rPr>
        <w:t>n</w:t>
      </w:r>
      <w:r>
        <w:rPr>
          <w:spacing w:val="0"/>
          <w:w w:val="100"/>
          <w:kern w:val="0"/>
          <w:sz w:val="24"/>
        </w:rPr>
        <w:t>tención de falsificar certificados o registros de nacimiento y suplantar la identidad de la m</w:t>
      </w:r>
      <w:r>
        <w:rPr>
          <w:spacing w:val="0"/>
          <w:w w:val="100"/>
          <w:kern w:val="0"/>
          <w:sz w:val="24"/>
        </w:rPr>
        <w:t>a</w:t>
      </w:r>
      <w:r>
        <w:rPr>
          <w:spacing w:val="0"/>
          <w:w w:val="100"/>
          <w:kern w:val="0"/>
          <w:sz w:val="24"/>
        </w:rPr>
        <w:t>dre o asistente.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282.</w:t>
      </w:r>
      <w:r>
        <w:rPr>
          <w:spacing w:val="0"/>
          <w:w w:val="100"/>
          <w:kern w:val="0"/>
          <w:sz w:val="24"/>
        </w:rPr>
        <w:tab/>
        <w:t>El secuestro de menores es un delito.  Con arreglo al artículo 123 del Decreto penal, es delito apartar por medios ilícitos a una niña soltera de la custodia o prote</w:t>
      </w:r>
      <w:r>
        <w:rPr>
          <w:spacing w:val="0"/>
          <w:w w:val="100"/>
          <w:kern w:val="0"/>
          <w:sz w:val="24"/>
        </w:rPr>
        <w:t>c</w:t>
      </w:r>
      <w:r>
        <w:rPr>
          <w:spacing w:val="0"/>
          <w:w w:val="100"/>
          <w:kern w:val="0"/>
          <w:sz w:val="24"/>
        </w:rPr>
        <w:t>ción de sus progenitores o tutores legítimos.  Toda persona que se confiese culpable de un delito tipificado en el citado artículo podrá ser sancionada con una pena de privación de libertad de tres años.  Estas disposiciones se ajustan a lo estipulado en el artículo 35 de la Conve</w:t>
      </w:r>
      <w:r>
        <w:rPr>
          <w:spacing w:val="0"/>
          <w:w w:val="100"/>
          <w:kern w:val="0"/>
          <w:sz w:val="24"/>
        </w:rPr>
        <w:t>n</w:t>
      </w:r>
      <w:r>
        <w:rPr>
          <w:spacing w:val="0"/>
          <w:w w:val="100"/>
          <w:kern w:val="0"/>
          <w:sz w:val="24"/>
        </w:rPr>
        <w:t>ción sobre los Derechos del Niño.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283.</w:t>
      </w:r>
      <w:r>
        <w:rPr>
          <w:spacing w:val="0"/>
          <w:w w:val="100"/>
          <w:kern w:val="0"/>
          <w:sz w:val="24"/>
        </w:rPr>
        <w:tab/>
        <w:t>La explotación sexual de un menor está estrictamente prohibida en la Política para la supervivencia, la protección y el desarrollo del niño, supervisada por el Ministerio de Empleo Juvenil, Asuntos de la Mujer y Desarrollo del Niño.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284.</w:t>
      </w:r>
      <w:r>
        <w:rPr>
          <w:spacing w:val="0"/>
          <w:w w:val="100"/>
          <w:kern w:val="0"/>
          <w:sz w:val="24"/>
        </w:rPr>
        <w:tab/>
        <w:t>En Televisión Zanzíbar y Radio Zanzíbar se están emitiendo programas para informar a la opinión pública sobre las peores formas de trabajo infantil.  Los peri</w:t>
      </w:r>
      <w:r>
        <w:rPr>
          <w:spacing w:val="0"/>
          <w:w w:val="100"/>
          <w:kern w:val="0"/>
          <w:sz w:val="24"/>
        </w:rPr>
        <w:t>ó</w:t>
      </w:r>
      <w:r>
        <w:rPr>
          <w:spacing w:val="0"/>
          <w:w w:val="100"/>
          <w:kern w:val="0"/>
          <w:sz w:val="24"/>
        </w:rPr>
        <w:t xml:space="preserve">dicos, en especial </w:t>
      </w:r>
      <w:r>
        <w:rPr>
          <w:i/>
          <w:iCs/>
          <w:spacing w:val="0"/>
          <w:w w:val="100"/>
          <w:kern w:val="0"/>
          <w:sz w:val="24"/>
        </w:rPr>
        <w:t xml:space="preserve">Zanzibar Leo </w:t>
      </w:r>
      <w:r>
        <w:rPr>
          <w:spacing w:val="0"/>
          <w:w w:val="100"/>
          <w:kern w:val="0"/>
          <w:sz w:val="24"/>
        </w:rPr>
        <w:t xml:space="preserve">y el boletín </w:t>
      </w:r>
      <w:r>
        <w:rPr>
          <w:i/>
          <w:iCs/>
          <w:spacing w:val="0"/>
          <w:w w:val="100"/>
          <w:kern w:val="0"/>
          <w:sz w:val="24"/>
        </w:rPr>
        <w:t>Sauri ya Watoto</w:t>
      </w:r>
      <w:r>
        <w:rPr>
          <w:spacing w:val="0"/>
          <w:w w:val="100"/>
          <w:kern w:val="0"/>
          <w:sz w:val="24"/>
        </w:rPr>
        <w:t>, hacen especial hinc</w:t>
      </w:r>
      <w:r>
        <w:rPr>
          <w:spacing w:val="0"/>
          <w:w w:val="100"/>
          <w:kern w:val="0"/>
          <w:sz w:val="24"/>
        </w:rPr>
        <w:t>a</w:t>
      </w:r>
      <w:r>
        <w:rPr>
          <w:spacing w:val="0"/>
          <w:w w:val="100"/>
          <w:kern w:val="0"/>
          <w:sz w:val="24"/>
        </w:rPr>
        <w:t>pié en la divulgación de información sobre los derechos del niño y alertan en part</w:t>
      </w:r>
      <w:r>
        <w:rPr>
          <w:spacing w:val="0"/>
          <w:w w:val="100"/>
          <w:kern w:val="0"/>
          <w:sz w:val="24"/>
        </w:rPr>
        <w:t>i</w:t>
      </w:r>
      <w:r>
        <w:rPr>
          <w:spacing w:val="0"/>
          <w:w w:val="100"/>
          <w:kern w:val="0"/>
          <w:sz w:val="24"/>
        </w:rPr>
        <w:t xml:space="preserve">cular contra las peores formas de trabajo infantil.  </w:t>
      </w:r>
      <w:r>
        <w:rPr>
          <w:i/>
          <w:iCs/>
          <w:spacing w:val="0"/>
          <w:w w:val="100"/>
          <w:kern w:val="0"/>
          <w:sz w:val="24"/>
        </w:rPr>
        <w:t>Zanzibar Leo</w:t>
      </w:r>
      <w:r>
        <w:rPr>
          <w:spacing w:val="0"/>
          <w:w w:val="100"/>
          <w:kern w:val="0"/>
          <w:sz w:val="24"/>
        </w:rPr>
        <w:t xml:space="preserve"> y Radio Zanzíbar dieron c</w:t>
      </w:r>
      <w:r>
        <w:rPr>
          <w:spacing w:val="0"/>
          <w:w w:val="100"/>
          <w:kern w:val="0"/>
          <w:sz w:val="24"/>
        </w:rPr>
        <w:t>o</w:t>
      </w:r>
      <w:r>
        <w:rPr>
          <w:spacing w:val="0"/>
          <w:w w:val="100"/>
          <w:kern w:val="0"/>
          <w:sz w:val="24"/>
        </w:rPr>
        <w:t>bertura a casi nueve temas sólo en 2003.</w:t>
      </w:r>
    </w:p>
    <w:p w:rsidR="00000000" w:rsidRDefault="00000000">
      <w:pPr>
        <w:pStyle w:val="H23"/>
        <w:keepNext w:val="0"/>
        <w:keepLines w:val="0"/>
        <w:suppressAutoHyphens w:val="0"/>
        <w:spacing w:after="240" w:line="240" w:lineRule="auto"/>
        <w:outlineLvl w:val="9"/>
        <w:rPr>
          <w:bCs/>
          <w:spacing w:val="0"/>
          <w:w w:val="100"/>
          <w:kern w:val="0"/>
          <w:sz w:val="24"/>
        </w:rPr>
      </w:pPr>
      <w:r>
        <w:rPr>
          <w:bCs/>
          <w:spacing w:val="0"/>
          <w:w w:val="100"/>
          <w:kern w:val="0"/>
          <w:sz w:val="24"/>
        </w:rPr>
        <w:t>Explotación y abuso sexuales (artículo 34)</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285.</w:t>
      </w:r>
      <w:r>
        <w:rPr>
          <w:spacing w:val="0"/>
          <w:w w:val="100"/>
          <w:kern w:val="0"/>
          <w:sz w:val="24"/>
        </w:rPr>
        <w:tab/>
        <w:t>De acuerdo con los resultados de una evaluación rápida realizada en Tanzanía en noviembre de 2001, el fenómeno de la prostitución infantil está experimentando un crecimiento rápido y constante y su expansión está pasando prácticamente de</w:t>
      </w:r>
      <w:r>
        <w:rPr>
          <w:spacing w:val="0"/>
          <w:w w:val="100"/>
          <w:kern w:val="0"/>
          <w:sz w:val="24"/>
        </w:rPr>
        <w:t>s</w:t>
      </w:r>
      <w:r>
        <w:rPr>
          <w:spacing w:val="0"/>
          <w:w w:val="100"/>
          <w:kern w:val="0"/>
          <w:sz w:val="24"/>
        </w:rPr>
        <w:t>apercibida.  Este fenómeno se da en muchos lugares del país y tiene mayor incidencia en las grandes ciudades y las principales paradas de camiones de las autopistas, do</w:t>
      </w:r>
      <w:r>
        <w:rPr>
          <w:spacing w:val="0"/>
          <w:w w:val="100"/>
          <w:kern w:val="0"/>
          <w:sz w:val="24"/>
        </w:rPr>
        <w:t>n</w:t>
      </w:r>
      <w:r>
        <w:rPr>
          <w:spacing w:val="0"/>
          <w:w w:val="100"/>
          <w:kern w:val="0"/>
          <w:sz w:val="24"/>
        </w:rPr>
        <w:t>de se centralizan muchas actividades estatales, administrativas, militares y comerci</w:t>
      </w:r>
      <w:r>
        <w:rPr>
          <w:spacing w:val="0"/>
          <w:w w:val="100"/>
          <w:kern w:val="0"/>
          <w:sz w:val="24"/>
        </w:rPr>
        <w:t>a</w:t>
      </w:r>
      <w:r>
        <w:rPr>
          <w:spacing w:val="0"/>
          <w:w w:val="100"/>
          <w:kern w:val="0"/>
          <w:sz w:val="24"/>
        </w:rPr>
        <w:t>les.  Un número considerable de niños de 10 a 17 años se dedican a la prostitución.  En la mayoría de los casos no tienen familia, tienen antecedentes penales por uso ind</w:t>
      </w:r>
      <w:r>
        <w:rPr>
          <w:spacing w:val="0"/>
          <w:w w:val="100"/>
          <w:kern w:val="0"/>
          <w:sz w:val="24"/>
        </w:rPr>
        <w:t>e</w:t>
      </w:r>
      <w:r>
        <w:rPr>
          <w:spacing w:val="0"/>
          <w:w w:val="100"/>
          <w:kern w:val="0"/>
          <w:sz w:val="24"/>
        </w:rPr>
        <w:t>bido de drogas, apenas están capacitados para integrarse en la sociedad y carecen de la orientación, el amor, el cariño y los cuidados de sus padres.  Según los resultados de las mencionadas evaluaciones, el problema de la prostitución es atribuible a la p</w:t>
      </w:r>
      <w:r>
        <w:rPr>
          <w:spacing w:val="0"/>
          <w:w w:val="100"/>
          <w:kern w:val="0"/>
          <w:sz w:val="24"/>
        </w:rPr>
        <w:t>o</w:t>
      </w:r>
      <w:r>
        <w:rPr>
          <w:spacing w:val="0"/>
          <w:w w:val="100"/>
          <w:kern w:val="0"/>
          <w:sz w:val="24"/>
        </w:rPr>
        <w:t>breza en general, las escasas oportunidades educativas, especialmente para las n</w:t>
      </w:r>
      <w:r>
        <w:rPr>
          <w:spacing w:val="0"/>
          <w:w w:val="100"/>
          <w:kern w:val="0"/>
          <w:sz w:val="24"/>
        </w:rPr>
        <w:t>i</w:t>
      </w:r>
      <w:r>
        <w:rPr>
          <w:spacing w:val="0"/>
          <w:w w:val="100"/>
          <w:kern w:val="0"/>
          <w:sz w:val="24"/>
        </w:rPr>
        <w:t>ñas, la urbanización y las prácticas culturales que favorecen los matrimonios a una edad temprana, a menudo forzados, que llevan a las jóvenes a huir de las aldeas a los ce</w:t>
      </w:r>
      <w:r>
        <w:rPr>
          <w:spacing w:val="0"/>
          <w:w w:val="100"/>
          <w:kern w:val="0"/>
          <w:sz w:val="24"/>
        </w:rPr>
        <w:t>n</w:t>
      </w:r>
      <w:r>
        <w:rPr>
          <w:spacing w:val="0"/>
          <w:w w:val="100"/>
          <w:kern w:val="0"/>
          <w:sz w:val="24"/>
        </w:rPr>
        <w:t>tros urbanos.  Otra causa es la preferencia de los varones adultos por las niñas, que suponen que no están contagiadas por el VIH/SIDA.  Una encuesta realizada en 2001 en nueve localidades del distrito de Kinondoni, Dar es Salaam, reveló que entre 450 y 500 niños se d</w:t>
      </w:r>
      <w:r>
        <w:rPr>
          <w:spacing w:val="0"/>
          <w:w w:val="100"/>
          <w:kern w:val="0"/>
          <w:sz w:val="24"/>
        </w:rPr>
        <w:t>e</w:t>
      </w:r>
      <w:r>
        <w:rPr>
          <w:spacing w:val="0"/>
          <w:w w:val="100"/>
          <w:kern w:val="0"/>
          <w:sz w:val="24"/>
        </w:rPr>
        <w:t>dican a la prostitución.</w:t>
      </w:r>
    </w:p>
    <w:p w:rsidR="00000000" w:rsidRDefault="00000000">
      <w:pPr>
        <w:pStyle w:val="H23"/>
        <w:keepNext w:val="0"/>
        <w:keepLines w:val="0"/>
        <w:suppressAutoHyphens w:val="0"/>
        <w:spacing w:after="240" w:line="240" w:lineRule="auto"/>
        <w:outlineLvl w:val="9"/>
        <w:rPr>
          <w:bCs/>
          <w:spacing w:val="0"/>
          <w:w w:val="100"/>
          <w:kern w:val="0"/>
          <w:sz w:val="24"/>
        </w:rPr>
      </w:pPr>
      <w:r>
        <w:rPr>
          <w:b w:val="0"/>
          <w:spacing w:val="0"/>
          <w:w w:val="100"/>
          <w:kern w:val="0"/>
          <w:sz w:val="24"/>
        </w:rPr>
        <w:tab/>
      </w:r>
      <w:r>
        <w:rPr>
          <w:bCs/>
          <w:spacing w:val="0"/>
          <w:w w:val="100"/>
          <w:kern w:val="0"/>
          <w:sz w:val="24"/>
        </w:rPr>
        <w:t>Segundo Congreso Mundial contra la Explotación Sexual Comercial de los Niños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286.</w:t>
      </w:r>
      <w:r>
        <w:rPr>
          <w:spacing w:val="0"/>
          <w:w w:val="100"/>
          <w:kern w:val="0"/>
          <w:sz w:val="24"/>
        </w:rPr>
        <w:tab/>
        <w:t>El Segundo Congreso Mundial contra la Explotación Sexual Comercial de los Niños se celebró en Yokohama (Japón) del 17 al 20 de diciembre de 2001, el Primer Congreso Mundial del mismo nombre se había, celebrado en Estocolmo (Suecia) en agosto de 1996.  El Gobierno de la República Unida de Tanzanía participó en el Congreso de Yokohama.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287.</w:t>
      </w:r>
      <w:r>
        <w:rPr>
          <w:spacing w:val="0"/>
          <w:w w:val="100"/>
          <w:kern w:val="0"/>
          <w:sz w:val="24"/>
        </w:rPr>
        <w:tab/>
        <w:t>El Gobierno de Tanzanía aprobó el Compromiso Mundial de Yokohama de 2001 para proteger a los niños de la explotación sexual.  Para poner en práctica el Compromiso se inició un programa con plazos de ejecución para luchar contra las peores formas de trabajo infantil, en particular la prostitución.  La primera fase del programa consiste en prestar apoyo a la creación de un entorno normativo propicio que permita eliminar las peores formas de trabajo infantil.  Parte de la estrategia de creación de un entorno propicio consiste en apoyar la elaboración y ejecución de programas de educación complementaria, la reducción de la pobreza, la creación de puestos de trabajo para adultos y la adopción de políticas en materia de salud, e</w:t>
      </w:r>
      <w:r>
        <w:rPr>
          <w:spacing w:val="0"/>
          <w:w w:val="100"/>
          <w:kern w:val="0"/>
          <w:sz w:val="24"/>
        </w:rPr>
        <w:t>n</w:t>
      </w:r>
      <w:r>
        <w:rPr>
          <w:spacing w:val="0"/>
          <w:w w:val="100"/>
          <w:kern w:val="0"/>
          <w:sz w:val="24"/>
        </w:rPr>
        <w:t>tre otras cosas.  En una segunda fase, se llevarán a cabo intervenciones selectivas d</w:t>
      </w:r>
      <w:r>
        <w:rPr>
          <w:spacing w:val="0"/>
          <w:w w:val="100"/>
          <w:kern w:val="0"/>
          <w:sz w:val="24"/>
        </w:rPr>
        <w:t>i</w:t>
      </w:r>
      <w:r>
        <w:rPr>
          <w:spacing w:val="0"/>
          <w:w w:val="100"/>
          <w:kern w:val="0"/>
          <w:sz w:val="24"/>
        </w:rPr>
        <w:t>rigidas a los grupos de niños más vulnerables a nivel de distrito.  Al menos 5.000 n</w:t>
      </w:r>
      <w:r>
        <w:rPr>
          <w:spacing w:val="0"/>
          <w:w w:val="100"/>
          <w:kern w:val="0"/>
          <w:sz w:val="24"/>
        </w:rPr>
        <w:t>i</w:t>
      </w:r>
      <w:r>
        <w:rPr>
          <w:spacing w:val="0"/>
          <w:w w:val="100"/>
          <w:kern w:val="0"/>
          <w:sz w:val="24"/>
        </w:rPr>
        <w:t>ños que ejercen la prostitución en 11 distritos de Tanzanía se beneficiarán del pr</w:t>
      </w:r>
      <w:r>
        <w:rPr>
          <w:spacing w:val="0"/>
          <w:w w:val="100"/>
          <w:kern w:val="0"/>
          <w:sz w:val="24"/>
        </w:rPr>
        <w:t>o</w:t>
      </w:r>
      <w:r>
        <w:rPr>
          <w:spacing w:val="0"/>
          <w:w w:val="100"/>
          <w:kern w:val="0"/>
          <w:sz w:val="24"/>
        </w:rPr>
        <w:t>grama, que también evitará que un número aún mayor de niños se dedique a la pro</w:t>
      </w:r>
      <w:r>
        <w:rPr>
          <w:spacing w:val="0"/>
          <w:w w:val="100"/>
          <w:kern w:val="0"/>
          <w:sz w:val="24"/>
        </w:rPr>
        <w:t>s</w:t>
      </w:r>
      <w:r>
        <w:rPr>
          <w:spacing w:val="0"/>
          <w:w w:val="100"/>
          <w:kern w:val="0"/>
          <w:sz w:val="24"/>
        </w:rPr>
        <w:t>titución u otras de las peores formas de trabajo infantil.  En total estas intervenciones directas, beneficiarían a más de 30.000 niños de Tanzanía.  La experiencia adquirida servirá de base para adoptar medidas más amplias encaminadas a eliminar por co</w:t>
      </w:r>
      <w:r>
        <w:rPr>
          <w:spacing w:val="0"/>
          <w:w w:val="100"/>
          <w:kern w:val="0"/>
          <w:sz w:val="24"/>
        </w:rPr>
        <w:t>m</w:t>
      </w:r>
      <w:r>
        <w:rPr>
          <w:spacing w:val="0"/>
          <w:w w:val="100"/>
          <w:kern w:val="0"/>
          <w:sz w:val="24"/>
        </w:rPr>
        <w:t>pleto el problema p</w:t>
      </w:r>
      <w:r>
        <w:rPr>
          <w:spacing w:val="0"/>
          <w:w w:val="100"/>
          <w:kern w:val="0"/>
          <w:sz w:val="24"/>
        </w:rPr>
        <w:t>a</w:t>
      </w:r>
      <w:r>
        <w:rPr>
          <w:spacing w:val="0"/>
          <w:w w:val="100"/>
          <w:kern w:val="0"/>
          <w:sz w:val="24"/>
        </w:rPr>
        <w:t>ra el año 2010.</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288.</w:t>
      </w:r>
      <w:r>
        <w:rPr>
          <w:spacing w:val="0"/>
          <w:w w:val="100"/>
          <w:kern w:val="0"/>
          <w:sz w:val="24"/>
        </w:rPr>
        <w:tab/>
        <w:t>El artículo 19 de la Convención sobre los Derechos del Niño dispone que los Estados Partes, entre otras cosas, adoptarán las medidas legislativas apropiadas para proteger a los niños contra toda forma de perjuicio o abuso, incluido el abuso s</w:t>
      </w:r>
      <w:r>
        <w:rPr>
          <w:spacing w:val="0"/>
          <w:w w:val="100"/>
          <w:kern w:val="0"/>
          <w:sz w:val="24"/>
        </w:rPr>
        <w:t>e</w:t>
      </w:r>
      <w:r>
        <w:rPr>
          <w:spacing w:val="0"/>
          <w:w w:val="100"/>
          <w:kern w:val="0"/>
          <w:sz w:val="24"/>
        </w:rPr>
        <w:t>xual.  Asimismo, en el artículo 34 de la Convención los Estados Partes se comprom</w:t>
      </w:r>
      <w:r>
        <w:rPr>
          <w:spacing w:val="0"/>
          <w:w w:val="100"/>
          <w:kern w:val="0"/>
          <w:sz w:val="24"/>
        </w:rPr>
        <w:t>e</w:t>
      </w:r>
      <w:r>
        <w:rPr>
          <w:spacing w:val="0"/>
          <w:w w:val="100"/>
          <w:kern w:val="0"/>
          <w:sz w:val="24"/>
        </w:rPr>
        <w:t>ten a proteger al niño contra todas las formas de abuso.  Lo estipulado en estos art</w:t>
      </w:r>
      <w:r>
        <w:rPr>
          <w:spacing w:val="0"/>
          <w:w w:val="100"/>
          <w:kern w:val="0"/>
          <w:sz w:val="24"/>
        </w:rPr>
        <w:t>í</w:t>
      </w:r>
      <w:r>
        <w:rPr>
          <w:spacing w:val="0"/>
          <w:w w:val="100"/>
          <w:kern w:val="0"/>
          <w:sz w:val="24"/>
        </w:rPr>
        <w:t>culos se ha incorporado ampliamente a la legislación nacional con la promulg</w:t>
      </w:r>
      <w:r>
        <w:rPr>
          <w:spacing w:val="0"/>
          <w:w w:val="100"/>
          <w:kern w:val="0"/>
          <w:sz w:val="24"/>
        </w:rPr>
        <w:t>a</w:t>
      </w:r>
      <w:r>
        <w:rPr>
          <w:spacing w:val="0"/>
          <w:w w:val="100"/>
          <w:kern w:val="0"/>
          <w:sz w:val="24"/>
        </w:rPr>
        <w:t>ción de la Ley sobre delitos sexuales (disposiciones especiales) de 1998 y el cap</w:t>
      </w:r>
      <w:r>
        <w:rPr>
          <w:spacing w:val="0"/>
          <w:w w:val="100"/>
          <w:kern w:val="0"/>
          <w:sz w:val="24"/>
        </w:rPr>
        <w:t>í</w:t>
      </w:r>
      <w:r>
        <w:rPr>
          <w:spacing w:val="0"/>
          <w:w w:val="100"/>
          <w:kern w:val="0"/>
          <w:sz w:val="24"/>
        </w:rPr>
        <w:t>tulo 13 del Decreto penal (1986) de Zanzíbar.  En la Ley sobre delitos sexuales (disposici</w:t>
      </w:r>
      <w:r>
        <w:rPr>
          <w:spacing w:val="0"/>
          <w:w w:val="100"/>
          <w:kern w:val="0"/>
          <w:sz w:val="24"/>
        </w:rPr>
        <w:t>o</w:t>
      </w:r>
      <w:r>
        <w:rPr>
          <w:spacing w:val="0"/>
          <w:w w:val="100"/>
          <w:kern w:val="0"/>
          <w:sz w:val="24"/>
        </w:rPr>
        <w:t>nes especiales) se establece la mayoría de edad penal en los 18 años en Ta</w:t>
      </w:r>
      <w:r>
        <w:rPr>
          <w:spacing w:val="0"/>
          <w:w w:val="100"/>
          <w:kern w:val="0"/>
          <w:sz w:val="24"/>
        </w:rPr>
        <w:t>n</w:t>
      </w:r>
      <w:r>
        <w:rPr>
          <w:spacing w:val="0"/>
          <w:w w:val="100"/>
          <w:kern w:val="0"/>
          <w:sz w:val="24"/>
        </w:rPr>
        <w:t>zanía continental.  La definición de violación se ha ampliado de forma que incluye las r</w:t>
      </w:r>
      <w:r>
        <w:rPr>
          <w:spacing w:val="0"/>
          <w:w w:val="100"/>
          <w:kern w:val="0"/>
          <w:sz w:val="24"/>
        </w:rPr>
        <w:t>e</w:t>
      </w:r>
      <w:r>
        <w:rPr>
          <w:spacing w:val="0"/>
          <w:w w:val="100"/>
          <w:kern w:val="0"/>
          <w:sz w:val="24"/>
        </w:rPr>
        <w:t>laciones sexuales con una menor de 18 años, con o sin su consentimiento, a menos que el hombre se case con ella.  El artículo 125 del Decreto penal y la Ley sobre d</w:t>
      </w:r>
      <w:r>
        <w:rPr>
          <w:spacing w:val="0"/>
          <w:w w:val="100"/>
          <w:kern w:val="0"/>
          <w:sz w:val="24"/>
        </w:rPr>
        <w:t>e</w:t>
      </w:r>
      <w:r>
        <w:rPr>
          <w:spacing w:val="0"/>
          <w:w w:val="100"/>
          <w:kern w:val="0"/>
          <w:sz w:val="24"/>
        </w:rPr>
        <w:t>litos sexuales (disposiciones especiales) prohíben la corrupción de menores.  Toda persona, hombre o mujer, que tenga conocimiento carnal de un menor es cu</w:t>
      </w:r>
      <w:r>
        <w:rPr>
          <w:spacing w:val="0"/>
          <w:w w:val="100"/>
          <w:kern w:val="0"/>
          <w:sz w:val="24"/>
        </w:rPr>
        <w:t>l</w:t>
      </w:r>
      <w:r>
        <w:rPr>
          <w:spacing w:val="0"/>
          <w:w w:val="100"/>
          <w:kern w:val="0"/>
          <w:sz w:val="24"/>
        </w:rPr>
        <w:t>pable de un delito castigado con una pena que puede llegar a prisión perpetua, con o sin ca</w:t>
      </w:r>
      <w:r>
        <w:rPr>
          <w:spacing w:val="0"/>
          <w:w w:val="100"/>
          <w:kern w:val="0"/>
          <w:sz w:val="24"/>
        </w:rPr>
        <w:t>s</w:t>
      </w:r>
      <w:r>
        <w:rPr>
          <w:spacing w:val="0"/>
          <w:w w:val="100"/>
          <w:kern w:val="0"/>
          <w:sz w:val="24"/>
        </w:rPr>
        <w:t>tigos corporales.  Asimismo, el artículo 127 del Decreto penal protege a los menores contra la incitación a la prostitución.  Es delito incitar o intentar incitar a una pers</w:t>
      </w:r>
      <w:r>
        <w:rPr>
          <w:spacing w:val="0"/>
          <w:w w:val="100"/>
          <w:kern w:val="0"/>
          <w:sz w:val="24"/>
        </w:rPr>
        <w:t>o</w:t>
      </w:r>
      <w:r>
        <w:rPr>
          <w:spacing w:val="0"/>
          <w:w w:val="100"/>
          <w:kern w:val="0"/>
          <w:sz w:val="24"/>
        </w:rPr>
        <w:t>na, independientemente de su edad, con o sin su consentimiento, a ejercer la prost</w:t>
      </w:r>
      <w:r>
        <w:rPr>
          <w:spacing w:val="0"/>
          <w:w w:val="100"/>
          <w:kern w:val="0"/>
          <w:sz w:val="24"/>
        </w:rPr>
        <w:t>i</w:t>
      </w:r>
      <w:r>
        <w:rPr>
          <w:spacing w:val="0"/>
          <w:w w:val="100"/>
          <w:kern w:val="0"/>
          <w:sz w:val="24"/>
        </w:rPr>
        <w:t>tución, dentro o fuera de Zanzíbar.</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289.</w:t>
      </w:r>
      <w:r>
        <w:rPr>
          <w:spacing w:val="0"/>
          <w:w w:val="100"/>
          <w:kern w:val="0"/>
          <w:sz w:val="24"/>
        </w:rPr>
        <w:tab/>
        <w:t>La explotación sexual de un menor constituye un delito tipificado en el artíc</w:t>
      </w:r>
      <w:r>
        <w:rPr>
          <w:spacing w:val="0"/>
          <w:w w:val="100"/>
          <w:kern w:val="0"/>
          <w:sz w:val="24"/>
        </w:rPr>
        <w:t>u</w:t>
      </w:r>
      <w:r>
        <w:rPr>
          <w:spacing w:val="0"/>
          <w:w w:val="100"/>
          <w:kern w:val="0"/>
          <w:sz w:val="24"/>
        </w:rPr>
        <w:t>lo 145 B(1) de la Ley del Decreto penal de Zanzíbar.  Cometen este delito quienes ofrezcan a menores para que mantengan relaciones sexuales o someterlos a otro tipo de abuso sexual, quienes participen en estos actos y los clientes de espectáculos o exhibiciones de carácter porn</w:t>
      </w:r>
      <w:r>
        <w:rPr>
          <w:spacing w:val="0"/>
          <w:w w:val="100"/>
          <w:kern w:val="0"/>
          <w:sz w:val="24"/>
        </w:rPr>
        <w:t>o</w:t>
      </w:r>
      <w:r>
        <w:rPr>
          <w:spacing w:val="0"/>
          <w:w w:val="100"/>
          <w:kern w:val="0"/>
          <w:sz w:val="24"/>
        </w:rPr>
        <w:t>gráfico en los que intervengan menores.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290.</w:t>
      </w:r>
      <w:r>
        <w:rPr>
          <w:spacing w:val="0"/>
          <w:w w:val="100"/>
          <w:kern w:val="0"/>
          <w:sz w:val="24"/>
        </w:rPr>
        <w:tab/>
        <w:t>El Gobierno ha adoptado otras medidas para impedir que los niños de edades comprendidas entre los 9 y los 18 años ejerzan la prostitución.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291.</w:t>
      </w:r>
      <w:r>
        <w:rPr>
          <w:spacing w:val="0"/>
          <w:w w:val="100"/>
          <w:kern w:val="0"/>
          <w:sz w:val="24"/>
        </w:rPr>
        <w:tab/>
        <w:t>Desde 1999 se viene ejecutando un programa para recuperar, rehabilitar y rei</w:t>
      </w:r>
      <w:r>
        <w:rPr>
          <w:spacing w:val="0"/>
          <w:w w:val="100"/>
          <w:kern w:val="0"/>
          <w:sz w:val="24"/>
        </w:rPr>
        <w:t>n</w:t>
      </w:r>
      <w:r>
        <w:rPr>
          <w:spacing w:val="0"/>
          <w:w w:val="100"/>
          <w:kern w:val="0"/>
          <w:sz w:val="24"/>
        </w:rPr>
        <w:t>sertar a los menores que se dedican al comercio sexual en tres regiones de Tanzanía continental, Iringa, Mbeya y Ruvuma, que cuenta con el apoyo del Programa Inte</w:t>
      </w:r>
      <w:r>
        <w:rPr>
          <w:spacing w:val="0"/>
          <w:w w:val="100"/>
          <w:kern w:val="0"/>
          <w:sz w:val="24"/>
        </w:rPr>
        <w:t>r</w:t>
      </w:r>
      <w:r>
        <w:rPr>
          <w:spacing w:val="0"/>
          <w:w w:val="100"/>
          <w:kern w:val="0"/>
          <w:sz w:val="24"/>
        </w:rPr>
        <w:t>nacional de la OIT para la Prohibición del Trabajo Infantil.  El principal objetivo del programa es evitar que los menores se dediquen al comercio sexual, retirarlos de esa actividad y facilitar su rehabilitación y reinserción.  El programa está dirigido a los niños vulnerables de edades comprendidas entre los 7 y los 17 años de edad.  En m</w:t>
      </w:r>
      <w:r>
        <w:rPr>
          <w:spacing w:val="0"/>
          <w:w w:val="100"/>
          <w:kern w:val="0"/>
          <w:sz w:val="24"/>
        </w:rPr>
        <w:t>a</w:t>
      </w:r>
      <w:r>
        <w:rPr>
          <w:spacing w:val="0"/>
          <w:w w:val="100"/>
          <w:kern w:val="0"/>
          <w:sz w:val="24"/>
        </w:rPr>
        <w:t>yo de 2003, un total de 1.200 niños dejaron de ser víctimas del comercio sexual, 850 ingresaron en centros de rehabilitación, 350 se matricularon en escuelas prim</w:t>
      </w:r>
      <w:r>
        <w:rPr>
          <w:spacing w:val="0"/>
          <w:w w:val="100"/>
          <w:kern w:val="0"/>
          <w:sz w:val="24"/>
        </w:rPr>
        <w:t>a</w:t>
      </w:r>
      <w:r>
        <w:rPr>
          <w:spacing w:val="0"/>
          <w:w w:val="100"/>
          <w:kern w:val="0"/>
          <w:sz w:val="24"/>
        </w:rPr>
        <w:t>rias, 16 en escuelas secundarias y otros 850 recibieron formación profesi</w:t>
      </w:r>
      <w:r>
        <w:rPr>
          <w:spacing w:val="0"/>
          <w:w w:val="100"/>
          <w:kern w:val="0"/>
          <w:sz w:val="24"/>
        </w:rPr>
        <w:t>o</w:t>
      </w:r>
      <w:r>
        <w:rPr>
          <w:spacing w:val="0"/>
          <w:w w:val="100"/>
          <w:kern w:val="0"/>
          <w:sz w:val="24"/>
        </w:rPr>
        <w:t>nal.</w:t>
      </w:r>
    </w:p>
    <w:p w:rsidR="00000000" w:rsidRDefault="00000000">
      <w:pPr>
        <w:pStyle w:val="H23"/>
        <w:keepNext w:val="0"/>
        <w:keepLines w:val="0"/>
        <w:suppressAutoHyphens w:val="0"/>
        <w:spacing w:after="240" w:line="240" w:lineRule="auto"/>
        <w:outlineLvl w:val="9"/>
        <w:rPr>
          <w:bCs/>
          <w:spacing w:val="0"/>
          <w:w w:val="100"/>
          <w:kern w:val="0"/>
          <w:sz w:val="24"/>
        </w:rPr>
      </w:pPr>
      <w:r>
        <w:rPr>
          <w:bCs/>
          <w:spacing w:val="0"/>
          <w:w w:val="100"/>
          <w:kern w:val="0"/>
          <w:sz w:val="24"/>
        </w:rPr>
        <w:t>Venta, trata y secuestro (artículo 35)</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292.</w:t>
      </w:r>
      <w:r>
        <w:rPr>
          <w:spacing w:val="0"/>
          <w:w w:val="100"/>
          <w:kern w:val="0"/>
          <w:sz w:val="24"/>
        </w:rPr>
        <w:tab/>
        <w:t>El número de menores que se desplazan por todo el país como empleados d</w:t>
      </w:r>
      <w:r>
        <w:rPr>
          <w:spacing w:val="0"/>
          <w:w w:val="100"/>
          <w:kern w:val="0"/>
          <w:sz w:val="24"/>
        </w:rPr>
        <w:t>o</w:t>
      </w:r>
      <w:r>
        <w:rPr>
          <w:spacing w:val="0"/>
          <w:w w:val="100"/>
          <w:kern w:val="0"/>
          <w:sz w:val="24"/>
        </w:rPr>
        <w:t>mésticos desde una edad muy temprana es muy elevado y a menudo son objeto de abusos en los hogares de las personas que les contratan.  Muchas niñas no tienen otra alternativa que ejercer la prostitución.  En contra de las normas culturales de Tanzanía, algunos padres sin escrúpulos consienten en enviar a esas niñas a las ciudades para tr</w:t>
      </w:r>
      <w:r>
        <w:rPr>
          <w:spacing w:val="0"/>
          <w:w w:val="100"/>
          <w:kern w:val="0"/>
          <w:sz w:val="24"/>
        </w:rPr>
        <w:t>a</w:t>
      </w:r>
      <w:r>
        <w:rPr>
          <w:spacing w:val="0"/>
          <w:w w:val="100"/>
          <w:kern w:val="0"/>
          <w:sz w:val="24"/>
        </w:rPr>
        <w:t>bajar como empleadas del hogar.</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293.</w:t>
      </w:r>
      <w:r>
        <w:rPr>
          <w:spacing w:val="0"/>
          <w:w w:val="100"/>
          <w:kern w:val="0"/>
          <w:sz w:val="24"/>
        </w:rPr>
        <w:tab/>
        <w:t>El Gobierno de la República de Tanzanía firmó la Convención sobre los Der</w:t>
      </w:r>
      <w:r>
        <w:rPr>
          <w:spacing w:val="0"/>
          <w:w w:val="100"/>
          <w:kern w:val="0"/>
          <w:sz w:val="24"/>
        </w:rPr>
        <w:t>e</w:t>
      </w:r>
      <w:r>
        <w:rPr>
          <w:spacing w:val="0"/>
          <w:w w:val="100"/>
          <w:kern w:val="0"/>
          <w:sz w:val="24"/>
        </w:rPr>
        <w:t>chos del Niño y sus Protocolos Facultativos sobre trata de menores y el Convenio 182 de la OIT sobre la prohibición de las peores formas de trabajo infantil.  El proyecto de ley de la infancia contemplará las cuestiones de la protección del menor y la c</w:t>
      </w:r>
      <w:r>
        <w:rPr>
          <w:spacing w:val="0"/>
          <w:w w:val="100"/>
          <w:kern w:val="0"/>
          <w:sz w:val="24"/>
        </w:rPr>
        <w:t>o</w:t>
      </w:r>
      <w:r>
        <w:rPr>
          <w:spacing w:val="0"/>
          <w:w w:val="100"/>
          <w:kern w:val="0"/>
          <w:sz w:val="24"/>
        </w:rPr>
        <w:t>operación en materia de adopción internacional.  La ley abordará también el problema de la venta, trata y secuestro de menores.  Asimismo, Zanzíbar ha realizado una ev</w:t>
      </w:r>
      <w:r>
        <w:rPr>
          <w:spacing w:val="0"/>
          <w:w w:val="100"/>
          <w:kern w:val="0"/>
          <w:sz w:val="24"/>
        </w:rPr>
        <w:t>a</w:t>
      </w:r>
      <w:r>
        <w:rPr>
          <w:spacing w:val="0"/>
          <w:w w:val="100"/>
          <w:kern w:val="0"/>
          <w:sz w:val="24"/>
        </w:rPr>
        <w:t>luación rápida teniendo en cuenta las recomendaciones del Congreso Mundial de E</w:t>
      </w:r>
      <w:r>
        <w:rPr>
          <w:spacing w:val="0"/>
          <w:w w:val="100"/>
          <w:kern w:val="0"/>
          <w:sz w:val="24"/>
        </w:rPr>
        <w:t>s</w:t>
      </w:r>
      <w:r>
        <w:rPr>
          <w:spacing w:val="0"/>
          <w:w w:val="100"/>
          <w:kern w:val="0"/>
          <w:sz w:val="24"/>
        </w:rPr>
        <w:t>tocolmo contra la Explotación Sexual Comercial de los Niños de 1996.</w:t>
      </w:r>
    </w:p>
    <w:p w:rsidR="00000000" w:rsidRDefault="00000000">
      <w:pPr>
        <w:pStyle w:val="HCh"/>
        <w:keepLines w:val="0"/>
        <w:suppressAutoHyphens w:val="0"/>
        <w:spacing w:before="480" w:after="240" w:line="240" w:lineRule="auto"/>
        <w:jc w:val="center"/>
        <w:outlineLvl w:val="9"/>
        <w:rPr>
          <w:bCs/>
          <w:spacing w:val="0"/>
          <w:w w:val="100"/>
          <w:kern w:val="0"/>
          <w:sz w:val="24"/>
        </w:rPr>
      </w:pPr>
      <w:r>
        <w:rPr>
          <w:bCs/>
          <w:spacing w:val="0"/>
          <w:w w:val="100"/>
          <w:kern w:val="0"/>
          <w:sz w:val="24"/>
        </w:rPr>
        <w:t>IX.  CONCLUSIÓN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294.</w:t>
      </w:r>
      <w:r>
        <w:rPr>
          <w:spacing w:val="0"/>
          <w:w w:val="100"/>
          <w:kern w:val="0"/>
          <w:sz w:val="24"/>
        </w:rPr>
        <w:tab/>
        <w:t>El hecho de que Tanzanía sea un Estado Parte en la Convención sobre los D</w:t>
      </w:r>
      <w:r>
        <w:rPr>
          <w:spacing w:val="0"/>
          <w:w w:val="100"/>
          <w:kern w:val="0"/>
          <w:sz w:val="24"/>
        </w:rPr>
        <w:t>e</w:t>
      </w:r>
      <w:r>
        <w:rPr>
          <w:spacing w:val="0"/>
          <w:w w:val="100"/>
          <w:kern w:val="0"/>
          <w:sz w:val="24"/>
        </w:rPr>
        <w:t>rechos del Niño y sus Protocolos Facultativos es una prueba irrefutable de la volu</w:t>
      </w:r>
      <w:r>
        <w:rPr>
          <w:spacing w:val="0"/>
          <w:w w:val="100"/>
          <w:kern w:val="0"/>
          <w:sz w:val="24"/>
        </w:rPr>
        <w:t>n</w:t>
      </w:r>
      <w:r>
        <w:rPr>
          <w:spacing w:val="0"/>
          <w:w w:val="100"/>
          <w:kern w:val="0"/>
          <w:sz w:val="24"/>
        </w:rPr>
        <w:t>tad de este país de promover y proteger los derechos del niño.  Por este motivo, el Gobierno de la República Unida de Tanzanía y el de Zanzíbar han adoptado medidas administrativas, legislativas y judiciales, no todas igualmente efectivas, encamin</w:t>
      </w:r>
      <w:r>
        <w:rPr>
          <w:spacing w:val="0"/>
          <w:w w:val="100"/>
          <w:kern w:val="0"/>
          <w:sz w:val="24"/>
        </w:rPr>
        <w:t>a</w:t>
      </w:r>
      <w:r>
        <w:rPr>
          <w:spacing w:val="0"/>
          <w:w w:val="100"/>
          <w:kern w:val="0"/>
          <w:sz w:val="24"/>
        </w:rPr>
        <w:t>das a dar cumplimiento a lo estipulado en la Convención.  El objetivo de este info</w:t>
      </w:r>
      <w:r>
        <w:rPr>
          <w:spacing w:val="0"/>
          <w:w w:val="100"/>
          <w:kern w:val="0"/>
          <w:sz w:val="24"/>
        </w:rPr>
        <w:t>r</w:t>
      </w:r>
      <w:r>
        <w:rPr>
          <w:spacing w:val="0"/>
          <w:w w:val="100"/>
          <w:kern w:val="0"/>
          <w:sz w:val="24"/>
        </w:rPr>
        <w:t>me ha sido exponer con la mayor claridad posible los logros, problemas y planes r</w:t>
      </w:r>
      <w:r>
        <w:rPr>
          <w:spacing w:val="0"/>
          <w:w w:val="100"/>
          <w:kern w:val="0"/>
          <w:sz w:val="24"/>
        </w:rPr>
        <w:t>e</w:t>
      </w:r>
      <w:r>
        <w:rPr>
          <w:spacing w:val="0"/>
          <w:w w:val="100"/>
          <w:kern w:val="0"/>
          <w:sz w:val="24"/>
        </w:rPr>
        <w:t>lativos a la aplicación de la Convención.  Tanzanía presenta su segundo informe en cumplimiento de sus obligaciones como signatario y espera que se discuta con fra</w:t>
      </w:r>
      <w:r>
        <w:rPr>
          <w:spacing w:val="0"/>
          <w:w w:val="100"/>
          <w:kern w:val="0"/>
          <w:sz w:val="24"/>
        </w:rPr>
        <w:t>n</w:t>
      </w:r>
      <w:r>
        <w:rPr>
          <w:spacing w:val="0"/>
          <w:w w:val="100"/>
          <w:kern w:val="0"/>
          <w:sz w:val="24"/>
        </w:rPr>
        <w:t>queza.</w:t>
      </w:r>
    </w:p>
    <w:p w:rsidR="00000000" w:rsidRDefault="00000000">
      <w:pPr>
        <w:pStyle w:val="HCh"/>
        <w:keepNext w:val="0"/>
        <w:keepLines w:val="0"/>
        <w:suppressAutoHyphens w:val="0"/>
        <w:spacing w:after="240" w:line="240" w:lineRule="auto"/>
        <w:jc w:val="center"/>
        <w:outlineLvl w:val="9"/>
        <w:rPr>
          <w:bCs/>
          <w:spacing w:val="0"/>
          <w:w w:val="100"/>
          <w:kern w:val="0"/>
          <w:sz w:val="24"/>
        </w:rPr>
      </w:pPr>
      <w:r>
        <w:rPr>
          <w:b w:val="0"/>
          <w:spacing w:val="0"/>
          <w:w w:val="100"/>
          <w:kern w:val="0"/>
          <w:sz w:val="24"/>
        </w:rPr>
        <w:br w:type="page"/>
      </w:r>
      <w:r>
        <w:rPr>
          <w:bCs/>
          <w:spacing w:val="0"/>
          <w:w w:val="100"/>
          <w:kern w:val="0"/>
          <w:sz w:val="24"/>
        </w:rPr>
        <w:t>Lista de legislación sobre cuestiones relativas a los niños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Ley de adopción, cap. 335</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Política de promoción del niño (República Unida de Tanzanía, 1996), Ministerio del Desarrollo Comunitario, la Mujer y el Niño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 xml:space="preserve">Política para la supervivencia, la protección y el desarrollo del niño (Zanzíbar, 2000)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Ley sobre los niños y jóvenes, cap. 13</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Ley (reglamento) de hogares para niños, 1968</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Constitución de la República Unida de Tanzanía, 1977</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Ley de guarderías, 1981 (Nº 17) de 1968</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Ley de educación, 1978</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 xml:space="preserve">Reglamento sobre Educación Nacional de 1979 relativo a la expulsión y exclusión de alumnos de las escuelas, </w:t>
      </w:r>
      <w:r>
        <w:rPr>
          <w:i/>
          <w:iCs/>
          <w:spacing w:val="0"/>
          <w:w w:val="100"/>
          <w:kern w:val="0"/>
          <w:sz w:val="24"/>
        </w:rPr>
        <w:t>Boletín del Estado 130</w:t>
      </w:r>
      <w:r>
        <w:rPr>
          <w:spacing w:val="0"/>
          <w:w w:val="100"/>
          <w:kern w:val="0"/>
          <w:sz w:val="24"/>
        </w:rPr>
        <w:t xml:space="preserve"> de 1979</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Código Penal, cap. 16</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 xml:space="preserve">Reglamento sobre enseñanza primaria (matriculación y asistencia obligatorias) de 1979, </w:t>
      </w:r>
      <w:r>
        <w:rPr>
          <w:i/>
          <w:iCs/>
          <w:spacing w:val="0"/>
          <w:w w:val="100"/>
          <w:kern w:val="0"/>
          <w:sz w:val="24"/>
        </w:rPr>
        <w:t>Boletín del Estado 129</w:t>
      </w:r>
      <w:r>
        <w:rPr>
          <w:spacing w:val="0"/>
          <w:w w:val="100"/>
          <w:kern w:val="0"/>
          <w:sz w:val="24"/>
        </w:rPr>
        <w:t xml:space="preserve"> de 1979</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center"/>
        <w:rPr>
          <w:spacing w:val="0"/>
          <w:w w:val="100"/>
          <w:kern w:val="0"/>
          <w:sz w:val="24"/>
        </w:rPr>
      </w:pPr>
      <w:r>
        <w:rPr>
          <w:spacing w:val="0"/>
          <w:w w:val="100"/>
          <w:kern w:val="0"/>
          <w:sz w:val="24"/>
        </w:rPr>
        <w:t>-----</w:t>
      </w:r>
    </w:p>
    <w:p w:rsidR="00000000" w:rsidRDefault="00000000">
      <w:pPr>
        <w:spacing w:after="240"/>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ntique Olive">
    <w:charset w:val="00"/>
    <w:family w:val="swiss"/>
    <w:pitch w:val="variable"/>
    <w:sig w:usb0="00000007" w:usb1="00000000" w:usb2="00000000" w:usb3="00000000" w:csb0="00000093"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El informe inicial presentado por el Gobierno de la República Unida de Tanzanía figura en el documento CRC/8/Add.14/Rev.1; para su examen por el Comité, véanse los documentos CRC/C/SR.713, 714 y 721 y CRC/C/15/Add.156.</w:t>
      </w:r>
    </w:p>
    <w:p w:rsidR="00000000" w:rsidRDefault="00000000">
      <w:pPr>
        <w:pStyle w:val="FootnoteText"/>
        <w:spacing w:line="240" w:lineRule="auto"/>
      </w:pPr>
      <w:r>
        <w:tab/>
        <w:t>El presente documento no fue objeto de revisión editorial antes de ser enviado a los servicios de traducción de las Naciones Unidas.</w:t>
      </w:r>
    </w:p>
    <w:p w:rsidR="00000000" w:rsidRDefault="00000000">
      <w:pPr>
        <w:pStyle w:val="FootnoteText"/>
        <w:spacing w:line="240" w:lineRule="auto"/>
      </w:pPr>
    </w:p>
    <w:p w:rsidR="00000000" w:rsidRDefault="00000000">
      <w:pPr>
        <w:pStyle w:val="FootnoteText"/>
        <w:spacing w:line="240" w:lineRule="auto"/>
      </w:pPr>
      <w:r>
        <w:t>GE.05-43725  (S)    051205    081205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CRC/C/70/Add.26</w:t>
    </w:r>
  </w:p>
  <w:p w:rsidR="00000000" w:rsidRDefault="00000000">
    <w:pPr>
      <w:pStyle w:val="Header"/>
    </w:pPr>
    <w:r>
      <w:t xml:space="preserve">página </w:t>
    </w:r>
    <w:r>
      <w:fldChar w:fldCharType="begin"/>
    </w:r>
    <w:r>
      <w:instrText xml:space="preserve"> PAGE  \* MERGEFORMAT </w:instrText>
    </w:r>
    <w:r>
      <w:fldChar w:fldCharType="separate"/>
    </w:r>
    <w:r>
      <w:rPr>
        <w:noProof/>
      </w:rPr>
      <w:t>32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20"/>
      </w:tabs>
      <w:rPr>
        <w:lang w:val="en-GB"/>
      </w:rPr>
    </w:pPr>
    <w:r>
      <w:tab/>
    </w:r>
    <w:r>
      <w:rPr>
        <w:lang w:val="en-GB"/>
      </w:rPr>
      <w:t>CRC/C/70/Add.26</w:t>
    </w:r>
  </w:p>
  <w:p w:rsidR="00000000" w:rsidRDefault="00000000">
    <w:pPr>
      <w:tabs>
        <w:tab w:val="left" w:pos="7320"/>
      </w:tabs>
    </w:pPr>
    <w:r>
      <w:rPr>
        <w:lang w:val="en-GB"/>
      </w:rPr>
      <w:tab/>
    </w:r>
    <w:r>
      <w:t xml:space="preserve">página </w:t>
    </w:r>
    <w:r>
      <w:fldChar w:fldCharType="begin"/>
    </w:r>
    <w:r>
      <w:instrText xml:space="preserve"> PAGE  \* MERGEFORMAT </w:instrText>
    </w:r>
    <w:r>
      <w:fldChar w:fldCharType="separate"/>
    </w:r>
    <w:r>
      <w:rPr>
        <w:noProof/>
      </w:rPr>
      <w:t>31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06B51"/>
    <w:multiLevelType w:val="singleLevel"/>
    <w:tmpl w:val="F95854FE"/>
    <w:lvl w:ilvl="0">
      <w:start w:val="17"/>
      <w:numFmt w:val="decimal"/>
      <w:lvlRestart w:val="0"/>
      <w:lvlText w:val="%1."/>
      <w:lvlJc w:val="left"/>
      <w:pPr>
        <w:tabs>
          <w:tab w:val="num" w:pos="1742"/>
        </w:tabs>
        <w:ind w:left="1267" w:firstLine="0"/>
      </w:pPr>
      <w:rPr>
        <w:spacing w:val="0"/>
        <w:w w:val="100"/>
      </w:rPr>
    </w:lvl>
  </w:abstractNum>
  <w:abstractNum w:abstractNumId="1">
    <w:nsid w:val="018F7252"/>
    <w:multiLevelType w:val="singleLevel"/>
    <w:tmpl w:val="22DE2768"/>
    <w:lvl w:ilvl="0">
      <w:start w:val="88"/>
      <w:numFmt w:val="decimal"/>
      <w:lvlText w:val="%1."/>
      <w:lvlJc w:val="left"/>
      <w:pPr>
        <w:tabs>
          <w:tab w:val="num" w:pos="1747"/>
        </w:tabs>
        <w:ind w:left="1747" w:hanging="480"/>
      </w:pPr>
      <w:rPr>
        <w:rFonts w:hint="default"/>
      </w:rPr>
    </w:lvl>
  </w:abstractNum>
  <w:abstractNum w:abstractNumId="2">
    <w:nsid w:val="05926E1B"/>
    <w:multiLevelType w:val="singleLevel"/>
    <w:tmpl w:val="B192E4F6"/>
    <w:lvl w:ilvl="0">
      <w:start w:val="86"/>
      <w:numFmt w:val="decimal"/>
      <w:lvlText w:val="%1."/>
      <w:lvlJc w:val="left"/>
      <w:pPr>
        <w:tabs>
          <w:tab w:val="num" w:pos="1747"/>
        </w:tabs>
        <w:ind w:left="1747" w:hanging="480"/>
      </w:pPr>
      <w:rPr>
        <w:rFonts w:hint="default"/>
      </w:rPr>
    </w:lvl>
  </w:abstractNum>
  <w:abstractNum w:abstractNumId="3">
    <w:nsid w:val="081A718E"/>
    <w:multiLevelType w:val="singleLevel"/>
    <w:tmpl w:val="6F7ECD7A"/>
    <w:lvl w:ilvl="0">
      <w:start w:val="71"/>
      <w:numFmt w:val="decimal"/>
      <w:lvlText w:val="%1."/>
      <w:lvlJc w:val="left"/>
      <w:pPr>
        <w:tabs>
          <w:tab w:val="num" w:pos="1747"/>
        </w:tabs>
        <w:ind w:left="1747" w:hanging="480"/>
      </w:pPr>
      <w:rPr>
        <w:rFonts w:hint="default"/>
      </w:rPr>
    </w:lvl>
  </w:abstractNum>
  <w:abstractNum w:abstractNumId="4">
    <w:nsid w:val="090E0FC2"/>
    <w:multiLevelType w:val="hybridMultilevel"/>
    <w:tmpl w:val="7F30CBD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0B415E18"/>
    <w:multiLevelType w:val="singleLevel"/>
    <w:tmpl w:val="E618DC18"/>
    <w:lvl w:ilvl="0">
      <w:start w:val="172"/>
      <w:numFmt w:val="decimal"/>
      <w:lvlRestart w:val="0"/>
      <w:lvlText w:val="%1."/>
      <w:lvlJc w:val="left"/>
      <w:pPr>
        <w:tabs>
          <w:tab w:val="num" w:pos="1742"/>
        </w:tabs>
        <w:ind w:left="1267" w:firstLine="0"/>
      </w:pPr>
      <w:rPr>
        <w:spacing w:val="0"/>
        <w:w w:val="100"/>
      </w:rPr>
    </w:lvl>
  </w:abstractNum>
  <w:abstractNum w:abstractNumId="6">
    <w:nsid w:val="0BF72CEA"/>
    <w:multiLevelType w:val="hybridMultilevel"/>
    <w:tmpl w:val="8316592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0E977977"/>
    <w:multiLevelType w:val="singleLevel"/>
    <w:tmpl w:val="73B0A4BA"/>
    <w:lvl w:ilvl="0">
      <w:start w:val="1"/>
      <w:numFmt w:val="decimal"/>
      <w:lvlRestart w:val="0"/>
      <w:lvlText w:val="%1."/>
      <w:lvlJc w:val="left"/>
      <w:pPr>
        <w:tabs>
          <w:tab w:val="num" w:pos="475"/>
        </w:tabs>
        <w:ind w:left="0" w:firstLine="0"/>
      </w:pPr>
      <w:rPr>
        <w:spacing w:val="0"/>
        <w:w w:val="100"/>
      </w:rPr>
    </w:lvl>
  </w:abstractNum>
  <w:abstractNum w:abstractNumId="8">
    <w:nsid w:val="0EE941AB"/>
    <w:multiLevelType w:val="singleLevel"/>
    <w:tmpl w:val="08120954"/>
    <w:lvl w:ilvl="0">
      <w:start w:val="82"/>
      <w:numFmt w:val="decimal"/>
      <w:lvlText w:val="%1."/>
      <w:lvlJc w:val="left"/>
      <w:pPr>
        <w:tabs>
          <w:tab w:val="num" w:pos="1747"/>
        </w:tabs>
        <w:ind w:left="1747" w:hanging="480"/>
      </w:pPr>
      <w:rPr>
        <w:rFonts w:hint="default"/>
      </w:rPr>
    </w:lvl>
  </w:abstractNum>
  <w:abstractNum w:abstractNumId="9">
    <w:nsid w:val="0F3A66BB"/>
    <w:multiLevelType w:val="hybridMultilevel"/>
    <w:tmpl w:val="A7B6861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12904CB8"/>
    <w:multiLevelType w:val="hybridMultilevel"/>
    <w:tmpl w:val="4E580E48"/>
    <w:lvl w:ilvl="0" w:tplc="0C0A0001">
      <w:start w:val="1"/>
      <w:numFmt w:val="bullet"/>
      <w:lvlText w:val=""/>
      <w:lvlJc w:val="left"/>
      <w:pPr>
        <w:tabs>
          <w:tab w:val="num" w:pos="1800"/>
        </w:tabs>
        <w:ind w:left="180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12D400B3"/>
    <w:multiLevelType w:val="singleLevel"/>
    <w:tmpl w:val="F28469EE"/>
    <w:lvl w:ilvl="0">
      <w:start w:val="83"/>
      <w:numFmt w:val="decimal"/>
      <w:lvlText w:val="%1."/>
      <w:lvlJc w:val="left"/>
      <w:pPr>
        <w:tabs>
          <w:tab w:val="num" w:pos="1747"/>
        </w:tabs>
        <w:ind w:left="1747" w:hanging="480"/>
      </w:pPr>
      <w:rPr>
        <w:rFonts w:hint="default"/>
      </w:rPr>
    </w:lvl>
  </w:abstractNum>
  <w:abstractNum w:abstractNumId="12">
    <w:nsid w:val="13D46483"/>
    <w:multiLevelType w:val="singleLevel"/>
    <w:tmpl w:val="709818CC"/>
    <w:lvl w:ilvl="0">
      <w:start w:val="76"/>
      <w:numFmt w:val="decimal"/>
      <w:lvlText w:val="%1."/>
      <w:lvlJc w:val="left"/>
      <w:pPr>
        <w:tabs>
          <w:tab w:val="num" w:pos="1747"/>
        </w:tabs>
        <w:ind w:left="1747" w:hanging="480"/>
      </w:pPr>
      <w:rPr>
        <w:rFonts w:hint="default"/>
      </w:rPr>
    </w:lvl>
  </w:abstractNum>
  <w:abstractNum w:abstractNumId="13">
    <w:nsid w:val="16A31C15"/>
    <w:multiLevelType w:val="singleLevel"/>
    <w:tmpl w:val="F7D0AC08"/>
    <w:lvl w:ilvl="0">
      <w:start w:val="84"/>
      <w:numFmt w:val="decimal"/>
      <w:lvlText w:val="%1."/>
      <w:lvlJc w:val="left"/>
      <w:pPr>
        <w:tabs>
          <w:tab w:val="num" w:pos="1747"/>
        </w:tabs>
        <w:ind w:left="1747" w:hanging="480"/>
      </w:pPr>
      <w:rPr>
        <w:rFonts w:hint="default"/>
      </w:rPr>
    </w:lvl>
  </w:abstractNum>
  <w:abstractNum w:abstractNumId="14">
    <w:nsid w:val="18B22849"/>
    <w:multiLevelType w:val="hybridMultilevel"/>
    <w:tmpl w:val="5648809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1A154D37"/>
    <w:multiLevelType w:val="multilevel"/>
    <w:tmpl w:val="1960D5DE"/>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6">
    <w:nsid w:val="1C45427C"/>
    <w:multiLevelType w:val="hybridMultilevel"/>
    <w:tmpl w:val="A74A395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nsid w:val="1E2B1035"/>
    <w:multiLevelType w:val="singleLevel"/>
    <w:tmpl w:val="E39E9F22"/>
    <w:lvl w:ilvl="0">
      <w:start w:val="89"/>
      <w:numFmt w:val="decimal"/>
      <w:lvlText w:val="%1."/>
      <w:lvlJc w:val="left"/>
      <w:pPr>
        <w:tabs>
          <w:tab w:val="num" w:pos="1747"/>
        </w:tabs>
        <w:ind w:left="1747" w:hanging="480"/>
      </w:pPr>
      <w:rPr>
        <w:rFonts w:hint="default"/>
      </w:rPr>
    </w:lvl>
  </w:abstractNum>
  <w:abstractNum w:abstractNumId="18">
    <w:nsid w:val="1E5009F1"/>
    <w:multiLevelType w:val="hybridMultilevel"/>
    <w:tmpl w:val="3FC61BD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1E6677FF"/>
    <w:multiLevelType w:val="singleLevel"/>
    <w:tmpl w:val="1BA6F82C"/>
    <w:lvl w:ilvl="0">
      <w:start w:val="112"/>
      <w:numFmt w:val="decimal"/>
      <w:lvlRestart w:val="0"/>
      <w:lvlText w:val="%1."/>
      <w:lvlJc w:val="left"/>
      <w:pPr>
        <w:tabs>
          <w:tab w:val="num" w:pos="1742"/>
        </w:tabs>
        <w:ind w:left="1267" w:firstLine="0"/>
      </w:pPr>
      <w:rPr>
        <w:spacing w:val="0"/>
        <w:w w:val="100"/>
      </w:rPr>
    </w:lvl>
  </w:abstractNum>
  <w:abstractNum w:abstractNumId="20">
    <w:nsid w:val="1EA25F16"/>
    <w:multiLevelType w:val="singleLevel"/>
    <w:tmpl w:val="FC5CE96A"/>
    <w:lvl w:ilvl="0">
      <w:start w:val="209"/>
      <w:numFmt w:val="decimal"/>
      <w:lvlRestart w:val="0"/>
      <w:lvlText w:val="%1."/>
      <w:lvlJc w:val="left"/>
      <w:pPr>
        <w:tabs>
          <w:tab w:val="num" w:pos="1742"/>
        </w:tabs>
        <w:ind w:left="1267" w:firstLine="0"/>
      </w:pPr>
      <w:rPr>
        <w:spacing w:val="0"/>
        <w:w w:val="100"/>
      </w:rPr>
    </w:lvl>
  </w:abstractNum>
  <w:abstractNum w:abstractNumId="21">
    <w:nsid w:val="1FDD26CD"/>
    <w:multiLevelType w:val="singleLevel"/>
    <w:tmpl w:val="8DC8BEF2"/>
    <w:lvl w:ilvl="0">
      <w:start w:val="69"/>
      <w:numFmt w:val="decimal"/>
      <w:lvlText w:val="%1."/>
      <w:lvlJc w:val="left"/>
      <w:pPr>
        <w:tabs>
          <w:tab w:val="num" w:pos="1747"/>
        </w:tabs>
        <w:ind w:left="1747" w:hanging="480"/>
      </w:pPr>
      <w:rPr>
        <w:rFonts w:hint="default"/>
      </w:rPr>
    </w:lvl>
  </w:abstractNum>
  <w:abstractNum w:abstractNumId="22">
    <w:nsid w:val="20A2233B"/>
    <w:multiLevelType w:val="hybridMultilevel"/>
    <w:tmpl w:val="ADECC31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nsid w:val="20D67969"/>
    <w:multiLevelType w:val="singleLevel"/>
    <w:tmpl w:val="EADA5B4C"/>
    <w:lvl w:ilvl="0">
      <w:start w:val="85"/>
      <w:numFmt w:val="decimal"/>
      <w:lvlText w:val="%1."/>
      <w:lvlJc w:val="left"/>
      <w:pPr>
        <w:tabs>
          <w:tab w:val="num" w:pos="2227"/>
        </w:tabs>
        <w:ind w:left="2227" w:hanging="960"/>
      </w:pPr>
      <w:rPr>
        <w:rFonts w:hint="default"/>
      </w:rPr>
    </w:lvl>
  </w:abstractNum>
  <w:abstractNum w:abstractNumId="24">
    <w:nsid w:val="21212DE8"/>
    <w:multiLevelType w:val="singleLevel"/>
    <w:tmpl w:val="9E280DBE"/>
    <w:lvl w:ilvl="0">
      <w:start w:val="146"/>
      <w:numFmt w:val="decimal"/>
      <w:lvlText w:val="%1"/>
      <w:lvlJc w:val="left"/>
      <w:pPr>
        <w:tabs>
          <w:tab w:val="num" w:pos="1747"/>
        </w:tabs>
        <w:ind w:left="1747" w:hanging="480"/>
      </w:pPr>
      <w:rPr>
        <w:rFonts w:hint="default"/>
      </w:rPr>
    </w:lvl>
  </w:abstractNum>
  <w:abstractNum w:abstractNumId="25">
    <w:nsid w:val="22927F16"/>
    <w:multiLevelType w:val="singleLevel"/>
    <w:tmpl w:val="70EA5374"/>
    <w:lvl w:ilvl="0">
      <w:start w:val="87"/>
      <w:numFmt w:val="decimal"/>
      <w:lvlText w:val="%1."/>
      <w:lvlJc w:val="left"/>
      <w:pPr>
        <w:tabs>
          <w:tab w:val="num" w:pos="1747"/>
        </w:tabs>
        <w:ind w:left="1747" w:hanging="480"/>
      </w:pPr>
      <w:rPr>
        <w:rFonts w:hint="default"/>
      </w:rPr>
    </w:lvl>
  </w:abstractNum>
  <w:abstractNum w:abstractNumId="26">
    <w:nsid w:val="2717647A"/>
    <w:multiLevelType w:val="singleLevel"/>
    <w:tmpl w:val="EA6A8622"/>
    <w:lvl w:ilvl="0">
      <w:start w:val="75"/>
      <w:numFmt w:val="decimal"/>
      <w:lvlText w:val="%1."/>
      <w:lvlJc w:val="left"/>
      <w:pPr>
        <w:tabs>
          <w:tab w:val="num" w:pos="1747"/>
        </w:tabs>
        <w:ind w:left="1747" w:hanging="480"/>
      </w:pPr>
      <w:rPr>
        <w:rFonts w:hint="default"/>
      </w:rPr>
    </w:lvl>
  </w:abstractNum>
  <w:abstractNum w:abstractNumId="27">
    <w:nsid w:val="272D24E7"/>
    <w:multiLevelType w:val="singleLevel"/>
    <w:tmpl w:val="429495B2"/>
    <w:lvl w:ilvl="0">
      <w:start w:val="123"/>
      <w:numFmt w:val="decimal"/>
      <w:lvlRestart w:val="0"/>
      <w:lvlText w:val="%1."/>
      <w:lvlJc w:val="left"/>
      <w:pPr>
        <w:tabs>
          <w:tab w:val="num" w:pos="1742"/>
        </w:tabs>
        <w:ind w:left="1267" w:firstLine="0"/>
      </w:pPr>
      <w:rPr>
        <w:spacing w:val="0"/>
        <w:w w:val="100"/>
      </w:rPr>
    </w:lvl>
  </w:abstractNum>
  <w:abstractNum w:abstractNumId="28">
    <w:nsid w:val="2765010F"/>
    <w:multiLevelType w:val="singleLevel"/>
    <w:tmpl w:val="D098D4E8"/>
    <w:lvl w:ilvl="0">
      <w:start w:val="188"/>
      <w:numFmt w:val="decimal"/>
      <w:lvlRestart w:val="0"/>
      <w:lvlText w:val="%1."/>
      <w:lvlJc w:val="left"/>
      <w:pPr>
        <w:tabs>
          <w:tab w:val="num" w:pos="1742"/>
        </w:tabs>
        <w:ind w:left="1267" w:firstLine="0"/>
      </w:pPr>
      <w:rPr>
        <w:spacing w:val="0"/>
        <w:w w:val="100"/>
      </w:rPr>
    </w:lvl>
  </w:abstractNum>
  <w:abstractNum w:abstractNumId="29">
    <w:nsid w:val="2B41290C"/>
    <w:multiLevelType w:val="hybridMultilevel"/>
    <w:tmpl w:val="DFB0EE4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nsid w:val="2C974B43"/>
    <w:multiLevelType w:val="singleLevel"/>
    <w:tmpl w:val="06541CC0"/>
    <w:lvl w:ilvl="0">
      <w:start w:val="103"/>
      <w:numFmt w:val="decimal"/>
      <w:lvlRestart w:val="0"/>
      <w:lvlText w:val="%1."/>
      <w:lvlJc w:val="left"/>
      <w:pPr>
        <w:tabs>
          <w:tab w:val="num" w:pos="1742"/>
        </w:tabs>
        <w:ind w:left="1267" w:firstLine="0"/>
      </w:pPr>
      <w:rPr>
        <w:spacing w:val="0"/>
        <w:w w:val="100"/>
      </w:rPr>
    </w:lvl>
  </w:abstractNum>
  <w:abstractNum w:abstractNumId="31">
    <w:nsid w:val="2D106DBC"/>
    <w:multiLevelType w:val="singleLevel"/>
    <w:tmpl w:val="3ED83302"/>
    <w:lvl w:ilvl="0">
      <w:start w:val="146"/>
      <w:numFmt w:val="decimal"/>
      <w:lvlRestart w:val="0"/>
      <w:lvlText w:val="%1."/>
      <w:lvlJc w:val="left"/>
      <w:pPr>
        <w:tabs>
          <w:tab w:val="num" w:pos="1742"/>
        </w:tabs>
        <w:ind w:left="1267" w:firstLine="0"/>
      </w:pPr>
      <w:rPr>
        <w:spacing w:val="0"/>
        <w:w w:val="100"/>
      </w:rPr>
    </w:lvl>
  </w:abstractNum>
  <w:abstractNum w:abstractNumId="32">
    <w:nsid w:val="2F673927"/>
    <w:multiLevelType w:val="singleLevel"/>
    <w:tmpl w:val="2E108388"/>
    <w:lvl w:ilvl="0">
      <w:start w:val="1"/>
      <w:numFmt w:val="decimal"/>
      <w:lvlRestart w:val="0"/>
      <w:lvlText w:val="%1."/>
      <w:lvlJc w:val="left"/>
      <w:pPr>
        <w:tabs>
          <w:tab w:val="num" w:pos="475"/>
        </w:tabs>
        <w:ind w:left="0" w:firstLine="0"/>
      </w:pPr>
      <w:rPr>
        <w:spacing w:val="0"/>
        <w:w w:val="100"/>
      </w:rPr>
    </w:lvl>
  </w:abstractNum>
  <w:abstractNum w:abstractNumId="33">
    <w:nsid w:val="301A1AC9"/>
    <w:multiLevelType w:val="singleLevel"/>
    <w:tmpl w:val="EBDAC7C4"/>
    <w:lvl w:ilvl="0">
      <w:start w:val="1"/>
      <w:numFmt w:val="decimal"/>
      <w:lvlRestart w:val="0"/>
      <w:lvlText w:val="%1."/>
      <w:lvlJc w:val="left"/>
      <w:pPr>
        <w:tabs>
          <w:tab w:val="num" w:pos="1742"/>
        </w:tabs>
        <w:ind w:left="1267" w:firstLine="0"/>
      </w:pPr>
      <w:rPr>
        <w:rFonts w:ascii="Times New Roman" w:hAnsi="Times New Roman" w:hint="default"/>
        <w:b w:val="0"/>
        <w:i w:val="0"/>
        <w:spacing w:val="0"/>
        <w:w w:val="100"/>
        <w:sz w:val="20"/>
        <w:u w:val="none"/>
      </w:rPr>
    </w:lvl>
  </w:abstractNum>
  <w:abstractNum w:abstractNumId="34">
    <w:nsid w:val="319566B9"/>
    <w:multiLevelType w:val="singleLevel"/>
    <w:tmpl w:val="24D0A61C"/>
    <w:lvl w:ilvl="0">
      <w:start w:val="260"/>
      <w:numFmt w:val="decimal"/>
      <w:lvlText w:val="%1."/>
      <w:lvlJc w:val="left"/>
      <w:pPr>
        <w:tabs>
          <w:tab w:val="num" w:pos="1747"/>
        </w:tabs>
        <w:ind w:left="1747" w:hanging="480"/>
      </w:pPr>
      <w:rPr>
        <w:rFonts w:hint="default"/>
      </w:rPr>
    </w:lvl>
  </w:abstractNum>
  <w:abstractNum w:abstractNumId="35">
    <w:nsid w:val="33422499"/>
    <w:multiLevelType w:val="singleLevel"/>
    <w:tmpl w:val="77848B60"/>
    <w:lvl w:ilvl="0">
      <w:start w:val="79"/>
      <w:numFmt w:val="decimal"/>
      <w:lvlText w:val="%1."/>
      <w:lvlJc w:val="left"/>
      <w:pPr>
        <w:tabs>
          <w:tab w:val="num" w:pos="1747"/>
        </w:tabs>
        <w:ind w:left="1747" w:hanging="480"/>
      </w:pPr>
      <w:rPr>
        <w:rFonts w:hint="default"/>
      </w:rPr>
    </w:lvl>
  </w:abstractNum>
  <w:abstractNum w:abstractNumId="36">
    <w:nsid w:val="35681CCC"/>
    <w:multiLevelType w:val="hybridMultilevel"/>
    <w:tmpl w:val="DFDCB69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nsid w:val="35693E37"/>
    <w:multiLevelType w:val="singleLevel"/>
    <w:tmpl w:val="EC423FDC"/>
    <w:lvl w:ilvl="0">
      <w:start w:val="172"/>
      <w:numFmt w:val="decimal"/>
      <w:lvlRestart w:val="0"/>
      <w:lvlText w:val="%1."/>
      <w:lvlJc w:val="left"/>
      <w:pPr>
        <w:tabs>
          <w:tab w:val="num" w:pos="1742"/>
        </w:tabs>
        <w:ind w:left="1267" w:firstLine="0"/>
      </w:pPr>
      <w:rPr>
        <w:spacing w:val="0"/>
        <w:w w:val="100"/>
      </w:rPr>
    </w:lvl>
  </w:abstractNum>
  <w:abstractNum w:abstractNumId="38">
    <w:nsid w:val="36AB79F9"/>
    <w:multiLevelType w:val="singleLevel"/>
    <w:tmpl w:val="558430B8"/>
    <w:lvl w:ilvl="0">
      <w:start w:val="96"/>
      <w:numFmt w:val="decimal"/>
      <w:lvlRestart w:val="0"/>
      <w:lvlText w:val="%1."/>
      <w:lvlJc w:val="left"/>
      <w:pPr>
        <w:tabs>
          <w:tab w:val="num" w:pos="1742"/>
        </w:tabs>
        <w:ind w:left="1267" w:firstLine="0"/>
      </w:pPr>
      <w:rPr>
        <w:spacing w:val="0"/>
        <w:w w:val="100"/>
      </w:rPr>
    </w:lvl>
  </w:abstractNum>
  <w:abstractNum w:abstractNumId="39">
    <w:nsid w:val="36BB59FF"/>
    <w:multiLevelType w:val="singleLevel"/>
    <w:tmpl w:val="4CF83D3A"/>
    <w:lvl w:ilvl="0">
      <w:start w:val="192"/>
      <w:numFmt w:val="decimal"/>
      <w:lvlRestart w:val="0"/>
      <w:lvlText w:val="%1."/>
      <w:lvlJc w:val="left"/>
      <w:pPr>
        <w:tabs>
          <w:tab w:val="num" w:pos="1742"/>
        </w:tabs>
        <w:ind w:left="1267" w:firstLine="0"/>
      </w:pPr>
      <w:rPr>
        <w:spacing w:val="0"/>
        <w:w w:val="100"/>
      </w:rPr>
    </w:lvl>
  </w:abstractNum>
  <w:abstractNum w:abstractNumId="40">
    <w:nsid w:val="384D258C"/>
    <w:multiLevelType w:val="singleLevel"/>
    <w:tmpl w:val="588665D6"/>
    <w:lvl w:ilvl="0">
      <w:start w:val="80"/>
      <w:numFmt w:val="decimal"/>
      <w:lvlText w:val="%1."/>
      <w:lvlJc w:val="left"/>
      <w:pPr>
        <w:tabs>
          <w:tab w:val="num" w:pos="1747"/>
        </w:tabs>
        <w:ind w:left="1747" w:hanging="480"/>
      </w:pPr>
      <w:rPr>
        <w:rFonts w:hint="default"/>
      </w:rPr>
    </w:lvl>
  </w:abstractNum>
  <w:abstractNum w:abstractNumId="41">
    <w:nsid w:val="392739CC"/>
    <w:multiLevelType w:val="hybridMultilevel"/>
    <w:tmpl w:val="214A7D30"/>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2">
    <w:nsid w:val="39C6290F"/>
    <w:multiLevelType w:val="singleLevel"/>
    <w:tmpl w:val="6B44ADC2"/>
    <w:lvl w:ilvl="0">
      <w:start w:val="179"/>
      <w:numFmt w:val="decimal"/>
      <w:lvlRestart w:val="0"/>
      <w:lvlText w:val="%1."/>
      <w:lvlJc w:val="left"/>
      <w:pPr>
        <w:tabs>
          <w:tab w:val="num" w:pos="1742"/>
        </w:tabs>
        <w:ind w:left="1267" w:firstLine="0"/>
      </w:pPr>
      <w:rPr>
        <w:b w:val="0"/>
        <w:i w:val="0"/>
        <w:spacing w:val="0"/>
        <w:w w:val="100"/>
      </w:rPr>
    </w:lvl>
  </w:abstractNum>
  <w:abstractNum w:abstractNumId="43">
    <w:nsid w:val="3A992C73"/>
    <w:multiLevelType w:val="hybridMultilevel"/>
    <w:tmpl w:val="01A688C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4">
    <w:nsid w:val="3AE0642C"/>
    <w:multiLevelType w:val="singleLevel"/>
    <w:tmpl w:val="69C40796"/>
    <w:lvl w:ilvl="0">
      <w:start w:val="73"/>
      <w:numFmt w:val="decimal"/>
      <w:lvlText w:val="%1."/>
      <w:lvlJc w:val="left"/>
      <w:pPr>
        <w:tabs>
          <w:tab w:val="num" w:pos="1747"/>
        </w:tabs>
        <w:ind w:left="1747" w:hanging="480"/>
      </w:pPr>
      <w:rPr>
        <w:rFonts w:hint="default"/>
      </w:rPr>
    </w:lvl>
  </w:abstractNum>
  <w:abstractNum w:abstractNumId="45">
    <w:nsid w:val="3BE21F1B"/>
    <w:multiLevelType w:val="singleLevel"/>
    <w:tmpl w:val="7EE47634"/>
    <w:lvl w:ilvl="0">
      <w:start w:val="1"/>
      <w:numFmt w:val="decimal"/>
      <w:lvlRestart w:val="0"/>
      <w:lvlText w:val="%1."/>
      <w:lvlJc w:val="left"/>
      <w:pPr>
        <w:tabs>
          <w:tab w:val="num" w:pos="1742"/>
        </w:tabs>
        <w:ind w:left="1267" w:firstLine="0"/>
      </w:pPr>
      <w:rPr>
        <w:spacing w:val="0"/>
        <w:w w:val="100"/>
      </w:rPr>
    </w:lvl>
  </w:abstractNum>
  <w:abstractNum w:abstractNumId="46">
    <w:nsid w:val="3CAD72C7"/>
    <w:multiLevelType w:val="singleLevel"/>
    <w:tmpl w:val="CE9A7956"/>
    <w:lvl w:ilvl="0">
      <w:start w:val="74"/>
      <w:numFmt w:val="decimal"/>
      <w:lvlRestart w:val="0"/>
      <w:lvlText w:val="%1."/>
      <w:lvlJc w:val="left"/>
      <w:pPr>
        <w:tabs>
          <w:tab w:val="num" w:pos="1742"/>
        </w:tabs>
        <w:ind w:left="1267" w:firstLine="0"/>
      </w:pPr>
      <w:rPr>
        <w:spacing w:val="0"/>
        <w:w w:val="100"/>
      </w:rPr>
    </w:lvl>
  </w:abstractNum>
  <w:abstractNum w:abstractNumId="47">
    <w:nsid w:val="3CFB24E7"/>
    <w:multiLevelType w:val="singleLevel"/>
    <w:tmpl w:val="EB3292B0"/>
    <w:lvl w:ilvl="0">
      <w:start w:val="5"/>
      <w:numFmt w:val="decimal"/>
      <w:lvlText w:val="%1"/>
      <w:lvlJc w:val="left"/>
      <w:pPr>
        <w:tabs>
          <w:tab w:val="num" w:pos="1735"/>
        </w:tabs>
        <w:ind w:left="1735" w:hanging="468"/>
      </w:pPr>
      <w:rPr>
        <w:rFonts w:hint="default"/>
      </w:rPr>
    </w:lvl>
  </w:abstractNum>
  <w:abstractNum w:abstractNumId="48">
    <w:nsid w:val="445D70DC"/>
    <w:multiLevelType w:val="singleLevel"/>
    <w:tmpl w:val="8D289F22"/>
    <w:lvl w:ilvl="0">
      <w:start w:val="96"/>
      <w:numFmt w:val="decimal"/>
      <w:lvlRestart w:val="0"/>
      <w:lvlText w:val="%1."/>
      <w:lvlJc w:val="left"/>
      <w:pPr>
        <w:tabs>
          <w:tab w:val="num" w:pos="1742"/>
        </w:tabs>
        <w:ind w:left="1267" w:firstLine="0"/>
      </w:pPr>
      <w:rPr>
        <w:rFonts w:ascii="Times New Roman" w:hAnsi="Times New Roman" w:hint="default"/>
        <w:b w:val="0"/>
        <w:i w:val="0"/>
        <w:spacing w:val="0"/>
        <w:w w:val="100"/>
        <w:sz w:val="20"/>
      </w:rPr>
    </w:lvl>
  </w:abstractNum>
  <w:abstractNum w:abstractNumId="49">
    <w:nsid w:val="455D32D4"/>
    <w:multiLevelType w:val="singleLevel"/>
    <w:tmpl w:val="4B7C4E70"/>
    <w:lvl w:ilvl="0">
      <w:start w:val="145"/>
      <w:numFmt w:val="decimal"/>
      <w:lvlRestart w:val="0"/>
      <w:lvlText w:val="%1."/>
      <w:lvlJc w:val="left"/>
      <w:pPr>
        <w:tabs>
          <w:tab w:val="num" w:pos="1742"/>
        </w:tabs>
        <w:ind w:left="1267" w:firstLine="0"/>
      </w:pPr>
      <w:rPr>
        <w:spacing w:val="0"/>
        <w:w w:val="100"/>
      </w:rPr>
    </w:lvl>
  </w:abstractNum>
  <w:abstractNum w:abstractNumId="50">
    <w:nsid w:val="45807674"/>
    <w:multiLevelType w:val="singleLevel"/>
    <w:tmpl w:val="3D3EC9CE"/>
    <w:lvl w:ilvl="0">
      <w:start w:val="77"/>
      <w:numFmt w:val="decimal"/>
      <w:lvlText w:val="%1."/>
      <w:lvlJc w:val="left"/>
      <w:pPr>
        <w:tabs>
          <w:tab w:val="num" w:pos="1822"/>
        </w:tabs>
        <w:ind w:left="1822" w:hanging="555"/>
      </w:pPr>
      <w:rPr>
        <w:rFonts w:hint="default"/>
      </w:rPr>
    </w:lvl>
  </w:abstractNum>
  <w:abstractNum w:abstractNumId="51">
    <w:nsid w:val="462A0C3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2">
    <w:nsid w:val="46D05695"/>
    <w:multiLevelType w:val="singleLevel"/>
    <w:tmpl w:val="C75C8FFE"/>
    <w:lvl w:ilvl="0">
      <w:start w:val="78"/>
      <w:numFmt w:val="decimal"/>
      <w:lvlText w:val="%1."/>
      <w:lvlJc w:val="left"/>
      <w:pPr>
        <w:tabs>
          <w:tab w:val="num" w:pos="1747"/>
        </w:tabs>
        <w:ind w:left="1747" w:hanging="480"/>
      </w:pPr>
      <w:rPr>
        <w:rFonts w:hint="default"/>
      </w:rPr>
    </w:lvl>
  </w:abstractNum>
  <w:abstractNum w:abstractNumId="53">
    <w:nsid w:val="485A6F5F"/>
    <w:multiLevelType w:val="hybridMultilevel"/>
    <w:tmpl w:val="DA50C77E"/>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4">
    <w:nsid w:val="4BBD60F7"/>
    <w:multiLevelType w:val="hybridMultilevel"/>
    <w:tmpl w:val="567650E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5">
    <w:nsid w:val="4C8D0E47"/>
    <w:multiLevelType w:val="singleLevel"/>
    <w:tmpl w:val="3EB63370"/>
    <w:lvl w:ilvl="0">
      <w:start w:val="74"/>
      <w:numFmt w:val="decimal"/>
      <w:lvlRestart w:val="0"/>
      <w:lvlText w:val="%1."/>
      <w:lvlJc w:val="left"/>
      <w:pPr>
        <w:tabs>
          <w:tab w:val="num" w:pos="1742"/>
        </w:tabs>
        <w:ind w:left="1267" w:firstLine="0"/>
      </w:pPr>
      <w:rPr>
        <w:spacing w:val="0"/>
        <w:w w:val="100"/>
      </w:rPr>
    </w:lvl>
  </w:abstractNum>
  <w:abstractNum w:abstractNumId="56">
    <w:nsid w:val="508F3EE9"/>
    <w:multiLevelType w:val="singleLevel"/>
    <w:tmpl w:val="2E108388"/>
    <w:lvl w:ilvl="0">
      <w:start w:val="1"/>
      <w:numFmt w:val="decimal"/>
      <w:lvlRestart w:val="0"/>
      <w:lvlText w:val="%1."/>
      <w:lvlJc w:val="left"/>
      <w:pPr>
        <w:tabs>
          <w:tab w:val="num" w:pos="475"/>
        </w:tabs>
        <w:ind w:left="0" w:firstLine="0"/>
      </w:pPr>
      <w:rPr>
        <w:spacing w:val="0"/>
        <w:w w:val="100"/>
      </w:rPr>
    </w:lvl>
  </w:abstractNum>
  <w:abstractNum w:abstractNumId="57">
    <w:nsid w:val="521E156A"/>
    <w:multiLevelType w:val="hybridMultilevel"/>
    <w:tmpl w:val="4E580E48"/>
    <w:lvl w:ilvl="0" w:tplc="04090003">
      <w:start w:val="1"/>
      <w:numFmt w:val="bullet"/>
      <w:lvlText w:val="o"/>
      <w:lvlJc w:val="left"/>
      <w:pPr>
        <w:tabs>
          <w:tab w:val="num" w:pos="1800"/>
        </w:tabs>
        <w:ind w:left="1800" w:hanging="360"/>
      </w:pPr>
      <w:rPr>
        <w:rFonts w:ascii="Courier New" w:hAnsi="Courier New" w:cs="Courier New"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8">
    <w:nsid w:val="53AC27AB"/>
    <w:multiLevelType w:val="singleLevel"/>
    <w:tmpl w:val="2E108388"/>
    <w:lvl w:ilvl="0">
      <w:start w:val="1"/>
      <w:numFmt w:val="decimal"/>
      <w:lvlRestart w:val="0"/>
      <w:lvlText w:val="%1."/>
      <w:lvlJc w:val="left"/>
      <w:pPr>
        <w:tabs>
          <w:tab w:val="num" w:pos="475"/>
        </w:tabs>
        <w:ind w:left="0" w:firstLine="0"/>
      </w:pPr>
      <w:rPr>
        <w:spacing w:val="0"/>
        <w:w w:val="100"/>
      </w:rPr>
    </w:lvl>
  </w:abstractNum>
  <w:abstractNum w:abstractNumId="59">
    <w:nsid w:val="55107D57"/>
    <w:multiLevelType w:val="singleLevel"/>
    <w:tmpl w:val="2E108388"/>
    <w:lvl w:ilvl="0">
      <w:start w:val="1"/>
      <w:numFmt w:val="decimal"/>
      <w:lvlRestart w:val="0"/>
      <w:lvlText w:val="%1."/>
      <w:lvlJc w:val="left"/>
      <w:pPr>
        <w:tabs>
          <w:tab w:val="num" w:pos="475"/>
        </w:tabs>
        <w:ind w:left="0" w:firstLine="0"/>
      </w:pPr>
      <w:rPr>
        <w:spacing w:val="0"/>
        <w:w w:val="100"/>
      </w:rPr>
    </w:lvl>
  </w:abstractNum>
  <w:abstractNum w:abstractNumId="60">
    <w:nsid w:val="55BC640A"/>
    <w:multiLevelType w:val="hybridMultilevel"/>
    <w:tmpl w:val="2852241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1">
    <w:nsid w:val="59002C30"/>
    <w:multiLevelType w:val="hybridMultilevel"/>
    <w:tmpl w:val="C1C07DF0"/>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2">
    <w:nsid w:val="5E831F63"/>
    <w:multiLevelType w:val="singleLevel"/>
    <w:tmpl w:val="69844E64"/>
    <w:lvl w:ilvl="0">
      <w:start w:val="155"/>
      <w:numFmt w:val="decimal"/>
      <w:lvlRestart w:val="0"/>
      <w:lvlText w:val="%1."/>
      <w:lvlJc w:val="left"/>
      <w:pPr>
        <w:tabs>
          <w:tab w:val="num" w:pos="1742"/>
        </w:tabs>
        <w:ind w:left="1267" w:firstLine="0"/>
      </w:pPr>
      <w:rPr>
        <w:spacing w:val="0"/>
        <w:w w:val="100"/>
      </w:rPr>
    </w:lvl>
  </w:abstractNum>
  <w:abstractNum w:abstractNumId="63">
    <w:nsid w:val="61B36718"/>
    <w:multiLevelType w:val="hybridMultilevel"/>
    <w:tmpl w:val="9CB420E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4">
    <w:nsid w:val="62BB68BD"/>
    <w:multiLevelType w:val="singleLevel"/>
    <w:tmpl w:val="BC800D1A"/>
    <w:lvl w:ilvl="0">
      <w:start w:val="70"/>
      <w:numFmt w:val="decimal"/>
      <w:lvlText w:val="%1."/>
      <w:lvlJc w:val="left"/>
      <w:pPr>
        <w:tabs>
          <w:tab w:val="num" w:pos="1747"/>
        </w:tabs>
        <w:ind w:left="1747" w:hanging="480"/>
      </w:pPr>
      <w:rPr>
        <w:rFonts w:hint="default"/>
      </w:rPr>
    </w:lvl>
  </w:abstractNum>
  <w:abstractNum w:abstractNumId="65">
    <w:nsid w:val="67207957"/>
    <w:multiLevelType w:val="hybridMultilevel"/>
    <w:tmpl w:val="8F262124"/>
    <w:lvl w:ilvl="0" w:tplc="7D1E8B56">
      <w:start w:val="18"/>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6">
    <w:nsid w:val="679B789B"/>
    <w:multiLevelType w:val="hybridMultilevel"/>
    <w:tmpl w:val="3C3414F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7">
    <w:nsid w:val="6906531F"/>
    <w:multiLevelType w:val="singleLevel"/>
    <w:tmpl w:val="AE4ABC00"/>
    <w:lvl w:ilvl="0">
      <w:start w:val="208"/>
      <w:numFmt w:val="decimal"/>
      <w:lvlRestart w:val="0"/>
      <w:lvlText w:val="%1."/>
      <w:lvlJc w:val="left"/>
      <w:pPr>
        <w:tabs>
          <w:tab w:val="num" w:pos="1742"/>
        </w:tabs>
        <w:ind w:left="1267" w:firstLine="0"/>
      </w:pPr>
      <w:rPr>
        <w:spacing w:val="0"/>
        <w:w w:val="100"/>
      </w:rPr>
    </w:lvl>
  </w:abstractNum>
  <w:abstractNum w:abstractNumId="68">
    <w:nsid w:val="6A5C213E"/>
    <w:multiLevelType w:val="hybridMultilevel"/>
    <w:tmpl w:val="0ECAC99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9">
    <w:nsid w:val="6CAE0DBD"/>
    <w:multiLevelType w:val="singleLevel"/>
    <w:tmpl w:val="434E5254"/>
    <w:lvl w:ilvl="0">
      <w:start w:val="119"/>
      <w:numFmt w:val="decimal"/>
      <w:lvlRestart w:val="0"/>
      <w:lvlText w:val="%1."/>
      <w:lvlJc w:val="left"/>
      <w:pPr>
        <w:tabs>
          <w:tab w:val="num" w:pos="1742"/>
        </w:tabs>
        <w:ind w:left="1267" w:firstLine="0"/>
      </w:pPr>
      <w:rPr>
        <w:b w:val="0"/>
        <w:i w:val="0"/>
        <w:spacing w:val="0"/>
        <w:w w:val="100"/>
      </w:rPr>
    </w:lvl>
  </w:abstractNum>
  <w:abstractNum w:abstractNumId="70">
    <w:nsid w:val="6CB77C3F"/>
    <w:multiLevelType w:val="hybridMultilevel"/>
    <w:tmpl w:val="BD88896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1">
    <w:nsid w:val="6E980E88"/>
    <w:multiLevelType w:val="singleLevel"/>
    <w:tmpl w:val="10C25D90"/>
    <w:lvl w:ilvl="0">
      <w:start w:val="202"/>
      <w:numFmt w:val="decimal"/>
      <w:lvlRestart w:val="0"/>
      <w:lvlText w:val="%1."/>
      <w:lvlJc w:val="left"/>
      <w:pPr>
        <w:tabs>
          <w:tab w:val="num" w:pos="1742"/>
        </w:tabs>
        <w:ind w:left="1267" w:firstLine="0"/>
      </w:pPr>
      <w:rPr>
        <w:spacing w:val="0"/>
        <w:w w:val="100"/>
      </w:rPr>
    </w:lvl>
  </w:abstractNum>
  <w:abstractNum w:abstractNumId="72">
    <w:nsid w:val="6ECA1C75"/>
    <w:multiLevelType w:val="singleLevel"/>
    <w:tmpl w:val="40E032BC"/>
    <w:lvl w:ilvl="0">
      <w:start w:val="187"/>
      <w:numFmt w:val="decimal"/>
      <w:lvlRestart w:val="0"/>
      <w:lvlText w:val="%1."/>
      <w:lvlJc w:val="left"/>
      <w:pPr>
        <w:tabs>
          <w:tab w:val="num" w:pos="1742"/>
        </w:tabs>
        <w:ind w:left="1267" w:firstLine="0"/>
      </w:pPr>
      <w:rPr>
        <w:spacing w:val="0"/>
        <w:w w:val="100"/>
      </w:rPr>
    </w:lvl>
  </w:abstractNum>
  <w:abstractNum w:abstractNumId="73">
    <w:nsid w:val="74617C3B"/>
    <w:multiLevelType w:val="hybridMultilevel"/>
    <w:tmpl w:val="7370304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4">
    <w:nsid w:val="749266D3"/>
    <w:multiLevelType w:val="singleLevel"/>
    <w:tmpl w:val="0B18F3F6"/>
    <w:lvl w:ilvl="0">
      <w:start w:val="123"/>
      <w:numFmt w:val="decimal"/>
      <w:lvlRestart w:val="0"/>
      <w:lvlText w:val="%1."/>
      <w:lvlJc w:val="left"/>
      <w:pPr>
        <w:tabs>
          <w:tab w:val="num" w:pos="475"/>
        </w:tabs>
        <w:ind w:left="0" w:firstLine="0"/>
      </w:pPr>
      <w:rPr>
        <w:spacing w:val="0"/>
        <w:w w:val="100"/>
      </w:rPr>
    </w:lvl>
  </w:abstractNum>
  <w:abstractNum w:abstractNumId="75">
    <w:nsid w:val="75575169"/>
    <w:multiLevelType w:val="hybridMultilevel"/>
    <w:tmpl w:val="CB9E2B0C"/>
    <w:lvl w:ilvl="0" w:tplc="7D1E8B56">
      <w:start w:val="18"/>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6">
    <w:nsid w:val="76E179F0"/>
    <w:multiLevelType w:val="hybridMultilevel"/>
    <w:tmpl w:val="824AF1F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7">
    <w:nsid w:val="7DDB0846"/>
    <w:multiLevelType w:val="singleLevel"/>
    <w:tmpl w:val="9F109162"/>
    <w:lvl w:ilvl="0">
      <w:start w:val="101"/>
      <w:numFmt w:val="decimal"/>
      <w:lvlRestart w:val="0"/>
      <w:lvlText w:val="%1."/>
      <w:lvlJc w:val="left"/>
      <w:pPr>
        <w:tabs>
          <w:tab w:val="num" w:pos="1742"/>
        </w:tabs>
        <w:ind w:left="1267" w:firstLine="0"/>
      </w:pPr>
      <w:rPr>
        <w:spacing w:val="0"/>
        <w:w w:val="100"/>
      </w:rPr>
    </w:lvl>
  </w:abstractNum>
  <w:num w:numId="1">
    <w:abstractNumId w:val="15"/>
  </w:num>
  <w:num w:numId="2">
    <w:abstractNumId w:val="33"/>
  </w:num>
  <w:num w:numId="3">
    <w:abstractNumId w:val="47"/>
  </w:num>
  <w:num w:numId="4">
    <w:abstractNumId w:val="0"/>
  </w:num>
  <w:num w:numId="5">
    <w:abstractNumId w:val="45"/>
  </w:num>
  <w:num w:numId="6">
    <w:abstractNumId w:val="46"/>
  </w:num>
  <w:num w:numId="7">
    <w:abstractNumId w:val="21"/>
  </w:num>
  <w:num w:numId="8">
    <w:abstractNumId w:val="64"/>
  </w:num>
  <w:num w:numId="9">
    <w:abstractNumId w:val="3"/>
  </w:num>
  <w:num w:numId="10">
    <w:abstractNumId w:val="44"/>
  </w:num>
  <w:num w:numId="11">
    <w:abstractNumId w:val="26"/>
  </w:num>
  <w:num w:numId="12">
    <w:abstractNumId w:val="12"/>
  </w:num>
  <w:num w:numId="13">
    <w:abstractNumId w:val="50"/>
  </w:num>
  <w:num w:numId="14">
    <w:abstractNumId w:val="52"/>
  </w:num>
  <w:num w:numId="15">
    <w:abstractNumId w:val="35"/>
  </w:num>
  <w:num w:numId="16">
    <w:abstractNumId w:val="40"/>
  </w:num>
  <w:num w:numId="17">
    <w:abstractNumId w:val="8"/>
  </w:num>
  <w:num w:numId="18">
    <w:abstractNumId w:val="11"/>
  </w:num>
  <w:num w:numId="19">
    <w:abstractNumId w:val="13"/>
  </w:num>
  <w:num w:numId="20">
    <w:abstractNumId w:val="23"/>
  </w:num>
  <w:num w:numId="21">
    <w:abstractNumId w:val="2"/>
  </w:num>
  <w:num w:numId="22">
    <w:abstractNumId w:val="25"/>
  </w:num>
  <w:num w:numId="23">
    <w:abstractNumId w:val="1"/>
  </w:num>
  <w:num w:numId="24">
    <w:abstractNumId w:val="17"/>
  </w:num>
  <w:num w:numId="25">
    <w:abstractNumId w:val="55"/>
  </w:num>
  <w:num w:numId="26">
    <w:abstractNumId w:val="55"/>
    <w:lvlOverride w:ilvl="0">
      <w:lvl w:ilvl="0">
        <w:start w:val="74"/>
        <w:numFmt w:val="decimal"/>
        <w:lvlRestart w:val="0"/>
        <w:lvlText w:val="%1."/>
        <w:lvlJc w:val="left"/>
        <w:pPr>
          <w:tabs>
            <w:tab w:val="num" w:pos="1742"/>
          </w:tabs>
          <w:ind w:left="1267" w:firstLine="0"/>
        </w:pPr>
        <w:rPr>
          <w:spacing w:val="0"/>
          <w:w w:val="100"/>
        </w:rPr>
      </w:lvl>
    </w:lvlOverride>
  </w:num>
  <w:num w:numId="27">
    <w:abstractNumId w:val="48"/>
  </w:num>
  <w:num w:numId="28">
    <w:abstractNumId w:val="7"/>
  </w:num>
  <w:num w:numId="29">
    <w:abstractNumId w:val="38"/>
  </w:num>
  <w:num w:numId="30">
    <w:abstractNumId w:val="38"/>
    <w:lvlOverride w:ilvl="0">
      <w:lvl w:ilvl="0">
        <w:start w:val="96"/>
        <w:numFmt w:val="decimal"/>
        <w:lvlRestart w:val="0"/>
        <w:lvlText w:val="%1."/>
        <w:lvlJc w:val="left"/>
        <w:pPr>
          <w:tabs>
            <w:tab w:val="num" w:pos="1742"/>
          </w:tabs>
          <w:ind w:left="1267" w:firstLine="0"/>
        </w:pPr>
        <w:rPr>
          <w:spacing w:val="0"/>
          <w:w w:val="100"/>
        </w:rPr>
      </w:lvl>
    </w:lvlOverride>
  </w:num>
  <w:num w:numId="31">
    <w:abstractNumId w:val="30"/>
  </w:num>
  <w:num w:numId="32">
    <w:abstractNumId w:val="56"/>
  </w:num>
  <w:num w:numId="33">
    <w:abstractNumId w:val="56"/>
    <w:lvlOverride w:ilvl="0">
      <w:lvl w:ilvl="0">
        <w:start w:val="1"/>
        <w:numFmt w:val="decimal"/>
        <w:lvlRestart w:val="0"/>
        <w:lvlText w:val="%1."/>
        <w:lvlJc w:val="left"/>
        <w:pPr>
          <w:tabs>
            <w:tab w:val="num" w:pos="475"/>
          </w:tabs>
          <w:ind w:left="0" w:firstLine="0"/>
        </w:pPr>
        <w:rPr>
          <w:spacing w:val="0"/>
          <w:w w:val="100"/>
        </w:rPr>
      </w:lvl>
    </w:lvlOverride>
  </w:num>
  <w:num w:numId="34">
    <w:abstractNumId w:val="32"/>
  </w:num>
  <w:num w:numId="35">
    <w:abstractNumId w:val="32"/>
    <w:lvlOverride w:ilvl="0">
      <w:lvl w:ilvl="0">
        <w:start w:val="1"/>
        <w:numFmt w:val="decimal"/>
        <w:lvlRestart w:val="0"/>
        <w:lvlText w:val="%1."/>
        <w:lvlJc w:val="left"/>
        <w:pPr>
          <w:tabs>
            <w:tab w:val="num" w:pos="475"/>
          </w:tabs>
          <w:ind w:left="0" w:firstLine="0"/>
        </w:pPr>
        <w:rPr>
          <w:spacing w:val="0"/>
          <w:w w:val="100"/>
        </w:rPr>
      </w:lvl>
    </w:lvlOverride>
  </w:num>
  <w:num w:numId="36">
    <w:abstractNumId w:val="59"/>
  </w:num>
  <w:num w:numId="37">
    <w:abstractNumId w:val="56"/>
    <w:lvlOverride w:ilvl="0">
      <w:lvl w:ilvl="0">
        <w:start w:val="103"/>
        <w:numFmt w:val="decimal"/>
        <w:lvlRestart w:val="0"/>
        <w:lvlText w:val="%1."/>
        <w:lvlJc w:val="left"/>
        <w:pPr>
          <w:tabs>
            <w:tab w:val="num" w:pos="1742"/>
          </w:tabs>
          <w:ind w:left="1267" w:firstLine="0"/>
        </w:pPr>
        <w:rPr>
          <w:spacing w:val="0"/>
          <w:w w:val="100"/>
        </w:rPr>
      </w:lvl>
    </w:lvlOverride>
  </w:num>
  <w:num w:numId="38">
    <w:abstractNumId w:val="58"/>
  </w:num>
  <w:num w:numId="39">
    <w:abstractNumId w:val="19"/>
  </w:num>
  <w:num w:numId="40">
    <w:abstractNumId w:val="69"/>
  </w:num>
  <w:num w:numId="41">
    <w:abstractNumId w:val="30"/>
    <w:lvlOverride w:ilvl="0">
      <w:lvl w:ilvl="0">
        <w:start w:val="103"/>
        <w:numFmt w:val="decimal"/>
        <w:lvlRestart w:val="0"/>
        <w:lvlText w:val="%1."/>
        <w:lvlJc w:val="left"/>
        <w:pPr>
          <w:tabs>
            <w:tab w:val="num" w:pos="1742"/>
          </w:tabs>
          <w:ind w:left="1267" w:firstLine="0"/>
        </w:pPr>
        <w:rPr>
          <w:spacing w:val="0"/>
          <w:w w:val="100"/>
        </w:rPr>
      </w:lvl>
    </w:lvlOverride>
  </w:num>
  <w:num w:numId="42">
    <w:abstractNumId w:val="77"/>
  </w:num>
  <w:num w:numId="43">
    <w:abstractNumId w:val="74"/>
  </w:num>
  <w:num w:numId="44">
    <w:abstractNumId w:val="27"/>
  </w:num>
  <w:num w:numId="45">
    <w:abstractNumId w:val="62"/>
  </w:num>
  <w:num w:numId="46">
    <w:abstractNumId w:val="5"/>
  </w:num>
  <w:num w:numId="47">
    <w:abstractNumId w:val="5"/>
    <w:lvlOverride w:ilvl="0">
      <w:lvl w:ilvl="0">
        <w:start w:val="172"/>
        <w:numFmt w:val="decimal"/>
        <w:lvlRestart w:val="0"/>
        <w:lvlText w:val="%1."/>
        <w:lvlJc w:val="left"/>
        <w:pPr>
          <w:tabs>
            <w:tab w:val="num" w:pos="1742"/>
          </w:tabs>
          <w:ind w:left="1267" w:firstLine="0"/>
        </w:pPr>
        <w:rPr>
          <w:spacing w:val="0"/>
          <w:w w:val="100"/>
        </w:rPr>
      </w:lvl>
    </w:lvlOverride>
  </w:num>
  <w:num w:numId="48">
    <w:abstractNumId w:val="27"/>
    <w:lvlOverride w:ilvl="0">
      <w:lvl w:ilvl="0">
        <w:start w:val="123"/>
        <w:numFmt w:val="decimal"/>
        <w:lvlRestart w:val="0"/>
        <w:lvlText w:val="%1."/>
        <w:lvlJc w:val="left"/>
        <w:pPr>
          <w:tabs>
            <w:tab w:val="num" w:pos="1742"/>
          </w:tabs>
          <w:ind w:left="1267" w:firstLine="0"/>
        </w:pPr>
        <w:rPr>
          <w:spacing w:val="0"/>
          <w:w w:val="100"/>
        </w:rPr>
      </w:lvl>
    </w:lvlOverride>
  </w:num>
  <w:num w:numId="49">
    <w:abstractNumId w:val="37"/>
  </w:num>
  <w:num w:numId="50">
    <w:abstractNumId w:val="42"/>
  </w:num>
  <w:num w:numId="51">
    <w:abstractNumId w:val="72"/>
  </w:num>
  <w:num w:numId="52">
    <w:abstractNumId w:val="28"/>
  </w:num>
  <w:num w:numId="53">
    <w:abstractNumId w:val="39"/>
  </w:num>
  <w:num w:numId="54">
    <w:abstractNumId w:val="71"/>
  </w:num>
  <w:num w:numId="55">
    <w:abstractNumId w:val="67"/>
  </w:num>
  <w:num w:numId="56">
    <w:abstractNumId w:val="20"/>
  </w:num>
  <w:num w:numId="57">
    <w:abstractNumId w:val="51"/>
  </w:num>
  <w:num w:numId="58">
    <w:abstractNumId w:val="37"/>
    <w:lvlOverride w:ilvl="0">
      <w:lvl w:ilvl="0">
        <w:start w:val="172"/>
        <w:numFmt w:val="decimal"/>
        <w:lvlRestart w:val="0"/>
        <w:lvlText w:val="%1."/>
        <w:lvlJc w:val="left"/>
        <w:pPr>
          <w:tabs>
            <w:tab w:val="num" w:pos="1742"/>
          </w:tabs>
          <w:ind w:left="1267" w:firstLine="0"/>
        </w:pPr>
        <w:rPr>
          <w:spacing w:val="0"/>
          <w:w w:val="100"/>
        </w:rPr>
      </w:lvl>
    </w:lvlOverride>
  </w:num>
  <w:num w:numId="59">
    <w:abstractNumId w:val="34"/>
  </w:num>
  <w:num w:numId="60">
    <w:abstractNumId w:val="49"/>
  </w:num>
  <w:num w:numId="61">
    <w:abstractNumId w:val="31"/>
  </w:num>
  <w:num w:numId="62">
    <w:abstractNumId w:val="24"/>
  </w:num>
  <w:num w:numId="63">
    <w:abstractNumId w:val="41"/>
  </w:num>
  <w:num w:numId="64">
    <w:abstractNumId w:val="57"/>
  </w:num>
  <w:num w:numId="65">
    <w:abstractNumId w:val="10"/>
  </w:num>
  <w:num w:numId="66">
    <w:abstractNumId w:val="76"/>
  </w:num>
  <w:num w:numId="67">
    <w:abstractNumId w:val="14"/>
  </w:num>
  <w:num w:numId="68">
    <w:abstractNumId w:val="53"/>
  </w:num>
  <w:num w:numId="69">
    <w:abstractNumId w:val="63"/>
  </w:num>
  <w:num w:numId="70">
    <w:abstractNumId w:val="29"/>
  </w:num>
  <w:num w:numId="71">
    <w:abstractNumId w:val="61"/>
  </w:num>
  <w:num w:numId="72">
    <w:abstractNumId w:val="73"/>
  </w:num>
  <w:num w:numId="73">
    <w:abstractNumId w:val="22"/>
  </w:num>
  <w:num w:numId="74">
    <w:abstractNumId w:val="70"/>
  </w:num>
  <w:num w:numId="75">
    <w:abstractNumId w:val="43"/>
  </w:num>
  <w:num w:numId="76">
    <w:abstractNumId w:val="18"/>
  </w:num>
  <w:num w:numId="77">
    <w:abstractNumId w:val="9"/>
  </w:num>
  <w:num w:numId="78">
    <w:abstractNumId w:val="68"/>
  </w:num>
  <w:num w:numId="79">
    <w:abstractNumId w:val="6"/>
  </w:num>
  <w:num w:numId="80">
    <w:abstractNumId w:val="60"/>
  </w:num>
  <w:num w:numId="81">
    <w:abstractNumId w:val="4"/>
  </w:num>
  <w:num w:numId="82">
    <w:abstractNumId w:val="36"/>
  </w:num>
  <w:num w:numId="83">
    <w:abstractNumId w:val="54"/>
  </w:num>
  <w:num w:numId="84">
    <w:abstractNumId w:val="66"/>
  </w:num>
  <w:num w:numId="85">
    <w:abstractNumId w:val="16"/>
  </w:num>
  <w:num w:numId="86">
    <w:abstractNumId w:val="75"/>
  </w:num>
  <w:num w:numId="87">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sz w:val="20"/>
      <w:szCs w:val="20"/>
    </w:rPr>
  </w:style>
  <w:style w:type="paragraph" w:customStyle="1" w:styleId="H1">
    <w:name w:val="_ H_1"/>
    <w:basedOn w:val="Normal"/>
    <w:next w:val="SingleTxt"/>
    <w:pPr>
      <w:keepNext/>
      <w:keepLines/>
      <w:suppressAutoHyphens/>
      <w:spacing w:line="270" w:lineRule="exact"/>
      <w:outlineLvl w:val="0"/>
    </w:pPr>
    <w:rPr>
      <w:b/>
      <w:spacing w:val="4"/>
      <w:w w:val="103"/>
      <w:kern w:val="14"/>
      <w:szCs w:val="20"/>
    </w:rPr>
  </w:style>
  <w:style w:type="paragraph" w:customStyle="1" w:styleId="HCh">
    <w:name w:val="_ H _Ch"/>
    <w:basedOn w:val="H1"/>
    <w:next w:val="SingleTxt"/>
    <w:pPr>
      <w:spacing w:line="300" w:lineRule="exact"/>
    </w:pPr>
    <w:rPr>
      <w:spacing w:val="-2"/>
      <w:sz w:val="28"/>
    </w:rPr>
  </w:style>
  <w:style w:type="character" w:styleId="CommentReference">
    <w:name w:val="annotation reference"/>
    <w:semiHidden/>
    <w:rPr>
      <w:sz w:val="6"/>
    </w:rPr>
  </w:style>
  <w:style w:type="paragraph" w:styleId="BodyText">
    <w:name w:val="Body Text"/>
    <w:basedOn w:val="Normal"/>
    <w:semiHidden/>
    <w:pPr>
      <w:spacing w:line="360" w:lineRule="auto"/>
      <w:jc w:val="both"/>
    </w:pPr>
    <w:rPr>
      <w:rFonts w:ascii="Antique Olive" w:hAnsi="Antique Olive"/>
      <w:szCs w:val="20"/>
      <w:lang w:val="en-GB" w:eastAsia="zh-CN"/>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spacing w:line="240" w:lineRule="exact"/>
      <w:outlineLvl w:val="3"/>
    </w:pPr>
    <w:rPr>
      <w:i/>
      <w:spacing w:val="3"/>
      <w:w w:val="103"/>
      <w:kern w:val="14"/>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25395</Words>
  <Characters>144756</Characters>
  <Application>Microsoft Office Word</Application>
  <DocSecurity>4</DocSecurity>
  <Lines>1206</Lines>
  <Paragraphs>289</Paragraphs>
  <ScaleCrop>false</ScaleCrop>
  <HeadingPairs>
    <vt:vector size="2" baseType="variant">
      <vt:variant>
        <vt:lpstr>Título</vt:lpstr>
      </vt:variant>
      <vt:variant>
        <vt:i4>1</vt:i4>
      </vt:variant>
    </vt:vector>
  </HeadingPairs>
  <TitlesOfParts>
    <vt:vector size="1" baseType="lpstr">
      <vt:lpstr>CRC/C/70/Add.26</vt:lpstr>
    </vt:vector>
  </TitlesOfParts>
  <Company>ONU</Company>
  <LinksUpToDate>false</LinksUpToDate>
  <CharactersWithSpaces>177770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CRC/C/70/Add.26</dc:title>
  <dc:subject>05-43725</dc:subject>
  <dc:creator>de Castro</dc:creator>
  <cp:keywords/>
  <dc:description/>
  <cp:lastModifiedBy>PDF</cp:lastModifiedBy>
  <cp:revision>2</cp:revision>
  <cp:lastPrinted>2005-12-08T10:04:00Z</cp:lastPrinted>
  <dcterms:created xsi:type="dcterms:W3CDTF">2005-12-08T10:13:00Z</dcterms:created>
  <dcterms:modified xsi:type="dcterms:W3CDTF">2005-12-08T10:13:00Z</dcterms:modified>
</cp:coreProperties>
</file>