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девятая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623-м заседании,</w:t>
      </w:r>
    </w:p>
    <w:p w:rsidR="00000000" w:rsidRDefault="00000000">
      <w:r>
        <w:t>состоявшемся в Центральных учреждениях, Нью-Йорк, в пятницу, 11 июля 2003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rPr>
          <w:i/>
        </w:rPr>
        <w:tab/>
        <w:t xml:space="preserve"> </w:t>
      </w:r>
      <w:r>
        <w:t>г</w:t>
      </w:r>
      <w:r>
        <w:noBreakHyphen/>
        <w:t>жа Асар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ab/>
      </w:r>
      <w:r>
        <w:rPr>
          <w:i/>
        </w:rPr>
        <w:t xml:space="preserve">Объединенный четвертый и пятый периодический доклад Эквадора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 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Рассмотрение докладов, представленных государствами-участниками в соответствии со статьей 18 Конвенции</w:t>
      </w:r>
      <w:r>
        <w:rPr>
          <w:b w:val="0"/>
        </w:rPr>
        <w:t xml:space="preserve">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Объединенный четвертый и пятый периодический доклад Эквадора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(CEDAW/C/ECU/4–5, CEDAW/PSWG/2003/II/</w:t>
      </w:r>
      <w:r>
        <w:rPr>
          <w:i w:val="0"/>
        </w:rPr>
        <w:br/>
        <w:t>CRP.1/Add.1 и CEDAW/PSWG/2003/II/CRP.2)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 Гарсиа Альварадо и г</w:t>
      </w:r>
      <w:r>
        <w:rPr>
          <w:i/>
        </w:rPr>
        <w:noBreakHyphen/>
        <w:t>жа Агилар Монтальво занимают места за ст</w:t>
      </w:r>
      <w:r>
        <w:rPr>
          <w:i/>
        </w:rPr>
        <w:t>о</w:t>
      </w:r>
      <w:r>
        <w:rPr>
          <w:i/>
        </w:rPr>
        <w:t>лом Комитета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12–14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 Гарсиа Альварадо</w:t>
      </w:r>
      <w:r>
        <w:t xml:space="preserve"> (Эквадор), затраг</w:t>
      </w:r>
      <w:r>
        <w:t>и</w:t>
      </w:r>
      <w:r>
        <w:t>вая вопрос о социальном обеспечении и медици</w:t>
      </w:r>
      <w:r>
        <w:t>н</w:t>
      </w:r>
      <w:r>
        <w:t>ском страховании, говорит, что ее правительство рассматривает возможность создания системы вс</w:t>
      </w:r>
      <w:r>
        <w:t>е</w:t>
      </w:r>
      <w:r>
        <w:t>общего медицинского страхования. В настоящее время государственные служащие имеют право на медицинское страхование, в то время как лишь 60 процентов работников частного сектора имеют медицинские страховки, предоставляемые их раб</w:t>
      </w:r>
      <w:r>
        <w:t>о</w:t>
      </w:r>
      <w:r>
        <w:t>тодателями, и только 10 процентов сельских жит</w:t>
      </w:r>
      <w:r>
        <w:t>е</w:t>
      </w:r>
      <w:r>
        <w:t>лей имеют какое-либо медицинское страхование. Ее правительство осознает опасности, связанные с созданием частной системы медицинского страх</w:t>
      </w:r>
      <w:r>
        <w:t>о</w:t>
      </w:r>
      <w:r>
        <w:t>вания, как, например, в Чили, где значительная доля населения предпочитает не платить за медицинское страх</w:t>
      </w:r>
      <w:r>
        <w:t>о</w:t>
      </w:r>
      <w:r>
        <w:t>вание.</w:t>
      </w:r>
    </w:p>
    <w:p w:rsidR="00000000" w:rsidRDefault="00000000">
      <w:pPr>
        <w:pStyle w:val="DualTxt"/>
      </w:pPr>
      <w:r>
        <w:t>3.</w:t>
      </w:r>
      <w:r>
        <w:tab/>
        <w:t>Для облегчения доступа к кредитам для сел</w:t>
      </w:r>
      <w:r>
        <w:t>ь</w:t>
      </w:r>
      <w:r>
        <w:t>ских женщин был создан специальный фонд, и, кроме того, для повышения качества образования и здравоохранения, а также уровня доходов сельских женщин при участии Национального совета по д</w:t>
      </w:r>
      <w:r>
        <w:t>е</w:t>
      </w:r>
      <w:r>
        <w:t>лам женщин (КОНАМУ) принимаются соответс</w:t>
      </w:r>
      <w:r>
        <w:t>т</w:t>
      </w:r>
      <w:r>
        <w:t>вующие меры в рамках программы ПАДЕМУР. В 60</w:t>
      </w:r>
      <w:r>
        <w:noBreakHyphen/>
        <w:t>е–70</w:t>
      </w:r>
      <w:r>
        <w:noBreakHyphen/>
        <w:t>е годы было начато проведение аграрной реформы в качестве средства обеспечения справе</w:t>
      </w:r>
      <w:r>
        <w:t>д</w:t>
      </w:r>
      <w:r>
        <w:t>ливого распределения земли, передаваемой из рук крупных землевладельцев сельскому населению, особенно коренным народам, с тем чтобы те могли вновь обрести контроль над своими исконными землями. Имеющиеся у женщин права на землю не расширились, и принятые в рамках реформы меры не принесли желаемого результата, поскольку з</w:t>
      </w:r>
      <w:r>
        <w:t>а</w:t>
      </w:r>
      <w:r>
        <w:t>частую перераспределению подлежат малоплод</w:t>
      </w:r>
      <w:r>
        <w:t>о</w:t>
      </w:r>
      <w:r>
        <w:t>родные земли. Поэтому планируется принять д</w:t>
      </w:r>
      <w:r>
        <w:t>о</w:t>
      </w:r>
      <w:r>
        <w:t>полнительные меры для обеспечения проведения подлинной аграрной реформы. В то же время на муниципальном уровне Национальным институтом сельскохозяйственного развития (ИНДА) осущест</w:t>
      </w:r>
      <w:r>
        <w:t>в</w:t>
      </w:r>
      <w:r>
        <w:t>ляется распределение необрабатываемых муниц</w:t>
      </w:r>
      <w:r>
        <w:t>и</w:t>
      </w:r>
      <w:r>
        <w:t>пальных земель.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 Агилар Монтальво</w:t>
      </w:r>
      <w:r>
        <w:t xml:space="preserve"> (Эквадор), выступая по вопросу об имеющихся у женщин из числа к</w:t>
      </w:r>
      <w:r>
        <w:t>о</w:t>
      </w:r>
      <w:r>
        <w:t>ренного населения возможностях обращения в с</w:t>
      </w:r>
      <w:r>
        <w:t>у</w:t>
      </w:r>
      <w:r>
        <w:t>дебные органы, в частности в связи с насилием в быту, говорит, что полицейские органы страны н</w:t>
      </w:r>
      <w:r>
        <w:t>е</w:t>
      </w:r>
      <w:r>
        <w:t>сут ответственность за применение положений З</w:t>
      </w:r>
      <w:r>
        <w:t>а</w:t>
      </w:r>
      <w:r>
        <w:t>кона о борьбе с насилием в отношении женщин и в семье. Комиссариаты по делам женщин, специал</w:t>
      </w:r>
      <w:r>
        <w:t>и</w:t>
      </w:r>
      <w:r>
        <w:t>зирующиеся на вопросах бытового насилия, имею</w:t>
      </w:r>
      <w:r>
        <w:t>т</w:t>
      </w:r>
      <w:r>
        <w:t>ся лишь в центрах провинций, и их юрисдикция распространяется только на местные кантоны. З</w:t>
      </w:r>
      <w:r>
        <w:t>а</w:t>
      </w:r>
      <w:r>
        <w:t>частую женщинам из числа коренного населения сложно бывает обращаться в судебные органы, п</w:t>
      </w:r>
      <w:r>
        <w:t>о</w:t>
      </w:r>
      <w:r>
        <w:t>скольку поездки в полицейский участок являются для них обременительными. В то же время в тех провинциях, в которых имеются комиссариаты по делам женщин и многочисленное коренное насел</w:t>
      </w:r>
      <w:r>
        <w:t>е</w:t>
      </w:r>
      <w:r>
        <w:t>ние, многие женщины из числа коренного насел</w:t>
      </w:r>
      <w:r>
        <w:t>е</w:t>
      </w:r>
      <w:r>
        <w:t>ния подают жалобы. Женские организации и орг</w:t>
      </w:r>
      <w:r>
        <w:t>а</w:t>
      </w:r>
      <w:r>
        <w:t>низации женщин из числа коренного населения проводят деятельность по повышению уровня осв</w:t>
      </w:r>
      <w:r>
        <w:t>е</w:t>
      </w:r>
      <w:r>
        <w:t>домленности о правах женщин, однако конституц</w:t>
      </w:r>
      <w:r>
        <w:t>и</w:t>
      </w:r>
      <w:r>
        <w:t>онные гарантии, защищающие традиционную си</w:t>
      </w:r>
      <w:r>
        <w:t>с</w:t>
      </w:r>
      <w:r>
        <w:t>тему правосудия коренного населения, функцион</w:t>
      </w:r>
      <w:r>
        <w:t>и</w:t>
      </w:r>
      <w:r>
        <w:t>рование которой определяется старейшинами и наиболее уважаемыми лидерами, означают, что на женщин оказывается большое давление, с тем чт</w:t>
      </w:r>
      <w:r>
        <w:t>о</w:t>
      </w:r>
      <w:r>
        <w:t>бы они не подавали или отзывали свои жалобы и чтобы проблемы бытового насилия решались в ра</w:t>
      </w:r>
      <w:r>
        <w:t>м</w:t>
      </w:r>
      <w:r>
        <w:t>ках традиционной системы правосудия, в рамках которой, как правило, гендерные аспекты не учит</w:t>
      </w:r>
      <w:r>
        <w:t>ы</w:t>
      </w:r>
      <w:r>
        <w:t>ваются, а проблема насилия решается в соответс</w:t>
      </w:r>
      <w:r>
        <w:t>т</w:t>
      </w:r>
      <w:r>
        <w:t>вии с обычаями и традици</w:t>
      </w:r>
      <w:r>
        <w:t>я</w:t>
      </w:r>
      <w:r>
        <w:t>ми.</w:t>
      </w:r>
    </w:p>
    <w:p w:rsidR="00000000" w:rsidRDefault="00000000">
      <w:pPr>
        <w:pStyle w:val="DualTxt"/>
      </w:pPr>
      <w:r>
        <w:t>5.</w:t>
      </w:r>
      <w:r>
        <w:tab/>
        <w:t>КОНАМУ поощряет женщин из числа коре</w:t>
      </w:r>
      <w:r>
        <w:t>н</w:t>
      </w:r>
      <w:r>
        <w:t>ного населения к тому, чтобы они обращались к системе правосудия, и сотрудничает с женскими группами, представляющими как женщин из числа коренного населения, так и других женщин, с тем чтобы привлекать внимание к межкультурному и широкоохватному характеру проблемы насилия в отношении женщин. Такое положение еще более усугубляется тем, что многие организации женщин из числа коренного населения не связаны с наци</w:t>
      </w:r>
      <w:r>
        <w:t>о</w:t>
      </w:r>
      <w:r>
        <w:t>нальными женскими организациями. Тем не менее было проведено два крупных исследования по пр</w:t>
      </w:r>
      <w:r>
        <w:t>о</w:t>
      </w:r>
      <w:r>
        <w:t>блеме насилия в отношении женщин из числа к</w:t>
      </w:r>
      <w:r>
        <w:t>о</w:t>
      </w:r>
      <w:r>
        <w:t>ренного населения: одно — в о</w:t>
      </w:r>
      <w:r>
        <w:t>т</w:t>
      </w:r>
      <w:r>
        <w:t>ношении афро-эквадорских девочек в возрасте до 15 лет, а др</w:t>
      </w:r>
      <w:r>
        <w:t>у</w:t>
      </w:r>
      <w:r>
        <w:t>гое — по вопросу об эффективности осуществления программ в провинциях, в которых имеется мног</w:t>
      </w:r>
      <w:r>
        <w:t>о</w:t>
      </w:r>
      <w:r>
        <w:t>численное к</w:t>
      </w:r>
      <w:r>
        <w:t>о</w:t>
      </w:r>
      <w:r>
        <w:t>ренное население.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 Морваи</w:t>
      </w:r>
      <w:r>
        <w:t xml:space="preserve"> говорит, что положение с эк</w:t>
      </w:r>
      <w:r>
        <w:t>с</w:t>
      </w:r>
      <w:r>
        <w:t>плуатацией детского труда в Эквадоре является ужасающим, и спрашивает, проводились ли на ме</w:t>
      </w:r>
      <w:r>
        <w:t>ж</w:t>
      </w:r>
      <w:r>
        <w:t>дународном или национальном уровнях кампании протеста против действий национальных и межд</w:t>
      </w:r>
      <w:r>
        <w:t>у</w:t>
      </w:r>
      <w:r>
        <w:t>народных компаний, эксплуатирующих дешевый детский труд.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 Гарсиа Альварадо</w:t>
      </w:r>
      <w:r>
        <w:t xml:space="preserve"> (Эквадор) обращает внимание Комитета на статистические данные о с</w:t>
      </w:r>
      <w:r>
        <w:t>а</w:t>
      </w:r>
      <w:r>
        <w:t>модеятельном населении, содержащиеся на стр. 16–18 ответов Эквадора (CEDAW/PSWG/2003/II/</w:t>
      </w:r>
      <w:r>
        <w:br/>
        <w:t>CRP.2). Число работающих мужчин в возрасте от 10 до 19 лет превосходит соответствующее число женщин, поскольку по традиции девочки остаются в доме в течение более длительного периода врем</w:t>
      </w:r>
      <w:r>
        <w:t>е</w:t>
      </w:r>
      <w:r>
        <w:t>ни, а мальчики рано начинают работать. Дети могут начинать трудиться в возрасте всего лишь трех или четырех лет, продавая, например, жевательную р</w:t>
      </w:r>
      <w:r>
        <w:t>е</w:t>
      </w:r>
      <w:r>
        <w:t>зинку на улицах. Для сокращения числа работа</w:t>
      </w:r>
      <w:r>
        <w:t>ю</w:t>
      </w:r>
      <w:r>
        <w:t>щих детей принимались определенные меры, кот</w:t>
      </w:r>
      <w:r>
        <w:t>о</w:t>
      </w:r>
      <w:r>
        <w:t>рые принимали, например, форму бойкотирования эквадорских бананов или креветок по причине эк</w:t>
      </w:r>
      <w:r>
        <w:t>с</w:t>
      </w:r>
      <w:r>
        <w:t>плуатации детского труда, однако она выражает озабоченность по поводу катастрофических после</w:t>
      </w:r>
      <w:r>
        <w:t>д</w:t>
      </w:r>
      <w:r>
        <w:t>ствий, которые такие меры могут иметь для экон</w:t>
      </w:r>
      <w:r>
        <w:t>о</w:t>
      </w:r>
      <w:r>
        <w:t>мики и для занятости населения. Тем не менее ее правительство осознает эту проблему, и, хотя ник</w:t>
      </w:r>
      <w:r>
        <w:t>а</w:t>
      </w:r>
      <w:r>
        <w:t>ких широкомасштабных кампаний не проводится, Национальный институт по делам детей и семьи (ИННФА) проводит деятельность для повышения уровня такой осведомленности. В Конституции у</w:t>
      </w:r>
      <w:r>
        <w:t>с</w:t>
      </w:r>
      <w:r>
        <w:t>тановлен запрет на использование детского труда, особенно на опасных работах, однако до сих пор дети продолжают вливаться в ряды рабочей силы. Ее делегация намерена в своем следующем докладе представить дополнительную информацию по эт</w:t>
      </w:r>
      <w:r>
        <w:t>о</w:t>
      </w:r>
      <w:r>
        <w:t>му вопросу.</w:t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15 и 16</w:t>
      </w:r>
    </w:p>
    <w:p w:rsidR="00000000" w:rsidRDefault="00000000">
      <w:pPr>
        <w:pStyle w:val="DualTxt"/>
        <w:keepNext/>
        <w:keepLines/>
        <w:spacing w:after="0" w:line="120" w:lineRule="exact"/>
        <w:rPr>
          <w:sz w:val="10"/>
        </w:rPr>
      </w:pPr>
    </w:p>
    <w:p w:rsidR="00000000" w:rsidRDefault="00000000">
      <w:pPr>
        <w:pStyle w:val="DualTxt"/>
        <w:keepNext/>
        <w:keepLines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Морваи</w:t>
      </w:r>
      <w:r>
        <w:t xml:space="preserve"> выражает озабоченность по п</w:t>
      </w:r>
      <w:r>
        <w:t>о</w:t>
      </w:r>
      <w:r>
        <w:t>воду высоких показателей раннего вступления д</w:t>
      </w:r>
      <w:r>
        <w:t>е</w:t>
      </w:r>
      <w:r>
        <w:t>тей в сексуальные отношения и беременностей ср</w:t>
      </w:r>
      <w:r>
        <w:t>е</w:t>
      </w:r>
      <w:r>
        <w:t>ди подростков и спрашивает, является ли такое п</w:t>
      </w:r>
      <w:r>
        <w:t>о</w:t>
      </w:r>
      <w:r>
        <w:t>ложение характерным не только для беднейших слоев населения, но также и для среднего и высш</w:t>
      </w:r>
      <w:r>
        <w:t>е</w:t>
      </w:r>
      <w:r>
        <w:t>го классов. Ей хотелось бы получить статистич</w:t>
      </w:r>
      <w:r>
        <w:t>е</w:t>
      </w:r>
      <w:r>
        <w:t>ские данные по этой проблеме, в том числе в ра</w:t>
      </w:r>
      <w:r>
        <w:t>з</w:t>
      </w:r>
      <w:r>
        <w:t>бивке по с</w:t>
      </w:r>
      <w:r>
        <w:t>о</w:t>
      </w:r>
      <w:r>
        <w:t>циальным группам.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н Флинтерман</w:t>
      </w:r>
      <w:r>
        <w:t xml:space="preserve"> спрашивает, привела ли р</w:t>
      </w:r>
      <w:r>
        <w:t>е</w:t>
      </w:r>
      <w:r>
        <w:t>форма Гражданского кодекса к фактической ликв</w:t>
      </w:r>
      <w:r>
        <w:t>и</w:t>
      </w:r>
      <w:r>
        <w:t>дации всех дискриминационных в отношении же</w:t>
      </w:r>
      <w:r>
        <w:t>н</w:t>
      </w:r>
      <w:r>
        <w:t>щин положений, что касается, например, допущ</w:t>
      </w:r>
      <w:r>
        <w:t>е</w:t>
      </w:r>
      <w:r>
        <w:t>ния возможности использования информации о п</w:t>
      </w:r>
      <w:r>
        <w:t>о</w:t>
      </w:r>
      <w:r>
        <w:t>ловой жизни женщины при рассмотрении судебных исков, связанных с определением отцовства, сокр</w:t>
      </w:r>
      <w:r>
        <w:t>а</w:t>
      </w:r>
      <w:r>
        <w:t>щения продолжительности срока, по истечении к</w:t>
      </w:r>
      <w:r>
        <w:t>о</w:t>
      </w:r>
      <w:r>
        <w:t>торого женщина может повторно вступать в брак, или запрещения проституткам давать свидетельские показания по бракоразводным делам. Он потрясен содержащейся в докладе информацией о том, что минимальный возраст для вступления в брак с</w:t>
      </w:r>
      <w:r>
        <w:t>о</w:t>
      </w:r>
      <w:r>
        <w:t>ставляет 18 лет (пункт 319), однако почти 32 пр</w:t>
      </w:r>
      <w:r>
        <w:t>о</w:t>
      </w:r>
      <w:r>
        <w:t>цента от общего числа женщин в возрасте 15–19 лет являются замужними (пункт 314), а в отношении мужчин той же возрастной группы никаких стат</w:t>
      </w:r>
      <w:r>
        <w:t>и</w:t>
      </w:r>
      <w:r>
        <w:t>стических данных не имеется. Он спрашивает, о</w:t>
      </w:r>
      <w:r>
        <w:t>т</w:t>
      </w:r>
      <w:r>
        <w:t>личается ли возраст фактического вступления в брак для женщин от соответствующего возраста для мужчин, в тех случаях, когда родители дают свое согласие, и в этой связи просит представить соо</w:t>
      </w:r>
      <w:r>
        <w:t>т</w:t>
      </w:r>
      <w:r>
        <w:t>ветствующую дополнительную информацию по этому вопросу, а также в отношении показателей беременности среди подростков.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Гнакаджа</w:t>
      </w:r>
      <w:r>
        <w:t xml:space="preserve"> приветствует проведение р</w:t>
      </w:r>
      <w:r>
        <w:t>е</w:t>
      </w:r>
      <w:r>
        <w:t>формы законодательной системы, однако говорит, что осуществление реформ пока что оставляет ж</w:t>
      </w:r>
      <w:r>
        <w:t>е</w:t>
      </w:r>
      <w:r>
        <w:t>лать много лучшего. Несмотря на такие меропри</w:t>
      </w:r>
      <w:r>
        <w:t>я</w:t>
      </w:r>
      <w:r>
        <w:t>тия, как организация специальной подготовки для работников судебных органов, в правовой системе и в административных учреждениях имеет место с</w:t>
      </w:r>
      <w:r>
        <w:t>о</w:t>
      </w:r>
      <w:r>
        <w:t>противление воплощению в жизнь прав женщин. Рассмотрение дел, связанных с бытовым насилием и случаями изнасилования, занимает длительное время, и окончательные решения судов подвержены влиянию стереотипных представлений. Она спр</w:t>
      </w:r>
      <w:r>
        <w:t>а</w:t>
      </w:r>
      <w:r>
        <w:t>шивает, как правительство намерено обеспечивать соблюдение прав женщин и какую роль может и</w:t>
      </w:r>
      <w:r>
        <w:t>г</w:t>
      </w:r>
      <w:r>
        <w:t>рать канцелярия омбудсмена в рамках достижения этой цели.</w:t>
      </w:r>
    </w:p>
    <w:p w:rsidR="00000000" w:rsidRDefault="00000000">
      <w:pPr>
        <w:pStyle w:val="DualTxt"/>
      </w:pPr>
      <w:r>
        <w:t>11.</w:t>
      </w:r>
      <w:r>
        <w:tab/>
        <w:t>Важно пересмотреть существующие у коре</w:t>
      </w:r>
      <w:r>
        <w:t>н</w:t>
      </w:r>
      <w:r>
        <w:t>ных народов обычаи, когда право распоряжаться имуществом супружеской пары принадлежит лишь мужчинам, и обеспечить, чтобы при продаже им</w:t>
      </w:r>
      <w:r>
        <w:t>у</w:t>
      </w:r>
      <w:r>
        <w:t>щества требовались подписи обоих супругов. Хотя было заявлено, что живущие в условиях гражда</w:t>
      </w:r>
      <w:r>
        <w:t>н</w:t>
      </w:r>
      <w:r>
        <w:t>ского брака супруги имеют равные права в случае, если супружеская пара отвечает трем критериям, сами эти критерии определены не были. Наконец, хотя гражданские контракты требуют письменного согласия обоих супругов, она спрашивает, как м</w:t>
      </w:r>
      <w:r>
        <w:t>о</w:t>
      </w:r>
      <w:r>
        <w:t>жет справедливым образом применяться это треб</w:t>
      </w:r>
      <w:r>
        <w:t>о</w:t>
      </w:r>
      <w:r>
        <w:t>вание, если один из супругов является неграмо</w:t>
      </w:r>
      <w:r>
        <w:t>т</w:t>
      </w:r>
      <w:r>
        <w:t>ным, и может ли использоваться какой-либо другой метод, как, например, устное зая</w:t>
      </w:r>
      <w:r>
        <w:t>в</w:t>
      </w:r>
      <w:r>
        <w:t>ление.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спрашивает, бывают ли случаи, когда несовершеннолетний в возрасте до 18 лет не получает разрешение на вступление в брак, даже если родители дают на это свое согласие, и предо</w:t>
      </w:r>
      <w:r>
        <w:t>с</w:t>
      </w:r>
      <w:r>
        <w:t>тавляют ли, как правило, судебные органы беспр</w:t>
      </w:r>
      <w:r>
        <w:t>е</w:t>
      </w:r>
      <w:r>
        <w:t>пятственное разрешение на вступление в брак д</w:t>
      </w:r>
      <w:r>
        <w:t>е</w:t>
      </w:r>
      <w:r>
        <w:t>вочкам в возрасте до 18 лет. Хотелось бы получить более полную информацию о проектах в области социального развития, затрагивающих семью, и об их влиянии на положение женщин. Она также спрашивает, имеют ли женщины в случае развода доступ к средствам юридической помощи. Если да, каковы критерии получения такой помощи, разд</w:t>
      </w:r>
      <w:r>
        <w:t>е</w:t>
      </w:r>
      <w:r>
        <w:t>ляется ли имущество супругов поровну и имеет ли право женщина на получение алиментов, даже если детей у супругов не было.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 xml:space="preserve"> отмечает, что в соответс</w:t>
      </w:r>
      <w:r>
        <w:t>т</w:t>
      </w:r>
      <w:r>
        <w:t>вии со статьей 272 Конституции международные договоры преобладают над национальными закон</w:t>
      </w:r>
      <w:r>
        <w:t>а</w:t>
      </w:r>
      <w:r>
        <w:t>ми, но спрашивает, какие существуют или заплан</w:t>
      </w:r>
      <w:r>
        <w:t>и</w:t>
      </w:r>
      <w:r>
        <w:t>рованы механизмы для обеспечения реального в</w:t>
      </w:r>
      <w:r>
        <w:t>о</w:t>
      </w:r>
      <w:r>
        <w:t>площения в жизнь Конституции и международных договоров, включая Конвенцию. Реформа гражда</w:t>
      </w:r>
      <w:r>
        <w:t>н</w:t>
      </w:r>
      <w:r>
        <w:t>ского и уголовного кодексов открывает возможн</w:t>
      </w:r>
      <w:r>
        <w:t>о</w:t>
      </w:r>
      <w:r>
        <w:t>сти для приведения законов Эквадора в соответс</w:t>
      </w:r>
      <w:r>
        <w:t>т</w:t>
      </w:r>
      <w:r>
        <w:t>вие с международными стандартами. Она хотела бы знать, рассматривает ли государство-участник эту возможность в рамках консультаций с неправител</w:t>
      </w:r>
      <w:r>
        <w:t>ь</w:t>
      </w:r>
      <w:r>
        <w:t>ственными организациями. Она спрашивает, напр</w:t>
      </w:r>
      <w:r>
        <w:t>и</w:t>
      </w:r>
      <w:r>
        <w:t>мер, предполагается ли в новом Гражданском к</w:t>
      </w:r>
      <w:r>
        <w:t>о</w:t>
      </w:r>
      <w:r>
        <w:t>дексе, рассмотрение которого в настоящее время приостановлено, ликвидировать дискриминацио</w:t>
      </w:r>
      <w:r>
        <w:t>н</w:t>
      </w:r>
      <w:r>
        <w:t>ную практику, в соответствии с которой до вступл</w:t>
      </w:r>
      <w:r>
        <w:t>е</w:t>
      </w:r>
      <w:r>
        <w:t>ния женщины в повторный брак должно пройти о</w:t>
      </w:r>
      <w:r>
        <w:t>п</w:t>
      </w:r>
      <w:r>
        <w:t>ределенное время. Кроме того, должны быть ликв</w:t>
      </w:r>
      <w:r>
        <w:t>и</w:t>
      </w:r>
      <w:r>
        <w:t>дированы положения Уголовного кодекса, подде</w:t>
      </w:r>
      <w:r>
        <w:t>р</w:t>
      </w:r>
      <w:r>
        <w:t>живающие концепцию защиты чести с</w:t>
      </w:r>
      <w:r>
        <w:t>е</w:t>
      </w:r>
      <w:r>
        <w:t>мьи.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 Гонсалес Мартинес</w:t>
      </w:r>
      <w:r>
        <w:t xml:space="preserve"> говорит, что нек</w:t>
      </w:r>
      <w:r>
        <w:t>о</w:t>
      </w:r>
      <w:r>
        <w:t>торые положения, носящие дискриминационный характер в отношении женщин, должны быть изъ</w:t>
      </w:r>
      <w:r>
        <w:t>я</w:t>
      </w:r>
      <w:r>
        <w:t>ты из Гражданского кодекса. Она в качестве прим</w:t>
      </w:r>
      <w:r>
        <w:t>е</w:t>
      </w:r>
      <w:r>
        <w:t>ра приводит практику использования информации о половой жизни женщины при вынесении решений по делам, касающимся определения отцовства, и установление «периода ожидания», по истечении которого женщины могут повторно вступать в брак, особенно поскольку современные технические средства могут быстро определять отцовство в сл</w:t>
      </w:r>
      <w:r>
        <w:t>у</w:t>
      </w:r>
      <w:r>
        <w:t>чае беременности. Хотелось бы получить дополн</w:t>
      </w:r>
      <w:r>
        <w:t>и</w:t>
      </w:r>
      <w:r>
        <w:t>тельную информацию по вопросам, касающимся закона о семье, с тем чтобы определить, в какой степени состоящие в браке женщины достигли по</w:t>
      </w:r>
      <w:r>
        <w:t>д</w:t>
      </w:r>
      <w:r>
        <w:t>линного равенства. Она также просит представить информацию в отношении оснований для разводов, разрешенных в соответствии с Гражданским коде</w:t>
      </w:r>
      <w:r>
        <w:t>к</w:t>
      </w:r>
      <w:r>
        <w:t>сом, и их типов.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Тавареш да Силва</w:t>
      </w:r>
      <w:r>
        <w:t xml:space="preserve"> настоятельно приз</w:t>
      </w:r>
      <w:r>
        <w:t>ы</w:t>
      </w:r>
      <w:r>
        <w:t>вает государство-член разработать общие и всеоб</w:t>
      </w:r>
      <w:r>
        <w:t>ъ</w:t>
      </w:r>
      <w:r>
        <w:t>емлющие стратегии и программы для решения пр</w:t>
      </w:r>
      <w:r>
        <w:t>о</w:t>
      </w:r>
      <w:r>
        <w:t>блемы тайных абортов, вместо того чтобы полагат</w:t>
      </w:r>
      <w:r>
        <w:t>ь</w:t>
      </w:r>
      <w:r>
        <w:t>ся лишь на неправительственные организации, т</w:t>
      </w:r>
      <w:r>
        <w:t>а</w:t>
      </w:r>
      <w:r>
        <w:t>кие, как Межучрежденческая сеть по охране здор</w:t>
      </w:r>
      <w:r>
        <w:t>о</w:t>
      </w:r>
      <w:r>
        <w:t>вья подростков, или на отдельные новаторские пр</w:t>
      </w:r>
      <w:r>
        <w:t>о</w:t>
      </w:r>
      <w:r>
        <w:t>екты в области просвещения по вопросам половых отношений. Какая-то отдельная программа, каса</w:t>
      </w:r>
      <w:r>
        <w:t>ю</w:t>
      </w:r>
      <w:r>
        <w:t>щаяся вопросов здравоохранения, образования и информации и направленная на охват мужчин и мальчиков, не только сократит число абортов, но также снизит показатель оставления учебы и уменьшит остроту различных проблем, касающихся здор</w:t>
      </w:r>
      <w:r>
        <w:t>о</w:t>
      </w:r>
      <w:r>
        <w:t>вья.</w:t>
      </w:r>
    </w:p>
    <w:p w:rsidR="00000000" w:rsidRDefault="00000000">
      <w:pPr>
        <w:pStyle w:val="DualTxt"/>
      </w:pPr>
      <w:r>
        <w:t>16.</w:t>
      </w:r>
      <w:r>
        <w:tab/>
        <w:t>Отмечая, что женщины подвергаются со ст</w:t>
      </w:r>
      <w:r>
        <w:t>о</w:t>
      </w:r>
      <w:r>
        <w:t>роны традиционных судов и учреждений давлению, с тем чтобы они отзывали свои жалобы на бытовое насилие, она предупреждает, что основные права женщин не должны ущемляться в интересах кул</w:t>
      </w:r>
      <w:r>
        <w:t>ь</w:t>
      </w:r>
      <w:r>
        <w:t>турного мн</w:t>
      </w:r>
      <w:r>
        <w:t>о</w:t>
      </w:r>
      <w:r>
        <w:t>гообразия.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Гарсиа Альварадо</w:t>
      </w:r>
      <w:r>
        <w:t xml:space="preserve"> (Эквадор), отвечая на вопросы членов Комитета, говорит, что министе</w:t>
      </w:r>
      <w:r>
        <w:t>р</w:t>
      </w:r>
      <w:r>
        <w:t>ство общественного здравоохранения ведет общую статистику по показателям рождаемости, однако эти данные не разделяются по городским и сельским районам, социальным группам или по этническому или расовому происхождению. Естественно, пок</w:t>
      </w:r>
      <w:r>
        <w:t>а</w:t>
      </w:r>
      <w:r>
        <w:t>затели беременности являются более низкими среди женщин и девочек с высоким уровнем образования, которые заводят детей в более старшем возрасте. Она согласна с тем, что проблема беременности в подростковом возрасте в эквадорской культуре зн</w:t>
      </w:r>
      <w:r>
        <w:t>а</w:t>
      </w:r>
      <w:r>
        <w:t>чительно в меньшей степени объясняется высоким уровнем сексуальности, чем образом жизни, об</w:t>
      </w:r>
      <w:r>
        <w:t>у</w:t>
      </w:r>
      <w:r>
        <w:t>словленным низкой продолжительностью жизни, неграмотностью, отсутствием образования и недо</w:t>
      </w:r>
      <w:r>
        <w:t>с</w:t>
      </w:r>
      <w:r>
        <w:t>таточным использованием противозачаточных средств. Статистических данных о подпольных абортах не имеется. Аборт разрешено производить в некоторых ограниченных случаях, а именно жер</w:t>
      </w:r>
      <w:r>
        <w:t>т</w:t>
      </w:r>
      <w:r>
        <w:t>вам изнасилования и женщинам, страдающим пс</w:t>
      </w:r>
      <w:r>
        <w:t>и</w:t>
      </w:r>
      <w:r>
        <w:t>хическими заболеваниями, или же в тех случаях, когда под угрозой находится здоровье матери или ребенка. Подпольные аборты являются второй по серьезности причиной смертности среди д</w:t>
      </w:r>
      <w:r>
        <w:t>е</w:t>
      </w:r>
      <w:r>
        <w:t>вочек-подростков.</w:t>
      </w:r>
    </w:p>
    <w:p w:rsidR="00000000" w:rsidRDefault="00000000">
      <w:pPr>
        <w:pStyle w:val="DualTxt"/>
      </w:pPr>
      <w:r>
        <w:t>18.</w:t>
      </w:r>
      <w:r>
        <w:tab/>
        <w:t>Национальный совет по делам женщин (КОНАМУ) сотрудничает с Национальным инст</w:t>
      </w:r>
      <w:r>
        <w:t>и</w:t>
      </w:r>
      <w:r>
        <w:t>тутом сельскохозяйственного развития в рамках разработки модели совместного титула на право владения землей. До проведения в 80</w:t>
      </w:r>
      <w:r>
        <w:noBreakHyphen/>
        <w:t>е годы р</w:t>
      </w:r>
      <w:r>
        <w:t>е</w:t>
      </w:r>
      <w:r>
        <w:t>формы Гражданского кодекса мужчина как глава семьи мог продавать имущество своей жены, даже доставшееся ей по наследству, без ее согласия. Се</w:t>
      </w:r>
      <w:r>
        <w:t>й</w:t>
      </w:r>
      <w:r>
        <w:t>час и мужчины, и женщины имеют равные права в отношении распоряжения совместным имуществом; в соответствии с новыми требованиями необход</w:t>
      </w:r>
      <w:r>
        <w:t>и</w:t>
      </w:r>
      <w:r>
        <w:t>мо, чтобы и мужчины, и женщины подписывали с</w:t>
      </w:r>
      <w:r>
        <w:t>о</w:t>
      </w:r>
      <w:r>
        <w:t>ответствующий документ при покупке или продаже земли, имущества или домов, включая мебель. Пр</w:t>
      </w:r>
      <w:r>
        <w:t>о</w:t>
      </w:r>
      <w:r>
        <w:t>блема возникает в тех случаях, когда члены семьи являются неграмотными и согласие дается в устной форме; КОНАМУ даже получал жалобы на то, что женщинам не разрешается продавать имущество без согласия мужей, которые эмигр</w:t>
      </w:r>
      <w:r>
        <w:t>и</w:t>
      </w:r>
      <w:r>
        <w:t>ровали.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Агилар Монтальво</w:t>
      </w:r>
      <w:r>
        <w:t xml:space="preserve"> говорит, что в соо</w:t>
      </w:r>
      <w:r>
        <w:t>т</w:t>
      </w:r>
      <w:r>
        <w:t>ветствии со статьей 65 Кодекса о детях и подрос</w:t>
      </w:r>
      <w:r>
        <w:t>т</w:t>
      </w:r>
      <w:r>
        <w:t>ках, который недавно был принят Национальным конгрессом, возраст вступления в брак для мальч</w:t>
      </w:r>
      <w:r>
        <w:t>и</w:t>
      </w:r>
      <w:r>
        <w:t>ков и девочек без согласия их родителей составляет 15 лет.</w:t>
      </w:r>
    </w:p>
    <w:p w:rsidR="00000000" w:rsidRDefault="00000000">
      <w:pPr>
        <w:pStyle w:val="DualTxt"/>
      </w:pPr>
      <w:r>
        <w:t>20.</w:t>
      </w:r>
      <w:r>
        <w:tab/>
        <w:t>Женщины предпочитают, чтобы случаи быт</w:t>
      </w:r>
      <w:r>
        <w:t>о</w:t>
      </w:r>
      <w:r>
        <w:t>вого насилия квалифицировались как мисдиминор, с тем чтобы приговор выносился в течение 48 часов и без дополнительных расходов. КОНАМУ предл</w:t>
      </w:r>
      <w:r>
        <w:t>о</w:t>
      </w:r>
      <w:r>
        <w:t>жил Национальному судебному совету и Председ</w:t>
      </w:r>
      <w:r>
        <w:t>а</w:t>
      </w:r>
      <w:r>
        <w:t>телю Верховного суда расположить суд по делам семьи и суд магистратуры в одном месте, с тем чт</w:t>
      </w:r>
      <w:r>
        <w:t>о</w:t>
      </w:r>
      <w:r>
        <w:t>бы их материалы были общими для удобства их и</w:t>
      </w:r>
      <w:r>
        <w:t>с</w:t>
      </w:r>
      <w:r>
        <w:t>пользования подающими жалобы женщинами. Председатель Верховного суда поддержал эту идею в ходе национальной видеоконференции. Если н</w:t>
      </w:r>
      <w:r>
        <w:t>и</w:t>
      </w:r>
      <w:r>
        <w:t>каких препятствий не возникнет, это будет сделано в течение г</w:t>
      </w:r>
      <w:r>
        <w:t>о</w:t>
      </w:r>
      <w:r>
        <w:t>да.</w:t>
      </w:r>
    </w:p>
    <w:p w:rsidR="00000000" w:rsidRDefault="00000000">
      <w:pPr>
        <w:pStyle w:val="DualTxt"/>
      </w:pPr>
      <w:r>
        <w:t>21.</w:t>
      </w:r>
      <w:r>
        <w:tab/>
        <w:t>Права и обязанности, налагаемые в браке, также были предусмотрены и для гражданских бр</w:t>
      </w:r>
      <w:r>
        <w:t>а</w:t>
      </w:r>
      <w:r>
        <w:t>ков, когда свидетели могут подтвердить, что пара проживала совместно на протяжении по крайней мере двух лет. Как в официально заключенных, так и в гражданских браках совместно нажитое имущ</w:t>
      </w:r>
      <w:r>
        <w:t>е</w:t>
      </w:r>
      <w:r>
        <w:t>ство или «семейное имущество», как его принято называть в Эквадоре, может передаваться любому партнеру, однако практический порядок соответс</w:t>
      </w:r>
      <w:r>
        <w:t>т</w:t>
      </w:r>
      <w:r>
        <w:t>вующих действий ни в каких законодательных или директивных документах не определен. Гражда</w:t>
      </w:r>
      <w:r>
        <w:t>н</w:t>
      </w:r>
      <w:r>
        <w:t>ский судья, заключающий брак, должен спрашивать, кто из партнеров будет распоряжаться совместным имуществом. Однако в 90 процентах случаев такой вопрос не задается, и предполагается, что распор</w:t>
      </w:r>
      <w:r>
        <w:t>я</w:t>
      </w:r>
      <w:r>
        <w:t>жаться имуществом б</w:t>
      </w:r>
      <w:r>
        <w:t>у</w:t>
      </w:r>
      <w:r>
        <w:t>дет муж.</w:t>
      </w:r>
    </w:p>
    <w:p w:rsidR="00000000" w:rsidRDefault="00000000">
      <w:pPr>
        <w:pStyle w:val="DualTxt"/>
      </w:pPr>
      <w:r>
        <w:t>22.</w:t>
      </w:r>
      <w:r>
        <w:tab/>
        <w:t>Для расторжения брака никаких препятствий не существует, и для этого процесса предусмотрено равноправие. В проект кодекса о семье было пре</w:t>
      </w:r>
      <w:r>
        <w:t>д</w:t>
      </w:r>
      <w:r>
        <w:t>ложено внести некоторые изменения, касающиеся доходов. Однако пересмотр кодекса во втором чт</w:t>
      </w:r>
      <w:r>
        <w:t>е</w:t>
      </w:r>
      <w:r>
        <w:t>нии еще не производился. После первого чтения в нем предусмотрено, что все имущество и активы должны делиться между сторонами поровну. К чи</w:t>
      </w:r>
      <w:r>
        <w:t>с</w:t>
      </w:r>
      <w:r>
        <w:t>лу оснований для развода, в частности, относятся супружеская измена, жестокое обращение, издев</w:t>
      </w:r>
      <w:r>
        <w:t>а</w:t>
      </w:r>
      <w:r>
        <w:t>тельство или серьезные угрозы, покушение на жизнь супруга, наркомания или алкоголизм или н</w:t>
      </w:r>
      <w:r>
        <w:t>а</w:t>
      </w:r>
      <w:r>
        <w:t>личие серьезной инфекционной болезни. Другие причины включают в себя добровольное оставление семьи на целый год, рождение — в случае женщ</w:t>
      </w:r>
      <w:r>
        <w:t>и</w:t>
      </w:r>
      <w:r>
        <w:t>ны — ребенка, отцом которого является не ее муж, или попытка обмануть супруга или причинение вреда ребенку. Дородовое обслуживание и субсидии предоставляются даже в тех случаях, когда отцовс</w:t>
      </w:r>
      <w:r>
        <w:t>т</w:t>
      </w:r>
      <w:r>
        <w:t>во не может быть установлено.</w:t>
      </w:r>
    </w:p>
    <w:p w:rsidR="00000000" w:rsidRDefault="00000000">
      <w:pPr>
        <w:pStyle w:val="DualTxt"/>
      </w:pPr>
      <w:r>
        <w:t>23.</w:t>
      </w:r>
      <w:r>
        <w:tab/>
        <w:t>В Конституции Эквадора четко определено преобладающее значение международных докуме</w:t>
      </w:r>
      <w:r>
        <w:t>н</w:t>
      </w:r>
      <w:r>
        <w:t>тов, участником которых является эта страна, по отношению к национальным законам. На Парл</w:t>
      </w:r>
      <w:r>
        <w:t>а</w:t>
      </w:r>
      <w:r>
        <w:t>ментскую комиссию по делам женщин, детей и с</w:t>
      </w:r>
      <w:r>
        <w:t>е</w:t>
      </w:r>
      <w:r>
        <w:t>мьи возложена ответственность за приведение н</w:t>
      </w:r>
      <w:r>
        <w:t>а</w:t>
      </w:r>
      <w:r>
        <w:t>циональных законов в соответствие с положениями международных документов, включая Конвенцию, что должно занять около четырех лет. Пока что на международные договоры и конвенции делаются ссылки при рассмотрении соответствующих дел, связанных с бытовым насилием и преступлениями сексуального характера, комиссариатами по делам женщин и семьи («комиссариаты») и некоторыми уголовными судами в тех случаях, когда председ</w:t>
      </w:r>
      <w:r>
        <w:t>а</w:t>
      </w:r>
      <w:r>
        <w:t>телем суда является женщина, или же в рамках юридических заключений обвинителей, которые прошли соответствующее обучение по вопросу о международных договорах и конвенциях.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Гарсиа Альварадо</w:t>
      </w:r>
      <w:r>
        <w:t xml:space="preserve"> (Эквадор) говорит, что одной из первоочередных задач, стоящих перед Парламентской комиссией по делам женщин, детей и семьи, является ознакомление депутатов-женщин с положениями Конвенции, программой действий Международной конференции по народонаселению и развитию, которая состоялась в Каире, и Пеки</w:t>
      </w:r>
      <w:r>
        <w:t>н</w:t>
      </w:r>
      <w:r>
        <w:t>ской декларацией и Платформой действий. Даже реформа Гражданского кодекса не позволила полн</w:t>
      </w:r>
      <w:r>
        <w:t>о</w:t>
      </w:r>
      <w:r>
        <w:t>стью искоренить многие формы дискриминации, которые сохранились во вторичных нормативных положениях. Например, остается в силе требование о том, что женщина может вступать в повторный брак не меньше чем через год после развода, или ограничения в отношении участия женщин в де</w:t>
      </w:r>
      <w:r>
        <w:t>я</w:t>
      </w:r>
      <w:r>
        <w:t>тельности сельскохозяйственных кооперативов и в вопросах распоряжения водой и природными р</w:t>
      </w:r>
      <w:r>
        <w:t>е</w:t>
      </w:r>
      <w:r>
        <w:t>сурсами.</w:t>
      </w:r>
    </w:p>
    <w:p w:rsidR="00000000" w:rsidRDefault="00000000">
      <w:pPr>
        <w:pStyle w:val="DualTxt"/>
      </w:pPr>
      <w:r>
        <w:t>25.</w:t>
      </w:r>
      <w:r>
        <w:tab/>
        <w:t>Канцелярия омбудсмена оказывает поддержку и помощь только в уголовных делах, в то время как неправительственные организации (НПО) предо</w:t>
      </w:r>
      <w:r>
        <w:t>с</w:t>
      </w:r>
      <w:r>
        <w:t>тавляют подобные услуги на всей территории стр</w:t>
      </w:r>
      <w:r>
        <w:t>а</w:t>
      </w:r>
      <w:r>
        <w:t>ны в связи с гражданскими делами, касающимися разводов. В соответствии с Конституцией посре</w:t>
      </w:r>
      <w:r>
        <w:t>д</w:t>
      </w:r>
      <w:r>
        <w:t>нические услуги должна предоставлять Канцелярия Генерального прокурора, однако деятельностью многих центров по оказанию посреднических услуг руководят неправительственные орг</w:t>
      </w:r>
      <w:r>
        <w:t>а</w:t>
      </w:r>
      <w:r>
        <w:t>низации.</w:t>
      </w:r>
    </w:p>
    <w:p w:rsidR="00000000" w:rsidRDefault="00000000">
      <w:pPr>
        <w:pStyle w:val="DualTxt"/>
      </w:pPr>
      <w:r>
        <w:t>26.</w:t>
      </w:r>
      <w:r>
        <w:tab/>
        <w:t>Она говорит, что в стране допускаются пр</w:t>
      </w:r>
      <w:r>
        <w:t>е</w:t>
      </w:r>
      <w:r>
        <w:t>ступления, совершаемые в защиту чести, и признает тот факт, что соответствующие изменения в законы в этой области в рамках реформ Уголовного кодекса 1998 года внесены не были (фактически эти законы на протяжении последних 35 лет не применялись), хотя за такие изменения выступала Парламентская комиссия по делам женщин, детей и семьи. Этот вопрос будет рассматриваться в рамках более ш</w:t>
      </w:r>
      <w:r>
        <w:t>и</w:t>
      </w:r>
      <w:r>
        <w:t>рокой реформы с участием Канцелярии Генеральн</w:t>
      </w:r>
      <w:r>
        <w:t>о</w:t>
      </w:r>
      <w:r>
        <w:t>го прокурора. Государственный обвинитель будет отвечать за воплощение в жизнь нового Уголовно-процессуального к</w:t>
      </w:r>
      <w:r>
        <w:t>о</w:t>
      </w:r>
      <w:r>
        <w:t>декса.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Председатель</w:t>
      </w:r>
      <w:r>
        <w:t xml:space="preserve"> выражает признательность г</w:t>
      </w:r>
      <w:r>
        <w:t>о</w:t>
      </w:r>
      <w:r>
        <w:t>сударству-участнику за его усилия по осуществл</w:t>
      </w:r>
      <w:r>
        <w:t>е</w:t>
      </w:r>
      <w:r>
        <w:t>нию Конвенции, несмотря на экономические и п</w:t>
      </w:r>
      <w:r>
        <w:t>о</w:t>
      </w:r>
      <w:r>
        <w:t>литические трудности и стихийные бедствия. Особо высокой оценки заслуживают значительные дост</w:t>
      </w:r>
      <w:r>
        <w:t>и</w:t>
      </w:r>
      <w:r>
        <w:t>жения Эквадора в законодательной области, вкл</w:t>
      </w:r>
      <w:r>
        <w:t>ю</w:t>
      </w:r>
      <w:r>
        <w:t>чая конституционную реформу, внесение поправок в уголовный и гражданский кодексы страны и пр</w:t>
      </w:r>
      <w:r>
        <w:t>и</w:t>
      </w:r>
      <w:r>
        <w:t>нятие таких новых законов, как Закон о борьбе с н</w:t>
      </w:r>
      <w:r>
        <w:t>а</w:t>
      </w:r>
      <w:r>
        <w:t>силием в отношении женщин и членов семьи и З</w:t>
      </w:r>
      <w:r>
        <w:t>а</w:t>
      </w:r>
      <w:r>
        <w:t>кон об охране права женщин на труд, предусматр</w:t>
      </w:r>
      <w:r>
        <w:t>и</w:t>
      </w:r>
      <w:r>
        <w:t>вающий временные специальные меры. Более а</w:t>
      </w:r>
      <w:r>
        <w:t>к</w:t>
      </w:r>
      <w:r>
        <w:t>тивные усилия следует прилагать в целях предста</w:t>
      </w:r>
      <w:r>
        <w:t>в</w:t>
      </w:r>
      <w:r>
        <w:t>ления явления насилия в отношении женщин в к</w:t>
      </w:r>
      <w:r>
        <w:t>а</w:t>
      </w:r>
      <w:r>
        <w:t>честве вопроса прав человека и самой вопиющей формы ди</w:t>
      </w:r>
      <w:r>
        <w:t>с</w:t>
      </w:r>
      <w:r>
        <w:t>криминации.</w:t>
      </w:r>
    </w:p>
    <w:p w:rsidR="00000000" w:rsidRDefault="00000000">
      <w:pPr>
        <w:pStyle w:val="DualTxt"/>
      </w:pPr>
      <w:r>
        <w:t>28.</w:t>
      </w:r>
      <w:r>
        <w:tab/>
        <w:t>Она выражает озабоченность по поводу нес</w:t>
      </w:r>
      <w:r>
        <w:t>о</w:t>
      </w:r>
      <w:r>
        <w:t>ответствий и противоречий между национальными законами и их практическим осуществлением, ос</w:t>
      </w:r>
      <w:r>
        <w:t>о</w:t>
      </w:r>
      <w:r>
        <w:t>бенно в том, что касается образования и труда, что в особой степени сказывается на женщинах, относ</w:t>
      </w:r>
      <w:r>
        <w:t>я</w:t>
      </w:r>
      <w:r>
        <w:t>щихся к уязвимым группам населения. У Комитета также вызывает озабоченность низкий уровень гр</w:t>
      </w:r>
      <w:r>
        <w:t>а</w:t>
      </w:r>
      <w:r>
        <w:t>мотности среди женщин в сельских ра</w:t>
      </w:r>
      <w:r>
        <w:t>й</w:t>
      </w:r>
      <w:r>
        <w:t>онах.</w:t>
      </w:r>
    </w:p>
    <w:p w:rsidR="00000000" w:rsidRDefault="00000000">
      <w:pPr>
        <w:pStyle w:val="DualTxt"/>
      </w:pPr>
      <w:r>
        <w:t>29.</w:t>
      </w:r>
      <w:r>
        <w:tab/>
        <w:t>Безусловно, существует потребность в прим</w:t>
      </w:r>
      <w:r>
        <w:t>е</w:t>
      </w:r>
      <w:r>
        <w:t>нении более жестких санкций и в более решител</w:t>
      </w:r>
      <w:r>
        <w:t>ь</w:t>
      </w:r>
      <w:r>
        <w:t>ном осуществлении существующих законов в инт</w:t>
      </w:r>
      <w:r>
        <w:t>е</w:t>
      </w:r>
      <w:r>
        <w:t>ресах защиты женщин и девочек от эксплуатации в качестве проституток. Она также настоятельно пр</w:t>
      </w:r>
      <w:r>
        <w:t>и</w:t>
      </w:r>
      <w:r>
        <w:t>зывает Эквадор принять активные меры для иск</w:t>
      </w:r>
      <w:r>
        <w:t>о</w:t>
      </w:r>
      <w:r>
        <w:t>ренения стереотипных представлений и традиций, имеющих дискриминационный характер по отн</w:t>
      </w:r>
      <w:r>
        <w:t>о</w:t>
      </w:r>
      <w:r>
        <w:t>шению к замужним женщинам. Также необходимо укреплять конституционные права в отношении распоряжения имущес</w:t>
      </w:r>
      <w:r>
        <w:t>т</w:t>
      </w:r>
      <w:r>
        <w:t>вом.</w:t>
      </w:r>
    </w:p>
    <w:p w:rsidR="00000000" w:rsidRDefault="00000000">
      <w:pPr>
        <w:pStyle w:val="DualTxt"/>
      </w:pPr>
      <w:r>
        <w:t>30.</w:t>
      </w:r>
      <w:r>
        <w:tab/>
        <w:t>Следует прилагать всяческие усилия для озн</w:t>
      </w:r>
      <w:r>
        <w:t>а</w:t>
      </w:r>
      <w:r>
        <w:t>комления судебных органов с этими вопросами. Она надеется, что в его следующем периодическом докладе государство-участник представит инфо</w:t>
      </w:r>
      <w:r>
        <w:t>р</w:t>
      </w:r>
      <w:r>
        <w:t>мацию о результатах мер, принятых им для ликв</w:t>
      </w:r>
      <w:r>
        <w:t>и</w:t>
      </w:r>
      <w:r>
        <w:t>дации фактически имеющей место гендерной ди</w:t>
      </w:r>
      <w:r>
        <w:t>с</w:t>
      </w:r>
      <w:r>
        <w:t>криминации, а также данные о занятости с разби</w:t>
      </w:r>
      <w:r>
        <w:t>в</w:t>
      </w:r>
      <w:r>
        <w:t>кой по мужчинам и женщинам и о последствиях реформы в области образования и программ обе</w:t>
      </w:r>
      <w:r>
        <w:t>с</w:t>
      </w:r>
      <w:r>
        <w:t>печения грамотности для женщин, проживающих в сельской местности и относящихся к коренному н</w:t>
      </w:r>
      <w:r>
        <w:t>а</w:t>
      </w:r>
      <w:r>
        <w:t>селению. Эквадор должен также заняться решением проблемы беременности в раннем возрасте и труда детей-девочек и пропагандировать идею о том, что такие явления представляют собой нарушение прав человека женщин.</w:t>
      </w:r>
    </w:p>
    <w:p w:rsidR="00000000" w:rsidRDefault="00000000">
      <w:pPr>
        <w:pStyle w:val="DualTxt"/>
      </w:pPr>
      <w:r>
        <w:t>31.</w:t>
      </w:r>
      <w:r>
        <w:tab/>
        <w:t>Она надеется, что заключительные замечания Комитета будут распространены в широких ма</w:t>
      </w:r>
      <w:r>
        <w:t>с</w:t>
      </w:r>
      <w:r>
        <w:t>штабах, в том числе среди неправительственных организаций. Она выражает признательность гос</w:t>
      </w:r>
      <w:r>
        <w:t>у</w:t>
      </w:r>
      <w:r>
        <w:t>дарству-участнику в связи с ратификацией им Ф</w:t>
      </w:r>
      <w:r>
        <w:t>а</w:t>
      </w:r>
      <w:r>
        <w:t>культативного протокола к Конвенции и насто</w:t>
      </w:r>
      <w:r>
        <w:t>я</w:t>
      </w:r>
      <w:r>
        <w:t>тельно призывает его ратифицировать также п</w:t>
      </w:r>
      <w:r>
        <w:t>о</w:t>
      </w:r>
      <w:r>
        <w:t>правку к пункту 1 статьи 20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Гарсиа Альварадо</w:t>
      </w:r>
      <w:r>
        <w:t xml:space="preserve"> (Эквадор) выражает признательность членам Комитета за понимание ими внутренних и внешних трудностей, с которыми сталкивается ее страна. Вопрос о ратификации пункта 1 статьи 20 обсуждается в настоящее время. О решении ее правительства Комитету будет соо</w:t>
      </w:r>
      <w:r>
        <w:t>б</w:t>
      </w:r>
      <w:r>
        <w:t>щено в самое ближайшее вр</w:t>
      </w:r>
      <w:r>
        <w:t>е</w:t>
      </w:r>
      <w:r>
        <w:t>мя.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Заседание закрывается в 16 ч. 15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NO&gt;&gt;N0342689R&lt;&lt;ODS JOB NO&gt;&gt;</w:t>
      </w:r>
    </w:p>
    <w:p w:rsidR="00000000" w:rsidRDefault="00000000">
      <w:pPr>
        <w:pStyle w:val="CommentText"/>
      </w:pPr>
      <w:r>
        <w:t>&lt;&lt;ODS DOC SYMBOL1&gt;&gt;CEDAW/C/SR.623&lt;&lt;ODS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fldSimple w:instr=" PAGE  \* MERGEFORMAT ">
            <w:r>
              <w:t>2</w:t>
            </w:r>
          </w:fldSimple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fldSimple w:instr=" PAGE  \* MERGEFORMAT ">
            <w:r>
              <w:t>7</w:t>
            </w:r>
          </w:fldSimple>
        </w:p>
      </w:tc>
    </w:tr>
  </w:tbl>
  <w:p w:rsidR="00000000" w:rsidRDefault="0000000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03-42689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*0442689*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CEDAW/C/SR.623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CEDAW/C/SR.623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/C/SR.623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</w:t>
          </w:r>
          <w:r>
            <w:rPr>
              <w:lang w:val="en-US"/>
            </w:rPr>
            <w:t>5</w:t>
          </w:r>
          <w:r>
            <w:t xml:space="preserve"> February 2004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reationDt" w:val="20/02/2004 8:12: PM"/>
    <w:docVar w:name="DocCategory" w:val="SROthers"/>
    <w:docVar w:name="DocType" w:val="Final"/>
    <w:docVar w:name="JobNo" w:val="0342689R"/>
    <w:docVar w:name="OandT" w:val=" "/>
    <w:docVar w:name="Symbol1" w:val="CEDAW/C/SR.623"/>
    <w:docVar w:name="Symbol2" w:val="-"/>
  </w:docVar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Pr>
      <w:sz w:val="6"/>
    </w:rPr>
  </w:style>
  <w:style w:type="character" w:styleId="FootnoteReference">
    <w:name w:val="footnote reference"/>
    <w:basedOn w:val="DefaultParagraphFont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3</Pages>
  <Words>3356</Words>
  <Characters>19131</Characters>
  <Application>Microsoft Office Outlook</Application>
  <DocSecurity>4</DocSecurity>
  <Lines>159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23494</CharactersWithSpaces>
  <SharedDoc>false</SharedDoc>
  <HLinks>
    <vt:vector size="6" baseType="variant">
      <vt:variant>
        <vt:i4>4522087</vt:i4>
      </vt:variant>
      <vt:variant>
        <vt:i4>47662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21</cp:revision>
  <cp:lastPrinted>2004-02-24T22:37:00Z</cp:lastPrinted>
  <dcterms:created xsi:type="dcterms:W3CDTF">2004-02-24T22:26:00Z</dcterms:created>
  <dcterms:modified xsi:type="dcterms:W3CDTF">2004-02-24T22:59:00Z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CEDAW/C/SR.623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0342689R</vt:lpwstr>
  </property>
  <property fmtid="{D5CDD505-2E9C-101B-9397-08002B2CF9AE}" pid="6" name="Comment">
    <vt:lpwstr/>
  </property>
  <property fmtid="{D5CDD505-2E9C-101B-9397-08002B2CF9AE}" pid="7" name="DraftPages">
    <vt:lpwstr>7</vt:lpwstr>
  </property>
  <property fmtid="{D5CDD505-2E9C-101B-9397-08002B2CF9AE}" pid="8" name="Operator">
    <vt:lpwstr>Kuzishchina</vt:lpwstr>
  </property>
</Properties>
</file>