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845" w:rsidRDefault="00F66A89">
      <w:pPr>
        <w:spacing w:line="240" w:lineRule="auto"/>
        <w:rPr>
          <w:sz w:val="6"/>
        </w:rPr>
      </w:pPr>
      <w:commentRangeStart w:id="0"/>
      <w:r>
        <w:rPr>
          <w:rStyle w:val="CommentReference"/>
          <w:vanish/>
        </w:rPr>
        <w:commentReference w:id="1"/>
      </w:r>
      <w:commentRangeEnd w:id="0"/>
      <w:r w:rsidR="00E35845">
        <w:rPr>
          <w:rStyle w:val="CommentReference"/>
        </w:rPr>
        <w:commentReference w:id="0"/>
      </w:r>
    </w:p>
    <w:p w:rsidR="00F66A89" w:rsidRPr="00E35845" w:rsidRDefault="00F66A89" w:rsidP="00E35845">
      <w:pPr>
        <w:spacing w:line="20" w:lineRule="exact"/>
        <w:rPr>
          <w:sz w:val="2"/>
        </w:rPr>
        <w:sectPr w:rsidR="00F66A89" w:rsidRPr="00E3584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F66A89" w:rsidRDefault="00F66A89">
      <w:pPr>
        <w:pStyle w:val="H1"/>
      </w:pPr>
      <w:r>
        <w:t>Comité para la Eliminación de la Discriminación</w:t>
      </w:r>
      <w:r>
        <w:br/>
        <w:t>contra la Mujer</w:t>
      </w:r>
    </w:p>
    <w:p w:rsidR="00F66A89" w:rsidRDefault="00F66A89">
      <w:pPr>
        <w:pStyle w:val="H23"/>
      </w:pPr>
      <w:r>
        <w:t>22° período de sesiones</w:t>
      </w:r>
    </w:p>
    <w:p w:rsidR="00F66A89" w:rsidRDefault="00F66A89">
      <w:pPr>
        <w:spacing w:line="240" w:lineRule="auto"/>
        <w:rPr>
          <w:sz w:val="12"/>
        </w:rPr>
      </w:pPr>
    </w:p>
    <w:p w:rsidR="00F66A89" w:rsidRDefault="00F66A89">
      <w:pPr>
        <w:pStyle w:val="H23"/>
      </w:pPr>
      <w:r>
        <w:t>Acta resumida de la 454ª sesión</w:t>
      </w:r>
    </w:p>
    <w:p w:rsidR="00F66A89" w:rsidRDefault="00F66A89">
      <w:r>
        <w:t>Celebrada en la Sede, Nueva York, el martes 25 de enero de 2000 a las 10.30 horas</w:t>
      </w:r>
    </w:p>
    <w:p w:rsidR="00F66A89" w:rsidRDefault="00F66A89">
      <w:pPr>
        <w:spacing w:line="120" w:lineRule="exact"/>
        <w:rPr>
          <w:sz w:val="10"/>
        </w:rPr>
      </w:pPr>
    </w:p>
    <w:p w:rsidR="00F66A89" w:rsidRDefault="00F66A89">
      <w:pPr>
        <w:tabs>
          <w:tab w:val="right" w:pos="950"/>
          <w:tab w:val="left" w:pos="1267"/>
          <w:tab w:val="right" w:leader="dot" w:pos="8568"/>
        </w:tabs>
        <w:ind w:right="1267"/>
      </w:pPr>
      <w:r>
        <w:rPr>
          <w:i/>
        </w:rPr>
        <w:t>Presidenta:</w:t>
      </w:r>
      <w:r>
        <w:tab/>
        <w:t>Sra. González</w:t>
      </w:r>
    </w:p>
    <w:p w:rsidR="00F66A89" w:rsidRDefault="00F66A89">
      <w:pPr>
        <w:tabs>
          <w:tab w:val="right" w:pos="950"/>
          <w:tab w:val="left" w:pos="1267"/>
          <w:tab w:val="right" w:leader="dot" w:pos="8568"/>
        </w:tabs>
        <w:spacing w:line="120" w:lineRule="exact"/>
        <w:ind w:right="1267"/>
        <w:rPr>
          <w:sz w:val="10"/>
        </w:rPr>
      </w:pPr>
    </w:p>
    <w:p w:rsidR="00F66A89" w:rsidRDefault="00F66A89">
      <w:pPr>
        <w:tabs>
          <w:tab w:val="right" w:pos="950"/>
          <w:tab w:val="left" w:pos="1267"/>
          <w:tab w:val="right" w:leader="dot" w:pos="8568"/>
        </w:tabs>
        <w:spacing w:line="120" w:lineRule="exact"/>
        <w:ind w:right="1267"/>
        <w:rPr>
          <w:sz w:val="10"/>
        </w:rPr>
      </w:pPr>
    </w:p>
    <w:p w:rsidR="00F66A89" w:rsidRDefault="00F66A89">
      <w:pPr>
        <w:tabs>
          <w:tab w:val="right" w:pos="950"/>
          <w:tab w:val="left" w:pos="1267"/>
          <w:tab w:val="right" w:leader="dot" w:pos="8568"/>
        </w:tabs>
        <w:spacing w:line="120" w:lineRule="exact"/>
        <w:ind w:right="1267"/>
        <w:rPr>
          <w:sz w:val="10"/>
        </w:rPr>
      </w:pPr>
    </w:p>
    <w:p w:rsidR="00F66A89" w:rsidRDefault="00F66A89">
      <w:pPr>
        <w:pStyle w:val="HCh"/>
        <w:rPr>
          <w:b w:val="0"/>
        </w:rPr>
      </w:pPr>
      <w:r>
        <w:rPr>
          <w:b w:val="0"/>
        </w:rPr>
        <w:t>Sumario</w:t>
      </w:r>
    </w:p>
    <w:p w:rsidR="00F66A89" w:rsidRDefault="00F66A89">
      <w:pPr>
        <w:pStyle w:val="HCh"/>
        <w:spacing w:line="240" w:lineRule="auto"/>
        <w:rPr>
          <w:b w:val="0"/>
          <w:sz w:val="12"/>
        </w:rPr>
      </w:pPr>
    </w:p>
    <w:p w:rsidR="00F66A89" w:rsidRDefault="00F66A89">
      <w:pPr>
        <w:pStyle w:val="SingleTxt"/>
        <w:suppressAutoHyphens/>
        <w:jc w:val="left"/>
      </w:pPr>
      <w:r>
        <w:t>Examen de los informes presentados por los Estados partes en virtud del artículo 18 de la Convención (</w:t>
      </w:r>
      <w:r>
        <w:rPr>
          <w:i/>
        </w:rPr>
        <w:t>continuación</w:t>
      </w:r>
      <w:r>
        <w:t>)</w:t>
      </w:r>
    </w:p>
    <w:p w:rsidR="00F66A89" w:rsidRDefault="00F66A89">
      <w:pPr>
        <w:pStyle w:val="SingleTxt"/>
        <w:suppressAutoHyphens/>
        <w:ind w:left="1742" w:hanging="475"/>
        <w:jc w:val="left"/>
        <w:rPr>
          <w:i/>
        </w:rPr>
      </w:pPr>
      <w:r>
        <w:tab/>
      </w:r>
      <w:r>
        <w:rPr>
          <w:i/>
        </w:rPr>
        <w:t>Informe inicial y segundo y tercer informes periódicos de la República Democrática del Congo</w:t>
      </w:r>
    </w:p>
    <w:p w:rsidR="00F66A89" w:rsidRDefault="00F66A89">
      <w:pPr>
        <w:pStyle w:val="SingleTxt"/>
        <w:suppressAutoHyphens/>
        <w:ind w:left="1742" w:hanging="475"/>
        <w:jc w:val="left"/>
      </w:pPr>
    </w:p>
    <w:p w:rsidR="00F66A89" w:rsidRDefault="00F66A89">
      <w:pPr>
        <w:pStyle w:val="SingleTxt"/>
        <w:suppressAutoHyphens/>
        <w:ind w:left="1742" w:hanging="475"/>
        <w:jc w:val="left"/>
      </w:pPr>
    </w:p>
    <w:p w:rsidR="00F66A89" w:rsidRDefault="00F66A89">
      <w:pPr>
        <w:tabs>
          <w:tab w:val="left" w:pos="475"/>
          <w:tab w:val="left" w:pos="965"/>
          <w:tab w:val="left" w:pos="1440"/>
          <w:tab w:val="left" w:pos="1915"/>
          <w:tab w:val="left" w:pos="2405"/>
          <w:tab w:val="left" w:pos="2880"/>
          <w:tab w:val="left" w:pos="3355"/>
        </w:tabs>
        <w:spacing w:line="240" w:lineRule="auto"/>
        <w:rPr>
          <w:sz w:val="2"/>
        </w:rPr>
        <w:sectPr w:rsidR="00F66A89">
          <w:endnotePr>
            <w:numFmt w:val="decimal"/>
          </w:endnotePr>
          <w:type w:val="continuous"/>
          <w:pgSz w:w="12240" w:h="15840" w:code="1"/>
          <w:pgMar w:top="1742" w:right="1195" w:bottom="1898" w:left="1195" w:header="576" w:footer="1030" w:gutter="0"/>
          <w:pgNumType w:start="1"/>
          <w:cols w:space="720"/>
          <w:noEndnote/>
        </w:sectPr>
      </w:pPr>
      <w:r>
        <w:br w:type="page"/>
      </w:r>
    </w:p>
    <w:p w:rsidR="00F66A89" w:rsidRDefault="00F66A8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11.15 horas.</w:t>
      </w:r>
    </w:p>
    <w:p w:rsidR="00F66A89" w:rsidRDefault="00F66A89">
      <w:pPr>
        <w:spacing w:line="120" w:lineRule="exact"/>
        <w:jc w:val="both"/>
        <w:rPr>
          <w:sz w:val="10"/>
        </w:rPr>
      </w:pPr>
    </w:p>
    <w:p w:rsidR="00F66A89" w:rsidRDefault="00F66A89">
      <w:pPr>
        <w:spacing w:line="120" w:lineRule="exact"/>
        <w:jc w:val="both"/>
        <w:rPr>
          <w:sz w:val="10"/>
        </w:rPr>
      </w:pPr>
    </w:p>
    <w:p w:rsidR="00F66A89" w:rsidRDefault="00F66A8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F66A89" w:rsidRDefault="00F66A89">
      <w:pPr>
        <w:spacing w:line="120" w:lineRule="exact"/>
        <w:jc w:val="both"/>
        <w:rPr>
          <w:sz w:val="10"/>
        </w:rPr>
      </w:pPr>
    </w:p>
    <w:p w:rsidR="00F66A89" w:rsidRDefault="00F66A89">
      <w:pPr>
        <w:pStyle w:val="H4"/>
        <w:tabs>
          <w:tab w:val="right" w:pos="360"/>
          <w:tab w:val="left" w:pos="475"/>
          <w:tab w:val="left" w:pos="965"/>
          <w:tab w:val="left" w:pos="1440"/>
          <w:tab w:val="left" w:pos="1915"/>
          <w:tab w:val="left" w:pos="2405"/>
          <w:tab w:val="left" w:pos="2880"/>
          <w:tab w:val="left" w:pos="3355"/>
        </w:tabs>
      </w:pPr>
      <w:r>
        <w:t xml:space="preserve">Informe inicial e informes periódicos segundo y tercero de la República Democrática del Congo </w:t>
      </w:r>
      <w:r>
        <w:rPr>
          <w:i w:val="0"/>
        </w:rPr>
        <w:t>(CEDAW/C/ZAR/1, CEDAW/C/ZAR/2 y Add.1 y CEDAW/C/COD/1)</w:t>
      </w:r>
    </w:p>
    <w:p w:rsidR="00F66A89" w:rsidRDefault="00F66A89">
      <w:pPr>
        <w:spacing w:line="120" w:lineRule="exact"/>
        <w:jc w:val="both"/>
        <w:rPr>
          <w:sz w:val="10"/>
        </w:rPr>
      </w:pPr>
    </w:p>
    <w:p w:rsidR="00F66A89" w:rsidRDefault="00F66A89">
      <w:pPr>
        <w:pStyle w:val="DualTxt"/>
        <w:numPr>
          <w:ilvl w:val="0"/>
          <w:numId w:val="2"/>
        </w:numPr>
        <w:tabs>
          <w:tab w:val="clear" w:pos="960"/>
          <w:tab w:val="left" w:pos="475"/>
          <w:tab w:val="left" w:pos="965"/>
        </w:tabs>
      </w:pPr>
      <w:r>
        <w:rPr>
          <w:i/>
        </w:rPr>
        <w:t>Por invitación de la Presidenta, la Sra. Moleko Moliwa (República Democrática del Congo) toma asiento a la mesa del Comité</w:t>
      </w:r>
      <w:r>
        <w:t>.</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 xml:space="preserve">Sra. Moleko Moliwa </w:t>
      </w:r>
      <w:r>
        <w:t>(República Democrática del Congo) dice que un 52% de la actual población de su país, estimada en 50 millones de personas, son m</w:t>
      </w:r>
      <w:r>
        <w:t>u</w:t>
      </w:r>
      <w:r>
        <w:t>jeres. Es una población joven, pues un 59% de los h</w:t>
      </w:r>
      <w:r>
        <w:t>a</w:t>
      </w:r>
      <w:r>
        <w:t>bitantes tienen menos de 20 años de edad y también una población diversa, pues hay unas 450 tribus divid</w:t>
      </w:r>
      <w:r>
        <w:t>i</w:t>
      </w:r>
      <w:r>
        <w:t xml:space="preserve">das en cinco grupos étnicos principales. Un total de 60% vive en zonas rurales. </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papel y la condición social de la mujer son b</w:t>
      </w:r>
      <w:r>
        <w:t>á</w:t>
      </w:r>
      <w:r>
        <w:t>sicamente idénticos en los dos sistemas principales de matrimonio existentes en el país: sistema matrilineal y sistema patrilineal. La importancia de la mujer depende de su papel reproductivo y de las funciones que de</w:t>
      </w:r>
      <w:r>
        <w:t>s</w:t>
      </w:r>
      <w:r>
        <w:t>empeña en la producción alimentaria. Si bien hay libe</w:t>
      </w:r>
      <w:r>
        <w:t>r</w:t>
      </w:r>
      <w:r>
        <w:t>tad de culto, las prácticas religiosas tradicionales y la creencia en la hechicería constituyen un grave imped</w:t>
      </w:r>
      <w:r>
        <w:t>i</w:t>
      </w:r>
      <w:r>
        <w:t>mento para el desarrollo de los miembros más vulner</w:t>
      </w:r>
      <w:r>
        <w:t>a</w:t>
      </w:r>
      <w:r>
        <w:t>bles de la sociedad, principalmente ancianas y niños.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los principales recursos económicos de la República Democrática del Congo están const</w:t>
      </w:r>
      <w:r>
        <w:t>i</w:t>
      </w:r>
      <w:r>
        <w:t>tuidas por sus recursos mineros de cobre, oro, diama</w:t>
      </w:r>
      <w:r>
        <w:t>n</w:t>
      </w:r>
      <w:r>
        <w:t>tes y malaquita, el grueso de la población trabaja en la agricultura. Hay muy pocas industrias. El sector no e</w:t>
      </w:r>
      <w:r>
        <w:t>s</w:t>
      </w:r>
      <w:r>
        <w:t>tructurado, que emplea mayormente a mujeres, aporta más del 80% del producto interno bruto. En los últimos años, el PIB ha disminuido considerablemente, mie</w:t>
      </w:r>
      <w:r>
        <w:t>n</w:t>
      </w:r>
      <w:r>
        <w:t>tras ha aumentado pronunciadamente la tasa de infl</w:t>
      </w:r>
      <w:r>
        <w:t>a</w:t>
      </w:r>
      <w:r>
        <w:t>ción hasta llegar a 489% en 1999.</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Esta situación, debida en parte a la crisis de los mercados mundiales, se ha empeorado por los efectos de la reciente guerra de liberación y la guerra contra la República Democrática del Congo por parte de sus v</w:t>
      </w:r>
      <w:r>
        <w:t>e</w:t>
      </w:r>
      <w:r>
        <w:t>cinos orientales: Burundi, Rwanda y Uganda. Desde el asesinato del Presidente Habyarimana de Rwanda en 1994 y la ulterior guerra entre hutus y tutsis, la parte oriental del país ha quedado inundada por una corriente masiva de refugiados hutus, agravando la situación de inseguridad y pobreza que tornan cada vez más pr</w:t>
      </w:r>
      <w:r>
        <w:t>e</w:t>
      </w:r>
      <w:r>
        <w:t>carias las condiciones de vida, especialmente para la mujer.</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17 de mayo de 1997 cambió la dirección pol</w:t>
      </w:r>
      <w:r>
        <w:t>í</w:t>
      </w:r>
      <w:r>
        <w:t>tica a raíz de la guerra de liberación, que fue ganada con el apoyo militar de Rwanda y Uganda. No obsta</w:t>
      </w:r>
      <w:r>
        <w:t>n</w:t>
      </w:r>
      <w:r>
        <w:t>te, en 1999, cuando se solicitó a las fuerzas armadas de Rwanda y Uganda que regresaran a sus respectivos países, no sólo se negaron sino que recurrieron al ap</w:t>
      </w:r>
      <w:r>
        <w:t>o</w:t>
      </w:r>
      <w:r>
        <w:t>yo de Burundi para declarar la guerra a la República Democrática del Congo.</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en el poder desde 1997 está ava</w:t>
      </w:r>
      <w:r>
        <w:t>n</w:t>
      </w:r>
      <w:r>
        <w:t>zando hacia un sistema presidencial y democrático de gobe</w:t>
      </w:r>
      <w:r>
        <w:t>r</w:t>
      </w:r>
      <w:r>
        <w:t>nanza. Se ha establecido para el período 1999-2001 un programa mínimo trienal actualizado que da prioridad a la restauración de la paz y la estabilización del marco macroeconómico. Sin embargo, ese progr</w:t>
      </w:r>
      <w:r>
        <w:t>a</w:t>
      </w:r>
      <w:r>
        <w:t>ma y todo el proceso de democratización han quedado gravemente socavados por la guerra de agresión contra la que se debate el país desde 1998. Los recursos que de otro modo se habrían destinado al desarrollo ec</w:t>
      </w:r>
      <w:r>
        <w:t>o</w:t>
      </w:r>
      <w:r>
        <w:t>nómico y social, inclusive el adelanto de la mujer, se encauzan hacia el esfuerzo bélico.</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Desde que la República Democrática del Congo hubo suscrito la Declaración Universal de Derechos Humanos, sucesivos Gobiernos trataron de promover los derechos humanos de los ciudadanos sin distinción de sexo, edad, raza, tribu o religión. Además, en las s</w:t>
      </w:r>
      <w:r>
        <w:t>u</w:t>
      </w:r>
      <w:r>
        <w:t>cesivas constituciones de la República se consagró el principio de la igualdad entre hombres y mujeres.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Dado que reconoce la necesidad de crear co</w:t>
      </w:r>
      <w:r>
        <w:t>n</w:t>
      </w:r>
      <w:r>
        <w:t>ciencia respecto de los derechos de la mujer, tanto en la población en general como en las autoridades comp</w:t>
      </w:r>
      <w:r>
        <w:t>e</w:t>
      </w:r>
      <w:r>
        <w:t>tentes, su Gobierno preparó varios programas de radio y televisión sobre ese tema y el texto de la Convención se reprodujo en “</w:t>
      </w:r>
      <w:r>
        <w:rPr>
          <w:i/>
        </w:rPr>
        <w:t>Libota</w:t>
      </w:r>
      <w:r>
        <w:t>”, periódico publicado por el Ministerio de Asuntos Sociales y de la Familia. Ad</w:t>
      </w:r>
      <w:r>
        <w:t>e</w:t>
      </w:r>
      <w:r>
        <w:t>más, se impartieron seminarios sobre “Derechos de la mujer y cuestiones de género” en los centros adm</w:t>
      </w:r>
      <w:r>
        <w:t>i</w:t>
      </w:r>
      <w:r>
        <w:t xml:space="preserve">nistrativos de las provincias que no están ocupadas. Con el apoyo del Fondo de las Naciones Unidas para la Infancia, se está traduciendo la Convención a los idiomas nacionales de la República. Además, también </w:t>
      </w:r>
      <w:r>
        <w:rPr>
          <w:spacing w:val="6"/>
        </w:rPr>
        <w:t>participan en la difusión de sus disposiciones empr</w:t>
      </w:r>
      <w:r>
        <w:rPr>
          <w:spacing w:val="6"/>
        </w:rPr>
        <w:t>e</w:t>
      </w:r>
      <w:r>
        <w:rPr>
          <w:spacing w:val="6"/>
        </w:rPr>
        <w:t xml:space="preserve">sas </w:t>
      </w:r>
      <w:r>
        <w:t>privadas de radio y televisión, periódicos, revistas, revistas femeninas, iglesias y organizaciones no gube</w:t>
      </w:r>
      <w:r>
        <w:t>r</w:t>
      </w:r>
      <w:r>
        <w:t>namentales.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política nacional con respecto a la promoción de la mujer fue definida por el Ministerio de Asuntos Sociales y de la Familia, mientras que el Consejo N</w:t>
      </w:r>
      <w:r>
        <w:t>a</w:t>
      </w:r>
      <w:r>
        <w:t>cional de la Mujer, órgano consultivo gubernamental, y los Consejos Provinciales de la Mujer, se encargan de velar por la aplicación de dicha política. También hay consejos nacionales y provinciales para la infancia.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el principio de la igualdad entre hombres y mujeres está consagrado en la Constitución, varias leyes contienen disposiciones que discriminan contra la mujer. Es así como el Código de la Familia establece el principio de la incapacidad jurídica de la mujer casada y establece la edad mínima para co</w:t>
      </w:r>
      <w:r>
        <w:t>n</w:t>
      </w:r>
      <w:r>
        <w:t>traer matrimonio en 18 años para los varones y 15 años para las jóvenes mujeres. En forma similar, en virtud del Código Penal, las mujeres reciben castigos más s</w:t>
      </w:r>
      <w:r>
        <w:t>e</w:t>
      </w:r>
      <w:r>
        <w:t>veros que los hombres por el delito de adulterio. El Ministerio de Asuntos Sociales y de la Familia, colab</w:t>
      </w:r>
      <w:r>
        <w:t>o</w:t>
      </w:r>
      <w:r>
        <w:t>rando con organizaciones no gubernamentales, está preparando enmiendas para modificar las disposiciones discr</w:t>
      </w:r>
      <w:r>
        <w:t>i</w:t>
      </w:r>
      <w:r>
        <w:t>minatorias.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condición de la mujer está bajo la influencia de prácticas consuetudinarias, entre ellas los matrim</w:t>
      </w:r>
      <w:r>
        <w:t>o</w:t>
      </w:r>
      <w:r>
        <w:t>nios concertados, las dotes y el levirato, que aún prev</w:t>
      </w:r>
      <w:r>
        <w:t>a</w:t>
      </w:r>
      <w:r>
        <w:t>lecen en muchas zonas, urbanas y rurales. Los estere</w:t>
      </w:r>
      <w:r>
        <w:t>o</w:t>
      </w:r>
      <w:r>
        <w:t>tipos están profundamente arraigados y se cría a las n</w:t>
      </w:r>
      <w:r>
        <w:t>i</w:t>
      </w:r>
      <w:r>
        <w:t>ñas para que se consideren a sí mismas como inferi</w:t>
      </w:r>
      <w:r>
        <w:t>o</w:t>
      </w:r>
      <w:r>
        <w:t>res a los niños varones. El prejuicio restringe gravemente la posibilidad de que la mujer ejerza sus der</w:t>
      </w:r>
      <w:r>
        <w:t>e</w:t>
      </w:r>
      <w:r>
        <w:t>chos, aun cuando estos están consagrados en la ley.</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A partir del decenio de 1980, hubo varias camp</w:t>
      </w:r>
      <w:r>
        <w:t>a</w:t>
      </w:r>
      <w:r>
        <w:t>ñas para promover imágenes más positivas de la mujer y se han logrado algunos adelantos. En 1999 se e</w:t>
      </w:r>
      <w:r>
        <w:t>m</w:t>
      </w:r>
      <w:r>
        <w:t>prendió un estudio sobre la relación entre las leyes consuetudinarias y los derechos de la mujer, con miras a formular estrategia para la eliminación de las práct</w:t>
      </w:r>
      <w:r>
        <w:t>i</w:t>
      </w:r>
      <w:r>
        <w:t>cas perjudiciales para la mujer. Las iglesias y las org</w:t>
      </w:r>
      <w:r>
        <w:t>a</w:t>
      </w:r>
      <w:r>
        <w:t>nizaciones no gubernamentales, inclusive asociaciones de las mujeres en los medios de difusión, han hecho mucho para promover las acciones gubernamentales.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No hay disposiciones jurídicas que prohíban la prostitución y </w:t>
      </w:r>
      <w:r>
        <w:rPr>
          <w:w w:val="102"/>
        </w:rPr>
        <w:t xml:space="preserve">la explotación sexual de la mujer. Los proxenetas pueden ser enjuiciados en virtud del artículo 174 bis del Código Penal, pero </w:t>
      </w:r>
      <w:r>
        <w:t>no se estipulan penal</w:t>
      </w:r>
      <w:r>
        <w:t>i</w:t>
      </w:r>
      <w:r>
        <w:t>dades. No hay estadísticas oficiales sobre la incidencia de la prostitución debido a que no hay una autoridad que se encargue de las trabajadoras del sexo. Según una encuesta realizada en Kinshasa, las prostitutas, en su mayoría, son mujeres de entre 20 y 45 años de edad, aun cuando algunas son niñas de hasta 8 años de edad, abandonadas por sus progenitores.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Desde 1966 las mujeres han tenido derecho a v</w:t>
      </w:r>
      <w:r>
        <w:t>o</w:t>
      </w:r>
      <w:r>
        <w:t>tar y a ser candidatas en las elecciones a cargos públ</w:t>
      </w:r>
      <w:r>
        <w:t>i</w:t>
      </w:r>
      <w:r>
        <w:t>cos, pero siguen muy insuficientemente representadas en todos los niveles del gobierno. Del mismo modo, aun cuando el derecho de la mujer a representar la R</w:t>
      </w:r>
      <w:r>
        <w:t>e</w:t>
      </w:r>
      <w:r>
        <w:t>pública Democrática del Congo a nivel internacional y de participar en la labor de las organizaciones intern</w:t>
      </w:r>
      <w:r>
        <w:t>a</w:t>
      </w:r>
      <w:r>
        <w:t>cionales está garantizado en el proyecto de Constit</w:t>
      </w:r>
      <w:r>
        <w:t>u</w:t>
      </w:r>
      <w:r>
        <w:t>ción, son pocas las mujeres que ocupan altos puestos en el servicio diplomático y la participación femenina en los foros internacionales tiende a limitarse a las co</w:t>
      </w:r>
      <w:r>
        <w:t>n</w:t>
      </w:r>
      <w:r>
        <w:t>ferencias relativas a cuestiones atinentes a la mujer. Por otra parte, el Código de la Familia establece el principio de la igualdad entre hombres y mujeres en cuanto a la adquisición, la pérdida y la transmisión de la nacional</w:t>
      </w:r>
      <w:r>
        <w:t>i</w:t>
      </w:r>
      <w:r>
        <w:t>dad congoleña.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derecho a trabajar está reconocido tanto en el proyecto de Constitución como en el Código Laboral, sin distinciones por motivos de sexo, religión o tribu. El artículo 3 c) del Código estipula que una mujer c</w:t>
      </w:r>
      <w:r>
        <w:t>a</w:t>
      </w:r>
      <w:r>
        <w:t>sada puede ocupar un empleo, salvo cuando su esposo se opone expresamente. Pero muchos empleadores i</w:t>
      </w:r>
      <w:r>
        <w:t>n</w:t>
      </w:r>
      <w:r>
        <w:t>terpretan erróneamente ese artículo y solicitan la aut</w:t>
      </w:r>
      <w:r>
        <w:t>o</w:t>
      </w:r>
      <w:r>
        <w:t>rización del esposo antes de contratar a una mujer c</w:t>
      </w:r>
      <w:r>
        <w:t>a</w:t>
      </w:r>
      <w:r>
        <w:t>sada. A fin de proteger su salud, se prohíbe el trabajo nocturno en fábricas de todas las mujeres, independie</w:t>
      </w:r>
      <w:r>
        <w:t>n</w:t>
      </w:r>
      <w:r>
        <w:t>temente de su edad; y el horario de trabajo está limit</w:t>
      </w:r>
      <w:r>
        <w:t>a</w:t>
      </w:r>
      <w:r>
        <w:t>do a ocho horas por día y 48 horas por semana. P</w:t>
      </w:r>
      <w:r>
        <w:t>e</w:t>
      </w:r>
      <w:r>
        <w:t>ro si bien el Instituto Nacional de Seguridad Social presta servicios a más de 17.000 empresas y medio m</w:t>
      </w:r>
      <w:r>
        <w:t>i</w:t>
      </w:r>
      <w:r>
        <w:t>llón de trabajadores, quienes trabajan en el sector p</w:t>
      </w:r>
      <w:r>
        <w:t>a</w:t>
      </w:r>
      <w:r>
        <w:t>ralelo o no estructurado de la economía (en el que un 70% son m</w:t>
      </w:r>
      <w:r>
        <w:t>u</w:t>
      </w:r>
      <w:r>
        <w:t>jeres) no están protegidos por disposiciones de segur</w:t>
      </w:r>
      <w:r>
        <w:t>i</w:t>
      </w:r>
      <w:r>
        <w:t>dad social.</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proyecto de Constitución garantiza el derecho a la salud, que se reconoce como derecho fundamental de todos los ciudadanos. La estrategia del Gobierno en materia de servicios de atención se basa en los siguie</w:t>
      </w:r>
      <w:r>
        <w:t>n</w:t>
      </w:r>
      <w:r>
        <w:t>tes elementos: división del país en 306 zonas s</w:t>
      </w:r>
      <w:r>
        <w:t>a</w:t>
      </w:r>
      <w:r>
        <w:t>nitarias a fin de que los servicios de salud sean más a</w:t>
      </w:r>
      <w:r>
        <w:t>c</w:t>
      </w:r>
      <w:r>
        <w:t>cesibles; capacitación de las parteras y los agentes de salud en el marco del proyecto “Salud rural”; vacun</w:t>
      </w:r>
      <w:r>
        <w:t>a</w:t>
      </w:r>
      <w:r>
        <w:t>ción de niños y embarazadas contra enfermedades endémicas; enr</w:t>
      </w:r>
      <w:r>
        <w:t>i</w:t>
      </w:r>
      <w:r>
        <w:t>quecimiento de las dietas de los niños menores de ci</w:t>
      </w:r>
      <w:r>
        <w:t>n</w:t>
      </w:r>
      <w:r>
        <w:t>co años, las embarazadas y las madres que amamantan; difusión de información sobre salud reproductiva y e</w:t>
      </w:r>
      <w:r>
        <w:t>s</w:t>
      </w:r>
      <w:r>
        <w:t>paciamiento de los alumbramientos; prevención de las enfermedades de transmisión sexual y del virus de i</w:t>
      </w:r>
      <w:r>
        <w:t>n</w:t>
      </w:r>
      <w:r>
        <w:t>munodeficiencia humana (VIH) / síndrome de inmun</w:t>
      </w:r>
      <w:r>
        <w:t>o</w:t>
      </w:r>
      <w:r>
        <w:t>deficiencia adquirida (SIDA); y establecimiento del Comité Nacional sobre mutilación g</w:t>
      </w:r>
      <w:r>
        <w:t>e</w:t>
      </w:r>
      <w:r>
        <w:t>nital. Las medidas adoptadas por el Gobierno, sin embargo, están obstac</w:t>
      </w:r>
      <w:r>
        <w:t>u</w:t>
      </w:r>
      <w:r>
        <w:t>lizadas por la extrema pobreza. En verdad, en los últ</w:t>
      </w:r>
      <w:r>
        <w:t>i</w:t>
      </w:r>
      <w:r>
        <w:t>mos años la salud de la población ha declinado debido a que se ha discontinuado la cooperación bilateral y multilateral, no hay acceso a med</w:t>
      </w:r>
      <w:r>
        <w:t>i</w:t>
      </w:r>
      <w:r>
        <w:t>camentos básicos, se supervisa inadecuadamente a los agentes de salud y las condiciones sanitarias están d</w:t>
      </w:r>
      <w:r>
        <w:t>e</w:t>
      </w:r>
      <w:r>
        <w:t>terioradas.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Casi un 25% de los niños menores de cinco años padecen de malnutrición moderada o grave; la tasa de vacunación es de 23%; sólo las dos terceras partes de las mujeres reciben atención prenatal y la tasa de mo</w:t>
      </w:r>
      <w:r>
        <w:t>r</w:t>
      </w:r>
      <w:r>
        <w:t>talidad derivada de la maternidad es 1.837 por cada 100.000 nacidos vivos. La insuficiencia de los progr</w:t>
      </w:r>
      <w:r>
        <w:t>a</w:t>
      </w:r>
      <w:r>
        <w:t>mas de prevención de enfermedades y lucha contra é</w:t>
      </w:r>
      <w:r>
        <w:t>s</w:t>
      </w:r>
      <w:r>
        <w:t>tas creó una situación epidemiológica caracterizada por el resurgimiento de las enfermedades endémicas que anteriormente estaban controladas. El surgimiento del VIH/SIDA agravó la sobrecarga de los servicios de s</w:t>
      </w:r>
      <w:r>
        <w:t>a</w:t>
      </w:r>
      <w:r>
        <w:t>lud. A fin de abordar la situación, su Gobierno, con el apoyo de la Organización Mundial de la Salud, organ</w:t>
      </w:r>
      <w:r>
        <w:t>i</w:t>
      </w:r>
      <w:r>
        <w:t>zó una conferencia nacional sobre la salud, que cond</w:t>
      </w:r>
      <w:r>
        <w:t>u</w:t>
      </w:r>
      <w:r>
        <w:t>jo al replanteo de la política nacional de salud.</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y los hombres tienen el mismo der</w:t>
      </w:r>
      <w:r>
        <w:t>e</w:t>
      </w:r>
      <w:r>
        <w:t>cho a prestaciones familiares, préstamos bancarios, h</w:t>
      </w:r>
      <w:r>
        <w:t>i</w:t>
      </w:r>
      <w:r>
        <w:t>potecas y otras formas de crédito; pero en la práctica, la mujer casada carece de capacidad jurídica y el acc</w:t>
      </w:r>
      <w:r>
        <w:t>e</w:t>
      </w:r>
      <w:r>
        <w:t>so de la mujer al crédito queda limitado, dado que está en pe</w:t>
      </w:r>
      <w:r>
        <w:t>o</w:t>
      </w:r>
      <w:r>
        <w:t>res condiciones para ofrecer garantías.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Constitución reconoce el derecho de la mujer a participar en actividades recreativas y deportivas y en todos los aspectos de la vida cultural. Pero ese derecho queda restringido debido a la pobreza, la falta de tie</w:t>
      </w:r>
      <w:r>
        <w:t>m</w:t>
      </w:r>
      <w:r>
        <w:t>po y las actitudes culturales.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cuestión de la igualdad entre hombres y muj</w:t>
      </w:r>
      <w:r>
        <w:t>e</w:t>
      </w:r>
      <w:r>
        <w:t>res en el matrimonio y la familia está reglamentada por el nuevo Código de la Familia, el cual establece que a la edad de 18 años, todos los congoleños, de uno y otro sexo, llegan a la mayoría de edad y pueden casarse. Los cónyuges tienen los mismos derechos y obligaci</w:t>
      </w:r>
      <w:r>
        <w:t>o</w:t>
      </w:r>
      <w:r>
        <w:t>nes con respecto a sus hijos y los mismos derechos y obligaciones dentro del matrimonio y en caso de fall</w:t>
      </w:r>
      <w:r>
        <w:t>e</w:t>
      </w:r>
      <w:r>
        <w:t>cimiento de uno de ellos. Pese a esas reformas favor</w:t>
      </w:r>
      <w:r>
        <w:t>a</w:t>
      </w:r>
      <w:r>
        <w:t>bles, una mujer casada todavía debe obtener autoriz</w:t>
      </w:r>
      <w:r>
        <w:t>a</w:t>
      </w:r>
      <w:r>
        <w:t>ción de su esposo para participar en algunas transa</w:t>
      </w:r>
      <w:r>
        <w:t>c</w:t>
      </w:r>
      <w:r>
        <w:t>ciones y se espera que viva con su esposo en el lugar que éste elija.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Todos los niños, sean cuales fueren su sexo, raza, edad o clase social, tienen derecho a la educación. El proyecto de Constitución y las leyes nacionales gara</w:t>
      </w:r>
      <w:r>
        <w:t>n</w:t>
      </w:r>
      <w:r>
        <w:t>tizan el acceso a la educación de las niñas y los niños varones. De conformidad con el artículo 10 de la Co</w:t>
      </w:r>
      <w:r>
        <w:t>n</w:t>
      </w:r>
      <w:r>
        <w:t>vención, la República Democrática del Congo se a</w:t>
      </w:r>
      <w:r>
        <w:t>d</w:t>
      </w:r>
      <w:r>
        <w:t>hirió a la Declaración Universal de Derechos Humanos y a la Convención sobre los Derechos del Niño. El nuevo sistema educacional, establecido en 1996, hace especial hincapié en educar a las niñas en situación desventaj</w:t>
      </w:r>
      <w:r>
        <w:t>o</w:t>
      </w:r>
      <w:r>
        <w:t>sa y en reducir la tasa de abandono escolar.</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El Foro Nacional sobre los derechos y la capac</w:t>
      </w:r>
      <w:r>
        <w:t>i</w:t>
      </w:r>
      <w:r>
        <w:t>dad de liderazgo de las mujeres congoleñas, también celebrado en 1996, se concentró en fomentar la matr</w:t>
      </w:r>
      <w:r>
        <w:t>i</w:t>
      </w:r>
      <w:r>
        <w:t xml:space="preserve">culación de </w:t>
      </w:r>
      <w:r>
        <w:rPr>
          <w:w w:val="101"/>
        </w:rPr>
        <w:t>niñas en la escuela secundaria y a posibil</w:t>
      </w:r>
      <w:r>
        <w:rPr>
          <w:w w:val="101"/>
        </w:rPr>
        <w:t>i</w:t>
      </w:r>
      <w:r>
        <w:rPr>
          <w:w w:val="101"/>
        </w:rPr>
        <w:t>tar que las niñas aprendan una profesión. Aunque el G</w:t>
      </w:r>
      <w:r>
        <w:rPr>
          <w:w w:val="101"/>
        </w:rPr>
        <w:t>o</w:t>
      </w:r>
      <w:r>
        <w:rPr>
          <w:w w:val="101"/>
        </w:rPr>
        <w:t>bierno autorizó a las instituciones gubernamentales, las sociedades confesionales y los individuos privados a e</w:t>
      </w:r>
      <w:r>
        <w:rPr>
          <w:w w:val="101"/>
        </w:rPr>
        <w:t>s</w:t>
      </w:r>
      <w:r>
        <w:rPr>
          <w:w w:val="101"/>
        </w:rPr>
        <w:t>tablecer escuelas primarias</w:t>
      </w:r>
      <w:r>
        <w:t xml:space="preserve"> y secundarias e instituci</w:t>
      </w:r>
      <w:r>
        <w:t>o</w:t>
      </w:r>
      <w:r>
        <w:t>nes de enseñanza superior, muchos niños siguen car</w:t>
      </w:r>
      <w:r>
        <w:t>e</w:t>
      </w:r>
      <w:r>
        <w:t>ciendo de acceso a la educación debido a que sus pr</w:t>
      </w:r>
      <w:r>
        <w:t>o</w:t>
      </w:r>
      <w:r>
        <w:t>genitores no pueden sufragar el costo de la matr</w:t>
      </w:r>
      <w:r>
        <w:t>í</w:t>
      </w:r>
      <w:r>
        <w:t>cula.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congoleñas, en su mayoría, siguen siendo analfabetas. El Gobierno estableció un progr</w:t>
      </w:r>
      <w:r>
        <w:t>a</w:t>
      </w:r>
      <w:r>
        <w:t>ma para niñas que abandonan la escuela en Kinshasa y en las Provincias Oriental y Ecuador, donde se ofrecen cursos de costura, secretariado, gestión, ventas, alfab</w:t>
      </w:r>
      <w:r>
        <w:t>e</w:t>
      </w:r>
      <w:r>
        <w:t>tización, tecnología y sociología de la familia. Además, organizaciones no gubernamentales y grupos confesi</w:t>
      </w:r>
      <w:r>
        <w:t>o</w:t>
      </w:r>
      <w:r>
        <w:t>nales imparten programas de alfabetización en todo el país; las ancianas, en particular, han demostrado gran interés en aprender a leer y escribir.</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legislación congoleña sobre los derechos h</w:t>
      </w:r>
      <w:r>
        <w:t>u</w:t>
      </w:r>
      <w:r>
        <w:t>manos se aplica por igual a las mujeres que residen en zonas tanto rurales como urbanas. No obstante, dado que las campesinas constituyen una gran parte de la población y desempeñan un importante papel en la producción agrícola, se ha tratado de establecer cuáles son sus necesidades y de mejorar su productividad, al mismo tiempo que se aligera su carga de trabajo. Entre otras medidas adoptadas figura la creación del Servicio Nacional de Popularización Agrícola; la publicación de una revista para la educación de los agricultores, esp</w:t>
      </w:r>
      <w:r>
        <w:t>e</w:t>
      </w:r>
      <w:r>
        <w:t>cialmente mujeres; el desarrollo rural; el establec</w:t>
      </w:r>
      <w:r>
        <w:t>i</w:t>
      </w:r>
      <w:r>
        <w:t>miento de proyectos tecnológicos; el establecimiento de casas y centros de promoción social para la mujer; la instalación de bombas para la extracción de agua; la provisión de servicios de atención primaria de la salud; la reforma del saneamiento; el Programa de salud rural; y la creación de grupos de ayuda mutua de campesinas.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muchas mujeres congoleñas son ví</w:t>
      </w:r>
      <w:r>
        <w:t>c</w:t>
      </w:r>
      <w:r>
        <w:t>timas de violencia física, psicológica y moral, sólo se denuncia una parte de esos casos, dado que muchas mujeres prefieren guardar silencio. En colaboración con el Gobierno, varias organizaciones no gubern</w:t>
      </w:r>
      <w:r>
        <w:t>a</w:t>
      </w:r>
      <w:r>
        <w:t>mentales han realizado programas de creación de co</w:t>
      </w:r>
      <w:r>
        <w:t>n</w:t>
      </w:r>
      <w:r>
        <w:t>ciencia con respecto a la violencia contra la mujer y en 1999, se realizó un estudio con miras a determinar e</w:t>
      </w:r>
      <w:r>
        <w:t>s</w:t>
      </w:r>
      <w:r>
        <w:t>trategias eficaces a fin de combatir esa práctica.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Además, se ha creado el Consejo Nacional de la Mujer con carácter de órgano consultivo del Ministerio de Asuntos Sociales y de la Familia en lo concerniente a la promoción, protección y defensa de los derechos de la mujer. El Consejo está integrado por representa</w:t>
      </w:r>
      <w:r>
        <w:t>n</w:t>
      </w:r>
      <w:r>
        <w:t>tes de instituciones publicas, sindicatos, iglesias y o</w:t>
      </w:r>
      <w:r>
        <w:t>r</w:t>
      </w:r>
      <w:r>
        <w:t>ganizaciones no gubernamentales; y asisten como o</w:t>
      </w:r>
      <w:r>
        <w:t>b</w:t>
      </w:r>
      <w:r>
        <w:t>servadores representantes del sistema de las Naci</w:t>
      </w:r>
      <w:r>
        <w:t>o</w:t>
      </w:r>
      <w:r>
        <w:t>nes Unidas. Se han establecido consejos similares en las provincias.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Las niñas de entre 5 y 19 años de edad constit</w:t>
      </w:r>
      <w:r>
        <w:t>u</w:t>
      </w:r>
      <w:r>
        <w:t>yen un 35% de la población femenina. Pese a las med</w:t>
      </w:r>
      <w:r>
        <w:t>i</w:t>
      </w:r>
      <w:r>
        <w:t>das del Gobierno para asegurar la igualdad de oport</w:t>
      </w:r>
      <w:r>
        <w:t>u</w:t>
      </w:r>
      <w:r>
        <w:t>nidades de niños varones y niñas, las tasas de asiste</w:t>
      </w:r>
      <w:r>
        <w:t>n</w:t>
      </w:r>
      <w:r>
        <w:t>cia escolar difieren considerablemente, especialmente en zonas rurales. Aun cuando inicialmente el número de niñas y de niños varones matriculados en escuelas es aproximadamente el mismo, el número de niñas que abandonan la escuela es muy superior. Particularmente en zonas rurales, se espera de las adolescentes que tr</w:t>
      </w:r>
      <w:r>
        <w:t>a</w:t>
      </w:r>
      <w:r>
        <w:t>bajen en los campos y que generen ingresos. En las primeras etapas de la adolescencia, también se somete a las niñas a abusos sexuales y mutilación genital. Con el apoyo de la Organización Mundial de la Salud, el Gobierno celebró un seminario nacional a fin de d</w:t>
      </w:r>
      <w:r>
        <w:t>e</w:t>
      </w:r>
      <w:r>
        <w:t>terminar medios y maneras de combatir esas prácticas nocivas. El plan de acción resultante exhorta a intens</w:t>
      </w:r>
      <w:r>
        <w:t>i</w:t>
      </w:r>
      <w:r>
        <w:t>ficar las campañas para crear conciencia pública.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La falta de una cabal puesta en práctica de la Convención puede atribuirse a que se desconocen los derechos de la mujer, persisten las prácticas y actitudes tradicionales negativas, se aplican sin eficacia los ca</w:t>
      </w:r>
      <w:r>
        <w:t>s</w:t>
      </w:r>
      <w:r>
        <w:t>tigos previstos, hay ambigüedades en la ley, reina una crisis económica, social y política a raíz del estado de guerra, y se carece de recursos financieros. No obsta</w:t>
      </w:r>
      <w:r>
        <w:t>n</w:t>
      </w:r>
      <w:r>
        <w:t>te, el Gobierno estableció un programa nacional para el adelanto de la mujer y se han celebrado consultas y realizado estudios en todas las provincias.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Ese programa se formuló a fin de fortalecer la c</w:t>
      </w:r>
      <w:r>
        <w:t>a</w:t>
      </w:r>
      <w:r>
        <w:t>pacidad económica de la mujer ofreciendo capacitación y ayuda para establecer empresas femeninas; mejorar la condición jurídica y social de la mujer al abolir la legislación discriminatoria; difundir información sobre los derechos y las obligaciones de la mujer en la soci</w:t>
      </w:r>
      <w:r>
        <w:t>e</w:t>
      </w:r>
      <w:r>
        <w:t>dad; velar por que se aplique eficazmente la legislación que favorece a la mujer; asegurar que se imparta ed</w:t>
      </w:r>
      <w:r>
        <w:t>u</w:t>
      </w:r>
      <w:r>
        <w:t>cación escolar a las niñas; mejorar la salud maternoi</w:t>
      </w:r>
      <w:r>
        <w:t>n</w:t>
      </w:r>
      <w:r>
        <w:t>fantil ofreciendo servicios de atención primaria de la salud y programas de salud reproductiva y reduciendo la carga de trabajo cotidiano de la mujer; proporcionar a la mujer acceso a los recursos económicos; ayudar a las campesinas a mejorar sus condiciones de vida; y cambiar las actitudes y prácticas anacrónicas. Al est</w:t>
      </w:r>
      <w:r>
        <w:t>a</w:t>
      </w:r>
      <w:r>
        <w:t>blecer esos objetivos, el Gobierno toma en cuenta las 12 esferas de importancia crítica definidas por la Co</w:t>
      </w:r>
      <w:r>
        <w:t>n</w:t>
      </w:r>
      <w:r>
        <w:t>ferencia de Beijing.</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Pese a la crisis en la República Democrática del Congo, el Gobierno se esforzó al máximo por lograr la gradual eliminación de la discriminación por motivos de género y mejorar las condiciones de vida de y de trabajo de las mujeres. No obstante, las medidas del Gobierno no arrojarán resultados si la República D</w:t>
      </w:r>
      <w:r>
        <w:t>e</w:t>
      </w:r>
      <w:r>
        <w:t>mocrática del Congo sigue atrapado en una guerra de ocupación librada por agresores que violan y matan a las mujeres y los niños sin oposición ni censura por parte de las Naciones Unidas. El Gobierno necesita la solidaridad de las Naciones Unidas a fin de luchar por los derechos de la mujer. En ausencia de paz, no p</w:t>
      </w:r>
      <w:r>
        <w:t>o</w:t>
      </w:r>
      <w:r>
        <w:t>drán eliminarse la violencia, las resistencias tradicion</w:t>
      </w:r>
      <w:r>
        <w:t>a</w:t>
      </w:r>
      <w:r>
        <w:t>les ni la discriminación contra la mujer.</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Ouedraogo</w:t>
      </w:r>
      <w:r>
        <w:t xml:space="preserve"> dice que cabe elogiar a la República Democrática del Congo por haber present</w:t>
      </w:r>
      <w:r>
        <w:t>a</w:t>
      </w:r>
      <w:r>
        <w:t>do un informe franco, claro y transparente que señala los adelantos conseguidos pese a la difícil situación p</w:t>
      </w:r>
      <w:r>
        <w:t>o</w:t>
      </w:r>
      <w:r>
        <w:t>lítica. El establecimiento del Consejo Nacional y los consejos provinciales para la mujer, el Ministerio de Derechos Humanos y el Programa Nacional para el Adelanto de la Mujer son todas medidas en la dirección c</w:t>
      </w:r>
      <w:r>
        <w:t>o</w:t>
      </w:r>
      <w:r>
        <w:t>rrecta.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No obstante, le preocupa la ausencia de estadíst</w:t>
      </w:r>
      <w:r>
        <w:t>i</w:t>
      </w:r>
      <w:r>
        <w:t>cas en el informe más reciente, en particular sobre el número y la situación de las mujeres refugiadas. Ta</w:t>
      </w:r>
      <w:r>
        <w:t>m</w:t>
      </w:r>
      <w:r>
        <w:t>bién recibiría con agrado más información sobre las medidas sociales y económicas para ayudar a esas r</w:t>
      </w:r>
      <w:r>
        <w:t>e</w:t>
      </w:r>
      <w:r>
        <w:t>fugiadas. El tercer informe periódico ha dejado m</w:t>
      </w:r>
      <w:r>
        <w:t>a</w:t>
      </w:r>
      <w:r>
        <w:t>yormente de lado los efectos de la guerra sobre la m</w:t>
      </w:r>
      <w:r>
        <w:t>u</w:t>
      </w:r>
      <w:r>
        <w:t>jer. Con respecto al cuarto informe, sería necesario aportar mayores datos sobre la violación utilizada c</w:t>
      </w:r>
      <w:r>
        <w:t>o</w:t>
      </w:r>
      <w:r>
        <w:t>mo arma de guerra y sobre lo que se ha hecho para ayudar a las víctimas de ese delito. También deberían indicarse los efectos del Programa Nacional para el Adelanto de la Mujer. En la preparación del cuarto informe, el Estado parte también debería tratar de re</w:t>
      </w:r>
      <w:r>
        <w:t>s</w:t>
      </w:r>
      <w:r>
        <w:t>petar más estrictamente las directrices establecidas por el Comité.</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Kim</w:t>
      </w:r>
      <w:r>
        <w:t xml:space="preserve"> dice que, en su conjunto, el nuevo mecanismo institucional para el adelanto de la mujer parecería correcto y es particularmente positiva la pa</w:t>
      </w:r>
      <w:r>
        <w:t>r</w:t>
      </w:r>
      <w:r>
        <w:t>ticipación de mujeres en la redacción de la nueva Constitución. Empero, el Gobierno debe proporcionar los recursos para el funcionamiento de esos mecani</w:t>
      </w:r>
      <w:r>
        <w:t>s</w:t>
      </w:r>
      <w:r>
        <w:t>mos y la oradora desearía saber cómo el Gobierno se propone satisfacer dichas necesidades presupuestarias.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De la lectura de los tres informes surge que aún persisten en el Código Laboral varias disposiciones discriminatorias. Las iglesias y las organizaciones no gubernamentales han participado en la reforma social de prácticas como la poligamia, la mutilación genital femenina, la dote y la violencia contra la mujer, pero la oradora desea saber qué medidas ha adoptado el G</w:t>
      </w:r>
      <w:r>
        <w:t>o</w:t>
      </w:r>
      <w:r>
        <w:t>bierno para eliminar dichas prácticas. También sería útil contar con más información sobre las mujeres r</w:t>
      </w:r>
      <w:r>
        <w:t>e</w:t>
      </w:r>
      <w:r>
        <w:t>fugiadas y la manera de satisfacer sus necesidades y r</w:t>
      </w:r>
      <w:r>
        <w:t>e</w:t>
      </w:r>
      <w:r>
        <w:t>integrarlas en la sociedad.</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dice que es encomiable que la R</w:t>
      </w:r>
      <w:r>
        <w:t>e</w:t>
      </w:r>
      <w:r>
        <w:t>pública Democrática del Congo haya ratificado la Co</w:t>
      </w:r>
      <w:r>
        <w:t>n</w:t>
      </w:r>
      <w:r>
        <w:t>vención sin reservas, pero debe reconocerse que en ese país aún persiste la discriminación, tanto en la legisl</w:t>
      </w:r>
      <w:r>
        <w:t>a</w:t>
      </w:r>
      <w:r>
        <w:t>ción como en la práctica. Desearía saber qué medidas se están adoptando para adaptar la legislación a la Convención. A nivel práctico, se necesita más inform</w:t>
      </w:r>
      <w:r>
        <w:t>a</w:t>
      </w:r>
      <w:r>
        <w:t>ción sobre los programas realizados con el PNUD, i</w:t>
      </w:r>
      <w:r>
        <w:t>n</w:t>
      </w:r>
      <w:r>
        <w:t>cluidos datos fácticos. También sería interesante saber quiénes participaron en la preparación del informe y si se solicitaron contribuciones de organizaciones no g</w:t>
      </w:r>
      <w:r>
        <w:t>u</w:t>
      </w:r>
      <w:r>
        <w:t>bernamentales. Recientemente, el Gobierno ratificó la Convención sobre los Derechos del Niño; la oradora pregunta si el Gobierno se propone adherirse a algún otro in</w:t>
      </w:r>
      <w:r>
        <w:t>s</w:t>
      </w:r>
      <w:r>
        <w:t>trumento internacional de derechos humanos.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En el siguiente informe deberían figurar mayores detalles acerca de la situación de las campesinas y la práctica de la mutilación genital femenina.</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Taya</w:t>
      </w:r>
      <w:r>
        <w:t xml:space="preserve"> dice que en julio de 1998 se creó el Ministerio de Derechos Humanos a fin de proteger las libertades de todos los ciudadanos, pero ahora se i</w:t>
      </w:r>
      <w:r>
        <w:t>n</w:t>
      </w:r>
      <w:r>
        <w:t>forma de que, en virtud de una nueva política, todas las organizaciones no gubernamentales tienen que registrar sus reglamentos internos ante el Ministerio de Justicia a fin de determinar si están “en buenas condiciones”. Se informa de que muchas personas que trabajan en d</w:t>
      </w:r>
      <w:r>
        <w:t>e</w:t>
      </w:r>
      <w:r>
        <w:t>rechos humanos, por temor a la persecución, huyeron del país y sólo un pequeño puñado de organizaciones no gubernamentales se considera están en “buenas condiciones”. Además, en julio de 1999 se silenció a todos los medios de difusión que informaban sobre la conculcación de los derechos humanos. La oradora pregunta cómo explica el Gobierno la contradicción entre esas políticas represivas, por una parte, y por la otra, el establecimiento del Ministerio de Derechos Humanos. También desea saber, dadas esas políticas r</w:t>
      </w:r>
      <w:r>
        <w:t>e</w:t>
      </w:r>
      <w:r>
        <w:t>lativas a los medios de difusión, cómo sería posible publicar las conclusiones del Comité respecto del i</w:t>
      </w:r>
      <w:r>
        <w:t>n</w:t>
      </w:r>
      <w:r>
        <w:t>forme, si tales conclusiones fueran críticas. La oradora desearía recibir una explicación sobre la interpretación por parte del Gobierno de cómo el Comité podría i</w:t>
      </w:r>
      <w:r>
        <w:t>n</w:t>
      </w:r>
      <w:r>
        <w:t>fluir sobre sus políticas.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Ferrer</w:t>
      </w:r>
      <w:r>
        <w:t xml:space="preserve"> se suma a los demás miembros que elogiaron la decisión del Gobierno de presentar su informe, incluso en las actuales difíciles circunsta</w:t>
      </w:r>
      <w:r>
        <w:t>n</w:t>
      </w:r>
      <w:r>
        <w:t>cias, demostrando así la importancia que asigna a la Convención. En el informe figura un análisis a fondo de cada artículo de la Convención y se pone de man</w:t>
      </w:r>
      <w:r>
        <w:t>i</w:t>
      </w:r>
      <w:r>
        <w:t>fiesto la disposición a enfrentar problemas dentro de una perspectiva de género. Es muy alentador que el proyecto de Constitución que se someterá dentro de poco a referéndum popular incluya disposiciones sobre la igualdad entre hombres y mujeres.</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t>Es imprescindible adoptar medidas a todos los niveles para cambiar la cultura, profundamente arra</w:t>
      </w:r>
      <w:r>
        <w:t>i</w:t>
      </w:r>
      <w:r>
        <w:t>gada, de discriminación contra la mujer y al respecto, la creación de un mecanismo nacional para la mujer a nivel ministerial es un importante adelanto. Sería muy útil para el Comité recibir más información sobre la e</w:t>
      </w:r>
      <w:r>
        <w:t>s</w:t>
      </w:r>
      <w:r>
        <w:t>tructura, la plantilla y las operaciones de ese Minist</w:t>
      </w:r>
      <w:r>
        <w:t>e</w:t>
      </w:r>
      <w:r>
        <w:t>rio. También sería interesante saber más acerca del grado de prioridad que se otorga a las cuestiones de género en la labor del Ministerio de Derechos Hum</w:t>
      </w:r>
      <w:r>
        <w:t>a</w:t>
      </w:r>
      <w:r>
        <w:t>nos, así como la relación de este último con el Consejo Nacional de la Mujer. También sería interesante que el Comité recibiera un análisis de las prioridades del Pr</w:t>
      </w:r>
      <w:r>
        <w:t>o</w:t>
      </w:r>
      <w:r>
        <w:t>grama Nacional para el Adelanto de la Mujer.</w:t>
      </w:r>
    </w:p>
    <w:p w:rsidR="00F66A89" w:rsidRDefault="00F66A89">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Abaka</w:t>
      </w:r>
      <w:r>
        <w:t xml:space="preserve"> dice que el principal factor que obstaculiza la aplicación de la Convención es la ause</w:t>
      </w:r>
      <w:r>
        <w:t>n</w:t>
      </w:r>
      <w:r>
        <w:t>cia de paz en la República Democrática del Congo. La oradora exhorta al Gobierno a movilizar a sus mujeres para que participen en la aplicación de los Acuerdos de Lusaka celebrados en julio de 1999. La excelente pr</w:t>
      </w:r>
      <w:r>
        <w:t>e</w:t>
      </w:r>
      <w:r>
        <w:t>sentación oral y la magnitud y el alto nivel de la del</w:t>
      </w:r>
      <w:r>
        <w:t>e</w:t>
      </w:r>
      <w:r>
        <w:t>gación indican que existe la voluntad política de poner en práctica la Convención, pero que se necesita un á</w:t>
      </w:r>
      <w:r>
        <w:t>m</w:t>
      </w:r>
      <w:r>
        <w:t>bito que posibilite la paz y el desarrollo. El Gobierno suscribió también la Convención sobre los Derechos del Niño, y su puesta en práctica va de consuno con la de la CEDAW. Con todo, aun antes del conflicto, las Fuerzas Armadas congoleñas continuaban reclutando niños y actualmente hay unos 10.000 que están inco</w:t>
      </w:r>
      <w:r>
        <w:t>r</w:t>
      </w:r>
      <w:r>
        <w:t>porados a las filas militares. Es preciso condenar esa práctica de la manera más categórica y movilizar a las mujeres del país para ponerle fin.</w:t>
      </w:r>
    </w:p>
    <w:p w:rsidR="00F66A89" w:rsidRDefault="00F66A89">
      <w:pPr>
        <w:pStyle w:val="DualTxt"/>
        <w:rPr>
          <w:i/>
        </w:rPr>
      </w:pPr>
      <w:r>
        <w:rPr>
          <w:i/>
        </w:rPr>
        <w:t>Se levanta la sesión a las 13.00 horas.</w:t>
      </w:r>
    </w:p>
    <w:sectPr w:rsidR="00F66A89">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E35845" w:rsidRPr="00E35845" w:rsidRDefault="00E35845">
      <w:pPr>
        <w:pStyle w:val="CommentText"/>
        <w:rPr>
          <w:lang w:val="en-US"/>
        </w:rPr>
      </w:pPr>
      <w:r>
        <w:fldChar w:fldCharType="begin"/>
      </w:r>
      <w:r w:rsidRPr="00E35845">
        <w:rPr>
          <w:lang w:val="en-US"/>
        </w:rPr>
        <w:instrText>PAGE \# "'Page: '#'</w:instrText>
      </w:r>
      <w:r w:rsidRPr="00E35845">
        <w:rPr>
          <w:lang w:val="en-US"/>
        </w:rPr>
        <w:br/>
        <w:instrText>'"</w:instrText>
      </w:r>
      <w:r w:rsidRPr="00E35845">
        <w:rPr>
          <w:rStyle w:val="CommentReference"/>
          <w:lang w:val="en-US"/>
        </w:rPr>
        <w:instrText xml:space="preserve">  </w:instrText>
      </w:r>
      <w:r>
        <w:fldChar w:fldCharType="end"/>
      </w:r>
      <w:r>
        <w:rPr>
          <w:rStyle w:val="CommentReference"/>
        </w:rPr>
        <w:annotationRef/>
      </w:r>
      <w:r w:rsidRPr="00E35845">
        <w:rPr>
          <w:lang w:val="en-US"/>
        </w:rPr>
        <w:t>&lt;&lt;ODS JOB NO&gt;&gt;N0025861S&lt;&lt;ODS JOB NO&gt;&gt;</w:t>
      </w:r>
    </w:p>
    <w:p w:rsidR="00E35845" w:rsidRPr="00E35845" w:rsidRDefault="00E35845">
      <w:pPr>
        <w:pStyle w:val="CommentText"/>
        <w:rPr>
          <w:lang w:val="en-US"/>
        </w:rPr>
      </w:pPr>
      <w:r w:rsidRPr="00E35845">
        <w:rPr>
          <w:lang w:val="en-US"/>
        </w:rPr>
        <w:t>&lt;&lt;ODS DOC SYMBOL1&gt;&gt;CEDAW/C/SR.454&lt;&lt;ODS DOC SYMBOL1&gt;&gt;</w:t>
      </w:r>
    </w:p>
    <w:p w:rsidR="00E35845" w:rsidRPr="00E35845" w:rsidRDefault="00E35845">
      <w:pPr>
        <w:pStyle w:val="CommentText"/>
        <w:rPr>
          <w:lang w:val="en-US"/>
        </w:rPr>
      </w:pPr>
      <w:r w:rsidRPr="00E35845">
        <w:rPr>
          <w:lang w:val="en-US"/>
        </w:rPr>
        <w:t>&lt;&lt;ODS DOC SYMBOL2&gt;&gt;&lt;&lt;ODS DOC SYMBOL2&gt;&gt;</w:t>
      </w:r>
    </w:p>
  </w:comment>
  <w:comment w:id="0" w:author="GACM User" w:date="2006-06-19T22:08:00Z" w:initials="GU">
    <w:p w:rsidR="00E35845" w:rsidRPr="00E35845" w:rsidRDefault="00E35845">
      <w:pPr>
        <w:pStyle w:val="CommentText"/>
        <w:rPr>
          <w:lang w:val="en-US"/>
        </w:rPr>
      </w:pPr>
      <w:r>
        <w:fldChar w:fldCharType="begin"/>
      </w:r>
      <w:r w:rsidRPr="00E35845">
        <w:rPr>
          <w:rStyle w:val="CommentReference"/>
          <w:lang w:val="en-US"/>
        </w:rPr>
        <w:instrText xml:space="preserve"> </w:instrText>
      </w:r>
      <w:r w:rsidRPr="00E35845">
        <w:rPr>
          <w:lang w:val="en-US"/>
        </w:rPr>
        <w:instrText>PAGE \# "'Page: '#'</w:instrText>
      </w:r>
      <w:r w:rsidRPr="00E35845">
        <w:rPr>
          <w:lang w:val="en-US"/>
        </w:rPr>
        <w:br/>
        <w:instrText>'"</w:instrText>
      </w:r>
      <w:r w:rsidRPr="00E35845">
        <w:rPr>
          <w:rStyle w:val="CommentReference"/>
          <w:lang w:val="en-US"/>
        </w:rPr>
        <w:instrText xml:space="preserve"> </w:instrText>
      </w:r>
      <w:r>
        <w:fldChar w:fldCharType="end"/>
      </w:r>
      <w:r>
        <w:rPr>
          <w:rStyle w:val="CommentReference"/>
        </w:rPr>
        <w:annotationRef/>
      </w:r>
      <w:r w:rsidRPr="00E35845">
        <w:rPr>
          <w:lang w:val="en-US"/>
        </w:rPr>
        <w:t>&lt;&lt;ODS JOB NO&gt;&gt;N0025861S&lt;&lt;ODS JOB NO&gt;&gt;</w:t>
      </w:r>
    </w:p>
    <w:p w:rsidR="00E35845" w:rsidRPr="00E35845" w:rsidRDefault="00E35845">
      <w:pPr>
        <w:pStyle w:val="CommentText"/>
        <w:rPr>
          <w:lang w:val="en-US"/>
        </w:rPr>
      </w:pPr>
      <w:r w:rsidRPr="00E35845">
        <w:rPr>
          <w:lang w:val="en-US"/>
        </w:rPr>
        <w:t>&lt;&lt;ODS DOC SYMBOL1&gt;&gt;CEDAW/C/SR.454&lt;&lt;ODS DOC SYMBOL1&gt;&gt;</w:t>
      </w:r>
    </w:p>
    <w:p w:rsidR="00E35845" w:rsidRPr="00E35845" w:rsidRDefault="00E35845">
      <w:pPr>
        <w:pStyle w:val="CommentText"/>
        <w:rPr>
          <w:lang w:val="en-US"/>
        </w:rPr>
      </w:pPr>
      <w:r w:rsidRPr="00E3584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693" w:rsidRPr="007E00CA" w:rsidRDefault="003A0693" w:rsidP="00F66A89">
      <w:pPr>
        <w:rPr>
          <w:sz w:val="14"/>
        </w:rPr>
      </w:pPr>
      <w:r>
        <w:separator/>
      </w:r>
    </w:p>
  </w:endnote>
  <w:endnote w:type="continuationSeparator" w:id="0">
    <w:p w:rsidR="003A0693" w:rsidRPr="007E00CA" w:rsidRDefault="003A0693" w:rsidP="00F66A89">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35845">
      <w:tblPrEx>
        <w:tblCellMar>
          <w:top w:w="0" w:type="dxa"/>
          <w:bottom w:w="0" w:type="dxa"/>
        </w:tblCellMar>
      </w:tblPrEx>
      <w:tc>
        <w:tcPr>
          <w:tcW w:w="5033" w:type="dxa"/>
          <w:vAlign w:val="bottom"/>
        </w:tcPr>
        <w:p w:rsidR="00E35845" w:rsidRDefault="00E35845">
          <w:pPr>
            <w:pStyle w:val="Footer"/>
          </w:pPr>
          <w:r>
            <w:fldChar w:fldCharType="begin"/>
          </w:r>
          <w:r>
            <w:instrText xml:space="preserve"> PAGE  \* MERGEFORMAT </w:instrText>
          </w:r>
          <w:r>
            <w:fldChar w:fldCharType="separate"/>
          </w:r>
          <w:r w:rsidR="000E3F61">
            <w:t>6</w:t>
          </w:r>
          <w:r>
            <w:fldChar w:fldCharType="end"/>
          </w:r>
        </w:p>
      </w:tc>
      <w:tc>
        <w:tcPr>
          <w:tcW w:w="5033" w:type="dxa"/>
          <w:vAlign w:val="bottom"/>
        </w:tcPr>
        <w:p w:rsidR="00E35845" w:rsidRDefault="00E35845">
          <w:pPr>
            <w:pStyle w:val="Footer"/>
            <w:jc w:val="right"/>
            <w:rPr>
              <w:b w:val="0"/>
              <w:sz w:val="14"/>
            </w:rPr>
          </w:pPr>
        </w:p>
      </w:tc>
    </w:tr>
  </w:tbl>
  <w:p w:rsidR="00E35845" w:rsidRDefault="00E358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35845">
      <w:tblPrEx>
        <w:tblCellMar>
          <w:top w:w="0" w:type="dxa"/>
          <w:bottom w:w="0" w:type="dxa"/>
        </w:tblCellMar>
      </w:tblPrEx>
      <w:tc>
        <w:tcPr>
          <w:tcW w:w="5033" w:type="dxa"/>
          <w:vAlign w:val="bottom"/>
        </w:tcPr>
        <w:p w:rsidR="00E35845" w:rsidRDefault="00E35845">
          <w:pPr>
            <w:pStyle w:val="Footer"/>
            <w:rPr>
              <w:b w:val="0"/>
              <w:sz w:val="14"/>
            </w:rPr>
          </w:pPr>
        </w:p>
      </w:tc>
      <w:tc>
        <w:tcPr>
          <w:tcW w:w="5033" w:type="dxa"/>
          <w:vAlign w:val="bottom"/>
        </w:tcPr>
        <w:p w:rsidR="00E35845" w:rsidRDefault="00E35845">
          <w:pPr>
            <w:pStyle w:val="Footer"/>
            <w:jc w:val="right"/>
          </w:pPr>
          <w:r>
            <w:fldChar w:fldCharType="begin"/>
          </w:r>
          <w:r>
            <w:instrText xml:space="preserve"> PAGE  \* MERGEFORMAT </w:instrText>
          </w:r>
          <w:r>
            <w:fldChar w:fldCharType="separate"/>
          </w:r>
          <w:r w:rsidR="000E3F61">
            <w:t>7</w:t>
          </w:r>
          <w:r>
            <w:fldChar w:fldCharType="end"/>
          </w:r>
        </w:p>
      </w:tc>
    </w:tr>
  </w:tbl>
  <w:p w:rsidR="00E35845" w:rsidRDefault="00E358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45" w:rsidRDefault="00E35845">
    <w:pPr>
      <w:pStyle w:val="Footer"/>
      <w:pBdr>
        <w:top w:val="single" w:sz="2" w:space="1" w:color="auto"/>
      </w:pBdr>
      <w:rPr>
        <w:sz w:val="2"/>
      </w:rPr>
    </w:pPr>
  </w:p>
  <w:p w:rsidR="00E35845" w:rsidRDefault="00E3584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35845" w:rsidRDefault="00E3584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35845" w:rsidRDefault="00E3584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35845" w:rsidRDefault="00E35845">
    <w:pPr>
      <w:pStyle w:val="FootnoteText"/>
      <w:spacing w:line="120" w:lineRule="exact"/>
      <w:ind w:left="1267" w:right="1267" w:firstLine="0"/>
      <w:rPr>
        <w:sz w:val="10"/>
      </w:rPr>
    </w:pPr>
  </w:p>
  <w:p w:rsidR="00E35845" w:rsidRDefault="00E35845">
    <w:pPr>
      <w:pStyle w:val="Footer"/>
      <w:rPr>
        <w:b w:val="0"/>
        <w:sz w:val="20"/>
      </w:rPr>
    </w:pPr>
    <w:r>
      <w:rPr>
        <w:b w:val="0"/>
        <w:sz w:val="20"/>
      </w:rPr>
      <w:t>00-25861 (S)</w:t>
    </w:r>
  </w:p>
  <w:p w:rsidR="00E35845" w:rsidRPr="00E35845" w:rsidRDefault="00E35845">
    <w:pPr>
      <w:pStyle w:val="Footer"/>
      <w:rPr>
        <w:rFonts w:ascii="Barcode 3 of 9 by request" w:hAnsi="Barcode 3 of 9 by request"/>
        <w:b w:val="0"/>
        <w:sz w:val="20"/>
      </w:rPr>
    </w:pPr>
    <w:r>
      <w:rPr>
        <w:rFonts w:ascii="Barcode 3 of 9 by request" w:hAnsi="Barcode 3 of 9 by request"/>
        <w:b w:val="0"/>
        <w:sz w:val="20"/>
      </w:rPr>
      <w:t>0025861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693" w:rsidRPr="007E00CA" w:rsidRDefault="003A0693" w:rsidP="00F66A89">
      <w:pPr>
        <w:rPr>
          <w:sz w:val="14"/>
        </w:rPr>
      </w:pPr>
      <w:r>
        <w:separator/>
      </w:r>
    </w:p>
  </w:footnote>
  <w:footnote w:type="continuationSeparator" w:id="0">
    <w:p w:rsidR="003A0693" w:rsidRPr="007E00CA" w:rsidRDefault="003A0693" w:rsidP="00F66A89">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45" w:rsidRDefault="00E3584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35845">
                  <w:tblPrEx>
                    <w:tblCellMar>
                      <w:top w:w="0" w:type="dxa"/>
                      <w:left w:w="0" w:type="dxa"/>
                      <w:bottom w:w="0" w:type="dxa"/>
                      <w:right w:w="0" w:type="dxa"/>
                    </w:tblCellMar>
                  </w:tblPrEx>
                  <w:trPr>
                    <w:trHeight w:hRule="exact" w:val="864"/>
                  </w:trPr>
                  <w:tc>
                    <w:tcPr>
                      <w:tcW w:w="4838" w:type="dxa"/>
                      <w:vAlign w:val="bottom"/>
                    </w:tcPr>
                    <w:p w:rsidR="00E35845" w:rsidRDefault="00E35845">
                      <w:pPr>
                        <w:pStyle w:val="Header"/>
                        <w:spacing w:after="80"/>
                        <w:rPr>
                          <w:b/>
                        </w:rPr>
                      </w:pPr>
                      <w:r>
                        <w:rPr>
                          <w:b/>
                        </w:rPr>
                        <w:t>CEDAW/C/SR.454</w:t>
                      </w:r>
                    </w:p>
                  </w:tc>
                  <w:tc>
                    <w:tcPr>
                      <w:tcW w:w="5047" w:type="dxa"/>
                      <w:vAlign w:val="bottom"/>
                    </w:tcPr>
                    <w:p w:rsidR="00E35845" w:rsidRDefault="00E35845">
                      <w:pPr>
                        <w:pStyle w:val="Header"/>
                      </w:pPr>
                    </w:p>
                  </w:tc>
                </w:tr>
              </w:tbl>
              <w:p w:rsidR="00E35845" w:rsidRDefault="00E35845"/>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845" w:rsidRDefault="00E3584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35845">
                  <w:tblPrEx>
                    <w:tblCellMar>
                      <w:top w:w="0" w:type="dxa"/>
                      <w:left w:w="0" w:type="dxa"/>
                      <w:bottom w:w="0" w:type="dxa"/>
                      <w:right w:w="0" w:type="dxa"/>
                    </w:tblCellMar>
                  </w:tblPrEx>
                  <w:trPr>
                    <w:trHeight w:hRule="exact" w:val="864"/>
                  </w:trPr>
                  <w:tc>
                    <w:tcPr>
                      <w:tcW w:w="4838" w:type="dxa"/>
                      <w:vAlign w:val="bottom"/>
                    </w:tcPr>
                    <w:p w:rsidR="00E35845" w:rsidRDefault="00E35845">
                      <w:pPr>
                        <w:pStyle w:val="Header"/>
                      </w:pPr>
                    </w:p>
                  </w:tc>
                  <w:tc>
                    <w:tcPr>
                      <w:tcW w:w="5047" w:type="dxa"/>
                      <w:vAlign w:val="bottom"/>
                    </w:tcPr>
                    <w:p w:rsidR="00E35845" w:rsidRDefault="00E35845">
                      <w:pPr>
                        <w:pStyle w:val="Header"/>
                        <w:spacing w:after="80"/>
                        <w:jc w:val="right"/>
                        <w:rPr>
                          <w:b/>
                        </w:rPr>
                      </w:pPr>
                      <w:r>
                        <w:rPr>
                          <w:b/>
                        </w:rPr>
                        <w:t>CEDAW/C/SR.454</w:t>
                      </w:r>
                    </w:p>
                  </w:tc>
                </w:tr>
              </w:tbl>
              <w:p w:rsidR="00E35845" w:rsidRDefault="00E35845"/>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35845">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35845" w:rsidRDefault="00E35845">
          <w:pPr>
            <w:pStyle w:val="Header"/>
            <w:spacing w:after="120"/>
          </w:pPr>
        </w:p>
      </w:tc>
      <w:tc>
        <w:tcPr>
          <w:tcW w:w="2059" w:type="dxa"/>
          <w:tcBorders>
            <w:top w:val="nil"/>
            <w:left w:val="nil"/>
            <w:bottom w:val="nil"/>
            <w:right w:val="nil"/>
          </w:tcBorders>
          <w:vAlign w:val="bottom"/>
        </w:tcPr>
        <w:p w:rsidR="00E35845" w:rsidRDefault="00E35845">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E35845" w:rsidRDefault="00E35845">
          <w:pPr>
            <w:pStyle w:val="Header"/>
            <w:spacing w:after="120"/>
          </w:pPr>
        </w:p>
      </w:tc>
      <w:tc>
        <w:tcPr>
          <w:tcW w:w="6523" w:type="dxa"/>
          <w:gridSpan w:val="3"/>
          <w:tcBorders>
            <w:top w:val="nil"/>
            <w:left w:val="nil"/>
            <w:bottom w:val="nil"/>
            <w:right w:val="nil"/>
          </w:tcBorders>
          <w:vAlign w:val="bottom"/>
        </w:tcPr>
        <w:p w:rsidR="00E35845" w:rsidRDefault="00E35845">
          <w:pPr>
            <w:spacing w:after="80" w:line="240" w:lineRule="auto"/>
            <w:jc w:val="right"/>
            <w:rPr>
              <w:position w:val="-4"/>
            </w:rPr>
          </w:pPr>
          <w:r>
            <w:rPr>
              <w:position w:val="-4"/>
              <w:sz w:val="40"/>
            </w:rPr>
            <w:t>CEDAW</w:t>
          </w:r>
          <w:r>
            <w:rPr>
              <w:position w:val="-4"/>
            </w:rPr>
            <w:t>/C/SR.454</w:t>
          </w:r>
        </w:p>
      </w:tc>
    </w:tr>
    <w:tr w:rsidR="00E35845">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35845" w:rsidRDefault="00E3584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35845" w:rsidRDefault="00E35845">
          <w:pPr>
            <w:pStyle w:val="Header"/>
            <w:spacing w:before="109"/>
          </w:pPr>
        </w:p>
      </w:tc>
      <w:tc>
        <w:tcPr>
          <w:tcW w:w="5227" w:type="dxa"/>
          <w:gridSpan w:val="3"/>
          <w:tcBorders>
            <w:left w:val="nil"/>
            <w:bottom w:val="single" w:sz="12" w:space="0" w:color="auto"/>
            <w:right w:val="nil"/>
          </w:tcBorders>
        </w:tcPr>
        <w:p w:rsidR="00E35845" w:rsidRDefault="00E3584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35845" w:rsidRPr="00E35845" w:rsidRDefault="00E35845">
          <w:pPr>
            <w:pStyle w:val="Header"/>
            <w:spacing w:before="109"/>
            <w:rPr>
              <w:lang w:val="es-ES"/>
            </w:rPr>
          </w:pPr>
        </w:p>
      </w:tc>
      <w:tc>
        <w:tcPr>
          <w:tcW w:w="3180" w:type="dxa"/>
          <w:gridSpan w:val="2"/>
          <w:tcBorders>
            <w:left w:val="nil"/>
            <w:bottom w:val="single" w:sz="12" w:space="0" w:color="auto"/>
            <w:right w:val="nil"/>
          </w:tcBorders>
        </w:tcPr>
        <w:p w:rsidR="00E35845" w:rsidRDefault="00E35845">
          <w:pPr>
            <w:spacing w:before="240"/>
          </w:pPr>
          <w:r>
            <w:t>Distr. general</w:t>
          </w:r>
        </w:p>
        <w:p w:rsidR="00E35845" w:rsidRDefault="00E35845">
          <w:r>
            <w:t>31 de julio de 2001</w:t>
          </w:r>
        </w:p>
        <w:p w:rsidR="00E35845" w:rsidRDefault="00E35845">
          <w:r>
            <w:t>Español</w:t>
          </w:r>
        </w:p>
        <w:p w:rsidR="00E35845" w:rsidRDefault="00E35845">
          <w:r>
            <w:t>Original: inglés</w:t>
          </w:r>
        </w:p>
      </w:tc>
    </w:tr>
  </w:tbl>
  <w:p w:rsidR="00E35845" w:rsidRDefault="00E358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2B4"/>
    <w:multiLevelType w:val="singleLevel"/>
    <w:tmpl w:val="1FFEA130"/>
    <w:lvl w:ilvl="0">
      <w:start w:val="1"/>
      <w:numFmt w:val="decimal"/>
      <w:lvlText w:val="%1."/>
      <w:lvlJc w:val="left"/>
      <w:pPr>
        <w:tabs>
          <w:tab w:val="num" w:pos="360"/>
        </w:tabs>
        <w:ind w:left="0" w:firstLine="0"/>
      </w:pPr>
    </w:lvl>
  </w:abstractNum>
  <w:abstractNum w:abstractNumId="1">
    <w:nsid w:val="66E52219"/>
    <w:multiLevelType w:val="singleLevel"/>
    <w:tmpl w:val="B20045D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4:56: PM"/>
    <w:docVar w:name="DocCategory" w:val="SROthers"/>
    <w:docVar w:name="DocType" w:val="Final"/>
    <w:docVar w:name="JobNo" w:val="0025861S"/>
    <w:docVar w:name="OandT" w:val="pl"/>
    <w:docVar w:name="Symbol1" w:val="CEDAW/C/SR.454"/>
    <w:docVar w:name="Symbol2" w:val="-"/>
  </w:docVars>
  <w:rsids>
    <w:rsidRoot w:val="00E35881"/>
    <w:rsid w:val="000E3F61"/>
    <w:rsid w:val="003A0693"/>
    <w:rsid w:val="006959C7"/>
    <w:rsid w:val="00E35845"/>
    <w:rsid w:val="00E35881"/>
    <w:rsid w:val="00E6003D"/>
    <w:rsid w:val="00F66A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35881"/>
    <w:rPr>
      <w:rFonts w:ascii="Tahoma" w:hAnsi="Tahoma" w:cs="Tahoma"/>
      <w:sz w:val="16"/>
      <w:szCs w:val="16"/>
    </w:rPr>
  </w:style>
  <w:style w:type="paragraph" w:styleId="CommentSubject">
    <w:name w:val="annotation subject"/>
    <w:basedOn w:val="CommentText"/>
    <w:next w:val="CommentText"/>
    <w:semiHidden/>
    <w:rsid w:val="00E358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4197</Words>
  <Characters>21996</Characters>
  <Application>Microsoft Office Word</Application>
  <DocSecurity>4</DocSecurity>
  <Lines>536</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GACM User</cp:lastModifiedBy>
  <cp:revision>8</cp:revision>
  <cp:lastPrinted>2006-06-19T21:08:00Z</cp:lastPrinted>
  <dcterms:created xsi:type="dcterms:W3CDTF">2006-06-19T21:08:00Z</dcterms:created>
  <dcterms:modified xsi:type="dcterms:W3CDTF">2006-06-19T21:13:00Z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0025861</vt:lpwstr>
  </property>
  <property fmtid="{D5CDD505-2E9C-101B-9397-08002B2CF9AE}" pid="3" name="Symbol1">
    <vt:lpwstr>CEDAW/C/SR.454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pl/pola</vt:lpwstr>
  </property>
</Properties>
</file>