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D12" w:rsidRDefault="00C87D12" w:rsidP="00C87D12">
      <w:pPr>
        <w:pStyle w:val="Release"/>
        <w:spacing w:line="60" w:lineRule="exact"/>
        <w:rPr>
          <w:sz w:val="6"/>
        </w:rPr>
        <w:sectPr w:rsidR="00C87D12" w:rsidSect="00C87D1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bookmarkStart w:id="1" w:name="TmpSave"/>
      <w:bookmarkEnd w:id="1"/>
    </w:p>
    <w:p w:rsidR="00B31E9D" w:rsidRDefault="00B31E9D" w:rsidP="00C87D12">
      <w:pPr>
        <w:pStyle w:val="Release"/>
        <w:spacing w:line="60" w:lineRule="exact"/>
        <w:rPr>
          <w:sz w:val="6"/>
        </w:rPr>
      </w:pPr>
    </w:p>
    <w:p w:rsidR="00312EB4" w:rsidRPr="002A2724" w:rsidRDefault="00312EB4" w:rsidP="009A5402">
      <w:pPr>
        <w:tabs>
          <w:tab w:val="left" w:pos="1560"/>
        </w:tabs>
        <w:spacing w:after="60"/>
        <w:rPr>
          <w:rFonts w:eastAsia="SimHei" w:hint="eastAsia"/>
          <w:sz w:val="24"/>
          <w:szCs w:val="24"/>
        </w:rPr>
      </w:pPr>
      <w:r w:rsidRPr="002A2724">
        <w:rPr>
          <w:rFonts w:eastAsia="SimHei" w:hint="eastAsia"/>
          <w:sz w:val="24"/>
          <w:szCs w:val="24"/>
        </w:rPr>
        <w:t>消除对妇女歧视委员会</w:t>
      </w:r>
    </w:p>
    <w:p w:rsidR="00312EB4" w:rsidRPr="002A2724" w:rsidRDefault="00312EB4" w:rsidP="009A5402">
      <w:pPr>
        <w:tabs>
          <w:tab w:val="left" w:pos="1560"/>
        </w:tabs>
        <w:spacing w:after="60"/>
        <w:rPr>
          <w:rFonts w:eastAsia="SimHei" w:hint="eastAsia"/>
          <w:szCs w:val="21"/>
        </w:rPr>
      </w:pPr>
      <w:r w:rsidRPr="002A2724">
        <w:rPr>
          <w:rFonts w:eastAsia="SimHei" w:hint="eastAsia"/>
          <w:szCs w:val="21"/>
        </w:rPr>
        <w:t>第六十二届会议</w:t>
      </w:r>
    </w:p>
    <w:p w:rsidR="00312EB4" w:rsidRPr="002A2724" w:rsidRDefault="00312EB4" w:rsidP="009A5402">
      <w:pPr>
        <w:tabs>
          <w:tab w:val="left" w:pos="1560"/>
        </w:tabs>
        <w:spacing w:after="60"/>
        <w:rPr>
          <w:rFonts w:hint="eastAsia"/>
          <w:szCs w:val="21"/>
        </w:rPr>
      </w:pPr>
      <w:r w:rsidRPr="002A2724">
        <w:rPr>
          <w:rFonts w:hint="eastAsia"/>
          <w:szCs w:val="21"/>
        </w:rPr>
        <w:t>2015</w:t>
      </w:r>
      <w:r w:rsidRPr="002A2724">
        <w:rPr>
          <w:rFonts w:hint="eastAsia"/>
          <w:szCs w:val="21"/>
        </w:rPr>
        <w:t>年</w:t>
      </w:r>
      <w:r w:rsidRPr="002A2724">
        <w:rPr>
          <w:rFonts w:hint="eastAsia"/>
          <w:szCs w:val="21"/>
        </w:rPr>
        <w:t>10</w:t>
      </w:r>
      <w:r w:rsidRPr="002A2724">
        <w:rPr>
          <w:rFonts w:hint="eastAsia"/>
          <w:szCs w:val="21"/>
        </w:rPr>
        <w:t>月</w:t>
      </w:r>
      <w:r w:rsidRPr="002A2724">
        <w:rPr>
          <w:rFonts w:hint="eastAsia"/>
          <w:szCs w:val="21"/>
        </w:rPr>
        <w:t>26</w:t>
      </w:r>
      <w:r w:rsidRPr="002A2724">
        <w:rPr>
          <w:rFonts w:hint="eastAsia"/>
          <w:szCs w:val="21"/>
        </w:rPr>
        <w:t>日至</w:t>
      </w:r>
      <w:r w:rsidRPr="002A2724">
        <w:rPr>
          <w:rFonts w:hint="eastAsia"/>
          <w:szCs w:val="21"/>
        </w:rPr>
        <w:t>11</w:t>
      </w:r>
      <w:r w:rsidRPr="002A2724">
        <w:rPr>
          <w:rFonts w:hint="eastAsia"/>
          <w:szCs w:val="21"/>
        </w:rPr>
        <w:t>月</w:t>
      </w:r>
      <w:r w:rsidRPr="002A2724">
        <w:rPr>
          <w:rFonts w:hint="eastAsia"/>
          <w:szCs w:val="21"/>
        </w:rPr>
        <w:t>20</w:t>
      </w:r>
      <w:r w:rsidRPr="002A2724">
        <w:rPr>
          <w:rFonts w:hint="eastAsia"/>
          <w:szCs w:val="21"/>
        </w:rPr>
        <w:t>日</w:t>
      </w:r>
    </w:p>
    <w:p w:rsidR="00312EB4" w:rsidRPr="002A2724" w:rsidRDefault="00312EB4" w:rsidP="009A5402">
      <w:pPr>
        <w:tabs>
          <w:tab w:val="left" w:pos="1560"/>
        </w:tabs>
        <w:spacing w:after="60"/>
        <w:rPr>
          <w:rFonts w:hint="eastAsia"/>
          <w:szCs w:val="21"/>
        </w:rPr>
      </w:pPr>
      <w:r w:rsidRPr="002A2724">
        <w:rPr>
          <w:rFonts w:hint="eastAsia"/>
          <w:szCs w:val="21"/>
        </w:rPr>
        <w:t>临时议程</w:t>
      </w:r>
      <w:r w:rsidRPr="00E053D9">
        <w:rPr>
          <w:rStyle w:val="FootnoteReference"/>
          <w:szCs w:val="21"/>
        </w:rPr>
        <w:footnoteReference w:customMarkFollows="1" w:id="1"/>
        <w:t>*</w:t>
      </w:r>
      <w:r w:rsidRPr="002A2724">
        <w:rPr>
          <w:rFonts w:hint="eastAsia"/>
          <w:szCs w:val="21"/>
        </w:rPr>
        <w:t>项目</w:t>
      </w:r>
      <w:r w:rsidRPr="002A2724">
        <w:rPr>
          <w:rFonts w:hint="eastAsia"/>
          <w:szCs w:val="21"/>
        </w:rPr>
        <w:t>4</w:t>
      </w:r>
    </w:p>
    <w:p w:rsidR="00312EB4" w:rsidRPr="002A2724" w:rsidRDefault="00312EB4" w:rsidP="009A5402">
      <w:pPr>
        <w:tabs>
          <w:tab w:val="left" w:pos="1560"/>
        </w:tabs>
        <w:spacing w:after="60"/>
        <w:rPr>
          <w:rFonts w:eastAsia="SimHei" w:hint="eastAsia"/>
          <w:szCs w:val="21"/>
        </w:rPr>
      </w:pPr>
      <w:r w:rsidRPr="009A5402">
        <w:rPr>
          <w:rFonts w:eastAsia="SimHei" w:hint="eastAsia"/>
          <w:spacing w:val="-4"/>
        </w:rPr>
        <w:t>审议缔约国根据《消除对妇女一切形式歧视公约》</w:t>
      </w:r>
      <w:r w:rsidR="009A5402">
        <w:rPr>
          <w:rFonts w:eastAsia="SimHei"/>
        </w:rPr>
        <w:br/>
      </w:r>
      <w:r w:rsidRPr="002A2724">
        <w:rPr>
          <w:rFonts w:eastAsia="SimHei" w:hint="eastAsia"/>
        </w:rPr>
        <w:t>第</w:t>
      </w:r>
      <w:r w:rsidRPr="002A2724">
        <w:rPr>
          <w:rFonts w:eastAsia="SimHei" w:hint="eastAsia"/>
          <w:b/>
        </w:rPr>
        <w:t>18</w:t>
      </w:r>
      <w:r w:rsidRPr="002A2724">
        <w:rPr>
          <w:rFonts w:eastAsia="SimHei" w:hint="eastAsia"/>
        </w:rPr>
        <w:t>条提交的报告</w:t>
      </w:r>
    </w:p>
    <w:p w:rsidR="009A5402" w:rsidRPr="009A5402" w:rsidRDefault="009A5402" w:rsidP="009A5402">
      <w:pPr>
        <w:pStyle w:val="HMGC"/>
        <w:tabs>
          <w:tab w:val="left" w:pos="1560"/>
        </w:tabs>
        <w:spacing w:before="0" w:after="0" w:line="120" w:lineRule="exact"/>
        <w:rPr>
          <w:rFonts w:hint="eastAsia"/>
          <w:sz w:val="10"/>
        </w:rPr>
      </w:pPr>
    </w:p>
    <w:p w:rsidR="009A5402" w:rsidRPr="009A5402" w:rsidRDefault="009A5402" w:rsidP="009A5402">
      <w:pPr>
        <w:pStyle w:val="HMGC"/>
        <w:tabs>
          <w:tab w:val="left" w:pos="1560"/>
        </w:tabs>
        <w:spacing w:before="0" w:after="0" w:line="120" w:lineRule="exact"/>
        <w:rPr>
          <w:rFonts w:hint="eastAsia"/>
          <w:sz w:val="10"/>
        </w:rPr>
      </w:pPr>
    </w:p>
    <w:p w:rsidR="009A5402" w:rsidRPr="009A5402" w:rsidRDefault="009A5402" w:rsidP="009A5402">
      <w:pPr>
        <w:pStyle w:val="HMGC"/>
        <w:tabs>
          <w:tab w:val="left" w:pos="1560"/>
        </w:tabs>
        <w:spacing w:before="0" w:after="0" w:line="120" w:lineRule="exact"/>
        <w:rPr>
          <w:rFonts w:hint="eastAsia"/>
          <w:sz w:val="10"/>
        </w:rPr>
      </w:pPr>
    </w:p>
    <w:p w:rsidR="00312EB4" w:rsidRPr="002A2724" w:rsidRDefault="00312EB4" w:rsidP="009A5402">
      <w:pPr>
        <w:pStyle w:val="HMGC"/>
        <w:tabs>
          <w:tab w:val="left" w:pos="1560"/>
        </w:tabs>
        <w:ind w:left="1264" w:firstLine="0"/>
        <w:rPr>
          <w:rFonts w:hint="eastAsia"/>
        </w:rPr>
      </w:pPr>
      <w:r w:rsidRPr="002A2724">
        <w:rPr>
          <w:rFonts w:hint="eastAsia"/>
        </w:rPr>
        <w:t>与俄罗斯联邦第八次定期报告有关的议题和问题清单</w:t>
      </w:r>
    </w:p>
    <w:p w:rsidR="00312EB4" w:rsidRPr="009A5402" w:rsidRDefault="00312EB4" w:rsidP="009A5402">
      <w:pPr>
        <w:pStyle w:val="H23"/>
        <w:ind w:left="1134"/>
        <w:rPr>
          <w:rFonts w:hint="eastAsia"/>
        </w:rPr>
      </w:pPr>
      <w:r w:rsidRPr="009A5402">
        <w:rPr>
          <w:rFonts w:hint="eastAsia"/>
        </w:rPr>
        <w:t>宪法、法律和制度框架</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9A5402">
      <w:pPr>
        <w:pStyle w:val="SingleTxtG"/>
        <w:tabs>
          <w:tab w:val="left" w:pos="1560"/>
        </w:tabs>
        <w:spacing w:line="300" w:lineRule="exact"/>
        <w:rPr>
          <w:rFonts w:hint="eastAsia"/>
          <w:sz w:val="21"/>
          <w:szCs w:val="21"/>
          <w:lang w:eastAsia="zh-CN"/>
        </w:rPr>
      </w:pPr>
      <w:r w:rsidRPr="002A2724">
        <w:rPr>
          <w:sz w:val="21"/>
          <w:szCs w:val="21"/>
          <w:lang w:eastAsia="zh-CN"/>
        </w:rPr>
        <w:t>1.</w:t>
      </w:r>
      <w:r w:rsidRPr="002A2724">
        <w:rPr>
          <w:sz w:val="21"/>
          <w:szCs w:val="21"/>
          <w:lang w:eastAsia="zh-CN"/>
        </w:rPr>
        <w:tab/>
      </w:r>
      <w:r w:rsidRPr="002A2724">
        <w:rPr>
          <w:rFonts w:hint="eastAsia"/>
          <w:sz w:val="21"/>
          <w:szCs w:val="21"/>
          <w:lang w:eastAsia="zh-CN"/>
        </w:rPr>
        <w:t>报告</w:t>
      </w:r>
      <w:r w:rsidR="009A5402">
        <w:rPr>
          <w:rFonts w:hint="eastAsia"/>
          <w:sz w:val="21"/>
          <w:szCs w:val="21"/>
          <w:lang w:eastAsia="zh-CN"/>
        </w:rPr>
        <w:t>(</w:t>
      </w:r>
      <w:hyperlink r:id="rId14" w:history="1">
        <w:r w:rsidRPr="0096786F">
          <w:rPr>
            <w:rStyle w:val="Hyperlink"/>
            <w:sz w:val="21"/>
            <w:szCs w:val="21"/>
            <w:lang w:eastAsia="zh-CN"/>
          </w:rPr>
          <w:t>CEDAW/C/RUS/8</w:t>
        </w:r>
      </w:hyperlink>
      <w:r w:rsidR="009A5402">
        <w:rPr>
          <w:rFonts w:hint="eastAsia"/>
          <w:sz w:val="21"/>
          <w:szCs w:val="21"/>
          <w:lang w:eastAsia="zh-CN"/>
        </w:rPr>
        <w:t>)</w:t>
      </w:r>
      <w:r w:rsidRPr="002A2724">
        <w:rPr>
          <w:rFonts w:hint="eastAsia"/>
          <w:sz w:val="21"/>
          <w:szCs w:val="21"/>
          <w:lang w:eastAsia="zh-CN"/>
        </w:rPr>
        <w:t>称</w:t>
      </w:r>
      <w:r w:rsidRPr="00E053D9">
        <w:rPr>
          <w:rStyle w:val="FootnoteReference"/>
          <w:sz w:val="21"/>
          <w:szCs w:val="21"/>
        </w:rPr>
        <w:footnoteReference w:id="2"/>
      </w:r>
      <w:r w:rsidRPr="002A2724">
        <w:rPr>
          <w:sz w:val="21"/>
          <w:szCs w:val="21"/>
          <w:lang w:eastAsia="zh-CN"/>
        </w:rPr>
        <w:t xml:space="preserve"> </w:t>
      </w:r>
      <w:r w:rsidRPr="002A2724">
        <w:rPr>
          <w:rFonts w:hint="eastAsia"/>
          <w:sz w:val="21"/>
          <w:szCs w:val="21"/>
          <w:lang w:eastAsia="zh-CN"/>
        </w:rPr>
        <w:t>，鉴于国家杜马和政府收到许多反对两性平等法案的呈文</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9</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，该法案尚未获得通过。请提供关于该法案现状的最新信息，并说明该法案或任何其他法律是否载有符合《公约》第</w:t>
      </w:r>
      <w:r w:rsidRPr="002A2724">
        <w:rPr>
          <w:rFonts w:hint="eastAsia"/>
          <w:sz w:val="21"/>
          <w:szCs w:val="21"/>
          <w:lang w:eastAsia="zh-CN"/>
        </w:rPr>
        <w:t>1</w:t>
      </w:r>
      <w:r w:rsidRPr="002A2724">
        <w:rPr>
          <w:rFonts w:hint="eastAsia"/>
          <w:sz w:val="21"/>
          <w:szCs w:val="21"/>
          <w:lang w:eastAsia="zh-CN"/>
        </w:rPr>
        <w:t>条的关于对歧视妇女的定义。</w:t>
      </w:r>
    </w:p>
    <w:p w:rsidR="00312EB4" w:rsidRPr="002A2724" w:rsidRDefault="00312EB4" w:rsidP="009A5402">
      <w:pPr>
        <w:pStyle w:val="SingleTxtG"/>
        <w:tabs>
          <w:tab w:val="left" w:pos="1560"/>
        </w:tabs>
        <w:spacing w:line="300" w:lineRule="exact"/>
        <w:rPr>
          <w:rFonts w:hint="eastAsia"/>
          <w:sz w:val="21"/>
          <w:szCs w:val="21"/>
          <w:lang w:eastAsia="zh-CN"/>
        </w:rPr>
      </w:pPr>
      <w:r w:rsidRPr="002A2724">
        <w:rPr>
          <w:sz w:val="21"/>
          <w:szCs w:val="21"/>
          <w:lang w:eastAsia="zh-CN"/>
        </w:rPr>
        <w:t>2.</w:t>
      </w:r>
      <w:r w:rsidRPr="002A2724">
        <w:rPr>
          <w:sz w:val="21"/>
          <w:szCs w:val="21"/>
          <w:lang w:eastAsia="zh-CN"/>
        </w:rPr>
        <w:tab/>
      </w:r>
      <w:r w:rsidRPr="002A2724">
        <w:rPr>
          <w:rFonts w:hint="eastAsia"/>
          <w:sz w:val="21"/>
          <w:szCs w:val="21"/>
          <w:lang w:eastAsia="zh-CN"/>
        </w:rPr>
        <w:t>委员会在其以前的结论性意见</w:t>
      </w:r>
      <w:r w:rsidR="009A5402">
        <w:rPr>
          <w:rFonts w:hint="eastAsia"/>
          <w:sz w:val="21"/>
          <w:szCs w:val="21"/>
          <w:lang w:eastAsia="zh-CN"/>
        </w:rPr>
        <w:t>(</w:t>
      </w:r>
      <w:hyperlink r:id="rId15" w:history="1">
        <w:r w:rsidRPr="0096786F">
          <w:rPr>
            <w:rStyle w:val="Hyperlink"/>
            <w:sz w:val="21"/>
            <w:szCs w:val="21"/>
            <w:lang w:eastAsia="zh-CN"/>
          </w:rPr>
          <w:t>CEDAW/C/USR/CO/7</w:t>
        </w:r>
      </w:hyperlink>
      <w:r w:rsidRPr="002A2724">
        <w:rPr>
          <w:rFonts w:hint="eastAsia"/>
          <w:sz w:val="21"/>
          <w:szCs w:val="21"/>
          <w:lang w:eastAsia="zh-CN"/>
        </w:rPr>
        <w:t>，第</w:t>
      </w:r>
      <w:r w:rsidRPr="002A2724">
        <w:rPr>
          <w:rFonts w:hint="eastAsia"/>
          <w:sz w:val="21"/>
          <w:szCs w:val="21"/>
          <w:lang w:eastAsia="zh-CN"/>
        </w:rPr>
        <w:t>32</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中，对缔约国内发生的骚扰、暴力袭击和杀害女性记者和人权维护者的可靠报道表示严重关切。除第</w:t>
      </w:r>
      <w:r w:rsidRPr="002A2724">
        <w:rPr>
          <w:rFonts w:hint="eastAsia"/>
          <w:sz w:val="21"/>
          <w:szCs w:val="21"/>
          <w:lang w:eastAsia="zh-CN"/>
        </w:rPr>
        <w:t>143</w:t>
      </w:r>
      <w:r w:rsidRPr="002A2724">
        <w:rPr>
          <w:rFonts w:hint="eastAsia"/>
          <w:sz w:val="21"/>
          <w:szCs w:val="21"/>
          <w:lang w:eastAsia="zh-CN"/>
        </w:rPr>
        <w:t>至</w:t>
      </w:r>
      <w:r w:rsidRPr="002A2724">
        <w:rPr>
          <w:rFonts w:hint="eastAsia"/>
          <w:sz w:val="21"/>
          <w:szCs w:val="21"/>
          <w:lang w:eastAsia="zh-CN"/>
        </w:rPr>
        <w:t>147</w:t>
      </w:r>
      <w:r w:rsidRPr="002A2724">
        <w:rPr>
          <w:rFonts w:hint="eastAsia"/>
          <w:sz w:val="21"/>
          <w:szCs w:val="21"/>
          <w:lang w:eastAsia="zh-CN"/>
        </w:rPr>
        <w:t>段所载内容之外，还请提供详细信息，说明为确保对从事人权领域工作的非政府组织的保护而采取的措施，特别是保护妇女权利、女性记者和人权维护者的措施。</w:t>
      </w:r>
      <w:r>
        <w:rPr>
          <w:rFonts w:hint="eastAsia"/>
          <w:sz w:val="21"/>
          <w:szCs w:val="21"/>
          <w:lang w:eastAsia="zh-CN"/>
        </w:rPr>
        <w:t>还请提供信息说明，</w:t>
      </w:r>
      <w:r>
        <w:rPr>
          <w:rFonts w:hint="eastAsia"/>
          <w:sz w:val="21"/>
          <w:szCs w:val="21"/>
          <w:lang w:eastAsia="zh-CN"/>
        </w:rPr>
        <w:t>2012</w:t>
      </w:r>
      <w:r>
        <w:rPr>
          <w:rFonts w:hint="eastAsia"/>
          <w:sz w:val="21"/>
          <w:szCs w:val="21"/>
          <w:lang w:eastAsia="zh-CN"/>
        </w:rPr>
        <w:t>年关于外国机构的法律对涉及妇女人权并且接受外国资助的非政府组织登记造成的影响。</w:t>
      </w:r>
    </w:p>
    <w:p w:rsidR="00312EB4" w:rsidRPr="009A5402" w:rsidRDefault="00312EB4" w:rsidP="009A5402">
      <w:pPr>
        <w:pStyle w:val="H23"/>
        <w:ind w:left="1134"/>
        <w:rPr>
          <w:rFonts w:hint="eastAsia"/>
        </w:rPr>
      </w:pPr>
      <w:r w:rsidRPr="009A5402">
        <w:rPr>
          <w:rFonts w:hint="eastAsia"/>
        </w:rPr>
        <w:t>法律申诉机制</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3.</w:t>
      </w:r>
      <w:r w:rsidRPr="002A2724">
        <w:rPr>
          <w:sz w:val="21"/>
          <w:szCs w:val="21"/>
          <w:lang w:eastAsia="zh-CN"/>
        </w:rPr>
        <w:tab/>
      </w:r>
      <w:r w:rsidRPr="002A2724">
        <w:rPr>
          <w:rFonts w:hint="eastAsia"/>
          <w:sz w:val="21"/>
          <w:szCs w:val="21"/>
          <w:lang w:eastAsia="zh-CN"/>
        </w:rPr>
        <w:t>报告称，在报告所述期间，监察员没有收到妇女提出的任何关于受到歧视的申诉</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23</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。请提供详细信息说明委员会此前关于加强缔约国正规的法律申诉机制，特别是设立一个单独的妇女权利部门的建议的执行情况</w:t>
      </w:r>
      <w:r w:rsidR="009A5402">
        <w:rPr>
          <w:rFonts w:hint="eastAsia"/>
          <w:sz w:val="21"/>
          <w:szCs w:val="21"/>
          <w:lang w:eastAsia="zh-CN"/>
        </w:rPr>
        <w:t>(</w:t>
      </w:r>
      <w:hyperlink r:id="rId16" w:history="1">
        <w:r w:rsidRPr="0096786F">
          <w:rPr>
            <w:rStyle w:val="Hyperlink"/>
            <w:sz w:val="21"/>
            <w:szCs w:val="21"/>
            <w:lang w:eastAsia="zh-CN"/>
          </w:rPr>
          <w:t>CEDAW/C/USR/CO/7</w:t>
        </w:r>
      </w:hyperlink>
      <w:r w:rsidRPr="002A2724">
        <w:rPr>
          <w:rFonts w:hint="eastAsia"/>
          <w:sz w:val="21"/>
          <w:szCs w:val="21"/>
          <w:lang w:eastAsia="zh-CN"/>
        </w:rPr>
        <w:t>，第</w:t>
      </w:r>
      <w:r w:rsidRPr="002A2724">
        <w:rPr>
          <w:rFonts w:hint="eastAsia"/>
          <w:sz w:val="21"/>
          <w:szCs w:val="21"/>
          <w:lang w:eastAsia="zh-CN"/>
        </w:rPr>
        <w:t>17</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。请提供关于歧视妇女申诉案例的信息，包括多种形式的歧视。</w:t>
      </w:r>
    </w:p>
    <w:p w:rsidR="00312EB4" w:rsidRPr="009A5402" w:rsidRDefault="00312EB4" w:rsidP="009A5402">
      <w:pPr>
        <w:pStyle w:val="H23"/>
        <w:ind w:left="1134"/>
        <w:rPr>
          <w:rFonts w:hint="eastAsia"/>
        </w:rPr>
      </w:pPr>
      <w:r w:rsidRPr="009A5402">
        <w:rPr>
          <w:rFonts w:hint="eastAsia"/>
        </w:rPr>
        <w:t>提高妇女地位的国家机制</w:t>
      </w:r>
    </w:p>
    <w:p w:rsidR="009A5402" w:rsidRPr="009A5402" w:rsidRDefault="009A5402" w:rsidP="009A5402">
      <w:pPr>
        <w:pStyle w:val="SingleTxtG"/>
        <w:tabs>
          <w:tab w:val="left" w:pos="1560"/>
        </w:tabs>
        <w:spacing w:after="0" w:line="120" w:lineRule="exact"/>
        <w:rPr>
          <w:sz w:val="10"/>
          <w:szCs w:val="21"/>
          <w:lang w:val="en-US"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4.</w:t>
      </w:r>
      <w:r w:rsidRPr="002A2724">
        <w:rPr>
          <w:sz w:val="21"/>
          <w:szCs w:val="21"/>
          <w:lang w:eastAsia="zh-CN"/>
        </w:rPr>
        <w:tab/>
      </w:r>
      <w:r w:rsidRPr="002A2724">
        <w:rPr>
          <w:rFonts w:hint="eastAsia"/>
          <w:sz w:val="21"/>
          <w:szCs w:val="21"/>
          <w:lang w:eastAsia="zh-CN"/>
        </w:rPr>
        <w:t>委员会在其以前的结论性意见</w:t>
      </w:r>
      <w:r w:rsidR="009A5402">
        <w:rPr>
          <w:rFonts w:hint="eastAsia"/>
          <w:sz w:val="21"/>
          <w:szCs w:val="21"/>
          <w:lang w:eastAsia="zh-CN"/>
        </w:rPr>
        <w:t>(</w:t>
      </w:r>
      <w:r w:rsidRPr="002A2724">
        <w:rPr>
          <w:rFonts w:hint="eastAsia"/>
          <w:sz w:val="21"/>
          <w:szCs w:val="21"/>
          <w:lang w:eastAsia="zh-CN"/>
        </w:rPr>
        <w:t>同上，第</w:t>
      </w:r>
      <w:r w:rsidRPr="002A2724">
        <w:rPr>
          <w:rFonts w:hint="eastAsia"/>
          <w:sz w:val="21"/>
          <w:szCs w:val="21"/>
          <w:lang w:eastAsia="zh-CN"/>
        </w:rPr>
        <w:t>18</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中，对缔约国缺少提高妇女地位的国家机制表示严重关切。报告指出，促进两性平等的国家机制包括缔约国国家杜马的家庭、妇女和儿童委员会，以及各联邦执行机构</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26</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。请提供最新的详细信息说明这些机构的任务规定，以及国家预算为其开展业务所划拨的人力和财政资源。</w:t>
      </w: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5.</w:t>
      </w:r>
      <w:r w:rsidRPr="002A2724">
        <w:rPr>
          <w:sz w:val="21"/>
          <w:szCs w:val="21"/>
          <w:lang w:eastAsia="zh-CN"/>
        </w:rPr>
        <w:tab/>
      </w:r>
      <w:r w:rsidRPr="002A2724">
        <w:rPr>
          <w:rFonts w:hint="eastAsia"/>
          <w:sz w:val="21"/>
          <w:szCs w:val="21"/>
          <w:lang w:eastAsia="zh-CN"/>
        </w:rPr>
        <w:t>报告指出，在部级和联邦管区一级设立了许多机构，就两性平等问题开展工作</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27</w:t>
      </w:r>
      <w:r w:rsidRPr="002A2724">
        <w:rPr>
          <w:rFonts w:hint="eastAsia"/>
          <w:sz w:val="21"/>
          <w:szCs w:val="21"/>
          <w:lang w:eastAsia="zh-CN"/>
        </w:rPr>
        <w:t>至</w:t>
      </w:r>
      <w:r w:rsidRPr="002A2724">
        <w:rPr>
          <w:rFonts w:hint="eastAsia"/>
          <w:sz w:val="21"/>
          <w:szCs w:val="21"/>
          <w:lang w:eastAsia="zh-CN"/>
        </w:rPr>
        <w:t>32</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解释，已设立的这些机构是常设机构还是特设机构。还请提供信息说明，是否计划设立一个部门间或部际机构，以协调和监测将两性平等纳入所有相关政策和方案主流的进程，并协调此类政策和方案在联邦和地方一级的执行。</w:t>
      </w:r>
    </w:p>
    <w:p w:rsidR="00312EB4" w:rsidRPr="009A5402" w:rsidRDefault="00312EB4" w:rsidP="009A5402">
      <w:pPr>
        <w:pStyle w:val="H23"/>
        <w:ind w:left="1134"/>
      </w:pPr>
      <w:r w:rsidRPr="009A5402">
        <w:rPr>
          <w:rFonts w:hint="eastAsia"/>
        </w:rPr>
        <w:t>暂行特别措施</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6.</w:t>
      </w:r>
      <w:r w:rsidRPr="002A2724">
        <w:rPr>
          <w:sz w:val="21"/>
          <w:szCs w:val="21"/>
          <w:lang w:eastAsia="zh-CN"/>
        </w:rPr>
        <w:tab/>
      </w:r>
      <w:r w:rsidRPr="002A2724">
        <w:rPr>
          <w:rFonts w:hint="eastAsia"/>
          <w:sz w:val="21"/>
          <w:szCs w:val="21"/>
          <w:lang w:eastAsia="zh-CN"/>
        </w:rPr>
        <w:t>关于需要采取暂行特别措施以解决长期存在的妇女在《公约》所涉的某些领域，特别是在政治生活及公共和私营领域决策中代表性不足的问题，报告没有就缔约国的立场提供准确信息。请按照《公约》第</w:t>
      </w:r>
      <w:r w:rsidRPr="002A2724">
        <w:rPr>
          <w:rFonts w:hint="eastAsia"/>
          <w:sz w:val="21"/>
          <w:szCs w:val="21"/>
          <w:lang w:eastAsia="zh-CN"/>
        </w:rPr>
        <w:t>4</w:t>
      </w:r>
      <w:r w:rsidRPr="002A2724">
        <w:rPr>
          <w:rFonts w:hint="eastAsia"/>
          <w:sz w:val="21"/>
          <w:szCs w:val="21"/>
          <w:lang w:eastAsia="zh-CN"/>
        </w:rPr>
        <w:t>条和委员会关于暂行特别措施的第</w:t>
      </w:r>
      <w:r w:rsidRPr="002A2724">
        <w:rPr>
          <w:rFonts w:hint="eastAsia"/>
          <w:sz w:val="21"/>
          <w:szCs w:val="21"/>
          <w:lang w:eastAsia="zh-CN"/>
        </w:rPr>
        <w:t>25</w:t>
      </w:r>
      <w:r w:rsidRPr="002A2724">
        <w:rPr>
          <w:rFonts w:hint="eastAsia"/>
          <w:sz w:val="21"/>
          <w:szCs w:val="21"/>
          <w:lang w:eastAsia="zh-CN"/>
        </w:rPr>
        <w:t>号一般性建议，提供已通过的、旨在推动和加快妇女和男子在《公约》所涉的、妇女处于劣势或代表性不足领域实现实质性平等的暂行特别措施，以及通过执行这些措施已取得或预期取得成果的相关例证。</w:t>
      </w:r>
    </w:p>
    <w:p w:rsidR="00312EB4" w:rsidRPr="009A5402" w:rsidRDefault="00312EB4" w:rsidP="009A5402">
      <w:pPr>
        <w:pStyle w:val="H23"/>
        <w:ind w:left="1134"/>
        <w:rPr>
          <w:rFonts w:hint="eastAsia"/>
        </w:rPr>
      </w:pPr>
      <w:r w:rsidRPr="009A5402">
        <w:rPr>
          <w:rFonts w:hint="eastAsia"/>
        </w:rPr>
        <w:t>陈规定型观念和有害做法</w:t>
      </w:r>
    </w:p>
    <w:p w:rsidR="009A5402" w:rsidRPr="009A5402" w:rsidRDefault="009A5402" w:rsidP="009A5402">
      <w:pPr>
        <w:pStyle w:val="SingleTxtG"/>
        <w:tabs>
          <w:tab w:val="left" w:pos="1560"/>
        </w:tabs>
        <w:spacing w:after="0" w:line="120" w:lineRule="exact"/>
        <w:rPr>
          <w:sz w:val="10"/>
          <w:szCs w:val="21"/>
          <w:lang w:val="en-US"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7.</w:t>
      </w:r>
      <w:r w:rsidRPr="002A2724">
        <w:rPr>
          <w:sz w:val="21"/>
          <w:szCs w:val="21"/>
          <w:lang w:eastAsia="zh-CN"/>
        </w:rPr>
        <w:tab/>
      </w:r>
      <w:r w:rsidRPr="002A2724">
        <w:rPr>
          <w:rFonts w:hint="eastAsia"/>
          <w:sz w:val="21"/>
          <w:szCs w:val="21"/>
          <w:lang w:eastAsia="zh-CN"/>
        </w:rPr>
        <w:t>报告指出，在编写报告时，已制定一项国家家庭政策框架草案，其中纳入了家庭成员平等原则</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93</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。请提供关于该框架现状和内容的最新信息，以及为执行该框架拟采取的进一步措施。还请提供信息，说明为防止消极的性别陈规定型观念，包括教科书和媒体中的陈规定型观念所做的努力。</w:t>
      </w:r>
    </w:p>
    <w:p w:rsidR="00312EB4" w:rsidRPr="009A5402" w:rsidRDefault="00312EB4" w:rsidP="009A5402">
      <w:pPr>
        <w:pStyle w:val="H23"/>
        <w:ind w:left="1134"/>
        <w:rPr>
          <w:rFonts w:hint="eastAsia"/>
        </w:rPr>
      </w:pPr>
      <w:r w:rsidRPr="009A5402">
        <w:rPr>
          <w:rFonts w:hint="eastAsia"/>
        </w:rPr>
        <w:t>暴力侵害妇女行为</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8.</w:t>
      </w:r>
      <w:r w:rsidRPr="002A2724">
        <w:rPr>
          <w:sz w:val="21"/>
          <w:szCs w:val="21"/>
          <w:lang w:eastAsia="zh-CN"/>
        </w:rPr>
        <w:tab/>
      </w:r>
      <w:r w:rsidRPr="002A2724">
        <w:rPr>
          <w:rFonts w:hint="eastAsia"/>
          <w:sz w:val="21"/>
          <w:szCs w:val="21"/>
          <w:lang w:eastAsia="zh-CN"/>
        </w:rPr>
        <w:t>报告第</w:t>
      </w:r>
      <w:r w:rsidRPr="002A2724">
        <w:rPr>
          <w:rFonts w:hint="eastAsia"/>
          <w:sz w:val="21"/>
          <w:szCs w:val="21"/>
          <w:lang w:eastAsia="zh-CN"/>
        </w:rPr>
        <w:t>105</w:t>
      </w:r>
      <w:r w:rsidRPr="002A2724">
        <w:rPr>
          <w:rFonts w:hint="eastAsia"/>
          <w:sz w:val="21"/>
          <w:szCs w:val="21"/>
          <w:lang w:eastAsia="zh-CN"/>
        </w:rPr>
        <w:t>段指出，拟订了一部关于暴力侵害妇女行为的法案，并在随后进行了修订，考虑到了普遍定期审议工作组的建议</w:t>
      </w:r>
      <w:r w:rsidR="009A5402">
        <w:rPr>
          <w:rFonts w:hint="eastAsia"/>
          <w:sz w:val="21"/>
          <w:szCs w:val="21"/>
          <w:lang w:eastAsia="zh-CN"/>
        </w:rPr>
        <w:t>(</w:t>
      </w:r>
      <w:hyperlink r:id="rId17" w:history="1">
        <w:r w:rsidRPr="0096786F">
          <w:rPr>
            <w:rStyle w:val="Hyperlink"/>
            <w:sz w:val="21"/>
            <w:szCs w:val="21"/>
            <w:lang w:eastAsia="zh-CN"/>
          </w:rPr>
          <w:t>A/HRC/24/14</w:t>
        </w:r>
      </w:hyperlink>
      <w:r w:rsidR="009A5402">
        <w:rPr>
          <w:rFonts w:hint="eastAsia"/>
          <w:sz w:val="21"/>
          <w:szCs w:val="21"/>
          <w:lang w:eastAsia="zh-CN"/>
        </w:rPr>
        <w:t>)</w:t>
      </w:r>
      <w:r w:rsidRPr="002A2724">
        <w:rPr>
          <w:rFonts w:hint="eastAsia"/>
          <w:sz w:val="21"/>
          <w:szCs w:val="21"/>
          <w:lang w:eastAsia="zh-CN"/>
        </w:rPr>
        <w:t>。请提供关于该法案现状和主要条款的信息。还请提供关于第</w:t>
      </w:r>
      <w:r w:rsidRPr="002A2724">
        <w:rPr>
          <w:rFonts w:hint="eastAsia"/>
          <w:sz w:val="21"/>
          <w:szCs w:val="21"/>
          <w:lang w:eastAsia="zh-CN"/>
        </w:rPr>
        <w:t>107</w:t>
      </w:r>
      <w:r w:rsidRPr="002A2724">
        <w:rPr>
          <w:rFonts w:hint="eastAsia"/>
          <w:sz w:val="21"/>
          <w:szCs w:val="21"/>
          <w:lang w:eastAsia="zh-CN"/>
        </w:rPr>
        <w:t>段提到的对《刑事诉讼法典》和《</w:t>
      </w:r>
      <w:r w:rsidRPr="002A2724">
        <w:rPr>
          <w:rFonts w:hint="eastAsia"/>
          <w:sz w:val="21"/>
          <w:szCs w:val="21"/>
          <w:lang w:val="ru-RU" w:eastAsia="zh-CN"/>
        </w:rPr>
        <w:t>刑事执行法典</w:t>
      </w:r>
      <w:r w:rsidRPr="002A2724">
        <w:rPr>
          <w:rFonts w:hint="eastAsia"/>
          <w:sz w:val="21"/>
          <w:szCs w:val="21"/>
          <w:lang w:eastAsia="zh-CN"/>
        </w:rPr>
        <w:t>》进行修改的第</w:t>
      </w:r>
      <w:r w:rsidRPr="002A2724">
        <w:rPr>
          <w:sz w:val="21"/>
          <w:szCs w:val="21"/>
          <w:lang w:eastAsia="zh-CN"/>
        </w:rPr>
        <w:t>14704-6</w:t>
      </w:r>
      <w:r w:rsidRPr="002A2724">
        <w:rPr>
          <w:rFonts w:hint="eastAsia"/>
          <w:sz w:val="21"/>
          <w:szCs w:val="21"/>
          <w:lang w:eastAsia="zh-CN"/>
        </w:rPr>
        <w:t>号联邦法律草案现状的最新信息。</w:t>
      </w:r>
    </w:p>
    <w:p w:rsidR="00312EB4" w:rsidRPr="009A5402" w:rsidRDefault="00312EB4" w:rsidP="009A5402">
      <w:pPr>
        <w:pStyle w:val="H23"/>
        <w:ind w:left="1134"/>
        <w:rPr>
          <w:rFonts w:hint="eastAsia"/>
        </w:rPr>
      </w:pPr>
      <w:bookmarkStart w:id="2" w:name="OLE_LINK53"/>
      <w:bookmarkStart w:id="3" w:name="OLE_LINK54"/>
      <w:r w:rsidRPr="009A5402">
        <w:rPr>
          <w:rFonts w:hint="eastAsia"/>
        </w:rPr>
        <w:t>贩运妇女和利用妇女卖淫营利</w:t>
      </w:r>
      <w:bookmarkEnd w:id="2"/>
      <w:bookmarkEnd w:id="3"/>
    </w:p>
    <w:p w:rsidR="009A5402" w:rsidRPr="009A5402" w:rsidRDefault="009A5402" w:rsidP="009A5402">
      <w:pPr>
        <w:pStyle w:val="SingleTxtG"/>
        <w:tabs>
          <w:tab w:val="left" w:pos="1560"/>
        </w:tabs>
        <w:spacing w:after="0" w:line="120" w:lineRule="exact"/>
        <w:rPr>
          <w:sz w:val="10"/>
          <w:szCs w:val="21"/>
          <w:lang w:val="en-US"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9.</w:t>
      </w:r>
      <w:r w:rsidRPr="002A2724">
        <w:rPr>
          <w:sz w:val="21"/>
          <w:szCs w:val="21"/>
          <w:lang w:eastAsia="zh-CN"/>
        </w:rPr>
        <w:tab/>
      </w:r>
      <w:r w:rsidRPr="002A2724">
        <w:rPr>
          <w:rFonts w:hint="eastAsia"/>
          <w:sz w:val="21"/>
          <w:szCs w:val="21"/>
          <w:lang w:eastAsia="zh-CN"/>
        </w:rPr>
        <w:t>请提供关于制止和惩罚贩运人口的法律框架，包括现有的任何国家计划或战略的信息，以及关于对贩运者判刑的信息。请说明对贩运受害者提供的早期查证和保护，以及关于她们所能获得的复原服务，特别是国家资助的复原服务的情况。</w:t>
      </w: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10.</w:t>
      </w:r>
      <w:r w:rsidRPr="002A2724">
        <w:rPr>
          <w:sz w:val="21"/>
          <w:szCs w:val="21"/>
          <w:lang w:eastAsia="zh-CN"/>
        </w:rPr>
        <w:tab/>
      </w:r>
      <w:r w:rsidRPr="002A2724">
        <w:rPr>
          <w:rFonts w:hint="eastAsia"/>
          <w:sz w:val="21"/>
          <w:szCs w:val="21"/>
          <w:lang w:eastAsia="zh-CN"/>
        </w:rPr>
        <w:t>请提供信息说明，在缔约国法律框架下，从事卖淫的妇女将会受到的惩罚。请提供信息说明，《行政违法法典》第</w:t>
      </w:r>
      <w:r w:rsidRPr="002A2724">
        <w:rPr>
          <w:rFonts w:hint="eastAsia"/>
          <w:sz w:val="21"/>
          <w:szCs w:val="21"/>
          <w:lang w:eastAsia="zh-CN"/>
        </w:rPr>
        <w:t>6.11</w:t>
      </w:r>
      <w:r w:rsidRPr="002A2724">
        <w:rPr>
          <w:rFonts w:hint="eastAsia"/>
          <w:sz w:val="21"/>
          <w:szCs w:val="21"/>
          <w:lang w:eastAsia="zh-CN"/>
        </w:rPr>
        <w:t>条的规定对从事卖淫活动妇女的影响，以及为保护她们免遭警方歧视、暴力侵害、非法拘留、敲诈、威胁和骚扰所采取的措施。请提供详细信息说明，《刑法典》关于“授权性犯罪”规定的性质。</w:t>
      </w:r>
    </w:p>
    <w:p w:rsidR="00312EB4" w:rsidRPr="009A5402" w:rsidRDefault="00312EB4" w:rsidP="009A5402">
      <w:pPr>
        <w:pStyle w:val="H23"/>
        <w:ind w:left="1134"/>
      </w:pPr>
      <w:r w:rsidRPr="009A5402">
        <w:rPr>
          <w:rFonts w:hint="eastAsia"/>
        </w:rPr>
        <w:t>妇女参与政治和公共生活</w:t>
      </w:r>
    </w:p>
    <w:p w:rsidR="009A5402" w:rsidRPr="009A5402" w:rsidRDefault="009A5402" w:rsidP="009A5402">
      <w:pPr>
        <w:pStyle w:val="SingleTxtG"/>
        <w:tabs>
          <w:tab w:val="left" w:pos="1560"/>
        </w:tabs>
        <w:spacing w:after="0" w:line="120" w:lineRule="exact"/>
        <w:rPr>
          <w:sz w:val="10"/>
          <w:szCs w:val="21"/>
          <w:lang w:val="en-US"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11.</w:t>
      </w:r>
      <w:r w:rsidRPr="002A2724">
        <w:rPr>
          <w:sz w:val="21"/>
          <w:szCs w:val="21"/>
          <w:lang w:eastAsia="zh-CN"/>
        </w:rPr>
        <w:tab/>
      </w:r>
      <w:r w:rsidRPr="002A2724">
        <w:rPr>
          <w:rFonts w:hint="eastAsia"/>
          <w:sz w:val="21"/>
          <w:szCs w:val="21"/>
          <w:lang w:eastAsia="zh-CN"/>
        </w:rPr>
        <w:t>报告承认，妇女代表权利不足的问题仍具有迫切性，以及为提高妇女代表权而依法采取措施的尝试并没有得到社会和议员们的共识</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140</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。请提供信息</w:t>
      </w:r>
      <w:r>
        <w:rPr>
          <w:rFonts w:hint="eastAsia"/>
          <w:sz w:val="21"/>
          <w:szCs w:val="21"/>
          <w:lang w:eastAsia="zh-CN"/>
        </w:rPr>
        <w:t>说明，已采取的提升妇女在政治和公共领域以及在决策职位中代表性的</w:t>
      </w:r>
      <w:r w:rsidRPr="002A2724">
        <w:rPr>
          <w:rFonts w:hint="eastAsia"/>
          <w:sz w:val="21"/>
          <w:szCs w:val="21"/>
          <w:lang w:eastAsia="zh-CN"/>
        </w:rPr>
        <w:t>具体措施，包括诸如配额等暂行特别措施。还请说明，这些措施是否包括提高对妇女参与决策对整个社会重要意义的认识运动，以及是否包括监测这些措施影响的机制。</w:t>
      </w:r>
    </w:p>
    <w:p w:rsidR="00312EB4" w:rsidRPr="009A5402" w:rsidRDefault="00312EB4" w:rsidP="009A5402">
      <w:pPr>
        <w:pStyle w:val="H23"/>
        <w:ind w:left="1134"/>
        <w:rPr>
          <w:rFonts w:hint="eastAsia"/>
        </w:rPr>
      </w:pPr>
      <w:r w:rsidRPr="009A5402">
        <w:rPr>
          <w:rFonts w:hint="eastAsia"/>
        </w:rPr>
        <w:t>就业</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12.</w:t>
      </w:r>
      <w:r w:rsidRPr="002A2724">
        <w:rPr>
          <w:sz w:val="21"/>
          <w:szCs w:val="21"/>
          <w:lang w:eastAsia="zh-CN"/>
        </w:rPr>
        <w:tab/>
      </w:r>
      <w:r w:rsidRPr="002A2724">
        <w:rPr>
          <w:rFonts w:hint="eastAsia"/>
          <w:sz w:val="21"/>
          <w:szCs w:val="21"/>
          <w:lang w:eastAsia="zh-CN"/>
        </w:rPr>
        <w:t>报告指出，法律仍然规定限制妇女从事某些行业，因此对妇女和未成年人的职业培训只能根据职业来进行，并用于那些允许使用妇女劳动力的生产和工作</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155</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。请说明这些限制，并请提供相关信息说明为解除这些限制所采取的</w:t>
      </w:r>
      <w:r>
        <w:rPr>
          <w:rFonts w:hint="eastAsia"/>
          <w:sz w:val="21"/>
          <w:szCs w:val="21"/>
          <w:lang w:eastAsia="zh-CN"/>
        </w:rPr>
        <w:t>措施。还请提供信息说明，法律是否保障同工同酬原则，以及为解决男子</w:t>
      </w:r>
      <w:r w:rsidRPr="002A2724">
        <w:rPr>
          <w:rFonts w:hint="eastAsia"/>
          <w:sz w:val="21"/>
          <w:szCs w:val="21"/>
          <w:lang w:eastAsia="zh-CN"/>
        </w:rPr>
        <w:t>和妇女之间的职业隔离所采取的措施。</w:t>
      </w: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13.</w:t>
      </w:r>
      <w:r w:rsidRPr="002A2724">
        <w:rPr>
          <w:sz w:val="21"/>
          <w:szCs w:val="21"/>
          <w:lang w:eastAsia="zh-CN"/>
        </w:rPr>
        <w:tab/>
      </w:r>
      <w:r w:rsidRPr="002A2724">
        <w:rPr>
          <w:rFonts w:hint="eastAsia"/>
          <w:sz w:val="21"/>
          <w:szCs w:val="21"/>
          <w:lang w:eastAsia="zh-CN"/>
        </w:rPr>
        <w:t>报告指出，在报告编写时，已拟订了对扩大外国公民在临时丧失劳动能力和孕产时的强制性社会保险的若干法律进行修改的联邦法律草案</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124</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。请提供关于该法律草案现状和内容的最新信息。</w:t>
      </w:r>
    </w:p>
    <w:p w:rsidR="00312EB4" w:rsidRPr="009A5402" w:rsidRDefault="00312EB4" w:rsidP="009A5402">
      <w:pPr>
        <w:pStyle w:val="H23"/>
        <w:ind w:left="1134"/>
        <w:rPr>
          <w:rFonts w:hint="eastAsia"/>
        </w:rPr>
      </w:pPr>
      <w:r w:rsidRPr="009A5402">
        <w:rPr>
          <w:rFonts w:hint="eastAsia"/>
        </w:rPr>
        <w:t>健康</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312EB4">
      <w:pPr>
        <w:pStyle w:val="SingleTxtG"/>
        <w:tabs>
          <w:tab w:val="left" w:pos="1560"/>
        </w:tabs>
        <w:spacing w:line="320" w:lineRule="exact"/>
        <w:rPr>
          <w:sz w:val="21"/>
          <w:szCs w:val="21"/>
          <w:lang w:eastAsia="zh-CN"/>
        </w:rPr>
      </w:pPr>
      <w:r w:rsidRPr="002A2724">
        <w:rPr>
          <w:sz w:val="21"/>
          <w:szCs w:val="21"/>
          <w:lang w:eastAsia="zh-CN"/>
        </w:rPr>
        <w:t>14.</w:t>
      </w:r>
      <w:r w:rsidRPr="002A2724">
        <w:rPr>
          <w:sz w:val="21"/>
          <w:szCs w:val="21"/>
          <w:lang w:eastAsia="zh-CN"/>
        </w:rPr>
        <w:tab/>
      </w:r>
      <w:r w:rsidRPr="002A2724">
        <w:rPr>
          <w:rFonts w:hint="eastAsia"/>
          <w:sz w:val="21"/>
          <w:szCs w:val="21"/>
          <w:lang w:eastAsia="zh-CN"/>
        </w:rPr>
        <w:t>报告指出，缔约国仅有</w:t>
      </w:r>
      <w:r w:rsidRPr="002A2724">
        <w:rPr>
          <w:rFonts w:hint="eastAsia"/>
          <w:sz w:val="21"/>
          <w:szCs w:val="21"/>
          <w:lang w:eastAsia="zh-CN"/>
        </w:rPr>
        <w:t>24.5%</w:t>
      </w:r>
      <w:r w:rsidRPr="002A2724">
        <w:rPr>
          <w:rFonts w:hint="eastAsia"/>
          <w:sz w:val="21"/>
          <w:szCs w:val="21"/>
          <w:lang w:eastAsia="zh-CN"/>
        </w:rPr>
        <w:t>的妇女使用现代避孕措施</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193</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，以及在</w:t>
      </w:r>
      <w:r w:rsidRPr="002A2724">
        <w:rPr>
          <w:rFonts w:hint="eastAsia"/>
          <w:sz w:val="21"/>
          <w:szCs w:val="21"/>
          <w:lang w:eastAsia="zh-CN"/>
        </w:rPr>
        <w:t>2011</w:t>
      </w:r>
      <w:r w:rsidRPr="002A2724">
        <w:rPr>
          <w:rFonts w:hint="eastAsia"/>
          <w:sz w:val="21"/>
          <w:szCs w:val="21"/>
          <w:lang w:eastAsia="zh-CN"/>
        </w:rPr>
        <w:t>年开展了一次生殖健康调查</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195</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请提供关于调查结果、发现的问题，以及解决问题的措施的信息。请提供信息说明在以下方面采取的措施：解决因避孕药具使用率低导致的高流产率问题，提高现代避孕方法和计划生育的可获得性、可供性和可负担性，提升妇女和女孩对此的认识，以及促进妇女和女孩享受医疗服务和生殖保健中心服务。还请提供关于移徙女工、罗姆人、土著和少数民族妇女，以及被拘留妇女健康状况的信息。</w:t>
      </w:r>
    </w:p>
    <w:p w:rsidR="00312EB4" w:rsidRPr="009A5402" w:rsidRDefault="00312EB4" w:rsidP="009A5402">
      <w:pPr>
        <w:pStyle w:val="H23"/>
        <w:ind w:left="1134"/>
        <w:rPr>
          <w:rFonts w:hint="eastAsia"/>
        </w:rPr>
      </w:pPr>
      <w:bookmarkStart w:id="4" w:name="OLE_LINK17"/>
      <w:bookmarkStart w:id="5" w:name="OLE_LINK18"/>
      <w:r w:rsidRPr="009A5402">
        <w:rPr>
          <w:rFonts w:hint="eastAsia"/>
        </w:rPr>
        <w:t>女同性恋、双性恋、跨性别者和双性妇女</w:t>
      </w:r>
      <w:bookmarkEnd w:id="4"/>
      <w:bookmarkEnd w:id="5"/>
    </w:p>
    <w:p w:rsidR="009A5402" w:rsidRPr="009A5402" w:rsidRDefault="009A5402" w:rsidP="009A5402">
      <w:pPr>
        <w:pStyle w:val="SingleTxtG"/>
        <w:tabs>
          <w:tab w:val="left" w:pos="1560"/>
        </w:tabs>
        <w:spacing w:after="0" w:line="120" w:lineRule="exact"/>
        <w:rPr>
          <w:sz w:val="10"/>
          <w:szCs w:val="21"/>
          <w:lang w:val="en-US"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15.</w:t>
      </w:r>
      <w:r w:rsidRPr="002A2724">
        <w:rPr>
          <w:sz w:val="21"/>
          <w:szCs w:val="21"/>
          <w:lang w:eastAsia="zh-CN"/>
        </w:rPr>
        <w:tab/>
      </w:r>
      <w:r w:rsidRPr="002A2724">
        <w:rPr>
          <w:rFonts w:hint="eastAsia"/>
          <w:sz w:val="21"/>
          <w:szCs w:val="21"/>
          <w:lang w:eastAsia="zh-CN"/>
        </w:rPr>
        <w:t>据报道，国家杜马</w:t>
      </w:r>
      <w:r w:rsidRPr="002A2724">
        <w:rPr>
          <w:rFonts w:hint="eastAsia"/>
          <w:sz w:val="21"/>
          <w:szCs w:val="21"/>
          <w:lang w:eastAsia="zh-CN"/>
        </w:rPr>
        <w:t>2013</w:t>
      </w:r>
      <w:r w:rsidRPr="002A2724">
        <w:rPr>
          <w:rFonts w:hint="eastAsia"/>
          <w:sz w:val="21"/>
          <w:szCs w:val="21"/>
          <w:lang w:eastAsia="zh-CN"/>
        </w:rPr>
        <w:t>年通过了一部关于禁止“非传统性关系的宣传”的立法，可能对某些妇女群体造成歧视。请提供信息说明，为保护女同性恋、双性恋、跨性别者和双性妇女免遭歧视所采取的措施。据委员会收到的信息，</w:t>
      </w:r>
      <w:bookmarkStart w:id="6" w:name="OLE_LINK19"/>
      <w:bookmarkStart w:id="7" w:name="OLE_LINK20"/>
      <w:r w:rsidRPr="002A2724">
        <w:rPr>
          <w:rFonts w:hint="eastAsia"/>
          <w:sz w:val="21"/>
          <w:szCs w:val="21"/>
          <w:lang w:eastAsia="zh-CN"/>
        </w:rPr>
        <w:t>这类妇女</w:t>
      </w:r>
      <w:bookmarkEnd w:id="6"/>
      <w:bookmarkEnd w:id="7"/>
      <w:r w:rsidRPr="002A2724">
        <w:rPr>
          <w:rFonts w:hint="eastAsia"/>
          <w:sz w:val="21"/>
          <w:szCs w:val="21"/>
          <w:lang w:eastAsia="zh-CN"/>
        </w:rPr>
        <w:t>在缔约国面临多重形式的歧视和暴力，并且有教师因性取向问题被雇主解聘的案例。请说明为保护这类妇女免受歧视和暴力，包括仇视言论和同性恋攻击所采取的措施。还请提供解聘教师案例的信息。</w:t>
      </w:r>
    </w:p>
    <w:p w:rsidR="00312EB4" w:rsidRPr="009A5402" w:rsidRDefault="00312EB4" w:rsidP="009A5402">
      <w:pPr>
        <w:pStyle w:val="H23"/>
        <w:ind w:left="1134"/>
      </w:pPr>
      <w:r w:rsidRPr="009A5402">
        <w:rPr>
          <w:rFonts w:hint="eastAsia"/>
        </w:rPr>
        <w:t>土著妇女和少数民族妇女</w:t>
      </w:r>
    </w:p>
    <w:p w:rsidR="009A5402" w:rsidRPr="009A5402" w:rsidRDefault="009A5402" w:rsidP="009A5402">
      <w:pPr>
        <w:pStyle w:val="SingleTxtG"/>
        <w:tabs>
          <w:tab w:val="left" w:pos="1560"/>
        </w:tabs>
        <w:spacing w:after="0" w:line="120" w:lineRule="exact"/>
        <w:rPr>
          <w:sz w:val="10"/>
          <w:szCs w:val="21"/>
          <w:lang w:val="en-US"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16.</w:t>
      </w:r>
      <w:r w:rsidRPr="002A2724">
        <w:rPr>
          <w:sz w:val="21"/>
          <w:szCs w:val="21"/>
          <w:lang w:eastAsia="zh-CN"/>
        </w:rPr>
        <w:tab/>
      </w:r>
      <w:r w:rsidRPr="002A2724">
        <w:rPr>
          <w:rFonts w:hint="eastAsia"/>
          <w:sz w:val="21"/>
          <w:szCs w:val="21"/>
          <w:lang w:eastAsia="zh-CN"/>
        </w:rPr>
        <w:t>报告未提及土著妇女的状况。请提供信息说明，为确保土著妇女得到有效的法律保护所采取的措施，特别是在其土地权利、领土和资源权利，以及在地方、区域和联邦决策机构代表性方面。还请提供关于土著妇女和女孩的数据。请提供信息说明，少数民族妇女在获得教育、保健、参与政治和公共事务以及决策方面的情况。</w:t>
      </w:r>
    </w:p>
    <w:p w:rsidR="00312EB4" w:rsidRPr="009A5402" w:rsidRDefault="00312EB4" w:rsidP="009A5402">
      <w:pPr>
        <w:pStyle w:val="H23"/>
        <w:ind w:left="1134"/>
        <w:rPr>
          <w:rFonts w:hint="eastAsia"/>
        </w:rPr>
      </w:pPr>
      <w:r w:rsidRPr="009A5402">
        <w:rPr>
          <w:rFonts w:hint="eastAsia"/>
        </w:rPr>
        <w:t>妇女、和平与安全</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312EB4">
      <w:pPr>
        <w:pStyle w:val="SingleTxtG"/>
        <w:tabs>
          <w:tab w:val="left" w:pos="1560"/>
        </w:tabs>
        <w:spacing w:line="320" w:lineRule="exact"/>
        <w:rPr>
          <w:rFonts w:hint="eastAsia"/>
          <w:sz w:val="21"/>
          <w:szCs w:val="21"/>
          <w:lang w:eastAsia="zh-CN"/>
        </w:rPr>
      </w:pPr>
      <w:r w:rsidRPr="002A2724">
        <w:rPr>
          <w:sz w:val="21"/>
          <w:szCs w:val="21"/>
          <w:lang w:eastAsia="zh-CN"/>
        </w:rPr>
        <w:t>17.</w:t>
      </w:r>
      <w:r w:rsidRPr="002A2724">
        <w:rPr>
          <w:sz w:val="21"/>
          <w:szCs w:val="21"/>
          <w:lang w:eastAsia="zh-CN"/>
        </w:rPr>
        <w:tab/>
      </w:r>
      <w:r w:rsidRPr="002A2724">
        <w:rPr>
          <w:rFonts w:hint="eastAsia"/>
          <w:sz w:val="21"/>
          <w:szCs w:val="21"/>
          <w:lang w:eastAsia="zh-CN"/>
        </w:rPr>
        <w:t>请提供信息说明，为加强和支持妇女参与正式和非正式的预防冲突努力所采取的措施，并说明为通过一项执行安全理事会第</w:t>
      </w:r>
      <w:r w:rsidRPr="002A2724">
        <w:rPr>
          <w:rFonts w:hint="eastAsia"/>
          <w:sz w:val="21"/>
          <w:szCs w:val="21"/>
          <w:lang w:eastAsia="zh-CN"/>
        </w:rPr>
        <w:t>1325</w:t>
      </w:r>
      <w:r w:rsidR="009A5402">
        <w:rPr>
          <w:rFonts w:hint="eastAsia"/>
          <w:sz w:val="21"/>
          <w:szCs w:val="21"/>
          <w:lang w:eastAsia="zh-CN"/>
        </w:rPr>
        <w:t>(</w:t>
      </w:r>
      <w:r w:rsidRPr="002A2724">
        <w:rPr>
          <w:rFonts w:hint="eastAsia"/>
          <w:sz w:val="21"/>
          <w:szCs w:val="21"/>
          <w:lang w:eastAsia="zh-CN"/>
        </w:rPr>
        <w:t>2000</w:t>
      </w:r>
      <w:r w:rsidR="009A5402">
        <w:rPr>
          <w:rFonts w:hint="eastAsia"/>
          <w:sz w:val="21"/>
          <w:szCs w:val="21"/>
          <w:lang w:eastAsia="zh-CN"/>
        </w:rPr>
        <w:t>)</w:t>
      </w:r>
      <w:r w:rsidRPr="002A2724">
        <w:rPr>
          <w:rFonts w:hint="eastAsia"/>
          <w:sz w:val="21"/>
          <w:szCs w:val="21"/>
          <w:lang w:eastAsia="zh-CN"/>
        </w:rPr>
        <w:t>号决议的国家行动计划所采取的步骤。请解释，是否依据委员会关于妇女在预防冲突、冲突和冲突后局势中的作用的第</w:t>
      </w:r>
      <w:r w:rsidRPr="002A2724">
        <w:rPr>
          <w:rFonts w:hint="eastAsia"/>
          <w:sz w:val="21"/>
          <w:szCs w:val="21"/>
          <w:lang w:eastAsia="zh-CN"/>
        </w:rPr>
        <w:t>30</w:t>
      </w:r>
      <w:r w:rsidRPr="002A2724">
        <w:rPr>
          <w:rFonts w:hint="eastAsia"/>
          <w:sz w:val="21"/>
          <w:szCs w:val="21"/>
          <w:lang w:eastAsia="zh-CN"/>
        </w:rPr>
        <w:t>号一般性建议，向受冲突影响的妇女提供适当的司法救助、赔偿和援助，包括心理援助。请提供来自乌克兰战区寻求庇护妇女状况的信息和数据。还请提供信息说明，为帮助她们，特别是性暴力和其他形式虐待的受害妇女所采取的措施。</w:t>
      </w:r>
    </w:p>
    <w:p w:rsidR="00312EB4" w:rsidRPr="009A5402" w:rsidRDefault="00312EB4" w:rsidP="009A5402">
      <w:pPr>
        <w:pStyle w:val="H23"/>
        <w:ind w:left="1134"/>
        <w:rPr>
          <w:rFonts w:hint="eastAsia"/>
        </w:rPr>
      </w:pPr>
      <w:r w:rsidRPr="009A5402">
        <w:rPr>
          <w:rFonts w:hint="eastAsia"/>
        </w:rPr>
        <w:t>婚姻和家庭关系</w:t>
      </w:r>
    </w:p>
    <w:p w:rsidR="009A5402" w:rsidRPr="009A5402" w:rsidRDefault="009A5402" w:rsidP="009A5402">
      <w:pPr>
        <w:pStyle w:val="SingleTxtG"/>
        <w:tabs>
          <w:tab w:val="left" w:pos="1560"/>
        </w:tabs>
        <w:spacing w:after="0" w:line="120" w:lineRule="exact"/>
        <w:rPr>
          <w:sz w:val="10"/>
          <w:szCs w:val="21"/>
          <w:lang w:eastAsia="zh-CN"/>
        </w:rPr>
      </w:pPr>
    </w:p>
    <w:p w:rsidR="00312EB4" w:rsidRPr="002A2724" w:rsidRDefault="00312EB4" w:rsidP="00312EB4">
      <w:pPr>
        <w:pStyle w:val="SingleTxtG"/>
        <w:tabs>
          <w:tab w:val="left" w:pos="1560"/>
        </w:tabs>
        <w:spacing w:line="320" w:lineRule="exact"/>
        <w:rPr>
          <w:sz w:val="21"/>
          <w:szCs w:val="21"/>
          <w:lang w:eastAsia="zh-CN"/>
        </w:rPr>
      </w:pPr>
      <w:r w:rsidRPr="002A2724">
        <w:rPr>
          <w:sz w:val="21"/>
          <w:szCs w:val="21"/>
          <w:lang w:eastAsia="zh-CN"/>
        </w:rPr>
        <w:t>18.</w:t>
      </w:r>
      <w:r w:rsidRPr="002A2724">
        <w:rPr>
          <w:sz w:val="21"/>
          <w:szCs w:val="21"/>
          <w:lang w:eastAsia="zh-CN"/>
        </w:rPr>
        <w:tab/>
      </w:r>
      <w:r w:rsidRPr="002A2724">
        <w:rPr>
          <w:rFonts w:hint="eastAsia"/>
          <w:sz w:val="21"/>
          <w:szCs w:val="21"/>
          <w:lang w:eastAsia="zh-CN"/>
        </w:rPr>
        <w:t>报告承认，家庭法的规定不适用于未登记结婚的同居双方所获财产</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266</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，以及实际婚姻夫妻不能继承财产</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271</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。报告还确认，实际结合的伴侣数量继续增长</w:t>
      </w:r>
      <w:r w:rsidR="009A5402">
        <w:rPr>
          <w:rFonts w:hint="eastAsia"/>
          <w:sz w:val="21"/>
          <w:szCs w:val="21"/>
          <w:lang w:eastAsia="zh-CN"/>
        </w:rPr>
        <w:t>(</w:t>
      </w:r>
      <w:r w:rsidRPr="002A2724">
        <w:rPr>
          <w:rFonts w:hint="eastAsia"/>
          <w:sz w:val="21"/>
          <w:szCs w:val="21"/>
          <w:lang w:eastAsia="zh-CN"/>
        </w:rPr>
        <w:t>第</w:t>
      </w:r>
      <w:r w:rsidRPr="002A2724">
        <w:rPr>
          <w:rFonts w:hint="eastAsia"/>
          <w:sz w:val="21"/>
          <w:szCs w:val="21"/>
          <w:lang w:eastAsia="zh-CN"/>
        </w:rPr>
        <w:t>265</w:t>
      </w:r>
      <w:r w:rsidRPr="002A2724">
        <w:rPr>
          <w:rFonts w:hint="eastAsia"/>
          <w:sz w:val="21"/>
          <w:szCs w:val="21"/>
          <w:lang w:eastAsia="zh-CN"/>
        </w:rPr>
        <w:t>段</w:t>
      </w:r>
      <w:r w:rsidR="009A5402">
        <w:rPr>
          <w:rFonts w:hint="eastAsia"/>
          <w:sz w:val="21"/>
          <w:szCs w:val="21"/>
          <w:lang w:eastAsia="zh-CN"/>
        </w:rPr>
        <w:t>)</w:t>
      </w:r>
      <w:r w:rsidRPr="002A2724">
        <w:rPr>
          <w:rFonts w:hint="eastAsia"/>
          <w:sz w:val="21"/>
          <w:szCs w:val="21"/>
          <w:lang w:eastAsia="zh-CN"/>
        </w:rPr>
        <w:t>。</w:t>
      </w:r>
      <w:r w:rsidRPr="002A2724">
        <w:rPr>
          <w:rFonts w:hint="eastAsia"/>
          <w:sz w:val="21"/>
          <w:szCs w:val="21"/>
          <w:lang w:eastAsia="zh-CN"/>
        </w:rPr>
        <w:t xml:space="preserve"> </w:t>
      </w:r>
      <w:r w:rsidRPr="002A2724">
        <w:rPr>
          <w:rFonts w:hint="eastAsia"/>
          <w:sz w:val="21"/>
          <w:szCs w:val="21"/>
          <w:lang w:eastAsia="zh-CN"/>
        </w:rPr>
        <w:t>请提供信息说明，依据委员会关于《公约》第</w:t>
      </w:r>
      <w:r w:rsidRPr="002A2724">
        <w:rPr>
          <w:rFonts w:hint="eastAsia"/>
          <w:sz w:val="21"/>
          <w:szCs w:val="21"/>
          <w:lang w:eastAsia="zh-CN"/>
        </w:rPr>
        <w:t>16</w:t>
      </w:r>
      <w:r w:rsidRPr="002A2724">
        <w:rPr>
          <w:rFonts w:hint="eastAsia"/>
          <w:sz w:val="21"/>
          <w:szCs w:val="21"/>
          <w:lang w:eastAsia="zh-CN"/>
        </w:rPr>
        <w:t>条</w:t>
      </w:r>
      <w:r w:rsidR="009A5402">
        <w:rPr>
          <w:rFonts w:hint="eastAsia"/>
          <w:sz w:val="21"/>
          <w:szCs w:val="21"/>
          <w:lang w:eastAsia="zh-CN"/>
        </w:rPr>
        <w:t>(</w:t>
      </w:r>
      <w:r w:rsidRPr="002A2724">
        <w:rPr>
          <w:rFonts w:hint="eastAsia"/>
          <w:sz w:val="21"/>
          <w:szCs w:val="21"/>
          <w:lang w:eastAsia="zh-CN"/>
        </w:rPr>
        <w:t>婚姻、家庭关系及其解除的经济后果</w:t>
      </w:r>
      <w:r w:rsidR="009A5402">
        <w:rPr>
          <w:rFonts w:hint="eastAsia"/>
          <w:sz w:val="21"/>
          <w:szCs w:val="21"/>
          <w:lang w:eastAsia="zh-CN"/>
        </w:rPr>
        <w:t>)</w:t>
      </w:r>
      <w:r w:rsidRPr="002A2724">
        <w:rPr>
          <w:rFonts w:hint="eastAsia"/>
          <w:sz w:val="21"/>
          <w:szCs w:val="21"/>
          <w:lang w:eastAsia="zh-CN"/>
        </w:rPr>
        <w:t>的第</w:t>
      </w:r>
      <w:r w:rsidRPr="002A2724">
        <w:rPr>
          <w:rFonts w:hint="eastAsia"/>
          <w:sz w:val="21"/>
          <w:szCs w:val="21"/>
          <w:lang w:eastAsia="zh-CN"/>
        </w:rPr>
        <w:t>29</w:t>
      </w:r>
      <w:r w:rsidRPr="002A2724">
        <w:rPr>
          <w:rFonts w:hint="eastAsia"/>
          <w:sz w:val="21"/>
          <w:szCs w:val="21"/>
          <w:lang w:eastAsia="zh-CN"/>
        </w:rPr>
        <w:t>号一般性建议，对于此类</w:t>
      </w:r>
      <w:bookmarkStart w:id="8" w:name="OLE_LINK23"/>
      <w:bookmarkStart w:id="9" w:name="OLE_LINK24"/>
      <w:r w:rsidRPr="002A2724">
        <w:rPr>
          <w:rFonts w:hint="eastAsia"/>
          <w:sz w:val="21"/>
          <w:szCs w:val="21"/>
          <w:lang w:eastAsia="zh-CN"/>
        </w:rPr>
        <w:t>实际婚姻</w:t>
      </w:r>
      <w:bookmarkEnd w:id="8"/>
      <w:bookmarkEnd w:id="9"/>
      <w:r w:rsidRPr="002A2724">
        <w:rPr>
          <w:rFonts w:hint="eastAsia"/>
          <w:sz w:val="21"/>
          <w:szCs w:val="21"/>
          <w:lang w:eastAsia="zh-CN"/>
        </w:rPr>
        <w:t>——不论其登记情况，在解除关系时为保护妇女权利已经或计划采取的法律措施。</w:t>
      </w:r>
    </w:p>
    <w:p w:rsidR="00312EB4" w:rsidRPr="009A5402" w:rsidRDefault="00312EB4" w:rsidP="009A5402">
      <w:pPr>
        <w:pStyle w:val="H23"/>
        <w:ind w:left="1134"/>
        <w:rPr>
          <w:rFonts w:hint="eastAsia"/>
        </w:rPr>
      </w:pPr>
      <w:r w:rsidRPr="009A5402">
        <w:rPr>
          <w:rFonts w:hint="eastAsia"/>
        </w:rPr>
        <w:t>对《公约》第</w:t>
      </w:r>
      <w:r w:rsidR="0053452C">
        <w:t>20</w:t>
      </w:r>
      <w:r w:rsidRPr="009A5402">
        <w:t>(1)</w:t>
      </w:r>
      <w:r w:rsidRPr="009A5402">
        <w:rPr>
          <w:rFonts w:hint="eastAsia"/>
        </w:rPr>
        <w:t>条的修正</w:t>
      </w:r>
    </w:p>
    <w:p w:rsidR="009A5402" w:rsidRPr="009A5402" w:rsidRDefault="009A5402" w:rsidP="009A5402">
      <w:pPr>
        <w:pStyle w:val="SingleTxt"/>
        <w:spacing w:after="0" w:line="120" w:lineRule="exact"/>
        <w:rPr>
          <w:sz w:val="10"/>
          <w:szCs w:val="21"/>
        </w:rPr>
      </w:pPr>
    </w:p>
    <w:p w:rsidR="00C87D12" w:rsidRDefault="00312EB4" w:rsidP="009A5402">
      <w:pPr>
        <w:pStyle w:val="SingleTxtG"/>
        <w:tabs>
          <w:tab w:val="left" w:pos="1560"/>
        </w:tabs>
        <w:spacing w:line="320" w:lineRule="exact"/>
        <w:rPr>
          <w:rFonts w:hint="eastAsia"/>
          <w:szCs w:val="21"/>
        </w:rPr>
      </w:pPr>
      <w:r w:rsidRPr="002A2724">
        <w:rPr>
          <w:szCs w:val="21"/>
        </w:rPr>
        <w:t>19.</w:t>
      </w:r>
      <w:r w:rsidRPr="002A2724">
        <w:rPr>
          <w:szCs w:val="21"/>
        </w:rPr>
        <w:tab/>
      </w:r>
      <w:r w:rsidRPr="009A5402">
        <w:rPr>
          <w:rFonts w:hint="eastAsia"/>
          <w:sz w:val="21"/>
          <w:szCs w:val="21"/>
          <w:lang w:eastAsia="zh-CN"/>
        </w:rPr>
        <w:t>请说明</w:t>
      </w:r>
      <w:r w:rsidRPr="002A2724">
        <w:rPr>
          <w:rFonts w:hint="eastAsia"/>
          <w:szCs w:val="21"/>
        </w:rPr>
        <w:t>，在接受修正关于委员会会议时间的《公约》第</w:t>
      </w:r>
      <w:r w:rsidRPr="002A2724">
        <w:rPr>
          <w:rFonts w:hint="eastAsia"/>
          <w:szCs w:val="21"/>
        </w:rPr>
        <w:t>20</w:t>
      </w:r>
      <w:r w:rsidR="009A5402">
        <w:rPr>
          <w:rFonts w:hint="eastAsia"/>
          <w:szCs w:val="21"/>
        </w:rPr>
        <w:t>(</w:t>
      </w:r>
      <w:r w:rsidRPr="002A2724">
        <w:rPr>
          <w:rFonts w:hint="eastAsia"/>
          <w:szCs w:val="21"/>
        </w:rPr>
        <w:t>1</w:t>
      </w:r>
      <w:r w:rsidR="009A5402">
        <w:rPr>
          <w:rFonts w:hint="eastAsia"/>
          <w:szCs w:val="21"/>
        </w:rPr>
        <w:t>)</w:t>
      </w:r>
      <w:r w:rsidRPr="002A2724">
        <w:rPr>
          <w:rFonts w:hint="eastAsia"/>
          <w:szCs w:val="21"/>
        </w:rPr>
        <w:t>条方面进展如何。</w:t>
      </w:r>
    </w:p>
    <w:p w:rsidR="00312EB4" w:rsidRPr="00312EB4" w:rsidRDefault="00312EB4" w:rsidP="00312EB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312EB4" w:rsidRPr="00312EB4" w:rsidSect="00C87D12">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0:53:00Z" w:initials="Start">
    <w:p w:rsidR="00C87D12" w:rsidRDefault="00C87D1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464E4A">
        <w:fldChar w:fldCharType="separate"/>
      </w:r>
      <w:r w:rsidR="00464E4A">
        <w:rPr>
          <w:rFonts w:hint="eastAsia"/>
          <w:noProof/>
        </w:rPr>
        <w:t>页</w:t>
      </w:r>
      <w:r w:rsidR="00464E4A">
        <w:rPr>
          <w:rFonts w:hint="eastAsia"/>
          <w:noProof/>
        </w:rPr>
        <w:t xml:space="preserve">: </w:t>
      </w:r>
      <w:r w:rsidR="00464E4A">
        <w:rPr>
          <w:noProof/>
        </w:rPr>
        <w:t>1</w:t>
      </w:r>
      <w:r w:rsidR="00464E4A">
        <w:rPr>
          <w:rFonts w:hint="eastAsia"/>
          <w:noProof/>
        </w:rPr>
        <w:br/>
      </w:r>
      <w:r>
        <w:fldChar w:fldCharType="end"/>
      </w:r>
      <w:r>
        <w:rPr>
          <w:rStyle w:val="CommentReference"/>
        </w:rPr>
        <w:annotationRef/>
      </w:r>
      <w:r>
        <w:t>&lt;&lt;ODS JOB NO&gt;&gt;N1507209C&lt;&lt;ODS JOB NO&gt;&gt;</w:t>
      </w:r>
    </w:p>
    <w:p w:rsidR="00C87D12" w:rsidRDefault="00C87D12">
      <w:pPr>
        <w:pStyle w:val="CommentText"/>
      </w:pPr>
      <w:r>
        <w:t>&lt;&lt;ODS DOC SYMBOL1&gt;&gt;CEDAW/C/RUS/Q/8&lt;&lt;ODS DOC SYMBOL1&gt;&gt;</w:t>
      </w:r>
    </w:p>
    <w:p w:rsidR="00C87D12" w:rsidRDefault="00C87D1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B04" w:rsidRDefault="001A0B04">
      <w:r>
        <w:separator/>
      </w:r>
    </w:p>
  </w:endnote>
  <w:endnote w:type="continuationSeparator" w:id="0">
    <w:p w:rsidR="001A0B04" w:rsidRDefault="001A0B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87D12" w:rsidTr="00C87D12">
      <w:tblPrEx>
        <w:tblCellMar>
          <w:top w:w="0" w:type="dxa"/>
          <w:bottom w:w="0" w:type="dxa"/>
        </w:tblCellMar>
      </w:tblPrEx>
      <w:tc>
        <w:tcPr>
          <w:tcW w:w="5028" w:type="dxa"/>
          <w:shd w:val="clear" w:color="auto" w:fill="auto"/>
        </w:tcPr>
        <w:p w:rsidR="00C87D12" w:rsidRPr="00C87D12" w:rsidRDefault="00C87D12" w:rsidP="00C87D12">
          <w:pPr>
            <w:pStyle w:val="Footer"/>
            <w:jc w:val="right"/>
            <w:rPr>
              <w:b w:val="0"/>
              <w:w w:val="103"/>
              <w:sz w:val="14"/>
            </w:rPr>
          </w:pPr>
          <w:fldSimple w:instr=" DOCVARIABLE &quot;FooterJN&quot; \* MERGEFORMAT ">
            <w:r w:rsidR="00464E4A">
              <w:rPr>
                <w:b w:val="0"/>
                <w:w w:val="103"/>
                <w:sz w:val="14"/>
              </w:rPr>
              <w:t>15-04038 (C)</w:t>
            </w:r>
          </w:fldSimple>
        </w:p>
      </w:tc>
      <w:tc>
        <w:tcPr>
          <w:tcW w:w="5028" w:type="dxa"/>
          <w:shd w:val="clear" w:color="auto" w:fill="auto"/>
        </w:tcPr>
        <w:p w:rsidR="00C87D12" w:rsidRPr="00C87D12" w:rsidRDefault="00C87D12" w:rsidP="00C87D12">
          <w:pPr>
            <w:pStyle w:val="Footer"/>
            <w:jc w:val="left"/>
            <w:rPr>
              <w:w w:val="103"/>
            </w:rPr>
          </w:pPr>
          <w:r>
            <w:rPr>
              <w:w w:val="103"/>
            </w:rPr>
            <w:fldChar w:fldCharType="begin"/>
          </w:r>
          <w:r>
            <w:rPr>
              <w:w w:val="103"/>
            </w:rPr>
            <w:instrText xml:space="preserve"> PAGE  \* Arabic  \* MERGEFORMAT </w:instrText>
          </w:r>
          <w:r>
            <w:rPr>
              <w:w w:val="103"/>
            </w:rPr>
            <w:fldChar w:fldCharType="separate"/>
          </w:r>
          <w:r w:rsidR="00FA79ED">
            <w:rPr>
              <w:w w:val="103"/>
            </w:rPr>
            <w:t>4</w:t>
          </w:r>
          <w:r>
            <w:rPr>
              <w:w w:val="103"/>
            </w:rPr>
            <w:fldChar w:fldCharType="end"/>
          </w:r>
          <w:r>
            <w:rPr>
              <w:w w:val="103"/>
            </w:rPr>
            <w:t>/</w:t>
          </w:r>
          <w:fldSimple w:instr=" NUMPAGES  \* Arabic  \* MERGEFORMAT ">
            <w:r w:rsidR="00FA79ED">
              <w:rPr>
                <w:w w:val="103"/>
              </w:rPr>
              <w:t>4</w:t>
            </w:r>
          </w:fldSimple>
        </w:p>
      </w:tc>
    </w:tr>
  </w:tbl>
  <w:p w:rsidR="00C87D12" w:rsidRPr="00C87D12" w:rsidRDefault="00C87D12" w:rsidP="00C87D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87D12" w:rsidTr="00C87D12">
      <w:tblPrEx>
        <w:tblCellMar>
          <w:top w:w="0" w:type="dxa"/>
          <w:bottom w:w="0" w:type="dxa"/>
        </w:tblCellMar>
      </w:tblPrEx>
      <w:tc>
        <w:tcPr>
          <w:tcW w:w="5028" w:type="dxa"/>
          <w:shd w:val="clear" w:color="auto" w:fill="auto"/>
        </w:tcPr>
        <w:p w:rsidR="00C87D12" w:rsidRPr="00C87D12" w:rsidRDefault="00C87D12" w:rsidP="00C87D12">
          <w:pPr>
            <w:pStyle w:val="Footer"/>
            <w:jc w:val="right"/>
          </w:pPr>
          <w:fldSimple w:instr=" PAGE  \* Arabic  \* MERGEFORMAT ">
            <w:r w:rsidR="00FA79ED">
              <w:t>3</w:t>
            </w:r>
          </w:fldSimple>
          <w:r>
            <w:t>/</w:t>
          </w:r>
          <w:fldSimple w:instr=" NUMPAGES  \* Arabic  \* MERGEFORMAT ">
            <w:r w:rsidR="00FA79ED">
              <w:t>3</w:t>
            </w:r>
          </w:fldSimple>
        </w:p>
      </w:tc>
      <w:tc>
        <w:tcPr>
          <w:tcW w:w="5028" w:type="dxa"/>
          <w:shd w:val="clear" w:color="auto" w:fill="auto"/>
        </w:tcPr>
        <w:p w:rsidR="00C87D12" w:rsidRPr="00C87D12" w:rsidRDefault="00C87D12" w:rsidP="00C87D12">
          <w:pPr>
            <w:pStyle w:val="Footer"/>
            <w:jc w:val="left"/>
            <w:rPr>
              <w:b w:val="0"/>
              <w:w w:val="103"/>
              <w:sz w:val="14"/>
            </w:rPr>
          </w:pPr>
          <w:fldSimple w:instr=" DOCVARIABLE &quot;FooterJN&quot; \* MERGEFORMAT ">
            <w:r w:rsidR="00464E4A">
              <w:rPr>
                <w:b w:val="0"/>
                <w:w w:val="103"/>
                <w:sz w:val="14"/>
              </w:rPr>
              <w:t>15-04038 (C)</w:t>
            </w:r>
          </w:fldSimple>
        </w:p>
      </w:tc>
    </w:tr>
  </w:tbl>
  <w:p w:rsidR="00C87D12" w:rsidRPr="00C87D12" w:rsidRDefault="00C87D12" w:rsidP="00C87D1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C87D12" w:rsidTr="00C87D12">
      <w:tblPrEx>
        <w:tblCellMar>
          <w:top w:w="0" w:type="dxa"/>
          <w:bottom w:w="0" w:type="dxa"/>
        </w:tblCellMar>
      </w:tblPrEx>
      <w:tc>
        <w:tcPr>
          <w:tcW w:w="3744" w:type="dxa"/>
        </w:tcPr>
        <w:p w:rsidR="00C87D12" w:rsidRDefault="00312EB4" w:rsidP="00C87D12">
          <w:pPr>
            <w:pStyle w:val="Release"/>
          </w:pPr>
          <w:r w:rsidRPr="00312EB4">
            <w:t>15-04038 X (C)</w:t>
          </w:r>
          <w:r w:rsidR="00C87D1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8Size =1Lang = C"/>
                <w10:wrap anchorx="page" anchory="page"/>
              </v:shape>
            </w:pict>
          </w:r>
          <w:r w:rsidR="00C87D12">
            <w:t xml:space="preserve">    010415    010415</w:t>
          </w:r>
        </w:p>
        <w:p w:rsidR="00C87D12" w:rsidRPr="00C87D12" w:rsidRDefault="00C87D12" w:rsidP="00C87D12">
          <w:pPr>
            <w:spacing w:before="80" w:line="210" w:lineRule="exact"/>
            <w:rPr>
              <w:rFonts w:ascii="Barcode 3 of 9 by request" w:hAnsi="Barcode 3 of 9 by request"/>
              <w:sz w:val="24"/>
            </w:rPr>
          </w:pPr>
          <w:r>
            <w:rPr>
              <w:rFonts w:ascii="Barcode 3 of 9 by request" w:hAnsi="Barcode 3 of 9 by request"/>
              <w:sz w:val="24"/>
            </w:rPr>
            <w:t>*1504038*</w:t>
          </w:r>
        </w:p>
      </w:tc>
      <w:tc>
        <w:tcPr>
          <w:tcW w:w="5028" w:type="dxa"/>
        </w:tcPr>
        <w:p w:rsidR="00C87D12" w:rsidRDefault="00C87D12" w:rsidP="00C87D12">
          <w:pPr>
            <w:pStyle w:val="Footer"/>
            <w:jc w:val="right"/>
            <w:rPr>
              <w:b w:val="0"/>
              <w:sz w:val="21"/>
            </w:rPr>
          </w:pPr>
          <w:r>
            <w:rPr>
              <w:b w:val="0"/>
              <w:sz w:val="21"/>
            </w:rPr>
            <w:pict>
              <v:shape id="_x0000_i1026" type="#_x0000_t75" style="width:48.75pt;height:18pt">
                <v:imagedata r:id="rId2" o:title="recycle_Chinese"/>
              </v:shape>
            </w:pict>
          </w:r>
        </w:p>
      </w:tc>
    </w:tr>
  </w:tbl>
  <w:p w:rsidR="00C87D12" w:rsidRPr="00C87D12" w:rsidRDefault="00C87D12" w:rsidP="00C87D1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B04" w:rsidRPr="00E053D9" w:rsidRDefault="001A0B04" w:rsidP="00E053D9">
      <w:pPr>
        <w:pStyle w:val="Footer"/>
        <w:spacing w:after="80"/>
        <w:ind w:left="792"/>
        <w:rPr>
          <w:sz w:val="16"/>
        </w:rPr>
      </w:pPr>
      <w:r w:rsidRPr="00E053D9">
        <w:rPr>
          <w:sz w:val="16"/>
        </w:rPr>
        <w:t>__________________</w:t>
      </w:r>
    </w:p>
  </w:footnote>
  <w:footnote w:type="continuationSeparator" w:id="0">
    <w:p w:rsidR="001A0B04" w:rsidRPr="00E053D9" w:rsidRDefault="001A0B04" w:rsidP="00E053D9">
      <w:pPr>
        <w:pStyle w:val="Footer"/>
        <w:spacing w:after="80"/>
        <w:ind w:left="792"/>
        <w:rPr>
          <w:sz w:val="16"/>
        </w:rPr>
      </w:pPr>
      <w:r w:rsidRPr="00E053D9">
        <w:rPr>
          <w:sz w:val="16"/>
        </w:rPr>
        <w:t>__________________</w:t>
      </w:r>
    </w:p>
  </w:footnote>
  <w:footnote w:id="1">
    <w:p w:rsidR="00312EB4" w:rsidRPr="00174845" w:rsidRDefault="00312EB4" w:rsidP="00E053D9">
      <w:pPr>
        <w:pStyle w:val="FootnoteText"/>
        <w:tabs>
          <w:tab w:val="clear" w:pos="418"/>
          <w:tab w:val="right" w:pos="1195"/>
          <w:tab w:val="left" w:pos="1264"/>
          <w:tab w:val="left" w:pos="1695"/>
          <w:tab w:val="left" w:pos="2126"/>
          <w:tab w:val="left" w:pos="2557"/>
        </w:tabs>
        <w:ind w:left="1264" w:right="1264" w:hanging="432"/>
        <w:rPr>
          <w:rFonts w:hint="eastAsia"/>
        </w:rPr>
      </w:pPr>
      <w:r w:rsidRPr="00174845">
        <w:tab/>
      </w:r>
      <w:r w:rsidRPr="00CC137A">
        <w:rPr>
          <w:vertAlign w:val="superscript"/>
        </w:rPr>
        <w:t>*</w:t>
      </w:r>
      <w:r w:rsidRPr="00174845">
        <w:tab/>
      </w:r>
      <w:r w:rsidR="0096786F" w:rsidRPr="0096786F">
        <w:rPr>
          <w:rFonts w:hint="eastAsia"/>
        </w:rPr>
        <w:t>CEDAW/C/62/1</w:t>
      </w:r>
      <w:r w:rsidR="0096786F" w:rsidRPr="0096786F">
        <w:rPr>
          <w:rFonts w:hint="eastAsia"/>
        </w:rPr>
        <w:t>。</w:t>
      </w:r>
    </w:p>
  </w:footnote>
  <w:footnote w:id="2">
    <w:p w:rsidR="00312EB4" w:rsidRPr="00174845" w:rsidRDefault="00312EB4" w:rsidP="00E053D9">
      <w:pPr>
        <w:pStyle w:val="FootnoteText"/>
        <w:tabs>
          <w:tab w:val="clear" w:pos="418"/>
          <w:tab w:val="right" w:pos="1195"/>
          <w:tab w:val="left" w:pos="1264"/>
          <w:tab w:val="left" w:pos="1695"/>
          <w:tab w:val="left" w:pos="2126"/>
          <w:tab w:val="left" w:pos="2557"/>
        </w:tabs>
        <w:ind w:left="1264" w:right="1264" w:hanging="432"/>
        <w:rPr>
          <w:rFonts w:hint="eastAsia"/>
        </w:rPr>
      </w:pPr>
      <w:r w:rsidRPr="00174845">
        <w:tab/>
      </w:r>
      <w:r w:rsidRPr="00174845">
        <w:rPr>
          <w:rStyle w:val="FootnoteReference"/>
          <w:color w:val="000000"/>
          <w:szCs w:val="18"/>
        </w:rPr>
        <w:footnoteRef/>
      </w:r>
      <w:r w:rsidRPr="00174845">
        <w:tab/>
      </w:r>
      <w:r w:rsidRPr="002C0AC4">
        <w:rPr>
          <w:rFonts w:hint="eastAsia"/>
        </w:rPr>
        <w:t>除非另有说明，段落编号系指俄罗斯联邦第八次定期报告的编号。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87D12" w:rsidTr="00C87D12">
      <w:tblPrEx>
        <w:tblCellMar>
          <w:top w:w="0" w:type="dxa"/>
          <w:bottom w:w="0" w:type="dxa"/>
        </w:tblCellMar>
      </w:tblPrEx>
      <w:trPr>
        <w:trHeight w:hRule="exact" w:val="864"/>
      </w:trPr>
      <w:tc>
        <w:tcPr>
          <w:tcW w:w="4838" w:type="dxa"/>
          <w:shd w:val="clear" w:color="auto" w:fill="auto"/>
          <w:vAlign w:val="bottom"/>
        </w:tcPr>
        <w:p w:rsidR="00C87D12" w:rsidRPr="00C87D12" w:rsidRDefault="00C87D12" w:rsidP="00C87D12">
          <w:pPr>
            <w:pStyle w:val="Header"/>
            <w:spacing w:after="80"/>
            <w:jc w:val="left"/>
            <w:rPr>
              <w:b/>
              <w:sz w:val="17"/>
            </w:rPr>
          </w:pPr>
          <w:fldSimple w:instr=" DOCVARIABLE &quot;sss1&quot; \* MERGEFORMAT ">
            <w:r w:rsidR="00464E4A">
              <w:rPr>
                <w:b/>
                <w:sz w:val="17"/>
              </w:rPr>
              <w:t>CEDAW/C/RUS/Q/8</w:t>
            </w:r>
          </w:fldSimple>
        </w:p>
      </w:tc>
      <w:tc>
        <w:tcPr>
          <w:tcW w:w="5028" w:type="dxa"/>
          <w:shd w:val="clear" w:color="auto" w:fill="auto"/>
          <w:vAlign w:val="bottom"/>
        </w:tcPr>
        <w:p w:rsidR="00C87D12" w:rsidRDefault="00C87D12" w:rsidP="00C87D12">
          <w:pPr>
            <w:pStyle w:val="Header"/>
          </w:pPr>
        </w:p>
      </w:tc>
    </w:tr>
  </w:tbl>
  <w:p w:rsidR="00C87D12" w:rsidRPr="00C87D12" w:rsidRDefault="00C87D12" w:rsidP="00C87D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87D12" w:rsidTr="00C87D12">
      <w:tblPrEx>
        <w:tblCellMar>
          <w:top w:w="0" w:type="dxa"/>
          <w:bottom w:w="0" w:type="dxa"/>
        </w:tblCellMar>
      </w:tblPrEx>
      <w:trPr>
        <w:trHeight w:hRule="exact" w:val="864"/>
      </w:trPr>
      <w:tc>
        <w:tcPr>
          <w:tcW w:w="4838" w:type="dxa"/>
          <w:shd w:val="clear" w:color="auto" w:fill="auto"/>
          <w:vAlign w:val="bottom"/>
        </w:tcPr>
        <w:p w:rsidR="00C87D12" w:rsidRDefault="00C87D12" w:rsidP="00C87D12">
          <w:pPr>
            <w:pStyle w:val="Header"/>
          </w:pPr>
        </w:p>
      </w:tc>
      <w:tc>
        <w:tcPr>
          <w:tcW w:w="5028" w:type="dxa"/>
          <w:shd w:val="clear" w:color="auto" w:fill="auto"/>
          <w:vAlign w:val="bottom"/>
        </w:tcPr>
        <w:p w:rsidR="00C87D12" w:rsidRPr="00C87D12" w:rsidRDefault="00C87D12" w:rsidP="00C87D12">
          <w:pPr>
            <w:pStyle w:val="Header"/>
            <w:spacing w:after="80"/>
            <w:jc w:val="right"/>
            <w:rPr>
              <w:b/>
              <w:sz w:val="17"/>
            </w:rPr>
          </w:pPr>
          <w:fldSimple w:instr=" DOCVARIABLE &quot;sss1&quot; \* MERGEFORMAT ">
            <w:r w:rsidR="00464E4A">
              <w:rPr>
                <w:b/>
                <w:sz w:val="17"/>
              </w:rPr>
              <w:t>CEDAW/C/RUS/Q/8</w:t>
            </w:r>
          </w:fldSimple>
        </w:p>
      </w:tc>
    </w:tr>
  </w:tbl>
  <w:p w:rsidR="00C87D12" w:rsidRPr="00C87D12" w:rsidRDefault="00C87D12" w:rsidP="00C87D1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87D12" w:rsidTr="00C87D1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7D12" w:rsidRDefault="00C87D12" w:rsidP="00C87D12">
          <w:pPr>
            <w:pStyle w:val="Header"/>
            <w:spacing w:after="120"/>
          </w:pPr>
        </w:p>
      </w:tc>
      <w:tc>
        <w:tcPr>
          <w:tcW w:w="1872" w:type="dxa"/>
          <w:tcBorders>
            <w:bottom w:val="single" w:sz="4" w:space="0" w:color="auto"/>
          </w:tcBorders>
          <w:shd w:val="clear" w:color="auto" w:fill="auto"/>
          <w:vAlign w:val="bottom"/>
        </w:tcPr>
        <w:p w:rsidR="00C87D12" w:rsidRPr="001B7280" w:rsidRDefault="00C87D12" w:rsidP="001B7280">
          <w:pPr>
            <w:pStyle w:val="HCh"/>
            <w:tabs>
              <w:tab w:val="clear" w:pos="431"/>
            </w:tabs>
            <w:overflowPunct/>
            <w:adjustRightInd/>
            <w:snapToGrid/>
            <w:spacing w:after="80"/>
            <w:rPr>
              <w:rFonts w:eastAsia="SimSun"/>
              <w:snapToGrid/>
              <w:spacing w:val="40"/>
              <w:w w:val="96"/>
              <w:kern w:val="14"/>
            </w:rPr>
          </w:pPr>
          <w:r w:rsidRPr="001B7280">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C87D12" w:rsidRDefault="00C87D12" w:rsidP="00C87D12">
          <w:pPr>
            <w:pStyle w:val="Header"/>
            <w:spacing w:after="120"/>
          </w:pPr>
        </w:p>
      </w:tc>
      <w:tc>
        <w:tcPr>
          <w:tcW w:w="6523" w:type="dxa"/>
          <w:gridSpan w:val="3"/>
          <w:tcBorders>
            <w:bottom w:val="single" w:sz="4" w:space="0" w:color="auto"/>
          </w:tcBorders>
          <w:shd w:val="clear" w:color="auto" w:fill="auto"/>
          <w:vAlign w:val="bottom"/>
        </w:tcPr>
        <w:p w:rsidR="00C87D12" w:rsidRPr="00C87D12" w:rsidRDefault="00C87D12" w:rsidP="00C87D12">
          <w:pPr>
            <w:spacing w:after="80" w:line="240" w:lineRule="auto"/>
            <w:jc w:val="right"/>
            <w:rPr>
              <w:position w:val="-4"/>
            </w:rPr>
          </w:pPr>
          <w:r>
            <w:rPr>
              <w:position w:val="-4"/>
              <w:sz w:val="40"/>
            </w:rPr>
            <w:t>CEDAW</w:t>
          </w:r>
          <w:r>
            <w:rPr>
              <w:position w:val="-4"/>
            </w:rPr>
            <w:t>/C/RUS/Q/8</w:t>
          </w:r>
        </w:p>
      </w:tc>
    </w:tr>
    <w:tr w:rsidR="00C87D12" w:rsidRPr="00C87D12" w:rsidTr="00C87D1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7D12" w:rsidRPr="00C87D12" w:rsidRDefault="00C87D12" w:rsidP="00C87D1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C87D12" w:rsidRPr="001B7280" w:rsidRDefault="00C87D12" w:rsidP="001B7280">
          <w:pPr>
            <w:pStyle w:val="XLarge"/>
            <w:overflowPunct/>
            <w:adjustRightInd/>
            <w:snapToGrid/>
            <w:spacing w:before="109" w:after="140" w:line="400" w:lineRule="exact"/>
            <w:rPr>
              <w:snapToGrid/>
              <w:kern w:val="14"/>
              <w:sz w:val="34"/>
            </w:rPr>
          </w:pPr>
          <w:r w:rsidRPr="001B7280">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C87D12" w:rsidRPr="00C87D12" w:rsidRDefault="00C87D12" w:rsidP="00C87D12">
          <w:pPr>
            <w:pStyle w:val="Header"/>
            <w:spacing w:before="109"/>
          </w:pPr>
        </w:p>
      </w:tc>
      <w:tc>
        <w:tcPr>
          <w:tcW w:w="3180" w:type="dxa"/>
          <w:gridSpan w:val="2"/>
          <w:tcBorders>
            <w:top w:val="single" w:sz="4" w:space="0" w:color="auto"/>
            <w:bottom w:val="single" w:sz="12" w:space="0" w:color="auto"/>
          </w:tcBorders>
          <w:shd w:val="clear" w:color="auto" w:fill="auto"/>
        </w:tcPr>
        <w:p w:rsidR="00C87D12" w:rsidRDefault="00C87D12" w:rsidP="00C87D12">
          <w:pPr>
            <w:pStyle w:val="Distr"/>
          </w:pPr>
          <w:r>
            <w:t>Distr.: General</w:t>
          </w:r>
        </w:p>
        <w:p w:rsidR="00C87D12" w:rsidRDefault="00C87D12" w:rsidP="00C87D12">
          <w:pPr>
            <w:pStyle w:val="Publication"/>
          </w:pPr>
          <w:r>
            <w:t>16 March 2015</w:t>
          </w:r>
        </w:p>
        <w:p w:rsidR="00C87D12" w:rsidRDefault="00C87D12" w:rsidP="00C87D12">
          <w:pPr>
            <w:spacing w:line="240" w:lineRule="exact"/>
          </w:pPr>
          <w:r>
            <w:t>Chinese</w:t>
          </w:r>
        </w:p>
        <w:p w:rsidR="00C87D12" w:rsidRDefault="00C87D12" w:rsidP="00C87D12">
          <w:pPr>
            <w:pStyle w:val="Original"/>
          </w:pPr>
          <w:r>
            <w:t>Original: English</w:t>
          </w:r>
        </w:p>
        <w:p w:rsidR="00C87D12" w:rsidRPr="00C87D12" w:rsidRDefault="00C87D12" w:rsidP="00C87D12"/>
      </w:tc>
    </w:tr>
  </w:tbl>
  <w:p w:rsidR="00C87D12" w:rsidRPr="00C87D12" w:rsidRDefault="00C87D12" w:rsidP="00C87D1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8*"/>
    <w:docVar w:name="CreationDt" w:val="01/04/2015 10:30:46"/>
    <w:docVar w:name="DocCategory" w:val="Doc"/>
    <w:docVar w:name="DocType" w:val="Final"/>
    <w:docVar w:name="DutyStation" w:val="New York"/>
    <w:docVar w:name="FooterJN" w:val="15-04038 (C)"/>
    <w:docVar w:name="jobn" w:val="15-04038 (C)"/>
    <w:docVar w:name="jobnDT" w:val="15-04038 (C)   010415"/>
    <w:docVar w:name="jobnDTDT" w:val="15-04038 (C)   010415   010415"/>
    <w:docVar w:name="JobNo" w:val="1504038C"/>
    <w:docVar w:name="OandT" w:val="jxw"/>
    <w:docVar w:name="PaperSize" w:val="Letter"/>
    <w:docVar w:name="sss1" w:val="CEDAW/C/RUS/Q/8"/>
    <w:docVar w:name="sss2" w:val="-"/>
    <w:docVar w:name="Symbol1" w:val="CEDAW/C/RUS/Q/8"/>
    <w:docVar w:name="Symbol2" w:val="-"/>
  </w:docVars>
  <w:rsids>
    <w:rsidRoot w:val="00EB04CB"/>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C5639"/>
    <w:rsid w:val="000D32BA"/>
    <w:rsid w:val="000E240F"/>
    <w:rsid w:val="000E49A4"/>
    <w:rsid w:val="000F1058"/>
    <w:rsid w:val="000F55DC"/>
    <w:rsid w:val="00101C4E"/>
    <w:rsid w:val="00101D5B"/>
    <w:rsid w:val="00101F86"/>
    <w:rsid w:val="001113F8"/>
    <w:rsid w:val="00114578"/>
    <w:rsid w:val="00114C03"/>
    <w:rsid w:val="00114F57"/>
    <w:rsid w:val="001174AA"/>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3630"/>
    <w:rsid w:val="001944A4"/>
    <w:rsid w:val="001A0B04"/>
    <w:rsid w:val="001A4A37"/>
    <w:rsid w:val="001B0DFD"/>
    <w:rsid w:val="001B2814"/>
    <w:rsid w:val="001B4F95"/>
    <w:rsid w:val="001B7280"/>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12EB4"/>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4E4A"/>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0A89"/>
    <w:rsid w:val="0050413E"/>
    <w:rsid w:val="00512841"/>
    <w:rsid w:val="00515657"/>
    <w:rsid w:val="0051592B"/>
    <w:rsid w:val="00521275"/>
    <w:rsid w:val="0052216F"/>
    <w:rsid w:val="00523247"/>
    <w:rsid w:val="005232CA"/>
    <w:rsid w:val="00523636"/>
    <w:rsid w:val="00530CBB"/>
    <w:rsid w:val="0053111B"/>
    <w:rsid w:val="005335B9"/>
    <w:rsid w:val="0053452C"/>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74B96"/>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27D23"/>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1BF5"/>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6786F"/>
    <w:rsid w:val="009769E1"/>
    <w:rsid w:val="00977E0D"/>
    <w:rsid w:val="00982D5C"/>
    <w:rsid w:val="00986132"/>
    <w:rsid w:val="00986C04"/>
    <w:rsid w:val="009932F9"/>
    <w:rsid w:val="009A11E3"/>
    <w:rsid w:val="009A2F76"/>
    <w:rsid w:val="009A5402"/>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054"/>
    <w:rsid w:val="00A4532A"/>
    <w:rsid w:val="00A46BEE"/>
    <w:rsid w:val="00A46E28"/>
    <w:rsid w:val="00A5206D"/>
    <w:rsid w:val="00A55E9E"/>
    <w:rsid w:val="00A635A7"/>
    <w:rsid w:val="00A652D9"/>
    <w:rsid w:val="00A72E47"/>
    <w:rsid w:val="00A74DBA"/>
    <w:rsid w:val="00A750A5"/>
    <w:rsid w:val="00A778F1"/>
    <w:rsid w:val="00A90956"/>
    <w:rsid w:val="00A924D8"/>
    <w:rsid w:val="00A95404"/>
    <w:rsid w:val="00A968C5"/>
    <w:rsid w:val="00AA39F1"/>
    <w:rsid w:val="00AA3C28"/>
    <w:rsid w:val="00AA65E5"/>
    <w:rsid w:val="00AA759D"/>
    <w:rsid w:val="00AB2786"/>
    <w:rsid w:val="00AB5BEE"/>
    <w:rsid w:val="00AC373F"/>
    <w:rsid w:val="00AC4C32"/>
    <w:rsid w:val="00AC550F"/>
    <w:rsid w:val="00AD4308"/>
    <w:rsid w:val="00AE6C5D"/>
    <w:rsid w:val="00AF021F"/>
    <w:rsid w:val="00AF114B"/>
    <w:rsid w:val="00AF2A33"/>
    <w:rsid w:val="00AF4C2D"/>
    <w:rsid w:val="00B014C7"/>
    <w:rsid w:val="00B03EFA"/>
    <w:rsid w:val="00B16C8C"/>
    <w:rsid w:val="00B171E7"/>
    <w:rsid w:val="00B309DD"/>
    <w:rsid w:val="00B31E9D"/>
    <w:rsid w:val="00B33F21"/>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87D12"/>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53D9"/>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04CB"/>
    <w:rsid w:val="00EB33AC"/>
    <w:rsid w:val="00EC25DE"/>
    <w:rsid w:val="00EC669D"/>
    <w:rsid w:val="00EC6F21"/>
    <w:rsid w:val="00ED2D39"/>
    <w:rsid w:val="00EE0913"/>
    <w:rsid w:val="00EF12CB"/>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9ED"/>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2EB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rsid w:val="00312EB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Normal"/>
    <w:link w:val="HChGCChar"/>
    <w:rsid w:val="00312EB4"/>
    <w:pPr>
      <w:keepNext/>
      <w:keepLines/>
      <w:tabs>
        <w:tab w:val="clear" w:pos="431"/>
        <w:tab w:val="right" w:pos="851"/>
      </w:tabs>
      <w:spacing w:before="360" w:after="240" w:line="400" w:lineRule="exact"/>
      <w:ind w:left="1134" w:right="1134" w:hanging="1134"/>
      <w:outlineLvl w:val="1"/>
    </w:pPr>
    <w:rPr>
      <w:rFonts w:eastAsia="SimHei"/>
      <w:sz w:val="28"/>
      <w:lang/>
    </w:rPr>
  </w:style>
  <w:style w:type="character" w:customStyle="1" w:styleId="HChGCChar">
    <w:name w:val="_ H _Ch_GC Char"/>
    <w:link w:val="HChGC"/>
    <w:rsid w:val="00312EB4"/>
    <w:rPr>
      <w:rFonts w:eastAsia="SimHei"/>
      <w:snapToGrid/>
      <w:sz w:val="28"/>
    </w:rPr>
  </w:style>
  <w:style w:type="paragraph" w:customStyle="1" w:styleId="SingleTxtG">
    <w:name w:val="_ Single Txt_G"/>
    <w:basedOn w:val="Normal"/>
    <w:rsid w:val="00312EB4"/>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FootnoteTextChar">
    <w:name w:val="Footnote Text Char"/>
    <w:aliases w:val="5_G Char"/>
    <w:link w:val="FootnoteText"/>
    <w:rsid w:val="00312EB4"/>
    <w:rPr>
      <w:noProof/>
      <w:kern w:val="14"/>
      <w:sz w:val="1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HRC/24/14" TargetMode="External"/><Relationship Id="rId2" Type="http://schemas.openxmlformats.org/officeDocument/2006/relationships/styles" Target="styles.xml"/><Relationship Id="rId16" Type="http://schemas.openxmlformats.org/officeDocument/2006/relationships/hyperlink" Target="http://undocs.org/ch/CEDAW/C/US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USR/CO/7"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RUS/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4</Pages>
  <Words>521</Words>
  <Characters>2972</Characters>
  <Application>Microsoft Office Outlook</Application>
  <DocSecurity>4</DocSecurity>
  <Lines>24</Lines>
  <Paragraphs>6</Paragraphs>
  <ScaleCrop>false</ScaleCrop>
  <Company>United Nations</Company>
  <LinksUpToDate>false</LinksUpToDate>
  <CharactersWithSpaces>3487</CharactersWithSpaces>
  <SharedDoc>false</SharedDoc>
  <HLinks>
    <vt:vector size="24" baseType="variant">
      <vt:variant>
        <vt:i4>65608</vt:i4>
      </vt:variant>
      <vt:variant>
        <vt:i4>9</vt:i4>
      </vt:variant>
      <vt:variant>
        <vt:i4>0</vt:i4>
      </vt:variant>
      <vt:variant>
        <vt:i4>5</vt:i4>
      </vt:variant>
      <vt:variant>
        <vt:lpwstr>http://undocs.org/ch/A/HRC/24/14</vt:lpwstr>
      </vt:variant>
      <vt:variant>
        <vt:lpwstr/>
      </vt:variant>
      <vt:variant>
        <vt:i4>1703944</vt:i4>
      </vt:variant>
      <vt:variant>
        <vt:i4>6</vt:i4>
      </vt:variant>
      <vt:variant>
        <vt:i4>0</vt:i4>
      </vt:variant>
      <vt:variant>
        <vt:i4>5</vt:i4>
      </vt:variant>
      <vt:variant>
        <vt:lpwstr>http://undocs.org/ch/CEDAW/C/USR/CO/7</vt:lpwstr>
      </vt:variant>
      <vt:variant>
        <vt:lpwstr/>
      </vt:variant>
      <vt:variant>
        <vt:i4>1703944</vt:i4>
      </vt:variant>
      <vt:variant>
        <vt:i4>3</vt:i4>
      </vt:variant>
      <vt:variant>
        <vt:i4>0</vt:i4>
      </vt:variant>
      <vt:variant>
        <vt:i4>5</vt:i4>
      </vt:variant>
      <vt:variant>
        <vt:lpwstr>http://undocs.org/ch/CEDAW/C/USR/CO/7</vt:lpwstr>
      </vt:variant>
      <vt:variant>
        <vt:lpwstr/>
      </vt:variant>
      <vt:variant>
        <vt:i4>6815841</vt:i4>
      </vt:variant>
      <vt:variant>
        <vt:i4>0</vt:i4>
      </vt:variant>
      <vt:variant>
        <vt:i4>0</vt:i4>
      </vt:variant>
      <vt:variant>
        <vt:i4>5</vt:i4>
      </vt:variant>
      <vt:variant>
        <vt:lpwstr>http://undocs.org/ch/CEDAW/C/RUS/8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Xiaowei Ji</dc:creator>
  <cp:keywords/>
  <dc:description/>
  <cp:lastModifiedBy>Xiaowei Ji</cp:lastModifiedBy>
  <cp:revision>18</cp:revision>
  <cp:lastPrinted>2015-04-01T08:53:00Z</cp:lastPrinted>
  <dcterms:created xsi:type="dcterms:W3CDTF">2015-04-01T08:22:00Z</dcterms:created>
  <dcterms:modified xsi:type="dcterms:W3CDTF">2015-04-01T08:53:00Z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1504038</vt:lpwstr>
  </property>
  <property fmtid="{D5CDD505-2E9C-101B-9397-08002B2CF9AE}" pid="3" name="ODSRefJobNo">
    <vt:lpwstr>1507209C</vt:lpwstr>
  </property>
  <property fmtid="{D5CDD505-2E9C-101B-9397-08002B2CF9AE}" pid="4" name="Symbol1">
    <vt:lpwstr>CEDAW/C/RUS/Q/8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 </vt:lpwstr>
  </property>
  <property fmtid="{D5CDD505-2E9C-101B-9397-08002B2CF9AE}" pid="13" name="Operator">
    <vt:lpwstr>jxw</vt:lpwstr>
  </property>
</Properties>
</file>