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40927</w:t>
                  </w:r>
                  <w:r>
                    <w:rPr>
                      <w:lang w:val="en-US"/>
                    </w:rPr>
                    <w:fldChar w:fldCharType="end"/>
                  </w:r>
                  <w:r>
                    <w:rPr>
                      <w:lang w:val="en-US"/>
                    </w:rPr>
                    <w:t xml:space="preserve">   (R)   021105   021105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13231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CAT/C/81/Add.2</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5 April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Пятые периодические доклады государств-участников,</w:t>
      </w:r>
      <w:r>
        <w:rPr>
          <w:b/>
          <w:bCs/>
        </w:rPr>
        <w:br/>
        <w:t>подлежащие представлению в 2004 году</w:t>
      </w:r>
    </w:p>
    <w:p w:rsidR="00000000" w:rsidRDefault="00000000">
      <w:pPr>
        <w:jc w:val="center"/>
        <w:rPr>
          <w:b/>
          <w:bCs/>
        </w:rPr>
      </w:pPr>
    </w:p>
    <w:p w:rsidR="00000000" w:rsidRDefault="00000000">
      <w:pPr>
        <w:jc w:val="center"/>
      </w:pPr>
      <w:r>
        <w:rPr>
          <w:b/>
          <w:bCs/>
        </w:rPr>
        <w:t>ДОБАВЛЕНИЕ</w:t>
      </w:r>
      <w:r>
        <w:t>*</w:t>
      </w:r>
    </w:p>
    <w:p w:rsidR="00000000" w:rsidRDefault="00000000">
      <w:pPr>
        <w:jc w:val="center"/>
      </w:pPr>
    </w:p>
    <w:p w:rsidR="00000000" w:rsidRDefault="00000000">
      <w:pPr>
        <w:jc w:val="center"/>
        <w:rPr>
          <w:b/>
          <w:bCs/>
        </w:rPr>
      </w:pPr>
      <w:r>
        <w:rPr>
          <w:b/>
          <w:bCs/>
        </w:rPr>
        <w:t>ДАНИЯ</w:t>
      </w:r>
    </w:p>
    <w:p w:rsidR="00000000" w:rsidRDefault="00000000">
      <w:pPr>
        <w:jc w:val="center"/>
        <w:rPr>
          <w:b/>
          <w:bCs/>
        </w:rPr>
      </w:pPr>
    </w:p>
    <w:p w:rsidR="00000000" w:rsidRDefault="00000000">
      <w:pPr>
        <w:jc w:val="right"/>
      </w:pPr>
      <w:r>
        <w:t>[19 июля 2004 года]</w:t>
      </w:r>
    </w:p>
    <w:p w:rsidR="00000000" w:rsidRDefault="00000000">
      <w:pPr>
        <w:jc w:val="right"/>
      </w:pPr>
    </w:p>
    <w:p w:rsidR="00000000" w:rsidRDefault="00000000">
      <w:r>
        <w:t>_____________________</w:t>
      </w:r>
    </w:p>
    <w:p w:rsidR="00000000" w:rsidRDefault="00000000"/>
    <w:p w:rsidR="00000000" w:rsidRDefault="00000000">
      <w:pPr>
        <w:spacing w:line="240" w:lineRule="auto"/>
      </w:pPr>
      <w:r>
        <w:t>*</w:t>
      </w:r>
      <w:r>
        <w:tab/>
        <w:t xml:space="preserve">Первоначальный доклад Дании см. CAT/C/5/Add.4;  рассмотрение этого доклада см. CAT/C/SR.12 и 13 и </w:t>
      </w:r>
      <w:r>
        <w:rPr>
          <w:u w:val="single"/>
        </w:rPr>
        <w:t>Официальные отчеты Генеральной Ассамблеи, сорок четвертая сессия, Дополнение № 44</w:t>
      </w:r>
      <w:r>
        <w:t xml:space="preserve"> (А/44/46), пункты 94-122.</w:t>
      </w:r>
    </w:p>
    <w:p w:rsidR="00000000" w:rsidRDefault="00000000"/>
    <w:p w:rsidR="00000000" w:rsidRDefault="00000000">
      <w:pPr>
        <w:spacing w:line="240" w:lineRule="auto"/>
      </w:pPr>
      <w:r>
        <w:tab/>
        <w:t xml:space="preserve">Второй периодический доклад см. CAT/C/17/Add.13;  его рассмотрение см. CAT/C/SR.228, 229, 229/Add.1, 229/Add.2, 233 и 233/Add.1 и </w:t>
      </w:r>
      <w:r>
        <w:rPr>
          <w:u w:val="single"/>
        </w:rPr>
        <w:t>Официальные отчеты Генеральной Ассамблеи, пятьдесят первая сессия, Дополнение № 44</w:t>
      </w:r>
      <w:r>
        <w:t xml:space="preserve"> (А/51/44), пункты 33</w:t>
      </w:r>
      <w:r>
        <w:noBreakHyphen/>
        <w:t>41.</w:t>
      </w:r>
    </w:p>
    <w:p w:rsidR="00000000" w:rsidRDefault="00000000"/>
    <w:p w:rsidR="00000000" w:rsidRDefault="00000000">
      <w:pPr>
        <w:spacing w:line="240" w:lineRule="auto"/>
      </w:pPr>
      <w:r>
        <w:tab/>
        <w:t xml:space="preserve">Третий периодический доклад см. CAT/C/34/Add.3;  его рассмотрение см. CAT/C/SR.287 и 288 и </w:t>
      </w:r>
      <w:r>
        <w:rPr>
          <w:u w:val="single"/>
        </w:rPr>
        <w:t>Официальные отчеты Генеральной Ассамблеи, пятьдесят вторая сессия, Дополнение № 44</w:t>
      </w:r>
      <w:r>
        <w:t xml:space="preserve"> (А/52/44), пункты 171-188.</w:t>
      </w:r>
    </w:p>
    <w:p w:rsidR="00000000" w:rsidRDefault="00000000"/>
    <w:p w:rsidR="00000000" w:rsidRDefault="00000000">
      <w:pPr>
        <w:spacing w:line="240" w:lineRule="auto"/>
      </w:pPr>
      <w:r>
        <w:tab/>
        <w:t xml:space="preserve">Четвертый периодический доклад см. CAT/C/55/Add.2;  его рассмотрение см. CAT/C/SR.508, 510 и 518 и </w:t>
      </w:r>
      <w:r>
        <w:rPr>
          <w:u w:val="single"/>
        </w:rPr>
        <w:t>Официальные отчеты Генеральной Ассамблеи, пятьдесят седьмая сессия, Дополнение № 44</w:t>
      </w:r>
      <w:r>
        <w:t xml:space="preserve"> (А/57/44), пункты 68-74.</w:t>
      </w: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i/>
          <w:iCs/>
        </w:rPr>
        <w:t>Пункты</w:t>
      </w:r>
      <w:r>
        <w:rPr>
          <w:i/>
          <w:iCs/>
        </w:rPr>
        <w:tab/>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decimal" w:pos="567"/>
          <w:tab w:val="right" w:leader="dot" w:pos="7172"/>
          <w:tab w:val="center" w:pos="8039"/>
          <w:tab w:val="center" w:pos="9122"/>
        </w:tabs>
      </w:pPr>
      <w:r>
        <w:t>Введение</w:t>
      </w:r>
      <w:r>
        <w:tab/>
      </w:r>
      <w:r>
        <w:tab/>
        <w:t>1 - 5</w:t>
      </w:r>
      <w:r>
        <w:tab/>
      </w:r>
    </w:p>
    <w:p w:rsidR="00000000" w:rsidRDefault="00000000">
      <w:pPr>
        <w:tabs>
          <w:tab w:val="clear" w:pos="1134"/>
          <w:tab w:val="clear" w:pos="1701"/>
          <w:tab w:val="clear" w:pos="2268"/>
          <w:tab w:val="clear" w:pos="6237"/>
          <w:tab w:val="decimal" w:pos="567"/>
          <w:tab w:val="right" w:leader="dot" w:pos="7172"/>
          <w:tab w:val="center" w:pos="8039"/>
          <w:tab w:val="center" w:pos="9122"/>
        </w:tabs>
      </w:pPr>
    </w:p>
    <w:p w:rsidR="00000000" w:rsidRDefault="00000000">
      <w:pPr>
        <w:tabs>
          <w:tab w:val="clear" w:pos="1134"/>
          <w:tab w:val="clear" w:pos="1701"/>
          <w:tab w:val="clear" w:pos="6237"/>
          <w:tab w:val="decimal" w:pos="567"/>
          <w:tab w:val="left" w:pos="1122"/>
          <w:tab w:val="left" w:pos="1683"/>
          <w:tab w:val="left" w:pos="2268"/>
          <w:tab w:val="right" w:leader="dot" w:pos="7172"/>
          <w:tab w:val="center" w:pos="8039"/>
          <w:tab w:val="center" w:pos="9122"/>
        </w:tabs>
      </w:pPr>
      <w:r>
        <w:tab/>
        <w:t>I.</w:t>
      </w:r>
      <w:r>
        <w:tab/>
        <w:t>ИНФОРМАЦИЯ О НОВЫХ МЕРАХ И НОВЫХ</w:t>
      </w:r>
    </w:p>
    <w:p w:rsidR="00000000" w:rsidRDefault="00000000">
      <w:pPr>
        <w:tabs>
          <w:tab w:val="clear" w:pos="1134"/>
          <w:tab w:val="clear" w:pos="1701"/>
          <w:tab w:val="clear" w:pos="6237"/>
          <w:tab w:val="decimal" w:pos="567"/>
          <w:tab w:val="left" w:pos="1122"/>
          <w:tab w:val="left" w:pos="1683"/>
          <w:tab w:val="left" w:pos="2268"/>
          <w:tab w:val="right" w:leader="dot" w:pos="7172"/>
          <w:tab w:val="center" w:pos="8039"/>
          <w:tab w:val="center" w:pos="9122"/>
        </w:tabs>
      </w:pPr>
      <w:r>
        <w:tab/>
      </w:r>
      <w:r>
        <w:tab/>
        <w:t>СОБЫТИЯХ В СВЯЗИ С ОСУЩЕСТВЛЕНИЕМ</w:t>
      </w:r>
    </w:p>
    <w:p w:rsidR="00000000" w:rsidRDefault="00000000">
      <w:pPr>
        <w:tabs>
          <w:tab w:val="clear" w:pos="1134"/>
          <w:tab w:val="clear" w:pos="1701"/>
          <w:tab w:val="clear" w:pos="6237"/>
          <w:tab w:val="decimal" w:pos="567"/>
          <w:tab w:val="left" w:pos="1122"/>
          <w:tab w:val="left" w:pos="1683"/>
          <w:tab w:val="left" w:pos="2268"/>
          <w:tab w:val="right" w:leader="dot" w:pos="7172"/>
          <w:tab w:val="center" w:pos="8039"/>
          <w:tab w:val="center" w:pos="9122"/>
        </w:tabs>
      </w:pPr>
      <w:r>
        <w:tab/>
      </w:r>
      <w:r>
        <w:tab/>
        <w:t>КОНВЕНЦИИ</w:t>
      </w:r>
      <w:r>
        <w:tab/>
      </w:r>
      <w:r>
        <w:tab/>
        <w:t>6 - 142</w:t>
      </w:r>
      <w:r>
        <w:tab/>
      </w:r>
    </w:p>
    <w:p w:rsidR="00000000" w:rsidRDefault="00000000">
      <w:pPr>
        <w:tabs>
          <w:tab w:val="clear" w:pos="1134"/>
          <w:tab w:val="clear" w:pos="1701"/>
          <w:tab w:val="clear" w:pos="6237"/>
          <w:tab w:val="decimal" w:pos="567"/>
          <w:tab w:val="left" w:pos="1122"/>
          <w:tab w:val="left" w:pos="1683"/>
          <w:tab w:val="left" w:pos="2268"/>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Статья 1</w:t>
      </w:r>
      <w:r>
        <w:tab/>
      </w:r>
      <w:r>
        <w:tab/>
        <w:t>6</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Статья 2</w:t>
      </w:r>
      <w:r>
        <w:tab/>
      </w:r>
      <w:r>
        <w:tab/>
        <w:t>7</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Статья 3</w:t>
      </w:r>
      <w:r>
        <w:tab/>
      </w:r>
      <w:r>
        <w:tab/>
        <w:t>8 - 32</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Статья 4</w:t>
      </w:r>
      <w:r>
        <w:tab/>
      </w:r>
      <w:r>
        <w:tab/>
        <w:t>33</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Статья 5</w:t>
      </w:r>
      <w:r>
        <w:tab/>
      </w:r>
      <w:r>
        <w:tab/>
        <w:t>34 - 35</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Статья 6</w:t>
      </w:r>
      <w:r>
        <w:tab/>
      </w:r>
      <w:r>
        <w:tab/>
        <w:t>36</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Статья 7</w:t>
      </w:r>
      <w:r>
        <w:tab/>
      </w:r>
      <w:r>
        <w:tab/>
        <w:t>37</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Статья 8</w:t>
      </w:r>
      <w:r>
        <w:tab/>
      </w:r>
      <w:r>
        <w:tab/>
        <w:t>38 - 39</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Статья 9</w:t>
      </w:r>
      <w:r>
        <w:tab/>
      </w:r>
      <w:r>
        <w:tab/>
        <w:t>40</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 xml:space="preserve">Статья 10 </w:t>
      </w:r>
      <w:r>
        <w:tab/>
      </w:r>
      <w:r>
        <w:tab/>
        <w:t>41 - 72</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Статья 11</w:t>
      </w:r>
      <w:r>
        <w:tab/>
      </w:r>
      <w:r>
        <w:tab/>
        <w:t>73 - 133</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Статьи 12 и 13</w:t>
      </w:r>
      <w:r>
        <w:tab/>
      </w:r>
      <w:r>
        <w:tab/>
        <w:t>134 - 139</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Статья 14</w:t>
      </w:r>
      <w:r>
        <w:tab/>
      </w:r>
      <w:r>
        <w:tab/>
        <w:t>140</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Статья 15</w:t>
      </w:r>
      <w:r>
        <w:tab/>
      </w:r>
      <w:r>
        <w:tab/>
        <w:t>141</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Статья 16</w:t>
      </w:r>
      <w:r>
        <w:tab/>
      </w:r>
      <w:r>
        <w:tab/>
        <w:t>142</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t>II.</w:t>
      </w:r>
      <w:r>
        <w:tab/>
        <w:t>ДОПОЛНИТЕЛЬНАЯ ИНФОРМАЦИЯ, ЗАПРОШЕННАЯ</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КОМИТЕТОМ</w:t>
      </w:r>
      <w:r>
        <w:tab/>
      </w:r>
      <w:r>
        <w:tab/>
        <w:t>143</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t>III.</w:t>
      </w:r>
      <w:r>
        <w:tab/>
        <w:t>ВЫПОЛНЕНИЕ ВЫВОДОВ И РЕКОМЕНДАЦИЙ</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КОМИТЕТА</w:t>
      </w:r>
      <w:r>
        <w:tab/>
      </w:r>
      <w:r>
        <w:tab/>
        <w:t>144 - 171</w:t>
      </w:r>
      <w:r>
        <w:tab/>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jc w:val="center"/>
        <w:rPr>
          <w:b/>
          <w:bCs/>
        </w:rPr>
      </w:pPr>
      <w:r>
        <w:br w:type="page"/>
      </w:r>
      <w:r>
        <w:rPr>
          <w:b/>
          <w:bCs/>
        </w:rPr>
        <w:t>Введение</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jc w:val="center"/>
        <w:rPr>
          <w:b/>
          <w:bCs/>
        </w:rPr>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t>1.</w:t>
      </w:r>
      <w:r>
        <w:tab/>
        <w:t>Настоящий доклад представляется в соответствии с положениями пункта 1 статьи 19 Конвенции против пыток и других жестоких, бесчеловечных или унижающих достоинство видов обращения и наказания, которая вступила в силу для Дании 26 июня 1978 года.  Структура доклада соответствует общим руководящим принципам в отношении формы и содержания периодических докладов, представляемых государствами-участниками в соответствии с положениями пункта 1 статьи 19 Конвенции (САТ/С/14/Rev.1).  Часть IV доклада, касающаяся положения в Гренландии, будет представлена отдельно.</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t>2.</w:t>
      </w:r>
      <w:r>
        <w:tab/>
        <w:t>В докладе приводится информация об изменениях в законодательстве и в правовой и административной практике в контексте конкретных положений Конвенции с момента представления Данией своего четвертого периодического доклада (САТ/С/55/Add.2).  Общие сведения о датском обществе содержатся в базовом документе (HRI/CORE/1/Add.58).  В случае отсутствия каких-либо изменений в законодательстве и правовой практике с момента представления Данией четвертого периодического доклада просьба справиться с предыдущими докладами Дании.</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t>3.</w:t>
      </w:r>
      <w:r>
        <w:tab/>
        <w:t>Статистические данные приводятся в приложениях 1-5</w:t>
      </w:r>
      <w:r>
        <w:rPr>
          <w:rStyle w:val="FootnoteReference"/>
        </w:rPr>
        <w:footnoteReference w:customMarkFollows="1" w:id="1"/>
        <w:t>*</w:t>
      </w:r>
      <w:r>
        <w:t>.  В приложении 6 содержится представленная независимым Центром по реабилитации жертв пыток и исследованиям в этой области (ЦРИ) информация о своей деятельности.  ЦРИ и Международный совет по реабилитации жертв пыток (МСР) ежегодно получают финансовые субсидии от министерства иностранных дел в размере 38 млн. датских крон (ЦРИ) и 12 млн. датских крон (МСР).</w:t>
      </w:r>
    </w:p>
    <w:p w:rsidR="00000000" w:rsidRDefault="00000000">
      <w:pPr>
        <w:rPr>
          <w:lang w:val="en-US"/>
        </w:rPr>
      </w:pPr>
    </w:p>
    <w:p w:rsidR="00000000" w:rsidRDefault="00000000">
      <w:r>
        <w:t>4.</w:t>
      </w:r>
      <w:r>
        <w:tab/>
        <w:t>Предупреждение пыток и реабилитация жертв пыток - один из приоритетных вопросов международной политики Дании в области прав человека и развития.  Помимо финансирования ЦРИ и МСР, Дания поддерживает ряд проектов по борьбе против пыток и ежегодно вносит в Фонд добровольных взносов ООН для жертв пыток 2 млн. датских крон.</w:t>
      </w:r>
    </w:p>
    <w:p w:rsidR="00000000" w:rsidRDefault="00000000"/>
    <w:p w:rsidR="00000000" w:rsidRDefault="00000000">
      <w:r>
        <w:t>5.</w:t>
      </w:r>
      <w:r>
        <w:tab/>
        <w:t>Ежегодно Дания представляет сводные резолюции против пыток соответственно в Комиссии по правам человека и на Генеральной Ассамблее.  25 июня 2004 года Дания ратифицировала Факультативный протокол к Конвенции против пыток.</w:t>
      </w:r>
    </w:p>
    <w:p w:rsidR="00000000" w:rsidRDefault="00000000"/>
    <w:p w:rsidR="00000000" w:rsidRDefault="00000000">
      <w:pPr>
        <w:jc w:val="center"/>
        <w:rPr>
          <w:b/>
          <w:bCs/>
        </w:rPr>
      </w:pPr>
      <w:r>
        <w:rPr>
          <w:b/>
          <w:bCs/>
        </w:rPr>
        <w:br w:type="page"/>
        <w:t>I.</w:t>
      </w:r>
      <w:r>
        <w:rPr>
          <w:b/>
          <w:bCs/>
        </w:rPr>
        <w:tab/>
        <w:t>ИНФОРМАЦИЯ О НОВЫХ МЕРАХ И НОВЫХ СОБЫТИЯХ В СВЯЗИ С ОСУЩЕСТВЛЕНИЕМ КОНВЕНЦИИ</w:t>
      </w:r>
    </w:p>
    <w:p w:rsidR="00000000" w:rsidRDefault="00000000">
      <w:pPr>
        <w:jc w:val="center"/>
        <w:rPr>
          <w:b/>
          <w:bCs/>
        </w:rPr>
      </w:pPr>
    </w:p>
    <w:p w:rsidR="00000000" w:rsidRDefault="00000000">
      <w:pPr>
        <w:jc w:val="center"/>
        <w:rPr>
          <w:b/>
          <w:bCs/>
        </w:rPr>
      </w:pPr>
      <w:r>
        <w:rPr>
          <w:b/>
          <w:bCs/>
        </w:rPr>
        <w:t>Статья 1</w:t>
      </w:r>
    </w:p>
    <w:p w:rsidR="00000000" w:rsidRDefault="00000000">
      <w:pPr>
        <w:jc w:val="center"/>
        <w:rPr>
          <w:b/>
          <w:bCs/>
        </w:rPr>
      </w:pPr>
    </w:p>
    <w:p w:rsidR="00000000" w:rsidRDefault="00000000">
      <w:r>
        <w:t>6.</w:t>
      </w:r>
      <w:r>
        <w:tab/>
        <w:t>Новая информация по данной статье отсутствует.</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r>
        <w:t>7.</w:t>
      </w:r>
      <w:r>
        <w:tab/>
        <w:t>Новая информация по данной статье отсутствует.</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8.</w:t>
      </w:r>
      <w:r>
        <w:tab/>
        <w:t>В соответствии с положениями пункта 1 статьи 7 закона об иностранцах (</w:t>
      </w:r>
      <w:r>
        <w:rPr>
          <w:lang w:val="en-US"/>
        </w:rPr>
        <w:t>Udloendingeloven</w:t>
      </w:r>
      <w:r>
        <w:t>) иностранцу предоставляется вид на жительство, если он подпадает под положения Конвенции 1951 года о статусе беженцев.  Совет по делам беженцев (</w:t>
      </w:r>
      <w:r>
        <w:rPr>
          <w:lang w:val="en-US"/>
        </w:rPr>
        <w:t>Udloendingenoevnet</w:t>
      </w:r>
      <w:r>
        <w:t>), который выносит окончательные решения по делам о предоставлении убежища во второй инстанции, постановил, что в соответствии с положениями пункта 1 статьи 7 закона об иностранцах вид на жительство предоставляется, в частности, в тех случаях, когда существует опасность применения пыток и когда есть основания считать, что соответствующий вид преследований входит в сферу действия Конвенции о статусе беженцев.</w:t>
      </w:r>
    </w:p>
    <w:p w:rsidR="00000000" w:rsidRDefault="00000000"/>
    <w:p w:rsidR="00000000" w:rsidRDefault="00000000">
      <w:r>
        <w:t>9.</w:t>
      </w:r>
      <w:r>
        <w:tab/>
        <w:t>Законом № 365 от 6 июня 2002 года концепция беженца де-факто, упоминавшаяся в пункте 5 четвертого периодического доклада Дании, была отменена.  Вместо этого было принято новое положение о защитном статусе.  Согласно статье 7, пункт 2, закона об иностранцах вид на жительство предоставляется иностранцу, если ему угрожает высшая мера наказания или существует опасность подвергнуться пыткам или бесчеловечным или унижающим достоинство видам обращения и наказания в случае возвращения в страну его происхождения.  Указанный закон вступил в силу 1 июля 2002 года.</w:t>
      </w:r>
    </w:p>
    <w:p w:rsidR="00000000" w:rsidRDefault="00000000"/>
    <w:p w:rsidR="00000000" w:rsidRDefault="00000000">
      <w:r>
        <w:t>10.</w:t>
      </w:r>
      <w:r>
        <w:tab/>
        <w:t>В общих замечаниях по поводу указанной поправки указывается, что следует исходить из того, что положение о защитном статусе применяется, в частности, в соответствии со статьей 3 Конвенции против пыток.  Таким образом, если существует опасность применения пыток, положение о защитном статусе обеспечивает выдачу вида на жительство согласно статье 7, пункт 2, закона об иностранцах в тех случаях, когда такое преследование нельзя квалифицировать как подпадающее под Конвенцию о статусе беженцев, упоминаемую в статье 7, пункт 1, закона об иностранцах.  Если лицо подвергалось пыткам и имеет веские субъективные опасения подвергнуться преследованию, но это опасение нельзя более рассматривать как вызванное объективными обстоятельствами - например, когда в стране его происхождения произошла смена строя, - вид на жительство на основании защитного статуса получить нельзя.  В некоторых редких случаях на таких просителей убежища может, однако, распространяться Конвенция о статусе беженцев, как об этом говорится в пункте 1 статьи 7 закона об иностранцах.</w:t>
      </w:r>
    </w:p>
    <w:p w:rsidR="00000000" w:rsidRDefault="00000000"/>
    <w:p w:rsidR="00000000" w:rsidRDefault="00000000">
      <w:r>
        <w:t>11.</w:t>
      </w:r>
      <w:r>
        <w:tab/>
        <w:t>Что касается заявлений о предоставлении убежища, поданных до 1 июля 2002 года, то на них распространяется прежняя редакция статьи 7, пункт 2 (положение о статусе де</w:t>
      </w:r>
      <w:r>
        <w:noBreakHyphen/>
        <w:t>факто), закона об иностранцах.  Практика Совета по делам беженцев в отношении этих случаев и в отношении случаев, когда установлен факт применения пыток к просителю убежища, освещается в пункте 8 четвертого периодического доклада.</w:t>
      </w:r>
    </w:p>
    <w:p w:rsidR="00000000" w:rsidRDefault="00000000"/>
    <w:p w:rsidR="00000000" w:rsidRDefault="00000000">
      <w:r>
        <w:t>12.</w:t>
      </w:r>
      <w:r>
        <w:tab/>
        <w:t>В приложении 1 приводятся примеры случаев, когда Датская иммиграционная служба (</w:t>
      </w:r>
      <w:r>
        <w:rPr>
          <w:lang w:val="en-US"/>
        </w:rPr>
        <w:t>Udloendingestyrelsen</w:t>
      </w:r>
      <w:r>
        <w:t>), принимающая решение по делам о предоставлении убежища в первой инстанции, выдавала виды на жительство просителям убежища, которые ссылались на опасность подвергнуться пыткам в качестве причины обращения за убежищем.  Эти примеры относятся к решениям, принятым в соответствии со статьей 7, пункт 2, закона об иностранцах до того, как в закон были внесены изменения в 2002 году.</w:t>
      </w:r>
    </w:p>
    <w:p w:rsidR="00000000" w:rsidRDefault="00000000"/>
    <w:p w:rsidR="00000000" w:rsidRDefault="00000000">
      <w:r>
        <w:t>13.</w:t>
      </w:r>
      <w:r>
        <w:tab/>
        <w:t>В приложении 2 приводятся примеры практики Совета по делам беженцев, касающиеся сферы применения статьи 7 закона об иностранцах в тех случаях, когда подача ходатайства о предоставлении убежища мотивировалась целиком или отчасти фактом применения пыток.  Приводятся примеры случаев подачи заявлений о предоставлении убежища до, а также после 1 июля 2002 года.</w:t>
      </w:r>
    </w:p>
    <w:p w:rsidR="00000000" w:rsidRDefault="00000000"/>
    <w:p w:rsidR="00000000" w:rsidRDefault="00000000">
      <w:r>
        <w:t>14.</w:t>
      </w:r>
      <w:r>
        <w:tab/>
        <w:t>В некоторых случаях Датская иммиграционная служба проводит медицинское освидетельствование просителей убежища и их освидетельствование на предмет подтверждения факта применения пыток.  Соответствующая информация по этому вопросу содержится в третьем периодическом докладе Дании (часть </w:t>
      </w:r>
      <w:r>
        <w:rPr>
          <w:lang w:val="en-US"/>
        </w:rPr>
        <w:t>II</w:t>
      </w:r>
      <w:r>
        <w:t>, пункты 17 и 18).</w:t>
      </w:r>
    </w:p>
    <w:p w:rsidR="00000000" w:rsidRDefault="00000000"/>
    <w:p w:rsidR="00000000" w:rsidRDefault="00000000">
      <w:r>
        <w:t>15.</w:t>
      </w:r>
      <w:r>
        <w:tab/>
        <w:t>Датская иммиграционная служба сообщает, что институты судебной медицины по</w:t>
      </w:r>
      <w:r>
        <w:noBreakHyphen/>
        <w:t>прежнему привлекаются к проведению по просьбе Иммиграционной службы освидетельствования просителей убежища в объеме, предписываемом Иммиграционной службой, на предмет выявления следов применения пыток.  Подробная информация о том, как и где проводится освидетельствование, излагается в пункте 14 четвертого периодического доклада.</w:t>
      </w:r>
    </w:p>
    <w:p w:rsidR="00000000" w:rsidRDefault="00000000"/>
    <w:p w:rsidR="00000000" w:rsidRDefault="00000000">
      <w:r>
        <w:br w:type="page"/>
        <w:t>16.</w:t>
      </w:r>
      <w:r>
        <w:tab/>
        <w:t>Совет по делам беженцев исходит из того, что в тех случаях, когда Совет сомневается в подлинности представленных просителем убежища свидетельств о факте применения пыток, то этот орган может назначить освидетельствование на предмет выявления признаков применения пыток.  (Сведения о ранее существовавшей практике, когда Совет просил Датскую иммиграционную службу назначить такое освидетельствование, см. в пункте 13 четвертого периодического доклада.)  В этих случаях Совет обращается с просьбой к Институту судебно-медицинской экспертизы (</w:t>
      </w:r>
      <w:r>
        <w:rPr>
          <w:lang w:val="en-US"/>
        </w:rPr>
        <w:t>Retsmedicinsk</w:t>
      </w:r>
      <w:r>
        <w:t xml:space="preserve"> </w:t>
      </w:r>
      <w:r>
        <w:rPr>
          <w:lang w:val="en-US"/>
        </w:rPr>
        <w:t>Institut</w:t>
      </w:r>
      <w:r>
        <w:t>) Копенгагенского университета, Орхусскому университету или Университету Южной Дании, в зависимости от места жительства просителя убежища, провести тщательное освидетельствование данного просителя убежища для оценки того, могут ли какие-либо клинические проявления быть объяснены применением физических пыток.  Решение о приостановке рассмотрения дела до проведения освидетельствования принимается Советом с согласия просителей убежища.  Освидетельствование проводится в присутствии переводчиков, с тем чтобы проситель убежища мог рассказать врачу о своем состоянии.  В процессе освидетельствования на предмет выявления признаков применения пыток врач осматривает просителя убежища после проведения беседы, в ходе которой проситель убежища рассказывает врачу, каким пыткам он подвергался.  Соответствующее освидетельствование проводится также в Клинике судебной психиатрии (</w:t>
      </w:r>
      <w:r>
        <w:rPr>
          <w:lang w:val="en-US"/>
        </w:rPr>
        <w:t>Retspsykiatrisk</w:t>
      </w:r>
      <w:r>
        <w:t xml:space="preserve"> </w:t>
      </w:r>
      <w:r>
        <w:rPr>
          <w:lang w:val="en-US"/>
        </w:rPr>
        <w:t>Klinik</w:t>
      </w:r>
      <w:r>
        <w:t>), где оформляется справка о психическом состоянии освидетельствованного.  Кроме того, в некоторых случаях могут быть проведены другие осмотры врачей-специалистов.</w:t>
      </w:r>
    </w:p>
    <w:p w:rsidR="00000000" w:rsidRDefault="00000000"/>
    <w:p w:rsidR="00000000" w:rsidRDefault="00000000">
      <w:r>
        <w:t>17.</w:t>
      </w:r>
      <w:r>
        <w:tab/>
        <w:t>Общее количество запросов датских органов по делам беженцев на проведение освидетельствований для выявления признаков применения пыток различно, однако с 2000 года обычно делалось от 20 до 50 запросов в год.  Однако в последние годы количество освидетельствований уменьшилось вместе с уменьшением количества просителей убежища.</w:t>
      </w:r>
    </w:p>
    <w:p w:rsidR="00000000" w:rsidRDefault="00000000"/>
    <w:p w:rsidR="00000000" w:rsidRDefault="00000000">
      <w:r>
        <w:t>18.</w:t>
      </w:r>
      <w:r>
        <w:tab/>
        <w:t>Иногда проситель убежища обращается за помощью в медицинскую группу организации "Международная амнистия" или к другим медицинским специалистам.  В таких случаях заключения этих источников приобщаются к документам, на основании которых принимается решение по данному делу.</w:t>
      </w:r>
    </w:p>
    <w:p w:rsidR="00000000" w:rsidRDefault="00000000"/>
    <w:p w:rsidR="00000000" w:rsidRDefault="00000000">
      <w:r>
        <w:br w:type="page"/>
        <w:t>19.</w:t>
      </w:r>
      <w:r>
        <w:tab/>
        <w:t>Если Датская иммиграционная служба или Совет по делам беженцев отказывает иностранцу в предоставлении вида на жительство в соответствии со статьями 7 и 8 (предоставление убежища) закона об иностранцах, то к такому отказу согласно положениям пункта а) статьи 32 закона об иностранцах, включенной в него на основании закона № 482 от 24 июня 1992 года, также должно прилагаться решение о том, будет ли статья 31 закона об иностранцах служить препятствием для возвращения иностранца, если он откажется покинуть страну добровольно.</w:t>
      </w:r>
    </w:p>
    <w:p w:rsidR="00000000" w:rsidRDefault="00000000"/>
    <w:p w:rsidR="00000000" w:rsidRDefault="00000000">
      <w:r>
        <w:t>20.</w:t>
      </w:r>
      <w:r>
        <w:tab/>
        <w:t>На основании закона № 362 от 6 июня 2002 года прежняя редакция статьи 31, упоминавшаяся в пунктах 17</w:t>
      </w:r>
      <w:r>
        <w:noBreakHyphen/>
        <w:t>19 четвертого периодического доклада Дании, была отменена.</w:t>
      </w:r>
    </w:p>
    <w:p w:rsidR="00000000" w:rsidRDefault="00000000"/>
    <w:p w:rsidR="00000000" w:rsidRDefault="00000000">
      <w:r>
        <w:t>21.</w:t>
      </w:r>
      <w:r>
        <w:tab/>
        <w:t>В соответствии с нынешней редакцией пункта 1 статьи 31 закона об иностранцах иностранец не должен высылаться в страну, где он или она рискует стать жертвой смертного приговора или быть подвергнутым пыткам или бесчеловечным или унижающим достоинство видам обращения и наказания, или когда иностранец не будет защищен от высылки в такую страну.  Данное положение должно применяться в соответствии с международными обязательствами Дании, включая безусловный запрет, вытекающий, в частности, из статьи 3 Европейской конвенции о правах человека и статьи 3 Конвенции против пыток, на возвращение иностранца в страну, где ему грозит опасность пыток или бесчеловечных или унижающих достоинство видов обращения и наказания.</w:t>
      </w:r>
    </w:p>
    <w:p w:rsidR="00000000" w:rsidRDefault="00000000"/>
    <w:p w:rsidR="00000000" w:rsidRDefault="00000000">
      <w:r>
        <w:t>22.</w:t>
      </w:r>
      <w:r>
        <w:tab/>
        <w:t>В соответствии с нынешней редакцией пункта 2 статьи 31 закона об иностранцах иностранец, на которого распространяется действие положений пункта 1 статьи 7 закона об иностранцах (иностранцы, на которых распространяется Конвенция о статусе беженцев), не может быть возвращен в страну, где он или она рискует стать жертвой преследований по причинам, изложенным в статье 1 А Конвенции о статусе беженцев, или где иностранец не будет защищен от высылки в такую страну.  Это не распространяется на случай, когда имеются достаточные основания предполагать, что иностранец представляет собой угрозу национальной безопасности, или на случай, если после окончательного осуждения иностранца за какое-либо особо тяжкое преступление необходимо исходить из того, что он представляет угрозу для общества (ср. также часть 1 статьи 31 закона об иностранцах).</w:t>
      </w:r>
    </w:p>
    <w:p w:rsidR="00000000" w:rsidRDefault="00000000"/>
    <w:p w:rsidR="00000000" w:rsidRDefault="00000000">
      <w:r>
        <w:t>23.</w:t>
      </w:r>
      <w:r>
        <w:tab/>
        <w:t>Законом № 362 от 6 июня 2002 года положения закона об иностранцах, касающиеся отказа в выдаче вида на жительство, аннулирования вида на жительство и высылки из Дании, были скорректированы в соответствии с Конвенцией о статусе беженцев.  Корректировка этих положений была одной из многих мер в связи с борьбой с терроризмом и преследует цель не допустить проживания в Дании иностранцев, рассматривающихся как представляющие опасность национальной безопасности или серьезную угрозу общественному порядку, защищенности или здоровью, в соответствии с резолюцией 1373 (2001) Совета Безопасности Организации Объединенных Наций от 28 сентября 2001 года.  Однако это не означает, что данный иностранец будет возвращен в какую-либо страну, где он или она рискуют, например, подвергнуться пыткам или бесчеловечным или унижающим достоинство видам обращения и наказания (ср. замечания в связи со статьей 31 закона об иностранцах).</w:t>
      </w:r>
    </w:p>
    <w:p w:rsidR="00000000" w:rsidRDefault="00000000"/>
    <w:p w:rsidR="00000000" w:rsidRDefault="00000000">
      <w:r>
        <w:t>24.</w:t>
      </w:r>
      <w:r>
        <w:tab/>
        <w:t>Указанное положение пункта 1 статьи 31 закона об иностранцах распространяется таким образом на возвращение всех иностранцев, включая иностранцев, в отношении которых имеются достаточные основания считать, что они представляют собой угрозу национальной безопасности, или которые после окончательного осуждения за какое-либо особо тяжкое преступление должны рассматриваться как представляющие опасность для общества, тогда как положение пункта 2 статьи 31 закона об иностранцах применимо только к иностранцам, на которых распространяется Конвенция о статусе беженцев.  Если иностранец, которому было отказано в предоставлении убежища или который по каким-либо иным причинам не имеет права оставаться в Дании, ссылается на положения статьи 31 в контексте вопроса о его выезде, то полиция может передать его дело на рассмотрение Датской иммиграционной службы или Совета по делам беженцев с просьбой возобновить рассмотрение соответственно дела или его заявления о предоставлении убежища.</w:t>
      </w:r>
    </w:p>
    <w:p w:rsidR="00000000" w:rsidRDefault="00000000"/>
    <w:p w:rsidR="00000000" w:rsidRDefault="00000000">
      <w:r>
        <w:t>25.</w:t>
      </w:r>
      <w:r>
        <w:tab/>
        <w:t>Иностранец, которому не может быть выдан вид на жительство в Дании в силу названных положений об отказе в выдаче и которого в то же время нельзя вернуть в его или ее страну происхождения или прежнего жительства вследствие опасности вынесения смертного приговора или быть подвергнутым пыткам или бесчеловечным или унижающим достоинство видам обращения и наказания или преследованию по основаниям, изложенным в статье 1 А Конвенции о статусе беженцев, может находиться в Дании, если он или она того пожелают.  В таких случаях иностранцу разрешается "дозволенное пребывание" в Дании (</w:t>
      </w:r>
      <w:r>
        <w:rPr>
          <w:lang w:val="en-US"/>
        </w:rPr>
        <w:t>t</w:t>
      </w:r>
      <w:r>
        <w:t>å</w:t>
      </w:r>
      <w:r>
        <w:rPr>
          <w:lang w:val="en-US"/>
        </w:rPr>
        <w:t>lt</w:t>
      </w:r>
      <w:r>
        <w:t xml:space="preserve"> </w:t>
      </w:r>
      <w:r>
        <w:rPr>
          <w:lang w:val="en-US"/>
        </w:rPr>
        <w:t>ophold</w:t>
      </w:r>
      <w:r>
        <w:t>) без вида на жительство.</w:t>
      </w:r>
    </w:p>
    <w:p w:rsidR="00000000" w:rsidRDefault="00000000"/>
    <w:p w:rsidR="00000000" w:rsidRDefault="00000000">
      <w:r>
        <w:t>26.</w:t>
      </w:r>
      <w:r>
        <w:tab/>
        <w:t xml:space="preserve">В соответствии со статьей 33, пункт 7 закона об иностранцах ходатайство о пересмотре решения в соответствии со статьей 7 (убежище) и статьей 9 </w:t>
      </w:r>
      <w:r>
        <w:rPr>
          <w:lang w:val="en-US"/>
        </w:rPr>
        <w:t>b</w:t>
      </w:r>
      <w:r>
        <w:t>) (предоставление вида на жительство по гуманитарным основаниям) всего лишь приостанавливает исполнение соответствующего решения в пределах установленного срока отъезда, если это постановляет орган, выносивший решение, которое является объектом ходатайства о пересмотре.  В соответствии со статьей 33, пункт 7, второе предложение, также возможна приостановка исполнения в случае подачи ходатайства о пересмотре дела о предоставлении убежища или дела о выдаче вида на жительство по гуманитарным основаниям, в случае превышения срока выбытия иностранца, если это целесообразно в силу исключительных обстоятельств.</w:t>
      </w:r>
    </w:p>
    <w:p w:rsidR="00000000" w:rsidRDefault="00000000"/>
    <w:p w:rsidR="00000000" w:rsidRDefault="00000000">
      <w:r>
        <w:t>27.</w:t>
      </w:r>
      <w:r>
        <w:tab/>
        <w:t>Такие исключительные обстоятельства возникают, если имеется конкретная причина полагать, что пересмотр ходатайства может изменить оценку ранее принятого решения.  Напротив, немотивированные ходатайства о пересмотре или ходатайства, не содержащие новой информации или соображений в отношении ранее принятого решения, не могут быть приемлемыми для того, чтобы приостановить исполнение решения.</w:t>
      </w:r>
    </w:p>
    <w:p w:rsidR="00000000" w:rsidRDefault="00000000"/>
    <w:p w:rsidR="00000000" w:rsidRDefault="00000000">
      <w:r>
        <w:t>28.</w:t>
      </w:r>
      <w:r>
        <w:tab/>
        <w:t>Что касается положения, сформулированного во втором предложении пункта 7 статьи 33 закона об иностранцах, на основании закона № 365 от 6 июня 2002 года бывшая редакция этого положения пункта 7 статьи 33, на которое делалась ссылка в пункте 20 четвертого периодического доклада Дании, была отменена.  В соответствии с прежней редакцией этого положения ходатайство о пересмотре не могло приостановить исполнения решения, если установленный срок отбытия иностранца был превышен.</w:t>
      </w:r>
    </w:p>
    <w:p w:rsidR="00000000" w:rsidRDefault="00000000"/>
    <w:p w:rsidR="00000000" w:rsidRDefault="00000000">
      <w:r>
        <w:t>29.</w:t>
      </w:r>
      <w:r>
        <w:tab/>
        <w:t>Следует отметить в этой связи, что закон № 365 от 6 июня 2002 года также требует, что иностранцам, как правило, предписывалось покинуть страну незамедлительно после окончательного отказа в удовлетворении ходатайства о предоставлении убежища.  (Ср. статья 33, пункт 2, первое предложение, закона об иностранцах).  Это положение подразумевает, что установленный срок выбытия будет продлен до окончательного отказа в предоставлении убежища и вручения иностранцу ордера о его немедленном выбытии, выданного иммиграционными властями.</w:t>
      </w:r>
    </w:p>
    <w:p w:rsidR="00000000" w:rsidRDefault="00000000"/>
    <w:p w:rsidR="00000000" w:rsidRDefault="00000000">
      <w:r>
        <w:t>30.</w:t>
      </w:r>
      <w:r>
        <w:tab/>
        <w:t>Из закона № 365 от 6 июня 2002 года вытекают различные другие поправки к закону об иностранцах, в частности было скорректировано правило о первой стране убежища.  В соответствии с новой редакцией этого положения пункта 3 статьи 7 закона об иностранцах единственным условием для отказа в предоставлении вида на жительство со ссылкой на первую страну убежища является ситуация, когда иностранец либо получил защиту в другой стране, либо имеет тесные связи с другой страной, где иностранец должен предположительно иметь возможность получить защиту.</w:t>
      </w:r>
    </w:p>
    <w:p w:rsidR="00000000" w:rsidRDefault="00000000"/>
    <w:p w:rsidR="00000000" w:rsidRDefault="00000000">
      <w:r>
        <w:t>31.</w:t>
      </w:r>
      <w:r>
        <w:tab/>
        <w:t>Этот закон упразднил возможность ходатайства о предоставлении убежища из миссий Дании за границей на том основании, что ни одна международная конвенция, к которым присоединилась Дания, не обязывает Данию разрешать иностранцам ходатайствовать о предоставлении убежища и получать убежище, находясь в дипломатических или консульских миссиях Дании за границей.</w:t>
      </w:r>
    </w:p>
    <w:p w:rsidR="00000000" w:rsidRDefault="00000000"/>
    <w:p w:rsidR="00000000" w:rsidRDefault="00000000">
      <w:r>
        <w:t>32.</w:t>
      </w:r>
      <w:r>
        <w:tab/>
        <w:t>Положение, содержавшееся в статье 48 закона об иностранцах и касавшееся отказа просителям убежища во въезде или в возвращении в безопасные третьи страны, было изменено.  Теперь уточнено, что возвращение в какую-либо безопасную третью страну возможно только в отношении страны, которая присоединилась и фактически соблюдает Конвенцию о статусе беженцев и которая обеспечивает доступ к надлежащей правовой процедуре получения убежища.  Что касается возвращения в безопасную третью страну, то оно невозможно, если в стране данному иностранцу будет угрожать опасность вынесения ему смертного приговора или быть подвергнутым пыткам или бесчеловечным или унижающим достоинство видам обращения и наказания, или если не существует защиты от возвращения в такую страну.</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33.</w:t>
      </w:r>
      <w:r>
        <w:tab/>
      </w:r>
      <w:r>
        <w:rPr>
          <w:lang w:val="en-US"/>
        </w:rPr>
        <w:t>C</w:t>
      </w:r>
      <w:r>
        <w:t>м. часть III.</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34.</w:t>
      </w:r>
      <w:r>
        <w:tab/>
        <w:t>Как указывалось при рассмотрении четвертого периодического доклада, министерство юстиции создало комитет по рассмотрению положений Уголовного кодекса, касающихся юрисдикции, в том числе вопроса о юрисдикции в случаях пыток, совершенных за границей.</w:t>
      </w:r>
    </w:p>
    <w:p w:rsidR="00000000" w:rsidRDefault="00000000"/>
    <w:p w:rsidR="00000000" w:rsidRDefault="00000000">
      <w:r>
        <w:t>35.</w:t>
      </w:r>
      <w:r>
        <w:tab/>
        <w:t>Обсуждение в комитете все еще продолжается, и на настоящий момент не известно, когда комитет завершит свою работу.</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36.</w:t>
      </w:r>
      <w:r>
        <w:tab/>
        <w:t>Новая информация отсутствует.</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r>
        <w:t>37.</w:t>
      </w:r>
      <w:r>
        <w:tab/>
        <w:t>Новая информация отсутствует.</w:t>
      </w:r>
    </w:p>
    <w:p w:rsidR="00000000" w:rsidRDefault="00000000"/>
    <w:p w:rsidR="00000000" w:rsidRDefault="00000000">
      <w:pPr>
        <w:jc w:val="center"/>
        <w:rPr>
          <w:b/>
          <w:bCs/>
        </w:rPr>
      </w:pPr>
      <w:r>
        <w:rPr>
          <w:b/>
          <w:bCs/>
        </w:rPr>
        <w:br w:type="page"/>
        <w:t>Статья 8</w:t>
      </w:r>
    </w:p>
    <w:p w:rsidR="00000000" w:rsidRDefault="00000000">
      <w:pPr>
        <w:jc w:val="center"/>
        <w:rPr>
          <w:b/>
          <w:bCs/>
        </w:rPr>
      </w:pPr>
    </w:p>
    <w:p w:rsidR="00000000" w:rsidRDefault="00000000">
      <w:r>
        <w:t>38.</w:t>
      </w:r>
      <w:r>
        <w:tab/>
        <w:t>4 июня 2003 года парламент Дании принял законопроект о внесении поправок в закон о выдаче и закон о выдаче северных стран в целях приведения их в соответствие с Рамочным решением о европейском ордере на арест ("Рамочное решение") Европейского союза.  Эти поправки вступили в силу 1 января 2004 года и охватывают запросы об экстрадиции, направленные после этой даты.</w:t>
      </w:r>
    </w:p>
    <w:p w:rsidR="00000000" w:rsidRDefault="00000000"/>
    <w:p w:rsidR="00000000" w:rsidRDefault="00000000">
      <w:r>
        <w:t>39.</w:t>
      </w:r>
      <w:r>
        <w:tab/>
        <w:t>В соответствии с Рамочным решением названный закон расширяет сферу своего действия и упрощает порядок выдачи между государствами - членами ЕС лиц, которым предъявлены обвинения, обвиненным по обвинительному акту или осужденным за преступление.</w:t>
      </w:r>
    </w:p>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r>
        <w:t>40.</w:t>
      </w:r>
      <w:r>
        <w:tab/>
        <w:t>Новая информация о законодательстве отсутствует, однако просьба обратиться к части III "Осуществление Конвенции", касающейся решения Высокого суда Дании о международном сотрудничестве.</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pPr>
        <w:rPr>
          <w:b/>
          <w:bCs/>
        </w:rPr>
      </w:pPr>
      <w:r>
        <w:rPr>
          <w:b/>
          <w:bCs/>
        </w:rPr>
        <w:t>Профессиональная подготовка полиции</w:t>
      </w:r>
    </w:p>
    <w:p w:rsidR="00000000" w:rsidRDefault="00000000">
      <w:pPr>
        <w:rPr>
          <w:b/>
          <w:bCs/>
        </w:rPr>
      </w:pPr>
    </w:p>
    <w:p w:rsidR="00000000" w:rsidRDefault="00000000">
      <w:r>
        <w:t>41.</w:t>
      </w:r>
      <w:r>
        <w:tab/>
        <w:t>В связи с пунктом 41 четвертого периодического доклада Дании следует отметить, что значительная часть трехгодичной базовой профессиональной подготовки полиции посвящена применению силы полицией, включая подготовку по практическому применению полицейских приемов и средств самообороны.  Более того, национальный комиссар полиции Дании (</w:t>
      </w:r>
      <w:r>
        <w:rPr>
          <w:lang w:val="en-US"/>
        </w:rPr>
        <w:t>Rigspolitichefen</w:t>
      </w:r>
      <w:r>
        <w:t>) имеет в виду в ближайшем будущем предпринять новые усилия по повышению уровня подготовки сотрудников полиции в применении силы и еще более систематизировать подготовку, в частности разработав новые и более обязательные программы курсов.</w:t>
      </w:r>
    </w:p>
    <w:p w:rsidR="00000000" w:rsidRDefault="00000000"/>
    <w:p w:rsidR="00000000" w:rsidRDefault="00000000">
      <w:r>
        <w:t>42.</w:t>
      </w:r>
      <w:r>
        <w:tab/>
        <w:t>С учетом дела, рассматривавшегося комиссией полиции по жалобам, в которых ставилась под вопрос концепция обучения использованию наручников, комиссар национальной полиции также принял решение о подготовке более подробного письменного учебного материала о применении наручников.  Этот учебный материал будет также использоваться на занятиях по текущей подготовке полиции в регионах.</w:t>
      </w:r>
    </w:p>
    <w:p w:rsidR="00000000" w:rsidRDefault="00000000"/>
    <w:p w:rsidR="00000000" w:rsidRDefault="00000000">
      <w:r>
        <w:t>43.</w:t>
      </w:r>
      <w:r>
        <w:tab/>
        <w:t>В пункте 43 четвертого периодического доклада Дании сообщалось о жалобе перуанского гражданина, который сломал себе руку, когда его поместили в камеру временного содержания, и что соответствующий региональный государственный прокурор (</w:t>
      </w:r>
      <w:r>
        <w:rPr>
          <w:lang w:val="en-US"/>
        </w:rPr>
        <w:t>statsadvokaten</w:t>
      </w:r>
      <w:r>
        <w:t>) просил комиссара национальной полиции рассмотреть вопрос о включении информации о влиянии алкогольного опьянения на болевой порог в пособие по полицейским приемам и средствам самообороны.  Региональный государственный прокурор также просил комиссара национальной полиции провести оценку того, дает ли основание заключение Совета судебно-медицинской экспертизы (</w:t>
      </w:r>
      <w:r>
        <w:rPr>
          <w:lang w:val="en-US"/>
        </w:rPr>
        <w:t>Retsl</w:t>
      </w:r>
      <w:r>
        <w:t>œ</w:t>
      </w:r>
      <w:r>
        <w:rPr>
          <w:lang w:val="en-US"/>
        </w:rPr>
        <w:t>ger</w:t>
      </w:r>
      <w:r>
        <w:t>å</w:t>
      </w:r>
      <w:r>
        <w:rPr>
          <w:lang w:val="en-US"/>
        </w:rPr>
        <w:t>det</w:t>
      </w:r>
      <w:r>
        <w:t>) в данном случае для внесения изменений в раздел пособия, посвященного приемам заламывания рук.</w:t>
      </w:r>
    </w:p>
    <w:p w:rsidR="00000000" w:rsidRDefault="00000000"/>
    <w:p w:rsidR="00000000" w:rsidRDefault="00000000">
      <w:r>
        <w:t>44.</w:t>
      </w:r>
      <w:r>
        <w:tab/>
        <w:t>В этой связи комиссар национальной полиции заявил, что в ходе инструктажа и профессиональной подготовки по применению полицейских приемов и средств самообороны внимание обращается на потенциальное воздействие алкоголя и других психотропных веществ на болевой порог человека, что</w:t>
      </w:r>
      <w:r>
        <w:rPr>
          <w:rFonts w:ascii="Tahoma" w:hAnsi="Tahoma" w:cs="Tahoma"/>
        </w:rPr>
        <w:t></w:t>
      </w:r>
      <w:r>
        <w:t xml:space="preserve"> должно учитываться при проведении силовых приемов.</w:t>
      </w:r>
    </w:p>
    <w:p w:rsidR="00000000" w:rsidRDefault="00000000"/>
    <w:p w:rsidR="00000000" w:rsidRDefault="00000000">
      <w:r>
        <w:t>45.</w:t>
      </w:r>
      <w:r>
        <w:tab/>
        <w:t>Этот вопрос будет включен в обсуждение более общих проблем применения приемов и средств самообороны после публикации нового издания упомянутого пособия.</w:t>
      </w:r>
    </w:p>
    <w:p w:rsidR="00000000" w:rsidRDefault="00000000"/>
    <w:p w:rsidR="00000000" w:rsidRDefault="00000000">
      <w:r>
        <w:t>46.</w:t>
      </w:r>
      <w:r>
        <w:tab/>
        <w:t>Более того, под рубрикой "Влияние крепких алкогольных напитков" эта тема была включена в учебную программу по "полицейской теории", и теперь внимание также будет обращаться на потенциальное влияние алкоголя на болевой порог.</w:t>
      </w:r>
    </w:p>
    <w:p w:rsidR="00000000" w:rsidRDefault="00000000"/>
    <w:p w:rsidR="00000000" w:rsidRDefault="00000000">
      <w:r>
        <w:t>47.</w:t>
      </w:r>
      <w:r>
        <w:tab/>
        <w:t>Заключение Совета судебно-медицинской экспертизы не привело к внесению каких</w:t>
      </w:r>
      <w:r>
        <w:noBreakHyphen/>
        <w:t>либо изменений в указанное пособие, поскольку данный вопрос относится к конкретному описанию приема заламывания рук.  В этой связи комиссар национальной полиции подчеркнул, что полицейские стажеры обучаются приему заламывания рук, а также другим приемам весьма основательно, и стажеры подробно инструктируются о различных опасностях применения этого приема.</w:t>
      </w:r>
    </w:p>
    <w:p w:rsidR="00000000" w:rsidRDefault="00000000"/>
    <w:p w:rsidR="00000000" w:rsidRDefault="00000000">
      <w:r>
        <w:rPr>
          <w:b/>
          <w:bCs/>
        </w:rPr>
        <w:t>Контролирование полицией больших скоплений людей</w:t>
      </w:r>
    </w:p>
    <w:p w:rsidR="00000000" w:rsidRDefault="00000000"/>
    <w:p w:rsidR="00000000" w:rsidRDefault="00000000">
      <w:r>
        <w:t>48.</w:t>
      </w:r>
      <w:r>
        <w:tab/>
        <w:t>Исходя из опыта волнений в связи с референдумом о ЕС, проводившимся 18 мая 1993 года, и опыта Великобритании, Нидерландов и Германии, весной 2000 года национальная полиция подготовила новую концепцию тактических действий для подразделений мобильной полиции.  С информацией по данному вопросу можно ознакомиться в пункте 132 четвертого периодического доклада Дании.</w:t>
      </w:r>
    </w:p>
    <w:p w:rsidR="00000000" w:rsidRDefault="00000000"/>
    <w:p w:rsidR="00000000" w:rsidRDefault="00000000">
      <w:r>
        <w:t>49.</w:t>
      </w:r>
      <w:r>
        <w:tab/>
        <w:t>Концепция тактических действий мобильных подразделений полиции стала использоваться датской полицией с осени 2000 года, причем в ходе 2000 года в региональных подразделениях датской полиции проводились курсы освоения данной концепции.</w:t>
      </w:r>
    </w:p>
    <w:p w:rsidR="00000000" w:rsidRDefault="00000000"/>
    <w:p w:rsidR="00000000" w:rsidRDefault="00000000">
      <w:r>
        <w:t>50.</w:t>
      </w:r>
      <w:r>
        <w:tab/>
        <w:t>Наиболее важным новшеством этой концепции тактических действий мобильных подразделений полиции стало более широкое применение групповых микроавтобусов "низкой безопасности" и "высокой безопасности", в результате чего полицейские силы приобретают значительно большую мобильность и обеспечивают более высокую безопасность сотрудников при проведении операций;  присутствие автобусов к тому же подает сигнал о "применении силы", что зачастую оказывает сдерживающий эффект на демонстрантов и скопления людей.</w:t>
      </w:r>
    </w:p>
    <w:p w:rsidR="00000000" w:rsidRDefault="00000000"/>
    <w:p w:rsidR="00000000" w:rsidRDefault="00000000">
      <w:r>
        <w:t>51.</w:t>
      </w:r>
      <w:r>
        <w:tab/>
        <w:t>Концепция тактических действий для мобильной полиции успешно прошла испытания, когда Дания председательствовала в ЕС в 2002 году, и теперь она регулярно используется в операциях при демонстрациях, а также на футбольных матчах повышенного риска, и т.п.</w:t>
      </w:r>
    </w:p>
    <w:p w:rsidR="00000000" w:rsidRDefault="00000000"/>
    <w:p w:rsidR="00000000" w:rsidRDefault="00000000">
      <w:r>
        <w:t>52.</w:t>
      </w:r>
      <w:r>
        <w:tab/>
        <w:t>Концепция тактических действий мобильной полиции изучается теперь в рамках раздела базового курса подготовки полиции, посвященного чрезвычайным обстоятельствам.</w:t>
      </w:r>
    </w:p>
    <w:p w:rsidR="00000000" w:rsidRDefault="00000000"/>
    <w:p w:rsidR="00000000" w:rsidRDefault="00000000">
      <w:r>
        <w:rPr>
          <w:b/>
          <w:bCs/>
        </w:rPr>
        <w:t>Применение полицейских служебных собак</w:t>
      </w:r>
    </w:p>
    <w:p w:rsidR="00000000" w:rsidRDefault="00000000"/>
    <w:p w:rsidR="00000000" w:rsidRDefault="00000000">
      <w:r>
        <w:t>53.</w:t>
      </w:r>
      <w:r>
        <w:tab/>
        <w:t>Действующие правила, регулирующие порядок использования служебных собак в качестве меры воздействия, содержатся в распоряжении национальной полиции II, № 40 от 6 мая 1998 года.  Эти правила рассматриваются в пунктах 133-136 четвертого периодического доклада Дании.</w:t>
      </w:r>
    </w:p>
    <w:p w:rsidR="00000000" w:rsidRDefault="00000000"/>
    <w:p w:rsidR="00000000" w:rsidRDefault="00000000">
      <w:r>
        <w:t>54.</w:t>
      </w:r>
      <w:r>
        <w:tab/>
        <w:t>В 1998 году министерство юстиции создало Полицейскую комиссию (</w:t>
      </w:r>
      <w:r>
        <w:rPr>
          <w:i/>
          <w:iCs/>
          <w:lang w:val="en-US"/>
        </w:rPr>
        <w:t>Politikommissionen</w:t>
      </w:r>
      <w:r>
        <w:t>), которая представила доклад № 1410/220 о законодательстве в отношении полиции, предлагающей всеобъемлющую правовую основу для деятельности полиции, в том числе полномочия полиции в отношении применения силы.  В этом докладе содержатся предложения относительно специальных правил использования полицией служебных собак.</w:t>
      </w:r>
    </w:p>
    <w:p w:rsidR="00000000" w:rsidRDefault="00000000"/>
    <w:p w:rsidR="00000000" w:rsidRDefault="00000000">
      <w:r>
        <w:t>55.</w:t>
      </w:r>
      <w:r>
        <w:tab/>
        <w:t>На этой основе министр юстиции 4 февраля 2004 года представил законопроект о деятельности полиции.  В статье 19 этого законопроекта, который основывается на упомянутом выше докладе, содержатся правила использования полицией служебных собак в качестве меры силового воздействия.  Эти правила регулируют только использование служебных собак полицией при применении силы, а не для выполнения иных задач, таких, как поиск пропавших или заблудившихся людей, поиск предметов, связанных с преступлениями, и поиск улик на месте преступления.  Этот документ, являющийся общим продолжением действующих административных правил, включает исчерпывающий список ситуаций, когда полиция может использовать служебных собак в качестве меры силового воздействия.  Соответственно полиция может использовать служебных собак в тех же ситуациях, что и ранее, но право использования служебных собак в случаях пассивного сопротивления ограничено и разъяснено более подробно по сравнению с действующими административными правилами.  Таким образом, согласно законопроекту, служебные собаки могут использоваться в случаях пассивного сопротивления при том условии, что применение данного средства считается срочно необходимым, а другие менее жесткие виды применения силы считаются явно неподходящими.</w:t>
      </w:r>
    </w:p>
    <w:p w:rsidR="00000000" w:rsidRDefault="00000000"/>
    <w:p w:rsidR="00000000" w:rsidRDefault="00000000">
      <w:r>
        <w:rPr>
          <w:b/>
          <w:bCs/>
        </w:rPr>
        <w:t>Состав полицейского корпуса</w:t>
      </w:r>
    </w:p>
    <w:p w:rsidR="00000000" w:rsidRDefault="00000000"/>
    <w:p w:rsidR="00000000" w:rsidRDefault="00000000">
      <w:r>
        <w:t>56.</w:t>
      </w:r>
      <w:r>
        <w:tab/>
        <w:t>Как указано в четвертом периодическом докладе Дании, комиссар национальной полиции считает, что полицейский корпус должен отражать, по возможности, состав населения страны.  Это касается и представленности в полицейском корпусе этнических меньшинств.  Поэтому после представления четвертого периодического доклада Дании комиссар национальной полиции активно работал над привлечением лиц недатского этнического происхождения к поступлению на работу в полицию.</w:t>
      </w:r>
    </w:p>
    <w:p w:rsidR="00000000" w:rsidRDefault="00000000"/>
    <w:p w:rsidR="00000000" w:rsidRDefault="00000000">
      <w:r>
        <w:t>57.</w:t>
      </w:r>
      <w:r>
        <w:tab/>
        <w:t>В феврале 2000 года на конференции по вопросам этнического равенства и т.д., проведенной Советом по этническому равноправию (</w:t>
      </w:r>
      <w:r>
        <w:rPr>
          <w:lang w:val="en-US"/>
        </w:rPr>
        <w:t>R</w:t>
      </w:r>
      <w:r>
        <w:t>å</w:t>
      </w:r>
      <w:r>
        <w:rPr>
          <w:lang w:val="en-US"/>
        </w:rPr>
        <w:t>det</w:t>
      </w:r>
      <w:r>
        <w:t xml:space="preserve"> </w:t>
      </w:r>
      <w:r>
        <w:rPr>
          <w:lang w:val="en-US"/>
        </w:rPr>
        <w:t>for</w:t>
      </w:r>
      <w:r>
        <w:t xml:space="preserve"> </w:t>
      </w:r>
      <w:r>
        <w:rPr>
          <w:lang w:val="en-US"/>
        </w:rPr>
        <w:t>Etnisk</w:t>
      </w:r>
      <w:r>
        <w:t xml:space="preserve"> </w:t>
      </w:r>
      <w:r>
        <w:rPr>
          <w:lang w:val="en-US"/>
        </w:rPr>
        <w:t>Ligestilling</w:t>
      </w:r>
      <w:r>
        <w:t>), комиссар национальной полиции согласился сосредоточить в 2000 году внимание на проблеме увеличения доли сотрудников полиции из числа лиц недатского этнического происхождения.  С этой целью комиссар национальной полиции обратился к лицам, обладающим компетенцией и знанием молодежи недатского этнического происхождения, предоставить ему информацию о каких-либо препятствиях, мешающих таким молодым людям подавать заявления о приеме на работу в полицию.  В сотрудничестве с несколькими региональными управлениями полиции, местными властями, центрами занятости и ассоциациями этнических меньшинств и т.п. на основе этой инициативы были проведены целевые мероприятия по набору, по возможности, максимального количества лиц недатского этнического происхождения, желающих работать в полиции.</w:t>
      </w:r>
    </w:p>
    <w:p w:rsidR="00000000" w:rsidRDefault="00000000"/>
    <w:p w:rsidR="00000000" w:rsidRDefault="00000000">
      <w:r>
        <w:t>58.</w:t>
      </w:r>
      <w:r>
        <w:tab/>
        <w:t>Ежегодно комиссар национальной полиции проводит 30-40 встреч по всей стране в целях привлечения людей на работу в полицию.  Причем эти встречи организуются так, чтобы в них участвовал сотрудник полиции недатского этнического происхождения.</w:t>
      </w:r>
    </w:p>
    <w:p w:rsidR="00000000" w:rsidRDefault="00000000"/>
    <w:p w:rsidR="00000000" w:rsidRDefault="00000000">
      <w:r>
        <w:t>59.</w:t>
      </w:r>
      <w:r>
        <w:tab/>
        <w:t>Поскольку датское законодательство запрещает регистрацию на рынке труда этнического происхождения работников, невозможно подготовить реальные статистические данные о количестве сотрудников полиции недатского этнического происхождения.  Однако, по оценкам комиссара национальной полиции количества недавно принятых сотрудников полиции в период 2000-2003 годов, в течение указанных четырех лет каждый год назначалось в среднем 10 человек лиц недатского этнического происхождения.</w:t>
      </w:r>
    </w:p>
    <w:p w:rsidR="00000000" w:rsidRDefault="00000000"/>
    <w:p w:rsidR="00000000" w:rsidRDefault="00000000">
      <w:r>
        <w:t>60.</w:t>
      </w:r>
      <w:r>
        <w:tab/>
        <w:t>Кроме того, 20 февраля 2003 года министерство юстиции подготовило план действий по привлечению на работу в министерстве юстиции и судебных органах иммигрантов и выходцев из третьих стран.  Это говорит о том, что до конца 2003 года в органы полиции и прокуратуры намечалось принять в общей сложности 0,4% иммигрантов и выходцев из третьих стран, что было осуществлено в течение 2003 года.</w:t>
      </w:r>
    </w:p>
    <w:p w:rsidR="00000000" w:rsidRDefault="00000000"/>
    <w:p w:rsidR="00000000" w:rsidRDefault="00000000">
      <w:r>
        <w:t>61.</w:t>
      </w:r>
      <w:r>
        <w:tab/>
        <w:t>В 2004 году Государственный кадровый орган министерства финансов (</w:t>
      </w:r>
      <w:r>
        <w:rPr>
          <w:lang w:val="en-US"/>
        </w:rPr>
        <w:t>Personalestyrelsen</w:t>
      </w:r>
      <w:r>
        <w:t xml:space="preserve"> </w:t>
      </w:r>
      <w:r>
        <w:rPr>
          <w:lang w:val="en-US"/>
        </w:rPr>
        <w:t>Finansministeriet</w:t>
      </w:r>
      <w:r>
        <w:t>) начал программу подготовки так называемых "посланцев этнического равенства".  Четыре сотрудника Управления комиссара национальной полиции прошли эту программу.  Сотрудник по кадрам, занимавшийся набором новых сотрудников полиции, был назначен представителем национальной полиции в рамках этого проекта подготовки посланцев.</w:t>
      </w:r>
    </w:p>
    <w:p w:rsidR="00000000" w:rsidRDefault="00000000"/>
    <w:p w:rsidR="00000000" w:rsidRDefault="00000000">
      <w:pPr>
        <w:rPr>
          <w:b/>
          <w:bCs/>
        </w:rPr>
      </w:pPr>
      <w:r>
        <w:rPr>
          <w:b/>
          <w:bCs/>
        </w:rPr>
        <w:t>Датская иммиграционная служба</w:t>
      </w:r>
    </w:p>
    <w:p w:rsidR="00000000" w:rsidRDefault="00000000">
      <w:pPr>
        <w:rPr>
          <w:b/>
          <w:bCs/>
        </w:rPr>
      </w:pPr>
    </w:p>
    <w:p w:rsidR="00000000" w:rsidRDefault="00000000">
      <w:r>
        <w:t>62.</w:t>
      </w:r>
      <w:r>
        <w:tab/>
        <w:t>Рассмотрение заявления о предоставлении убежища осуществляется на уровне первой инстанции Датской иммиграционной службой на основе, среди прочего, информации, полученной в ходе собеседований с просителями убежища.  Такие собеседования проводятся самой Датской иммигрантской службой.</w:t>
      </w:r>
    </w:p>
    <w:p w:rsidR="00000000" w:rsidRDefault="00000000"/>
    <w:p w:rsidR="00000000" w:rsidRDefault="00000000">
      <w:r>
        <w:t>63.</w:t>
      </w:r>
      <w:r>
        <w:tab/>
        <w:t>По данным Датской иммиграционной службы, с момента подготовки четвертого периодического доклада служба реализовала ряд инициатив, связанных с рассмотрением заявлений о предоставлении убежища, чтобы персонал уделял больше внимания возможным жертвам пыток и был лучше осведомлен об этой категории просителей убежища.  К числу упомянутых инициатив относятся, в частности, следующие:</w:t>
      </w:r>
    </w:p>
    <w:p w:rsidR="00000000" w:rsidRDefault="00000000"/>
    <w:p w:rsidR="00000000" w:rsidRDefault="00000000">
      <w:r>
        <w:tab/>
        <w:t>а)</w:t>
      </w:r>
      <w:r>
        <w:tab/>
        <w:t>все служащие, проводящие собеседования с просителями убежища в рамках процедуры рассмотрения заявлений о предоставлении убежища, проходят тщательную подготовку по методике проведения собеседований.  Такая подготовка предполагает повышение уровня осведомленности сотрудников о различных культурных аспектах и психологических механизмах, включая информацию о том, каким образом лица, подвергавшиеся пыткам, могут реагировать/не реагировать на те или иные ситуации, возникающие в ходе собеседования;</w:t>
      </w:r>
    </w:p>
    <w:p w:rsidR="00000000" w:rsidRDefault="00000000"/>
    <w:p w:rsidR="00000000" w:rsidRDefault="00000000">
      <w:r>
        <w:tab/>
      </w:r>
      <w:r>
        <w:rPr>
          <w:lang w:val="en-US"/>
        </w:rPr>
        <w:t>b</w:t>
      </w:r>
      <w:r>
        <w:t>)</w:t>
      </w:r>
      <w:r>
        <w:tab/>
        <w:t>все сотрудники, ведущие конкретные дела, получают подборку материалов по проблеме пыток.  Эта подборка включает текст руководящих принципов проведения собеседования с потенциальными жертвами пыток, а также текст выборочных решений Комитета против пыток;</w:t>
      </w:r>
    </w:p>
    <w:p w:rsidR="00000000" w:rsidRDefault="00000000"/>
    <w:p w:rsidR="00000000" w:rsidRDefault="00000000">
      <w:r>
        <w:tab/>
        <w:t>с)</w:t>
      </w:r>
      <w:r>
        <w:tab/>
        <w:t>организация по мере необходимости обследований в Институте судебной медицины;</w:t>
      </w:r>
    </w:p>
    <w:p w:rsidR="00000000" w:rsidRDefault="00000000"/>
    <w:p w:rsidR="00000000" w:rsidRDefault="00000000">
      <w:r>
        <w:tab/>
      </w:r>
      <w:r>
        <w:rPr>
          <w:lang w:val="en-US"/>
        </w:rPr>
        <w:t>d</w:t>
      </w:r>
      <w:r>
        <w:t>)</w:t>
      </w:r>
      <w:r>
        <w:tab/>
        <w:t>в 2000 и 2002 годах Иммиграционная служба организовала однодневный тематический семинар по проблеме пыток с участием Института судебной медицины, Университета Южной Дании и Центра по реабилитации жертв пыток и исследованиям в этой области;</w:t>
      </w:r>
    </w:p>
    <w:p w:rsidR="00000000" w:rsidRDefault="00000000">
      <w:pPr>
        <w:ind w:left="1134" w:hanging="1134"/>
      </w:pPr>
    </w:p>
    <w:p w:rsidR="00000000" w:rsidRDefault="00000000">
      <w:r>
        <w:tab/>
      </w:r>
      <w:r>
        <w:rPr>
          <w:lang w:val="en-US"/>
        </w:rPr>
        <w:t>e</w:t>
      </w:r>
      <w:r>
        <w:t>)</w:t>
      </w:r>
      <w:r>
        <w:tab/>
        <w:t>весной 2000 года Иммиграционная служба создала справочную группу по сбору общей информации для ее использования при рассмотрении заявлений о предоставлении убежища.  В состав группы входят представители Датского центра по правам человека, Центра по реабилитации жертв пыток и исследованиям в этой области и Международного совета по реабилитации жертв пыток (МСР) и группа духовенства.  В задачу этой группы входит, в частности, обсуждение вопроса о том, какую информацию следует предоставлять по поводу положения в странах происхождения просителей убежища и т.д.</w:t>
      </w:r>
    </w:p>
    <w:p w:rsidR="00000000" w:rsidRDefault="00000000">
      <w:pPr>
        <w:ind w:left="1134" w:hanging="1134"/>
      </w:pPr>
    </w:p>
    <w:p w:rsidR="00000000" w:rsidRDefault="00000000">
      <w:pPr>
        <w:ind w:left="1134" w:hanging="1134"/>
      </w:pPr>
      <w:r>
        <w:tab/>
      </w:r>
      <w:r>
        <w:rPr>
          <w:lang w:val="en-US"/>
        </w:rPr>
        <w:t>f</w:t>
      </w:r>
      <w:r>
        <w:t>)</w:t>
      </w:r>
      <w:r>
        <w:tab/>
        <w:t>после внесения поправки в пункт 2 статьи 7 закона об иностранцах в 2002 году Датская иммиграционная служба создала специальное подразделение для отслеживания решений Комитета против пыток и Европейского суда по правам человека.  Доклады этого подразделения используются для постоянного обучения сотрудников, ведущих конкретные дела, а также в качестве справочной информации при принятии решений.</w:t>
      </w:r>
    </w:p>
    <w:p w:rsidR="00000000" w:rsidRDefault="00000000">
      <w:pPr>
        <w:ind w:left="1134" w:hanging="1134"/>
      </w:pPr>
    </w:p>
    <w:p w:rsidR="00000000" w:rsidRDefault="00000000">
      <w:r>
        <w:rPr>
          <w:b/>
          <w:bCs/>
        </w:rPr>
        <w:br w:type="page"/>
        <w:t>Совет по делам беженцев</w:t>
      </w:r>
    </w:p>
    <w:p w:rsidR="00000000" w:rsidRDefault="00000000"/>
    <w:p w:rsidR="00000000" w:rsidRDefault="00000000">
      <w:r>
        <w:t>64.</w:t>
      </w:r>
      <w:r>
        <w:tab/>
        <w:t>Просьба справиться со статьями 49-50 четвертого периодического доклада.</w:t>
      </w:r>
    </w:p>
    <w:p w:rsidR="00000000" w:rsidRDefault="00000000"/>
    <w:p w:rsidR="00000000" w:rsidRDefault="00000000">
      <w:r>
        <w:t>65.</w:t>
      </w:r>
      <w:r>
        <w:tab/>
        <w:t>В ежегодном докладе руководства Совета по делам беженцев детально анализируются общие проблемы в сфере законодательства о предоставлении убежища и наиболее показательные из рассмотренных Советом дел.  Так, например, в докладе за 2001 год, который был опубликован в июле 2002 года, один из разделов посвящен рассмотрению Советом случаев применения пыток.</w:t>
      </w:r>
    </w:p>
    <w:p w:rsidR="00000000" w:rsidRDefault="00000000"/>
    <w:p w:rsidR="00000000" w:rsidRDefault="00000000">
      <w:r>
        <w:rPr>
          <w:b/>
          <w:bCs/>
        </w:rPr>
        <w:t>Обучение и исследовательская работа в университетах</w:t>
      </w:r>
    </w:p>
    <w:p w:rsidR="00000000" w:rsidRDefault="00000000"/>
    <w:p w:rsidR="00000000" w:rsidRDefault="00000000">
      <w:r>
        <w:t>66.</w:t>
      </w:r>
      <w:r>
        <w:tab/>
        <w:t>Тема пыток включена в ряд учебных программ университетов по ряду дисциплин, таких, как медицина, психология, психиатрия, юриспруденция, этнография и исследования в области международного развития.  Хотя университеты являются основой обучения по проблематике пыток, в этой связи также широко используется профессиональный и научный состав Центра по реабилитации жертв пыток и исследованиям в этой области (ЦРИ).</w:t>
      </w:r>
    </w:p>
    <w:p w:rsidR="00000000" w:rsidRDefault="00000000"/>
    <w:p w:rsidR="00000000" w:rsidRDefault="00000000">
      <w:r>
        <w:t>67.</w:t>
      </w:r>
      <w:r>
        <w:tab/>
        <w:t>В Копенгагенском университете в предмет "Антропология" включены связанные с пытками темы, зачастую в связи с курсами, посвященными проблемам насилия и конфликта, в которых рассматриваются причины и история применения пыток и организованного насилия.  Кроме того, проводятся занятия в рамках программы доктората по тематике применения пыток, т.е. на основе изложения фактов в соответствующих контекстах.</w:t>
      </w:r>
    </w:p>
    <w:p w:rsidR="00000000" w:rsidRDefault="00000000"/>
    <w:p w:rsidR="00000000" w:rsidRDefault="00000000">
      <w:r>
        <w:t>68.</w:t>
      </w:r>
      <w:r>
        <w:tab/>
        <w:t>Запрет на пытки и дипломатическая деятельность Дании в этой сфере приводятся как примеры при преподавании предметов по программе исследований проблем международного развития Роскилльского университета (РУ).  В Университете часто проводятся учебные консультации по проектам, связанным с вопросами применения пыток, причем часто с привлечением таких дисциплин, как психология, география и коммуникации.</w:t>
      </w:r>
    </w:p>
    <w:p w:rsidR="00000000" w:rsidRDefault="00000000"/>
    <w:p w:rsidR="00000000" w:rsidRDefault="00000000">
      <w:r>
        <w:t>69.</w:t>
      </w:r>
      <w:r>
        <w:tab/>
        <w:t>Студентам-медикам два раза в год предлагаются факультативные курсы и однодневные семинары в ЦРИ под рубрикой "Пытки и профессия медика".</w:t>
      </w:r>
    </w:p>
    <w:p w:rsidR="00000000" w:rsidRDefault="00000000"/>
    <w:p w:rsidR="00000000" w:rsidRDefault="00000000">
      <w:r>
        <w:br w:type="page"/>
        <w:t>70.</w:t>
      </w:r>
      <w:r>
        <w:tab/>
        <w:t>Магистерский курс в области международного здравоохранения Копенгагенского университета включает такие темы, как "Пытки и организованное насилие", "Выявление жертв пыток" и "Реабилитация жертв пыток".  Эти темы изучаются врачами и медицинским персоналом ЦРИ.</w:t>
      </w:r>
    </w:p>
    <w:p w:rsidR="00000000" w:rsidRDefault="00000000"/>
    <w:p w:rsidR="00000000" w:rsidRDefault="00000000">
      <w:r>
        <w:t>71.</w:t>
      </w:r>
      <w:r>
        <w:tab/>
        <w:t>Магистерский курс здравоохранения в Аархуском университете включает такие темы, как предотвращение пыток и лечение жертв пыток.  Эти темы также преподаются врачам ЦРИ.</w:t>
      </w:r>
    </w:p>
    <w:p w:rsidR="00000000" w:rsidRDefault="00000000"/>
    <w:p w:rsidR="00000000" w:rsidRDefault="00000000">
      <w:r>
        <w:t>72.</w:t>
      </w:r>
      <w:r>
        <w:tab/>
        <w:t>В Копенгагенском университете в курсе психологии тема применения пыток ранее фигурировала на временной основе.  Однако разрабатываются планы более формального изучения, начиная с 2002 года, а с осеннего семестра 2004 года эта тема будет составной частью программы на степень бакалавра для всех студентов, изучающих  психологию.</w:t>
      </w:r>
    </w:p>
    <w:p w:rsidR="00000000" w:rsidRDefault="00000000"/>
    <w:p w:rsidR="00000000" w:rsidRDefault="00000000">
      <w:pPr>
        <w:jc w:val="center"/>
      </w:pPr>
      <w:r>
        <w:rPr>
          <w:b/>
          <w:bCs/>
        </w:rPr>
        <w:t>Статья 11</w:t>
      </w:r>
    </w:p>
    <w:p w:rsidR="00000000" w:rsidRDefault="00000000">
      <w:pPr>
        <w:jc w:val="center"/>
      </w:pPr>
    </w:p>
    <w:p w:rsidR="00000000" w:rsidRDefault="00000000">
      <w:pPr>
        <w:rPr>
          <w:b/>
          <w:bCs/>
        </w:rPr>
      </w:pPr>
      <w:r>
        <w:rPr>
          <w:b/>
          <w:bCs/>
        </w:rPr>
        <w:t>Закон о деятельности полиции</w:t>
      </w:r>
    </w:p>
    <w:p w:rsidR="00000000" w:rsidRDefault="00000000">
      <w:pPr>
        <w:rPr>
          <w:b/>
          <w:bCs/>
        </w:rPr>
      </w:pPr>
    </w:p>
    <w:p w:rsidR="00000000" w:rsidRDefault="00000000">
      <w:r>
        <w:t>73.</w:t>
      </w:r>
      <w:r>
        <w:tab/>
        <w:t xml:space="preserve">Как указывалось выше (см. статья 10), 4 февраля 2004 года министр юстиции представил в парламент закон о деятельности полиции.  Новый закон был принят 27 мая и вступит в силу 1 августа 2004 года.  </w:t>
      </w:r>
    </w:p>
    <w:p w:rsidR="00000000" w:rsidRDefault="00000000"/>
    <w:p w:rsidR="00000000" w:rsidRDefault="00000000">
      <w:r>
        <w:t>74.</w:t>
      </w:r>
      <w:r>
        <w:tab/>
        <w:t xml:space="preserve">Закон преследует цель установления всеобъемлющей и современной правовой основы деятельности полиции, включая изложение базовых принципов применения силы в рамках общего поддержания правопорядка.  Новый закон направлен прежде всего на кодификацию ныне действующих нормативных актов.  </w:t>
      </w:r>
    </w:p>
    <w:p w:rsidR="00000000" w:rsidRDefault="00000000"/>
    <w:p w:rsidR="00000000" w:rsidRDefault="00000000">
      <w:r>
        <w:t>75.</w:t>
      </w:r>
      <w:r>
        <w:tab/>
        <w:t>В новом законе указывается общая цель и перечисляются различные задачи полиции.  Он также регулирует вмешательство полиции в случаях, не относящихся к уголовному преследованию.  Он дает четкую юридическую основу для выполнения задач и осуществления вмешательства полиции в сфере общего поддержания правопорядка, особенно в отношении детей, больных и беспомощных, а также нетрезвых лиц.  Закон прямо регулирует вопрос задержания нетрезвых лиц, включая положение о возможной длительности содержания под стражей нетрезвых лиц, не достигших возраста 18 лет.</w:t>
      </w:r>
    </w:p>
    <w:p w:rsidR="00000000" w:rsidRDefault="00000000"/>
    <w:p w:rsidR="00000000" w:rsidRDefault="00000000">
      <w:r>
        <w:br w:type="page"/>
        <w:t>76.</w:t>
      </w:r>
      <w:r>
        <w:tab/>
        <w:t>В законе также определяются те задачи полиции, которые могут требовать применения силы, и излагаются общие и базовые условия применения силы полицией в случаях уголовного преследования, а также в других случаях.  Из закона следует, что применение силы должно быть необходимым, оправданным и соразмерным.  В законе также содержатся довольно подробные положения о применении огнестрельного оружия, полицейских дубинок, служебных собак и газа и устанавливается правовая основа для принятия министерством юстиции новых правил применения силы полицией.</w:t>
      </w:r>
    </w:p>
    <w:p w:rsidR="00000000" w:rsidRDefault="00000000"/>
    <w:p w:rsidR="00000000" w:rsidRDefault="00000000">
      <w:pPr>
        <w:rPr>
          <w:b/>
          <w:bCs/>
        </w:rPr>
      </w:pPr>
      <w:r>
        <w:rPr>
          <w:b/>
          <w:bCs/>
        </w:rPr>
        <w:t>Закон об исполнении наказаний и т.д.</w:t>
      </w:r>
    </w:p>
    <w:p w:rsidR="00000000" w:rsidRDefault="00000000">
      <w:pPr>
        <w:rPr>
          <w:b/>
          <w:bCs/>
        </w:rPr>
      </w:pPr>
    </w:p>
    <w:p w:rsidR="00000000" w:rsidRDefault="00000000">
      <w:r>
        <w:t>77.</w:t>
      </w:r>
      <w:r>
        <w:tab/>
        <w:t>Закон об исполнении наказаний вступил в силу 1 июля 2001 года.  См. дискуссию в связи с этим законом в четвертном периодическом докладе Дании.</w:t>
      </w:r>
    </w:p>
    <w:p w:rsidR="00000000" w:rsidRDefault="00000000"/>
    <w:p w:rsidR="00000000" w:rsidRDefault="00000000">
      <w:pPr>
        <w:rPr>
          <w:b/>
          <w:bCs/>
        </w:rPr>
      </w:pPr>
      <w:r>
        <w:rPr>
          <w:b/>
          <w:bCs/>
        </w:rPr>
        <w:t>Специальные отделения для "трудных" заключенных</w:t>
      </w:r>
    </w:p>
    <w:p w:rsidR="00000000" w:rsidRDefault="00000000">
      <w:pPr>
        <w:rPr>
          <w:b/>
          <w:bCs/>
        </w:rPr>
      </w:pPr>
    </w:p>
    <w:p w:rsidR="00000000" w:rsidRDefault="00000000">
      <w:r>
        <w:t>78.</w:t>
      </w:r>
      <w:r>
        <w:tab/>
        <w:t>После того, как датский парламент принял в 1999 году решение о создании в учреждениях строгого режима трех отделений для "трудных" заключенных, выявилась необходимость принять новые меры в отношении этой группы.  Некоторые заключенные создали негативное отношение к персоналу и оказывали все возрастающее давление на тюремный персонал, в том числе посредством угроз.  Это привело к необходимости расширения возможностей размещения заключенных и создало лучшие возможности для разделения специальных отделений;  также оказалось необходимым повысить подготовку персонала, занимающегося этими особыми заключенными.</w:t>
      </w:r>
    </w:p>
    <w:p w:rsidR="00000000" w:rsidRDefault="00000000"/>
    <w:p w:rsidR="00000000" w:rsidRDefault="00000000">
      <w:r>
        <w:t>79.</w:t>
      </w:r>
      <w:r>
        <w:tab/>
        <w:t>Вследствие серьезных проблем, возникших в одном из отделений, в начале 2003 года было решено создать еще одно отделение в учреждении строгого режима.  В течение 2004 года было также решено создать специальный местный тюремный блок на 25 заключенных в тюрьме Управления полиции, куда заключенные могут переводиться, если в этом возникает необходимость, для предупреждения нападения на персонал/других заключенных.  Предполагается, что это весьма своевременная мера в отношении заключенных, которые ведут себя в агрессивной или угрожающей манере, в существующих государственных тюремных учреждениях для "трудных" заключенных или в местных тюрьмах.  Специальное отделение будет также использоваться для преступников, приговоренных к не менее чем четырем месяцам тюремного заключения, а также для лиц, содержащихся в досудебном заключении.</w:t>
      </w:r>
    </w:p>
    <w:p w:rsidR="00000000" w:rsidRDefault="00000000"/>
    <w:p w:rsidR="00000000" w:rsidRDefault="00000000">
      <w:r>
        <w:br w:type="page"/>
        <w:t>80.</w:t>
      </w:r>
      <w:r>
        <w:tab/>
        <w:t>Возможности общения с другими заключенными будут ограничены, однако можно будет предложить такие возможности главным образом в форме общения в камере, где могут одновременно находиться двое заключенных, и физических упражнений вне камер для нескольких заключенных.  Будут организованы требуемые места отдыха.  Заключенным будет предоставлена возможность работать в камерах.  Таким образом, условия будут одинаковыми с условиями, которые сейчас существуют в ряде местных тюрем или местных тюремных отделениях.</w:t>
      </w:r>
    </w:p>
    <w:p w:rsidR="00000000" w:rsidRDefault="00000000"/>
    <w:p w:rsidR="00000000" w:rsidRDefault="00000000">
      <w:r>
        <w:t>81.</w:t>
      </w:r>
      <w:r>
        <w:tab/>
        <w:t>Для обеспечения лучшего общего наблюдения и удобства также было решено разделить существующие отделения на более мелкие отделения, где это позволяют физические условия.</w:t>
      </w:r>
    </w:p>
    <w:p w:rsidR="00000000" w:rsidRDefault="00000000"/>
    <w:p w:rsidR="00000000" w:rsidRDefault="00000000">
      <w:pPr>
        <w:rPr>
          <w:b/>
          <w:bCs/>
        </w:rPr>
      </w:pPr>
      <w:r>
        <w:rPr>
          <w:b/>
          <w:bCs/>
        </w:rPr>
        <w:t>Применение силы в отношении заключенных</w:t>
      </w:r>
    </w:p>
    <w:p w:rsidR="00000000" w:rsidRDefault="00000000">
      <w:pPr>
        <w:rPr>
          <w:b/>
          <w:bCs/>
        </w:rPr>
      </w:pPr>
    </w:p>
    <w:p w:rsidR="00000000" w:rsidRDefault="00000000">
      <w:r>
        <w:t>82.</w:t>
      </w:r>
      <w:r>
        <w:tab/>
        <w:t>В приложении 3 дается анализ жалоб, направленных заключенными в период 2000</w:t>
      </w:r>
      <w:r>
        <w:noBreakHyphen/>
        <w:t>2004 годов в Управление тюрем и пробации, на неправомерное применение силы и грубые нарушения и т.п. со стороны тюремных сотрудников.  Следует отметить, что жалобы на применение силы сотрудниками тюрьмы первоначально рассматриваются администрацией пенитенциарных учреждений, решение которой могут быть обжалованы в Управлении тюрем и пробации, которое, таким образом, выносит решение в качестве органа второй инстанции.  Управление не располагает информацией о том, какое количество жалоб было удовлетворено самими пенитенциарными учреждениями без обжалования на уровне Управления.</w:t>
      </w:r>
    </w:p>
    <w:p w:rsidR="00000000" w:rsidRDefault="00000000"/>
    <w:p w:rsidR="00000000" w:rsidRDefault="00000000">
      <w:r>
        <w:t>83.</w:t>
      </w:r>
      <w:r>
        <w:tab/>
        <w:t>В приложении 4 приводятся сведения о применении тюремным персоналом наручников, физической силы, полицейских дубинок и газа "Си-эс" в период 1995-2003 годов.  Первые две цифры в приложении 4 показывают общее количество заключенных и степень заполненности камер по сравнению с вместимостью тюрьмы.  Как видно из этих цифр, наблюдается падение общего количества заключенных с 11 220 человек в 1996 году до 8 417 человек в 2003 году.  Однако вследствие более жестких наказаний и больших сроков предварительного заключения заполненность камер поднялась за тот же самый период с 89,8% от вместимости тюрем в 1996 году до 96,5% в 2003 году.  Этим увеличением главным образом и объясняется рост числа дисциплинарных наказаний (см. ниже).</w:t>
      </w:r>
    </w:p>
    <w:p w:rsidR="00000000" w:rsidRDefault="00000000"/>
    <w:p w:rsidR="00000000" w:rsidRDefault="00000000">
      <w:r>
        <w:br w:type="page"/>
        <w:t>84.</w:t>
      </w:r>
      <w:r>
        <w:tab/>
        <w:t>Как видно из приложения 4, количество случаев индивидуального применения наручников значительно возросло с 1999</w:t>
      </w:r>
      <w:r>
        <w:rPr>
          <w:lang w:val="en-US"/>
        </w:rPr>
        <w:t> </w:t>
      </w:r>
      <w:r>
        <w:t xml:space="preserve">года (с 639 случаев в год в 1999 году до 1 700 случаев в год в 2003 году).  Это увеличение частично объясняется как повышением заполненности камер, так и намного более частым применением наручников во время перевозки в целях предотвращения побега.  В 2003 году 91% случаев применения наручников приходится только на период перевозки для предотвращения побега.  </w:t>
      </w:r>
    </w:p>
    <w:p w:rsidR="00000000" w:rsidRDefault="00000000"/>
    <w:p w:rsidR="00000000" w:rsidRDefault="00000000">
      <w:r>
        <w:t>85.</w:t>
      </w:r>
      <w:r>
        <w:tab/>
        <w:t xml:space="preserve">Количество случаев применения физической силы остается на уровне менее 200 в год.  Полицейские дубинки и газ "Си-эс" применяются очень редко.  </w:t>
      </w:r>
    </w:p>
    <w:p w:rsidR="00000000" w:rsidRDefault="00000000"/>
    <w:p w:rsidR="00000000" w:rsidRDefault="00000000">
      <w:pPr>
        <w:rPr>
          <w:b/>
          <w:bCs/>
        </w:rPr>
      </w:pPr>
      <w:r>
        <w:rPr>
          <w:b/>
          <w:bCs/>
        </w:rPr>
        <w:t>Дисциплинарные взыскания, изоляция других заключенных и помещение в камеры строго режима и камеры постоянного наблюдения и т.п.</w:t>
      </w:r>
    </w:p>
    <w:p w:rsidR="00000000" w:rsidRDefault="00000000">
      <w:pPr>
        <w:rPr>
          <w:b/>
          <w:bCs/>
        </w:rPr>
      </w:pPr>
    </w:p>
    <w:p w:rsidR="00000000" w:rsidRDefault="00000000">
      <w:r>
        <w:t>86.</w:t>
      </w:r>
      <w:r>
        <w:tab/>
        <w:t xml:space="preserve">В приложении 5 приводится сведения о дисциплинарных взысканиях и изоляции от других заключенных в 2003 году с указанием причин, а также количество заключенных, помещенных в камеры строго режима и камеры постоянного наблюдения.  </w:t>
      </w:r>
    </w:p>
    <w:p w:rsidR="00000000" w:rsidRDefault="00000000"/>
    <w:p w:rsidR="00000000" w:rsidRDefault="00000000">
      <w:pPr>
        <w:rPr>
          <w:i/>
          <w:iCs/>
        </w:rPr>
      </w:pPr>
      <w:r>
        <w:rPr>
          <w:i/>
          <w:iCs/>
        </w:rPr>
        <w:t>Дисциплинарные взыскания</w:t>
      </w:r>
    </w:p>
    <w:p w:rsidR="00000000" w:rsidRDefault="00000000">
      <w:pPr>
        <w:rPr>
          <w:i/>
          <w:iCs/>
        </w:rPr>
      </w:pPr>
    </w:p>
    <w:p w:rsidR="00000000" w:rsidRDefault="00000000">
      <w:r>
        <w:t>87.</w:t>
      </w:r>
      <w:r>
        <w:tab/>
        <w:t>Заключенные подвергаются дисциплинарному наказанию, если они нарушают правила режима.  К числу таких нарушений относится хранение наркотиков или спиртных напитков, побег и применение насилия или угрозы применения насилия.  В зависимости от характера и степени нарушения наказание может варьироваться от отсроченного штрафа до помещения в штрафной изолятор.  Максимальная сумма штрафа может составлять недельную заработную плату, а максимальный срок содержания в штрафной камере, как правило, не превышает 4 недель.</w:t>
      </w:r>
    </w:p>
    <w:p w:rsidR="00000000" w:rsidRDefault="00000000"/>
    <w:p w:rsidR="00000000" w:rsidRDefault="00000000">
      <w:r>
        <w:t>88.</w:t>
      </w:r>
      <w:r>
        <w:tab/>
        <w:t>Данные за 2000-2001 годы свидетельствуют об уменьшении случаев применения дисциплинарных взысканий.  Однако в 2002 и 2003 годах их число вновь возросло, с 7 827 в 2001 году до 10 541 в 2003 году.  Это увеличение объясняется главным образом намного увеличившейся заполненности камер в последние несколько лет.</w:t>
      </w:r>
    </w:p>
    <w:p w:rsidR="00000000" w:rsidRDefault="00000000"/>
    <w:p w:rsidR="00000000" w:rsidRDefault="00000000">
      <w:r>
        <w:t>89.</w:t>
      </w:r>
      <w:r>
        <w:tab/>
        <w:t>За последние 10 лет число случаев помещения в штрафные изоляторы колебалось в пределах 1 200-1 900 в год.  В 2003 году имело место 1 643 случая помещения в штрафные изоляторы, что на 180 случаев больше, чем в 2002 году, но на 102 случая меньше, чем в 1999 году.  В 2003 году было наложено 8 584 штрафа в качестве дисциплинарного наказания, что составило 81% всех дисциплинарных взысканий.  В 1994 году доля штрафов составляла 78%.</w:t>
      </w:r>
    </w:p>
    <w:p w:rsidR="00000000" w:rsidRDefault="00000000"/>
    <w:p w:rsidR="00000000" w:rsidRDefault="00000000">
      <w:pPr>
        <w:keepNext/>
        <w:rPr>
          <w:i/>
          <w:iCs/>
        </w:rPr>
      </w:pPr>
      <w:r>
        <w:rPr>
          <w:i/>
          <w:iCs/>
        </w:rPr>
        <w:t>Динамика количества дисциплинарных наказаний (1993-2003 годы)</w:t>
      </w:r>
    </w:p>
    <w:p w:rsidR="00000000" w:rsidRDefault="00000000">
      <w:pPr>
        <w:keepNext/>
        <w:rPr>
          <w:i/>
          <w:iCs/>
          <w:sz w:val="16"/>
        </w:rPr>
      </w:pPr>
    </w:p>
    <w:p w:rsidR="00000000" w:rsidRDefault="00000000">
      <w:pPr>
        <w:keepNext/>
        <w:tabs>
          <w:tab w:val="left" w:pos="0"/>
        </w:tabs>
        <w:jc w:val="both"/>
        <w:rPr>
          <w:i/>
        </w:rPr>
      </w:pPr>
      <w:r>
        <w:object w:dxaOrig="8414" w:dyaOrig="5174">
          <v:shape id="_x0000_i1026" type="#_x0000_t75" style="width:420.75pt;height:258.75pt" o:ole="">
            <v:imagedata r:id="rId9" o:title=""/>
          </v:shape>
          <o:OLEObject Type="Embed" ProgID="Excel.Chart.8" ShapeID="_x0000_i1026" DrawAspect="Content" ObjectID="_1392132316" r:id="rId10">
            <o:FieldCodes>\s</o:FieldCodes>
          </o:OLEObject>
        </w:object>
      </w:r>
    </w:p>
    <w:p w:rsidR="00000000" w:rsidRDefault="00000000">
      <w:pPr>
        <w:tabs>
          <w:tab w:val="left" w:pos="567"/>
        </w:tabs>
        <w:jc w:val="both"/>
        <w:rPr>
          <w:i/>
        </w:rPr>
      </w:pPr>
    </w:p>
    <w:p w:rsidR="00000000" w:rsidRDefault="00000000">
      <w:pPr>
        <w:tabs>
          <w:tab w:val="clear" w:pos="6237"/>
          <w:tab w:val="left" w:pos="567"/>
          <w:tab w:val="left" w:pos="4301"/>
          <w:tab w:val="left" w:pos="6732"/>
        </w:tabs>
        <w:jc w:val="both"/>
      </w:pPr>
      <w:r>
        <w:tab/>
        <w:t>..........  Штрафной изолятор</w:t>
      </w:r>
      <w:r>
        <w:tab/>
        <w:t>_________  Штраф</w:t>
      </w:r>
      <w:r>
        <w:tab/>
      </w:r>
      <w:r>
        <w:rPr>
          <w:b/>
          <w:u w:val="thick"/>
        </w:rPr>
        <w:t>_________</w:t>
      </w:r>
      <w:r>
        <w:t xml:space="preserve">  Всего</w:t>
      </w:r>
    </w:p>
    <w:p w:rsidR="00000000" w:rsidRDefault="00000000">
      <w:pPr>
        <w:tabs>
          <w:tab w:val="clear" w:pos="6237"/>
          <w:tab w:val="left" w:pos="567"/>
          <w:tab w:val="left" w:pos="4301"/>
          <w:tab w:val="left" w:pos="6732"/>
        </w:tabs>
        <w:jc w:val="both"/>
        <w:rPr>
          <w:sz w:val="16"/>
        </w:rPr>
      </w:pPr>
    </w:p>
    <w:p w:rsidR="00000000" w:rsidRDefault="00000000">
      <w:r>
        <w:t>90.</w:t>
      </w:r>
      <w:r>
        <w:tab/>
        <w:t>В 2001 году статистические методы подсчета различных видов нарушений, которые могут повлечь за собой дисциплинарные наказания, изменились.  Таким образом, статистическая сводка, приведенная в приложении 5 о нарушениях Уголовного кодекса, теперь содержит разделы "Пронос, хранение или использование наркотиков", "Пронос, хранение или потребление алкоголя" и "Пронос или хранение оружия".  В 2003 году большая часть наказаний относилась к трем категориям, упомянутым выше, причем на пронос, хранение или использование наркотиков приходилось почти 40% всех дисциплинарных взысканий;  за нарушение правил режима и безопасности было вынесено 21% дисциплинарных взысканий.</w:t>
      </w:r>
    </w:p>
    <w:p w:rsidR="00000000" w:rsidRDefault="00000000">
      <w:pPr>
        <w:rPr>
          <w:sz w:val="16"/>
        </w:rPr>
      </w:pPr>
    </w:p>
    <w:p w:rsidR="00000000" w:rsidRDefault="00000000">
      <w:pPr>
        <w:rPr>
          <w:i/>
          <w:iCs/>
        </w:rPr>
      </w:pPr>
      <w:r>
        <w:rPr>
          <w:i/>
          <w:iCs/>
        </w:rPr>
        <w:t>Изоляция от других заключенных (одиночное заключение осужденных)</w:t>
      </w:r>
    </w:p>
    <w:p w:rsidR="00000000" w:rsidRDefault="00000000">
      <w:pPr>
        <w:rPr>
          <w:i/>
          <w:iCs/>
          <w:sz w:val="16"/>
        </w:rPr>
      </w:pPr>
    </w:p>
    <w:p w:rsidR="00000000" w:rsidRDefault="00000000">
      <w:r>
        <w:t>91.</w:t>
      </w:r>
      <w:r>
        <w:tab/>
        <w:t>Пенитенциарная и пробационная служба может принимать решения об изоляции заключенного от других заключенных на определенный срок.  Такая мера может применяться, например, для предотвращения побега или уголовных деяний.  Кроме того, к числу причин можно отнести очевидную нецелесообразность содержания данного заключенного вместе с другими заключенными.  Изоляция в форме одиночного заключения отличается от дисциплинарного наказания своим профилактическим и превентивным характером.  Заключенные помещаются в одиночную камеру в специальном отделении тюрьмы или подвергаются изоляции в собственных камерах.</w:t>
      </w:r>
    </w:p>
    <w:p w:rsidR="00000000" w:rsidRDefault="00000000">
      <w:r>
        <w:rPr>
          <w:i/>
          <w:iCs/>
        </w:rPr>
        <w:t>Динамика количества отбытых наказаний в форме изоляции от других заключенных (1993</w:t>
      </w:r>
      <w:r>
        <w:rPr>
          <w:i/>
          <w:iCs/>
        </w:rPr>
        <w:noBreakHyphen/>
        <w:t>2003 годы)</w:t>
      </w:r>
    </w:p>
    <w:p w:rsidR="00000000" w:rsidRDefault="00000000"/>
    <w:p w:rsidR="00000000" w:rsidRDefault="00000000">
      <w:pPr>
        <w:tabs>
          <w:tab w:val="left" w:pos="567"/>
        </w:tabs>
        <w:jc w:val="both"/>
        <w:rPr>
          <w:i/>
          <w:lang w:val="en-US"/>
        </w:rPr>
      </w:pPr>
      <w:r>
        <w:pict>
          <v:shape id="_x0000_i1027" type="#_x0000_t75" style="width:457.5pt;height:381.75pt" o:allowoverlap="f">
            <v:imagedata r:id="rId11" o:title=""/>
          </v:shape>
        </w:pict>
      </w:r>
    </w:p>
    <w:p w:rsidR="00000000" w:rsidRDefault="00000000">
      <w:pPr>
        <w:tabs>
          <w:tab w:val="left" w:pos="567"/>
        </w:tabs>
        <w:jc w:val="both"/>
        <w:rPr>
          <w:i/>
          <w:lang w:val="en-US"/>
        </w:rPr>
      </w:pPr>
    </w:p>
    <w:p w:rsidR="00000000" w:rsidRDefault="00000000">
      <w:r>
        <w:t>92.</w:t>
      </w:r>
      <w:r>
        <w:tab/>
        <w:t>В 2003 году учреждения Пенитенциарной и пробационной службы приняли решения об изоляции в 672 случаях, что вместе с количеством за 2001 год является самой низкой цифрой за последние десять лет.  Не считая 2002 года, когда эта цифра несколько увеличилась, наблюдается некоторое снижение количества изоляции от других заключенных с 1994 года.  В 2003 году в 65% случаев изоляция была снята в течение семи дней.  В 19 случаях изоляция продолжалась более 28 дней.  Средняя продолжительность заключения на срок более 28 дней равняется 51 дню.  Как и в предыдущие годы, главной причиной изоляции от других заключенных в 2003 году являлось предупреждение уголовных деяний или нецелесообразность дальнейшего общения заключенного с другими заключенными.</w:t>
      </w:r>
    </w:p>
    <w:p w:rsidR="00000000" w:rsidRDefault="00000000"/>
    <w:p w:rsidR="00000000" w:rsidRDefault="00000000">
      <w:r>
        <w:t>93.</w:t>
      </w:r>
      <w:r>
        <w:tab/>
        <w:t>Предусмотрено несколько степеней изоляции от других заключенных.  Например, заключенный может быть изолирован от других заключенных, но все же иметь возможность общаться с заключенным или заключенными, находящимися в той же ситуации.  Пока еще статистических данных на этот счет не имеется.  Однако такие статистические данные в настоящее время собираются и будут готовы летом 2004 года.</w:t>
      </w:r>
    </w:p>
    <w:p w:rsidR="00000000" w:rsidRDefault="00000000"/>
    <w:p w:rsidR="00000000" w:rsidRDefault="00000000">
      <w:pPr>
        <w:rPr>
          <w:i/>
          <w:iCs/>
        </w:rPr>
      </w:pPr>
      <w:r>
        <w:rPr>
          <w:i/>
          <w:iCs/>
        </w:rPr>
        <w:t>Помещение в камеру строгого режима</w:t>
      </w:r>
    </w:p>
    <w:p w:rsidR="00000000" w:rsidRDefault="00000000">
      <w:pPr>
        <w:rPr>
          <w:i/>
          <w:iCs/>
        </w:rPr>
      </w:pPr>
    </w:p>
    <w:p w:rsidR="00000000" w:rsidRDefault="00000000">
      <w:r>
        <w:t>94.</w:t>
      </w:r>
      <w:r>
        <w:tab/>
        <w:t>В большинстве тюрем строгого режима и в больших местных тюрьмах имеются камеры строгого режима.  Использование таких камер может быть продиктовано необходимостью предупреждения непосредственной опасности насилия, пресечения насильственного сопротивления или предупреждения членовредительства или самоубийства.</w:t>
      </w:r>
    </w:p>
    <w:p w:rsidR="00000000" w:rsidRDefault="00000000"/>
    <w:p w:rsidR="00000000" w:rsidRDefault="00000000">
      <w:r>
        <w:t>95.</w:t>
      </w:r>
      <w:r>
        <w:tab/>
        <w:t>В последние 10 лет количество случаев заключения в камеру строгого режима колебалось.  Наименьшая цифра за соответствующий период была зарегистрирована в 1992 году (223), а наибольшая </w:t>
      </w:r>
      <w:r>
        <w:noBreakHyphen/>
        <w:t xml:space="preserve"> в 1995 году (352).  В последние три года количество случаев заключения в такие камеры стабилизировалось.  В 1993 году количество лиц, помещенных в такие камеры, составило 264.  С третьего квартала 1999</w:t>
      </w:r>
      <w:r>
        <w:rPr>
          <w:lang w:val="en-US"/>
        </w:rPr>
        <w:t> </w:t>
      </w:r>
      <w:r>
        <w:t>года применение наручников вместо заключения в камеру строгого режима регистрируется статистической службой по категории случаев заключения в камеру строгого режима.</w:t>
      </w:r>
    </w:p>
    <w:p w:rsidR="00000000" w:rsidRDefault="00000000"/>
    <w:p w:rsidR="00000000" w:rsidRDefault="00000000">
      <w:r>
        <w:t>96.</w:t>
      </w:r>
      <w:r>
        <w:tab/>
        <w:t>С 1992 года регистрируются случаи применения силовых методов удерживания в связи с заключением в камеру строгого режима.  В 2003 году силовая иммобилизация применялась в 77% всех случаев помещения в камеру строгого режима.</w:t>
      </w:r>
    </w:p>
    <w:p w:rsidR="00000000" w:rsidRDefault="00000000"/>
    <w:p w:rsidR="00000000" w:rsidRDefault="00000000"/>
    <w:p w:rsidR="00000000" w:rsidRDefault="00000000">
      <w:pPr>
        <w:keepNext/>
        <w:rPr>
          <w:i/>
          <w:iCs/>
        </w:rPr>
      </w:pPr>
      <w:r>
        <w:rPr>
          <w:i/>
          <w:iCs/>
        </w:rPr>
        <w:t>Динамика случаев отбытого наказания в форме помещения в камеру строгого режима (1993-2003 годы)</w:t>
      </w:r>
    </w:p>
    <w:p w:rsidR="00000000" w:rsidRDefault="00000000">
      <w:pPr>
        <w:keepNext/>
        <w:rPr>
          <w:i/>
          <w:iCs/>
        </w:rPr>
      </w:pPr>
    </w:p>
    <w:p w:rsidR="00000000" w:rsidRDefault="00000000">
      <w:pPr>
        <w:jc w:val="center"/>
      </w:pPr>
      <w:r>
        <w:object w:dxaOrig="8895" w:dyaOrig="4530">
          <v:shape id="_x0000_i1028" type="#_x0000_t75" style="width:444.75pt;height:226.5pt" o:ole="">
            <v:imagedata r:id="rId12" o:title=""/>
          </v:shape>
          <o:OLEObject Type="Embed" ProgID="Excel.Chart.8" ShapeID="_x0000_i1028" DrawAspect="Content" ObjectID="_1392132317" r:id="rId13">
            <o:FieldCodes>\s</o:FieldCodes>
          </o:OLEObject>
        </w:object>
      </w:r>
    </w:p>
    <w:p w:rsidR="00000000" w:rsidRDefault="00000000">
      <w:pPr>
        <w:jc w:val="center"/>
      </w:pPr>
    </w:p>
    <w:p w:rsidR="00000000" w:rsidRDefault="00000000">
      <w:r>
        <w:rPr>
          <w:i/>
          <w:iCs/>
        </w:rPr>
        <w:t>Помещение заключенных в камеры постоянного наблюдения</w:t>
      </w:r>
    </w:p>
    <w:p w:rsidR="00000000" w:rsidRDefault="00000000"/>
    <w:p w:rsidR="00000000" w:rsidRDefault="00000000">
      <w:r>
        <w:t>97.</w:t>
      </w:r>
      <w:r>
        <w:tab/>
        <w:t>Заключенный может быть помещен в камеру постоянного наблюдения для предупреждения причинения злонамеренного ущерба, поддержания порядка и безопасности в учреждении или в тех случаях, когда считается необходимым установить специальное наблюдение, например, при наличии подозрений на употребление наркотиков.</w:t>
      </w:r>
    </w:p>
    <w:p w:rsidR="00000000" w:rsidRDefault="00000000"/>
    <w:p w:rsidR="00000000" w:rsidRDefault="00000000">
      <w:r>
        <w:t>98.</w:t>
      </w:r>
      <w:r>
        <w:tab/>
        <w:t>В последние годы в некоторых пенитенциарных учреждениях камеры строго режима были переоборудованы в камеры постоянного наблюдения, а в ряде тюрем общего режима было решено использовать некоторые камеры одиночного заключения в качестве камер краткосрочного наблюдения.  С учетом этого статистически службы стали регистрировать случаи содержания заключенных в таких камерах по категории содержания в камерах постоянного наблюдения.</w:t>
      </w:r>
    </w:p>
    <w:p w:rsidR="00000000" w:rsidRDefault="00000000"/>
    <w:p w:rsidR="00000000" w:rsidRDefault="00000000">
      <w:r>
        <w:t>99.</w:t>
      </w:r>
      <w:r>
        <w:tab/>
        <w:t>Со второй половины 1994 года статистическими службами для своих целей регистрируются данные о количестве помещения заключенных в камеры постоянного наблюдения.  В 1995 году число таких случаев составило 875, а в 2002 и 2003 годах соответственно 1 004 и 1 108.</w:t>
      </w:r>
    </w:p>
    <w:p w:rsidR="00000000" w:rsidRDefault="00000000"/>
    <w:p w:rsidR="00000000" w:rsidRDefault="00000000">
      <w:pPr>
        <w:keepNext/>
      </w:pPr>
      <w:r>
        <w:rPr>
          <w:i/>
          <w:iCs/>
        </w:rPr>
        <w:t>Помещение заключенных в камеры постоянного наблюдения (1995-2003 годы)</w:t>
      </w:r>
    </w:p>
    <w:p w:rsidR="00000000" w:rsidRDefault="00000000">
      <w:pPr>
        <w:keepNext/>
      </w:pPr>
    </w:p>
    <w:p w:rsidR="00000000" w:rsidRDefault="00000000">
      <w:pPr>
        <w:keepNext/>
      </w:pPr>
      <w:r>
        <w:rPr>
          <w:i/>
          <w:iCs/>
        </w:rPr>
        <w:t>Динамика случаев отбытого наказания в форме помещения в камеру постоянного наблюдения</w:t>
      </w:r>
    </w:p>
    <w:p w:rsidR="00000000" w:rsidRDefault="00000000">
      <w:pPr>
        <w:keepNext/>
      </w:pPr>
    </w:p>
    <w:bookmarkStart w:id="3" w:name="_MON_1192433436"/>
    <w:bookmarkStart w:id="4" w:name="_MON_1192433510"/>
    <w:bookmarkStart w:id="5" w:name="_MON_1192433536"/>
    <w:bookmarkEnd w:id="3"/>
    <w:bookmarkEnd w:id="4"/>
    <w:bookmarkEnd w:id="5"/>
    <w:p w:rsidR="00000000" w:rsidRDefault="00000000">
      <w:pPr>
        <w:jc w:val="center"/>
      </w:pPr>
      <w:r>
        <w:object w:dxaOrig="7369" w:dyaOrig="4522">
          <v:shape id="_x0000_i1029" type="#_x0000_t75" style="width:368.25pt;height:225.75pt" o:ole="">
            <v:imagedata r:id="rId14" o:title=""/>
          </v:shape>
          <o:OLEObject Type="Embed" ProgID="Word.Picture.8" ShapeID="_x0000_i1029" DrawAspect="Content" ObjectID="_1392132318" r:id="rId15"/>
        </w:object>
      </w:r>
    </w:p>
    <w:p w:rsidR="00000000" w:rsidRDefault="00000000">
      <w:r>
        <w:rPr>
          <w:b/>
          <w:bCs/>
        </w:rPr>
        <w:t>Восстание в государственной тюрьме Ниборга</w:t>
      </w:r>
    </w:p>
    <w:p w:rsidR="00000000" w:rsidRDefault="00000000"/>
    <w:p w:rsidR="00000000" w:rsidRDefault="00000000">
      <w:r>
        <w:t>100.</w:t>
      </w:r>
      <w:r>
        <w:tab/>
        <w:t>15 февраля 2004 года в государственной тюрьме Ниборга произошли насильственные беспорядки.  Около 100 заключенных забаррикадировались внутри тюрьмы и затем злонамеренно причинили значительный ущерб.  Бунт закончился через два часа после того, как все заключенные были заперты в свои камеры.  Во время этого инцидента никто из тюремного персонала или заключенных не пострадал.  В целях избежания новых инцидентов все заключенные содержались запертыми в своих камерах в течение двух дней.  Затем заключенные, участвовавшие в инциденте, были переведены на обычный режим.  Условия содержания других заключенных были постепенно нормализованы, и процесс нормализации закончился в течение мая 2004 года.</w:t>
      </w:r>
    </w:p>
    <w:p w:rsidR="00000000" w:rsidRDefault="00000000"/>
    <w:p w:rsidR="00000000" w:rsidRDefault="00000000">
      <w:r>
        <w:rPr>
          <w:b/>
          <w:bCs/>
        </w:rPr>
        <w:t>Пояс с наручниками для транспортировки</w:t>
      </w:r>
    </w:p>
    <w:p w:rsidR="00000000" w:rsidRDefault="00000000"/>
    <w:p w:rsidR="00000000" w:rsidRDefault="00000000">
      <w:r>
        <w:t>101.</w:t>
      </w:r>
      <w:r>
        <w:tab/>
        <w:t>После успешного испытания пояса с наручниками для транспортировки циркуляром от 28 мая 2001 года Служба тюрем и пробации утвердила пояс для транспортировки в качестве альтернативы наручникам.  Пояс с наручниками для транспортировки легче переносится заключенным и применяется, например, во время длительных поездок на автомобиле или для транспортировки заболевших заключенных, когда представляется необходимым применить более мягкие средства удерживания.  Пояс с наручниками для транспортировки не так надежен, как обычные наручники, и поэтому не применяется, если делается вывод о его недостаточности в качестве средства удерживания в случаях, когда применение наручников разрешено соответствующими действующими инструкциями.</w:t>
      </w:r>
    </w:p>
    <w:p w:rsidR="00000000" w:rsidRDefault="00000000"/>
    <w:p w:rsidR="00000000" w:rsidRDefault="00000000">
      <w:r>
        <w:rPr>
          <w:b/>
          <w:bCs/>
        </w:rPr>
        <w:t>Новые правила наложения дисциплинарных взысканий</w:t>
      </w:r>
    </w:p>
    <w:p w:rsidR="00000000" w:rsidRDefault="00000000"/>
    <w:p w:rsidR="00000000" w:rsidRDefault="00000000">
      <w:r>
        <w:t>102.</w:t>
      </w:r>
      <w:r>
        <w:tab/>
        <w:t>26 февраля 2004 года правительство внесло законопроект № 175 о внесении поправок в закон об эйфориантах и закон об исполнении приговоров.  Законопроект позволит делать общие анализы мочи заключенных в учреждениях пенитенциарной и пробационной службы для контроля за злоупотреблениями незаконными эйфориантами или другими незаконными препаратами.</w:t>
      </w:r>
    </w:p>
    <w:p w:rsidR="00000000" w:rsidRDefault="00000000"/>
    <w:p w:rsidR="00000000" w:rsidRDefault="00000000">
      <w:r>
        <w:t>103.</w:t>
      </w:r>
      <w:r>
        <w:tab/>
        <w:t>В соответствии с предложенным положением от заключенного можно потребовать сдать анализ мочи без какого-либо конкретного подозрения в злоупотреблении.  Это положение может также быть применимо к большой группе заключенных, например, все заключенные одного или более учреждений или отделений могут быть направлены для сдачи анализа мочи.</w:t>
      </w:r>
    </w:p>
    <w:p w:rsidR="00000000" w:rsidRDefault="00000000"/>
    <w:p w:rsidR="00000000" w:rsidRDefault="00000000">
      <w:r>
        <w:t>104.</w:t>
      </w:r>
      <w:r>
        <w:tab/>
        <w:t>Цель данного положения состоит в усилении контроля за незаконным проносом незаконных препаратов и торговлей ими, а также их употреблением в тюремных заведениях.  Такой усиленный контроль направлен на недопущение некоторых негативных воздействий лекарств и другого злоупотребления, которые несовместимы с отбытием наказания, включая климат насилия и угроз в отношении тюремного персонала и между самими заключенными.</w:t>
      </w:r>
    </w:p>
    <w:p w:rsidR="00000000" w:rsidRDefault="00000000"/>
    <w:p w:rsidR="00000000" w:rsidRDefault="00000000">
      <w:r>
        <w:t>105.</w:t>
      </w:r>
      <w:r>
        <w:tab/>
        <w:t xml:space="preserve">Право предписывать сдачу анализа мочи прямо санкционируется предложенным законопроектом, и оно ограничивается взятием анализа мочи в целях контроля за наркотиками и другими злоупотреблениями.  Для взятия анализа мочи должна быть объективная причина, и анализ должен проводиться по возможности в максимально гуманных условиях.  </w:t>
      </w:r>
    </w:p>
    <w:p w:rsidR="00000000" w:rsidRDefault="00000000"/>
    <w:p w:rsidR="00000000" w:rsidRDefault="00000000">
      <w:r>
        <w:t>106.</w:t>
      </w:r>
      <w:r>
        <w:tab/>
        <w:t>Сдача анализа мочи посредством физического принуждения (через катетер) не предусматривается, и единственный элемент принуждения здесь состоит в том, что отказ от сдачи анализа мочи может повлечь за собой дисциплинарное взыскание.  Цель заключается в обеспечении того, чтобы отказ от сдачи анализа мочи был наказуем той же санкцией, что и в случае, когда анализ мочи заключенного показывает, что он употреблял незаконные препараты.  Таким образом, будет невозможно избежать дисциплинарного наказания в случае отказа от добровольной сдачи анализа мочи.</w:t>
      </w:r>
    </w:p>
    <w:p w:rsidR="00000000" w:rsidRDefault="00000000"/>
    <w:p w:rsidR="00000000" w:rsidRDefault="00000000">
      <w:pPr>
        <w:rPr>
          <w:b/>
          <w:bCs/>
        </w:rPr>
      </w:pPr>
      <w:r>
        <w:t>107.</w:t>
      </w:r>
      <w:r>
        <w:tab/>
        <w:t xml:space="preserve">Как предусматривается в законопроекте, более подробные указания о его осуществлении будут изложены в административных правилах. </w:t>
      </w:r>
    </w:p>
    <w:p w:rsidR="00000000" w:rsidRDefault="00000000">
      <w:pPr>
        <w:rPr>
          <w:b/>
          <w:bCs/>
        </w:rPr>
      </w:pPr>
    </w:p>
    <w:p w:rsidR="00000000" w:rsidRDefault="00000000">
      <w:r>
        <w:rPr>
          <w:b/>
          <w:bCs/>
        </w:rPr>
        <w:t>Новые правила изоляции от других заключенных</w:t>
      </w:r>
    </w:p>
    <w:p w:rsidR="00000000" w:rsidRDefault="00000000"/>
    <w:p w:rsidR="00000000" w:rsidRDefault="00000000">
      <w:r>
        <w:t>108.</w:t>
      </w:r>
      <w:r>
        <w:tab/>
        <w:t>15 августа 2003 года вступило в силу новое распоряжение об обращении с заключенными, изолированными от общения по соображениям поддержания порядка и безопасности.  Это распоряжение является результатом деятельности Рабочей группы, созданной Управлением тюрем и пробации в марте 2001 года.  Рабочей группе пришлось учитывать степень влияния такой поправки к правилам досудебного содержания в одиночном заключении на правила принудительного одиночного заключения осужденных преступников.</w:t>
      </w:r>
    </w:p>
    <w:p w:rsidR="00000000" w:rsidRDefault="00000000"/>
    <w:p w:rsidR="00000000" w:rsidRDefault="00000000">
      <w:r>
        <w:t>109.</w:t>
      </w:r>
      <w:r>
        <w:tab/>
        <w:t>Рабочая группа сделала вывод о том, что возможность общения с другими заключенными имеет большое значение для заключенных, которые были принудительно изолированы от других заключенных в течение более двух недель.  По этой причине пенитенциарные учреждения должны тщательно взвешивать в каждом случае, нельзя ли принудительную изоляцию в течение более двух недель сочетать с возможностью общения с одним или более заключенными.</w:t>
      </w:r>
    </w:p>
    <w:p w:rsidR="00000000" w:rsidRDefault="00000000"/>
    <w:p w:rsidR="00000000" w:rsidRDefault="00000000">
      <w:r>
        <w:t>110.</w:t>
      </w:r>
      <w:r>
        <w:tab/>
        <w:t>По истечении двухнедельной изоляции тюремный персонал должен быть особенно внимательным к таким заключенным.  Сюда входит рассмотрение возможности предоставления заключенному работы вместе с другими заключенными или работы в специально оборудованных помещениях, индивидуального обучения или проведения досуга вместе с персоналом.  Следует также рассмотреть целесообразность организации беседы со священником, врачом или психологом.</w:t>
      </w:r>
    </w:p>
    <w:p w:rsidR="00000000" w:rsidRDefault="00000000"/>
    <w:p w:rsidR="00000000" w:rsidRDefault="00000000">
      <w:r>
        <w:t>111.</w:t>
      </w:r>
      <w:r>
        <w:tab/>
        <w:t>Рабочая группа подготовила специальные рекомендации в отношении заключенных, которые были принудительно изолированы от других заключенных в течение более трех месяцев.</w:t>
      </w:r>
    </w:p>
    <w:p w:rsidR="00000000" w:rsidRDefault="00000000"/>
    <w:p w:rsidR="00000000" w:rsidRDefault="00000000">
      <w:r>
        <w:br w:type="page"/>
        <w:t>112.</w:t>
      </w:r>
      <w:r>
        <w:tab/>
        <w:t>Рабочая группа пришла к выводу, что наиболее целесообразным режимом для заключенных, изолированных на длительный период, является создание небольших отделений высокой степени безопасности (на 4-8 человек), обеспеченных надежной физической безопасностью и т.п., что позволяет допускать высокую степень свободы действий внутри отделения.  Управление тюрем и пробации согласилось с этим.  Чтобы в максимальной степени ограничить применение полной изоляции, такое отделение высокой степени безопасности было создано в государственной тюрьме "Вридслоселилле" на 14 заключенных, а 1 февраля 2002 года аналогичное отделение на шесть заключенных было создано в государственной тюрьме Ниборга.</w:t>
      </w:r>
    </w:p>
    <w:p w:rsidR="00000000" w:rsidRDefault="00000000"/>
    <w:p w:rsidR="00000000" w:rsidRDefault="00000000">
      <w:r>
        <w:t>113.</w:t>
      </w:r>
      <w:r>
        <w:tab/>
        <w:t xml:space="preserve">В результате создания этих отделений стало возможным приостановить применение изоляции на весьма длительное время к заключенным, считавшимся Пенитенциарной службой весьма опасными или представляющими крайне высокую степень риска побега.  Более того, в результате создания этих отделений в будущем можно будет ограничить применение изоляции на длительное время.  </w:t>
      </w:r>
    </w:p>
    <w:p w:rsidR="00000000" w:rsidRDefault="00000000"/>
    <w:p w:rsidR="00000000" w:rsidRDefault="00000000">
      <w:r>
        <w:t>114.</w:t>
      </w:r>
      <w:r>
        <w:tab/>
        <w:t>Несколько отдельных блоков с высокой степенью безопасности также могут быть предусмотрены в новой строящейся тюрьме на замену государственной тюрьмы в Хорсенсе.</w:t>
      </w:r>
    </w:p>
    <w:p w:rsidR="00000000" w:rsidRDefault="00000000"/>
    <w:p w:rsidR="00000000" w:rsidRDefault="00000000">
      <w:r>
        <w:t>115.</w:t>
      </w:r>
      <w:r>
        <w:tab/>
        <w:t>Упомянутая выше рабочая группа также рекомендовала, чтобы заключенные, изолируемые от общения более чем на три месяца с другими заключенными, должны помещаться в особенно хорошо оснащенные камеры с компьютером для пользования в камере и предоставлением права на более частые свидания.</w:t>
      </w:r>
    </w:p>
    <w:p w:rsidR="00000000" w:rsidRDefault="00000000"/>
    <w:p w:rsidR="00000000" w:rsidRDefault="00000000">
      <w:r>
        <w:t>116.</w:t>
      </w:r>
      <w:r>
        <w:tab/>
        <w:t>В результате рекомендаций этой рабочей группы новое распоряжение об изоляции от других заключенных вступило в силу 15 августа 2003 года.  Были дополнены правила о принудительной изоляции от других заключенных на срок более двух недель и о принудительной изоляции от других заключенных на срок более трех месяцев.  Эти правила соответствуют рекомендациям рабочей группы.</w:t>
      </w:r>
    </w:p>
    <w:p w:rsidR="00000000" w:rsidRDefault="00000000"/>
    <w:p w:rsidR="00000000" w:rsidRDefault="00000000">
      <w:pPr>
        <w:rPr>
          <w:b/>
          <w:bCs/>
        </w:rPr>
      </w:pPr>
      <w:r>
        <w:rPr>
          <w:b/>
          <w:bCs/>
        </w:rPr>
        <w:t>Инициативы в отношении персонала учреждений Пенитенциарной и пробационной службы</w:t>
      </w:r>
    </w:p>
    <w:p w:rsidR="00000000" w:rsidRDefault="00000000">
      <w:pPr>
        <w:rPr>
          <w:b/>
          <w:bCs/>
        </w:rPr>
      </w:pPr>
    </w:p>
    <w:p w:rsidR="00000000" w:rsidRDefault="00000000">
      <w:r>
        <w:t>117.</w:t>
      </w:r>
      <w:r>
        <w:tab/>
        <w:t>Сотрудники персонала пенитенциарных учреждений на регулярной основе обучаются навыкам психологической разгрузки в стрессовых ситуациях.  Такая помощь нужна в ситуациях, когда сотрудники пережили ситуации, связанные с насилием, подвергались угрозам и т.п.  Подготовка включает в себя двухдневный курс плюс ежегодный курс совершенствования продолжительностью в один день.  Целевой группой в данных случаях является персонал как государственных, так и местных тюрем, а также реабилитационно-исправительных заведений.  К настоящему времени Пенитенциарная и пробационная служба подготовила 223 инструктора по стрессовой разгрузке.</w:t>
      </w:r>
    </w:p>
    <w:p w:rsidR="00000000" w:rsidRDefault="00000000"/>
    <w:p w:rsidR="00000000" w:rsidRDefault="00000000">
      <w:r>
        <w:t>118.</w:t>
      </w:r>
      <w:r>
        <w:tab/>
        <w:t>Пенитенциарная и пробационная служба заключила также соглашение с Психиатрической корпорацией северных стран (ПК</w:t>
      </w:r>
      <w:r>
        <w:rPr>
          <w:lang w:val="en-US"/>
        </w:rPr>
        <w:t>C</w:t>
      </w:r>
      <w:r>
        <w:t>).  ПК</w:t>
      </w:r>
      <w:r>
        <w:rPr>
          <w:lang w:val="en-US"/>
        </w:rPr>
        <w:t>C</w:t>
      </w:r>
      <w:r>
        <w:t xml:space="preserve"> обеспечивает анонимную и бесплатную помощь в кризисных ситуациях как персоналу пенитенциарных учреждений, так и их близким родственникам, например в случае проблем, связанных с работой или семьей.  </w:t>
      </w:r>
    </w:p>
    <w:p w:rsidR="00000000" w:rsidRDefault="00000000"/>
    <w:p w:rsidR="00000000" w:rsidRDefault="00000000">
      <w:r>
        <w:t>119.</w:t>
      </w:r>
      <w:r>
        <w:tab/>
        <w:t>Проект подготовки инструкторов по стрессовой разгрузке и ПКС были успешно включены в качестве приемлемых и используемых элементов системы кризисного реагирования Пенитенциарной и пробационной службы, и оба проекта выполняются без каких-либо затруднений.</w:t>
      </w:r>
    </w:p>
    <w:p w:rsidR="00000000" w:rsidRDefault="00000000"/>
    <w:p w:rsidR="00000000" w:rsidRDefault="00000000">
      <w:pPr>
        <w:rPr>
          <w:b/>
          <w:bCs/>
        </w:rPr>
      </w:pPr>
      <w:r>
        <w:rPr>
          <w:b/>
          <w:bCs/>
        </w:rPr>
        <w:t>Изучение рабочего климата среди персонала</w:t>
      </w:r>
    </w:p>
    <w:p w:rsidR="00000000" w:rsidRDefault="00000000">
      <w:pPr>
        <w:rPr>
          <w:b/>
          <w:bCs/>
        </w:rPr>
      </w:pPr>
    </w:p>
    <w:p w:rsidR="00000000" w:rsidRDefault="00000000">
      <w:r>
        <w:t>120.</w:t>
      </w:r>
      <w:r>
        <w:tab/>
        <w:t>В 2001 году Пенитенциарная и пробационная служба провела среди персонала исследование мотивации и причин удовлетворения - так называемые "исследования рабочего климата".  Исследование рабочего климата показало, что каждый третий сотрудник ощущал психологический стресс.  Однако среди факторов, вызывавших негативное настроение, были монотонность работы, отсутствие личного и профессионального роста и разочарование скорее руководством, чем психологической рабочей обстановкой.  Одним из наиболее позитивных выводов этого исследования было то, что каждые трое из четырех служащих испытывали желание лучшего применения своих способностей на работе.  В сферу интересов персонала входили новые и более перспективные области работы.</w:t>
      </w:r>
    </w:p>
    <w:p w:rsidR="00000000" w:rsidRDefault="00000000"/>
    <w:p w:rsidR="00000000" w:rsidRDefault="00000000">
      <w:r>
        <w:t>121.</w:t>
      </w:r>
      <w:r>
        <w:tab/>
        <w:t>Во все учреждения была направлена просьба представить к 1 апреля 2002 года план действий по налаживанию постоянной работы по итогам "исследования рабочего климата".  Учреждения очень серьезно отнеслись к подготовке планов действий, и Управление тюрем и пробации препровождало отдельные полученные соображения в каждое учреждение, занимавшееся подготовкой планов действий.  Наряду с полученными соображениями Управление направляло предложения и идеи в отношении будущей работы.  Проведение нового мероприятия по итогам "исследования рабочего климата" было включено в качестве производственной цели в договоры, заключаемые тюрьмами, на 2002 и 2003 годы.  В июле 2003 года всем учреждениям был направлен перечень примеров и предложений относительно будущей работы в этой области.</w:t>
      </w:r>
    </w:p>
    <w:p w:rsidR="00000000" w:rsidRDefault="00000000"/>
    <w:p w:rsidR="00000000" w:rsidRDefault="00000000">
      <w:r>
        <w:t>122.</w:t>
      </w:r>
      <w:r>
        <w:tab/>
        <w:t>Ожидается, что проведение нового "исследования рабочего климата" состоится в 2005 году.</w:t>
      </w:r>
    </w:p>
    <w:p w:rsidR="00000000" w:rsidRDefault="00000000"/>
    <w:p w:rsidR="00000000" w:rsidRDefault="00000000">
      <w:r>
        <w:t>123.</w:t>
      </w:r>
      <w:r>
        <w:tab/>
        <w:t>Пенитенциарная и пробационная служба предложила следующие инициативы для улучшения рабочей обстановки и сокращения потерь рабочего времени по болезни.</w:t>
      </w:r>
    </w:p>
    <w:p w:rsidR="00000000" w:rsidRDefault="00000000"/>
    <w:p w:rsidR="00000000" w:rsidRDefault="00000000">
      <w:r>
        <w:t>124.</w:t>
      </w:r>
      <w:r>
        <w:tab/>
        <w:t>Весной 2003 года была подготовлена записка по вопросу о потерях рабочего времени по болезни, которая была разослана руководству каждого пенитенциарного учреждения.  Она была направлена на то, чтобы побудить местное руководство к обсуждению и реализации в благожелательном и конструктивном ключе мер, призванных уменьшить потери рабочего времени по болезни.  Цель заключалась в том, чтобы дать возможность руководству на местах решать проблему потери рабочего времени по болезни быстро и адекватно.  Управление тюрем и пробации имеет в виду отслеживать работу учреждений по сокращению количества таких потерь, и вопрос о сокращении потерь рабочего времени был включен в качестве критерия эффективности в договоры, заключаемые тюрьмами на 2003 год.</w:t>
      </w:r>
    </w:p>
    <w:p w:rsidR="00000000" w:rsidRDefault="00000000"/>
    <w:p w:rsidR="00000000" w:rsidRDefault="00000000">
      <w:r>
        <w:t>125.</w:t>
      </w:r>
      <w:r>
        <w:tab/>
        <w:t>В сотрудничестве с Государственным центром компетенции и повышения качества Пенитенциарная и пробационная служба завершила подготовку рассчитанной на несколько лет программы совершенствования руководства "Руководство в процессе роста".  Эта программа охватывает 170 руководителей Пенитенциарной и пробационной службы, и главное внимание уделяется в ней методам содействия отдельному менеджеру в управлении общим процессом перестройки, происходящим при внедрении новых организационных и управленческих структур, новой модели управления, новых инициатив в сфере обращения, многих проектов в области информационной технологии и т.д., поставленных в качестве целей в долгосрочном политическом соглашении и контракте по вопросам эффективности на 1999-2003 годы.</w:t>
      </w:r>
    </w:p>
    <w:p w:rsidR="00000000" w:rsidRDefault="00000000"/>
    <w:p w:rsidR="00000000" w:rsidRDefault="00000000">
      <w:r>
        <w:t>126.</w:t>
      </w:r>
      <w:r>
        <w:tab/>
        <w:t>В августе 2002 года была назначена рабочая группа, которой было поручено предпринять активные усилия для сокращения количества случаев насилия и угроз в отношении пенитенциарного персонала.  Рабочая группа должна была развить далее доклады о насилии и угрозах и привести их в соответствие с системой обеспечения качества, а также рассмотреть вопрос о том, как минимизировать количество инцидентов.  Рабочая группа представила свои рекомендации в марте 2003 года, причем в одной из них предлагалось ввести новую систему регистрации.  Новая система регистрации была введена 1 января 2004 года.  Имеется в виду, что дальнейшие инициативы будут предприняты в 2004 году.</w:t>
      </w:r>
    </w:p>
    <w:p w:rsidR="00000000" w:rsidRDefault="00000000"/>
    <w:p w:rsidR="00000000" w:rsidRDefault="00000000">
      <w:r>
        <w:t>127.</w:t>
      </w:r>
      <w:r>
        <w:tab/>
        <w:t>Пенитенциарная и пробационная служба получила дополнительное финансирование в объеме 5 млн. датских крон, предназначенные для улучшения условий работы тюремного персонала.  Эти средства предназначены, в частности, для финансирования проектов улучшения психологической обстановки на работе и сокращения потерь рабочего времени по болезни.</w:t>
      </w:r>
    </w:p>
    <w:p w:rsidR="00000000" w:rsidRDefault="00000000"/>
    <w:p w:rsidR="00000000" w:rsidRDefault="00000000">
      <w:r>
        <w:t>128.</w:t>
      </w:r>
      <w:r>
        <w:tab/>
        <w:t>В сотрудничестве с Государственным центром компетенции и повышения качества Пенитенциарная и пробационная служба начала осуществление экспериментального проекта по повышению профессиональной компетенции 26 из своих пенитенциарных учреждений.  Цель проекта - оказать учреждениям содействие в проведении систематической и стратегической работы по повышению профессионального уровня сотрудников пенитенциарных учреждений.  Исследования, проведенные Государственным центром компетенции и повышения качества, а также исследование рабочего климата показывают, что сотрудники Пенитенциарной и пробационной службы хотят иметь возможность повышать свой профессиональный уровень.</w:t>
      </w:r>
    </w:p>
    <w:p w:rsidR="00000000" w:rsidRDefault="00000000"/>
    <w:p w:rsidR="00000000" w:rsidRDefault="00000000">
      <w:pPr>
        <w:rPr>
          <w:b/>
          <w:bCs/>
        </w:rPr>
      </w:pPr>
      <w:r>
        <w:rPr>
          <w:b/>
          <w:bCs/>
        </w:rPr>
        <w:t>Проект подготовительных групп</w:t>
      </w:r>
    </w:p>
    <w:p w:rsidR="00000000" w:rsidRDefault="00000000">
      <w:pPr>
        <w:rPr>
          <w:b/>
          <w:bCs/>
        </w:rPr>
      </w:pPr>
    </w:p>
    <w:p w:rsidR="00000000" w:rsidRDefault="00000000">
      <w:r>
        <w:t>129.</w:t>
      </w:r>
      <w:r>
        <w:tab/>
        <w:t>Как упоминалось в четвертом периодическом докладе, Пенитенциарная и пробационная служба начала осуществление "проекта подготовительных групп" в целях расширения найма в пенитенциарную систему персонала из числа представителей различных культур.  Первая подготовительная группа закончила обучение в 2001 году, и новая группа начала занятия весной 2002 года.  Третья подготовительная группа начала занятия осенью 2003 года.</w:t>
      </w:r>
    </w:p>
    <w:p w:rsidR="00000000" w:rsidRDefault="00000000"/>
    <w:p w:rsidR="00000000" w:rsidRDefault="00000000">
      <w:pPr>
        <w:rPr>
          <w:b/>
          <w:bCs/>
        </w:rPr>
      </w:pPr>
      <w:r>
        <w:rPr>
          <w:b/>
          <w:bCs/>
        </w:rPr>
        <w:t>Применение силы при психиатрическом лечении</w:t>
      </w:r>
    </w:p>
    <w:p w:rsidR="00000000" w:rsidRDefault="00000000">
      <w:pPr>
        <w:rPr>
          <w:b/>
          <w:bCs/>
        </w:rPr>
      </w:pPr>
    </w:p>
    <w:p w:rsidR="00000000" w:rsidRDefault="00000000">
      <w:r>
        <w:t>130.</w:t>
      </w:r>
      <w:r>
        <w:tab/>
        <w:t>В датский закон о психиатрическом лечении были внесены поправки на основании закона № 377 от 6 июня 2002 года.  Они касались только одного подразделения, а именно отделения безопасности Психиатрического центра больницы Западной Зеландии.  В исключительных случаях, когда менее радикальные меры признаются неадекватными, министр юстиции уполномочен принять решение о помещении лица, психического нездорового и постоянно создающего своими действиями серьезную или непосредственную опасность жизни или неприкосновенности других людей, под надзор в это отделение.  В результате изменений в законе 6 июня 2002 года стало возможным при строго определенных условиях запирать на замок палаты пациентов в режимном отделении в интересах безопасности или лечения.  Такое решение должен принимать врач.</w:t>
      </w:r>
    </w:p>
    <w:p w:rsidR="00000000" w:rsidRDefault="00000000"/>
    <w:p w:rsidR="00000000" w:rsidRDefault="00000000">
      <w:r>
        <w:t>131.</w:t>
      </w:r>
      <w:r>
        <w:tab/>
        <w:t>Были внесены поправки (законом № 858 от 21 октября 2003 года) в сводный закон о консультантах пациентов с целью увеличения гонораров, выплачиваемых консультантам пациентов.  Консультанты автоматически назначаются в качестве советников каждому лицу, подвергаемому принудительному помещению, принудительному удержанию или принудительному лечению.  Работа консультанта пациента состоит в ориентировании и консультировании пациента по всем вопросам, касающимся помещения, удержания и лечения в психиатрической палате.  Консультант пациента также помогает пациенту подавать любые жалобы и добиваться их рассмотрения.</w:t>
      </w:r>
    </w:p>
    <w:p w:rsidR="00000000" w:rsidRDefault="00000000"/>
    <w:p w:rsidR="00000000" w:rsidRDefault="00000000">
      <w:r>
        <w:t>132.</w:t>
      </w:r>
      <w:r>
        <w:tab/>
        <w:t>Были внесены поправки в Сводный закон о принудительном лечении, иммобилизации, средствах удерживания и т.п. в психиатрических заведениях (Сводный закон № 194 от 23 марта 2004 года).  Соответствующие управления должны сообщать национальному Совету по вопросам здравоохранения о масштабе применения принудительных мер.  Совет по вопросам здравоохранения готовит ежегодные статистические данные в этой области.  С учетом того, что информация теперь может передаваться в электронном виде, представление сведений в электронном виде будет обязательным.  Представление сведений в электронном виде позволит намного быстрее собирать статистические данные о применении принудительных мер, и это улучшит одно из средств, применяемых в качестве основы для текущего процесса общего развития психиатрии.</w:t>
      </w:r>
    </w:p>
    <w:p w:rsidR="00000000" w:rsidRDefault="00000000"/>
    <w:p w:rsidR="00000000" w:rsidRDefault="00000000">
      <w:r>
        <w:t>133.</w:t>
      </w:r>
      <w:r>
        <w:tab/>
        <w:t>В закон о психиатрии Дании запланировано внести изменения в 2005/2006 парламентском году.  Подготовка к внесению изменений организована на основе двойной процедуры.  Поправки к закону о психиатрии, которые вступили в силу 1 января 1999</w:t>
      </w:r>
      <w:r>
        <w:rPr>
          <w:lang w:val="en-US"/>
        </w:rPr>
        <w:t> </w:t>
      </w:r>
      <w:r>
        <w:t>года, должны быть скрупулезно изучены независимым научно-исследовательским институтом.  Кроме того, министерство внутренних дел и здравоохранения направило в прошлом году этот закон на рассмотрение заинтересованным сторонам в области психиатрии, в частности организациям, пациентам и их родственникам.  На основе полученных ответов, будут определены темы для последующего рассмотрения.  Эти аналитические материалы вместе с выводами исследования Закона о психиатрии должны явиться солидной основой для внесения изменений в этот закон.</w:t>
      </w:r>
    </w:p>
    <w:p w:rsidR="00000000" w:rsidRDefault="00000000"/>
    <w:p w:rsidR="00000000" w:rsidRDefault="00000000">
      <w:pPr>
        <w:jc w:val="center"/>
        <w:rPr>
          <w:b/>
          <w:bCs/>
        </w:rPr>
      </w:pPr>
      <w:r>
        <w:rPr>
          <w:b/>
          <w:bCs/>
        </w:rPr>
        <w:br w:type="page"/>
        <w:t>Статьи 12 и 13</w:t>
      </w:r>
    </w:p>
    <w:p w:rsidR="00000000" w:rsidRDefault="00000000">
      <w:pPr>
        <w:jc w:val="center"/>
        <w:rPr>
          <w:b/>
          <w:bCs/>
        </w:rPr>
      </w:pPr>
    </w:p>
    <w:p w:rsidR="00000000" w:rsidRDefault="00000000">
      <w:pPr>
        <w:rPr>
          <w:b/>
          <w:bCs/>
        </w:rPr>
      </w:pPr>
      <w:r>
        <w:rPr>
          <w:b/>
          <w:bCs/>
        </w:rPr>
        <w:t>Жалобы на сотрудников полиции</w:t>
      </w:r>
    </w:p>
    <w:p w:rsidR="00000000" w:rsidRDefault="00000000">
      <w:pPr>
        <w:rPr>
          <w:b/>
          <w:bCs/>
        </w:rPr>
      </w:pPr>
    </w:p>
    <w:p w:rsidR="00000000" w:rsidRDefault="00000000">
      <w:r>
        <w:t>134.</w:t>
      </w:r>
      <w:r>
        <w:tab/>
        <w:t>Порядок рассмотрения жалоб на сотрудников полиции, вступивший в силу 1 января 1996 года, излагался в третьем периодическом докладе Дании и упоминался в ходе рассмотрения настоящего доклада.  Информация по данному вопросу содержится в докладе (</w:t>
      </w:r>
      <w:r>
        <w:rPr>
          <w:lang w:val="en-US"/>
        </w:rPr>
        <w:t>CAT</w:t>
      </w:r>
      <w:r>
        <w:t>/</w:t>
      </w:r>
      <w:r>
        <w:rPr>
          <w:lang w:val="en-US"/>
        </w:rPr>
        <w:t>C</w:t>
      </w:r>
      <w:r>
        <w:t>/34/</w:t>
      </w:r>
      <w:r>
        <w:rPr>
          <w:lang w:val="en-US"/>
        </w:rPr>
        <w:t>Add</w:t>
      </w:r>
      <w:r>
        <w:t>.3, пункты 84-87) и в кратких отчетах о его рассмотрении (</w:t>
      </w:r>
      <w:r>
        <w:rPr>
          <w:lang w:val="en-US"/>
        </w:rPr>
        <w:t>CAT</w:t>
      </w:r>
      <w:r>
        <w:t>/</w:t>
      </w:r>
      <w:r>
        <w:rPr>
          <w:lang w:val="en-US"/>
        </w:rPr>
        <w:t>C</w:t>
      </w:r>
      <w:r>
        <w:t>//</w:t>
      </w:r>
      <w:r>
        <w:rPr>
          <w:lang w:val="en-US"/>
        </w:rPr>
        <w:t>SR</w:t>
      </w:r>
      <w:r>
        <w:t>.288, пункт 17).  В четвертом периодическом докладе Дании (</w:t>
      </w:r>
      <w:r>
        <w:rPr>
          <w:lang w:val="en-US"/>
        </w:rPr>
        <w:t>CAT</w:t>
      </w:r>
      <w:r>
        <w:t>/</w:t>
      </w:r>
      <w:r>
        <w:rPr>
          <w:lang w:val="en-US"/>
        </w:rPr>
        <w:t>C</w:t>
      </w:r>
      <w:r>
        <w:t>/55/</w:t>
      </w:r>
      <w:r>
        <w:rPr>
          <w:lang w:val="en-US"/>
        </w:rPr>
        <w:t>Add</w:t>
      </w:r>
      <w:r>
        <w:t>.2, пункты 137-141) приводится оценка деятельности полицейских советов по рассмотрению жалоб, после того как этот механизм функционировал в течение трех лет.</w:t>
      </w:r>
    </w:p>
    <w:p w:rsidR="00000000" w:rsidRDefault="00000000"/>
    <w:p w:rsidR="00000000" w:rsidRDefault="00000000">
      <w:r>
        <w:t>135.</w:t>
      </w:r>
      <w:r>
        <w:tab/>
        <w:t>В своем последнем докладе за 2002 год о рассмотрении жалоб на сотрудников полиции государственный прокурор Дании (</w:t>
      </w:r>
      <w:r>
        <w:rPr>
          <w:lang w:val="en-US"/>
        </w:rPr>
        <w:t>Rigsadvokaten</w:t>
      </w:r>
      <w:r>
        <w:t xml:space="preserve">) заявил, что на конец 2002 года продолжительность процедуры рассмотрения жалоб в целом была удовлетворительной.  В указанном году было принято столько же решений, сколько было подано новых жалоб, и поэтому можно считать, что общая цель была достигнута.  В докладе также отмечается, что первые шесть месяцев функционирования механизма полицейских советов по рассмотрению жалоб были подвергнуты оценке на ежегодном совещании полицейских советов по рассмотрению жалоб, проведенном в январе 2002 года, и что был сделан вывод о том, что данный механизм жизнеспособен и в целом принят гражданами, полицией, а также другими заинтересованными сторонами, и никаких крупных изменений в установленные правила вносить не требуется. </w:t>
      </w:r>
    </w:p>
    <w:p w:rsidR="00000000" w:rsidRDefault="00000000"/>
    <w:p w:rsidR="00000000" w:rsidRDefault="00000000">
      <w:pPr>
        <w:rPr>
          <w:b/>
          <w:bCs/>
        </w:rPr>
      </w:pPr>
      <w:r>
        <w:rPr>
          <w:b/>
          <w:bCs/>
        </w:rPr>
        <w:t>Закон об отправлении правосудия</w:t>
      </w:r>
    </w:p>
    <w:p w:rsidR="00000000" w:rsidRDefault="00000000">
      <w:pPr>
        <w:rPr>
          <w:b/>
          <w:bCs/>
        </w:rPr>
      </w:pPr>
    </w:p>
    <w:p w:rsidR="00000000" w:rsidRDefault="00000000">
      <w:r>
        <w:t>136.</w:t>
      </w:r>
      <w:r>
        <w:tab/>
        <w:t>В 2002 году в закон об отправлении правосудия были внесены поправки в целях усиления защиты свидетелей, включая свидетелей, являющихся одновременно пострадавшими.</w:t>
      </w:r>
    </w:p>
    <w:p w:rsidR="00000000" w:rsidRDefault="00000000"/>
    <w:p w:rsidR="00000000" w:rsidRDefault="00000000">
      <w:r>
        <w:t>137.</w:t>
      </w:r>
      <w:r>
        <w:tab/>
        <w:t>Теперь суды имеют возможность на стадии следствия, если этого требуют, в частности, интересы свидетеля, ограничить право подсудимого присутствовать на судебных заседаниях, на которых рассматривается ход ведущегося следствия.</w:t>
      </w:r>
    </w:p>
    <w:p w:rsidR="00000000" w:rsidRDefault="00000000"/>
    <w:p w:rsidR="00000000" w:rsidRDefault="00000000">
      <w:r>
        <w:br w:type="page"/>
        <w:t>138.</w:t>
      </w:r>
      <w:r>
        <w:tab/>
        <w:t>Что касается судебных заседаний, то суд может - постольку, поскольку имеется уверенность, что это не будет иметь значения для защиты - ограничить доступ подсудимого к сведениям, сообщенным свидетелем, и может принять решение о том, что подсудимый должен удаляться из зала суда, когда свидетель дает показания, если имеются основания полагать, что присутствие подсудимого поставило бы под угрозу безопасность свидетеля или его близких родственников.</w:t>
      </w:r>
    </w:p>
    <w:p w:rsidR="00000000" w:rsidRDefault="00000000"/>
    <w:p w:rsidR="00000000" w:rsidRDefault="00000000">
      <w:r>
        <w:t>139.</w:t>
      </w:r>
      <w:r>
        <w:tab/>
        <w:t>В 2003 году в рамках борьбы против организованной преступности были внесены новые поправки, касающиеся, в частности, права подсудимого знакомиться с материалами дела.  Например, если этого потребуют, в частности, интересы свидетеля, суд может принять решение не знакомить подсудимого с информацией полиции постольку, поскольку эта информация не имеет значения для подсудимого.</w:t>
      </w:r>
    </w:p>
    <w:p w:rsidR="00000000" w:rsidRDefault="00000000"/>
    <w:p w:rsidR="00000000" w:rsidRDefault="00000000">
      <w:pPr>
        <w:jc w:val="center"/>
        <w:rPr>
          <w:b/>
          <w:bCs/>
        </w:rPr>
      </w:pPr>
      <w:r>
        <w:rPr>
          <w:b/>
          <w:bCs/>
        </w:rPr>
        <w:t>Статья 14</w:t>
      </w:r>
    </w:p>
    <w:p w:rsidR="00000000" w:rsidRDefault="00000000">
      <w:pPr>
        <w:jc w:val="center"/>
        <w:rPr>
          <w:b/>
          <w:bCs/>
        </w:rPr>
      </w:pPr>
    </w:p>
    <w:p w:rsidR="00000000" w:rsidRDefault="00000000">
      <w:r>
        <w:t>140.</w:t>
      </w:r>
      <w:r>
        <w:tab/>
        <w:t>Никакой новой информации по данной статье не имеется.</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r>
        <w:t>141.</w:t>
      </w:r>
      <w:r>
        <w:tab/>
        <w:t>Никакой новой информации по данной статье не имеется.</w:t>
      </w:r>
    </w:p>
    <w:p w:rsidR="00000000" w:rsidRDefault="00000000"/>
    <w:p w:rsidR="00000000" w:rsidRDefault="00000000">
      <w:pPr>
        <w:jc w:val="center"/>
      </w:pPr>
      <w:r>
        <w:rPr>
          <w:b/>
          <w:bCs/>
        </w:rPr>
        <w:t>Статья 16</w:t>
      </w:r>
    </w:p>
    <w:p w:rsidR="00000000" w:rsidRDefault="00000000">
      <w:pPr>
        <w:jc w:val="center"/>
      </w:pPr>
    </w:p>
    <w:p w:rsidR="00000000" w:rsidRDefault="00000000">
      <w:r>
        <w:t>142.</w:t>
      </w:r>
      <w:r>
        <w:tab/>
        <w:t>Новая информация по данной статье отсутствует.</w:t>
      </w:r>
    </w:p>
    <w:p w:rsidR="00000000" w:rsidRDefault="00000000"/>
    <w:p w:rsidR="00000000" w:rsidRDefault="00000000">
      <w:pPr>
        <w:jc w:val="center"/>
      </w:pPr>
      <w:r>
        <w:rPr>
          <w:b/>
          <w:bCs/>
          <w:lang w:val="en-US"/>
        </w:rPr>
        <w:t>II</w:t>
      </w:r>
      <w:r>
        <w:rPr>
          <w:b/>
          <w:bCs/>
        </w:rPr>
        <w:t>.</w:t>
      </w:r>
      <w:r>
        <w:rPr>
          <w:b/>
          <w:bCs/>
        </w:rPr>
        <w:tab/>
        <w:t>Дополнительная информация, запрошенная Комитетом</w:t>
      </w:r>
    </w:p>
    <w:p w:rsidR="00000000" w:rsidRDefault="00000000">
      <w:pPr>
        <w:jc w:val="center"/>
      </w:pPr>
    </w:p>
    <w:p w:rsidR="00000000" w:rsidRDefault="00000000">
      <w:r>
        <w:t>143.</w:t>
      </w:r>
      <w:r>
        <w:tab/>
        <w:t>Никакой конкретной информации не запрашивалось.</w:t>
      </w:r>
    </w:p>
    <w:p w:rsidR="00000000" w:rsidRDefault="00000000"/>
    <w:p w:rsidR="00000000" w:rsidRDefault="00000000">
      <w:pPr>
        <w:jc w:val="center"/>
      </w:pPr>
      <w:r>
        <w:rPr>
          <w:b/>
          <w:bCs/>
          <w:lang w:val="en-US"/>
        </w:rPr>
        <w:t>III</w:t>
      </w:r>
      <w:r>
        <w:rPr>
          <w:b/>
          <w:bCs/>
        </w:rPr>
        <w:t>.</w:t>
      </w:r>
      <w:r>
        <w:rPr>
          <w:b/>
          <w:bCs/>
        </w:rPr>
        <w:tab/>
        <w:t>Выполнение выводов и рекомендаций Комитета</w:t>
      </w:r>
    </w:p>
    <w:p w:rsidR="00000000" w:rsidRDefault="00000000">
      <w:pPr>
        <w:jc w:val="center"/>
      </w:pPr>
    </w:p>
    <w:p w:rsidR="00000000" w:rsidRDefault="00000000">
      <w:r>
        <w:rPr>
          <w:b/>
          <w:bCs/>
        </w:rPr>
        <w:t>Инкорпорация Конвенции</w:t>
      </w:r>
    </w:p>
    <w:p w:rsidR="00000000" w:rsidRDefault="00000000"/>
    <w:p w:rsidR="00000000" w:rsidRDefault="00000000">
      <w:r>
        <w:t>144.</w:t>
      </w:r>
      <w:r>
        <w:tab/>
        <w:t>При завершении рассмотрения Комитетом четвертого периодического доклада Дании Комитет рекомендовал Дании обеспечить скорейшее выполнение рекомендаций Специального комитета относительно включения Конвенции во внутреннее законодательство Дании.</w:t>
      </w:r>
    </w:p>
    <w:p w:rsidR="00000000" w:rsidRDefault="00000000"/>
    <w:p w:rsidR="00000000" w:rsidRDefault="00000000">
      <w:r>
        <w:t>145.</w:t>
      </w:r>
      <w:r>
        <w:tab/>
        <w:t>Как отмечалось в пунктах 111-113 четвертого периодического доклада Дании (</w:t>
      </w:r>
      <w:r>
        <w:rPr>
          <w:lang w:val="en-US"/>
        </w:rPr>
        <w:t>CA</w:t>
      </w:r>
      <w:r>
        <w:t>Т/</w:t>
      </w:r>
      <w:r>
        <w:rPr>
          <w:lang w:val="en-US"/>
        </w:rPr>
        <w:t>C</w:t>
      </w:r>
      <w:r>
        <w:t>/55/</w:t>
      </w:r>
      <w:r>
        <w:rPr>
          <w:lang w:val="en-US"/>
        </w:rPr>
        <w:t>Add</w:t>
      </w:r>
      <w:r>
        <w:t>.2), в 1999 году министр юстиции образовал Комитет по инкорпорации конвенций по правам человека в законодательство Дании ("Комитет по инкорпорации").</w:t>
      </w:r>
    </w:p>
    <w:p w:rsidR="00000000" w:rsidRDefault="00000000"/>
    <w:p w:rsidR="00000000" w:rsidRDefault="00000000">
      <w:r>
        <w:t>146.</w:t>
      </w:r>
      <w:r>
        <w:tab/>
        <w:t>Перед Комитетом по инкорпорации была поставлена задача рассмотреть плюсы и минусы инкорпорации общих конвенций по правам человека в законодательство Дании.  Комитет завершил свою работу в октябре 2001 года и рекомендовал инкорпорировать три конвенции ООН:  Международный пакт о гражданских и политических правах, Международную конвенцию о ликвидации всех форм расовой дискриминации и Конвенцию против пыток и других жестоких, бесчеловечных или унижающих достоинство видов обращения и наказания.</w:t>
      </w:r>
    </w:p>
    <w:p w:rsidR="00000000" w:rsidRDefault="00000000"/>
    <w:p w:rsidR="00000000" w:rsidRDefault="00000000">
      <w:r>
        <w:t>147.</w:t>
      </w:r>
      <w:r>
        <w:tab/>
        <w:t>Правительство приняло к сведению рекомендацию Комитета по инкорпорации инкорпорировать Конвенцию против пыток и других жестоких, бесчеловечных или унижающих достоинство видов обращения и наказания во внутреннее законодательство Дании.  Однако в январе 2004 года правительство решило не инкорпорировать эту конвенцию в датское внутреннее законодательство.  Это решение основывалось на нескольких соображениях.</w:t>
      </w:r>
    </w:p>
    <w:p w:rsidR="00000000" w:rsidRDefault="00000000"/>
    <w:p w:rsidR="00000000" w:rsidRDefault="00000000">
      <w:r>
        <w:t>148.</w:t>
      </w:r>
      <w:r>
        <w:tab/>
        <w:t>Во</w:t>
      </w:r>
      <w:r>
        <w:noBreakHyphen/>
        <w:t>первых, сама Конвенция не налагает каких-либо обязательств на государства-участники по инкорпорации Конвенции во внутреннее законодательство.  При ратификации Конвенции датское правительство следовало соответствующим процедурным нормам и проводило оценку того, соответствовало ли внутреннее законодательство и практика положениям Конвенции, или до ее ратификации необходимо внести какие-либо изменения во внутренние законодательство и практику.  После ратификации Конвенции правительство также постоянно предпринимало шаги по обеспечению соответствия внутренних законодательства и практики Дании Конвенции, например, при подготовке предложений в отношении нового законодательства.  Таким образом, правительство считает, что, несмотря на то, что Конвенция не была инкорпорирована в законодательство Дании, Дания полностью соблюдает положения этой Конвенции.</w:t>
      </w:r>
    </w:p>
    <w:p w:rsidR="00000000" w:rsidRDefault="00000000"/>
    <w:p w:rsidR="00000000" w:rsidRDefault="00000000">
      <w:r>
        <w:t>149.</w:t>
      </w:r>
      <w:r>
        <w:tab/>
        <w:t>Во</w:t>
      </w:r>
      <w:r>
        <w:noBreakHyphen/>
        <w:t xml:space="preserve">вторых, конвенции о правах человека, ратифицированные Данией, являются авторитетными источниками права независимо от способа их осуществления, как это было подчеркнуто Комитетом по инкорпорации.  Конвенции, которые не были имплементированы конкретно ввиду установленного совпадения норм, могут служить и фактически служат правовым основанием и применяются в судах Дании и другими правоприменительными органами.  Так, Высокий суд Восточной Дании недавно применил Конвенцию против пыток и других жестоких, бесчеловечных или унижающих достоинство видов обращения и наказания (см. решение Высокого суда, опубликованное в </w:t>
      </w:r>
      <w:r>
        <w:rPr>
          <w:lang w:val="en-US"/>
        </w:rPr>
        <w:t>Danish</w:t>
      </w:r>
      <w:r>
        <w:t xml:space="preserve"> </w:t>
      </w:r>
      <w:r>
        <w:rPr>
          <w:lang w:val="en-US"/>
        </w:rPr>
        <w:t>Law</w:t>
      </w:r>
      <w:r>
        <w:t xml:space="preserve"> </w:t>
      </w:r>
      <w:r>
        <w:rPr>
          <w:lang w:val="en-US"/>
        </w:rPr>
        <w:t>Reports</w:t>
      </w:r>
      <w:r>
        <w:t xml:space="preserve"> 2004, стр. 715).  Предмет рассматривавшегося дела состоял в том, мог ли государственный прокурор в ходе расследования дела о предполагаемом применении пыток, произошедшем за рубежом, передавать конфиденциальную информацию органу другой страны, содержащую сведения из заявления обвиняемого о предоставлении убежища, в том числе его фотоснимки и отпечатки пальцев.  Высокий суд заявил, что в соответствии с Конвенцией против пыток и других жестоких, бесчеловечных или унижающих достоинство видов обращения и наказания Дания была обязана провести, в конечном счете, судебное рассмотрение, касающееся актов пыток, совершенных лицами, которые не подлежат высылке по причине судебного разбирательства в другой стране.  Поскольку конфиденциальная информация была передана в ходе расследования предполагаемого совершения насилия и пыток (см. статьи 246 и 245 Уголовного кодекса), Высокий суд заявил, что упомянутые действия являются с юридической точки зрения разглашением.</w:t>
      </w:r>
    </w:p>
    <w:p w:rsidR="00000000" w:rsidRDefault="00000000"/>
    <w:p w:rsidR="00000000" w:rsidRDefault="00000000">
      <w:r>
        <w:t>150.</w:t>
      </w:r>
      <w:r>
        <w:tab/>
        <w:t>С учетом того, что ныне действующее законодательство Дании предусматривает, что указанная конвенция и другие ратифицированные, но не инкорпорированные конвенции ООН по правам человека являются авторитетным источником права и могут применяться судами и другими правоприменительными органами, правительство считает, что инкорпорация Конвенции против пыток в законодательство Дании не является ни юридически необходимым, ни политически целесообразным.  Инкорпорация носила бы только символический характер, поскольку она ничего бы не изменила в отношении ныне действующего законодательства Дании;  правительство исходит из того, что нельзя принимать законы, если они имеют лишь символический характер.  По этим причинам правительство также решило не инкорпорировать какие-либо другие конвенции ООН по правам человека.</w:t>
      </w:r>
    </w:p>
    <w:p w:rsidR="00000000" w:rsidRDefault="00000000"/>
    <w:p w:rsidR="00000000" w:rsidRDefault="00000000">
      <w:pPr>
        <w:keepNext/>
      </w:pPr>
      <w:r>
        <w:rPr>
          <w:b/>
          <w:bCs/>
        </w:rPr>
        <w:t>Инкорпорация определения "пытка", содержащегося в статье 1 Конвенции</w:t>
      </w:r>
    </w:p>
    <w:p w:rsidR="00000000" w:rsidRDefault="00000000">
      <w:pPr>
        <w:keepNext/>
      </w:pPr>
    </w:p>
    <w:p w:rsidR="00000000" w:rsidRDefault="00000000">
      <w:r>
        <w:t>151.</w:t>
      </w:r>
      <w:r>
        <w:tab/>
        <w:t>При завершении рассмотрения четвертого периодического доклада Дании Комитет рекомендовал Дании установить в своем уголовном законодательстве надлежащие положения, придающие, как это указано в статье 1 Конвенции, практике применения пыток характер уголовно наказуемого деяния в соответствии с пунктом 2 статьи 4 Конвенции.</w:t>
      </w:r>
    </w:p>
    <w:p w:rsidR="00000000" w:rsidRDefault="00000000"/>
    <w:p w:rsidR="00000000" w:rsidRDefault="00000000">
      <w:r>
        <w:t>152.</w:t>
      </w:r>
      <w:r>
        <w:tab/>
        <w:t>Соответствующую информацию см. в пунктах 30</w:t>
      </w:r>
      <w:r>
        <w:noBreakHyphen/>
        <w:t>36 третьего периодического доклада Дании (САТ/С/34/</w:t>
      </w:r>
      <w:r>
        <w:rPr>
          <w:lang w:val="en-US"/>
        </w:rPr>
        <w:t>Add</w:t>
      </w:r>
      <w:r>
        <w:t>.3), в которых излагается позиция датского правительства по этому вопросу.</w:t>
      </w:r>
    </w:p>
    <w:p w:rsidR="00000000" w:rsidRDefault="00000000"/>
    <w:p w:rsidR="00000000" w:rsidRDefault="00000000">
      <w:r>
        <w:t>153.</w:t>
      </w:r>
      <w:r>
        <w:tab/>
        <w:t>Кроме того, правительство может информировать Комитет о том, что в 2002 году максимальные наказания за преступления, предусмотренные в статьях 244, 245 и 246 Уголовного кодекса, были увеличены, соответственно, до трех, шести и десяти лет тюремного заключения.  Кроме того, с внесением поправки в 2004 году теперь четко сформулировано, что при определении меры наказания необходимо, как правило, считать отягчающим обстоятельством, в частности, тот факт, что преступление было совершено при исполнении служебных обязанностей или функций или в результате злоупотребления положением или другими отношениями доверия.</w:t>
      </w:r>
    </w:p>
    <w:p w:rsidR="00000000" w:rsidRDefault="00000000"/>
    <w:p w:rsidR="00000000" w:rsidRDefault="00000000">
      <w:r>
        <w:t>154.</w:t>
      </w:r>
      <w:r>
        <w:tab/>
        <w:t>Упомянутое выше дело, рассматривавшееся Высоким судом Восточной Дании (см. </w:t>
      </w:r>
      <w:r>
        <w:rPr>
          <w:lang w:val="en-US"/>
        </w:rPr>
        <w:t>Danish</w:t>
      </w:r>
      <w:r>
        <w:t xml:space="preserve"> </w:t>
      </w:r>
      <w:r>
        <w:rPr>
          <w:lang w:val="en-US"/>
        </w:rPr>
        <w:t>Law</w:t>
      </w:r>
      <w:r>
        <w:t xml:space="preserve"> </w:t>
      </w:r>
      <w:r>
        <w:rPr>
          <w:lang w:val="en-US"/>
        </w:rPr>
        <w:t>Reports</w:t>
      </w:r>
      <w:r>
        <w:t xml:space="preserve"> 2004, стр.</w:t>
      </w:r>
      <w:r>
        <w:rPr>
          <w:lang w:val="en-US"/>
        </w:rPr>
        <w:t> </w:t>
      </w:r>
      <w:r>
        <w:t>715), также свидетельствует о том, что преступление в виде пытки включено в положения Уголовного кодекса, даже если соответствующий закон не содержит конкретного положения о пытках.</w:t>
      </w:r>
    </w:p>
    <w:p w:rsidR="00000000" w:rsidRDefault="00000000"/>
    <w:p w:rsidR="00000000" w:rsidRDefault="00000000">
      <w:r>
        <w:t>155.</w:t>
      </w:r>
      <w:r>
        <w:tab/>
        <w:t>Как следует из замечаний по соображениям, касающимся вопроса об инкорпорации, правительство решило не инкорпорировать Конвенцию в датское законодательство.  С учетом того факта, что, по мнению правительства, Уголовный кодекс должен предусматривать необходимые правовые рамки, обеспечивающие возможность применения соразмерно суровых наказаний в случае применения пыток, это решение не внесло каких-либо изменений в позицию правительства по вопросу о включении в Уголовный кодекс отдельного положения о пытках.</w:t>
      </w:r>
    </w:p>
    <w:p w:rsidR="00000000" w:rsidRDefault="00000000"/>
    <w:p w:rsidR="00000000" w:rsidRDefault="00000000">
      <w:r>
        <w:rPr>
          <w:b/>
          <w:bCs/>
        </w:rPr>
        <w:t>Контроль последствий одиночного заключения для задержанных и действенность нового законопроекта об одиночном заключении лиц, находящихся под следствием</w:t>
      </w:r>
    </w:p>
    <w:p w:rsidR="00000000" w:rsidRDefault="00000000"/>
    <w:p w:rsidR="00000000" w:rsidRDefault="00000000">
      <w:r>
        <w:t>156.</w:t>
      </w:r>
      <w:r>
        <w:tab/>
        <w:t>При завершении рассмотрения Комитетом четвертого периодического доклада Дании Комитет рекомендовал Дании продолжить контролировать последствия одиночного заключения для задержанных и действенность нового законопроекта, который сократил количество оснований, по которым может быть применено одиночное заключение и его продолжительность.</w:t>
      </w:r>
    </w:p>
    <w:p w:rsidR="00000000" w:rsidRDefault="00000000"/>
    <w:p w:rsidR="00000000" w:rsidRDefault="00000000">
      <w:r>
        <w:t>157.</w:t>
      </w:r>
      <w:r>
        <w:tab/>
        <w:t>Конкретные последствия одиночного заключения для задержанных принимаются во внимание судами при рассмотрении конкретных дел.  Эта обязанность судов прямо зафиксирована в статье 770 </w:t>
      </w:r>
      <w:r>
        <w:rPr>
          <w:lang w:val="en-US"/>
        </w:rPr>
        <w:t>b</w:t>
      </w:r>
      <w:r>
        <w:t>) Закона об отправлении правосудия.</w:t>
      </w:r>
    </w:p>
    <w:p w:rsidR="00000000" w:rsidRDefault="00000000"/>
    <w:p w:rsidR="00000000" w:rsidRDefault="00000000">
      <w:r>
        <w:br w:type="page"/>
        <w:t>158.</w:t>
      </w:r>
      <w:r>
        <w:tab/>
        <w:t>В более общем плане </w:t>
      </w:r>
      <w:r>
        <w:noBreakHyphen/>
        <w:t xml:space="preserve"> как это отмечалось во время рассмотрения предыдущего доклада Дании </w:t>
      </w:r>
      <w:r>
        <w:noBreakHyphen/>
        <w:t xml:space="preserve"> Постоянному комитету по отправлению уголовного правосудия была поручена задача сделать оценку поправок, принятых в 2000 году относительно одиночного заключения при досудебном содержании под стражей, и высказать свое мнение по ним к 2005 году.  Пока готовится реакция Постоянного комитета, министерство юстиции один раз в год получает информацию от государственного прокурора относительно положения дел.</w:t>
      </w:r>
    </w:p>
    <w:p w:rsidR="00000000" w:rsidRDefault="00000000"/>
    <w:p w:rsidR="00000000" w:rsidRDefault="00000000">
      <w:r>
        <w:t>159.</w:t>
      </w:r>
      <w:r>
        <w:tab/>
        <w:t>Самый последний доклад датирован 13 октября 2003 года и содержит сведения за 2002 год.  Из доклада явствует, что имело место сокращение числа случаев одиночного заключения более, чем на 51% по сравнению с периодом 1998-2002 годов.  Количество случаев неуклонно уменьшалось с 618 в 2000 году, до 553 в 2001 году и 51 случая в 2002 году.  Кроме того, в 2000 году одиночное заключение применялось в 10,4% случаев досудебного содержания под стражей, тогда как в процентном отношении уровень сократился с 9,5 в 2001 году до 8,2 в 2002 году.</w:t>
      </w:r>
    </w:p>
    <w:p w:rsidR="00000000" w:rsidRDefault="00000000"/>
    <w:p w:rsidR="00000000" w:rsidRDefault="00000000">
      <w:r>
        <w:t>160.</w:t>
      </w:r>
      <w:r>
        <w:tab/>
        <w:t>В 2002 году в 60% случаев одиночное заключение завершалось в пределах четырех недель, и в 85% случаев оно заканчивалось в пределах восьми недель.  В среднем одиночное заключение продолжалось 30 дней.  Только в четырех случаях одиночное заключение длилось более трех месяцев.</w:t>
      </w:r>
    </w:p>
    <w:p w:rsidR="00000000" w:rsidRDefault="00000000"/>
    <w:p w:rsidR="00000000" w:rsidRDefault="00000000">
      <w:pPr>
        <w:rPr>
          <w:b/>
          <w:bCs/>
        </w:rPr>
      </w:pPr>
      <w:r>
        <w:rPr>
          <w:b/>
          <w:bCs/>
        </w:rPr>
        <w:t>Доступ к правовым средствам пересмотра решения об изоляции от общения</w:t>
      </w:r>
    </w:p>
    <w:p w:rsidR="00000000" w:rsidRDefault="00000000">
      <w:pPr>
        <w:rPr>
          <w:b/>
          <w:bCs/>
        </w:rPr>
      </w:pPr>
    </w:p>
    <w:p w:rsidR="00000000" w:rsidRDefault="00000000">
      <w:r>
        <w:t>161.</w:t>
      </w:r>
      <w:r>
        <w:tab/>
        <w:t>При завершении Комитетом рассмотрения четвертого периодического доклада Дании Комитет выразил свою озабоченность по поводу отсутствия эффективных процедур правовой защиты в случае решений о применении одиночного заключения к лицам, отбывающим наказание.  Комитет рекомендовал обеспечить, чтобы закон, регулирующий применение одиночного заключения в отношении осужденных заключенных, устанавливал надлежащие механизмы пересмотра решений о применении и продолжительности такого заключения.</w:t>
      </w:r>
    </w:p>
    <w:p w:rsidR="00000000" w:rsidRDefault="00000000"/>
    <w:p w:rsidR="00000000" w:rsidRDefault="00000000">
      <w:r>
        <w:t>162.</w:t>
      </w:r>
      <w:r>
        <w:tab/>
        <w:t>Что касается возможностей обжалования решения</w:t>
      </w:r>
      <w:r>
        <w:rPr>
          <w:b/>
          <w:bCs/>
        </w:rPr>
        <w:t xml:space="preserve"> </w:t>
      </w:r>
      <w:r>
        <w:t>о других заключенных, то закон предусматривает, что, когда такое решение принимается, администрация данной тюрьмы должна по меньшей мере раз в неделю рассматривать вопрос о том, следует ли прекратить изоляцию полностью или частично.  В случае изоляции на срок более четырех недель тюрьма должна доложить об этой мере Управлению тюрем и пробации и затем представлять доклад после каждых четырех недель.  Поэтому действующими правилами уже предусматривается осуществление автоматического контроля центральной администрацией за случаями длительной изоляции от других заключенных.</w:t>
      </w:r>
    </w:p>
    <w:p w:rsidR="00000000" w:rsidRDefault="00000000">
      <w:r>
        <w:t>163.</w:t>
      </w:r>
      <w:r>
        <w:tab/>
        <w:t>Кроме того, заключенный может также в любое время обжаловать решение администрации тюрьмы об изоляции в Управление тюрем и пробации.   Помимо этого, решения об изоляции могут опротестовываться парламентским омбудсменом (</w:t>
      </w:r>
      <w:r>
        <w:rPr>
          <w:lang w:val="en-US"/>
        </w:rPr>
        <w:t>Folketingets</w:t>
      </w:r>
      <w:r>
        <w:t xml:space="preserve"> </w:t>
      </w:r>
      <w:r>
        <w:rPr>
          <w:lang w:val="en-US"/>
        </w:rPr>
        <w:t>Ombudsmand</w:t>
      </w:r>
      <w:r>
        <w:t>).  И наконец, данное решение можно также обжаловать в судах в соответствии с общим правилом о судебном надзоре, предусматриваемом статьей 63 Конституции Дании.  Согласно этому правилу суд должен удостовериться, что данное решение соответствует закону и принято по объективным причинам.  Таким образом, пересмотр не включает в себя пересмотра целесообразности осуществления дискреционных полномочий.</w:t>
      </w:r>
    </w:p>
    <w:p w:rsidR="00000000" w:rsidRDefault="00000000"/>
    <w:p w:rsidR="00000000" w:rsidRDefault="00000000">
      <w:r>
        <w:t>164.</w:t>
      </w:r>
      <w:r>
        <w:tab/>
        <w:t>Таким образом, доступ к правовому пересмотру решений об изоляции от общения представляется адекватным, и введение новых прав на пересмотр не представляется необходимым.</w:t>
      </w:r>
    </w:p>
    <w:p w:rsidR="00000000" w:rsidRDefault="00000000"/>
    <w:p w:rsidR="00000000" w:rsidRDefault="00000000">
      <w:r>
        <w:t>165.</w:t>
      </w:r>
      <w:r>
        <w:tab/>
        <w:t>Что касается пересмотра в судебном порядке, пояснительные замечания к законопроекту об исполнении приговоров следующим образом излагают причину, по которой изоляция от общения не охватывается специальным правом на пересмотр в судебном порядке на основании закона об исполнении приговоров.  Специальное право на пересмотр в судебном порядке, предусматриваемое законом, охватывает решения, аналогичные решениям уголовного процесса или в ином отношении имеют особо принудительный характер для заключенных.  Однако решения, принятые по соображениям поддержания порядка и безопасности в тюрьме,  включая решения об изоляции от общения, не охватываются.  Причина этого состоит в том, что в значительной степени оценка необходимости принятия мер в таких случаях основывалась бы на оценке Пенитенциарной и пробационной службы.  Эти решения часто являются дискреционными, принятыми на основе полного знания обстановки в тюрьме, тогда как суды такими полными знаниями не располагают.  Более того, по своему характеру эти решения обычно должны приниматься и осуществляться оперативно, а рассмотрение в судебном порядке не будет иметь эффекта приостановления исполнения решения.  После принятия решения пройдет какое-то время, прежде чем станут известны результаты пересмотра в судебном порядке, и поэтому судебный пересмотр таких решений не является ни целесообразным, ни необходимым.</w:t>
      </w:r>
    </w:p>
    <w:p w:rsidR="00000000" w:rsidRDefault="00000000"/>
    <w:p w:rsidR="00000000" w:rsidRDefault="00000000">
      <w:pPr>
        <w:rPr>
          <w:b/>
          <w:bCs/>
        </w:rPr>
      </w:pPr>
      <w:r>
        <w:rPr>
          <w:b/>
          <w:bCs/>
        </w:rPr>
        <w:br w:type="page"/>
        <w:t>Меры по предупреждению депортации во время рассмотрения обращений к Комитету</w:t>
      </w:r>
    </w:p>
    <w:p w:rsidR="00000000" w:rsidRDefault="00000000">
      <w:pPr>
        <w:rPr>
          <w:b/>
          <w:bCs/>
        </w:rPr>
      </w:pPr>
    </w:p>
    <w:p w:rsidR="00000000" w:rsidRDefault="00000000">
      <w:r>
        <w:t>166.</w:t>
      </w:r>
      <w:r>
        <w:tab/>
        <w:t>При завершении рассмотрения Комитетом четвертого периодического доклада Дании Комитет рекомендовал обеспечить, чтобы поправки к закону об иностранцах не подрывали эффективности практики обращения к статье 22 Конвенции.</w:t>
      </w:r>
    </w:p>
    <w:p w:rsidR="00000000" w:rsidRDefault="00000000"/>
    <w:p w:rsidR="00000000" w:rsidRDefault="00000000">
      <w:r>
        <w:t>167.</w:t>
      </w:r>
      <w:r>
        <w:tab/>
        <w:t xml:space="preserve">Факт рассмотрения того или иного случая Комитетом против пыток Организации Объединенных Наций сам по себе не считается достаточной причиной для отмены решения о принудительном возвращении автора жалобы, пока данный случай рассматривается Комитетом. </w:t>
      </w:r>
    </w:p>
    <w:p w:rsidR="00000000" w:rsidRDefault="00000000"/>
    <w:p w:rsidR="00000000" w:rsidRDefault="00000000">
      <w:r>
        <w:t>168.</w:t>
      </w:r>
      <w:r>
        <w:tab/>
        <w:t>Отмена принудительного возвращения автора жалобы в связи с ее рассмотрением Комитетом является факультативным, и такое решение основывается на конкретной оценке абсолютно каждого случая.  При такой оценке учитывается, повлечет ли за собой возвращение автора жалобы обоснованный риск нарушения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169.</w:t>
      </w:r>
      <w:r>
        <w:tab/>
        <w:t>Если Комитет, ссылаясь на правило № 108 Правил процедуры Комитета, требует, чтобы датские иммиграционные службы приостановили принудительное возвращение автора жалобы на период, пока его дело рассматривается Комитетом, принудительное возвращение автора жалобы обычно приостанавливается.</w:t>
      </w:r>
    </w:p>
    <w:p w:rsidR="00000000" w:rsidRDefault="00000000"/>
    <w:p w:rsidR="00000000" w:rsidRDefault="00000000">
      <w:r>
        <w:t>170.</w:t>
      </w:r>
      <w:r>
        <w:tab/>
        <w:t>В Дании еще не было случая принудительного возвращения автора жалобы, которая рассматривалась бы Комитетом.</w:t>
      </w:r>
    </w:p>
    <w:p w:rsidR="00000000" w:rsidRDefault="00000000"/>
    <w:p w:rsidR="00000000" w:rsidRDefault="00000000">
      <w:pPr>
        <w:rPr>
          <w:b/>
          <w:bCs/>
        </w:rPr>
      </w:pPr>
      <w:r>
        <w:rPr>
          <w:b/>
          <w:bCs/>
        </w:rPr>
        <w:t>Распространение выводов и рекомендаций Комитета</w:t>
      </w:r>
    </w:p>
    <w:p w:rsidR="00000000" w:rsidRDefault="00000000">
      <w:pPr>
        <w:rPr>
          <w:b/>
          <w:bCs/>
        </w:rPr>
      </w:pPr>
    </w:p>
    <w:p w:rsidR="00000000" w:rsidRDefault="00000000">
      <w:r>
        <w:t>171.</w:t>
      </w:r>
      <w:r>
        <w:tab/>
        <w:t>Сразу же после получения выводов и рекомендаций Комитета был выпущен обстоятельный пресс-релиз и полученный документ был направлен правозащитным НПО и Юридическому комитету парламента (</w:t>
      </w:r>
      <w:r>
        <w:rPr>
          <w:lang w:val="en-US"/>
        </w:rPr>
        <w:t>Folketingets</w:t>
      </w:r>
      <w:r>
        <w:t xml:space="preserve"> </w:t>
      </w:r>
      <w:r>
        <w:rPr>
          <w:lang w:val="en-US"/>
        </w:rPr>
        <w:t>Retsudvalg</w:t>
      </w:r>
      <w:r>
        <w:t>).  С этим документом можно также ознакомиться в Интернете на сайте министерства иностранных дел.</w:t>
      </w:r>
    </w:p>
    <w:p w:rsidR="00000000" w:rsidRDefault="00000000"/>
    <w:p w:rsidR="00000000" w:rsidRDefault="00000000">
      <w:pPr>
        <w:jc w:val="center"/>
      </w:pPr>
      <w:r>
        <w:t>------</w:t>
      </w:r>
    </w:p>
    <w:sectPr w:rsidR="00000000">
      <w:headerReference w:type="even" r:id="rId16"/>
      <w:headerReference w:type="default" r:id="rId17"/>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С этими приложениями можно ознакомиться в архиве секретариата.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CAT/C/81/Add.2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CAT/C/81/Add.2</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Microsoft_Excel_Chart2.xls"/><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oleObject" Target="embeddings/Microsoft_Excel_Chart1.xls"/><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11980</Words>
  <Characters>68290</Characters>
  <Application>Microsoft Office Word</Application>
  <DocSecurity>4</DocSecurity>
  <Lines>569</Lines>
  <Paragraphs>136</Paragraphs>
  <ScaleCrop>false</ScaleCrop>
  <HeadingPairs>
    <vt:vector size="2" baseType="variant">
      <vt:variant>
        <vt:lpstr>Название</vt:lpstr>
      </vt:variant>
      <vt:variant>
        <vt:i4>1</vt:i4>
      </vt:variant>
    </vt:vector>
  </HeadingPairs>
  <TitlesOfParts>
    <vt:vector size="1" baseType="lpstr">
      <vt:lpstr>40927.01</vt:lpstr>
    </vt:vector>
  </TitlesOfParts>
  <Company> </Company>
  <LinksUpToDate>false</LinksUpToDate>
  <CharactersWithSpaces>83864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40927.01</dc:title>
  <dc:subject>Скурихин</dc:subject>
  <dc:creator>Аргунова</dc:creator>
  <cp:keywords/>
  <dc:description/>
  <cp:lastModifiedBy>Valentina NOSKOVA</cp:lastModifiedBy>
  <cp:revision>3</cp:revision>
  <cp:lastPrinted>2005-11-02T12:14:00Z</cp:lastPrinted>
  <dcterms:created xsi:type="dcterms:W3CDTF">2005-11-02T12:14:00Z</dcterms:created>
  <dcterms:modified xsi:type="dcterms:W3CDTF">2005-11-02T12:15:00Z</dcterms:modified>
</cp:coreProperties>
</file>