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C9B" w:rsidRDefault="00CA5C9B" w:rsidP="00CA5C9B">
      <w:pPr>
        <w:spacing w:line="240" w:lineRule="auto"/>
        <w:jc w:val="left"/>
        <w:rPr>
          <w:szCs w:val="6"/>
        </w:rPr>
        <w:sectPr w:rsidR="00CA5C9B" w:rsidSect="00CA5C9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637FE" w:rsidRDefault="009637FE" w:rsidP="009637F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rsidR="009637FE" w:rsidRDefault="009637FE" w:rsidP="009637F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الفريق العامل لما قبل الدورة الرابعة والثلاثين</w:t>
      </w:r>
    </w:p>
    <w:p w:rsidR="009637FE" w:rsidRDefault="009637FE" w:rsidP="009637FE">
      <w:pPr>
        <w:tabs>
          <w:tab w:val="left" w:pos="662"/>
          <w:tab w:val="left" w:pos="1267"/>
          <w:tab w:val="left" w:pos="1987"/>
          <w:tab w:val="left" w:pos="2650"/>
        </w:tabs>
        <w:rPr>
          <w:rtl/>
        </w:rPr>
      </w:pPr>
      <w:r>
        <w:rPr>
          <w:rtl/>
        </w:rPr>
        <w:t xml:space="preserve">16 كانون الثاني/يناير </w:t>
      </w:r>
      <w:r>
        <w:rPr>
          <w:rFonts w:hint="cs"/>
          <w:rtl/>
        </w:rPr>
        <w:t>-</w:t>
      </w:r>
      <w:r>
        <w:rPr>
          <w:rtl/>
        </w:rPr>
        <w:t xml:space="preserve"> 3 شباط/فبراير 2006</w:t>
      </w:r>
    </w:p>
    <w:p w:rsidR="009637FE" w:rsidRPr="009637FE" w:rsidRDefault="009637FE" w:rsidP="009637FE">
      <w:pPr>
        <w:pStyle w:val="SingleTxt"/>
        <w:spacing w:after="0" w:line="120" w:lineRule="exact"/>
        <w:rPr>
          <w:sz w:val="10"/>
          <w:rtl/>
        </w:rPr>
      </w:pPr>
    </w:p>
    <w:p w:rsidR="009637FE" w:rsidRPr="009637FE" w:rsidRDefault="009637FE" w:rsidP="009637FE">
      <w:pPr>
        <w:pStyle w:val="SingleTxt"/>
        <w:spacing w:after="0" w:line="120" w:lineRule="exact"/>
        <w:rPr>
          <w:sz w:val="10"/>
          <w:rtl/>
        </w:rPr>
      </w:pPr>
    </w:p>
    <w:p w:rsidR="009637FE" w:rsidRPr="009637FE" w:rsidRDefault="009637FE" w:rsidP="009637FE">
      <w:pPr>
        <w:pStyle w:val="SingleTxt"/>
        <w:spacing w:after="0" w:line="120" w:lineRule="exact"/>
        <w:rPr>
          <w:sz w:val="10"/>
          <w:rtl/>
        </w:rPr>
      </w:pPr>
    </w:p>
    <w:p w:rsidR="009637FE" w:rsidRDefault="009637FE" w:rsidP="009637F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قائمة القضايا والأسئلة المطروحة فيما يتعلق بالنظر في التقارير الدورية</w:t>
      </w:r>
    </w:p>
    <w:p w:rsidR="009637FE" w:rsidRPr="009637FE" w:rsidRDefault="009637FE" w:rsidP="009637FE">
      <w:pPr>
        <w:pStyle w:val="SingleTxt"/>
        <w:spacing w:after="0" w:line="120" w:lineRule="exact"/>
        <w:rPr>
          <w:sz w:val="10"/>
          <w:rtl/>
        </w:rPr>
      </w:pPr>
    </w:p>
    <w:p w:rsidR="009637FE" w:rsidRDefault="009637FE" w:rsidP="009637F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أستراليا</w:t>
      </w:r>
    </w:p>
    <w:p w:rsidR="009637FE" w:rsidRDefault="009637FE" w:rsidP="009637F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مقدمة</w:t>
      </w:r>
    </w:p>
    <w:p w:rsidR="009637FE" w:rsidRDefault="009637FE" w:rsidP="009637FE">
      <w:pPr>
        <w:pStyle w:val="SingleTxt"/>
        <w:rPr>
          <w:rtl/>
        </w:rPr>
      </w:pPr>
      <w:r>
        <w:rPr>
          <w:rFonts w:hint="cs"/>
          <w:rtl/>
        </w:rPr>
        <w:tab/>
      </w:r>
      <w:r>
        <w:rPr>
          <w:rtl/>
        </w:rPr>
        <w:t>نظر الفريق العامل لما قبل الدورة في التقريرين الدوريين المجمعين الرابع والخامس المقدمين من أستراليا (</w:t>
      </w:r>
      <w:r>
        <w:t>CEDAW/C/AUL/4-5</w:t>
      </w:r>
      <w:r>
        <w:rPr>
          <w:rtl/>
        </w:rPr>
        <w:t>).</w:t>
      </w:r>
    </w:p>
    <w:p w:rsidR="009637FE" w:rsidRDefault="009637FE" w:rsidP="009637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مسائل عامة</w:t>
      </w:r>
    </w:p>
    <w:p w:rsidR="009637FE" w:rsidRDefault="009637FE" w:rsidP="009637FE">
      <w:pPr>
        <w:pStyle w:val="SingleTxt"/>
        <w:rPr>
          <w:rtl/>
        </w:rPr>
      </w:pPr>
      <w:r>
        <w:rPr>
          <w:rtl/>
        </w:rPr>
        <w:t>1</w:t>
      </w:r>
      <w:r>
        <w:rPr>
          <w:rFonts w:hint="cs"/>
          <w:rtl/>
        </w:rPr>
        <w:t xml:space="preserve"> </w:t>
      </w:r>
      <w:r>
        <w:rPr>
          <w:rtl/>
        </w:rPr>
        <w:t>-</w:t>
      </w:r>
      <w:r>
        <w:rPr>
          <w:rtl/>
        </w:rPr>
        <w:tab/>
        <w:t xml:space="preserve">يرجى تقديم معلومات عن عملية إعداد التقريرين الدورين المُجمعين الرابع والخامس. وينبغي أن توضح هذه المعلومات الإدارات </w:t>
      </w:r>
      <w:r>
        <w:rPr>
          <w:rFonts w:hint="cs"/>
          <w:rtl/>
        </w:rPr>
        <w:t xml:space="preserve">والمؤسسات </w:t>
      </w:r>
      <w:r>
        <w:rPr>
          <w:rtl/>
        </w:rPr>
        <w:t>الحكومية التي شاركت في إعدادهما وطبيعة هذه المشاركة ونطاقها، وما إذا كانت قد أجريت مشاورات مع المنظمات غير الحكومية، وما إذا كان التقرير قد عرض على البرلمان.</w:t>
      </w:r>
    </w:p>
    <w:p w:rsidR="009637FE" w:rsidRDefault="009637FE" w:rsidP="009637FE">
      <w:pPr>
        <w:pStyle w:val="SingleTxt"/>
        <w:rPr>
          <w:rFonts w:hint="cs"/>
          <w:rtl/>
        </w:rPr>
      </w:pPr>
      <w:r>
        <w:rPr>
          <w:rtl/>
        </w:rPr>
        <w:t>2</w:t>
      </w:r>
      <w:r>
        <w:rPr>
          <w:rFonts w:hint="cs"/>
          <w:rtl/>
        </w:rPr>
        <w:t xml:space="preserve"> </w:t>
      </w:r>
      <w:r>
        <w:rPr>
          <w:rtl/>
        </w:rPr>
        <w:t>-</w:t>
      </w:r>
      <w:r>
        <w:rPr>
          <w:rtl/>
        </w:rPr>
        <w:tab/>
      </w:r>
      <w:r>
        <w:rPr>
          <w:rFonts w:hint="cs"/>
          <w:rtl/>
        </w:rPr>
        <w:t>و</w:t>
      </w:r>
      <w:r>
        <w:rPr>
          <w:rtl/>
        </w:rPr>
        <w:t xml:space="preserve">يرجى تقديم معلومات مستكملة وبيانات إحصائية مصنفة حسب نوع الجنس والأصل العرقي بشأن الأحكام الرئيسية للاتفاقية بالنسبة للفترة التي لا يشملها التقرير. </w:t>
      </w:r>
    </w:p>
    <w:p w:rsidR="00F60DF0" w:rsidRPr="00F60DF0" w:rsidRDefault="00F60DF0" w:rsidP="00F60DF0">
      <w:pPr>
        <w:pStyle w:val="SingleTxt"/>
        <w:spacing w:after="0" w:line="120" w:lineRule="exact"/>
        <w:rPr>
          <w:rFonts w:hint="cs"/>
          <w:sz w:val="10"/>
          <w:rtl/>
        </w:rPr>
      </w:pPr>
    </w:p>
    <w:p w:rsidR="009637FE" w:rsidRDefault="009637FE" w:rsidP="009637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الإطار الدستوري والتشريعي والمؤسسي ومركز الاتفاقية</w:t>
      </w:r>
    </w:p>
    <w:p w:rsidR="00124D01" w:rsidRDefault="009637FE" w:rsidP="00124D01">
      <w:pPr>
        <w:pStyle w:val="SingleTxt"/>
        <w:rPr>
          <w:rFonts w:hint="cs"/>
          <w:rtl/>
        </w:rPr>
      </w:pPr>
      <w:r>
        <w:rPr>
          <w:rtl/>
        </w:rPr>
        <w:t>3</w:t>
      </w:r>
      <w:r>
        <w:rPr>
          <w:rFonts w:hint="cs"/>
          <w:rtl/>
        </w:rPr>
        <w:t xml:space="preserve"> </w:t>
      </w:r>
      <w:r>
        <w:rPr>
          <w:rtl/>
        </w:rPr>
        <w:t>-</w:t>
      </w:r>
      <w:r>
        <w:rPr>
          <w:rtl/>
        </w:rPr>
        <w:tab/>
        <w:t xml:space="preserve">ما فتئت الهيئات الأخرى المنشأة بمعاهدات </w:t>
      </w:r>
      <w:r>
        <w:rPr>
          <w:rFonts w:hint="cs"/>
          <w:rtl/>
        </w:rPr>
        <w:t xml:space="preserve">تعرب </w:t>
      </w:r>
      <w:r>
        <w:rPr>
          <w:rtl/>
        </w:rPr>
        <w:t>عن قلقها بشأن مركز معاهدات حقوق الإنسان الدولية في النظام القانوني الأسترالي المحلي، وغياب أحكام دستورية راسخة تُفعّل هذه المعاهدات (انظر مثلا الملاحظات الختامية للجنة المعنية بحقوق الإنسان (</w:t>
      </w:r>
      <w:r>
        <w:t>A/55/40</w:t>
      </w:r>
      <w:r>
        <w:rPr>
          <w:rtl/>
        </w:rPr>
        <w:t>)، الفقرتان 514 و 518، لجنة الحقوق الاقتصادية والاجتماعية والثقافية (</w:t>
      </w:r>
      <w:r>
        <w:t>E/2001/22</w:t>
      </w:r>
      <w:r w:rsidRPr="00124D01">
        <w:rPr>
          <w:rFonts w:hint="cs"/>
          <w:rtl/>
        </w:rPr>
        <w:t xml:space="preserve">، </w:t>
      </w:r>
      <w:r>
        <w:rPr>
          <w:rtl/>
        </w:rPr>
        <w:t>الفقرة 379)، ولجنة القضاء على التمييز العنصري (</w:t>
      </w:r>
      <w:r>
        <w:t>CERD/C/AUS/CO/14</w:t>
      </w:r>
      <w:r>
        <w:rPr>
          <w:rtl/>
        </w:rPr>
        <w:t>، الفقرة 9)</w:t>
      </w:r>
      <w:r>
        <w:rPr>
          <w:rFonts w:hint="cs"/>
          <w:rtl/>
        </w:rPr>
        <w:t>.</w:t>
      </w:r>
      <w:r>
        <w:rPr>
          <w:rtl/>
        </w:rPr>
        <w:t xml:space="preserve"> </w:t>
      </w:r>
      <w:r>
        <w:rPr>
          <w:rFonts w:hint="cs"/>
          <w:rtl/>
        </w:rPr>
        <w:t>و</w:t>
      </w:r>
      <w:r>
        <w:rPr>
          <w:rtl/>
        </w:rPr>
        <w:t xml:space="preserve">يُرجى تقديم معلومات عن التدابير </w:t>
      </w:r>
      <w:r>
        <w:rPr>
          <w:rFonts w:hint="cs"/>
          <w:rtl/>
        </w:rPr>
        <w:t xml:space="preserve">التي يجري النظر في </w:t>
      </w:r>
      <w:r>
        <w:rPr>
          <w:rtl/>
        </w:rPr>
        <w:t>اتخاذها لتوفير ضمانات راسخة ضد التمييز على أساس الجنس</w:t>
      </w:r>
      <w:r>
        <w:rPr>
          <w:rFonts w:hint="cs"/>
          <w:rtl/>
        </w:rPr>
        <w:t>،</w:t>
      </w:r>
      <w:r>
        <w:rPr>
          <w:rtl/>
        </w:rPr>
        <w:t xml:space="preserve"> </w:t>
      </w:r>
      <w:r>
        <w:rPr>
          <w:rFonts w:hint="cs"/>
          <w:rtl/>
        </w:rPr>
        <w:t>و</w:t>
      </w:r>
      <w:r>
        <w:rPr>
          <w:rtl/>
        </w:rPr>
        <w:t xml:space="preserve">التي </w:t>
      </w:r>
      <w:r>
        <w:rPr>
          <w:rFonts w:hint="cs"/>
          <w:rtl/>
        </w:rPr>
        <w:t>من شأنها أن ي</w:t>
      </w:r>
      <w:r>
        <w:rPr>
          <w:rtl/>
        </w:rPr>
        <w:t>كون لها الحجية على قانون الكومنولث والولايات والأقاليم</w:t>
      </w:r>
      <w:r w:rsidR="003B171E">
        <w:rPr>
          <w:rFonts w:hint="cs"/>
          <w:rtl/>
        </w:rPr>
        <w:t>،</w:t>
      </w:r>
      <w:r>
        <w:rPr>
          <w:rtl/>
        </w:rPr>
        <w:t xml:space="preserve"> </w:t>
      </w:r>
      <w:r>
        <w:rPr>
          <w:rFonts w:hint="cs"/>
          <w:rtl/>
        </w:rPr>
        <w:t xml:space="preserve">بما يتماشى مع الاتفاقية، </w:t>
      </w:r>
      <w:r>
        <w:rPr>
          <w:rtl/>
        </w:rPr>
        <w:t xml:space="preserve">وما هي الآليات التي استحدثتها أستراليا من أجل الوفاء بالتزاماتها وضمان احترام الحقوق </w:t>
      </w:r>
      <w:r>
        <w:rPr>
          <w:rFonts w:hint="cs"/>
          <w:rtl/>
        </w:rPr>
        <w:t xml:space="preserve">الواردة في </w:t>
      </w:r>
      <w:r>
        <w:rPr>
          <w:rtl/>
        </w:rPr>
        <w:t>الاتفاقية وإعمالها على نحو كامل في جميع الولايات والأقاليم.</w:t>
      </w:r>
    </w:p>
    <w:p w:rsidR="009637FE" w:rsidRDefault="009637FE" w:rsidP="00124D01">
      <w:pPr>
        <w:pStyle w:val="SingleTxt"/>
        <w:rPr>
          <w:rtl/>
        </w:rPr>
      </w:pPr>
      <w:r>
        <w:rPr>
          <w:rtl/>
        </w:rPr>
        <w:t>4</w:t>
      </w:r>
      <w:r>
        <w:rPr>
          <w:rFonts w:hint="cs"/>
          <w:rtl/>
        </w:rPr>
        <w:t xml:space="preserve"> </w:t>
      </w:r>
      <w:r>
        <w:rPr>
          <w:rtl/>
        </w:rPr>
        <w:t>-</w:t>
      </w:r>
      <w:r>
        <w:rPr>
          <w:rtl/>
        </w:rPr>
        <w:tab/>
      </w:r>
      <w:r w:rsidR="00124D01">
        <w:rPr>
          <w:rFonts w:hint="cs"/>
          <w:rtl/>
        </w:rPr>
        <w:t>و</w:t>
      </w:r>
      <w:r>
        <w:rPr>
          <w:rtl/>
        </w:rPr>
        <w:t xml:space="preserve">يشير التقرير إلى برامج التثقيف القضائي، بما فيها التدريب على التنوع من أجل تحديد أوجه التحيز </w:t>
      </w:r>
      <w:r w:rsidR="00124D01">
        <w:rPr>
          <w:rFonts w:hint="cs"/>
          <w:rtl/>
        </w:rPr>
        <w:t xml:space="preserve">على أساس نوع الجنس </w:t>
      </w:r>
      <w:r>
        <w:rPr>
          <w:rtl/>
        </w:rPr>
        <w:t>في النظام القانوني والتصدي لها (الفقر</w:t>
      </w:r>
      <w:r w:rsidR="00124D01">
        <w:rPr>
          <w:rFonts w:hint="cs"/>
          <w:rtl/>
        </w:rPr>
        <w:t>تان</w:t>
      </w:r>
      <w:r>
        <w:rPr>
          <w:rtl/>
        </w:rPr>
        <w:t xml:space="preserve"> 530</w:t>
      </w:r>
      <w:r w:rsidR="00124D01">
        <w:rPr>
          <w:rFonts w:hint="cs"/>
          <w:rtl/>
        </w:rPr>
        <w:t xml:space="preserve"> و 531</w:t>
      </w:r>
      <w:r>
        <w:rPr>
          <w:rtl/>
        </w:rPr>
        <w:t>)</w:t>
      </w:r>
      <w:r w:rsidR="00124D01">
        <w:rPr>
          <w:rFonts w:hint="cs"/>
          <w:rtl/>
        </w:rPr>
        <w:t>.</w:t>
      </w:r>
      <w:r>
        <w:rPr>
          <w:rtl/>
        </w:rPr>
        <w:t xml:space="preserve"> </w:t>
      </w:r>
      <w:r w:rsidR="00124D01">
        <w:rPr>
          <w:rFonts w:hint="cs"/>
          <w:rtl/>
        </w:rPr>
        <w:t>و</w:t>
      </w:r>
      <w:r>
        <w:rPr>
          <w:rtl/>
        </w:rPr>
        <w:t xml:space="preserve">يُرجى تقديم </w:t>
      </w:r>
      <w:r w:rsidR="00124D01">
        <w:rPr>
          <w:rFonts w:hint="cs"/>
          <w:rtl/>
        </w:rPr>
        <w:t xml:space="preserve">مزيد من التفاصيل </w:t>
      </w:r>
      <w:r>
        <w:rPr>
          <w:rtl/>
        </w:rPr>
        <w:t xml:space="preserve">عن برامج التدريب هاته، بما في ذلك معلومات عما إذا كان القضاة يتلقون أي تدريب على تطبيق الاتفاقية </w:t>
      </w:r>
      <w:r w:rsidR="00124D01">
        <w:rPr>
          <w:rFonts w:hint="cs"/>
          <w:rtl/>
        </w:rPr>
        <w:t xml:space="preserve">في إطار </w:t>
      </w:r>
      <w:r>
        <w:rPr>
          <w:rtl/>
        </w:rPr>
        <w:t>اتخاذ القرار</w:t>
      </w:r>
      <w:r w:rsidR="00124D01">
        <w:rPr>
          <w:rFonts w:hint="cs"/>
          <w:rtl/>
        </w:rPr>
        <w:t>ات</w:t>
      </w:r>
      <w:r>
        <w:rPr>
          <w:rtl/>
        </w:rPr>
        <w:t xml:space="preserve"> على المستوى المحلي.</w:t>
      </w:r>
    </w:p>
    <w:p w:rsidR="009637FE" w:rsidRDefault="009637FE" w:rsidP="00124D01">
      <w:pPr>
        <w:pStyle w:val="SingleTxt"/>
        <w:rPr>
          <w:rtl/>
        </w:rPr>
      </w:pPr>
      <w:r>
        <w:rPr>
          <w:rtl/>
        </w:rPr>
        <w:t>5</w:t>
      </w:r>
      <w:r w:rsidR="00124D01">
        <w:rPr>
          <w:rFonts w:hint="cs"/>
          <w:rtl/>
        </w:rPr>
        <w:t xml:space="preserve"> </w:t>
      </w:r>
      <w:r>
        <w:rPr>
          <w:rtl/>
        </w:rPr>
        <w:t>-</w:t>
      </w:r>
      <w:r>
        <w:rPr>
          <w:rtl/>
        </w:rPr>
        <w:tab/>
      </w:r>
      <w:r w:rsidR="00124D01">
        <w:rPr>
          <w:rFonts w:hint="cs"/>
          <w:rtl/>
        </w:rPr>
        <w:t>و</w:t>
      </w:r>
      <w:r>
        <w:rPr>
          <w:rtl/>
        </w:rPr>
        <w:t xml:space="preserve">يُرجى تقديم </w:t>
      </w:r>
      <w:r w:rsidR="00124D01">
        <w:rPr>
          <w:rFonts w:hint="cs"/>
          <w:rtl/>
        </w:rPr>
        <w:t>ال</w:t>
      </w:r>
      <w:r>
        <w:rPr>
          <w:rtl/>
        </w:rPr>
        <w:t xml:space="preserve">تفاصيل </w:t>
      </w:r>
      <w:r w:rsidR="00124D01">
        <w:rPr>
          <w:rFonts w:hint="cs"/>
          <w:rtl/>
        </w:rPr>
        <w:t>المتعلقة ب</w:t>
      </w:r>
      <w:r>
        <w:rPr>
          <w:rtl/>
        </w:rPr>
        <w:t>أي حالات جرى فيها استعمال الاتفاقية أو الاعتماد عليها في المحاكم.</w:t>
      </w:r>
    </w:p>
    <w:p w:rsidR="009637FE" w:rsidRDefault="009637FE" w:rsidP="00124D01">
      <w:pPr>
        <w:pStyle w:val="SingleTxt"/>
        <w:rPr>
          <w:rtl/>
        </w:rPr>
      </w:pPr>
      <w:r>
        <w:rPr>
          <w:rtl/>
        </w:rPr>
        <w:t>6</w:t>
      </w:r>
      <w:r w:rsidR="00124D01">
        <w:rPr>
          <w:rFonts w:hint="cs"/>
          <w:rtl/>
        </w:rPr>
        <w:t xml:space="preserve"> </w:t>
      </w:r>
      <w:r>
        <w:rPr>
          <w:rtl/>
        </w:rPr>
        <w:t>-</w:t>
      </w:r>
      <w:r>
        <w:rPr>
          <w:rtl/>
        </w:rPr>
        <w:tab/>
      </w:r>
      <w:r w:rsidR="00124D01">
        <w:rPr>
          <w:rFonts w:hint="cs"/>
          <w:rtl/>
        </w:rPr>
        <w:t>وقد أ</w:t>
      </w:r>
      <w:r>
        <w:rPr>
          <w:rtl/>
        </w:rPr>
        <w:t>ع</w:t>
      </w:r>
      <w:r w:rsidR="00124D01">
        <w:rPr>
          <w:rFonts w:hint="cs"/>
          <w:rtl/>
        </w:rPr>
        <w:t>ر</w:t>
      </w:r>
      <w:r>
        <w:rPr>
          <w:rtl/>
        </w:rPr>
        <w:t>بت اللجنة في تعليقاتها الختامية السابقة</w:t>
      </w:r>
      <w:r w:rsidR="001F0358" w:rsidRPr="001F0358">
        <w:rPr>
          <w:vertAlign w:val="superscript"/>
          <w:rtl/>
        </w:rPr>
        <w:t>(</w:t>
      </w:r>
      <w:r w:rsidR="001F0358">
        <w:rPr>
          <w:rStyle w:val="EndnoteReference"/>
          <w:rtl/>
        </w:rPr>
        <w:endnoteReference w:id="1"/>
      </w:r>
      <w:r w:rsidR="001F0358" w:rsidRPr="001F0358">
        <w:rPr>
          <w:vertAlign w:val="superscript"/>
          <w:rtl/>
        </w:rPr>
        <w:t>)</w:t>
      </w:r>
      <w:r>
        <w:rPr>
          <w:rtl/>
        </w:rPr>
        <w:t xml:space="preserve"> عن قلقها إزاء خفض تمويل المكتب المعني </w:t>
      </w:r>
      <w:r w:rsidR="00124D01">
        <w:rPr>
          <w:rFonts w:hint="cs"/>
          <w:rtl/>
        </w:rPr>
        <w:t xml:space="preserve">بوضع </w:t>
      </w:r>
      <w:r>
        <w:rPr>
          <w:rtl/>
        </w:rPr>
        <w:t>المرأة</w:t>
      </w:r>
      <w:r w:rsidR="00124D01">
        <w:rPr>
          <w:rFonts w:hint="cs"/>
          <w:rtl/>
        </w:rPr>
        <w:t>،</w:t>
      </w:r>
      <w:r>
        <w:rPr>
          <w:rtl/>
        </w:rPr>
        <w:t xml:space="preserve"> ولجنة حقوق الإنسان وتكافؤ الفرص، وإضعاف </w:t>
      </w:r>
      <w:r w:rsidR="00124D01">
        <w:rPr>
          <w:rFonts w:hint="cs"/>
          <w:rtl/>
        </w:rPr>
        <w:t>ال</w:t>
      </w:r>
      <w:r>
        <w:rPr>
          <w:rtl/>
        </w:rPr>
        <w:t xml:space="preserve">دور </w:t>
      </w:r>
      <w:r w:rsidR="00124D01">
        <w:rPr>
          <w:rFonts w:hint="cs"/>
          <w:rtl/>
        </w:rPr>
        <w:t xml:space="preserve">الذي تؤديه </w:t>
      </w:r>
      <w:r>
        <w:rPr>
          <w:rtl/>
        </w:rPr>
        <w:t xml:space="preserve">الآلية الوطنية للنهوض بالمرأة </w:t>
      </w:r>
      <w:r w:rsidR="00124D01">
        <w:rPr>
          <w:rFonts w:hint="cs"/>
          <w:rtl/>
        </w:rPr>
        <w:t>فيما يتصل ب</w:t>
      </w:r>
      <w:r>
        <w:rPr>
          <w:rtl/>
        </w:rPr>
        <w:t xml:space="preserve">إسداء المشورة في مجالي السياسات العامة </w:t>
      </w:r>
      <w:r w:rsidR="00124D01">
        <w:rPr>
          <w:rFonts w:hint="cs"/>
          <w:rtl/>
        </w:rPr>
        <w:t>المتعلقة ب</w:t>
      </w:r>
      <w:r>
        <w:rPr>
          <w:rtl/>
        </w:rPr>
        <w:t>المساواة، ورصد التنفيذ الفعلي لتلك السياسات (الفقرة 391). وأوصت اللجنة بأن ترصد الدولة الطرف انعكاسات هذه التغييرات في السياسات لتُدرج معلومات عن ذلك في تقريرها</w:t>
      </w:r>
      <w:r w:rsidR="003B171E">
        <w:rPr>
          <w:rFonts w:hint="cs"/>
          <w:rtl/>
        </w:rPr>
        <w:t xml:space="preserve"> الدوري القادم</w:t>
      </w:r>
      <w:r>
        <w:rPr>
          <w:rtl/>
        </w:rPr>
        <w:t xml:space="preserve"> </w:t>
      </w:r>
      <w:r w:rsidR="00124D01">
        <w:rPr>
          <w:rFonts w:hint="cs"/>
          <w:rtl/>
        </w:rPr>
        <w:t>(الفقرة 398).</w:t>
      </w:r>
      <w:r>
        <w:rPr>
          <w:rtl/>
        </w:rPr>
        <w:t xml:space="preserve"> </w:t>
      </w:r>
      <w:r w:rsidR="00124D01">
        <w:rPr>
          <w:rFonts w:hint="cs"/>
          <w:rtl/>
        </w:rPr>
        <w:t>و</w:t>
      </w:r>
      <w:r>
        <w:rPr>
          <w:rtl/>
        </w:rPr>
        <w:t xml:space="preserve">يرجى تقديم معلومات مستكملة </w:t>
      </w:r>
      <w:r w:rsidR="00124D01">
        <w:rPr>
          <w:rFonts w:hint="cs"/>
          <w:rtl/>
        </w:rPr>
        <w:t>في هذا الصدد</w:t>
      </w:r>
      <w:r>
        <w:rPr>
          <w:rtl/>
        </w:rPr>
        <w:t xml:space="preserve">، تتضمن ما إن كان قد جرى، منذ التقرير الأخير، تحسين وتعزيز ميزانية </w:t>
      </w:r>
      <w:r w:rsidR="00124D01">
        <w:rPr>
          <w:rFonts w:hint="cs"/>
          <w:rtl/>
        </w:rPr>
        <w:t xml:space="preserve">ودور </w:t>
      </w:r>
      <w:r w:rsidR="00124D01">
        <w:rPr>
          <w:rtl/>
        </w:rPr>
        <w:t>الآلية الوطنية للنهوض بالمرأة</w:t>
      </w:r>
      <w:r>
        <w:rPr>
          <w:rtl/>
        </w:rPr>
        <w:t xml:space="preserve">، بما فيها المكتب المعني </w:t>
      </w:r>
      <w:r w:rsidR="00124D01">
        <w:rPr>
          <w:rFonts w:hint="cs"/>
          <w:rtl/>
        </w:rPr>
        <w:t xml:space="preserve">بوضع </w:t>
      </w:r>
      <w:r>
        <w:rPr>
          <w:rtl/>
        </w:rPr>
        <w:t>المرأة.</w:t>
      </w:r>
    </w:p>
    <w:p w:rsidR="009637FE" w:rsidRDefault="009637FE" w:rsidP="00124D01">
      <w:pPr>
        <w:pStyle w:val="SingleTxt"/>
        <w:rPr>
          <w:rtl/>
        </w:rPr>
      </w:pPr>
      <w:r>
        <w:rPr>
          <w:rtl/>
        </w:rPr>
        <w:t>7</w:t>
      </w:r>
      <w:r w:rsidR="00124D01">
        <w:rPr>
          <w:rFonts w:hint="cs"/>
          <w:rtl/>
        </w:rPr>
        <w:t xml:space="preserve"> </w:t>
      </w:r>
      <w:r>
        <w:rPr>
          <w:rtl/>
        </w:rPr>
        <w:t>-</w:t>
      </w:r>
      <w:r>
        <w:rPr>
          <w:rtl/>
        </w:rPr>
        <w:tab/>
      </w:r>
      <w:r w:rsidR="00124D01">
        <w:rPr>
          <w:rFonts w:hint="cs"/>
          <w:rtl/>
        </w:rPr>
        <w:t>و</w:t>
      </w:r>
      <w:r>
        <w:rPr>
          <w:rtl/>
        </w:rPr>
        <w:t xml:space="preserve">تتمسك أستراليا بتحفظها على المادة 11 (2) من الاتفاقية. ويُناقش التقرير </w:t>
      </w:r>
      <w:r w:rsidR="00124D01">
        <w:rPr>
          <w:rFonts w:hint="cs"/>
          <w:rtl/>
        </w:rPr>
        <w:t xml:space="preserve">التحفظات </w:t>
      </w:r>
      <w:r>
        <w:rPr>
          <w:rtl/>
        </w:rPr>
        <w:t xml:space="preserve">في مواضع مختلفة، لكنه لا يُشير إلى ما إن كانت الحكومة </w:t>
      </w:r>
      <w:r w:rsidR="00124D01">
        <w:rPr>
          <w:rFonts w:hint="cs"/>
          <w:rtl/>
        </w:rPr>
        <w:t>تنظر في سحبها.</w:t>
      </w:r>
      <w:r w:rsidR="003B171E">
        <w:rPr>
          <w:rFonts w:hint="cs"/>
          <w:rtl/>
        </w:rPr>
        <w:t xml:space="preserve"> </w:t>
      </w:r>
      <w:r w:rsidR="00124D01">
        <w:rPr>
          <w:rFonts w:hint="cs"/>
          <w:rtl/>
        </w:rPr>
        <w:t>و</w:t>
      </w:r>
      <w:r>
        <w:rPr>
          <w:rtl/>
        </w:rPr>
        <w:t>يرجى توضيح نية الحكومة في هذا الصدد، والخطوات التي يجرى اتخاذها للشروع في عملية التشاور الضرورية بالنسبة لسحب التحفظ</w:t>
      </w:r>
      <w:r w:rsidR="00124D01">
        <w:rPr>
          <w:rFonts w:hint="cs"/>
          <w:rtl/>
        </w:rPr>
        <w:t>ات</w:t>
      </w:r>
      <w:r>
        <w:rPr>
          <w:rtl/>
        </w:rPr>
        <w:t xml:space="preserve"> </w:t>
      </w:r>
      <w:r w:rsidR="00124D01">
        <w:rPr>
          <w:rFonts w:hint="cs"/>
          <w:rtl/>
        </w:rPr>
        <w:t xml:space="preserve">الوارد وصفها </w:t>
      </w:r>
      <w:r>
        <w:rPr>
          <w:rtl/>
        </w:rPr>
        <w:t>في الفقرة 19 من التقرير.</w:t>
      </w:r>
    </w:p>
    <w:p w:rsidR="009637FE" w:rsidRDefault="00124D01" w:rsidP="00124D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637FE">
        <w:rPr>
          <w:rtl/>
        </w:rPr>
        <w:t>العنف ضد المرأة</w:t>
      </w:r>
    </w:p>
    <w:p w:rsidR="009637FE" w:rsidRDefault="009637FE" w:rsidP="00124D01">
      <w:pPr>
        <w:pStyle w:val="SingleTxt"/>
        <w:rPr>
          <w:rtl/>
        </w:rPr>
      </w:pPr>
      <w:r>
        <w:rPr>
          <w:rtl/>
        </w:rPr>
        <w:t>8</w:t>
      </w:r>
      <w:r w:rsidR="00124D01">
        <w:rPr>
          <w:rFonts w:hint="cs"/>
          <w:rtl/>
        </w:rPr>
        <w:t xml:space="preserve"> </w:t>
      </w:r>
      <w:r>
        <w:rPr>
          <w:rtl/>
        </w:rPr>
        <w:t>-</w:t>
      </w:r>
      <w:r>
        <w:rPr>
          <w:rtl/>
        </w:rPr>
        <w:tab/>
        <w:t xml:space="preserve">رغم الإنجازات الكبيرة التي حققتها الحكومة في </w:t>
      </w:r>
      <w:r w:rsidR="00124D01">
        <w:rPr>
          <w:rFonts w:hint="cs"/>
          <w:rtl/>
        </w:rPr>
        <w:t>إطار الجهود التي تبذلها لم</w:t>
      </w:r>
      <w:r>
        <w:rPr>
          <w:rtl/>
        </w:rPr>
        <w:t xml:space="preserve">كافحة </w:t>
      </w:r>
      <w:bookmarkStart w:id="1" w:name="TmpSave"/>
      <w:bookmarkEnd w:id="1"/>
      <w:r>
        <w:rPr>
          <w:rtl/>
        </w:rPr>
        <w:t>العنف ضد المرأة، أفادت المقررة الخاصة المعنية بالعنف ضد المرأة ب</w:t>
      </w:r>
      <w:r w:rsidR="00124D01">
        <w:rPr>
          <w:rFonts w:hint="cs"/>
          <w:rtl/>
        </w:rPr>
        <w:t xml:space="preserve">ازدياد </w:t>
      </w:r>
      <w:r>
        <w:rPr>
          <w:rtl/>
        </w:rPr>
        <w:t xml:space="preserve">حالات الاعتداء الجنسي في الفترة </w:t>
      </w:r>
      <w:r w:rsidR="00124D01">
        <w:rPr>
          <w:rFonts w:hint="cs"/>
          <w:rtl/>
        </w:rPr>
        <w:t xml:space="preserve">ما بين عامي </w:t>
      </w:r>
      <w:r>
        <w:rPr>
          <w:rtl/>
        </w:rPr>
        <w:t xml:space="preserve">2000 إلى 2001، ولاحظت أن الدراسة الاستقصائية </w:t>
      </w:r>
      <w:r w:rsidR="00124D01">
        <w:rPr>
          <w:rFonts w:hint="cs"/>
          <w:rtl/>
        </w:rPr>
        <w:t>المتعلقة ب</w:t>
      </w:r>
      <w:r>
        <w:rPr>
          <w:rtl/>
        </w:rPr>
        <w:t xml:space="preserve">سلامة النساء، التي أجراها في سنة 1996 المكتب الأسترالي للإحصاءات، كشفت أن </w:t>
      </w:r>
      <w:r w:rsidR="00124D01">
        <w:rPr>
          <w:rFonts w:hint="cs"/>
          <w:rtl/>
        </w:rPr>
        <w:t xml:space="preserve">9 </w:t>
      </w:r>
      <w:r>
        <w:rPr>
          <w:rtl/>
        </w:rPr>
        <w:t xml:space="preserve">من بين كل </w:t>
      </w:r>
      <w:r w:rsidR="00124D01">
        <w:rPr>
          <w:rFonts w:hint="cs"/>
          <w:rtl/>
        </w:rPr>
        <w:t xml:space="preserve">10 </w:t>
      </w:r>
      <w:r>
        <w:rPr>
          <w:rtl/>
        </w:rPr>
        <w:t>من ضحايا الاعتداء</w:t>
      </w:r>
      <w:r w:rsidR="00124D01">
        <w:rPr>
          <w:rFonts w:hint="cs"/>
          <w:rtl/>
        </w:rPr>
        <w:t>ات</w:t>
      </w:r>
      <w:r>
        <w:rPr>
          <w:rtl/>
        </w:rPr>
        <w:t xml:space="preserve"> الجنسي</w:t>
      </w:r>
      <w:r w:rsidR="00124D01">
        <w:rPr>
          <w:rFonts w:hint="cs"/>
          <w:rtl/>
        </w:rPr>
        <w:t>ة</w:t>
      </w:r>
      <w:r>
        <w:rPr>
          <w:rtl/>
        </w:rPr>
        <w:t xml:space="preserve"> لا يُبلّغن الشرطة </w:t>
      </w:r>
      <w:r w:rsidR="00124D01">
        <w:rPr>
          <w:rFonts w:hint="cs"/>
          <w:rtl/>
        </w:rPr>
        <w:t xml:space="preserve">عن تلك الاعتداءات </w:t>
      </w:r>
      <w:r>
        <w:rPr>
          <w:rtl/>
        </w:rPr>
        <w:t>(</w:t>
      </w:r>
      <w:r>
        <w:t>E/CN.4/2003/75/Add.1</w:t>
      </w:r>
      <w:r>
        <w:rPr>
          <w:rtl/>
        </w:rPr>
        <w:t xml:space="preserve">، الفقرة 918). </w:t>
      </w:r>
      <w:r w:rsidR="00124D01">
        <w:rPr>
          <w:rFonts w:hint="cs"/>
          <w:rtl/>
        </w:rPr>
        <w:t>و</w:t>
      </w:r>
      <w:r>
        <w:rPr>
          <w:rtl/>
        </w:rPr>
        <w:t>يرجى تقديم بيانات إحصائية ومعلومات مستكملة عن مدى انتشار الاعتداء</w:t>
      </w:r>
      <w:r w:rsidR="00124D01">
        <w:rPr>
          <w:rFonts w:hint="cs"/>
          <w:rtl/>
        </w:rPr>
        <w:t>ات</w:t>
      </w:r>
      <w:r>
        <w:rPr>
          <w:rtl/>
        </w:rPr>
        <w:t xml:space="preserve"> الجنسي</w:t>
      </w:r>
      <w:r w:rsidR="00124D01">
        <w:rPr>
          <w:rFonts w:hint="cs"/>
          <w:rtl/>
        </w:rPr>
        <w:t>ة</w:t>
      </w:r>
      <w:r>
        <w:rPr>
          <w:rtl/>
        </w:rPr>
        <w:t xml:space="preserve"> في أستراليا، بما في ذلك معدل الإبلاغ والإدانة، وتوضيح ما </w:t>
      </w:r>
      <w:r w:rsidR="00124D01">
        <w:rPr>
          <w:rFonts w:hint="cs"/>
          <w:rtl/>
        </w:rPr>
        <w:t xml:space="preserve">يجري لتشجيع </w:t>
      </w:r>
      <w:r>
        <w:rPr>
          <w:rtl/>
        </w:rPr>
        <w:t>النساء على الاستعانة بنظام العدالة الجنائية</w:t>
      </w:r>
      <w:r w:rsidR="00124D01">
        <w:rPr>
          <w:rFonts w:hint="cs"/>
          <w:rtl/>
        </w:rPr>
        <w:t xml:space="preserve"> في</w:t>
      </w:r>
      <w:r>
        <w:rPr>
          <w:rtl/>
        </w:rPr>
        <w:t xml:space="preserve"> </w:t>
      </w:r>
      <w:r w:rsidR="00124D01">
        <w:rPr>
          <w:rFonts w:hint="cs"/>
          <w:rtl/>
        </w:rPr>
        <w:t>ا</w:t>
      </w:r>
      <w:r>
        <w:rPr>
          <w:rtl/>
        </w:rPr>
        <w:t>لإبلاغ عن حالات الاعتداء الجنسي.</w:t>
      </w:r>
    </w:p>
    <w:p w:rsidR="009637FE" w:rsidRDefault="009637FE" w:rsidP="003B171E">
      <w:pPr>
        <w:pStyle w:val="SingleTxt"/>
        <w:rPr>
          <w:rtl/>
        </w:rPr>
      </w:pPr>
      <w:r>
        <w:rPr>
          <w:rtl/>
        </w:rPr>
        <w:t>9</w:t>
      </w:r>
      <w:r w:rsidR="00124D01">
        <w:rPr>
          <w:rFonts w:hint="cs"/>
          <w:rtl/>
        </w:rPr>
        <w:t xml:space="preserve"> </w:t>
      </w:r>
      <w:r>
        <w:rPr>
          <w:rtl/>
        </w:rPr>
        <w:t>-</w:t>
      </w:r>
      <w:r>
        <w:rPr>
          <w:rtl/>
        </w:rPr>
        <w:tab/>
        <w:t>وأ</w:t>
      </w:r>
      <w:r w:rsidR="00124D01">
        <w:rPr>
          <w:rFonts w:hint="cs"/>
          <w:rtl/>
        </w:rPr>
        <w:t xml:space="preserve">فادت </w:t>
      </w:r>
      <w:r>
        <w:rPr>
          <w:rtl/>
        </w:rPr>
        <w:t xml:space="preserve">المقررة الخاصة المعنية بالعنف ضد المرأة أن أكبر فئة من النساء اللائي يعانين من العنف المنزلي هن نساء الشعوب الأصلية، تليهن </w:t>
      </w:r>
      <w:r w:rsidR="00124D01">
        <w:rPr>
          <w:rtl/>
        </w:rPr>
        <w:t>اللاجئات والمهاجرات، حيث لا</w:t>
      </w:r>
      <w:r w:rsidR="00124D01">
        <w:rPr>
          <w:rFonts w:hint="cs"/>
          <w:rtl/>
        </w:rPr>
        <w:t> </w:t>
      </w:r>
      <w:r>
        <w:rPr>
          <w:rtl/>
        </w:rPr>
        <w:t xml:space="preserve">يستطعن الاستفادة من الإطار التشريعي القوي ونظم الدعم الشامل </w:t>
      </w:r>
      <w:r w:rsidR="00124D01">
        <w:rPr>
          <w:rFonts w:hint="cs"/>
          <w:rtl/>
        </w:rPr>
        <w:t>في ا</w:t>
      </w:r>
      <w:r>
        <w:rPr>
          <w:rtl/>
        </w:rPr>
        <w:t>لتصدي للعنف المن</w:t>
      </w:r>
      <w:r w:rsidR="003B171E">
        <w:rPr>
          <w:rFonts w:hint="cs"/>
          <w:rtl/>
        </w:rPr>
        <w:t>ـ</w:t>
      </w:r>
      <w:r>
        <w:rPr>
          <w:rtl/>
        </w:rPr>
        <w:t>زلي (</w:t>
      </w:r>
      <w:r w:rsidR="00124D01">
        <w:rPr>
          <w:rFonts w:hint="cs"/>
          <w:rtl/>
        </w:rPr>
        <w:t>المرجع نفسه</w:t>
      </w:r>
      <w:r>
        <w:rPr>
          <w:rtl/>
        </w:rPr>
        <w:t>)</w:t>
      </w:r>
      <w:r w:rsidR="001F0358">
        <w:rPr>
          <w:rFonts w:hint="cs"/>
          <w:rtl/>
        </w:rPr>
        <w:t>.</w:t>
      </w:r>
      <w:r>
        <w:rPr>
          <w:rtl/>
        </w:rPr>
        <w:t xml:space="preserve"> </w:t>
      </w:r>
      <w:r w:rsidR="001F0358">
        <w:rPr>
          <w:rFonts w:hint="cs"/>
          <w:rtl/>
        </w:rPr>
        <w:t>و</w:t>
      </w:r>
      <w:r>
        <w:rPr>
          <w:rtl/>
        </w:rPr>
        <w:t xml:space="preserve">يرجى تقديم معلومات عن البرامج القائمة التي تُمكّن نساء الشعوب الأصلية واللاجئات والمهاجرات من الاستفادة من التشريعات ونظم الدعم </w:t>
      </w:r>
      <w:r w:rsidR="001F0358">
        <w:rPr>
          <w:rFonts w:hint="cs"/>
          <w:rtl/>
        </w:rPr>
        <w:t>في ا</w:t>
      </w:r>
      <w:r>
        <w:rPr>
          <w:rtl/>
        </w:rPr>
        <w:t xml:space="preserve">لتصدي للعنف المنزلي، وعن التقدم المُحرز في المبادرة الرامية إلى </w:t>
      </w:r>
      <w:r w:rsidR="001F0358">
        <w:rPr>
          <w:rFonts w:hint="cs"/>
          <w:rtl/>
        </w:rPr>
        <w:t xml:space="preserve">وضع </w:t>
      </w:r>
      <w:r>
        <w:rPr>
          <w:rtl/>
        </w:rPr>
        <w:t xml:space="preserve">استراتيجيات مفصلة حسب الحالة لمكافحة العنف المنزلي الذي يستهدف هذه الفئات من النساء. ويرجى أيضا تقديم معلومات عن التقدم المُحرز في </w:t>
      </w:r>
      <w:r w:rsidR="001F0358">
        <w:rPr>
          <w:rFonts w:hint="cs"/>
          <w:rtl/>
        </w:rPr>
        <w:t xml:space="preserve">إطار </w:t>
      </w:r>
      <w:r>
        <w:rPr>
          <w:rtl/>
        </w:rPr>
        <w:t>الجهود الرامية إلى منهجة القوانين المتعلقة بالعنف المنزلي، وكذا المبادرات الرامية إلى تعزيز إنفاذ القانون.</w:t>
      </w:r>
    </w:p>
    <w:p w:rsidR="009637FE" w:rsidRDefault="001F0358" w:rsidP="001F03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637FE">
        <w:rPr>
          <w:rtl/>
        </w:rPr>
        <w:t>الاتجار بالنساء واستغلال البغاء</w:t>
      </w:r>
    </w:p>
    <w:p w:rsidR="009637FE" w:rsidRDefault="009637FE" w:rsidP="003B171E">
      <w:pPr>
        <w:pStyle w:val="SingleTxt"/>
        <w:rPr>
          <w:rtl/>
        </w:rPr>
      </w:pPr>
      <w:r>
        <w:rPr>
          <w:rtl/>
        </w:rPr>
        <w:t>10</w:t>
      </w:r>
      <w:r w:rsidR="001F0358">
        <w:rPr>
          <w:rFonts w:hint="cs"/>
          <w:rtl/>
        </w:rPr>
        <w:t xml:space="preserve"> </w:t>
      </w:r>
      <w:r>
        <w:rPr>
          <w:rtl/>
        </w:rPr>
        <w:t>-</w:t>
      </w:r>
      <w:r>
        <w:rPr>
          <w:rtl/>
        </w:rPr>
        <w:tab/>
      </w:r>
      <w:r w:rsidR="001F0358">
        <w:rPr>
          <w:rFonts w:hint="cs"/>
          <w:rtl/>
        </w:rPr>
        <w:t xml:space="preserve">أشارت </w:t>
      </w:r>
      <w:r>
        <w:rPr>
          <w:rtl/>
        </w:rPr>
        <w:t>اللجن</w:t>
      </w:r>
      <w:r w:rsidR="001F0358">
        <w:rPr>
          <w:rtl/>
        </w:rPr>
        <w:t>ة في تعليقاتها الختامية السابقة</w:t>
      </w:r>
      <w:r w:rsidR="001F0358" w:rsidRPr="001F0358">
        <w:rPr>
          <w:rFonts w:hint="cs"/>
          <w:vertAlign w:val="superscript"/>
          <w:rtl/>
        </w:rPr>
        <w:t>(1)</w:t>
      </w:r>
      <w:r w:rsidR="001F0358">
        <w:rPr>
          <w:rFonts w:hint="cs"/>
          <w:rtl/>
        </w:rPr>
        <w:t xml:space="preserve"> </w:t>
      </w:r>
      <w:r w:rsidR="003B171E">
        <w:rPr>
          <w:rFonts w:hint="cs"/>
          <w:rtl/>
        </w:rPr>
        <w:t xml:space="preserve">إلى </w:t>
      </w:r>
      <w:r>
        <w:rPr>
          <w:rtl/>
        </w:rPr>
        <w:t xml:space="preserve">تباين قوانين الولايات فيما يتعلق بالبغاء، وشجعت الحكومة على تقييم فاعلية </w:t>
      </w:r>
      <w:r w:rsidR="003B171E">
        <w:rPr>
          <w:rFonts w:hint="cs"/>
          <w:rtl/>
        </w:rPr>
        <w:t xml:space="preserve">هذه التدابير المتباينة </w:t>
      </w:r>
      <w:r>
        <w:rPr>
          <w:rtl/>
        </w:rPr>
        <w:t xml:space="preserve">في الحد من استغلال البغاء (الفقرة 403). </w:t>
      </w:r>
      <w:r w:rsidR="003B171E">
        <w:rPr>
          <w:rFonts w:hint="cs"/>
          <w:rtl/>
        </w:rPr>
        <w:t>و</w:t>
      </w:r>
      <w:r>
        <w:rPr>
          <w:rtl/>
        </w:rPr>
        <w:t>يُرجى تقديم معلومات عما إذا كانت هذه الدراسة قد أُجريت، وعن النتائج التي أسفرت عنها.</w:t>
      </w:r>
    </w:p>
    <w:p w:rsidR="009637FE" w:rsidRDefault="009637FE" w:rsidP="001F0358">
      <w:pPr>
        <w:pStyle w:val="SingleTxt"/>
        <w:rPr>
          <w:rtl/>
        </w:rPr>
      </w:pPr>
      <w:r>
        <w:rPr>
          <w:rtl/>
        </w:rPr>
        <w:t>11</w:t>
      </w:r>
      <w:r w:rsidR="001F0358">
        <w:rPr>
          <w:rFonts w:hint="cs"/>
          <w:rtl/>
        </w:rPr>
        <w:t xml:space="preserve"> </w:t>
      </w:r>
      <w:r>
        <w:rPr>
          <w:rtl/>
        </w:rPr>
        <w:t>-</w:t>
      </w:r>
      <w:r>
        <w:rPr>
          <w:rtl/>
        </w:rPr>
        <w:tab/>
      </w:r>
      <w:r w:rsidR="001F0358">
        <w:rPr>
          <w:rFonts w:hint="cs"/>
          <w:rtl/>
        </w:rPr>
        <w:t>و</w:t>
      </w:r>
      <w:r>
        <w:rPr>
          <w:rtl/>
        </w:rPr>
        <w:t>يُرجى تقديم معلومات مستكملة عن تدابير الحد من الميل الجنسي إلى الأطفال و</w:t>
      </w:r>
      <w:r w:rsidR="001F0358">
        <w:rPr>
          <w:rFonts w:hint="cs"/>
          <w:rtl/>
        </w:rPr>
        <w:t xml:space="preserve">اشتراك الرجال الأستراليين في </w:t>
      </w:r>
      <w:r>
        <w:rPr>
          <w:rtl/>
        </w:rPr>
        <w:t xml:space="preserve">السياحة الجنسية، </w:t>
      </w:r>
      <w:r w:rsidR="001F0358">
        <w:rPr>
          <w:rFonts w:hint="cs"/>
          <w:rtl/>
        </w:rPr>
        <w:t xml:space="preserve">وهو ما يجري </w:t>
      </w:r>
      <w:r>
        <w:rPr>
          <w:rtl/>
        </w:rPr>
        <w:t xml:space="preserve">أساسا في البلدان الآسيوية، وعن حالة النساء اللائي </w:t>
      </w:r>
      <w:r w:rsidR="001F0358">
        <w:rPr>
          <w:rFonts w:hint="cs"/>
          <w:rtl/>
        </w:rPr>
        <w:t xml:space="preserve">يؤتى بهن </w:t>
      </w:r>
      <w:r>
        <w:rPr>
          <w:rtl/>
        </w:rPr>
        <w:t>إلى أستراليا</w:t>
      </w:r>
      <w:r w:rsidR="001F0358">
        <w:rPr>
          <w:rFonts w:hint="cs"/>
          <w:rtl/>
        </w:rPr>
        <w:t xml:space="preserve"> لأغراض الزواج</w:t>
      </w:r>
      <w:r>
        <w:rPr>
          <w:rtl/>
        </w:rPr>
        <w:t>.</w:t>
      </w:r>
    </w:p>
    <w:p w:rsidR="009637FE" w:rsidRDefault="001F0358" w:rsidP="001F03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637FE">
        <w:rPr>
          <w:rtl/>
        </w:rPr>
        <w:t>المشاركة في الحياة السياسية والحياة العامة</w:t>
      </w:r>
    </w:p>
    <w:p w:rsidR="009637FE" w:rsidRDefault="009637FE" w:rsidP="009637FE">
      <w:pPr>
        <w:pStyle w:val="SingleTxt"/>
        <w:rPr>
          <w:rtl/>
        </w:rPr>
      </w:pPr>
      <w:r>
        <w:rPr>
          <w:rtl/>
        </w:rPr>
        <w:t>12</w:t>
      </w:r>
      <w:r w:rsidR="001F0358">
        <w:rPr>
          <w:rFonts w:hint="cs"/>
          <w:rtl/>
        </w:rPr>
        <w:t xml:space="preserve"> </w:t>
      </w:r>
      <w:r>
        <w:rPr>
          <w:rtl/>
        </w:rPr>
        <w:t>-</w:t>
      </w:r>
      <w:r>
        <w:rPr>
          <w:rtl/>
        </w:rPr>
        <w:tab/>
        <w:t>شجعت اللجنة في تعليقاتها الختامية السابقة</w:t>
      </w:r>
      <w:r w:rsidR="001F0358" w:rsidRPr="001F0358">
        <w:rPr>
          <w:rFonts w:hint="cs"/>
          <w:vertAlign w:val="superscript"/>
          <w:rtl/>
        </w:rPr>
        <w:t>(1)</w:t>
      </w:r>
      <w:r>
        <w:rPr>
          <w:rtl/>
        </w:rPr>
        <w:t xml:space="preserve"> الحكومة على تجميع بيانات إحصائية عن مشاركة نساء القبائل الأصلية وجزر مضيق توريس في صنع القرار، وفي السياسة والإدارة والقضاء (الفقرة 404). </w:t>
      </w:r>
      <w:r w:rsidR="001F0358">
        <w:rPr>
          <w:rFonts w:hint="cs"/>
          <w:rtl/>
        </w:rPr>
        <w:t>و</w:t>
      </w:r>
      <w:r>
        <w:rPr>
          <w:rtl/>
        </w:rPr>
        <w:t>يرجى تقديم هذه المعلومات.</w:t>
      </w:r>
    </w:p>
    <w:p w:rsidR="009637FE" w:rsidRDefault="009637FE" w:rsidP="001F0358">
      <w:pPr>
        <w:pStyle w:val="SingleTxt"/>
        <w:rPr>
          <w:rtl/>
        </w:rPr>
      </w:pPr>
      <w:r>
        <w:rPr>
          <w:rtl/>
        </w:rPr>
        <w:t>13</w:t>
      </w:r>
      <w:r w:rsidR="001F0358">
        <w:rPr>
          <w:rFonts w:hint="cs"/>
          <w:rtl/>
        </w:rPr>
        <w:t xml:space="preserve"> </w:t>
      </w:r>
      <w:r>
        <w:rPr>
          <w:rtl/>
        </w:rPr>
        <w:t>-</w:t>
      </w:r>
      <w:r>
        <w:rPr>
          <w:rtl/>
        </w:rPr>
        <w:tab/>
        <w:t xml:space="preserve">ويشير التقرير إلى أن التدابير الرامية إلى زيادة عدد النساء اللائي يشتركن في الحياة السياسية والحياة العامة لم تعتمد على </w:t>
      </w:r>
      <w:r w:rsidR="001F0358">
        <w:rPr>
          <w:rFonts w:hint="cs"/>
          <w:rtl/>
        </w:rPr>
        <w:t xml:space="preserve">فرض أمور معينة أو على حصص إجبارية وأن </w:t>
      </w:r>
      <w:r>
        <w:rPr>
          <w:rtl/>
        </w:rPr>
        <w:t xml:space="preserve">النساء الأستراليات يجرى اختيارهن على أساس كفاءتهن </w:t>
      </w:r>
      <w:r w:rsidR="001F0358">
        <w:rPr>
          <w:rFonts w:hint="cs"/>
          <w:rtl/>
        </w:rPr>
        <w:t xml:space="preserve">حتى </w:t>
      </w:r>
      <w:r>
        <w:rPr>
          <w:rtl/>
        </w:rPr>
        <w:t xml:space="preserve">أعلى المستويات (الفقرة 112). وفي ضوء التوصية 25 </w:t>
      </w:r>
      <w:r w:rsidR="001F0358">
        <w:rPr>
          <w:rFonts w:hint="cs"/>
          <w:rtl/>
        </w:rPr>
        <w:t xml:space="preserve">المتعلقة بالفقرة 1 من </w:t>
      </w:r>
      <w:r>
        <w:rPr>
          <w:rtl/>
        </w:rPr>
        <w:t>المادة 4، من الاتفاقية</w:t>
      </w:r>
      <w:r w:rsidR="001F0358">
        <w:rPr>
          <w:rFonts w:hint="cs"/>
          <w:rtl/>
        </w:rPr>
        <w:t>،</w:t>
      </w:r>
      <w:r>
        <w:rPr>
          <w:rtl/>
        </w:rPr>
        <w:t xml:space="preserve"> المتعلقة بالتدابير الخاصة المؤقتة، يُرجى توضيح </w:t>
      </w:r>
      <w:r w:rsidR="001F0358">
        <w:rPr>
          <w:rFonts w:hint="cs"/>
          <w:rtl/>
        </w:rPr>
        <w:t xml:space="preserve">السبب في عدم استخدام الحصص أو تحديد أهداف معينة </w:t>
      </w:r>
      <w:r>
        <w:rPr>
          <w:rtl/>
        </w:rPr>
        <w:t xml:space="preserve">من أجل زيادة أعداد النساء في </w:t>
      </w:r>
      <w:r w:rsidR="001F0358">
        <w:rPr>
          <w:rFonts w:hint="cs"/>
          <w:rtl/>
        </w:rPr>
        <w:t>ال</w:t>
      </w:r>
      <w:r>
        <w:rPr>
          <w:rtl/>
        </w:rPr>
        <w:t xml:space="preserve">مناصب </w:t>
      </w:r>
      <w:r w:rsidR="001F0358">
        <w:rPr>
          <w:rFonts w:hint="cs"/>
          <w:rtl/>
        </w:rPr>
        <w:t>ال</w:t>
      </w:r>
      <w:r>
        <w:rPr>
          <w:rtl/>
        </w:rPr>
        <w:t xml:space="preserve">سياسية أو </w:t>
      </w:r>
      <w:r w:rsidR="001F0358">
        <w:rPr>
          <w:rFonts w:hint="cs"/>
          <w:rtl/>
        </w:rPr>
        <w:t>ال</w:t>
      </w:r>
      <w:r>
        <w:rPr>
          <w:rtl/>
        </w:rPr>
        <w:t>عامة، ولا</w:t>
      </w:r>
      <w:r w:rsidR="001F0358">
        <w:rPr>
          <w:rFonts w:hint="cs"/>
          <w:rtl/>
        </w:rPr>
        <w:t> </w:t>
      </w:r>
      <w:r>
        <w:rPr>
          <w:rtl/>
        </w:rPr>
        <w:t xml:space="preserve">سيما بالنسبة لأولئك اللائي </w:t>
      </w:r>
      <w:r w:rsidR="001F0358">
        <w:rPr>
          <w:rFonts w:hint="cs"/>
          <w:rtl/>
        </w:rPr>
        <w:t>قد يتعرضن</w:t>
      </w:r>
      <w:r w:rsidR="003B171E">
        <w:rPr>
          <w:rFonts w:hint="cs"/>
          <w:rtl/>
        </w:rPr>
        <w:t>،</w:t>
      </w:r>
      <w:r w:rsidR="001F0358">
        <w:rPr>
          <w:rFonts w:hint="cs"/>
          <w:rtl/>
        </w:rPr>
        <w:t xml:space="preserve"> أو يتعرضن بالفعل</w:t>
      </w:r>
      <w:r>
        <w:rPr>
          <w:rtl/>
        </w:rPr>
        <w:t xml:space="preserve">، لأشكال متعددة من التمييز، مثل </w:t>
      </w:r>
      <w:r w:rsidR="001F0358">
        <w:rPr>
          <w:rFonts w:hint="cs"/>
          <w:rtl/>
        </w:rPr>
        <w:t xml:space="preserve">المنتميات </w:t>
      </w:r>
      <w:r>
        <w:rPr>
          <w:rtl/>
        </w:rPr>
        <w:t>لأقليات عرقية والمهاجرات.</w:t>
      </w:r>
    </w:p>
    <w:p w:rsidR="009637FE" w:rsidRDefault="001F0358" w:rsidP="001F03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637FE">
        <w:rPr>
          <w:rtl/>
        </w:rPr>
        <w:t>القوالب النمطية والتعليم</w:t>
      </w:r>
    </w:p>
    <w:p w:rsidR="009637FE" w:rsidRDefault="009637FE" w:rsidP="002B3B3D">
      <w:pPr>
        <w:pStyle w:val="SingleTxt"/>
        <w:rPr>
          <w:rtl/>
        </w:rPr>
      </w:pPr>
      <w:r>
        <w:rPr>
          <w:rtl/>
        </w:rPr>
        <w:t>14</w:t>
      </w:r>
      <w:r w:rsidR="001F0358">
        <w:rPr>
          <w:rFonts w:hint="cs"/>
          <w:rtl/>
        </w:rPr>
        <w:t xml:space="preserve"> </w:t>
      </w:r>
      <w:r>
        <w:rPr>
          <w:rtl/>
        </w:rPr>
        <w:t>-</w:t>
      </w:r>
      <w:r>
        <w:rPr>
          <w:rtl/>
        </w:rPr>
        <w:tab/>
        <w:t>يشير التقرير إلى أن الحكومة قد أعطت الأولوية في خطة عمل بيجين + 5 لل</w:t>
      </w:r>
      <w:r w:rsidR="002B3B3D">
        <w:rPr>
          <w:rFonts w:hint="cs"/>
          <w:rtl/>
        </w:rPr>
        <w:t xml:space="preserve">فترة </w:t>
      </w:r>
      <w:r>
        <w:rPr>
          <w:rtl/>
        </w:rPr>
        <w:t>2001-2005</w:t>
      </w:r>
      <w:r w:rsidR="002B3B3D">
        <w:rPr>
          <w:rFonts w:hint="cs"/>
          <w:rtl/>
        </w:rPr>
        <w:t>،</w:t>
      </w:r>
      <w:r>
        <w:rPr>
          <w:rtl/>
        </w:rPr>
        <w:t xml:space="preserve"> للقضاء على القوالب النمطية ال</w:t>
      </w:r>
      <w:r w:rsidR="002B3B3D">
        <w:rPr>
          <w:rFonts w:hint="cs"/>
          <w:rtl/>
        </w:rPr>
        <w:t xml:space="preserve">ضارة </w:t>
      </w:r>
      <w:r>
        <w:rPr>
          <w:rtl/>
        </w:rPr>
        <w:t xml:space="preserve">القائمة على أساس </w:t>
      </w:r>
      <w:r w:rsidR="002B3B3D">
        <w:rPr>
          <w:rFonts w:hint="cs"/>
          <w:rtl/>
        </w:rPr>
        <w:t xml:space="preserve">نوع </w:t>
      </w:r>
      <w:r>
        <w:rPr>
          <w:rtl/>
        </w:rPr>
        <w:t xml:space="preserve">الجنس (الفقرة 68)، لكنه لا يُعطي أية تفاصيل عن الاستراتيجيات التي أقرت من أجل القضاء على القواعد والقوالب النمطية للسلطة الأبوية في أستراليا، ولا عن التدابير المتخذة لمكافحة القبول بالأدوار النمطية للرجال والنساء. </w:t>
      </w:r>
      <w:r w:rsidR="002B3B3D">
        <w:rPr>
          <w:rFonts w:hint="cs"/>
          <w:rtl/>
        </w:rPr>
        <w:t>و</w:t>
      </w:r>
      <w:r>
        <w:rPr>
          <w:rtl/>
        </w:rPr>
        <w:t>يرجى تقديم معلومات مُفصلة عما إن كانت ثمة استراتيجية شاملة للتصدي لهيمنة القوالب النمطية التي تحول دون المشاركة الكاملة للمرأة في أستراليا، وعن الجهود المبذولة من الكومنولث وحكومات الولايات والأقاليم للقضاء على القوالب النمطية على نطاق جميع القطاعات والدوائر، عملا بالمادة 5</w:t>
      </w:r>
      <w:r w:rsidR="002B3B3D">
        <w:rPr>
          <w:rFonts w:hint="cs"/>
          <w:rtl/>
        </w:rPr>
        <w:t xml:space="preserve"> </w:t>
      </w:r>
      <w:r>
        <w:rPr>
          <w:rtl/>
        </w:rPr>
        <w:t>(أ) من الاتفاقية.</w:t>
      </w:r>
    </w:p>
    <w:p w:rsidR="009637FE" w:rsidRDefault="009637FE" w:rsidP="003B171E">
      <w:pPr>
        <w:pStyle w:val="SingleTxt"/>
        <w:rPr>
          <w:rtl/>
        </w:rPr>
      </w:pPr>
      <w:r>
        <w:rPr>
          <w:rtl/>
        </w:rPr>
        <w:t>15</w:t>
      </w:r>
      <w:r w:rsidR="002B3B3D">
        <w:rPr>
          <w:rFonts w:hint="cs"/>
          <w:rtl/>
        </w:rPr>
        <w:t xml:space="preserve"> </w:t>
      </w:r>
      <w:r>
        <w:rPr>
          <w:rtl/>
        </w:rPr>
        <w:t>-</w:t>
      </w:r>
      <w:r>
        <w:rPr>
          <w:rtl/>
        </w:rPr>
        <w:tab/>
        <w:t xml:space="preserve">ويُلاحظ التقرير أن أستراليا حددت مجموعة جديدة من الأهداف الوطنية </w:t>
      </w:r>
      <w:r w:rsidR="002B3B3D">
        <w:rPr>
          <w:rFonts w:hint="cs"/>
          <w:rtl/>
        </w:rPr>
        <w:t xml:space="preserve">في مجال التعليم </w:t>
      </w:r>
      <w:r>
        <w:rPr>
          <w:rtl/>
        </w:rPr>
        <w:t>في القرن الحادي والعشرين (الفقرة 213</w:t>
      </w:r>
      <w:r w:rsidR="003B171E">
        <w:rPr>
          <w:rFonts w:hint="cs"/>
          <w:rtl/>
        </w:rPr>
        <w:t>)</w:t>
      </w:r>
      <w:r>
        <w:rPr>
          <w:rtl/>
        </w:rPr>
        <w:t xml:space="preserve">، لكنه لا يُعطى </w:t>
      </w:r>
      <w:r w:rsidR="002B3B3D">
        <w:rPr>
          <w:rFonts w:hint="cs"/>
          <w:rtl/>
        </w:rPr>
        <w:t xml:space="preserve">أي </w:t>
      </w:r>
      <w:r>
        <w:rPr>
          <w:rtl/>
        </w:rPr>
        <w:t xml:space="preserve">معلومات عن الأولويات والاستراتيجيات التي وضعت من أجل التصدي لمسائل بعينها تتعلق بتعليم الفتيات والخطط الوطنية للقضاء على القوالب النمطية عن طريق النظام التعليمي. </w:t>
      </w:r>
      <w:r w:rsidR="002B3B3D">
        <w:rPr>
          <w:rFonts w:hint="cs"/>
          <w:rtl/>
        </w:rPr>
        <w:t>و</w:t>
      </w:r>
      <w:r>
        <w:rPr>
          <w:rtl/>
        </w:rPr>
        <w:t>يرجى تقديم هذه المعلومات. وبالإضافة إلى ذلك، يرجى تقديم معلومات عن أي نوع من التقييم للإستراتيجية الوطنية للتعليم والتدريب المهني للمرأة (1996) والإصلاحات الجديدة في مجال التلمذة الصناعية (الفقر</w:t>
      </w:r>
      <w:r w:rsidR="002B3B3D">
        <w:rPr>
          <w:rFonts w:hint="cs"/>
          <w:rtl/>
        </w:rPr>
        <w:t>تان</w:t>
      </w:r>
      <w:r>
        <w:rPr>
          <w:rtl/>
        </w:rPr>
        <w:t xml:space="preserve"> 223</w:t>
      </w:r>
      <w:r w:rsidR="003B171E">
        <w:rPr>
          <w:rFonts w:hint="cs"/>
          <w:rtl/>
        </w:rPr>
        <w:t xml:space="preserve"> </w:t>
      </w:r>
      <w:r w:rsidR="002B3B3D">
        <w:rPr>
          <w:rFonts w:hint="cs"/>
          <w:rtl/>
        </w:rPr>
        <w:t>و 224</w:t>
      </w:r>
      <w:r>
        <w:rPr>
          <w:rtl/>
        </w:rPr>
        <w:t xml:space="preserve">)، مع التركيز على كيفية استفادة نساء الشعوب الأصلية من هذه البرامج. </w:t>
      </w:r>
    </w:p>
    <w:p w:rsidR="009637FE" w:rsidRDefault="009637FE" w:rsidP="002B3B3D">
      <w:pPr>
        <w:pStyle w:val="SingleTxt"/>
        <w:rPr>
          <w:rtl/>
        </w:rPr>
      </w:pPr>
      <w:r>
        <w:rPr>
          <w:rtl/>
        </w:rPr>
        <w:t>16</w:t>
      </w:r>
      <w:r w:rsidR="002B3B3D">
        <w:rPr>
          <w:rFonts w:hint="cs"/>
          <w:rtl/>
        </w:rPr>
        <w:t xml:space="preserve"> </w:t>
      </w:r>
      <w:r>
        <w:rPr>
          <w:rtl/>
        </w:rPr>
        <w:t>-</w:t>
      </w:r>
      <w:r>
        <w:rPr>
          <w:rtl/>
        </w:rPr>
        <w:tab/>
        <w:t xml:space="preserve">ويذكر التقرير أنه في الوقت الذي يفوق أداء الشابات أداء الشبان في المدارس ولهن حضور أكبر في التعليم العالي، لا تزال نتائج النساء في سوق العمل أدنى، نظرا لعوامل متنوعة (الفقرة 222). </w:t>
      </w:r>
      <w:r w:rsidR="002B3B3D">
        <w:rPr>
          <w:rFonts w:hint="cs"/>
          <w:rtl/>
        </w:rPr>
        <w:t>ف</w:t>
      </w:r>
      <w:r>
        <w:rPr>
          <w:rtl/>
        </w:rPr>
        <w:t xml:space="preserve">ما هي الاستراتيجيات التي وضعتها الحكومة أو </w:t>
      </w:r>
      <w:r w:rsidR="002B3B3D">
        <w:rPr>
          <w:rFonts w:hint="cs"/>
          <w:rtl/>
        </w:rPr>
        <w:t xml:space="preserve">تنظر في وضعها </w:t>
      </w:r>
      <w:r>
        <w:rPr>
          <w:rtl/>
        </w:rPr>
        <w:t xml:space="preserve">لضمان أن </w:t>
      </w:r>
      <w:r w:rsidR="002B3B3D">
        <w:rPr>
          <w:rFonts w:hint="cs"/>
          <w:rtl/>
        </w:rPr>
        <w:t xml:space="preserve">تسعى </w:t>
      </w:r>
      <w:r>
        <w:rPr>
          <w:rtl/>
        </w:rPr>
        <w:t xml:space="preserve">الشابات </w:t>
      </w:r>
      <w:r w:rsidR="002B3B3D">
        <w:rPr>
          <w:rFonts w:hint="cs"/>
          <w:rtl/>
        </w:rPr>
        <w:t xml:space="preserve">للحصول </w:t>
      </w:r>
      <w:r>
        <w:rPr>
          <w:rtl/>
        </w:rPr>
        <w:t xml:space="preserve">على وظائف تتناسب مع مؤهلاتهن </w:t>
      </w:r>
      <w:r w:rsidR="002B3B3D">
        <w:rPr>
          <w:rFonts w:hint="cs"/>
          <w:rtl/>
        </w:rPr>
        <w:t>الأكاديمية، وأن تعملن بالفعل في هذه الوظائف</w:t>
      </w:r>
      <w:r>
        <w:rPr>
          <w:rtl/>
        </w:rPr>
        <w:t>؟</w:t>
      </w:r>
    </w:p>
    <w:p w:rsidR="009637FE" w:rsidRDefault="009637FE" w:rsidP="00145BB3">
      <w:pPr>
        <w:pStyle w:val="SingleTxt"/>
        <w:rPr>
          <w:rtl/>
        </w:rPr>
      </w:pPr>
      <w:r>
        <w:rPr>
          <w:rtl/>
        </w:rPr>
        <w:t>17</w:t>
      </w:r>
      <w:r w:rsidR="00145BB3">
        <w:rPr>
          <w:rFonts w:hint="cs"/>
          <w:rtl/>
        </w:rPr>
        <w:t xml:space="preserve"> </w:t>
      </w:r>
      <w:r>
        <w:rPr>
          <w:rtl/>
        </w:rPr>
        <w:t>-</w:t>
      </w:r>
      <w:r>
        <w:rPr>
          <w:rtl/>
        </w:rPr>
        <w:tab/>
      </w:r>
      <w:r w:rsidR="00145BB3">
        <w:rPr>
          <w:rFonts w:hint="cs"/>
          <w:rtl/>
        </w:rPr>
        <w:t>و</w:t>
      </w:r>
      <w:r>
        <w:rPr>
          <w:rtl/>
        </w:rPr>
        <w:t xml:space="preserve">يُرجى تقديم معلومات </w:t>
      </w:r>
      <w:r w:rsidR="003B171E">
        <w:rPr>
          <w:rFonts w:hint="cs"/>
          <w:rtl/>
        </w:rPr>
        <w:t xml:space="preserve">عن </w:t>
      </w:r>
      <w:r w:rsidR="00145BB3">
        <w:rPr>
          <w:rFonts w:hint="cs"/>
          <w:rtl/>
        </w:rPr>
        <w:t>تأثر كل من الجنسين ب</w:t>
      </w:r>
      <w:r>
        <w:rPr>
          <w:rtl/>
        </w:rPr>
        <w:t>قانون دعم التعليم العالي (2003) الذي ي</w:t>
      </w:r>
      <w:r w:rsidR="00145BB3">
        <w:rPr>
          <w:rFonts w:hint="cs"/>
          <w:rtl/>
        </w:rPr>
        <w:t xml:space="preserve">قضي بزيادة </w:t>
      </w:r>
      <w:r>
        <w:rPr>
          <w:rtl/>
        </w:rPr>
        <w:t xml:space="preserve">الرسوم الجامعية بنسبة 25 في المائة، والقانون المعدل لدعم التعليم العالي (2005) الذي يحد من الخدمات الأساسية </w:t>
      </w:r>
      <w:r w:rsidR="00145BB3">
        <w:rPr>
          <w:rFonts w:hint="cs"/>
          <w:rtl/>
        </w:rPr>
        <w:t xml:space="preserve">المقدمة </w:t>
      </w:r>
      <w:r>
        <w:rPr>
          <w:rtl/>
        </w:rPr>
        <w:t>في رحاب الجامعات</w:t>
      </w:r>
      <w:r w:rsidR="00145BB3">
        <w:rPr>
          <w:rFonts w:hint="cs"/>
          <w:rtl/>
        </w:rPr>
        <w:t>،</w:t>
      </w:r>
      <w:r>
        <w:rPr>
          <w:rtl/>
        </w:rPr>
        <w:t xml:space="preserve"> مثل رعاية الأطفال بأسعار معقولة وب</w:t>
      </w:r>
      <w:r w:rsidR="00145BB3">
        <w:rPr>
          <w:rFonts w:hint="cs"/>
          <w:rtl/>
        </w:rPr>
        <w:t xml:space="preserve">صورة مرنة، </w:t>
      </w:r>
      <w:r>
        <w:rPr>
          <w:rtl/>
        </w:rPr>
        <w:t>والرعاية الاجتماعية</w:t>
      </w:r>
      <w:r w:rsidR="00145BB3">
        <w:rPr>
          <w:rFonts w:hint="cs"/>
          <w:rtl/>
        </w:rPr>
        <w:t>،</w:t>
      </w:r>
      <w:r>
        <w:rPr>
          <w:rtl/>
        </w:rPr>
        <w:t xml:space="preserve"> والإيواء</w:t>
      </w:r>
      <w:r w:rsidR="00145BB3">
        <w:rPr>
          <w:rFonts w:hint="cs"/>
          <w:rtl/>
        </w:rPr>
        <w:t>،</w:t>
      </w:r>
      <w:r>
        <w:rPr>
          <w:rtl/>
        </w:rPr>
        <w:t xml:space="preserve"> وخدمات الإرشاد.</w:t>
      </w:r>
    </w:p>
    <w:p w:rsidR="009637FE" w:rsidRDefault="009637FE" w:rsidP="003B171E">
      <w:pPr>
        <w:pStyle w:val="SingleTxt"/>
        <w:rPr>
          <w:rFonts w:hint="cs"/>
          <w:rtl/>
        </w:rPr>
      </w:pPr>
      <w:r>
        <w:rPr>
          <w:rtl/>
        </w:rPr>
        <w:t>18</w:t>
      </w:r>
      <w:r w:rsidR="00145BB3">
        <w:rPr>
          <w:rFonts w:hint="cs"/>
          <w:rtl/>
        </w:rPr>
        <w:t xml:space="preserve"> </w:t>
      </w:r>
      <w:r>
        <w:rPr>
          <w:rtl/>
        </w:rPr>
        <w:t>-</w:t>
      </w:r>
      <w:r>
        <w:rPr>
          <w:rtl/>
        </w:rPr>
        <w:tab/>
      </w:r>
      <w:r w:rsidR="00145BB3">
        <w:rPr>
          <w:rFonts w:hint="cs"/>
          <w:rtl/>
        </w:rPr>
        <w:t>و</w:t>
      </w:r>
      <w:r>
        <w:rPr>
          <w:rtl/>
        </w:rPr>
        <w:t xml:space="preserve">يرجى توضيح الخطوات </w:t>
      </w:r>
      <w:r w:rsidR="00145BB3">
        <w:rPr>
          <w:rFonts w:hint="cs"/>
          <w:rtl/>
        </w:rPr>
        <w:t xml:space="preserve">المتخذة </w:t>
      </w:r>
      <w:r>
        <w:rPr>
          <w:rtl/>
        </w:rPr>
        <w:t xml:space="preserve">من أجل ضمان </w:t>
      </w:r>
      <w:r w:rsidR="00145BB3">
        <w:rPr>
          <w:rFonts w:hint="cs"/>
          <w:rtl/>
        </w:rPr>
        <w:t>الإمكانية الكاملة لالتحاق فتيات الشعوب ا</w:t>
      </w:r>
      <w:r w:rsidR="003B171E">
        <w:rPr>
          <w:rFonts w:hint="cs"/>
          <w:rtl/>
        </w:rPr>
        <w:t>لأ</w:t>
      </w:r>
      <w:r w:rsidR="00145BB3">
        <w:rPr>
          <w:rFonts w:hint="cs"/>
          <w:rtl/>
        </w:rPr>
        <w:t>صلية ب</w:t>
      </w:r>
      <w:r>
        <w:rPr>
          <w:rtl/>
        </w:rPr>
        <w:t>المدارس وبقائهن بها على نطاق جميع الولايات وا</w:t>
      </w:r>
      <w:r w:rsidR="00145BB3">
        <w:rPr>
          <w:rtl/>
        </w:rPr>
        <w:t>لأقاليم، ومستوى تحصيلهن العلمي.</w:t>
      </w:r>
    </w:p>
    <w:p w:rsidR="009637FE" w:rsidRDefault="00145BB3" w:rsidP="00145B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637FE">
        <w:rPr>
          <w:rtl/>
        </w:rPr>
        <w:t>العمالة</w:t>
      </w:r>
    </w:p>
    <w:p w:rsidR="009637FE" w:rsidRDefault="009637FE" w:rsidP="00145BB3">
      <w:pPr>
        <w:pStyle w:val="SingleTxt"/>
        <w:rPr>
          <w:rtl/>
        </w:rPr>
      </w:pPr>
      <w:r>
        <w:rPr>
          <w:rtl/>
        </w:rPr>
        <w:t>19</w:t>
      </w:r>
      <w:r w:rsidR="00145BB3">
        <w:rPr>
          <w:rFonts w:hint="cs"/>
          <w:rtl/>
        </w:rPr>
        <w:t xml:space="preserve"> </w:t>
      </w:r>
      <w:r>
        <w:rPr>
          <w:rtl/>
        </w:rPr>
        <w:t>-</w:t>
      </w:r>
      <w:r>
        <w:rPr>
          <w:rtl/>
        </w:rPr>
        <w:tab/>
        <w:t>أوصت اللجنة في تعليقاتها الختامية السابقة</w:t>
      </w:r>
      <w:r w:rsidR="00145BB3" w:rsidRPr="00145BB3">
        <w:rPr>
          <w:rFonts w:hint="cs"/>
          <w:vertAlign w:val="superscript"/>
          <w:rtl/>
        </w:rPr>
        <w:t>(1)</w:t>
      </w:r>
      <w:r>
        <w:rPr>
          <w:rtl/>
        </w:rPr>
        <w:t xml:space="preserve"> بإجراء تقييم لقانون العلاقات في أماكن العمل لعام 1996، بما في ذلك تقييم أثره على النساء من مختلف الفئات العمرية والمستويات التعليمية و</w:t>
      </w:r>
      <w:r w:rsidR="00145BB3">
        <w:rPr>
          <w:rFonts w:hint="cs"/>
          <w:rtl/>
        </w:rPr>
        <w:t>المجموعات</w:t>
      </w:r>
      <w:r>
        <w:rPr>
          <w:rtl/>
        </w:rPr>
        <w:t xml:space="preserve"> الوظيفية. وطالبت اللجنة على </w:t>
      </w:r>
      <w:r w:rsidR="00145BB3">
        <w:rPr>
          <w:rFonts w:hint="cs"/>
          <w:rtl/>
        </w:rPr>
        <w:t xml:space="preserve">وجه </w:t>
      </w:r>
      <w:r>
        <w:rPr>
          <w:rtl/>
        </w:rPr>
        <w:t xml:space="preserve">الخصوص بتقييم أثر القانون في العمل بدوام جزئي والعمل العارض، وفي </w:t>
      </w:r>
      <w:r w:rsidR="00145BB3">
        <w:rPr>
          <w:rFonts w:hint="cs"/>
          <w:rtl/>
        </w:rPr>
        <w:t xml:space="preserve">استحقاقات </w:t>
      </w:r>
      <w:r>
        <w:rPr>
          <w:rtl/>
        </w:rPr>
        <w:t>المرأة العاملة</w:t>
      </w:r>
      <w:r w:rsidR="00145BB3">
        <w:rPr>
          <w:rFonts w:hint="cs"/>
          <w:rtl/>
        </w:rPr>
        <w:t>،</w:t>
      </w:r>
      <w:r>
        <w:rPr>
          <w:rtl/>
        </w:rPr>
        <w:t xml:space="preserve"> وفي العاملين ممن لهم مسؤوليات أسرية، ولا</w:t>
      </w:r>
      <w:r w:rsidR="003B171E">
        <w:rPr>
          <w:rFonts w:hint="cs"/>
          <w:rtl/>
        </w:rPr>
        <w:t xml:space="preserve"> </w:t>
      </w:r>
      <w:r>
        <w:rPr>
          <w:rtl/>
        </w:rPr>
        <w:t>سيما في قدرة المرأة على ا</w:t>
      </w:r>
      <w:r w:rsidR="00145BB3">
        <w:rPr>
          <w:rtl/>
        </w:rPr>
        <w:t>لحصول على إجازة الأمومة (الفقرة</w:t>
      </w:r>
      <w:r w:rsidR="00145BB3">
        <w:rPr>
          <w:rFonts w:hint="cs"/>
          <w:rtl/>
        </w:rPr>
        <w:t> </w:t>
      </w:r>
      <w:r>
        <w:rPr>
          <w:rtl/>
        </w:rPr>
        <w:t xml:space="preserve">399). </w:t>
      </w:r>
      <w:r w:rsidR="00145BB3">
        <w:rPr>
          <w:rFonts w:hint="cs"/>
          <w:rtl/>
        </w:rPr>
        <w:t>و</w:t>
      </w:r>
      <w:r>
        <w:rPr>
          <w:rtl/>
        </w:rPr>
        <w:t xml:space="preserve">يُرجى توضيح ما إذا كان هذا التقييم قد تم، وما هي نتائجه. </w:t>
      </w:r>
      <w:r w:rsidR="00145BB3">
        <w:rPr>
          <w:rFonts w:hint="cs"/>
          <w:rtl/>
        </w:rPr>
        <w:t xml:space="preserve">كما </w:t>
      </w:r>
      <w:r>
        <w:rPr>
          <w:rtl/>
        </w:rPr>
        <w:t>يرجى توضيح أثر قانون تكافؤ الفرص للنساء في أماكن العمل لعام 1997.</w:t>
      </w:r>
    </w:p>
    <w:p w:rsidR="009637FE" w:rsidRDefault="009637FE" w:rsidP="00A977F9">
      <w:pPr>
        <w:pStyle w:val="SingleTxt"/>
        <w:rPr>
          <w:rtl/>
        </w:rPr>
      </w:pPr>
      <w:r>
        <w:rPr>
          <w:rtl/>
        </w:rPr>
        <w:t>20</w:t>
      </w:r>
      <w:r w:rsidR="00145BB3">
        <w:rPr>
          <w:rFonts w:hint="cs"/>
          <w:rtl/>
        </w:rPr>
        <w:t xml:space="preserve"> </w:t>
      </w:r>
      <w:r>
        <w:rPr>
          <w:rtl/>
        </w:rPr>
        <w:t>-</w:t>
      </w:r>
      <w:r>
        <w:rPr>
          <w:rtl/>
        </w:rPr>
        <w:tab/>
      </w:r>
      <w:r w:rsidR="00A977F9">
        <w:rPr>
          <w:rFonts w:hint="cs"/>
          <w:rtl/>
        </w:rPr>
        <w:t>و</w:t>
      </w:r>
      <w:r>
        <w:rPr>
          <w:rtl/>
        </w:rPr>
        <w:t xml:space="preserve">ليس لدى أستراليا تشريع ينص على إجازة أمومة </w:t>
      </w:r>
      <w:r w:rsidR="00A977F9">
        <w:rPr>
          <w:rFonts w:hint="cs"/>
          <w:rtl/>
        </w:rPr>
        <w:t>مدفوعة الأجر</w:t>
      </w:r>
      <w:r>
        <w:rPr>
          <w:rtl/>
        </w:rPr>
        <w:t xml:space="preserve">، وحسب التقرير، فإن 38 في المائة فقط من النساء لديهن فرص الحصول على </w:t>
      </w:r>
      <w:r w:rsidR="00A977F9">
        <w:rPr>
          <w:rFonts w:hint="cs"/>
          <w:rtl/>
        </w:rPr>
        <w:t>مثل تلك الإ</w:t>
      </w:r>
      <w:r>
        <w:rPr>
          <w:rtl/>
        </w:rPr>
        <w:t xml:space="preserve">جازات </w:t>
      </w:r>
      <w:r w:rsidR="00A977F9">
        <w:rPr>
          <w:rtl/>
        </w:rPr>
        <w:t>(الفقرة</w:t>
      </w:r>
      <w:r w:rsidR="00A977F9">
        <w:rPr>
          <w:rFonts w:hint="cs"/>
          <w:rtl/>
        </w:rPr>
        <w:t> </w:t>
      </w:r>
      <w:r>
        <w:rPr>
          <w:rtl/>
        </w:rPr>
        <w:t xml:space="preserve">254). ويشير التقرير أيضا إلى أن لجنة حقوق الإنسان وتكافؤ الفرص قد أجرت، </w:t>
      </w:r>
      <w:r w:rsidR="00A977F9">
        <w:rPr>
          <w:rFonts w:hint="cs"/>
          <w:rtl/>
        </w:rPr>
        <w:t xml:space="preserve">عام </w:t>
      </w:r>
      <w:r>
        <w:rPr>
          <w:rtl/>
        </w:rPr>
        <w:t xml:space="preserve">2001، دراسة عن الخيارات المتاحة لتنفيذ </w:t>
      </w:r>
      <w:r w:rsidR="00A977F9">
        <w:rPr>
          <w:rFonts w:hint="cs"/>
          <w:rtl/>
        </w:rPr>
        <w:t xml:space="preserve">برنامج وطني </w:t>
      </w:r>
      <w:r>
        <w:rPr>
          <w:rtl/>
        </w:rPr>
        <w:t xml:space="preserve">لإجازات الأمومة المدفوعة الأجر في أستراليا (الفقرة 225). </w:t>
      </w:r>
      <w:r w:rsidR="00A977F9">
        <w:rPr>
          <w:rFonts w:hint="cs"/>
          <w:rtl/>
        </w:rPr>
        <w:t>و</w:t>
      </w:r>
      <w:r>
        <w:rPr>
          <w:rtl/>
        </w:rPr>
        <w:t xml:space="preserve">يُرجى ذكر الخيارات التي يجري حاليا النظر فيها </w:t>
      </w:r>
      <w:r w:rsidR="00A977F9">
        <w:rPr>
          <w:rFonts w:hint="cs"/>
          <w:rtl/>
        </w:rPr>
        <w:t xml:space="preserve">لوضع </w:t>
      </w:r>
      <w:r>
        <w:rPr>
          <w:rtl/>
        </w:rPr>
        <w:t xml:space="preserve">نظام </w:t>
      </w:r>
      <w:r w:rsidR="00A977F9">
        <w:rPr>
          <w:rFonts w:hint="cs"/>
          <w:rtl/>
        </w:rPr>
        <w:t xml:space="preserve">لهذه الإجازات </w:t>
      </w:r>
      <w:r>
        <w:rPr>
          <w:rtl/>
        </w:rPr>
        <w:t>في جميع الولايات والأقاليم في أستراليا.</w:t>
      </w:r>
    </w:p>
    <w:p w:rsidR="009637FE" w:rsidRDefault="009637FE" w:rsidP="00A977F9">
      <w:pPr>
        <w:pStyle w:val="SingleTxt"/>
        <w:rPr>
          <w:rtl/>
        </w:rPr>
      </w:pPr>
      <w:r>
        <w:rPr>
          <w:rtl/>
        </w:rPr>
        <w:t>21</w:t>
      </w:r>
      <w:r w:rsidR="00A977F9">
        <w:rPr>
          <w:rFonts w:hint="cs"/>
          <w:rtl/>
        </w:rPr>
        <w:t xml:space="preserve"> </w:t>
      </w:r>
      <w:r>
        <w:rPr>
          <w:rtl/>
        </w:rPr>
        <w:t>-</w:t>
      </w:r>
      <w:r>
        <w:rPr>
          <w:rtl/>
        </w:rPr>
        <w:tab/>
      </w:r>
      <w:r w:rsidR="00A977F9">
        <w:rPr>
          <w:rFonts w:hint="cs"/>
          <w:rtl/>
        </w:rPr>
        <w:t xml:space="preserve">وقد </w:t>
      </w:r>
      <w:r>
        <w:rPr>
          <w:rtl/>
        </w:rPr>
        <w:t>شجعت اللجنة في تعليقاتها الختامية السابقة الحكومة على تجميع بيانات إحصائية عن مشاركة المرأة من القبائل الأصلية وسكان جزر مضيق توريس في القوة العاملة (</w:t>
      </w:r>
      <w:r>
        <w:t>A/52/38/Rev.1</w:t>
      </w:r>
      <w:r>
        <w:rPr>
          <w:rtl/>
        </w:rPr>
        <w:t xml:space="preserve">، الفقرة 404). </w:t>
      </w:r>
      <w:r w:rsidR="00A977F9">
        <w:rPr>
          <w:rFonts w:hint="cs"/>
          <w:rtl/>
        </w:rPr>
        <w:t>و</w:t>
      </w:r>
      <w:r>
        <w:rPr>
          <w:rtl/>
        </w:rPr>
        <w:t xml:space="preserve">يرجى تقديم هذه البيانات، </w:t>
      </w:r>
      <w:r w:rsidR="00A977F9">
        <w:rPr>
          <w:rFonts w:hint="cs"/>
          <w:rtl/>
        </w:rPr>
        <w:t xml:space="preserve">وتقديم تفاصيل عن </w:t>
      </w:r>
      <w:r>
        <w:rPr>
          <w:rtl/>
        </w:rPr>
        <w:t>الخطوات المتخذة من أجل وضع سياسة بشأن تكافؤ الفرص ومعلومات مفصلة عن الموارد المالية التي خُصصت لبرنامج توظيف</w:t>
      </w:r>
      <w:r w:rsidR="00A977F9">
        <w:rPr>
          <w:rFonts w:hint="cs"/>
          <w:rtl/>
        </w:rPr>
        <w:t xml:space="preserve"> أفراد الشعوب الأصلية</w:t>
      </w:r>
      <w:r>
        <w:rPr>
          <w:rtl/>
        </w:rPr>
        <w:t>.</w:t>
      </w:r>
    </w:p>
    <w:p w:rsidR="009637FE" w:rsidRDefault="009637FE" w:rsidP="009455E5">
      <w:pPr>
        <w:pStyle w:val="SingleTxt"/>
        <w:rPr>
          <w:rFonts w:hint="cs"/>
          <w:rtl/>
        </w:rPr>
      </w:pPr>
      <w:r>
        <w:rPr>
          <w:rtl/>
        </w:rPr>
        <w:t>22</w:t>
      </w:r>
      <w:r w:rsidR="00A977F9">
        <w:rPr>
          <w:rFonts w:hint="cs"/>
          <w:rtl/>
        </w:rPr>
        <w:t xml:space="preserve"> </w:t>
      </w:r>
      <w:r>
        <w:rPr>
          <w:rtl/>
        </w:rPr>
        <w:t>-</w:t>
      </w:r>
      <w:r>
        <w:rPr>
          <w:rtl/>
        </w:rPr>
        <w:tab/>
        <w:t xml:space="preserve">وقد </w:t>
      </w:r>
      <w:r w:rsidR="009455E5">
        <w:rPr>
          <w:rFonts w:hint="cs"/>
          <w:rtl/>
        </w:rPr>
        <w:t xml:space="preserve">أعربت </w:t>
      </w:r>
      <w:r>
        <w:rPr>
          <w:rtl/>
        </w:rPr>
        <w:t>لجنة الحقوق الاقتصادية والاجتماعية والثقافية عن قلقها لكون عمال المنازل، الذين هم في معظمهم نساء، لا يتمتعون بأية حماية اجتماعية، ويتقاضون ما يقل بكثير عن الأجر الأدنى (</w:t>
      </w:r>
      <w:r>
        <w:t>E/2001/22</w:t>
      </w:r>
      <w:r>
        <w:rPr>
          <w:rtl/>
        </w:rPr>
        <w:t xml:space="preserve">، الفقرة 383). </w:t>
      </w:r>
      <w:r w:rsidR="009455E5">
        <w:rPr>
          <w:rFonts w:hint="cs"/>
          <w:rtl/>
        </w:rPr>
        <w:t>و</w:t>
      </w:r>
      <w:r>
        <w:rPr>
          <w:rtl/>
        </w:rPr>
        <w:t xml:space="preserve">يرجى توضيح التدابير التي اتخذتها الحكومة </w:t>
      </w:r>
      <w:r w:rsidR="009455E5">
        <w:rPr>
          <w:rFonts w:hint="cs"/>
          <w:rtl/>
        </w:rPr>
        <w:t xml:space="preserve">للتعامل مع </w:t>
      </w:r>
      <w:r>
        <w:rPr>
          <w:rtl/>
        </w:rPr>
        <w:t xml:space="preserve">وضع عمال المنازل، بما في ذلك التدابير الرامية إلى كفالة </w:t>
      </w:r>
      <w:r w:rsidR="009455E5">
        <w:rPr>
          <w:rFonts w:hint="cs"/>
          <w:rtl/>
        </w:rPr>
        <w:t xml:space="preserve">تقاضيهم الحد الأدنى الرسمي للأجور، واستفادتهم </w:t>
      </w:r>
      <w:r>
        <w:rPr>
          <w:rtl/>
        </w:rPr>
        <w:t>من ضمان اجتماعي كاف.</w:t>
      </w:r>
    </w:p>
    <w:p w:rsidR="003B171E" w:rsidRPr="003B171E" w:rsidRDefault="003B171E" w:rsidP="003B171E">
      <w:pPr>
        <w:pStyle w:val="SingleTxt"/>
        <w:spacing w:after="0" w:line="120" w:lineRule="exact"/>
        <w:rPr>
          <w:rFonts w:hint="cs"/>
          <w:sz w:val="10"/>
          <w:rtl/>
        </w:rPr>
      </w:pPr>
    </w:p>
    <w:p w:rsidR="009637FE" w:rsidRDefault="009455E5" w:rsidP="00945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637FE">
        <w:rPr>
          <w:rtl/>
        </w:rPr>
        <w:t>الصحة</w:t>
      </w:r>
    </w:p>
    <w:p w:rsidR="009637FE" w:rsidRDefault="009637FE" w:rsidP="009455E5">
      <w:pPr>
        <w:pStyle w:val="SingleTxt"/>
        <w:rPr>
          <w:rtl/>
        </w:rPr>
      </w:pPr>
      <w:r>
        <w:rPr>
          <w:rtl/>
        </w:rPr>
        <w:t>23</w:t>
      </w:r>
      <w:r w:rsidR="009455E5">
        <w:rPr>
          <w:rFonts w:hint="cs"/>
          <w:rtl/>
        </w:rPr>
        <w:t xml:space="preserve"> </w:t>
      </w:r>
      <w:r>
        <w:rPr>
          <w:rtl/>
        </w:rPr>
        <w:t>-</w:t>
      </w:r>
      <w:r>
        <w:rPr>
          <w:rtl/>
        </w:rPr>
        <w:tab/>
        <w:t>طلبت اللجنة في تعليقاتها الختامية السابقة</w:t>
      </w:r>
      <w:r w:rsidR="009455E5" w:rsidRPr="009455E5">
        <w:rPr>
          <w:rFonts w:hint="cs"/>
          <w:vertAlign w:val="superscript"/>
          <w:rtl/>
        </w:rPr>
        <w:t>(1)</w:t>
      </w:r>
      <w:r>
        <w:rPr>
          <w:rtl/>
        </w:rPr>
        <w:t xml:space="preserve"> إلى الحكومة أن تقدم بيانات ومؤشرات عن الصحة، تكون مُصنفة حسب نوع الجنس والسن والأصل العرقي والمناطق الريفية/الحضرية وغير ذلك من معايير التصنيف (الفقرة 40</w:t>
      </w:r>
      <w:r w:rsidR="009455E5">
        <w:rPr>
          <w:rFonts w:hint="cs"/>
          <w:rtl/>
        </w:rPr>
        <w:t>0</w:t>
      </w:r>
      <w:r>
        <w:rPr>
          <w:rtl/>
        </w:rPr>
        <w:t xml:space="preserve">). </w:t>
      </w:r>
      <w:r w:rsidR="009455E5">
        <w:rPr>
          <w:rFonts w:hint="cs"/>
          <w:rtl/>
        </w:rPr>
        <w:t>و</w:t>
      </w:r>
      <w:r>
        <w:rPr>
          <w:rtl/>
        </w:rPr>
        <w:t>يُرجى تقديم هذه المعلومات، بما فيها المعلومات المتعلقة بمعدلات الوفيات، ومدى انتشار الإصابة بالأمراض المنقولة عن طريق الاتصال الجنسي وأمراض السرطان التي تصيب النساء</w:t>
      </w:r>
      <w:r w:rsidR="003B171E">
        <w:rPr>
          <w:rFonts w:hint="cs"/>
          <w:rtl/>
        </w:rPr>
        <w:t>،</w:t>
      </w:r>
      <w:r>
        <w:rPr>
          <w:rtl/>
        </w:rPr>
        <w:t xml:space="preserve"> ومعدل </w:t>
      </w:r>
      <w:r w:rsidR="009455E5">
        <w:rPr>
          <w:rFonts w:hint="cs"/>
          <w:rtl/>
        </w:rPr>
        <w:t xml:space="preserve">فحوص </w:t>
      </w:r>
      <w:r>
        <w:rPr>
          <w:rtl/>
        </w:rPr>
        <w:t>الكشف عن هذه الأمراض السرطانية.</w:t>
      </w:r>
    </w:p>
    <w:p w:rsidR="009637FE" w:rsidRDefault="009637FE" w:rsidP="009455E5">
      <w:pPr>
        <w:pStyle w:val="SingleTxt"/>
        <w:rPr>
          <w:rtl/>
        </w:rPr>
      </w:pPr>
      <w:r>
        <w:rPr>
          <w:rtl/>
        </w:rPr>
        <w:t>24</w:t>
      </w:r>
      <w:r w:rsidR="009455E5">
        <w:rPr>
          <w:rFonts w:hint="cs"/>
          <w:rtl/>
        </w:rPr>
        <w:t xml:space="preserve"> </w:t>
      </w:r>
      <w:r>
        <w:rPr>
          <w:rtl/>
        </w:rPr>
        <w:t>-</w:t>
      </w:r>
      <w:r>
        <w:rPr>
          <w:rtl/>
        </w:rPr>
        <w:tab/>
      </w:r>
      <w:r w:rsidR="009455E5">
        <w:rPr>
          <w:rFonts w:hint="cs"/>
          <w:rtl/>
        </w:rPr>
        <w:t>و</w:t>
      </w:r>
      <w:r>
        <w:rPr>
          <w:rtl/>
        </w:rPr>
        <w:t>يرجى تقديم البيانات المتعلقة بانعكاسات انتقال المسؤولية عن الرعاية الصحية من السلطة الاتحادية إلى سلطات الولاية، حسبما طلبت</w:t>
      </w:r>
      <w:r w:rsidR="009455E5">
        <w:rPr>
          <w:rFonts w:hint="cs"/>
          <w:rtl/>
        </w:rPr>
        <w:t>ه</w:t>
      </w:r>
      <w:r>
        <w:rPr>
          <w:rtl/>
        </w:rPr>
        <w:t xml:space="preserve"> اللجنة في تعليقاتها الختامية السابقة (الفقرة 40</w:t>
      </w:r>
      <w:r w:rsidR="009455E5">
        <w:rPr>
          <w:rFonts w:hint="cs"/>
          <w:rtl/>
        </w:rPr>
        <w:t>0</w:t>
      </w:r>
      <w:r>
        <w:rPr>
          <w:rtl/>
        </w:rPr>
        <w:t>)</w:t>
      </w:r>
      <w:r w:rsidR="009455E5">
        <w:rPr>
          <w:rFonts w:hint="cs"/>
          <w:rtl/>
        </w:rPr>
        <w:t>.</w:t>
      </w:r>
      <w:r>
        <w:rPr>
          <w:rtl/>
        </w:rPr>
        <w:t xml:space="preserve"> </w:t>
      </w:r>
      <w:r w:rsidR="009455E5">
        <w:rPr>
          <w:rFonts w:hint="cs"/>
          <w:rtl/>
        </w:rPr>
        <w:t>و</w:t>
      </w:r>
      <w:r>
        <w:rPr>
          <w:rtl/>
        </w:rPr>
        <w:t xml:space="preserve">في ضوء التوجه نحو خصخصة المستشفيات والخدمات الصحية، يرجى تقديم معلومات تتعلق بمدى </w:t>
      </w:r>
      <w:r w:rsidR="009455E5">
        <w:rPr>
          <w:rFonts w:hint="cs"/>
          <w:rtl/>
        </w:rPr>
        <w:t xml:space="preserve">مناسبة أسعار </w:t>
      </w:r>
      <w:r>
        <w:rPr>
          <w:rtl/>
        </w:rPr>
        <w:t>الخدمات الصحية للنساء، حسب متوسط المبالغ الفردية المُنفقة على الرعاية الصحية مقارنة بالدخل، وطول فترة الانتظار</w:t>
      </w:r>
      <w:r w:rsidR="009455E5">
        <w:rPr>
          <w:rFonts w:hint="cs"/>
          <w:rtl/>
        </w:rPr>
        <w:t>،</w:t>
      </w:r>
      <w:r>
        <w:rPr>
          <w:rtl/>
        </w:rPr>
        <w:t xml:space="preserve"> والإنفاق الحكومي على خدمات الصحة حسب نوع الجنس والأصل العرقي والخدمات المقدمة إلى المعوقات والنساء اللائي يعشن في مناطق نائية.</w:t>
      </w:r>
    </w:p>
    <w:p w:rsidR="009637FE" w:rsidRDefault="009637FE" w:rsidP="009455E5">
      <w:pPr>
        <w:pStyle w:val="SingleTxt"/>
        <w:rPr>
          <w:rFonts w:hint="cs"/>
          <w:rtl/>
        </w:rPr>
      </w:pPr>
      <w:r>
        <w:rPr>
          <w:rtl/>
        </w:rPr>
        <w:t>25</w:t>
      </w:r>
      <w:r w:rsidR="009455E5">
        <w:rPr>
          <w:rFonts w:hint="cs"/>
          <w:rtl/>
        </w:rPr>
        <w:t xml:space="preserve"> </w:t>
      </w:r>
      <w:r>
        <w:rPr>
          <w:rtl/>
        </w:rPr>
        <w:t>-</w:t>
      </w:r>
      <w:r>
        <w:rPr>
          <w:rtl/>
        </w:rPr>
        <w:tab/>
      </w:r>
      <w:r w:rsidR="009455E5">
        <w:rPr>
          <w:rFonts w:hint="cs"/>
          <w:rtl/>
        </w:rPr>
        <w:t>و</w:t>
      </w:r>
      <w:r>
        <w:rPr>
          <w:rtl/>
        </w:rPr>
        <w:t xml:space="preserve">يذكر التقرير أن الحكومة تقدم التمويل لتحسين </w:t>
      </w:r>
      <w:r w:rsidR="009455E5">
        <w:rPr>
          <w:rFonts w:hint="cs"/>
          <w:rtl/>
        </w:rPr>
        <w:t>ح</w:t>
      </w:r>
      <w:r>
        <w:rPr>
          <w:rtl/>
        </w:rPr>
        <w:t xml:space="preserve">صول الشعوب الأصلية </w:t>
      </w:r>
      <w:r w:rsidR="009455E5">
        <w:rPr>
          <w:rFonts w:hint="cs"/>
          <w:rtl/>
        </w:rPr>
        <w:t>ع</w:t>
      </w:r>
      <w:r>
        <w:rPr>
          <w:rtl/>
        </w:rPr>
        <w:t xml:space="preserve">لى خدمات الرعاية الصحية الأولية الشاملة (الفقرة 370). </w:t>
      </w:r>
      <w:r w:rsidR="009455E5">
        <w:rPr>
          <w:rFonts w:hint="cs"/>
          <w:rtl/>
        </w:rPr>
        <w:t>و</w:t>
      </w:r>
      <w:r>
        <w:rPr>
          <w:rtl/>
        </w:rPr>
        <w:t>يرجى تقديم معلومات ع</w:t>
      </w:r>
      <w:r w:rsidR="009455E5">
        <w:rPr>
          <w:rFonts w:hint="cs"/>
          <w:rtl/>
        </w:rPr>
        <w:t xml:space="preserve">ن </w:t>
      </w:r>
      <w:r>
        <w:rPr>
          <w:rtl/>
        </w:rPr>
        <w:t xml:space="preserve">الاستراتيجيات الأخرى المتبعة، بما فيها </w:t>
      </w:r>
      <w:r w:rsidR="009455E5">
        <w:rPr>
          <w:rFonts w:hint="cs"/>
          <w:rtl/>
        </w:rPr>
        <w:t xml:space="preserve">التوعية، من أجل النهوض بإمكانية حصول </w:t>
      </w:r>
      <w:r>
        <w:rPr>
          <w:rtl/>
        </w:rPr>
        <w:t xml:space="preserve">نساء القبائل الأصلية وجزر مضيق توريس </w:t>
      </w:r>
      <w:r w:rsidR="009455E5">
        <w:rPr>
          <w:rFonts w:hint="cs"/>
          <w:rtl/>
        </w:rPr>
        <w:t>ع</w:t>
      </w:r>
      <w:r>
        <w:rPr>
          <w:rtl/>
        </w:rPr>
        <w:t>لى خدمات الرعاية الصحية.</w:t>
      </w:r>
    </w:p>
    <w:p w:rsidR="003B171E" w:rsidRPr="003B171E" w:rsidRDefault="003B171E" w:rsidP="003B171E">
      <w:pPr>
        <w:pStyle w:val="SingleTxt"/>
        <w:spacing w:after="0" w:line="120" w:lineRule="exact"/>
        <w:rPr>
          <w:rFonts w:hint="cs"/>
          <w:sz w:val="10"/>
          <w:rtl/>
        </w:rPr>
      </w:pPr>
    </w:p>
    <w:p w:rsidR="009637FE" w:rsidRDefault="009455E5" w:rsidP="00945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9637FE">
        <w:rPr>
          <w:rtl/>
        </w:rPr>
        <w:t>الريفيات ونساء الشعوب الأصلية والمهاجرات</w:t>
      </w:r>
    </w:p>
    <w:p w:rsidR="009637FE" w:rsidRDefault="009637FE" w:rsidP="009455E5">
      <w:pPr>
        <w:pStyle w:val="SingleTxt"/>
        <w:rPr>
          <w:rtl/>
        </w:rPr>
      </w:pPr>
      <w:r>
        <w:rPr>
          <w:rtl/>
        </w:rPr>
        <w:t>26</w:t>
      </w:r>
      <w:r w:rsidR="009455E5">
        <w:rPr>
          <w:rFonts w:hint="cs"/>
          <w:rtl/>
        </w:rPr>
        <w:t xml:space="preserve"> </w:t>
      </w:r>
      <w:r>
        <w:rPr>
          <w:rtl/>
        </w:rPr>
        <w:t>-</w:t>
      </w:r>
      <w:r>
        <w:rPr>
          <w:rtl/>
        </w:rPr>
        <w:tab/>
        <w:t xml:space="preserve">يرجى تقديم معلومات عن الآثار المترتبة </w:t>
      </w:r>
      <w:r w:rsidR="009455E5">
        <w:rPr>
          <w:rFonts w:hint="cs"/>
          <w:rtl/>
        </w:rPr>
        <w:t xml:space="preserve">على </w:t>
      </w:r>
      <w:r>
        <w:rPr>
          <w:rtl/>
        </w:rPr>
        <w:t>المبادرات الوطنية المذكورة في التقرير (</w:t>
      </w:r>
      <w:r w:rsidR="009455E5">
        <w:rPr>
          <w:rFonts w:hint="cs"/>
          <w:rtl/>
        </w:rPr>
        <w:t xml:space="preserve">الفقرات </w:t>
      </w:r>
      <w:r>
        <w:rPr>
          <w:rtl/>
        </w:rPr>
        <w:t>141</w:t>
      </w:r>
      <w:r w:rsidR="009455E5">
        <w:rPr>
          <w:rFonts w:hint="cs"/>
          <w:rtl/>
        </w:rPr>
        <w:t>-142</w:t>
      </w:r>
      <w:r>
        <w:rPr>
          <w:rtl/>
        </w:rPr>
        <w:t xml:space="preserve"> و 477</w:t>
      </w:r>
      <w:r w:rsidR="009455E5">
        <w:rPr>
          <w:rFonts w:hint="cs"/>
          <w:rtl/>
        </w:rPr>
        <w:t>-478</w:t>
      </w:r>
      <w:r>
        <w:rPr>
          <w:rtl/>
        </w:rPr>
        <w:t>) في</w:t>
      </w:r>
      <w:r w:rsidR="009455E5">
        <w:rPr>
          <w:rFonts w:hint="cs"/>
          <w:rtl/>
        </w:rPr>
        <w:t>ما يتعلق ب</w:t>
      </w:r>
      <w:r>
        <w:rPr>
          <w:rtl/>
        </w:rPr>
        <w:t xml:space="preserve">مشاركة النساء الريفيات في صنع القرار. </w:t>
      </w:r>
    </w:p>
    <w:p w:rsidR="009637FE" w:rsidRDefault="009637FE" w:rsidP="009455E5">
      <w:pPr>
        <w:pStyle w:val="SingleTxt"/>
        <w:rPr>
          <w:rtl/>
        </w:rPr>
      </w:pPr>
      <w:r>
        <w:rPr>
          <w:rtl/>
        </w:rPr>
        <w:t>27</w:t>
      </w:r>
      <w:r w:rsidR="009455E5">
        <w:rPr>
          <w:rFonts w:hint="cs"/>
          <w:rtl/>
        </w:rPr>
        <w:t xml:space="preserve"> </w:t>
      </w:r>
      <w:r>
        <w:rPr>
          <w:rtl/>
        </w:rPr>
        <w:t>-</w:t>
      </w:r>
      <w:r>
        <w:rPr>
          <w:rtl/>
        </w:rPr>
        <w:tab/>
      </w:r>
      <w:r w:rsidR="009455E5">
        <w:rPr>
          <w:rFonts w:hint="cs"/>
          <w:rtl/>
        </w:rPr>
        <w:t xml:space="preserve">وقد </w:t>
      </w:r>
      <w:r>
        <w:rPr>
          <w:rtl/>
        </w:rPr>
        <w:t xml:space="preserve">أعربت اللجنة في تعليقاتها الختامية السابقة عن قلقها </w:t>
      </w:r>
      <w:r w:rsidR="009455E5">
        <w:rPr>
          <w:rFonts w:hint="cs"/>
          <w:rtl/>
        </w:rPr>
        <w:t xml:space="preserve">إزاء تعرض </w:t>
      </w:r>
      <w:r>
        <w:rPr>
          <w:rtl/>
        </w:rPr>
        <w:t xml:space="preserve">حالة نساء القبائل الأصلية وسكان جزر مضيق توريس، </w:t>
      </w:r>
      <w:r w:rsidR="009455E5">
        <w:rPr>
          <w:rFonts w:hint="cs"/>
          <w:rtl/>
        </w:rPr>
        <w:t xml:space="preserve">وحالة </w:t>
      </w:r>
      <w:r>
        <w:rPr>
          <w:rtl/>
        </w:rPr>
        <w:t>النساء المهاجرات لمزيد من الخطر نتيجة لتصاعد واضح في موجة العنصرية و</w:t>
      </w:r>
      <w:r w:rsidR="009455E5">
        <w:rPr>
          <w:rFonts w:hint="cs"/>
          <w:rtl/>
        </w:rPr>
        <w:t xml:space="preserve">كراهية </w:t>
      </w:r>
      <w:r>
        <w:rPr>
          <w:rtl/>
        </w:rPr>
        <w:t xml:space="preserve">الأجانب في أستراليا (الفقرة 397). </w:t>
      </w:r>
      <w:r w:rsidR="009455E5">
        <w:rPr>
          <w:rFonts w:hint="cs"/>
          <w:rtl/>
        </w:rPr>
        <w:t>و</w:t>
      </w:r>
      <w:r>
        <w:rPr>
          <w:rtl/>
        </w:rPr>
        <w:t>يرجى توضيح ما إذا كانت قد أُجريت أية دراسات تُشير إلى انعكاسات العنصرية وكر</w:t>
      </w:r>
      <w:r w:rsidR="009455E5">
        <w:rPr>
          <w:rFonts w:hint="cs"/>
          <w:rtl/>
        </w:rPr>
        <w:t>اهية</w:t>
      </w:r>
      <w:r>
        <w:rPr>
          <w:rtl/>
        </w:rPr>
        <w:t xml:space="preserve"> الأجانب على المرأة، وما هي الاستراتيجيات التي نظرت فيها الحكومة من أجل التخفيف من انعكاساتهما على المرأة.</w:t>
      </w:r>
    </w:p>
    <w:p w:rsidR="009637FE" w:rsidRDefault="009637FE" w:rsidP="009455E5">
      <w:pPr>
        <w:pStyle w:val="SingleTxt"/>
        <w:rPr>
          <w:rtl/>
        </w:rPr>
      </w:pPr>
      <w:r>
        <w:rPr>
          <w:rtl/>
        </w:rPr>
        <w:t>28</w:t>
      </w:r>
      <w:r w:rsidR="009455E5">
        <w:rPr>
          <w:rFonts w:hint="cs"/>
          <w:rtl/>
        </w:rPr>
        <w:t xml:space="preserve"> </w:t>
      </w:r>
      <w:r>
        <w:rPr>
          <w:rtl/>
        </w:rPr>
        <w:t>-</w:t>
      </w:r>
      <w:r>
        <w:rPr>
          <w:rtl/>
        </w:rPr>
        <w:tab/>
        <w:t>و</w:t>
      </w:r>
      <w:r w:rsidR="009455E5">
        <w:rPr>
          <w:rFonts w:hint="cs"/>
          <w:rtl/>
        </w:rPr>
        <w:t xml:space="preserve">أعربت </w:t>
      </w:r>
      <w:r>
        <w:rPr>
          <w:rtl/>
        </w:rPr>
        <w:t>لجنة القضاء على التمييز العنصري عن قلقها إزاء الاحتجاز الإلزامي للمهاجرين غير الشرعيين وملتمسي اللجوء، ولا</w:t>
      </w:r>
      <w:r w:rsidR="009455E5">
        <w:rPr>
          <w:rFonts w:hint="cs"/>
          <w:rtl/>
        </w:rPr>
        <w:t xml:space="preserve"> </w:t>
      </w:r>
      <w:r>
        <w:rPr>
          <w:rtl/>
        </w:rPr>
        <w:t>سيما فيما يتعلق بحالة النساء والأطفال (</w:t>
      </w:r>
      <w:r>
        <w:t>CERD/C/AUS/CO/14</w:t>
      </w:r>
      <w:r>
        <w:rPr>
          <w:rtl/>
        </w:rPr>
        <w:t xml:space="preserve">، الفقرة 23). </w:t>
      </w:r>
      <w:r w:rsidR="009455E5">
        <w:rPr>
          <w:rFonts w:hint="cs"/>
          <w:rtl/>
        </w:rPr>
        <w:t>و</w:t>
      </w:r>
      <w:r>
        <w:rPr>
          <w:rtl/>
        </w:rPr>
        <w:t>يرجى تقديم معلومات عن عدد النساء قيد الاحتجاز الإلزامي وعن مدة احتجازهن، وما</w:t>
      </w:r>
      <w:r w:rsidR="009455E5">
        <w:rPr>
          <w:rFonts w:hint="cs"/>
          <w:rtl/>
        </w:rPr>
        <w:t xml:space="preserve"> </w:t>
      </w:r>
      <w:r>
        <w:rPr>
          <w:rtl/>
        </w:rPr>
        <w:t xml:space="preserve">يجرى القيام به، أو </w:t>
      </w:r>
      <w:r w:rsidR="009455E5">
        <w:rPr>
          <w:rFonts w:hint="cs"/>
          <w:rtl/>
        </w:rPr>
        <w:t>التفكير في القيام به</w:t>
      </w:r>
      <w:r>
        <w:rPr>
          <w:rtl/>
        </w:rPr>
        <w:t>، للتخفيف من محنة النساء في الاحتجاز الإلزامي.</w:t>
      </w:r>
    </w:p>
    <w:p w:rsidR="009637FE" w:rsidRDefault="009637FE" w:rsidP="009455E5">
      <w:pPr>
        <w:pStyle w:val="SingleTxt"/>
        <w:rPr>
          <w:rFonts w:hint="cs"/>
          <w:rtl/>
        </w:rPr>
      </w:pPr>
      <w:r>
        <w:rPr>
          <w:rtl/>
        </w:rPr>
        <w:t>29</w:t>
      </w:r>
      <w:r w:rsidR="009455E5">
        <w:rPr>
          <w:rFonts w:hint="cs"/>
          <w:rtl/>
        </w:rPr>
        <w:t xml:space="preserve"> </w:t>
      </w:r>
      <w:r>
        <w:rPr>
          <w:rtl/>
        </w:rPr>
        <w:t>-</w:t>
      </w:r>
      <w:r>
        <w:rPr>
          <w:rtl/>
        </w:rPr>
        <w:tab/>
        <w:t>ولاحظت لجنة القضاء على التمييز العنصري أن نساء الشعوب الأصلية يشكلن أسرع فئات نزلاء السجون تضخما (</w:t>
      </w:r>
      <w:r>
        <w:t>CERD/C/AUS/CO/14</w:t>
      </w:r>
      <w:r>
        <w:rPr>
          <w:rtl/>
        </w:rPr>
        <w:t xml:space="preserve">، الفقرة 21). </w:t>
      </w:r>
      <w:r w:rsidR="009455E5">
        <w:rPr>
          <w:rFonts w:hint="cs"/>
          <w:rtl/>
        </w:rPr>
        <w:t>و</w:t>
      </w:r>
      <w:r>
        <w:rPr>
          <w:rtl/>
        </w:rPr>
        <w:t xml:space="preserve">يرجى توضيح أسباب هذا </w:t>
      </w:r>
      <w:r w:rsidR="009455E5">
        <w:rPr>
          <w:rFonts w:hint="cs"/>
          <w:rtl/>
        </w:rPr>
        <w:t>الاتجاه</w:t>
      </w:r>
      <w:r>
        <w:rPr>
          <w:rtl/>
        </w:rPr>
        <w:t>، و</w:t>
      </w:r>
      <w:r w:rsidR="009455E5">
        <w:rPr>
          <w:rFonts w:hint="cs"/>
          <w:rtl/>
        </w:rPr>
        <w:t>الجهود</w:t>
      </w:r>
      <w:r>
        <w:rPr>
          <w:rtl/>
        </w:rPr>
        <w:t xml:space="preserve"> المبذولة من أجل معالجة الحالة.</w:t>
      </w:r>
    </w:p>
    <w:p w:rsidR="00D254E9" w:rsidRPr="00D254E9" w:rsidRDefault="00D254E9" w:rsidP="00D254E9">
      <w:pPr>
        <w:pStyle w:val="SingleTxt"/>
        <w:spacing w:after="0" w:line="120" w:lineRule="exact"/>
        <w:rPr>
          <w:rFonts w:hint="cs"/>
          <w:sz w:val="10"/>
          <w:rtl/>
        </w:rPr>
      </w:pPr>
    </w:p>
    <w:p w:rsidR="009637FE" w:rsidRDefault="009455E5" w:rsidP="009455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637FE">
        <w:rPr>
          <w:rtl/>
        </w:rPr>
        <w:t>البروتوكول الاختياري</w:t>
      </w:r>
    </w:p>
    <w:p w:rsidR="009455E5" w:rsidRDefault="00D254E9" w:rsidP="00D254E9">
      <w:pPr>
        <w:pStyle w:val="SingleTxt"/>
        <w:rPr>
          <w:rFonts w:hint="cs"/>
          <w:rtl/>
        </w:rPr>
      </w:pPr>
      <w:r>
        <w:rPr>
          <w:noProof/>
          <w:w w:val="100"/>
          <w:rtl/>
        </w:rPr>
        <w:pict>
          <v:line id="_x0000_s1026" style="position:absolute;left:0;text-align:left;z-index:1" from="206.6pt,159.3pt" to="278.6pt,159.3pt" strokeweight=".25pt"/>
        </w:pict>
      </w:r>
      <w:r w:rsidR="009637FE">
        <w:rPr>
          <w:rtl/>
        </w:rPr>
        <w:t>30</w:t>
      </w:r>
      <w:r w:rsidR="009455E5">
        <w:rPr>
          <w:rFonts w:hint="cs"/>
          <w:rtl/>
        </w:rPr>
        <w:t xml:space="preserve"> </w:t>
      </w:r>
      <w:r w:rsidR="009637FE">
        <w:rPr>
          <w:rtl/>
        </w:rPr>
        <w:t>-</w:t>
      </w:r>
      <w:r w:rsidR="009637FE">
        <w:rPr>
          <w:rtl/>
        </w:rPr>
        <w:tab/>
        <w:t xml:space="preserve">لا يقدم التقرير أية معلومات عن الخطوات التي يجرى اتخاذها أو النظر فيها للتصديق على البروتوكول الاختياري لاتفاقية القضاء على جميع أشكال التمييز ضد المرأة. </w:t>
      </w:r>
      <w:r w:rsidR="009455E5">
        <w:rPr>
          <w:rFonts w:hint="cs"/>
          <w:rtl/>
        </w:rPr>
        <w:t>وي</w:t>
      </w:r>
      <w:r w:rsidR="009637FE">
        <w:rPr>
          <w:rtl/>
        </w:rPr>
        <w:t xml:space="preserve">رجى </w:t>
      </w:r>
      <w:r w:rsidR="009455E5">
        <w:rPr>
          <w:rFonts w:hint="cs"/>
          <w:rtl/>
        </w:rPr>
        <w:t xml:space="preserve">بيان أي تقدم تم إحرازه </w:t>
      </w:r>
      <w:r w:rsidR="009637FE">
        <w:rPr>
          <w:rtl/>
        </w:rPr>
        <w:t>فيما يتعلق بالتصديق على البروتوكول الاختياري.</w:t>
      </w:r>
    </w:p>
    <w:p w:rsidR="00D254E9" w:rsidRPr="00D254E9" w:rsidRDefault="00D254E9" w:rsidP="00D254E9">
      <w:pPr>
        <w:pStyle w:val="SingleTxt"/>
        <w:spacing w:after="0" w:line="120" w:lineRule="exact"/>
        <w:rPr>
          <w:rFonts w:hint="cs"/>
          <w:sz w:val="10"/>
          <w:rtl/>
        </w:rPr>
      </w:pPr>
    </w:p>
    <w:sectPr w:rsidR="00D254E9" w:rsidRPr="00D254E9" w:rsidSect="00CA5C9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1-03T18:30:00Z" w:initials="Start">
    <w:p w:rsidR="002F2F6E" w:rsidRDefault="002F2F6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NO&gt;&gt;N0545830A&lt;&lt;ODS JOB NO&gt;&gt;</w:t>
      </w:r>
    </w:p>
    <w:p w:rsidR="002F2F6E" w:rsidRDefault="002F2F6E">
      <w:pPr>
        <w:pStyle w:val="CommentText"/>
      </w:pPr>
      <w:r>
        <w:t>&lt;&lt;ODS DOC SYMBOL1&gt;&gt;CEDAW/C/AUL/Q/4-5&lt;&lt;ODS DOC SYMBOL1&gt;&gt;</w:t>
      </w:r>
    </w:p>
    <w:p w:rsidR="002F2F6E" w:rsidRDefault="002F2F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F6E" w:rsidRPr="001F0358" w:rsidRDefault="002F2F6E" w:rsidP="001F0358">
      <w:pPr>
        <w:pStyle w:val="Footer"/>
        <w:bidi/>
        <w:spacing w:before="240" w:after="120"/>
        <w:ind w:firstLine="720"/>
        <w:rPr>
          <w:bCs w:val="0"/>
          <w:iCs/>
          <w:szCs w:val="30"/>
        </w:rPr>
      </w:pPr>
      <w:r w:rsidRPr="001F0358">
        <w:rPr>
          <w:bCs w:val="0"/>
          <w:iCs/>
          <w:szCs w:val="30"/>
          <w:rtl/>
        </w:rPr>
        <w:t>الحواشي</w:t>
      </w:r>
    </w:p>
  </w:endnote>
  <w:endnote w:type="continuationSeparator" w:id="0">
    <w:p w:rsidR="002F2F6E" w:rsidRPr="001F0358" w:rsidRDefault="002F2F6E" w:rsidP="001F0358">
      <w:pPr>
        <w:pStyle w:val="Footer"/>
        <w:spacing w:line="14" w:lineRule="exact"/>
      </w:pPr>
    </w:p>
  </w:endnote>
  <w:endnote w:id="1">
    <w:p w:rsidR="002F2F6E" w:rsidRPr="009455E5" w:rsidRDefault="002F2F6E" w:rsidP="001F0358">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F0358">
        <w:rPr>
          <w:w w:val="103"/>
          <w:rtl/>
        </w:rPr>
        <w:t>(</w:t>
      </w:r>
      <w:r w:rsidRPr="001F0358">
        <w:rPr>
          <w:rStyle w:val="EndnoteReference"/>
          <w:w w:val="103"/>
          <w:vertAlign w:val="baseline"/>
          <w:rtl/>
        </w:rPr>
        <w:endnoteRef/>
      </w:r>
      <w:r w:rsidRPr="001F0358">
        <w:rPr>
          <w:w w:val="103"/>
          <w:rtl/>
        </w:rPr>
        <w:t>)</w:t>
      </w:r>
      <w:r w:rsidRPr="001F0358">
        <w:rPr>
          <w:w w:val="103"/>
          <w:rtl/>
        </w:rPr>
        <w:tab/>
      </w:r>
      <w:r>
        <w:rPr>
          <w:rFonts w:hint="cs"/>
          <w:i/>
          <w:iCs/>
          <w:w w:val="103"/>
          <w:rtl/>
        </w:rPr>
        <w:t xml:space="preserve">الوثائق الرسمية للجمعية العامة، الدورة الثانية والخمسون، الملحق رقم </w:t>
      </w:r>
      <w:r>
        <w:rPr>
          <w:rFonts w:hint="cs"/>
          <w:w w:val="103"/>
          <w:rtl/>
        </w:rPr>
        <w:t xml:space="preserve">38 </w:t>
      </w:r>
      <w:r>
        <w:rPr>
          <w:w w:val="103"/>
        </w:rPr>
        <w:t>(A/52/38/Rev.1)</w:t>
      </w:r>
      <w:r>
        <w:rPr>
          <w:rFonts w:hint="cs"/>
          <w:w w:val="103"/>
          <w:rtl/>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2F6E">
      <w:tblPrEx>
        <w:tblCellMar>
          <w:top w:w="0" w:type="dxa"/>
          <w:bottom w:w="0" w:type="dxa"/>
        </w:tblCellMar>
      </w:tblPrEx>
      <w:tc>
        <w:tcPr>
          <w:tcW w:w="5033" w:type="dxa"/>
          <w:shd w:val="clear" w:color="auto" w:fill="auto"/>
        </w:tcPr>
        <w:p w:rsidR="002F2F6E" w:rsidRPr="00CA5C9B" w:rsidRDefault="002F2F6E" w:rsidP="00CA5C9B">
          <w:pPr>
            <w:pStyle w:val="Footer"/>
            <w:jc w:val="right"/>
            <w:rPr>
              <w:w w:val="103"/>
            </w:rPr>
          </w:pPr>
          <w:r>
            <w:rPr>
              <w:w w:val="103"/>
            </w:rPr>
            <w:fldChar w:fldCharType="begin"/>
          </w:r>
          <w:r>
            <w:rPr>
              <w:w w:val="103"/>
            </w:rPr>
            <w:instrText xml:space="preserve"> PAGE  \* MERGEFORMAT </w:instrText>
          </w:r>
          <w:r>
            <w:rPr>
              <w:w w:val="103"/>
            </w:rPr>
            <w:fldChar w:fldCharType="separate"/>
          </w:r>
          <w:r w:rsidR="00FA0733">
            <w:rPr>
              <w:w w:val="103"/>
            </w:rPr>
            <w:t>2</w:t>
          </w:r>
          <w:r>
            <w:rPr>
              <w:w w:val="103"/>
            </w:rPr>
            <w:fldChar w:fldCharType="end"/>
          </w:r>
        </w:p>
      </w:tc>
      <w:tc>
        <w:tcPr>
          <w:tcW w:w="5033" w:type="dxa"/>
          <w:shd w:val="clear" w:color="auto" w:fill="auto"/>
        </w:tcPr>
        <w:p w:rsidR="002F2F6E" w:rsidRPr="00CA5C9B" w:rsidRDefault="002F2F6E" w:rsidP="00CA5C9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05-45830</w:t>
          </w:r>
          <w:r>
            <w:rPr>
              <w:b w:val="0"/>
              <w:w w:val="103"/>
            </w:rPr>
            <w:fldChar w:fldCharType="end"/>
          </w:r>
        </w:p>
      </w:tc>
    </w:tr>
  </w:tbl>
  <w:p w:rsidR="002F2F6E" w:rsidRPr="00CA5C9B" w:rsidRDefault="002F2F6E" w:rsidP="00CA5C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2F6E">
      <w:tblPrEx>
        <w:tblCellMar>
          <w:top w:w="0" w:type="dxa"/>
          <w:bottom w:w="0" w:type="dxa"/>
        </w:tblCellMar>
      </w:tblPrEx>
      <w:tc>
        <w:tcPr>
          <w:tcW w:w="5033" w:type="dxa"/>
          <w:shd w:val="clear" w:color="auto" w:fill="auto"/>
        </w:tcPr>
        <w:p w:rsidR="002F2F6E" w:rsidRPr="00CA5C9B" w:rsidRDefault="002F2F6E" w:rsidP="00CA5C9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05-45830</w:t>
          </w:r>
          <w:r>
            <w:rPr>
              <w:b w:val="0"/>
              <w:w w:val="103"/>
            </w:rPr>
            <w:fldChar w:fldCharType="end"/>
          </w:r>
        </w:p>
      </w:tc>
      <w:tc>
        <w:tcPr>
          <w:tcW w:w="5033" w:type="dxa"/>
          <w:shd w:val="clear" w:color="auto" w:fill="auto"/>
        </w:tcPr>
        <w:p w:rsidR="002F2F6E" w:rsidRPr="00CA5C9B" w:rsidRDefault="002F2F6E" w:rsidP="00CA5C9B">
          <w:pPr>
            <w:pStyle w:val="Footer"/>
            <w:rPr>
              <w:w w:val="103"/>
            </w:rPr>
          </w:pPr>
          <w:r>
            <w:rPr>
              <w:w w:val="103"/>
            </w:rPr>
            <w:fldChar w:fldCharType="begin"/>
          </w:r>
          <w:r>
            <w:rPr>
              <w:w w:val="103"/>
            </w:rPr>
            <w:instrText xml:space="preserve"> PAGE  \* MERGEFORMAT </w:instrText>
          </w:r>
          <w:r>
            <w:rPr>
              <w:w w:val="103"/>
            </w:rPr>
            <w:fldChar w:fldCharType="separate"/>
          </w:r>
          <w:r w:rsidR="00FA0733">
            <w:rPr>
              <w:w w:val="103"/>
            </w:rPr>
            <w:t>3</w:t>
          </w:r>
          <w:r>
            <w:rPr>
              <w:w w:val="103"/>
            </w:rPr>
            <w:fldChar w:fldCharType="end"/>
          </w:r>
        </w:p>
      </w:tc>
    </w:tr>
  </w:tbl>
  <w:p w:rsidR="002F2F6E" w:rsidRPr="00CA5C9B" w:rsidRDefault="002F2F6E" w:rsidP="00CA5C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F6E" w:rsidRDefault="002F2F6E">
    <w:pPr>
      <w:pStyle w:val="Footer"/>
    </w:pPr>
  </w:p>
  <w:p w:rsidR="002F2F6E" w:rsidRDefault="002F2F6E" w:rsidP="00CA5C9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05-45830 (A)</w:t>
    </w:r>
    <w:r>
      <w:rPr>
        <w:rFonts w:cs="Times New Roman"/>
        <w:b w:val="0"/>
        <w:w w:val="103"/>
        <w:sz w:val="20"/>
      </w:rPr>
      <w:fldChar w:fldCharType="end"/>
    </w:r>
  </w:p>
  <w:p w:rsidR="002F2F6E" w:rsidRPr="00CA5C9B" w:rsidRDefault="002F2F6E" w:rsidP="00CA5C9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*0545830*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F6E" w:rsidRDefault="002F2F6E">
      <w:r>
        <w:separator/>
      </w:r>
    </w:p>
  </w:footnote>
  <w:footnote w:type="continuationSeparator" w:id="0">
    <w:p w:rsidR="002F2F6E" w:rsidRDefault="002F2F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2F2F6E">
      <w:tblPrEx>
        <w:tblCellMar>
          <w:top w:w="0" w:type="dxa"/>
          <w:bottom w:w="0" w:type="dxa"/>
        </w:tblCellMar>
      </w:tblPrEx>
      <w:trPr>
        <w:trHeight w:hRule="exact" w:val="864"/>
        <w:jc w:val="center"/>
      </w:trPr>
      <w:tc>
        <w:tcPr>
          <w:tcW w:w="5033" w:type="dxa"/>
          <w:shd w:val="clear" w:color="auto" w:fill="auto"/>
          <w:vAlign w:val="bottom"/>
        </w:tcPr>
        <w:p w:rsidR="002F2F6E" w:rsidRDefault="002F2F6E" w:rsidP="00CA5C9B">
          <w:pPr>
            <w:pStyle w:val="Header"/>
            <w:bidi/>
            <w:jc w:val="right"/>
          </w:pPr>
        </w:p>
      </w:tc>
      <w:tc>
        <w:tcPr>
          <w:tcW w:w="5033" w:type="dxa"/>
          <w:shd w:val="clear" w:color="auto" w:fill="auto"/>
          <w:vAlign w:val="bottom"/>
        </w:tcPr>
        <w:p w:rsidR="002F2F6E" w:rsidRPr="00CA5C9B" w:rsidRDefault="002F2F6E" w:rsidP="00CA5C9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CEDAW/C/AUL/Q/4-5</w:t>
          </w:r>
          <w:r>
            <w:rPr>
              <w:w w:val="103"/>
            </w:rPr>
            <w:fldChar w:fldCharType="end"/>
          </w:r>
        </w:p>
      </w:tc>
    </w:tr>
  </w:tbl>
  <w:p w:rsidR="002F2F6E" w:rsidRPr="00CA5C9B" w:rsidRDefault="002F2F6E" w:rsidP="00CA5C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2F2F6E">
      <w:tblPrEx>
        <w:tblCellMar>
          <w:top w:w="0" w:type="dxa"/>
          <w:bottom w:w="0" w:type="dxa"/>
        </w:tblCellMar>
      </w:tblPrEx>
      <w:trPr>
        <w:trHeight w:hRule="exact" w:val="864"/>
        <w:jc w:val="center"/>
      </w:trPr>
      <w:tc>
        <w:tcPr>
          <w:tcW w:w="5033" w:type="dxa"/>
          <w:shd w:val="clear" w:color="auto" w:fill="auto"/>
          <w:vAlign w:val="bottom"/>
        </w:tcPr>
        <w:p w:rsidR="002F2F6E" w:rsidRPr="00CA5C9B" w:rsidRDefault="002F2F6E" w:rsidP="00CA5C9B">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CEDAW/C/AUL/Q/4-5</w:t>
          </w:r>
          <w:r>
            <w:rPr>
              <w:w w:val="103"/>
              <w:rtl/>
            </w:rPr>
            <w:fldChar w:fldCharType="end"/>
          </w:r>
        </w:p>
      </w:tc>
      <w:tc>
        <w:tcPr>
          <w:tcW w:w="5033" w:type="dxa"/>
          <w:shd w:val="clear" w:color="auto" w:fill="auto"/>
          <w:vAlign w:val="bottom"/>
        </w:tcPr>
        <w:p w:rsidR="002F2F6E" w:rsidRDefault="002F2F6E" w:rsidP="00CA5C9B">
          <w:pPr>
            <w:pStyle w:val="Header"/>
          </w:pPr>
        </w:p>
      </w:tc>
    </w:tr>
  </w:tbl>
  <w:p w:rsidR="002F2F6E" w:rsidRPr="00CA5C9B" w:rsidRDefault="002F2F6E" w:rsidP="00CA5C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F2F6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F2F6E" w:rsidRDefault="002F2F6E" w:rsidP="00CA5C9B">
          <w:pPr>
            <w:pStyle w:val="Header"/>
            <w:spacing w:after="120"/>
          </w:pPr>
        </w:p>
      </w:tc>
      <w:tc>
        <w:tcPr>
          <w:tcW w:w="1786" w:type="dxa"/>
          <w:tcBorders>
            <w:bottom w:val="single" w:sz="4" w:space="0" w:color="auto"/>
          </w:tcBorders>
          <w:shd w:val="clear" w:color="auto" w:fill="auto"/>
          <w:vAlign w:val="bottom"/>
        </w:tcPr>
        <w:p w:rsidR="002F2F6E" w:rsidRDefault="002F2F6E" w:rsidP="00CA5C9B">
          <w:pPr>
            <w:pStyle w:val="Header"/>
            <w:spacing w:after="120"/>
          </w:pPr>
        </w:p>
      </w:tc>
      <w:tc>
        <w:tcPr>
          <w:tcW w:w="245" w:type="dxa"/>
          <w:tcBorders>
            <w:bottom w:val="single" w:sz="4" w:space="0" w:color="auto"/>
          </w:tcBorders>
          <w:shd w:val="clear" w:color="auto" w:fill="auto"/>
          <w:vAlign w:val="bottom"/>
        </w:tcPr>
        <w:p w:rsidR="002F2F6E" w:rsidRDefault="002F2F6E" w:rsidP="00CA5C9B">
          <w:pPr>
            <w:pStyle w:val="Header"/>
            <w:spacing w:after="120"/>
          </w:pPr>
        </w:p>
      </w:tc>
      <w:tc>
        <w:tcPr>
          <w:tcW w:w="6523" w:type="dxa"/>
          <w:gridSpan w:val="3"/>
          <w:tcBorders>
            <w:bottom w:val="single" w:sz="4" w:space="0" w:color="auto"/>
          </w:tcBorders>
          <w:shd w:val="clear" w:color="auto" w:fill="auto"/>
          <w:vAlign w:val="bottom"/>
        </w:tcPr>
        <w:p w:rsidR="002F2F6E" w:rsidRPr="00CA5C9B" w:rsidRDefault="002F2F6E" w:rsidP="00CA5C9B">
          <w:pPr>
            <w:spacing w:line="380" w:lineRule="exact"/>
            <w:jc w:val="right"/>
          </w:pPr>
          <w:r>
            <w:rPr>
              <w:sz w:val="40"/>
            </w:rPr>
            <w:t>CEDAW</w:t>
          </w:r>
          <w:r>
            <w:t>/C/AUL/Q/4-5</w:t>
          </w:r>
        </w:p>
      </w:tc>
    </w:tr>
    <w:tr w:rsidR="002F2F6E" w:rsidRPr="00CA5C9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F2F6E" w:rsidRPr="00CA5C9B" w:rsidRDefault="002F2F6E" w:rsidP="00CA5C9B">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2F2F6E" w:rsidRPr="00CA5C9B" w:rsidRDefault="002F2F6E" w:rsidP="00CA5C9B">
          <w:pPr>
            <w:pStyle w:val="Header"/>
            <w:spacing w:before="109"/>
          </w:pPr>
        </w:p>
      </w:tc>
      <w:tc>
        <w:tcPr>
          <w:tcW w:w="245" w:type="dxa"/>
          <w:tcBorders>
            <w:top w:val="single" w:sz="4" w:space="0" w:color="auto"/>
            <w:bottom w:val="single" w:sz="12" w:space="0" w:color="auto"/>
          </w:tcBorders>
          <w:shd w:val="clear" w:color="auto" w:fill="auto"/>
        </w:tcPr>
        <w:p w:rsidR="002F2F6E" w:rsidRPr="00CA5C9B" w:rsidRDefault="002F2F6E" w:rsidP="00CA5C9B">
          <w:pPr>
            <w:pStyle w:val="Header"/>
            <w:spacing w:before="109"/>
          </w:pPr>
        </w:p>
      </w:tc>
      <w:tc>
        <w:tcPr>
          <w:tcW w:w="3100" w:type="dxa"/>
          <w:gridSpan w:val="2"/>
          <w:tcBorders>
            <w:top w:val="single" w:sz="4" w:space="0" w:color="auto"/>
            <w:bottom w:val="single" w:sz="12" w:space="0" w:color="auto"/>
          </w:tcBorders>
          <w:shd w:val="clear" w:color="auto" w:fill="auto"/>
        </w:tcPr>
        <w:p w:rsidR="002F2F6E" w:rsidRDefault="002F2F6E" w:rsidP="00CA5C9B">
          <w:pPr>
            <w:bidi w:val="0"/>
            <w:spacing w:before="240"/>
            <w:rPr>
              <w:rtl/>
            </w:rPr>
          </w:pPr>
        </w:p>
        <w:p w:rsidR="002F2F6E" w:rsidRDefault="002F2F6E" w:rsidP="00CA5C9B">
          <w:pPr>
            <w:bidi w:val="0"/>
            <w:spacing w:line="240" w:lineRule="exact"/>
            <w:jc w:val="left"/>
          </w:pPr>
          <w:smartTag w:uri="urn:schemas-microsoft-com:office:smarttags" w:element="date">
            <w:smartTagPr>
              <w:attr w:name="Month" w:val="8"/>
              <w:attr w:name="Day" w:val="5"/>
              <w:attr w:name="Year" w:val="2005"/>
            </w:smartTagPr>
            <w:r>
              <w:t>5 August 2005</w:t>
            </w:r>
          </w:smartTag>
        </w:p>
        <w:p w:rsidR="002F2F6E" w:rsidRDefault="002F2F6E" w:rsidP="00CA5C9B">
          <w:pPr>
            <w:bidi w:val="0"/>
            <w:spacing w:line="240" w:lineRule="exact"/>
            <w:jc w:val="left"/>
          </w:pPr>
          <w:r>
            <w:t>Arabic</w:t>
          </w:r>
        </w:p>
        <w:p w:rsidR="002F2F6E" w:rsidRPr="00CA5C9B" w:rsidRDefault="002F2F6E" w:rsidP="00CA5C9B">
          <w:pPr>
            <w:bidi w:val="0"/>
            <w:spacing w:line="240" w:lineRule="exact"/>
            <w:jc w:val="left"/>
          </w:pPr>
          <w:r>
            <w:t>Original: English</w:t>
          </w:r>
        </w:p>
      </w:tc>
    </w:tr>
  </w:tbl>
  <w:p w:rsidR="002F2F6E" w:rsidRPr="00CA5C9B" w:rsidRDefault="002F2F6E" w:rsidP="00CA5C9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30*"/>
    <w:docVar w:name="CreationDt" w:val="03/11/2005 06:309 م"/>
    <w:docVar w:name="DocCategory" w:val="PlainDoc"/>
    <w:docVar w:name="DocType" w:val="Final"/>
    <w:docVar w:name="FooterJN" w:val="05-45830"/>
    <w:docVar w:name="jobn" w:val="05-45830 (A)"/>
    <w:docVar w:name="jobnDT" w:val="05-45830 (A)   031105"/>
    <w:docVar w:name="jobnDTDT" w:val="05-45830 (A)   031105   031105"/>
    <w:docVar w:name="JobNo" w:val="0545830A"/>
    <w:docVar w:name="OandT" w:val=" "/>
    <w:docVar w:name="sss1" w:val="CEDAW/C/AUL/Q/4-5"/>
    <w:docVar w:name="sss2" w:val="-"/>
    <w:docVar w:name="Symbol1" w:val="CEDAW/C/AUL/Q/4-5"/>
    <w:docVar w:name="Symbol2" w:val="-"/>
  </w:docVars>
  <w:rsids>
    <w:rsidRoot w:val="00084C58"/>
    <w:rsid w:val="00042425"/>
    <w:rsid w:val="00061D5E"/>
    <w:rsid w:val="0006648F"/>
    <w:rsid w:val="00084C58"/>
    <w:rsid w:val="00087310"/>
    <w:rsid w:val="0009732C"/>
    <w:rsid w:val="000C4EED"/>
    <w:rsid w:val="000D2CEC"/>
    <w:rsid w:val="000F5A12"/>
    <w:rsid w:val="00101EE8"/>
    <w:rsid w:val="00113349"/>
    <w:rsid w:val="00124D01"/>
    <w:rsid w:val="00145BB3"/>
    <w:rsid w:val="001519A9"/>
    <w:rsid w:val="001737F8"/>
    <w:rsid w:val="00187870"/>
    <w:rsid w:val="001F0358"/>
    <w:rsid w:val="001F6786"/>
    <w:rsid w:val="00211FAC"/>
    <w:rsid w:val="002416C5"/>
    <w:rsid w:val="00266F59"/>
    <w:rsid w:val="00272B6C"/>
    <w:rsid w:val="0027623A"/>
    <w:rsid w:val="00290F2F"/>
    <w:rsid w:val="002937DA"/>
    <w:rsid w:val="002A09C6"/>
    <w:rsid w:val="002B3B3D"/>
    <w:rsid w:val="002C2AF2"/>
    <w:rsid w:val="002C4E1B"/>
    <w:rsid w:val="002F2F6E"/>
    <w:rsid w:val="00312162"/>
    <w:rsid w:val="003501D5"/>
    <w:rsid w:val="00371AC4"/>
    <w:rsid w:val="00383CA8"/>
    <w:rsid w:val="003A2FD6"/>
    <w:rsid w:val="003A65ED"/>
    <w:rsid w:val="003B171E"/>
    <w:rsid w:val="003D4612"/>
    <w:rsid w:val="003F4B8C"/>
    <w:rsid w:val="00401BDF"/>
    <w:rsid w:val="00411BBD"/>
    <w:rsid w:val="00415922"/>
    <w:rsid w:val="0042355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D4B4A"/>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455E5"/>
    <w:rsid w:val="009637FE"/>
    <w:rsid w:val="00970BAD"/>
    <w:rsid w:val="009768D1"/>
    <w:rsid w:val="009829B7"/>
    <w:rsid w:val="009927C0"/>
    <w:rsid w:val="009961E6"/>
    <w:rsid w:val="009C0017"/>
    <w:rsid w:val="009C15F4"/>
    <w:rsid w:val="009D62A3"/>
    <w:rsid w:val="009E2A1F"/>
    <w:rsid w:val="00A37C4B"/>
    <w:rsid w:val="00A66F66"/>
    <w:rsid w:val="00A71AE5"/>
    <w:rsid w:val="00A977F9"/>
    <w:rsid w:val="00AA1E16"/>
    <w:rsid w:val="00AC002C"/>
    <w:rsid w:val="00AC6CDD"/>
    <w:rsid w:val="00AD38D0"/>
    <w:rsid w:val="00AD420A"/>
    <w:rsid w:val="00AE108C"/>
    <w:rsid w:val="00AF1A53"/>
    <w:rsid w:val="00AF7AC7"/>
    <w:rsid w:val="00B05ADC"/>
    <w:rsid w:val="00B272BE"/>
    <w:rsid w:val="00B66A9C"/>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96D6D"/>
    <w:rsid w:val="00CA5C9B"/>
    <w:rsid w:val="00CD0BB8"/>
    <w:rsid w:val="00CD3849"/>
    <w:rsid w:val="00CF7384"/>
    <w:rsid w:val="00D2343D"/>
    <w:rsid w:val="00D254E9"/>
    <w:rsid w:val="00D30EAE"/>
    <w:rsid w:val="00D318F1"/>
    <w:rsid w:val="00D40B0E"/>
    <w:rsid w:val="00DA66B7"/>
    <w:rsid w:val="00DB0865"/>
    <w:rsid w:val="00DE5433"/>
    <w:rsid w:val="00DF5F38"/>
    <w:rsid w:val="00E23336"/>
    <w:rsid w:val="00E31661"/>
    <w:rsid w:val="00E32B52"/>
    <w:rsid w:val="00E47EB8"/>
    <w:rsid w:val="00E750E1"/>
    <w:rsid w:val="00E9114A"/>
    <w:rsid w:val="00E940FF"/>
    <w:rsid w:val="00EA489C"/>
    <w:rsid w:val="00EB0CA7"/>
    <w:rsid w:val="00EB4992"/>
    <w:rsid w:val="00EF2E52"/>
    <w:rsid w:val="00F32E4A"/>
    <w:rsid w:val="00F36D8C"/>
    <w:rsid w:val="00F60DF0"/>
    <w:rsid w:val="00F93545"/>
    <w:rsid w:val="00F96FBA"/>
    <w:rsid w:val="00FA0733"/>
    <w:rsid w:val="00FB4E06"/>
    <w:rsid w:val="00FC3483"/>
    <w:rsid w:val="00FC4D68"/>
    <w:rsid w:val="00FD2ADA"/>
    <w:rsid w:val="00FF5E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A5C9B"/>
    <w:rPr>
      <w:szCs w:val="20"/>
    </w:rPr>
  </w:style>
  <w:style w:type="paragraph" w:styleId="CommentSubject">
    <w:name w:val="annotation subject"/>
    <w:basedOn w:val="CommentText"/>
    <w:next w:val="CommentText"/>
    <w:semiHidden/>
    <w:rsid w:val="00CA5C9B"/>
    <w:rPr>
      <w:b/>
      <w:bCs/>
    </w:rPr>
  </w:style>
  <w:style w:type="character" w:styleId="EndnoteReference">
    <w:name w:val="endnote reference"/>
    <w:semiHidden/>
    <w:rsid w:val="001F03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7</Pages>
  <Words>1836</Words>
  <Characters>10466</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123</dc:creator>
  <cp:keywords/>
  <dc:description/>
  <cp:lastModifiedBy>Ibrahim.Hamdy</cp:lastModifiedBy>
  <cp:revision>11</cp:revision>
  <cp:lastPrinted>2005-11-03T22:23:00Z</cp:lastPrinted>
  <dcterms:created xsi:type="dcterms:W3CDTF">2005-11-03T22:09:00Z</dcterms:created>
  <dcterms:modified xsi:type="dcterms:W3CDTF">2005-11-03T22:25:00Z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0545830</vt:lpwstr>
  </property>
  <property fmtid="{D5CDD505-2E9C-101B-9397-08002B2CF9AE}" pid="3" name="Symbol1">
    <vt:lpwstr>CEDAW/C/AUL/Q/4-5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