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4A84"/>
    <w:p w:rsidR="00000000" w:rsidRDefault="00844A84">
      <w:pPr>
        <w:spacing w:after="480" w:line="360" w:lineRule="auto"/>
      </w:pPr>
      <w:r>
        <w:rPr>
          <w:rFonts w:hint="eastAsia"/>
        </w:rPr>
        <w:t>2004</w:t>
      </w:r>
      <w:r>
        <w:rPr>
          <w:rFonts w:hint="eastAsia"/>
        </w:rPr>
        <w:t>年实质性会议</w:t>
      </w:r>
    </w:p>
    <w:p w:rsidR="00000000" w:rsidRDefault="00844A84">
      <w:pPr>
        <w:pStyle w:val="Heading2"/>
        <w:spacing w:after="360"/>
      </w:pPr>
      <w:r>
        <w:rPr>
          <w:rFonts w:hint="eastAsia"/>
        </w:rPr>
        <w:t>《经济、社会、文化权利国际公约》执行情况</w:t>
      </w:r>
    </w:p>
    <w:p w:rsidR="00000000" w:rsidRDefault="00844A84">
      <w:pPr>
        <w:pStyle w:val="Heading3"/>
      </w:pPr>
      <w:r>
        <w:rPr>
          <w:rFonts w:hint="eastAsia"/>
        </w:rPr>
        <w:t>缔约国根据《公约》第十六条和第十七条</w:t>
      </w:r>
      <w:r>
        <w:br/>
      </w:r>
      <w:r>
        <w:rPr>
          <w:rFonts w:hint="eastAsia"/>
        </w:rPr>
        <w:t>提交的初次报告</w:t>
      </w:r>
      <w:r>
        <w:rPr>
          <w:u w:val="none"/>
        </w:rPr>
        <w:t>*</w:t>
      </w:r>
    </w:p>
    <w:p w:rsidR="00000000" w:rsidRDefault="00844A84">
      <w:pPr>
        <w:pStyle w:val="Heading3"/>
      </w:pPr>
      <w:r>
        <w:rPr>
          <w:rFonts w:hint="eastAsia"/>
        </w:rPr>
        <w:t>增</w:t>
      </w:r>
      <w:r>
        <w:rPr>
          <w:rFonts w:hint="eastAsia"/>
        </w:rPr>
        <w:t xml:space="preserve"> </w:t>
      </w:r>
      <w:r>
        <w:t xml:space="preserve"> </w:t>
      </w:r>
      <w:r>
        <w:rPr>
          <w:rFonts w:hint="eastAsia"/>
        </w:rPr>
        <w:t>编</w:t>
      </w:r>
    </w:p>
    <w:p w:rsidR="00000000" w:rsidRDefault="00844A84">
      <w:pPr>
        <w:pStyle w:val="Heading3"/>
        <w:rPr>
          <w:rFonts w:ascii="Time New Roman" w:eastAsia="SimHei" w:hAnsi="Time New Roman"/>
          <w:u w:val="none"/>
        </w:rPr>
      </w:pPr>
      <w:r>
        <w:rPr>
          <w:rFonts w:ascii="Time New Roman" w:eastAsia="SimHei" w:hAnsi="Time New Roman" w:hint="eastAsia"/>
          <w:u w:val="none"/>
        </w:rPr>
        <w:t>塞尔维亚和黑山</w:t>
      </w:r>
    </w:p>
    <w:p w:rsidR="00000000" w:rsidRDefault="00844A84">
      <w:pPr>
        <w:pStyle w:val="12cm"/>
      </w:pPr>
      <w:r>
        <w:t>[</w:t>
      </w:r>
      <w:r>
        <w:rPr>
          <w:rFonts w:hint="eastAsia"/>
        </w:rPr>
        <w:t>2003</w:t>
      </w:r>
      <w:r>
        <w:rPr>
          <w:rFonts w:hint="eastAsia"/>
        </w:rPr>
        <w:t>年</w:t>
      </w:r>
      <w:r>
        <w:rPr>
          <w:rFonts w:hint="eastAsia"/>
        </w:rPr>
        <w:t>10</w:t>
      </w:r>
      <w:r>
        <w:rPr>
          <w:rFonts w:hint="eastAsia"/>
        </w:rPr>
        <w:t>月</w:t>
      </w:r>
      <w:r>
        <w:rPr>
          <w:rFonts w:hint="eastAsia"/>
        </w:rPr>
        <w:t>10</w:t>
      </w:r>
      <w:r>
        <w:rPr>
          <w:rFonts w:hint="eastAsia"/>
        </w:rPr>
        <w:t>日</w:t>
      </w:r>
      <w:r>
        <w:t>]</w:t>
      </w:r>
    </w:p>
    <w:p w:rsidR="00000000" w:rsidRDefault="00844A84">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844A84">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844A84">
      <w:pPr>
        <w:pStyle w:val="a9"/>
      </w:pPr>
      <w:r>
        <w:rPr>
          <w:rFonts w:hint="eastAsia"/>
        </w:rPr>
        <w:t>导</w:t>
      </w:r>
      <w:r>
        <w:rPr>
          <w:rFonts w:hint="eastAsia"/>
        </w:rPr>
        <w:t xml:space="preserve">  </w:t>
      </w:r>
      <w:r>
        <w:rPr>
          <w:rFonts w:hint="eastAsia"/>
        </w:rPr>
        <w:t>言</w:t>
      </w:r>
      <w:r>
        <w:t>.........................................</w:t>
      </w:r>
      <w:r>
        <w:rPr>
          <w:rFonts w:hint="eastAsia"/>
        </w:rPr>
        <w:tab/>
      </w:r>
      <w:r>
        <w:rPr>
          <w:rFonts w:hint="eastAsia"/>
        </w:rPr>
        <w:tab/>
      </w:r>
      <w:r>
        <w:t>1</w:t>
      </w:r>
      <w:r>
        <w:tab/>
        <w:t>-</w:t>
      </w:r>
      <w:r>
        <w:tab/>
        <w:t>7</w:t>
      </w:r>
      <w:r>
        <w:tab/>
        <w:t>5</w:t>
      </w:r>
    </w:p>
    <w:p w:rsidR="00000000" w:rsidRDefault="00844A84">
      <w:pPr>
        <w:pStyle w:val="a9"/>
        <w:rPr>
          <w:rFonts w:hint="eastAsia"/>
        </w:rPr>
      </w:pPr>
      <w:r>
        <w:rPr>
          <w:rFonts w:hint="eastAsia"/>
        </w:rPr>
        <w:t>第一部分：</w:t>
      </w:r>
    </w:p>
    <w:p w:rsidR="00000000" w:rsidRDefault="00844A84" w:rsidP="00844A84">
      <w:pPr>
        <w:pStyle w:val="a9"/>
        <w:ind w:left="31680" w:hangingChars="200" w:firstLine="31680"/>
      </w:pPr>
      <w:r>
        <w:rPr>
          <w:rFonts w:hint="eastAsia"/>
        </w:rPr>
        <w:tab/>
      </w:r>
      <w:r>
        <w:rPr>
          <w:rFonts w:hint="eastAsia"/>
        </w:rPr>
        <w:t>关于</w:t>
      </w:r>
      <w:r>
        <w:rPr>
          <w:rFonts w:hint="eastAsia"/>
        </w:rPr>
        <w:t>1990</w:t>
      </w:r>
      <w:r>
        <w:rPr>
          <w:rFonts w:hint="eastAsia"/>
        </w:rPr>
        <w:t>至</w:t>
      </w:r>
      <w:r>
        <w:rPr>
          <w:rFonts w:hint="eastAsia"/>
        </w:rPr>
        <w:t>2002</w:t>
      </w:r>
      <w:r>
        <w:rPr>
          <w:rFonts w:hint="eastAsia"/>
        </w:rPr>
        <w:t>年期间南斯拉夫联盟共和国以及塞尔维亚共和国执行《经济、社会、文化权利国际公约》情况的初次报告</w:t>
      </w:r>
      <w:r>
        <w:rPr>
          <w:rFonts w:hint="eastAsia"/>
        </w:rPr>
        <w:tab/>
      </w:r>
      <w:r>
        <w:rPr>
          <w:rFonts w:hint="eastAsia"/>
        </w:rPr>
        <w:tab/>
        <w:t>8</w:t>
      </w:r>
      <w:r>
        <w:rPr>
          <w:rFonts w:hint="eastAsia"/>
        </w:rPr>
        <w:tab/>
      </w:r>
      <w:r>
        <w:t>-</w:t>
      </w:r>
      <w:r>
        <w:tab/>
        <w:t>449</w:t>
      </w:r>
      <w:r>
        <w:tab/>
        <w:t>6</w:t>
      </w:r>
    </w:p>
    <w:p w:rsidR="00000000" w:rsidRDefault="00844A84">
      <w:pPr>
        <w:pStyle w:val="a9"/>
      </w:pPr>
      <w:r>
        <w:tab/>
      </w:r>
      <w:r>
        <w:rPr>
          <w:rFonts w:hint="eastAsia"/>
        </w:rPr>
        <w:tab/>
      </w:r>
      <w:r>
        <w:rPr>
          <w:rFonts w:hint="eastAsia"/>
        </w:rPr>
        <w:t>第一条</w:t>
      </w:r>
      <w:r>
        <w:t>................</w:t>
      </w:r>
      <w:r>
        <w:t>..........................</w:t>
      </w:r>
      <w:r>
        <w:rPr>
          <w:rFonts w:hint="eastAsia"/>
        </w:rPr>
        <w:tab/>
      </w:r>
      <w:r>
        <w:tab/>
      </w:r>
      <w:r>
        <w:rPr>
          <w:rFonts w:hint="eastAsia"/>
        </w:rPr>
        <w:t>8</w:t>
      </w:r>
      <w:r>
        <w:rPr>
          <w:rFonts w:hint="eastAsia"/>
        </w:rPr>
        <w:tab/>
        <w:t>-</w:t>
      </w:r>
      <w:r>
        <w:tab/>
      </w:r>
      <w:r>
        <w:rPr>
          <w:rFonts w:hint="eastAsia"/>
        </w:rPr>
        <w:t>9</w:t>
      </w:r>
      <w:r>
        <w:tab/>
        <w:t>6</w:t>
      </w:r>
    </w:p>
    <w:p w:rsidR="00000000" w:rsidRDefault="00844A84">
      <w:pPr>
        <w:pStyle w:val="a9"/>
        <w:ind w:firstLine="10"/>
      </w:pPr>
      <w:r>
        <w:rPr>
          <w:rFonts w:hint="eastAsia"/>
        </w:rPr>
        <w:tab/>
      </w:r>
      <w:r>
        <w:rPr>
          <w:rFonts w:hint="eastAsia"/>
        </w:rPr>
        <w:t>第二条</w:t>
      </w:r>
      <w:r>
        <w:t>..............................</w:t>
      </w:r>
      <w:r>
        <w:rPr>
          <w:rFonts w:hint="eastAsia"/>
        </w:rPr>
        <w:tab/>
      </w:r>
      <w:r>
        <w:rPr>
          <w:rFonts w:hint="eastAsia"/>
        </w:rPr>
        <w:tab/>
        <w:t>10</w:t>
      </w:r>
      <w:r>
        <w:rPr>
          <w:rFonts w:hint="eastAsia"/>
        </w:rPr>
        <w:tab/>
        <w:t>-</w:t>
      </w:r>
      <w:r>
        <w:rPr>
          <w:rFonts w:hint="eastAsia"/>
        </w:rPr>
        <w:tab/>
        <w:t>12</w:t>
      </w:r>
      <w:r>
        <w:rPr>
          <w:rFonts w:hint="eastAsia"/>
        </w:rPr>
        <w:tab/>
      </w:r>
      <w:r>
        <w:t>7</w:t>
      </w:r>
    </w:p>
    <w:p w:rsidR="00000000" w:rsidRDefault="00844A84">
      <w:pPr>
        <w:pStyle w:val="a9"/>
        <w:ind w:firstLine="10"/>
      </w:pPr>
      <w:r>
        <w:rPr>
          <w:rFonts w:hint="eastAsia"/>
        </w:rPr>
        <w:tab/>
      </w:r>
      <w:r>
        <w:rPr>
          <w:rFonts w:hint="eastAsia"/>
        </w:rPr>
        <w:t>第三条</w:t>
      </w:r>
      <w:r>
        <w:t>..........................</w:t>
      </w:r>
      <w:r>
        <w:rPr>
          <w:rFonts w:hint="eastAsia"/>
        </w:rPr>
        <w:tab/>
      </w:r>
      <w:r>
        <w:rPr>
          <w:rFonts w:hint="eastAsia"/>
        </w:rPr>
        <w:tab/>
        <w:t>13</w:t>
      </w:r>
      <w:r>
        <w:rPr>
          <w:rFonts w:hint="eastAsia"/>
        </w:rPr>
        <w:tab/>
        <w:t>-</w:t>
      </w:r>
      <w:r>
        <w:rPr>
          <w:rFonts w:hint="eastAsia"/>
        </w:rPr>
        <w:tab/>
        <w:t>21</w:t>
      </w:r>
      <w:r>
        <w:rPr>
          <w:rFonts w:hint="eastAsia"/>
        </w:rPr>
        <w:tab/>
      </w:r>
      <w:r>
        <w:t>7</w:t>
      </w:r>
    </w:p>
    <w:p w:rsidR="00000000" w:rsidRDefault="00844A84">
      <w:pPr>
        <w:pStyle w:val="a9"/>
        <w:ind w:firstLine="10"/>
      </w:pPr>
      <w:r>
        <w:rPr>
          <w:rFonts w:hint="eastAsia"/>
        </w:rPr>
        <w:tab/>
      </w:r>
      <w:r>
        <w:rPr>
          <w:rFonts w:hint="eastAsia"/>
        </w:rPr>
        <w:t>第四条</w:t>
      </w:r>
      <w:r>
        <w:t>.............................................</w:t>
      </w:r>
      <w:r>
        <w:rPr>
          <w:rFonts w:hint="eastAsia"/>
        </w:rPr>
        <w:tab/>
      </w:r>
      <w:r>
        <w:rPr>
          <w:rFonts w:hint="eastAsia"/>
        </w:rPr>
        <w:tab/>
        <w:t>22</w:t>
      </w:r>
      <w:r>
        <w:rPr>
          <w:rFonts w:hint="eastAsia"/>
        </w:rPr>
        <w:tab/>
        <w:t>-</w:t>
      </w:r>
      <w:r>
        <w:rPr>
          <w:rFonts w:hint="eastAsia"/>
        </w:rPr>
        <w:tab/>
        <w:t>24</w:t>
      </w:r>
      <w:r>
        <w:rPr>
          <w:rFonts w:hint="eastAsia"/>
        </w:rPr>
        <w:tab/>
      </w:r>
      <w:r>
        <w:t>9</w:t>
      </w:r>
    </w:p>
    <w:p w:rsidR="00000000" w:rsidRDefault="00844A84">
      <w:pPr>
        <w:pStyle w:val="a9"/>
        <w:ind w:firstLine="10"/>
      </w:pPr>
      <w:r>
        <w:rPr>
          <w:rFonts w:hint="eastAsia"/>
        </w:rPr>
        <w:tab/>
      </w:r>
      <w:r>
        <w:rPr>
          <w:rFonts w:hint="eastAsia"/>
        </w:rPr>
        <w:t>第五条</w:t>
      </w:r>
      <w:r>
        <w:t>..............................................</w:t>
      </w:r>
      <w:r>
        <w:rPr>
          <w:rFonts w:hint="eastAsia"/>
        </w:rPr>
        <w:tab/>
      </w:r>
      <w:r>
        <w:rPr>
          <w:rFonts w:hint="eastAsia"/>
        </w:rPr>
        <w:tab/>
        <w:t>25</w:t>
      </w:r>
      <w:r>
        <w:rPr>
          <w:rFonts w:hint="eastAsia"/>
        </w:rPr>
        <w:tab/>
        <w:t>-</w:t>
      </w:r>
      <w:r>
        <w:rPr>
          <w:rFonts w:hint="eastAsia"/>
        </w:rPr>
        <w:tab/>
        <w:t>27</w:t>
      </w:r>
      <w:r>
        <w:rPr>
          <w:rFonts w:hint="eastAsia"/>
        </w:rPr>
        <w:tab/>
      </w:r>
      <w:r>
        <w:t>9</w:t>
      </w:r>
    </w:p>
    <w:p w:rsidR="00000000" w:rsidRDefault="00844A84">
      <w:pPr>
        <w:pStyle w:val="a9"/>
        <w:ind w:firstLine="10"/>
      </w:pPr>
      <w:r>
        <w:rPr>
          <w:rFonts w:hint="eastAsia"/>
        </w:rPr>
        <w:tab/>
      </w:r>
      <w:r>
        <w:rPr>
          <w:rFonts w:hint="eastAsia"/>
        </w:rPr>
        <w:t>第六条</w:t>
      </w:r>
      <w:r>
        <w:t>.....</w:t>
      </w:r>
      <w:r>
        <w:t>.............................</w:t>
      </w:r>
      <w:r>
        <w:rPr>
          <w:rFonts w:hint="eastAsia"/>
        </w:rPr>
        <w:tab/>
      </w:r>
      <w:r>
        <w:rPr>
          <w:rFonts w:hint="eastAsia"/>
        </w:rPr>
        <w:tab/>
        <w:t>28</w:t>
      </w:r>
      <w:r>
        <w:rPr>
          <w:rFonts w:hint="eastAsia"/>
        </w:rPr>
        <w:tab/>
        <w:t>-</w:t>
      </w:r>
      <w:r>
        <w:rPr>
          <w:rFonts w:hint="eastAsia"/>
        </w:rPr>
        <w:tab/>
        <w:t>60</w:t>
      </w:r>
      <w:r>
        <w:rPr>
          <w:rFonts w:hint="eastAsia"/>
        </w:rPr>
        <w:tab/>
      </w:r>
      <w:r>
        <w:t>10</w:t>
      </w:r>
    </w:p>
    <w:p w:rsidR="00000000" w:rsidRDefault="00844A84">
      <w:pPr>
        <w:pStyle w:val="a9"/>
        <w:ind w:firstLine="10"/>
      </w:pPr>
      <w:r>
        <w:rPr>
          <w:rFonts w:hint="eastAsia"/>
        </w:rPr>
        <w:tab/>
      </w:r>
      <w:r>
        <w:rPr>
          <w:rFonts w:hint="eastAsia"/>
        </w:rPr>
        <w:t>第七条</w:t>
      </w:r>
      <w:r>
        <w:t>..............................</w:t>
      </w:r>
      <w:r>
        <w:rPr>
          <w:rFonts w:hint="eastAsia"/>
        </w:rPr>
        <w:tab/>
      </w:r>
      <w:r>
        <w:rPr>
          <w:rFonts w:hint="eastAsia"/>
        </w:rPr>
        <w:tab/>
        <w:t>61</w:t>
      </w:r>
      <w:r>
        <w:rPr>
          <w:rFonts w:hint="eastAsia"/>
        </w:rPr>
        <w:tab/>
        <w:t>-</w:t>
      </w:r>
      <w:r>
        <w:rPr>
          <w:rFonts w:hint="eastAsia"/>
        </w:rPr>
        <w:tab/>
        <w:t>117</w:t>
      </w:r>
      <w:r>
        <w:rPr>
          <w:rFonts w:hint="eastAsia"/>
        </w:rPr>
        <w:tab/>
      </w:r>
      <w:r>
        <w:t>16</w:t>
      </w:r>
    </w:p>
    <w:p w:rsidR="00000000" w:rsidRDefault="00844A84">
      <w:pPr>
        <w:pStyle w:val="a9"/>
        <w:ind w:firstLine="10"/>
      </w:pPr>
      <w:r>
        <w:rPr>
          <w:rFonts w:hint="eastAsia"/>
        </w:rPr>
        <w:tab/>
      </w:r>
      <w:r>
        <w:rPr>
          <w:rFonts w:hint="eastAsia"/>
        </w:rPr>
        <w:t>第八条</w:t>
      </w:r>
      <w:r>
        <w:t>..........................................</w:t>
      </w:r>
      <w:r>
        <w:rPr>
          <w:rFonts w:hint="eastAsia"/>
        </w:rPr>
        <w:tab/>
      </w:r>
      <w:r>
        <w:rPr>
          <w:rFonts w:hint="eastAsia"/>
        </w:rPr>
        <w:tab/>
        <w:t>118</w:t>
      </w:r>
      <w:r>
        <w:rPr>
          <w:rFonts w:hint="eastAsia"/>
        </w:rPr>
        <w:tab/>
        <w:t>-</w:t>
      </w:r>
      <w:r>
        <w:rPr>
          <w:rFonts w:hint="eastAsia"/>
        </w:rPr>
        <w:tab/>
      </w:r>
      <w:r>
        <w:t>145</w:t>
      </w:r>
      <w:r>
        <w:tab/>
        <w:t>24</w:t>
      </w:r>
    </w:p>
    <w:p w:rsidR="00000000" w:rsidRDefault="00844A84">
      <w:pPr>
        <w:pStyle w:val="a9"/>
        <w:ind w:firstLine="10"/>
      </w:pPr>
      <w:r>
        <w:rPr>
          <w:rFonts w:hint="eastAsia"/>
        </w:rPr>
        <w:tab/>
      </w:r>
      <w:r>
        <w:rPr>
          <w:rFonts w:hint="eastAsia"/>
        </w:rPr>
        <w:t>第九条</w:t>
      </w:r>
      <w:r>
        <w:t>...............................</w:t>
      </w:r>
      <w:r>
        <w:rPr>
          <w:rFonts w:hint="eastAsia"/>
        </w:rPr>
        <w:tab/>
      </w:r>
      <w:r>
        <w:rPr>
          <w:rFonts w:hint="eastAsia"/>
        </w:rPr>
        <w:tab/>
        <w:t>146</w:t>
      </w:r>
      <w:r>
        <w:rPr>
          <w:rFonts w:hint="eastAsia"/>
        </w:rPr>
        <w:tab/>
        <w:t>-</w:t>
      </w:r>
      <w:r>
        <w:rPr>
          <w:rFonts w:hint="eastAsia"/>
        </w:rPr>
        <w:tab/>
      </w:r>
      <w:r>
        <w:t>200</w:t>
      </w:r>
      <w:r>
        <w:tab/>
        <w:t>31</w:t>
      </w:r>
    </w:p>
    <w:p w:rsidR="00000000" w:rsidRDefault="00844A84">
      <w:pPr>
        <w:pStyle w:val="a9"/>
        <w:ind w:firstLine="10"/>
      </w:pPr>
      <w:r>
        <w:rPr>
          <w:rFonts w:hint="eastAsia"/>
        </w:rPr>
        <w:tab/>
      </w:r>
      <w:r>
        <w:rPr>
          <w:rFonts w:hint="eastAsia"/>
        </w:rPr>
        <w:t>第十条</w:t>
      </w:r>
      <w:r>
        <w:t>.................</w:t>
      </w:r>
      <w:r>
        <w:rPr>
          <w:rFonts w:hint="eastAsia"/>
        </w:rPr>
        <w:tab/>
      </w:r>
      <w:r>
        <w:rPr>
          <w:rFonts w:hint="eastAsia"/>
        </w:rPr>
        <w:tab/>
        <w:t>201</w:t>
      </w:r>
      <w:r>
        <w:rPr>
          <w:rFonts w:hint="eastAsia"/>
        </w:rPr>
        <w:tab/>
        <w:t>-</w:t>
      </w:r>
      <w:r>
        <w:rPr>
          <w:rFonts w:hint="eastAsia"/>
        </w:rPr>
        <w:tab/>
        <w:t>233</w:t>
      </w:r>
      <w:r>
        <w:rPr>
          <w:rFonts w:hint="eastAsia"/>
        </w:rPr>
        <w:tab/>
      </w:r>
      <w:r>
        <w:t>41</w:t>
      </w:r>
    </w:p>
    <w:p w:rsidR="00000000" w:rsidRDefault="00844A84">
      <w:pPr>
        <w:pStyle w:val="a9"/>
        <w:ind w:firstLine="10"/>
      </w:pPr>
      <w:r>
        <w:rPr>
          <w:rFonts w:hint="eastAsia"/>
        </w:rPr>
        <w:tab/>
      </w:r>
      <w:r>
        <w:rPr>
          <w:rFonts w:hint="eastAsia"/>
        </w:rPr>
        <w:t>第十一条</w:t>
      </w:r>
      <w:r>
        <w:t>....……….......</w:t>
      </w:r>
      <w:r>
        <w:t>....</w:t>
      </w:r>
      <w:r>
        <w:rPr>
          <w:rFonts w:hint="eastAsia"/>
        </w:rPr>
        <w:tab/>
      </w:r>
      <w:r>
        <w:rPr>
          <w:rFonts w:hint="eastAsia"/>
        </w:rPr>
        <w:tab/>
        <w:t>234</w:t>
      </w:r>
      <w:r>
        <w:rPr>
          <w:rFonts w:hint="eastAsia"/>
        </w:rPr>
        <w:tab/>
        <w:t>-</w:t>
      </w:r>
      <w:r>
        <w:rPr>
          <w:rFonts w:hint="eastAsia"/>
        </w:rPr>
        <w:tab/>
        <w:t>256</w:t>
      </w:r>
      <w:r>
        <w:rPr>
          <w:rFonts w:hint="eastAsia"/>
        </w:rPr>
        <w:tab/>
      </w:r>
      <w:r>
        <w:t>46</w:t>
      </w:r>
    </w:p>
    <w:p w:rsidR="00000000" w:rsidRDefault="00844A84">
      <w:pPr>
        <w:pStyle w:val="a9"/>
        <w:ind w:firstLine="10"/>
      </w:pPr>
      <w:r>
        <w:rPr>
          <w:rFonts w:hint="eastAsia"/>
        </w:rPr>
        <w:tab/>
      </w:r>
      <w:r>
        <w:rPr>
          <w:rFonts w:hint="eastAsia"/>
        </w:rPr>
        <w:t>第十二条</w:t>
      </w:r>
      <w:r>
        <w:t>..............………</w:t>
      </w:r>
      <w:r>
        <w:rPr>
          <w:rFonts w:hint="eastAsia"/>
        </w:rPr>
        <w:tab/>
      </w:r>
      <w:r>
        <w:rPr>
          <w:rFonts w:hint="eastAsia"/>
        </w:rPr>
        <w:tab/>
        <w:t>257</w:t>
      </w:r>
      <w:r>
        <w:rPr>
          <w:rFonts w:hint="eastAsia"/>
        </w:rPr>
        <w:tab/>
        <w:t>-</w:t>
      </w:r>
      <w:r>
        <w:rPr>
          <w:rFonts w:hint="eastAsia"/>
        </w:rPr>
        <w:tab/>
        <w:t>332</w:t>
      </w:r>
      <w:r>
        <w:rPr>
          <w:rFonts w:hint="eastAsia"/>
        </w:rPr>
        <w:tab/>
      </w:r>
      <w:r>
        <w:t>52</w:t>
      </w:r>
    </w:p>
    <w:p w:rsidR="00000000" w:rsidRDefault="00844A84">
      <w:pPr>
        <w:pStyle w:val="a9"/>
        <w:ind w:firstLine="10"/>
      </w:pPr>
      <w:r>
        <w:rPr>
          <w:rFonts w:hint="eastAsia"/>
        </w:rPr>
        <w:tab/>
      </w:r>
      <w:r>
        <w:rPr>
          <w:rFonts w:hint="eastAsia"/>
        </w:rPr>
        <w:t>第十三条</w:t>
      </w:r>
      <w:r>
        <w:t>...............……..</w:t>
      </w:r>
      <w:r>
        <w:rPr>
          <w:rFonts w:hint="eastAsia"/>
        </w:rPr>
        <w:tab/>
      </w:r>
      <w:r>
        <w:rPr>
          <w:rFonts w:hint="eastAsia"/>
        </w:rPr>
        <w:tab/>
        <w:t>333</w:t>
      </w:r>
      <w:r>
        <w:rPr>
          <w:rFonts w:hint="eastAsia"/>
        </w:rPr>
        <w:tab/>
        <w:t>-</w:t>
      </w:r>
      <w:r>
        <w:rPr>
          <w:rFonts w:hint="eastAsia"/>
        </w:rPr>
        <w:tab/>
        <w:t>404</w:t>
      </w:r>
      <w:r>
        <w:rPr>
          <w:rFonts w:hint="eastAsia"/>
        </w:rPr>
        <w:tab/>
      </w:r>
      <w:r>
        <w:t>70</w:t>
      </w:r>
    </w:p>
    <w:p w:rsidR="00000000" w:rsidRDefault="00844A84">
      <w:pPr>
        <w:pStyle w:val="a9"/>
        <w:ind w:firstLine="10"/>
      </w:pPr>
      <w:r>
        <w:rPr>
          <w:rFonts w:hint="eastAsia"/>
        </w:rPr>
        <w:tab/>
      </w:r>
      <w:r>
        <w:rPr>
          <w:rFonts w:hint="eastAsia"/>
        </w:rPr>
        <w:t>第十四条</w:t>
      </w:r>
      <w:r>
        <w:t>...........………..</w:t>
      </w:r>
      <w:r>
        <w:rPr>
          <w:rFonts w:hint="eastAsia"/>
        </w:rPr>
        <w:tab/>
      </w:r>
      <w:r>
        <w:rPr>
          <w:rFonts w:hint="eastAsia"/>
        </w:rPr>
        <w:tab/>
      </w:r>
      <w:r>
        <w:rPr>
          <w:rFonts w:hint="eastAsia"/>
        </w:rPr>
        <w:tab/>
        <w:t>405</w:t>
      </w:r>
      <w:r>
        <w:rPr>
          <w:rFonts w:hint="eastAsia"/>
        </w:rPr>
        <w:tab/>
      </w:r>
      <w:r>
        <w:t>88</w:t>
      </w:r>
    </w:p>
    <w:p w:rsidR="00000000" w:rsidRDefault="00844A84">
      <w:pPr>
        <w:pStyle w:val="a9"/>
        <w:ind w:firstLine="10"/>
      </w:pPr>
      <w:r>
        <w:rPr>
          <w:rFonts w:hint="eastAsia"/>
        </w:rPr>
        <w:tab/>
      </w:r>
      <w:r>
        <w:rPr>
          <w:rFonts w:hint="eastAsia"/>
        </w:rPr>
        <w:t>第十五条</w:t>
      </w:r>
      <w:r>
        <w:t>........……….</w:t>
      </w:r>
      <w:r>
        <w:rPr>
          <w:rFonts w:hint="eastAsia"/>
        </w:rPr>
        <w:tab/>
      </w:r>
      <w:r>
        <w:rPr>
          <w:rFonts w:hint="eastAsia"/>
        </w:rPr>
        <w:tab/>
        <w:t>406</w:t>
      </w:r>
      <w:r>
        <w:rPr>
          <w:rFonts w:hint="eastAsia"/>
        </w:rPr>
        <w:tab/>
        <w:t>-</w:t>
      </w:r>
      <w:r>
        <w:rPr>
          <w:rFonts w:hint="eastAsia"/>
        </w:rPr>
        <w:tab/>
        <w:t>449</w:t>
      </w:r>
      <w:r>
        <w:rPr>
          <w:rFonts w:hint="eastAsia"/>
        </w:rPr>
        <w:tab/>
      </w:r>
      <w:r>
        <w:t>88</w:t>
      </w:r>
    </w:p>
    <w:p w:rsidR="00000000" w:rsidRDefault="00844A84">
      <w:pPr>
        <w:spacing w:line="360" w:lineRule="auto"/>
        <w:rPr>
          <w:rFonts w:hint="eastAsia"/>
        </w:rPr>
      </w:pPr>
      <w:r>
        <w:rPr>
          <w:rFonts w:hint="eastAsia"/>
        </w:rPr>
        <w:t>第二部分：</w:t>
      </w:r>
    </w:p>
    <w:p w:rsidR="00000000" w:rsidRDefault="00844A84" w:rsidP="00844A84">
      <w:pPr>
        <w:pStyle w:val="a9"/>
        <w:ind w:left="31680" w:hangingChars="200" w:firstLine="31680"/>
      </w:pPr>
      <w:r>
        <w:rPr>
          <w:rFonts w:hint="eastAsia"/>
          <w:bCs/>
        </w:rPr>
        <w:tab/>
      </w:r>
      <w:r>
        <w:rPr>
          <w:rFonts w:hint="eastAsia"/>
          <w:bCs/>
        </w:rPr>
        <w:t>黑山共和国</w:t>
      </w:r>
      <w:r>
        <w:rPr>
          <w:rFonts w:hint="eastAsia"/>
        </w:rPr>
        <w:t>关于</w:t>
      </w:r>
      <w:r>
        <w:rPr>
          <w:bCs/>
        </w:rPr>
        <w:t>1990</w:t>
      </w:r>
      <w:r>
        <w:rPr>
          <w:rFonts w:hint="eastAsia"/>
          <w:bCs/>
        </w:rPr>
        <w:t>-</w:t>
      </w:r>
      <w:r>
        <w:rPr>
          <w:bCs/>
        </w:rPr>
        <w:t>2002</w:t>
      </w:r>
      <w:r>
        <w:rPr>
          <w:rFonts w:hint="eastAsia"/>
          <w:bCs/>
        </w:rPr>
        <w:t>年期间《经济、社会、文化权利国际公约》执行情况的报告</w:t>
      </w:r>
      <w:r>
        <w:rPr>
          <w:bCs/>
        </w:rPr>
        <w:t>...........</w:t>
      </w:r>
      <w:r>
        <w:rPr>
          <w:rFonts w:hint="eastAsia"/>
          <w:bCs/>
        </w:rPr>
        <w:tab/>
      </w:r>
      <w:r>
        <w:rPr>
          <w:rFonts w:hint="eastAsia"/>
          <w:bCs/>
        </w:rPr>
        <w:tab/>
        <w:t>450</w:t>
      </w:r>
      <w:r>
        <w:rPr>
          <w:rFonts w:hint="eastAsia"/>
          <w:bCs/>
        </w:rPr>
        <w:tab/>
        <w:t>-</w:t>
      </w:r>
      <w:r>
        <w:rPr>
          <w:rFonts w:hint="eastAsia"/>
          <w:bCs/>
        </w:rPr>
        <w:tab/>
        <w:t>771</w:t>
      </w:r>
      <w:r>
        <w:rPr>
          <w:rFonts w:hint="eastAsia"/>
          <w:bCs/>
        </w:rPr>
        <w:tab/>
      </w:r>
      <w:r>
        <w:rPr>
          <w:bCs/>
        </w:rPr>
        <w:t>95</w:t>
      </w:r>
    </w:p>
    <w:p w:rsidR="00000000" w:rsidRDefault="00844A84">
      <w:pPr>
        <w:pStyle w:val="a9"/>
        <w:ind w:firstLine="10"/>
      </w:pPr>
      <w:r>
        <w:rPr>
          <w:rFonts w:hint="eastAsia"/>
        </w:rPr>
        <w:tab/>
      </w:r>
      <w:r>
        <w:rPr>
          <w:rFonts w:hint="eastAsia"/>
        </w:rPr>
        <w:t>第一条</w:t>
      </w:r>
      <w:r>
        <w:t>.................</w:t>
      </w:r>
      <w:r>
        <w:rPr>
          <w:rFonts w:hint="eastAsia"/>
        </w:rPr>
        <w:tab/>
      </w:r>
      <w:r>
        <w:rPr>
          <w:rFonts w:hint="eastAsia"/>
        </w:rPr>
        <w:tab/>
      </w:r>
      <w:r>
        <w:rPr>
          <w:rFonts w:hint="eastAsia"/>
        </w:rPr>
        <w:t>450</w:t>
      </w:r>
      <w:r>
        <w:rPr>
          <w:rFonts w:hint="eastAsia"/>
        </w:rPr>
        <w:tab/>
        <w:t>-</w:t>
      </w:r>
      <w:r>
        <w:rPr>
          <w:rFonts w:hint="eastAsia"/>
        </w:rPr>
        <w:tab/>
        <w:t>465</w:t>
      </w:r>
      <w:r>
        <w:rPr>
          <w:rFonts w:hint="eastAsia"/>
        </w:rPr>
        <w:tab/>
      </w:r>
      <w:r>
        <w:t>95</w:t>
      </w:r>
    </w:p>
    <w:p w:rsidR="00000000" w:rsidRDefault="00844A84">
      <w:pPr>
        <w:pStyle w:val="a9"/>
        <w:ind w:firstLine="10"/>
      </w:pPr>
      <w:r>
        <w:rPr>
          <w:rFonts w:hint="eastAsia"/>
        </w:rPr>
        <w:tab/>
      </w:r>
      <w:r>
        <w:rPr>
          <w:rFonts w:hint="eastAsia"/>
        </w:rPr>
        <w:t>第二条</w:t>
      </w:r>
      <w:r>
        <w:t>.........................</w:t>
      </w:r>
      <w:r>
        <w:rPr>
          <w:rFonts w:hint="eastAsia"/>
        </w:rPr>
        <w:tab/>
      </w:r>
      <w:r>
        <w:rPr>
          <w:rFonts w:hint="eastAsia"/>
        </w:rPr>
        <w:tab/>
        <w:t>466</w:t>
      </w:r>
      <w:r>
        <w:rPr>
          <w:rFonts w:hint="eastAsia"/>
        </w:rPr>
        <w:tab/>
        <w:t>-</w:t>
      </w:r>
      <w:r>
        <w:rPr>
          <w:rFonts w:hint="eastAsia"/>
        </w:rPr>
        <w:tab/>
        <w:t>482</w:t>
      </w:r>
      <w:r>
        <w:rPr>
          <w:rFonts w:hint="eastAsia"/>
        </w:rPr>
        <w:tab/>
      </w:r>
      <w:r>
        <w:t>98</w:t>
      </w:r>
    </w:p>
    <w:p w:rsidR="00000000" w:rsidRDefault="00844A84">
      <w:pPr>
        <w:pStyle w:val="a9"/>
        <w:ind w:firstLine="10"/>
      </w:pPr>
      <w:r>
        <w:rPr>
          <w:rFonts w:hint="eastAsia"/>
        </w:rPr>
        <w:tab/>
      </w:r>
      <w:r>
        <w:rPr>
          <w:rFonts w:hint="eastAsia"/>
        </w:rPr>
        <w:t>第三条</w:t>
      </w:r>
      <w:r>
        <w:t>........................</w:t>
      </w:r>
      <w:r>
        <w:rPr>
          <w:rFonts w:hint="eastAsia"/>
        </w:rPr>
        <w:tab/>
      </w:r>
      <w:r>
        <w:rPr>
          <w:rFonts w:hint="eastAsia"/>
        </w:rPr>
        <w:tab/>
        <w:t>483</w:t>
      </w:r>
      <w:r>
        <w:rPr>
          <w:rFonts w:hint="eastAsia"/>
        </w:rPr>
        <w:tab/>
        <w:t>-</w:t>
      </w:r>
      <w:r>
        <w:rPr>
          <w:rFonts w:hint="eastAsia"/>
        </w:rPr>
        <w:tab/>
        <w:t>500</w:t>
      </w:r>
      <w:r>
        <w:rPr>
          <w:rFonts w:hint="eastAsia"/>
        </w:rPr>
        <w:tab/>
      </w:r>
      <w:r>
        <w:t>100</w:t>
      </w:r>
    </w:p>
    <w:p w:rsidR="00000000" w:rsidRDefault="00844A84">
      <w:pPr>
        <w:pStyle w:val="a9"/>
        <w:ind w:firstLine="10"/>
      </w:pPr>
      <w:r>
        <w:rPr>
          <w:rFonts w:hint="eastAsia"/>
        </w:rPr>
        <w:tab/>
      </w:r>
      <w:r>
        <w:rPr>
          <w:rFonts w:hint="eastAsia"/>
        </w:rPr>
        <w:t>第四条</w:t>
      </w:r>
      <w:r>
        <w:t>................</w:t>
      </w:r>
      <w:r>
        <w:rPr>
          <w:rFonts w:hint="eastAsia"/>
        </w:rPr>
        <w:tab/>
      </w:r>
      <w:r>
        <w:rPr>
          <w:rFonts w:hint="eastAsia"/>
        </w:rPr>
        <w:tab/>
        <w:t>501</w:t>
      </w:r>
      <w:r>
        <w:rPr>
          <w:rFonts w:hint="eastAsia"/>
        </w:rPr>
        <w:tab/>
        <w:t>-</w:t>
      </w:r>
      <w:r>
        <w:rPr>
          <w:rFonts w:hint="eastAsia"/>
        </w:rPr>
        <w:tab/>
        <w:t>502</w:t>
      </w:r>
      <w:r>
        <w:rPr>
          <w:rFonts w:hint="eastAsia"/>
        </w:rPr>
        <w:tab/>
      </w:r>
      <w:r>
        <w:t>104</w:t>
      </w:r>
    </w:p>
    <w:p w:rsidR="00000000" w:rsidRDefault="00844A84">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844A84">
      <w:pPr>
        <w:pStyle w:val="a7"/>
        <w:keepNext/>
        <w:tabs>
          <w:tab w:val="clear" w:pos="7201"/>
          <w:tab w:val="left" w:pos="7088"/>
          <w:tab w:val="left" w:pos="8080"/>
        </w:tabs>
        <w:spacing w:after="120" w:line="336" w:lineRule="auto"/>
        <w:rPr>
          <w:rFonts w:hint="eastAsia"/>
        </w:rPr>
      </w:pPr>
      <w:r>
        <w:rPr>
          <w:rFonts w:hint="eastAsia"/>
          <w:kern w:val="24"/>
        </w:rPr>
        <w:tab/>
      </w:r>
      <w:r>
        <w:rPr>
          <w:kern w:val="24"/>
        </w:rPr>
        <w:tab/>
      </w:r>
      <w:r>
        <w:rPr>
          <w:rFonts w:hint="eastAsia"/>
          <w:kern w:val="24"/>
          <w:u w:val="single"/>
        </w:rPr>
        <w:t>段</w:t>
      </w:r>
      <w:r>
        <w:rPr>
          <w:kern w:val="24"/>
          <w:u w:val="single"/>
        </w:rPr>
        <w:tab/>
      </w:r>
      <w:r>
        <w:rPr>
          <w:rFonts w:hint="eastAsia"/>
          <w:kern w:val="24"/>
          <w:u w:val="single"/>
        </w:rPr>
        <w:t>次</w:t>
      </w:r>
      <w:r>
        <w:rPr>
          <w:kern w:val="24"/>
        </w:rPr>
        <w:tab/>
      </w:r>
      <w:r>
        <w:rPr>
          <w:kern w:val="24"/>
        </w:rPr>
        <w:tab/>
      </w:r>
      <w:r>
        <w:rPr>
          <w:rFonts w:hint="eastAsia"/>
          <w:kern w:val="24"/>
          <w:u w:val="single"/>
        </w:rPr>
        <w:t>页</w:t>
      </w:r>
      <w:r>
        <w:rPr>
          <w:kern w:val="24"/>
          <w:u w:val="single"/>
        </w:rPr>
        <w:tab/>
      </w:r>
      <w:r>
        <w:rPr>
          <w:rFonts w:hint="eastAsia"/>
          <w:kern w:val="24"/>
          <w:u w:val="single"/>
        </w:rPr>
        <w:t>次</w:t>
      </w:r>
    </w:p>
    <w:p w:rsidR="00000000" w:rsidRDefault="00844A84">
      <w:pPr>
        <w:pStyle w:val="a9"/>
        <w:ind w:firstLine="10"/>
      </w:pPr>
      <w:r>
        <w:rPr>
          <w:rFonts w:hint="eastAsia"/>
        </w:rPr>
        <w:tab/>
      </w:r>
      <w:r>
        <w:rPr>
          <w:rFonts w:hint="eastAsia"/>
        </w:rPr>
        <w:t>第五条</w:t>
      </w:r>
      <w:r>
        <w:t>....................</w:t>
      </w:r>
      <w:r>
        <w:rPr>
          <w:rFonts w:hint="eastAsia"/>
        </w:rPr>
        <w:tab/>
      </w:r>
      <w:r>
        <w:rPr>
          <w:rFonts w:hint="eastAsia"/>
        </w:rPr>
        <w:tab/>
        <w:t>503</w:t>
      </w:r>
      <w:r>
        <w:rPr>
          <w:rFonts w:hint="eastAsia"/>
        </w:rPr>
        <w:tab/>
        <w:t>-</w:t>
      </w:r>
      <w:r>
        <w:rPr>
          <w:rFonts w:hint="eastAsia"/>
        </w:rPr>
        <w:tab/>
        <w:t>504</w:t>
      </w:r>
      <w:r>
        <w:rPr>
          <w:rFonts w:hint="eastAsia"/>
        </w:rPr>
        <w:tab/>
      </w:r>
      <w:r>
        <w:t>104</w:t>
      </w:r>
    </w:p>
    <w:p w:rsidR="00000000" w:rsidRDefault="00844A84">
      <w:pPr>
        <w:pStyle w:val="a9"/>
        <w:ind w:firstLine="10"/>
      </w:pPr>
      <w:r>
        <w:rPr>
          <w:rFonts w:hint="eastAsia"/>
        </w:rPr>
        <w:tab/>
      </w:r>
      <w:r>
        <w:rPr>
          <w:rFonts w:hint="eastAsia"/>
        </w:rPr>
        <w:t>第六条</w:t>
      </w:r>
      <w:r>
        <w:t>....</w:t>
      </w:r>
      <w:r>
        <w:rPr>
          <w:rFonts w:hint="eastAsia"/>
        </w:rPr>
        <w:tab/>
      </w:r>
      <w:r>
        <w:rPr>
          <w:rFonts w:hint="eastAsia"/>
        </w:rPr>
        <w:tab/>
        <w:t>505</w:t>
      </w:r>
      <w:r>
        <w:rPr>
          <w:rFonts w:hint="eastAsia"/>
        </w:rPr>
        <w:tab/>
        <w:t>-</w:t>
      </w:r>
      <w:r>
        <w:rPr>
          <w:rFonts w:hint="eastAsia"/>
        </w:rPr>
        <w:tab/>
        <w:t>528</w:t>
      </w:r>
      <w:r>
        <w:rPr>
          <w:rFonts w:hint="eastAsia"/>
        </w:rPr>
        <w:tab/>
      </w:r>
      <w:r>
        <w:t>105</w:t>
      </w:r>
    </w:p>
    <w:p w:rsidR="00000000" w:rsidRDefault="00844A84">
      <w:pPr>
        <w:pStyle w:val="a9"/>
        <w:ind w:firstLine="10"/>
      </w:pPr>
      <w:r>
        <w:rPr>
          <w:rFonts w:hint="eastAsia"/>
        </w:rPr>
        <w:tab/>
      </w:r>
      <w:r>
        <w:rPr>
          <w:rFonts w:hint="eastAsia"/>
        </w:rPr>
        <w:t>第七条</w:t>
      </w:r>
      <w:r>
        <w:t>....</w:t>
      </w:r>
      <w:r>
        <w:rPr>
          <w:rFonts w:hint="eastAsia"/>
        </w:rPr>
        <w:tab/>
      </w:r>
      <w:r>
        <w:rPr>
          <w:rFonts w:hint="eastAsia"/>
        </w:rPr>
        <w:tab/>
        <w:t>529</w:t>
      </w:r>
      <w:r>
        <w:rPr>
          <w:rFonts w:hint="eastAsia"/>
        </w:rPr>
        <w:tab/>
        <w:t>-</w:t>
      </w:r>
      <w:r>
        <w:rPr>
          <w:rFonts w:hint="eastAsia"/>
        </w:rPr>
        <w:tab/>
        <w:t>560</w:t>
      </w:r>
      <w:r>
        <w:rPr>
          <w:rFonts w:hint="eastAsia"/>
        </w:rPr>
        <w:tab/>
      </w:r>
      <w:r>
        <w:t>108</w:t>
      </w:r>
    </w:p>
    <w:p w:rsidR="00000000" w:rsidRDefault="00844A84">
      <w:pPr>
        <w:pStyle w:val="a9"/>
        <w:ind w:firstLine="10"/>
      </w:pPr>
      <w:r>
        <w:rPr>
          <w:rFonts w:hint="eastAsia"/>
        </w:rPr>
        <w:tab/>
      </w:r>
      <w:r>
        <w:rPr>
          <w:rFonts w:hint="eastAsia"/>
        </w:rPr>
        <w:t>第八条</w:t>
      </w:r>
      <w:r>
        <w:t>.....</w:t>
      </w:r>
      <w:r>
        <w:rPr>
          <w:rFonts w:hint="eastAsia"/>
        </w:rPr>
        <w:tab/>
      </w:r>
      <w:r>
        <w:rPr>
          <w:rFonts w:hint="eastAsia"/>
        </w:rPr>
        <w:tab/>
        <w:t>56</w:t>
      </w:r>
      <w:r>
        <w:rPr>
          <w:rFonts w:hint="eastAsia"/>
        </w:rPr>
        <w:t>1</w:t>
      </w:r>
      <w:r>
        <w:rPr>
          <w:rFonts w:hint="eastAsia"/>
        </w:rPr>
        <w:tab/>
        <w:t>-</w:t>
      </w:r>
      <w:r>
        <w:rPr>
          <w:rFonts w:hint="eastAsia"/>
        </w:rPr>
        <w:tab/>
        <w:t>575</w:t>
      </w:r>
      <w:r>
        <w:rPr>
          <w:rFonts w:hint="eastAsia"/>
        </w:rPr>
        <w:tab/>
      </w:r>
      <w:r>
        <w:t>112</w:t>
      </w:r>
    </w:p>
    <w:p w:rsidR="00000000" w:rsidRDefault="00844A84">
      <w:pPr>
        <w:pStyle w:val="a9"/>
        <w:ind w:firstLine="10"/>
      </w:pPr>
      <w:r>
        <w:rPr>
          <w:rFonts w:hint="eastAsia"/>
        </w:rPr>
        <w:tab/>
      </w:r>
      <w:r>
        <w:rPr>
          <w:rFonts w:hint="eastAsia"/>
        </w:rPr>
        <w:t>第九条</w:t>
      </w:r>
      <w:r>
        <w:t>....</w:t>
      </w:r>
      <w:r>
        <w:rPr>
          <w:rFonts w:hint="eastAsia"/>
        </w:rPr>
        <w:tab/>
      </w:r>
      <w:r>
        <w:rPr>
          <w:rFonts w:hint="eastAsia"/>
        </w:rPr>
        <w:tab/>
        <w:t>576</w:t>
      </w:r>
      <w:r>
        <w:rPr>
          <w:rFonts w:hint="eastAsia"/>
        </w:rPr>
        <w:tab/>
        <w:t>-</w:t>
      </w:r>
      <w:r>
        <w:rPr>
          <w:rFonts w:hint="eastAsia"/>
        </w:rPr>
        <w:tab/>
        <w:t>595</w:t>
      </w:r>
      <w:r>
        <w:rPr>
          <w:rFonts w:hint="eastAsia"/>
        </w:rPr>
        <w:tab/>
      </w:r>
      <w:r>
        <w:t>114</w:t>
      </w:r>
    </w:p>
    <w:p w:rsidR="00000000" w:rsidRDefault="00844A84">
      <w:pPr>
        <w:pStyle w:val="a9"/>
        <w:ind w:firstLine="10"/>
      </w:pPr>
      <w:r>
        <w:rPr>
          <w:rFonts w:hint="eastAsia"/>
        </w:rPr>
        <w:tab/>
      </w:r>
      <w:r>
        <w:rPr>
          <w:rFonts w:hint="eastAsia"/>
        </w:rPr>
        <w:t>第十条</w:t>
      </w:r>
      <w:r>
        <w:t>....</w:t>
      </w:r>
      <w:r>
        <w:rPr>
          <w:rFonts w:hint="eastAsia"/>
        </w:rPr>
        <w:tab/>
      </w:r>
      <w:r>
        <w:rPr>
          <w:rFonts w:hint="eastAsia"/>
        </w:rPr>
        <w:tab/>
        <w:t>596</w:t>
      </w:r>
      <w:r>
        <w:rPr>
          <w:rFonts w:hint="eastAsia"/>
        </w:rPr>
        <w:tab/>
        <w:t>-</w:t>
      </w:r>
      <w:r>
        <w:rPr>
          <w:rFonts w:hint="eastAsia"/>
        </w:rPr>
        <w:tab/>
        <w:t>605</w:t>
      </w:r>
      <w:r>
        <w:rPr>
          <w:rFonts w:hint="eastAsia"/>
        </w:rPr>
        <w:tab/>
      </w:r>
      <w:r>
        <w:t>116</w:t>
      </w:r>
    </w:p>
    <w:p w:rsidR="00000000" w:rsidRDefault="00844A84">
      <w:pPr>
        <w:pStyle w:val="a9"/>
        <w:ind w:firstLine="10"/>
      </w:pPr>
      <w:r>
        <w:rPr>
          <w:rFonts w:hint="eastAsia"/>
        </w:rPr>
        <w:tab/>
      </w:r>
      <w:r>
        <w:rPr>
          <w:rFonts w:hint="eastAsia"/>
        </w:rPr>
        <w:t>第十一条</w:t>
      </w:r>
      <w:r>
        <w:rPr>
          <w:rFonts w:hint="eastAsia"/>
        </w:rPr>
        <w:tab/>
      </w:r>
      <w:r>
        <w:rPr>
          <w:rFonts w:hint="eastAsia"/>
        </w:rPr>
        <w:tab/>
        <w:t>606</w:t>
      </w:r>
      <w:r>
        <w:rPr>
          <w:rFonts w:hint="eastAsia"/>
        </w:rPr>
        <w:tab/>
        <w:t>-</w:t>
      </w:r>
      <w:r>
        <w:rPr>
          <w:rFonts w:hint="eastAsia"/>
        </w:rPr>
        <w:tab/>
        <w:t>625</w:t>
      </w:r>
      <w:r>
        <w:rPr>
          <w:rFonts w:hint="eastAsia"/>
        </w:rPr>
        <w:tab/>
      </w:r>
      <w:r>
        <w:t>117</w:t>
      </w:r>
    </w:p>
    <w:p w:rsidR="00000000" w:rsidRDefault="00844A84">
      <w:pPr>
        <w:pStyle w:val="a9"/>
        <w:ind w:firstLine="10"/>
      </w:pPr>
      <w:r>
        <w:rPr>
          <w:rFonts w:hint="eastAsia"/>
        </w:rPr>
        <w:tab/>
      </w:r>
      <w:r>
        <w:rPr>
          <w:rFonts w:hint="eastAsia"/>
        </w:rPr>
        <w:t>第十二条</w:t>
      </w:r>
      <w:r>
        <w:rPr>
          <w:rFonts w:hint="eastAsia"/>
        </w:rPr>
        <w:tab/>
      </w:r>
      <w:r>
        <w:rPr>
          <w:rFonts w:hint="eastAsia"/>
        </w:rPr>
        <w:tab/>
        <w:t>626</w:t>
      </w:r>
      <w:r>
        <w:rPr>
          <w:rFonts w:hint="eastAsia"/>
        </w:rPr>
        <w:tab/>
        <w:t>-</w:t>
      </w:r>
      <w:r>
        <w:rPr>
          <w:rFonts w:hint="eastAsia"/>
        </w:rPr>
        <w:tab/>
        <w:t>728</w:t>
      </w:r>
      <w:r>
        <w:rPr>
          <w:rFonts w:hint="eastAsia"/>
        </w:rPr>
        <w:tab/>
      </w:r>
      <w:r>
        <w:t>120</w:t>
      </w:r>
    </w:p>
    <w:p w:rsidR="00000000" w:rsidRDefault="00844A84">
      <w:pPr>
        <w:pStyle w:val="a9"/>
        <w:ind w:firstLine="10"/>
      </w:pPr>
      <w:r>
        <w:rPr>
          <w:rFonts w:hint="eastAsia"/>
        </w:rPr>
        <w:tab/>
      </w:r>
      <w:r>
        <w:rPr>
          <w:rFonts w:hint="eastAsia"/>
        </w:rPr>
        <w:t>第十三、十四和十五条</w:t>
      </w:r>
      <w:r>
        <w:t>...……..</w:t>
      </w:r>
      <w:r>
        <w:rPr>
          <w:rFonts w:hint="eastAsia"/>
        </w:rPr>
        <w:tab/>
      </w:r>
      <w:r>
        <w:rPr>
          <w:rFonts w:hint="eastAsia"/>
        </w:rPr>
        <w:tab/>
        <w:t>729</w:t>
      </w:r>
      <w:r>
        <w:rPr>
          <w:rFonts w:hint="eastAsia"/>
        </w:rPr>
        <w:tab/>
        <w:t>-</w:t>
      </w:r>
      <w:r>
        <w:rPr>
          <w:rFonts w:hint="eastAsia"/>
        </w:rPr>
        <w:tab/>
        <w:t>771</w:t>
      </w:r>
      <w:r>
        <w:rPr>
          <w:rFonts w:hint="eastAsia"/>
        </w:rPr>
        <w:tab/>
      </w:r>
      <w:r>
        <w:t>139</w:t>
      </w:r>
    </w:p>
    <w:p w:rsidR="00000000" w:rsidRDefault="00844A84">
      <w:pPr>
        <w:spacing w:line="360" w:lineRule="auto"/>
        <w:rPr>
          <w:rFonts w:hint="eastAsia"/>
        </w:rPr>
      </w:pPr>
    </w:p>
    <w:p w:rsidR="00000000" w:rsidRDefault="00844A84">
      <w:pPr>
        <w:spacing w:line="360" w:lineRule="auto"/>
        <w:rPr>
          <w:rFonts w:hint="eastAsia"/>
        </w:rPr>
      </w:pPr>
    </w:p>
    <w:p w:rsidR="00000000" w:rsidRDefault="00844A84">
      <w:pPr>
        <w:pStyle w:val="Heading3"/>
        <w:spacing w:after="280"/>
        <w:rPr>
          <w:rFonts w:ascii="SimSun" w:hAnsi="SimSun" w:hint="eastAsia"/>
          <w:kern w:val="0"/>
        </w:rPr>
      </w:pPr>
      <w:r>
        <w:br w:type="page"/>
      </w:r>
      <w:r>
        <w:rPr>
          <w:rFonts w:hint="eastAsia"/>
        </w:rPr>
        <w:t>缩</w:t>
      </w:r>
      <w:r>
        <w:t xml:space="preserve"> </w:t>
      </w:r>
      <w:r>
        <w:t>略</w:t>
      </w:r>
      <w:r>
        <w:t xml:space="preserve"> </w:t>
      </w:r>
      <w:r>
        <w:t>语</w:t>
      </w:r>
    </w:p>
    <w:tbl>
      <w:tblPr>
        <w:tblW w:w="9255" w:type="dxa"/>
        <w:tblLook w:val="0000" w:firstRow="0" w:lastRow="0" w:firstColumn="0" w:lastColumn="0" w:noHBand="0" w:noVBand="0"/>
      </w:tblPr>
      <w:tblGrid>
        <w:gridCol w:w="1685"/>
        <w:gridCol w:w="2133"/>
        <w:gridCol w:w="5424"/>
        <w:gridCol w:w="13"/>
      </w:tblGrid>
      <w:tr w:rsidR="00000000">
        <w:tblPrEx>
          <w:tblCellMar>
            <w:top w:w="0" w:type="dxa"/>
            <w:bottom w:w="0" w:type="dxa"/>
          </w:tblCellMar>
        </w:tblPrEx>
        <w:trPr>
          <w:cantSplit/>
        </w:trPr>
        <w:tc>
          <w:tcPr>
            <w:tcW w:w="1685" w:type="dxa"/>
          </w:tcPr>
          <w:p w:rsidR="00000000" w:rsidRDefault="00844A84">
            <w:pPr>
              <w:pStyle w:val="a6"/>
              <w:spacing w:line="360" w:lineRule="auto"/>
              <w:rPr>
                <w:rFonts w:eastAsia="SimSun"/>
                <w:snapToGrid/>
              </w:rPr>
            </w:pPr>
            <w:r>
              <w:rPr>
                <w:rFonts w:eastAsia="SimSun"/>
                <w:snapToGrid/>
              </w:rPr>
              <w:t>DFID</w:t>
            </w:r>
          </w:p>
        </w:tc>
        <w:tc>
          <w:tcPr>
            <w:tcW w:w="2133" w:type="dxa"/>
          </w:tcPr>
          <w:p w:rsidR="00000000" w:rsidRDefault="00844A84">
            <w:pPr>
              <w:spacing w:line="360" w:lineRule="auto"/>
              <w:rPr>
                <w:rFonts w:ascii="SimSun" w:hAnsi="SimSun" w:hint="eastAsia"/>
                <w:snapToGrid/>
              </w:rPr>
            </w:pPr>
            <w:r>
              <w:rPr>
                <w:rFonts w:ascii="SimSun" w:hAnsi="SimSun" w:hint="eastAsia"/>
                <w:snapToGrid/>
                <w:szCs w:val="24"/>
              </w:rPr>
              <w:t>国际开发部</w:t>
            </w: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szCs w:val="24"/>
              </w:rPr>
              <w:t>大不列颠及北爱尔兰联合王国国际开发部</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ECE</w:t>
            </w:r>
          </w:p>
        </w:tc>
        <w:tc>
          <w:tcPr>
            <w:tcW w:w="2133" w:type="dxa"/>
          </w:tcPr>
          <w:p w:rsidR="00000000" w:rsidRDefault="00844A84">
            <w:pPr>
              <w:pStyle w:val="a6"/>
              <w:spacing w:line="360" w:lineRule="auto"/>
              <w:rPr>
                <w:rFonts w:ascii="SimSun" w:eastAsia="SimSun" w:hAnsi="SimSun" w:hint="eastAsia"/>
                <w:snapToGrid/>
              </w:rPr>
            </w:pPr>
            <w:r>
              <w:rPr>
                <w:rFonts w:ascii="SimSun" w:eastAsia="SimSun" w:hAnsi="SimSun" w:hint="eastAsia"/>
                <w:snapToGrid/>
              </w:rPr>
              <w:t>欧洲经委会</w:t>
            </w: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rPr>
              <w:t>联合国欧洲经济委员会</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EU</w:t>
            </w:r>
          </w:p>
        </w:tc>
        <w:tc>
          <w:tcPr>
            <w:tcW w:w="2133" w:type="dxa"/>
          </w:tcPr>
          <w:p w:rsidR="00000000" w:rsidRDefault="00844A84">
            <w:pPr>
              <w:spacing w:line="360" w:lineRule="auto"/>
              <w:rPr>
                <w:rFonts w:ascii="SimSun" w:hAnsi="SimSun" w:hint="eastAsia"/>
                <w:snapToGrid/>
              </w:rPr>
            </w:pPr>
            <w:r>
              <w:rPr>
                <w:rFonts w:ascii="SimSun" w:hAnsi="SimSun" w:hint="eastAsia"/>
                <w:snapToGrid/>
              </w:rPr>
              <w:t>欧盟</w:t>
            </w: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rPr>
              <w:t>欧洲联盟</w:t>
            </w:r>
          </w:p>
        </w:tc>
      </w:tr>
      <w:tr w:rsidR="00000000">
        <w:tblPrEx>
          <w:tblCellMar>
            <w:top w:w="0" w:type="dxa"/>
            <w:bottom w:w="0" w:type="dxa"/>
          </w:tblCellMar>
        </w:tblPrEx>
        <w:trPr>
          <w:gridAfter w:val="1"/>
          <w:wAfter w:w="13" w:type="dxa"/>
        </w:trPr>
        <w:tc>
          <w:tcPr>
            <w:tcW w:w="1685" w:type="dxa"/>
          </w:tcPr>
          <w:p w:rsidR="00000000" w:rsidRDefault="00844A84">
            <w:pPr>
              <w:spacing w:line="360" w:lineRule="auto"/>
              <w:rPr>
                <w:rFonts w:hint="eastAsia"/>
              </w:rPr>
            </w:pPr>
            <w:r>
              <w:rPr>
                <w:rFonts w:hint="eastAsia"/>
              </w:rPr>
              <w:t>FAO</w:t>
            </w:r>
          </w:p>
        </w:tc>
        <w:tc>
          <w:tcPr>
            <w:tcW w:w="2133" w:type="dxa"/>
          </w:tcPr>
          <w:p w:rsidR="00000000" w:rsidRDefault="00844A84">
            <w:pPr>
              <w:spacing w:line="360" w:lineRule="auto"/>
              <w:rPr>
                <w:rFonts w:ascii="SimSun" w:hAnsi="SimSun" w:hint="eastAsia"/>
              </w:rPr>
            </w:pPr>
            <w:r>
              <w:rPr>
                <w:rFonts w:ascii="SimSun" w:hAnsi="SimSun" w:hint="eastAsia"/>
              </w:rPr>
              <w:t>粮农组织</w:t>
            </w:r>
          </w:p>
        </w:tc>
        <w:tc>
          <w:tcPr>
            <w:tcW w:w="5424" w:type="dxa"/>
          </w:tcPr>
          <w:p w:rsidR="00000000" w:rsidRDefault="00844A84">
            <w:pPr>
              <w:spacing w:line="360" w:lineRule="auto"/>
              <w:rPr>
                <w:rFonts w:ascii="SimSun" w:hAnsi="SimSun" w:hint="eastAsia"/>
              </w:rPr>
            </w:pPr>
            <w:r>
              <w:rPr>
                <w:rFonts w:ascii="SimSun" w:hAnsi="SimSun" w:hint="eastAsia"/>
              </w:rPr>
              <w:t>联合国粮食及农业组织</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FRY</w:t>
            </w:r>
          </w:p>
        </w:tc>
        <w:tc>
          <w:tcPr>
            <w:tcW w:w="2133" w:type="dxa"/>
          </w:tcPr>
          <w:p w:rsidR="00000000" w:rsidRDefault="00844A84">
            <w:pPr>
              <w:spacing w:line="360" w:lineRule="auto"/>
              <w:rPr>
                <w:rFonts w:ascii="SimSun" w:hAnsi="SimSun" w:hint="eastAsia"/>
                <w:snapToGrid/>
              </w:rPr>
            </w:pPr>
            <w:r>
              <w:rPr>
                <w:rFonts w:ascii="SimSun" w:hAnsi="SimSun" w:hint="eastAsia"/>
                <w:snapToGrid/>
                <w:szCs w:val="24"/>
              </w:rPr>
              <w:t>南联盟</w:t>
            </w:r>
          </w:p>
        </w:tc>
        <w:tc>
          <w:tcPr>
            <w:tcW w:w="5437" w:type="dxa"/>
            <w:gridSpan w:val="2"/>
          </w:tcPr>
          <w:p w:rsidR="00000000" w:rsidRDefault="00844A84">
            <w:pPr>
              <w:pStyle w:val="a6"/>
              <w:spacing w:line="360" w:lineRule="auto"/>
              <w:rPr>
                <w:rFonts w:ascii="SimSun" w:eastAsia="SimSun" w:hAnsi="SimSun" w:hint="eastAsia"/>
                <w:snapToGrid/>
                <w:szCs w:val="24"/>
              </w:rPr>
            </w:pPr>
            <w:r>
              <w:rPr>
                <w:rFonts w:ascii="SimSun" w:eastAsia="SimSun" w:hAnsi="SimSun" w:hint="eastAsia"/>
                <w:snapToGrid/>
                <w:szCs w:val="24"/>
              </w:rPr>
              <w:t>南斯拉夫联盟共和国</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IDPs</w:t>
            </w:r>
          </w:p>
        </w:tc>
        <w:tc>
          <w:tcPr>
            <w:tcW w:w="2133" w:type="dxa"/>
          </w:tcPr>
          <w:p w:rsidR="00000000" w:rsidRDefault="00844A84">
            <w:pPr>
              <w:spacing w:line="360" w:lineRule="auto"/>
              <w:rPr>
                <w:rFonts w:ascii="SimSun" w:hAnsi="SimSun" w:hint="eastAsia"/>
                <w:snapToGrid/>
              </w:rPr>
            </w:pP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szCs w:val="24"/>
              </w:rPr>
              <w:t>国内流离失所者</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IMF</w:t>
            </w:r>
          </w:p>
        </w:tc>
        <w:tc>
          <w:tcPr>
            <w:tcW w:w="2133" w:type="dxa"/>
          </w:tcPr>
          <w:p w:rsidR="00000000" w:rsidRDefault="00844A84">
            <w:pPr>
              <w:pStyle w:val="cdL1"/>
              <w:widowControl/>
              <w:tabs>
                <w:tab w:val="clear" w:pos="510"/>
              </w:tabs>
              <w:spacing w:line="360" w:lineRule="auto"/>
              <w:rPr>
                <w:rFonts w:ascii="SimSun" w:hAnsi="SimSun" w:hint="eastAsia"/>
                <w:spacing w:val="10"/>
              </w:rPr>
            </w:pPr>
            <w:r>
              <w:rPr>
                <w:rFonts w:ascii="SimSun" w:hAnsi="SimSun" w:hint="eastAsia"/>
                <w:spacing w:val="10"/>
                <w:szCs w:val="24"/>
              </w:rPr>
              <w:t>货币基金组织</w:t>
            </w: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szCs w:val="24"/>
              </w:rPr>
              <w:t>国际货币基金组织</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MICS</w:t>
            </w:r>
          </w:p>
        </w:tc>
        <w:tc>
          <w:tcPr>
            <w:tcW w:w="2133" w:type="dxa"/>
          </w:tcPr>
          <w:p w:rsidR="00000000" w:rsidRDefault="00844A84">
            <w:pPr>
              <w:spacing w:line="360" w:lineRule="auto"/>
              <w:rPr>
                <w:rFonts w:ascii="SimSun" w:hAnsi="SimSun" w:hint="eastAsia"/>
                <w:snapToGrid/>
              </w:rPr>
            </w:pP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szCs w:val="24"/>
              </w:rPr>
              <w:t>多指标类集调查</w:t>
            </w:r>
            <w:r>
              <w:rPr>
                <w:rFonts w:ascii="SimSun" w:hAnsi="SimSun" w:hint="eastAsia"/>
                <w:snapToGrid/>
                <w:szCs w:val="24"/>
              </w:rPr>
              <w:t>(</w:t>
            </w:r>
            <w:r>
              <w:rPr>
                <w:rFonts w:ascii="SimSun" w:hAnsi="SimSun" w:hint="eastAsia"/>
                <w:snapToGrid/>
                <w:szCs w:val="24"/>
              </w:rPr>
              <w:t>联合国儿童基金会</w:t>
            </w:r>
            <w:r>
              <w:rPr>
                <w:rFonts w:ascii="SimSun" w:hAnsi="SimSun" w:hint="eastAsia"/>
                <w:snapToGrid/>
                <w:szCs w:val="24"/>
              </w:rPr>
              <w:t>)</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ODIHR</w:t>
            </w:r>
          </w:p>
        </w:tc>
        <w:tc>
          <w:tcPr>
            <w:tcW w:w="2133" w:type="dxa"/>
          </w:tcPr>
          <w:p w:rsidR="00000000" w:rsidRDefault="00844A84">
            <w:pPr>
              <w:spacing w:line="360" w:lineRule="auto"/>
              <w:rPr>
                <w:rFonts w:ascii="SimSun" w:hAnsi="SimSun" w:hint="eastAsia"/>
                <w:snapToGrid/>
              </w:rPr>
            </w:pPr>
            <w:r>
              <w:rPr>
                <w:rFonts w:ascii="SimSun" w:hAnsi="SimSun" w:hint="eastAsia"/>
                <w:snapToGrid/>
                <w:szCs w:val="24"/>
              </w:rPr>
              <w:t>民主人权办</w:t>
            </w:r>
          </w:p>
        </w:tc>
        <w:tc>
          <w:tcPr>
            <w:tcW w:w="5437" w:type="dxa"/>
            <w:gridSpan w:val="2"/>
          </w:tcPr>
          <w:p w:rsidR="00000000" w:rsidRDefault="00844A84">
            <w:pPr>
              <w:spacing w:line="360" w:lineRule="auto"/>
              <w:rPr>
                <w:rFonts w:ascii="SimSun" w:hAnsi="SimSun" w:hint="eastAsia"/>
                <w:snapToGrid/>
                <w:spacing w:val="4"/>
              </w:rPr>
            </w:pPr>
            <w:r>
              <w:rPr>
                <w:rFonts w:ascii="SimSun" w:hAnsi="SimSun" w:hint="eastAsia"/>
                <w:snapToGrid/>
                <w:spacing w:val="4"/>
                <w:szCs w:val="24"/>
              </w:rPr>
              <w:t>民主制度和人权办公室</w:t>
            </w:r>
            <w:r>
              <w:rPr>
                <w:rFonts w:ascii="SimSun" w:hAnsi="SimSun" w:hint="eastAsia"/>
                <w:snapToGrid/>
                <w:spacing w:val="4"/>
                <w:szCs w:val="24"/>
              </w:rPr>
              <w:t>(</w:t>
            </w:r>
            <w:r>
              <w:rPr>
                <w:rFonts w:ascii="SimSun" w:hAnsi="SimSun" w:hint="eastAsia"/>
                <w:snapToGrid/>
                <w:spacing w:val="4"/>
                <w:szCs w:val="24"/>
              </w:rPr>
              <w:t>欧洲安全与合作组织</w:t>
            </w:r>
            <w:r>
              <w:rPr>
                <w:rFonts w:ascii="SimSun" w:hAnsi="SimSun" w:hint="eastAsia"/>
                <w:snapToGrid/>
                <w:spacing w:val="4"/>
                <w:szCs w:val="24"/>
              </w:rPr>
              <w:t>)</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PHRD</w:t>
            </w:r>
          </w:p>
        </w:tc>
        <w:tc>
          <w:tcPr>
            <w:tcW w:w="2133" w:type="dxa"/>
          </w:tcPr>
          <w:p w:rsidR="00000000" w:rsidRDefault="00844A84">
            <w:pPr>
              <w:spacing w:line="360" w:lineRule="auto"/>
              <w:rPr>
                <w:rFonts w:ascii="SimSun" w:hAnsi="SimSun" w:hint="eastAsia"/>
                <w:snapToGrid/>
              </w:rPr>
            </w:pP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rPr>
              <w:t>政策和人力资源发展基金</w:t>
            </w:r>
            <w:r>
              <w:rPr>
                <w:rFonts w:ascii="SimSun" w:hAnsi="SimSun" w:hint="eastAsia"/>
                <w:snapToGrid/>
              </w:rPr>
              <w:t>(</w:t>
            </w:r>
            <w:r>
              <w:rPr>
                <w:rFonts w:ascii="SimSun" w:hAnsi="SimSun" w:hint="eastAsia"/>
                <w:snapToGrid/>
              </w:rPr>
              <w:t>世界银行</w:t>
            </w:r>
            <w:r>
              <w:rPr>
                <w:rFonts w:ascii="SimSun" w:hAnsi="SimSun" w:hint="eastAsia"/>
                <w:snapToGrid/>
              </w:rPr>
              <w:t>)</w:t>
            </w:r>
          </w:p>
        </w:tc>
      </w:tr>
      <w:tr w:rsidR="00000000">
        <w:tblPrEx>
          <w:tblCellMar>
            <w:top w:w="0" w:type="dxa"/>
            <w:bottom w:w="0" w:type="dxa"/>
          </w:tblCellMar>
        </w:tblPrEx>
        <w:trPr>
          <w:gridAfter w:val="1"/>
          <w:wAfter w:w="13" w:type="dxa"/>
        </w:trPr>
        <w:tc>
          <w:tcPr>
            <w:tcW w:w="1685" w:type="dxa"/>
          </w:tcPr>
          <w:p w:rsidR="00000000" w:rsidRDefault="00844A84">
            <w:pPr>
              <w:spacing w:line="360" w:lineRule="auto"/>
              <w:rPr>
                <w:rFonts w:hint="eastAsia"/>
              </w:rPr>
            </w:pPr>
            <w:r>
              <w:rPr>
                <w:rFonts w:hint="eastAsia"/>
              </w:rPr>
              <w:t>UNCTAD</w:t>
            </w:r>
          </w:p>
        </w:tc>
        <w:tc>
          <w:tcPr>
            <w:tcW w:w="2133" w:type="dxa"/>
          </w:tcPr>
          <w:p w:rsidR="00000000" w:rsidRDefault="00844A84">
            <w:pPr>
              <w:spacing w:line="360" w:lineRule="auto"/>
              <w:rPr>
                <w:rFonts w:ascii="SimSun" w:hAnsi="SimSun" w:hint="eastAsia"/>
              </w:rPr>
            </w:pPr>
            <w:r>
              <w:rPr>
                <w:rFonts w:ascii="SimSun" w:hAnsi="SimSun" w:hint="eastAsia"/>
              </w:rPr>
              <w:t>贸发会议</w:t>
            </w:r>
          </w:p>
        </w:tc>
        <w:tc>
          <w:tcPr>
            <w:tcW w:w="5424" w:type="dxa"/>
          </w:tcPr>
          <w:p w:rsidR="00000000" w:rsidRDefault="00844A84">
            <w:pPr>
              <w:spacing w:line="360" w:lineRule="auto"/>
              <w:rPr>
                <w:rFonts w:ascii="SimSun" w:hAnsi="SimSun" w:hint="eastAsia"/>
              </w:rPr>
            </w:pPr>
            <w:r>
              <w:rPr>
                <w:rFonts w:ascii="SimSun" w:hAnsi="SimSun" w:hint="eastAsia"/>
              </w:rPr>
              <w:t>联合国贸易和发展会议</w:t>
            </w:r>
          </w:p>
        </w:tc>
      </w:tr>
      <w:tr w:rsidR="00000000">
        <w:tblPrEx>
          <w:tblCellMar>
            <w:top w:w="0" w:type="dxa"/>
            <w:bottom w:w="0" w:type="dxa"/>
          </w:tblCellMar>
        </w:tblPrEx>
        <w:trPr>
          <w:gridAfter w:val="1"/>
          <w:wAfter w:w="13" w:type="dxa"/>
        </w:trPr>
        <w:tc>
          <w:tcPr>
            <w:tcW w:w="1685" w:type="dxa"/>
          </w:tcPr>
          <w:p w:rsidR="00000000" w:rsidRDefault="00844A84">
            <w:pPr>
              <w:spacing w:line="360" w:lineRule="auto"/>
              <w:rPr>
                <w:rFonts w:hint="eastAsia"/>
              </w:rPr>
            </w:pPr>
            <w:r>
              <w:rPr>
                <w:rFonts w:hint="eastAsia"/>
              </w:rPr>
              <w:t>UNDP</w:t>
            </w:r>
          </w:p>
        </w:tc>
        <w:tc>
          <w:tcPr>
            <w:tcW w:w="2133" w:type="dxa"/>
          </w:tcPr>
          <w:p w:rsidR="00000000" w:rsidRDefault="00844A84">
            <w:pPr>
              <w:spacing w:line="360" w:lineRule="auto"/>
              <w:rPr>
                <w:rFonts w:ascii="SimSun" w:hAnsi="SimSun" w:hint="eastAsia"/>
              </w:rPr>
            </w:pPr>
            <w:r>
              <w:rPr>
                <w:rFonts w:ascii="SimSun" w:hAnsi="SimSun" w:hint="eastAsia"/>
              </w:rPr>
              <w:t>开发计划署</w:t>
            </w:r>
          </w:p>
        </w:tc>
        <w:tc>
          <w:tcPr>
            <w:tcW w:w="5424" w:type="dxa"/>
          </w:tcPr>
          <w:p w:rsidR="00000000" w:rsidRDefault="00844A84">
            <w:pPr>
              <w:spacing w:line="360" w:lineRule="auto"/>
              <w:rPr>
                <w:rFonts w:ascii="SimSun" w:hAnsi="SimSun" w:hint="eastAsia"/>
              </w:rPr>
            </w:pPr>
            <w:r>
              <w:rPr>
                <w:rFonts w:ascii="SimSun" w:hAnsi="SimSun" w:hint="eastAsia"/>
              </w:rPr>
              <w:t>联合国开发计划署</w:t>
            </w:r>
          </w:p>
        </w:tc>
      </w:tr>
      <w:tr w:rsidR="00000000">
        <w:tblPrEx>
          <w:tblCellMar>
            <w:top w:w="0" w:type="dxa"/>
            <w:bottom w:w="0" w:type="dxa"/>
          </w:tblCellMar>
        </w:tblPrEx>
        <w:trPr>
          <w:gridAfter w:val="1"/>
          <w:wAfter w:w="13" w:type="dxa"/>
        </w:trPr>
        <w:tc>
          <w:tcPr>
            <w:tcW w:w="1685" w:type="dxa"/>
          </w:tcPr>
          <w:p w:rsidR="00000000" w:rsidRDefault="00844A84">
            <w:pPr>
              <w:spacing w:line="360" w:lineRule="auto"/>
              <w:rPr>
                <w:rFonts w:hint="eastAsia"/>
              </w:rPr>
            </w:pPr>
            <w:r>
              <w:rPr>
                <w:rFonts w:hint="eastAsia"/>
              </w:rPr>
              <w:t>UNEP</w:t>
            </w:r>
          </w:p>
        </w:tc>
        <w:tc>
          <w:tcPr>
            <w:tcW w:w="2133" w:type="dxa"/>
          </w:tcPr>
          <w:p w:rsidR="00000000" w:rsidRDefault="00844A84">
            <w:pPr>
              <w:spacing w:line="360" w:lineRule="auto"/>
              <w:rPr>
                <w:rFonts w:ascii="SimSun" w:hAnsi="SimSun" w:hint="eastAsia"/>
              </w:rPr>
            </w:pPr>
            <w:r>
              <w:rPr>
                <w:rFonts w:ascii="SimSun" w:hAnsi="SimSun" w:hint="eastAsia"/>
              </w:rPr>
              <w:t>环境署</w:t>
            </w:r>
          </w:p>
        </w:tc>
        <w:tc>
          <w:tcPr>
            <w:tcW w:w="5424" w:type="dxa"/>
          </w:tcPr>
          <w:p w:rsidR="00000000" w:rsidRDefault="00844A84">
            <w:pPr>
              <w:spacing w:line="360" w:lineRule="auto"/>
              <w:rPr>
                <w:rFonts w:ascii="SimSun" w:hAnsi="SimSun" w:hint="eastAsia"/>
              </w:rPr>
            </w:pPr>
            <w:r>
              <w:rPr>
                <w:rFonts w:ascii="SimSun" w:hAnsi="SimSun" w:hint="eastAsia"/>
              </w:rPr>
              <w:t>联合国环境规划署</w:t>
            </w:r>
          </w:p>
        </w:tc>
      </w:tr>
      <w:tr w:rsidR="00000000">
        <w:tblPrEx>
          <w:tblCellMar>
            <w:top w:w="0" w:type="dxa"/>
            <w:bottom w:w="0" w:type="dxa"/>
          </w:tblCellMar>
        </w:tblPrEx>
        <w:tc>
          <w:tcPr>
            <w:tcW w:w="1685" w:type="dxa"/>
          </w:tcPr>
          <w:p w:rsidR="00000000" w:rsidRDefault="00844A84">
            <w:pPr>
              <w:spacing w:line="360" w:lineRule="auto"/>
              <w:rPr>
                <w:rFonts w:hint="eastAsia"/>
                <w:lang w:val="fr-CH"/>
              </w:rPr>
            </w:pPr>
            <w:r>
              <w:rPr>
                <w:rFonts w:hint="eastAsia"/>
                <w:lang w:val="fr-CH"/>
              </w:rPr>
              <w:t>UNIDO</w:t>
            </w:r>
          </w:p>
        </w:tc>
        <w:tc>
          <w:tcPr>
            <w:tcW w:w="2133" w:type="dxa"/>
          </w:tcPr>
          <w:p w:rsidR="00000000" w:rsidRDefault="00844A84">
            <w:pPr>
              <w:spacing w:line="360" w:lineRule="auto"/>
              <w:rPr>
                <w:rFonts w:ascii="SimSun" w:hAnsi="SimSun" w:hint="eastAsia"/>
              </w:rPr>
            </w:pPr>
            <w:r>
              <w:rPr>
                <w:rFonts w:ascii="SimSun" w:hAnsi="SimSun" w:hint="eastAsia"/>
              </w:rPr>
              <w:t>工发组织</w:t>
            </w:r>
          </w:p>
        </w:tc>
        <w:tc>
          <w:tcPr>
            <w:tcW w:w="5437" w:type="dxa"/>
            <w:gridSpan w:val="2"/>
          </w:tcPr>
          <w:p w:rsidR="00000000" w:rsidRDefault="00844A84">
            <w:pPr>
              <w:spacing w:line="360" w:lineRule="auto"/>
              <w:rPr>
                <w:rFonts w:ascii="SimSun" w:hAnsi="SimSun" w:hint="eastAsia"/>
              </w:rPr>
            </w:pPr>
            <w:r>
              <w:rPr>
                <w:rFonts w:ascii="SimSun" w:hAnsi="SimSun" w:hint="eastAsia"/>
              </w:rPr>
              <w:t>联合国工业发展组织</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UNOPS</w:t>
            </w:r>
          </w:p>
        </w:tc>
        <w:tc>
          <w:tcPr>
            <w:tcW w:w="2133" w:type="dxa"/>
          </w:tcPr>
          <w:p w:rsidR="00000000" w:rsidRDefault="00844A84">
            <w:pPr>
              <w:spacing w:line="360" w:lineRule="auto"/>
              <w:rPr>
                <w:rFonts w:ascii="SimSun" w:hAnsi="SimSun" w:hint="eastAsia"/>
                <w:snapToGrid/>
              </w:rPr>
            </w:pPr>
            <w:r>
              <w:rPr>
                <w:rFonts w:ascii="SimSun" w:hAnsi="SimSun" w:hint="eastAsia"/>
              </w:rPr>
              <w:t>项目厅</w:t>
            </w:r>
          </w:p>
        </w:tc>
        <w:tc>
          <w:tcPr>
            <w:tcW w:w="5437" w:type="dxa"/>
            <w:gridSpan w:val="2"/>
          </w:tcPr>
          <w:p w:rsidR="00000000" w:rsidRDefault="00844A84">
            <w:pPr>
              <w:spacing w:line="360" w:lineRule="auto"/>
              <w:rPr>
                <w:rFonts w:ascii="SimSun" w:hAnsi="SimSun" w:hint="eastAsia"/>
                <w:snapToGrid/>
              </w:rPr>
            </w:pPr>
            <w:r>
              <w:rPr>
                <w:rFonts w:ascii="SimSun" w:hAnsi="SimSun" w:hint="eastAsia"/>
              </w:rPr>
              <w:t>联合国项目事务厅</w:t>
            </w:r>
          </w:p>
        </w:tc>
      </w:tr>
      <w:tr w:rsidR="00000000">
        <w:tblPrEx>
          <w:tblCellMar>
            <w:top w:w="0" w:type="dxa"/>
            <w:bottom w:w="0" w:type="dxa"/>
          </w:tblCellMar>
        </w:tblPrEx>
        <w:trPr>
          <w:cantSplit/>
        </w:trPr>
        <w:tc>
          <w:tcPr>
            <w:tcW w:w="1685" w:type="dxa"/>
          </w:tcPr>
          <w:p w:rsidR="00000000" w:rsidRDefault="00844A84">
            <w:pPr>
              <w:spacing w:line="360" w:lineRule="auto"/>
              <w:rPr>
                <w:snapToGrid/>
              </w:rPr>
            </w:pPr>
            <w:r>
              <w:rPr>
                <w:snapToGrid/>
              </w:rPr>
              <w:t>WGGE</w:t>
            </w:r>
          </w:p>
        </w:tc>
        <w:tc>
          <w:tcPr>
            <w:tcW w:w="2133" w:type="dxa"/>
          </w:tcPr>
          <w:p w:rsidR="00000000" w:rsidRDefault="00844A84">
            <w:pPr>
              <w:spacing w:line="360" w:lineRule="auto"/>
              <w:rPr>
                <w:rFonts w:ascii="SimSun" w:hAnsi="SimSun" w:hint="eastAsia"/>
                <w:snapToGrid/>
              </w:rPr>
            </w:pPr>
            <w:r>
              <w:rPr>
                <w:rFonts w:ascii="SimSun" w:hAnsi="SimSun" w:hint="eastAsia"/>
                <w:snapToGrid/>
              </w:rPr>
              <w:t>两性平等工作组</w:t>
            </w:r>
          </w:p>
        </w:tc>
        <w:tc>
          <w:tcPr>
            <w:tcW w:w="5437" w:type="dxa"/>
            <w:gridSpan w:val="2"/>
          </w:tcPr>
          <w:p w:rsidR="00000000" w:rsidRDefault="00844A84">
            <w:pPr>
              <w:spacing w:line="360" w:lineRule="auto"/>
              <w:rPr>
                <w:rFonts w:ascii="SimSun" w:hAnsi="SimSun" w:hint="eastAsia"/>
                <w:snapToGrid/>
              </w:rPr>
            </w:pPr>
            <w:r>
              <w:rPr>
                <w:rFonts w:ascii="SimSun" w:hAnsi="SimSun" w:hint="eastAsia"/>
                <w:snapToGrid/>
              </w:rPr>
              <w:t>《东南欧稳定公约》两性平等工作组</w:t>
            </w:r>
          </w:p>
        </w:tc>
      </w:tr>
    </w:tbl>
    <w:p w:rsidR="00000000" w:rsidRDefault="00844A84">
      <w:pPr>
        <w:spacing w:line="360" w:lineRule="auto"/>
        <w:rPr>
          <w:rFonts w:ascii="SimSun" w:hAnsi="SimSun"/>
        </w:rPr>
      </w:pPr>
    </w:p>
    <w:p w:rsidR="00000000" w:rsidRDefault="00844A84">
      <w:pPr>
        <w:spacing w:line="360" w:lineRule="auto"/>
        <w:rPr>
          <w:rFonts w:hint="eastAsia"/>
        </w:rPr>
      </w:pPr>
    </w:p>
    <w:p w:rsidR="00000000" w:rsidRDefault="00844A84">
      <w:pPr>
        <w:pStyle w:val="Heading2"/>
        <w:rPr>
          <w:rFonts w:hint="eastAsia"/>
        </w:rPr>
      </w:pPr>
      <w:r>
        <w:br w:type="page"/>
      </w:r>
      <w:r>
        <w:rPr>
          <w:rFonts w:hint="eastAsia"/>
        </w:rPr>
        <w:t>导</w:t>
      </w:r>
      <w:r>
        <w:rPr>
          <w:rFonts w:hint="eastAsia"/>
        </w:rPr>
        <w:t xml:space="preserve">  </w:t>
      </w:r>
      <w:r>
        <w:rPr>
          <w:rFonts w:hint="eastAsia"/>
        </w:rPr>
        <w:t>言</w:t>
      </w:r>
    </w:p>
    <w:p w:rsidR="00000000" w:rsidRDefault="00844A84" w:rsidP="00844A84">
      <w:pPr>
        <w:ind w:firstLineChars="200" w:firstLine="31680"/>
        <w:rPr>
          <w:rFonts w:hint="eastAsia"/>
          <w:b/>
        </w:rPr>
      </w:pPr>
      <w:r>
        <w:rPr>
          <w:rFonts w:hint="eastAsia"/>
        </w:rPr>
        <w:t xml:space="preserve">1.  </w:t>
      </w:r>
      <w:r>
        <w:rPr>
          <w:rFonts w:hint="eastAsia"/>
        </w:rPr>
        <w:t>这一份关于</w:t>
      </w:r>
      <w:r>
        <w:rPr>
          <w:rFonts w:hint="eastAsia"/>
        </w:rPr>
        <w:t>1990</w:t>
      </w:r>
      <w:r>
        <w:rPr>
          <w:rFonts w:hint="eastAsia"/>
        </w:rPr>
        <w:t>至</w:t>
      </w:r>
      <w:r>
        <w:rPr>
          <w:rFonts w:hint="eastAsia"/>
        </w:rPr>
        <w:t>2002</w:t>
      </w:r>
      <w:r>
        <w:rPr>
          <w:rFonts w:hint="eastAsia"/>
        </w:rPr>
        <w:t>年《经济、社会、文化权利国际公约》执行情况的初次报告涉及</w:t>
      </w:r>
      <w:r>
        <w:rPr>
          <w:rFonts w:hint="eastAsia"/>
        </w:rPr>
        <w:t>2003</w:t>
      </w:r>
      <w:r>
        <w:rPr>
          <w:rFonts w:hint="eastAsia"/>
        </w:rPr>
        <w:t>年</w:t>
      </w:r>
      <w:r>
        <w:rPr>
          <w:rFonts w:hint="eastAsia"/>
        </w:rPr>
        <w:t>2</w:t>
      </w:r>
      <w:r>
        <w:rPr>
          <w:rFonts w:hint="eastAsia"/>
        </w:rPr>
        <w:t>月</w:t>
      </w:r>
      <w:r>
        <w:rPr>
          <w:rFonts w:hint="eastAsia"/>
        </w:rPr>
        <w:t>4</w:t>
      </w:r>
      <w:r>
        <w:rPr>
          <w:rFonts w:hint="eastAsia"/>
        </w:rPr>
        <w:t>日已不复存在的南斯拉夫联盟共和国。当时联盟议会根据</w:t>
      </w:r>
      <w:r>
        <w:rPr>
          <w:rFonts w:hint="eastAsia"/>
        </w:rPr>
        <w:t>2002</w:t>
      </w:r>
      <w:r>
        <w:rPr>
          <w:rFonts w:hint="eastAsia"/>
        </w:rPr>
        <w:t>年</w:t>
      </w:r>
      <w:r>
        <w:rPr>
          <w:rFonts w:hint="eastAsia"/>
        </w:rPr>
        <w:t>3</w:t>
      </w:r>
      <w:r>
        <w:rPr>
          <w:rFonts w:hint="eastAsia"/>
        </w:rPr>
        <w:t>月</w:t>
      </w:r>
      <w:r>
        <w:rPr>
          <w:rFonts w:hint="eastAsia"/>
        </w:rPr>
        <w:t>14</w:t>
      </w:r>
      <w:r>
        <w:rPr>
          <w:rFonts w:hint="eastAsia"/>
        </w:rPr>
        <w:t>日调整塞尔维亚和黑山间关系的纪要，通过了《塞尔维亚和黑山共同国家宪法宪章》。《宪法宪章》的一个组成部分是</w:t>
      </w:r>
      <w:r>
        <w:rPr>
          <w:rFonts w:hint="eastAsia"/>
        </w:rPr>
        <w:t>2003</w:t>
      </w:r>
      <w:r>
        <w:rPr>
          <w:rFonts w:hint="eastAsia"/>
        </w:rPr>
        <w:t>年</w:t>
      </w:r>
      <w:r>
        <w:rPr>
          <w:rFonts w:hint="eastAsia"/>
        </w:rPr>
        <w:t>2</w:t>
      </w:r>
      <w:r>
        <w:rPr>
          <w:rFonts w:hint="eastAsia"/>
        </w:rPr>
        <w:t>月</w:t>
      </w:r>
      <w:r>
        <w:rPr>
          <w:rFonts w:hint="eastAsia"/>
        </w:rPr>
        <w:t>28</w:t>
      </w:r>
      <w:r>
        <w:rPr>
          <w:rFonts w:hint="eastAsia"/>
        </w:rPr>
        <w:t>日通过的《人权和</w:t>
      </w:r>
      <w:r>
        <w:rPr>
          <w:rFonts w:hint="eastAsia"/>
          <w:bCs/>
        </w:rPr>
        <w:t>少数群体权利及公民自由宪章》。</w:t>
      </w:r>
    </w:p>
    <w:p w:rsidR="00000000" w:rsidRDefault="00844A84" w:rsidP="00844A84">
      <w:pPr>
        <w:ind w:firstLineChars="200" w:firstLine="31680"/>
        <w:rPr>
          <w:rFonts w:hint="eastAsia"/>
        </w:rPr>
      </w:pPr>
      <w:r>
        <w:rPr>
          <w:rFonts w:hint="eastAsia"/>
          <w:bCs/>
        </w:rPr>
        <w:t>2.</w:t>
      </w:r>
      <w:r>
        <w:rPr>
          <w:rFonts w:hint="eastAsia"/>
        </w:rPr>
        <w:t xml:space="preserve">  </w:t>
      </w:r>
      <w:r>
        <w:rPr>
          <w:rFonts w:hint="eastAsia"/>
        </w:rPr>
        <w:t>《宪法宪章》规定，南斯拉夫联盟共和国继承国的国名为塞尔维亚和黑山。该国名体现了两个成员国塞尔维亚和黑山相互平等</w:t>
      </w:r>
      <w:r>
        <w:rPr>
          <w:rFonts w:hint="eastAsia"/>
        </w:rPr>
        <w:t>(</w:t>
      </w:r>
      <w:r>
        <w:rPr>
          <w:rFonts w:hint="eastAsia"/>
        </w:rPr>
        <w:t>第</w:t>
      </w:r>
      <w:r>
        <w:rPr>
          <w:rFonts w:hint="eastAsia"/>
        </w:rPr>
        <w:t>1</w:t>
      </w:r>
      <w:r>
        <w:rPr>
          <w:rFonts w:hint="eastAsia"/>
        </w:rPr>
        <w:t>和第</w:t>
      </w:r>
      <w:r>
        <w:rPr>
          <w:rFonts w:hint="eastAsia"/>
        </w:rPr>
        <w:t>2</w:t>
      </w:r>
      <w:r>
        <w:rPr>
          <w:rFonts w:hint="eastAsia"/>
        </w:rPr>
        <w:t>条</w:t>
      </w:r>
      <w:r>
        <w:rPr>
          <w:rFonts w:hint="eastAsia"/>
        </w:rPr>
        <w:t>)</w:t>
      </w:r>
      <w:r>
        <w:rPr>
          <w:rFonts w:hint="eastAsia"/>
        </w:rPr>
        <w:t>。塞尔维亚和黑山的领土包</w:t>
      </w:r>
      <w:r>
        <w:rPr>
          <w:rFonts w:hint="eastAsia"/>
        </w:rPr>
        <w:t>括该两个成员国的领土；共同国家的边界不可侵犯，而且除非双方同意，也不得改变该两成员国间的边界</w:t>
      </w:r>
      <w:r>
        <w:rPr>
          <w:rFonts w:hint="eastAsia"/>
        </w:rPr>
        <w:t>(</w:t>
      </w:r>
      <w:r>
        <w:rPr>
          <w:rFonts w:hint="eastAsia"/>
        </w:rPr>
        <w:t>第</w:t>
      </w:r>
      <w:r>
        <w:rPr>
          <w:rFonts w:hint="eastAsia"/>
        </w:rPr>
        <w:t>6</w:t>
      </w:r>
      <w:r>
        <w:rPr>
          <w:rFonts w:hint="eastAsia"/>
        </w:rPr>
        <w:t>条</w:t>
      </w:r>
      <w:r>
        <w:rPr>
          <w:rFonts w:hint="eastAsia"/>
        </w:rPr>
        <w:t>)</w:t>
      </w:r>
      <w:r>
        <w:rPr>
          <w:rFonts w:hint="eastAsia"/>
        </w:rPr>
        <w:t>。塞尔维亚国包括伏伊伏丁那自治省和科索沃自治省以及梅托希亚，目前后者按安全理事会第</w:t>
      </w:r>
      <w:r>
        <w:rPr>
          <w:rFonts w:hint="eastAsia"/>
        </w:rPr>
        <w:t>1244(1999)</w:t>
      </w:r>
      <w:r>
        <w:rPr>
          <w:rFonts w:hint="eastAsia"/>
        </w:rPr>
        <w:t>号决议的规定由国际社会管理</w:t>
      </w:r>
      <w:r>
        <w:rPr>
          <w:rFonts w:hint="eastAsia"/>
        </w:rPr>
        <w:t>(</w:t>
      </w:r>
      <w:r>
        <w:rPr>
          <w:rFonts w:hint="eastAsia"/>
        </w:rPr>
        <w:t>关于颁布《塞尔维亚和黑山共同国家宪法宪章》的决定</w:t>
      </w:r>
      <w:r>
        <w:rPr>
          <w:rFonts w:hint="eastAsia"/>
        </w:rPr>
        <w:t>)</w:t>
      </w:r>
      <w:r>
        <w:rPr>
          <w:rFonts w:hint="eastAsia"/>
        </w:rPr>
        <w:t>。</w:t>
      </w:r>
    </w:p>
    <w:p w:rsidR="00000000" w:rsidRDefault="00844A84" w:rsidP="00844A84">
      <w:pPr>
        <w:ind w:firstLineChars="200" w:firstLine="31680"/>
        <w:rPr>
          <w:rFonts w:hint="eastAsia"/>
        </w:rPr>
      </w:pPr>
      <w:r>
        <w:rPr>
          <w:rFonts w:hint="eastAsia"/>
        </w:rPr>
        <w:t xml:space="preserve">3.  </w:t>
      </w:r>
      <w:r>
        <w:rPr>
          <w:rFonts w:hint="eastAsia"/>
        </w:rPr>
        <w:t>塞尔维亚和黑山是国际法的单一主体，其成员国可成为不以国际人格为成员资格必要条件的全球和区域国际组织的成员</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000000" w:rsidRDefault="00844A84" w:rsidP="00844A84">
      <w:pPr>
        <w:ind w:firstLineChars="200" w:firstLine="31680"/>
        <w:rPr>
          <w:rFonts w:hint="eastAsia"/>
        </w:rPr>
      </w:pPr>
      <w:r>
        <w:rPr>
          <w:rFonts w:hint="eastAsia"/>
        </w:rPr>
        <w:t xml:space="preserve">4.  </w:t>
      </w:r>
      <w:r>
        <w:rPr>
          <w:rFonts w:hint="eastAsia"/>
        </w:rPr>
        <w:t>新国家的机构为：塞尔维亚和黑山议会</w:t>
      </w:r>
      <w:r>
        <w:rPr>
          <w:rFonts w:hint="eastAsia"/>
        </w:rPr>
        <w:t>(</w:t>
      </w:r>
      <w:r>
        <w:rPr>
          <w:rFonts w:hint="eastAsia"/>
        </w:rPr>
        <w:t>采用一院制，由</w:t>
      </w:r>
      <w:r>
        <w:rPr>
          <w:rFonts w:hint="eastAsia"/>
        </w:rPr>
        <w:t>126</w:t>
      </w:r>
      <w:r>
        <w:rPr>
          <w:rFonts w:hint="eastAsia"/>
        </w:rPr>
        <w:t>名议员组成，其中</w:t>
      </w:r>
      <w:r>
        <w:rPr>
          <w:rFonts w:hint="eastAsia"/>
        </w:rPr>
        <w:t>91</w:t>
      </w:r>
      <w:r>
        <w:rPr>
          <w:rFonts w:hint="eastAsia"/>
        </w:rPr>
        <w:t>名来自塞尔维亚</w:t>
      </w:r>
      <w:r>
        <w:rPr>
          <w:rFonts w:hint="eastAsia"/>
        </w:rPr>
        <w:t>，</w:t>
      </w:r>
      <w:r>
        <w:rPr>
          <w:rFonts w:hint="eastAsia"/>
        </w:rPr>
        <w:t>35</w:t>
      </w:r>
      <w:r>
        <w:rPr>
          <w:rFonts w:hint="eastAsia"/>
        </w:rPr>
        <w:t>名来自黑山</w:t>
      </w:r>
      <w:r>
        <w:rPr>
          <w:rFonts w:hint="eastAsia"/>
        </w:rPr>
        <w:t>)</w:t>
      </w:r>
      <w:r>
        <w:rPr>
          <w:rFonts w:hint="eastAsia"/>
        </w:rPr>
        <w:t>；塞尔维亚和黑山总统</w:t>
      </w:r>
      <w:r>
        <w:rPr>
          <w:rFonts w:hint="eastAsia"/>
        </w:rPr>
        <w:t>(</w:t>
      </w:r>
      <w:r>
        <w:rPr>
          <w:rFonts w:hint="eastAsia"/>
        </w:rPr>
        <w:t>当选后任期四年</w:t>
      </w:r>
      <w:r>
        <w:rPr>
          <w:rFonts w:hint="eastAsia"/>
        </w:rPr>
        <w:t>)</w:t>
      </w:r>
      <w:r>
        <w:rPr>
          <w:rFonts w:hint="eastAsia"/>
        </w:rPr>
        <w:t>；部长会议</w:t>
      </w:r>
      <w:r>
        <w:rPr>
          <w:rFonts w:hint="eastAsia"/>
        </w:rPr>
        <w:t>(</w:t>
      </w:r>
      <w:r>
        <w:rPr>
          <w:rFonts w:hint="eastAsia"/>
        </w:rPr>
        <w:t>外交部长、国防部长、国际经济关系部部长、国内经济关系部部长以及人权和少数群体权利部部长</w:t>
      </w:r>
      <w:r>
        <w:rPr>
          <w:rFonts w:hint="eastAsia"/>
        </w:rPr>
        <w:t>)</w:t>
      </w:r>
      <w:r>
        <w:rPr>
          <w:rFonts w:hint="eastAsia"/>
        </w:rPr>
        <w:t>；塞尔维亚和黑山法院</w:t>
      </w:r>
      <w:r>
        <w:rPr>
          <w:rFonts w:hint="eastAsia"/>
        </w:rPr>
        <w:t>(</w:t>
      </w:r>
      <w:r>
        <w:rPr>
          <w:rFonts w:hint="eastAsia"/>
        </w:rPr>
        <w:t>法院的裁决具有约束力，不能对之上诉，法院有权废除国家机构制定的违反塞尔维亚和黑山《宪法宪章》和法律的法律及其他条例和法令</w:t>
      </w:r>
      <w:r>
        <w:rPr>
          <w:rFonts w:hint="eastAsia"/>
        </w:rPr>
        <w:t>)</w:t>
      </w:r>
      <w:r>
        <w:rPr>
          <w:rFonts w:hint="eastAsia"/>
        </w:rPr>
        <w:t>。塞尔维亚和黑山拥有由民主的文职人员控制的武装部队</w:t>
      </w:r>
      <w:r>
        <w:rPr>
          <w:rFonts w:hint="eastAsia"/>
        </w:rPr>
        <w:t>(</w:t>
      </w:r>
      <w:r>
        <w:rPr>
          <w:rFonts w:hint="eastAsia"/>
        </w:rPr>
        <w:t>第</w:t>
      </w:r>
      <w:r>
        <w:rPr>
          <w:rFonts w:hint="eastAsia"/>
        </w:rPr>
        <w:t>54</w:t>
      </w:r>
      <w:r>
        <w:rPr>
          <w:rFonts w:hint="eastAsia"/>
        </w:rPr>
        <w:t>条</w:t>
      </w:r>
      <w:r>
        <w:rPr>
          <w:rFonts w:hint="eastAsia"/>
        </w:rPr>
        <w:t>)</w:t>
      </w:r>
      <w:r>
        <w:rPr>
          <w:rFonts w:hint="eastAsia"/>
        </w:rPr>
        <w:t>。</w:t>
      </w:r>
    </w:p>
    <w:p w:rsidR="00000000" w:rsidRDefault="00844A84" w:rsidP="00844A84">
      <w:pPr>
        <w:ind w:firstLineChars="200" w:firstLine="31680"/>
        <w:rPr>
          <w:rFonts w:hint="eastAsia"/>
        </w:rPr>
      </w:pPr>
      <w:r>
        <w:rPr>
          <w:rFonts w:hint="eastAsia"/>
        </w:rPr>
        <w:t xml:space="preserve">5.  </w:t>
      </w:r>
      <w:r>
        <w:rPr>
          <w:rFonts w:hint="eastAsia"/>
        </w:rPr>
        <w:t>考虑到《经济、社会、文化权利国际公约》执行情况的初次报告涉及</w:t>
      </w:r>
      <w:r>
        <w:rPr>
          <w:rFonts w:hint="eastAsia"/>
        </w:rPr>
        <w:t>1990</w:t>
      </w:r>
      <w:r>
        <w:rPr>
          <w:rFonts w:hint="eastAsia"/>
        </w:rPr>
        <w:t>至</w:t>
      </w:r>
      <w:r>
        <w:rPr>
          <w:rFonts w:hint="eastAsia"/>
        </w:rPr>
        <w:t>2002</w:t>
      </w:r>
      <w:r>
        <w:rPr>
          <w:rFonts w:hint="eastAsia"/>
        </w:rPr>
        <w:t>年报告所述期间，并载有与南斯拉夫联盟共和国有关的资料，因此大</w:t>
      </w:r>
      <w:r>
        <w:rPr>
          <w:rFonts w:hint="eastAsia"/>
        </w:rPr>
        <w:t>体上保留了该国国名，以便于阅读本报告。</w:t>
      </w:r>
    </w:p>
    <w:p w:rsidR="00000000" w:rsidRDefault="00844A84" w:rsidP="00844A84">
      <w:pPr>
        <w:ind w:firstLineChars="200" w:firstLine="31680"/>
        <w:rPr>
          <w:rFonts w:hint="eastAsia"/>
        </w:rPr>
      </w:pPr>
      <w:r>
        <w:rPr>
          <w:rFonts w:hint="eastAsia"/>
        </w:rPr>
        <w:t xml:space="preserve">6.  </w:t>
      </w:r>
      <w:r>
        <w:rPr>
          <w:rFonts w:hint="eastAsia"/>
        </w:rPr>
        <w:t>同样，根据成员共和国</w:t>
      </w:r>
      <w:r>
        <w:rPr>
          <w:rFonts w:hint="eastAsia"/>
        </w:rPr>
        <w:t>(</w:t>
      </w:r>
      <w:r>
        <w:rPr>
          <w:rFonts w:hint="eastAsia"/>
        </w:rPr>
        <w:t>即现在的成员国</w:t>
      </w:r>
      <w:r>
        <w:rPr>
          <w:rFonts w:hint="eastAsia"/>
        </w:rPr>
        <w:t>)</w:t>
      </w:r>
      <w:r>
        <w:rPr>
          <w:rFonts w:hint="eastAsia"/>
        </w:rPr>
        <w:t>塞尔维亚和黑山主管机关的协定，报告分两个部分。第一部分涉及南斯拉夫联盟共和国和塞尔维亚共和国，因此联盟各主管机关</w:t>
      </w:r>
      <w:r>
        <w:rPr>
          <w:rFonts w:hint="eastAsia"/>
        </w:rPr>
        <w:t>(</w:t>
      </w:r>
      <w:r>
        <w:rPr>
          <w:rFonts w:hint="eastAsia"/>
        </w:rPr>
        <w:t>其中许多在通过《宪法宪章》时已不复存在</w:t>
      </w:r>
      <w:r>
        <w:rPr>
          <w:rFonts w:hint="eastAsia"/>
        </w:rPr>
        <w:t>)</w:t>
      </w:r>
      <w:r>
        <w:rPr>
          <w:rFonts w:hint="eastAsia"/>
        </w:rPr>
        <w:t>以及塞尔维亚共和国各机关参与了本报告的编写工作。报告第二部分则专门涉及黑山，由黑山主管机关编写。</w:t>
      </w:r>
    </w:p>
    <w:p w:rsidR="00000000" w:rsidRDefault="00844A84" w:rsidP="00844A84">
      <w:pPr>
        <w:spacing w:after="320"/>
        <w:ind w:firstLineChars="200" w:firstLine="31680"/>
        <w:rPr>
          <w:rFonts w:ascii="SimSun" w:hAnsi="SimSun" w:hint="eastAsia"/>
        </w:rPr>
      </w:pPr>
      <w:r>
        <w:rPr>
          <w:rFonts w:hint="eastAsia"/>
        </w:rPr>
        <w:t>7.</w:t>
      </w:r>
      <w:r>
        <w:rPr>
          <w:rFonts w:ascii="SimSun" w:hAnsi="SimSun" w:hint="eastAsia"/>
        </w:rPr>
        <w:t xml:space="preserve">  </w:t>
      </w:r>
      <w:r>
        <w:rPr>
          <w:rFonts w:ascii="SimSun" w:hAnsi="SimSun" w:hint="eastAsia"/>
        </w:rPr>
        <w:t>前南斯拉夫联盟共和国即现在的塞尔维亚和黑山位于欧洲东南部巴尔干半岛中部，面积为</w:t>
      </w:r>
      <w:r>
        <w:t>102,173</w:t>
      </w:r>
      <w:r>
        <w:rPr>
          <w:rFonts w:ascii="SimSun" w:hAnsi="SimSun"/>
        </w:rPr>
        <w:t>平方公里。从地</w:t>
      </w:r>
      <w:r>
        <w:rPr>
          <w:rFonts w:ascii="SimSun" w:hAnsi="SimSun" w:hint="eastAsia"/>
        </w:rPr>
        <w:t>域</w:t>
      </w:r>
      <w:r>
        <w:rPr>
          <w:rFonts w:ascii="SimSun" w:hAnsi="SimSun"/>
        </w:rPr>
        <w:t>角度来看，塞尔维亚和黑山</w:t>
      </w:r>
      <w:r>
        <w:rPr>
          <w:rFonts w:ascii="SimSun" w:hAnsi="SimSun" w:hint="eastAsia"/>
        </w:rPr>
        <w:t>属于巴尔干</w:t>
      </w:r>
      <w:r>
        <w:rPr>
          <w:rFonts w:ascii="SimSun" w:hAnsi="SimSun"/>
        </w:rPr>
        <w:t>、中欧、地中海和</w:t>
      </w:r>
      <w:r>
        <w:rPr>
          <w:rFonts w:ascii="SimSun" w:hAnsi="SimSun" w:hint="eastAsia"/>
        </w:rPr>
        <w:t>多瑙河流</w:t>
      </w:r>
      <w:r>
        <w:rPr>
          <w:rFonts w:ascii="SimSun" w:hAnsi="SimSun" w:hint="eastAsia"/>
        </w:rPr>
        <w:t>域</w:t>
      </w:r>
      <w:r>
        <w:rPr>
          <w:rFonts w:ascii="SimSun" w:hAnsi="SimSun"/>
        </w:rPr>
        <w:t>国家。该国</w:t>
      </w:r>
      <w:r>
        <w:rPr>
          <w:rFonts w:ascii="SimSun" w:hAnsi="SimSun" w:hint="eastAsia"/>
        </w:rPr>
        <w:t>与下列</w:t>
      </w:r>
      <w:r>
        <w:rPr>
          <w:rFonts w:ascii="SimSun" w:hAnsi="SimSun" w:hint="eastAsia"/>
        </w:rPr>
        <w:t>8</w:t>
      </w:r>
      <w:r>
        <w:rPr>
          <w:rFonts w:ascii="SimSun" w:hAnsi="SimSun"/>
        </w:rPr>
        <w:t>国</w:t>
      </w:r>
      <w:r>
        <w:rPr>
          <w:rFonts w:ascii="SimSun" w:hAnsi="SimSun" w:hint="eastAsia"/>
        </w:rPr>
        <w:t>接壤</w:t>
      </w:r>
      <w:r>
        <w:rPr>
          <w:rFonts w:ascii="SimSun" w:hAnsi="SimSun"/>
        </w:rPr>
        <w:t>：匈牙利、罗马尼亚、保加利亚、马其顿、阿尔巴尼亚、意大利、波斯尼亚和黑塞哥维那以及克罗地亚。</w:t>
      </w:r>
    </w:p>
    <w:p w:rsidR="00000000" w:rsidRDefault="00844A84">
      <w:pPr>
        <w:pStyle w:val="Heading2"/>
        <w:rPr>
          <w:rFonts w:ascii="SimSun" w:hAnsi="SimSun" w:hint="eastAsia"/>
        </w:rPr>
      </w:pPr>
      <w:r>
        <w:rPr>
          <w:rFonts w:hint="eastAsia"/>
        </w:rPr>
        <w:t>第</w:t>
      </w:r>
      <w:r>
        <w:t xml:space="preserve"> </w:t>
      </w:r>
      <w:r>
        <w:rPr>
          <w:rFonts w:hint="eastAsia"/>
        </w:rPr>
        <w:t>一</w:t>
      </w:r>
      <w:r>
        <w:t xml:space="preserve"> </w:t>
      </w:r>
      <w:r>
        <w:rPr>
          <w:rFonts w:hint="eastAsia"/>
        </w:rPr>
        <w:t>部</w:t>
      </w:r>
      <w:r>
        <w:t xml:space="preserve"> </w:t>
      </w:r>
      <w:r>
        <w:rPr>
          <w:rFonts w:hint="eastAsia"/>
        </w:rPr>
        <w:t>分</w:t>
      </w:r>
    </w:p>
    <w:p w:rsidR="00000000" w:rsidRDefault="00844A84">
      <w:pPr>
        <w:pStyle w:val="Heading2"/>
        <w:rPr>
          <w:rFonts w:hint="eastAsia"/>
        </w:rPr>
      </w:pPr>
      <w:r>
        <w:rPr>
          <w:rFonts w:hint="eastAsia"/>
        </w:rPr>
        <w:t>关于</w:t>
      </w:r>
      <w:r>
        <w:rPr>
          <w:rFonts w:hint="eastAsia"/>
        </w:rPr>
        <w:t>1990</w:t>
      </w:r>
      <w:r>
        <w:rPr>
          <w:rFonts w:hint="eastAsia"/>
        </w:rPr>
        <w:t>至</w:t>
      </w:r>
      <w:r>
        <w:rPr>
          <w:rFonts w:hint="eastAsia"/>
        </w:rPr>
        <w:t>2002</w:t>
      </w:r>
      <w:r>
        <w:rPr>
          <w:rFonts w:hint="eastAsia"/>
        </w:rPr>
        <w:t>年期间南斯拉夫联盟共和国以及</w:t>
      </w:r>
      <w:r>
        <w:br/>
      </w:r>
      <w:r>
        <w:rPr>
          <w:rFonts w:hint="eastAsia"/>
        </w:rPr>
        <w:t>塞尔维亚共和国执行《经济、社会、文化权利</w:t>
      </w:r>
      <w:r>
        <w:br/>
      </w:r>
      <w:r>
        <w:rPr>
          <w:rFonts w:hint="eastAsia"/>
        </w:rPr>
        <w:t>国际公约》情况的初次报告</w:t>
      </w:r>
    </w:p>
    <w:p w:rsidR="00000000" w:rsidRDefault="00844A84">
      <w:pPr>
        <w:pStyle w:val="Heading3"/>
        <w:rPr>
          <w:rFonts w:hint="eastAsia"/>
        </w:rPr>
      </w:pPr>
      <w:r>
        <w:rPr>
          <w:rFonts w:hint="eastAsia"/>
        </w:rPr>
        <w:t>第</w:t>
      </w:r>
      <w:r>
        <w:rPr>
          <w:rFonts w:hint="eastAsia"/>
        </w:rPr>
        <w:t xml:space="preserve"> </w:t>
      </w:r>
      <w:r>
        <w:rPr>
          <w:rFonts w:hint="eastAsia"/>
        </w:rPr>
        <w:t>一</w:t>
      </w:r>
      <w:r>
        <w:rPr>
          <w:rFonts w:hint="eastAsia"/>
        </w:rPr>
        <w:t xml:space="preserve"> </w:t>
      </w:r>
      <w:r>
        <w:rPr>
          <w:rFonts w:hint="eastAsia"/>
        </w:rPr>
        <w:t>条</w:t>
      </w:r>
    </w:p>
    <w:p w:rsidR="00000000" w:rsidRDefault="00844A84">
      <w:pPr>
        <w:pStyle w:val="Heading4"/>
        <w:spacing w:after="320"/>
        <w:rPr>
          <w:rFonts w:ascii="SimSun" w:hAnsi="SimSun" w:hint="eastAsia"/>
        </w:rPr>
      </w:pPr>
      <w:r>
        <w:rPr>
          <w:rFonts w:hint="eastAsia"/>
        </w:rPr>
        <w:t>自决权</w:t>
      </w:r>
    </w:p>
    <w:p w:rsidR="00000000" w:rsidRDefault="00844A84" w:rsidP="00844A84">
      <w:pPr>
        <w:ind w:firstLineChars="200" w:firstLine="31680"/>
        <w:rPr>
          <w:rFonts w:ascii="SimSun" w:hAnsi="SimSun" w:hint="eastAsia"/>
        </w:rPr>
      </w:pPr>
      <w:r>
        <w:rPr>
          <w:rFonts w:hint="eastAsia"/>
        </w:rPr>
        <w:t>8.</w:t>
      </w:r>
      <w:r>
        <w:rPr>
          <w:rFonts w:ascii="SimSun" w:hAnsi="SimSun" w:hint="eastAsia"/>
        </w:rPr>
        <w:t xml:space="preserve">  </w:t>
      </w:r>
      <w:r>
        <w:rPr>
          <w:rFonts w:ascii="SimSun" w:hAnsi="SimSun" w:hint="eastAsia"/>
        </w:rPr>
        <w:t>《南斯拉夫联盟共和国宪法》未载明有关自决权的条款。但第</w:t>
      </w:r>
      <w:r>
        <w:rPr>
          <w:rFonts w:ascii="SimSun" w:hAnsi="SimSun"/>
        </w:rPr>
        <w:t>48</w:t>
      </w:r>
      <w:r>
        <w:rPr>
          <w:rFonts w:ascii="SimSun" w:hAnsi="SimSun"/>
        </w:rPr>
        <w:t>条保障属于少数民族的人有权</w:t>
      </w:r>
      <w:r>
        <w:rPr>
          <w:rFonts w:ascii="SimSun" w:hAnsi="SimSun" w:hint="eastAsia"/>
        </w:rPr>
        <w:t>与在</w:t>
      </w:r>
      <w:r>
        <w:rPr>
          <w:rFonts w:ascii="SimSun" w:hAnsi="SimSun"/>
        </w:rPr>
        <w:t>南斯拉夫联盟境内外共同生活</w:t>
      </w:r>
      <w:r>
        <w:rPr>
          <w:rFonts w:ascii="SimSun" w:hAnsi="SimSun" w:hint="eastAsia"/>
        </w:rPr>
        <w:t>的国民</w:t>
      </w:r>
      <w:r>
        <w:rPr>
          <w:rFonts w:ascii="SimSun" w:hAnsi="SimSun"/>
        </w:rPr>
        <w:t>建立</w:t>
      </w:r>
      <w:r>
        <w:rPr>
          <w:rFonts w:ascii="SimSun" w:hAnsi="SimSun" w:hint="eastAsia"/>
        </w:rPr>
        <w:t>和不受限制地</w:t>
      </w:r>
      <w:r>
        <w:rPr>
          <w:rFonts w:ascii="SimSun" w:hAnsi="SimSun"/>
        </w:rPr>
        <w:t>发展关系</w:t>
      </w:r>
      <w:r>
        <w:rPr>
          <w:rFonts w:ascii="SimSun" w:hAnsi="SimSun" w:hint="eastAsia"/>
        </w:rPr>
        <w:t>，</w:t>
      </w:r>
      <w:r>
        <w:rPr>
          <w:rFonts w:ascii="SimSun" w:hAnsi="SimSun"/>
        </w:rPr>
        <w:t>并参加国际非政府组织，但不得</w:t>
      </w:r>
      <w:r>
        <w:rPr>
          <w:rFonts w:ascii="SimSun" w:hAnsi="SimSun" w:hint="eastAsia"/>
        </w:rPr>
        <w:t>有损于</w:t>
      </w:r>
      <w:r>
        <w:rPr>
          <w:rFonts w:ascii="SimSun" w:hAnsi="SimSun"/>
        </w:rPr>
        <w:t>联盟共和国或</w:t>
      </w:r>
      <w:r>
        <w:rPr>
          <w:rFonts w:ascii="SimSun" w:hAnsi="SimSun" w:hint="eastAsia"/>
        </w:rPr>
        <w:t>作为</w:t>
      </w:r>
      <w:r>
        <w:rPr>
          <w:rFonts w:ascii="SimSun" w:hAnsi="SimSun"/>
        </w:rPr>
        <w:t>其组成部分的各共和国</w:t>
      </w:r>
      <w:r>
        <w:rPr>
          <w:rFonts w:ascii="SimSun" w:hAnsi="SimSun" w:hint="eastAsia"/>
        </w:rPr>
        <w:t>的利益</w:t>
      </w:r>
      <w:r>
        <w:rPr>
          <w:rFonts w:ascii="SimSun" w:hAnsi="SimSun"/>
        </w:rPr>
        <w:t>。</w:t>
      </w:r>
    </w:p>
    <w:p w:rsidR="00000000" w:rsidRDefault="00844A84" w:rsidP="00844A84">
      <w:pPr>
        <w:spacing w:after="320"/>
        <w:ind w:firstLineChars="200" w:firstLine="31680"/>
        <w:rPr>
          <w:rFonts w:ascii="SimSun" w:hAnsi="SimSun" w:hint="eastAsia"/>
        </w:rPr>
      </w:pPr>
      <w:r>
        <w:rPr>
          <w:rFonts w:hint="eastAsia"/>
        </w:rPr>
        <w:t>9</w:t>
      </w:r>
      <w:r>
        <w:rPr>
          <w:rFonts w:hint="eastAsia"/>
        </w:rPr>
        <w:t>.</w:t>
      </w:r>
      <w:r>
        <w:rPr>
          <w:rFonts w:ascii="SimSun" w:hAnsi="SimSun" w:hint="eastAsia"/>
        </w:rPr>
        <w:t xml:space="preserve">  </w:t>
      </w:r>
      <w:r>
        <w:rPr>
          <w:rFonts w:ascii="SimSun" w:hAnsi="SimSun" w:hint="eastAsia"/>
        </w:rPr>
        <w:t>与《南斯拉夫联盟共和国宪法》不同，《塞尔维亚和黑山宪法宪章》第</w:t>
      </w:r>
      <w:r>
        <w:rPr>
          <w:rFonts w:ascii="SimSun" w:hAnsi="SimSun"/>
        </w:rPr>
        <w:t>60</w:t>
      </w:r>
      <w:r>
        <w:rPr>
          <w:rFonts w:ascii="SimSun" w:hAnsi="SimSun"/>
        </w:rPr>
        <w:t>条</w:t>
      </w:r>
      <w:r>
        <w:rPr>
          <w:rFonts w:ascii="SimSun" w:hAnsi="SimSun" w:hint="eastAsia"/>
        </w:rPr>
        <w:t>明确保障自决权。该条规定，在三年期届满之时，成员国有权开始采用改变国家地位即脱离共同国家的程序。作出此项决定时应首先举行公民投票，并在一个会员国通过公民投票法，同</w:t>
      </w:r>
      <w:r>
        <w:rPr>
          <w:rFonts w:ascii="SimSun" w:hAnsi="SimSun" w:hint="eastAsia"/>
          <w:spacing w:val="12"/>
        </w:rPr>
        <w:t>时考虑到国际公认的民主标准。该条还规定，如果黑山国脱离共同国家，与南斯拉夫联盟共和国相关的国际文件尤其是安全理事会第</w:t>
      </w:r>
      <w:r>
        <w:rPr>
          <w:spacing w:val="12"/>
        </w:rPr>
        <w:t>1244</w:t>
      </w:r>
      <w:r>
        <w:rPr>
          <w:rFonts w:hint="eastAsia"/>
          <w:spacing w:val="12"/>
        </w:rPr>
        <w:t xml:space="preserve"> </w:t>
      </w:r>
      <w:r>
        <w:rPr>
          <w:spacing w:val="12"/>
        </w:rPr>
        <w:t>(1999)</w:t>
      </w:r>
      <w:r>
        <w:rPr>
          <w:rFonts w:ascii="SimSun" w:hAnsi="SimSun"/>
          <w:spacing w:val="12"/>
        </w:rPr>
        <w:t>号决议</w:t>
      </w:r>
      <w:r>
        <w:rPr>
          <w:rFonts w:ascii="SimSun" w:hAnsi="SimSun" w:hint="eastAsia"/>
          <w:spacing w:val="12"/>
        </w:rPr>
        <w:t>依然</w:t>
      </w:r>
      <w:r>
        <w:rPr>
          <w:rFonts w:ascii="SimSun" w:hAnsi="SimSun"/>
          <w:spacing w:val="12"/>
        </w:rPr>
        <w:t>涉及并充分适用于其继承国塞尔维亚国。行使脱离</w:t>
      </w:r>
      <w:r>
        <w:rPr>
          <w:rFonts w:ascii="SimSun" w:hAnsi="SimSun" w:hint="eastAsia"/>
          <w:spacing w:val="12"/>
        </w:rPr>
        <w:t>权的</w:t>
      </w:r>
      <w:r>
        <w:rPr>
          <w:rFonts w:ascii="SimSun" w:hAnsi="SimSun"/>
          <w:spacing w:val="12"/>
        </w:rPr>
        <w:t>成员国不</w:t>
      </w:r>
      <w:r>
        <w:rPr>
          <w:rFonts w:ascii="SimSun" w:hAnsi="SimSun" w:hint="eastAsia"/>
          <w:spacing w:val="12"/>
        </w:rPr>
        <w:t>得</w:t>
      </w:r>
      <w:r>
        <w:rPr>
          <w:rFonts w:ascii="SimSun" w:hAnsi="SimSun"/>
          <w:spacing w:val="12"/>
        </w:rPr>
        <w:t>继承国际法律人格的权利，所有</w:t>
      </w:r>
      <w:r>
        <w:rPr>
          <w:rFonts w:ascii="SimSun" w:hAnsi="SimSun" w:hint="eastAsia"/>
          <w:spacing w:val="12"/>
        </w:rPr>
        <w:t>未决</w:t>
      </w:r>
      <w:r>
        <w:rPr>
          <w:rFonts w:ascii="SimSun" w:hAnsi="SimSun"/>
          <w:spacing w:val="12"/>
        </w:rPr>
        <w:t>问题都将在继承国与</w:t>
      </w:r>
      <w:r>
        <w:rPr>
          <w:rFonts w:ascii="SimSun" w:hAnsi="SimSun" w:hint="eastAsia"/>
          <w:spacing w:val="12"/>
        </w:rPr>
        <w:t>已</w:t>
      </w:r>
      <w:r>
        <w:rPr>
          <w:rFonts w:ascii="SimSun" w:hAnsi="SimSun"/>
          <w:spacing w:val="12"/>
        </w:rPr>
        <w:t>独立国家之间</w:t>
      </w:r>
      <w:r>
        <w:rPr>
          <w:rFonts w:ascii="SimSun" w:hAnsi="SimSun" w:hint="eastAsia"/>
          <w:spacing w:val="12"/>
        </w:rPr>
        <w:t>分别</w:t>
      </w:r>
      <w:r>
        <w:rPr>
          <w:rFonts w:ascii="SimSun" w:hAnsi="SimSun"/>
          <w:spacing w:val="12"/>
        </w:rPr>
        <w:t>处</w:t>
      </w:r>
      <w:r>
        <w:rPr>
          <w:rFonts w:ascii="SimSun" w:hAnsi="SimSun"/>
          <w:spacing w:val="12"/>
        </w:rPr>
        <w:t>理。如果两个成员国都经公民投票</w:t>
      </w:r>
      <w:r>
        <w:rPr>
          <w:rFonts w:ascii="SimSun" w:hAnsi="SimSun" w:hint="eastAsia"/>
          <w:spacing w:val="12"/>
        </w:rPr>
        <w:t>后</w:t>
      </w:r>
      <w:r>
        <w:rPr>
          <w:rFonts w:ascii="SimSun" w:hAnsi="SimSun"/>
          <w:spacing w:val="12"/>
        </w:rPr>
        <w:t>宣布赞成改变国家</w:t>
      </w:r>
      <w:r>
        <w:rPr>
          <w:rFonts w:ascii="SimSun" w:hAnsi="SimSun" w:hint="eastAsia"/>
          <w:spacing w:val="12"/>
        </w:rPr>
        <w:t>地位即</w:t>
      </w:r>
      <w:r>
        <w:rPr>
          <w:rFonts w:ascii="SimSun" w:hAnsi="SimSun"/>
          <w:spacing w:val="12"/>
        </w:rPr>
        <w:t>赞成独立，</w:t>
      </w:r>
      <w:r>
        <w:rPr>
          <w:rFonts w:ascii="SimSun" w:hAnsi="SimSun" w:hint="eastAsia"/>
          <w:spacing w:val="12"/>
        </w:rPr>
        <w:t>则应</w:t>
      </w:r>
      <w:r>
        <w:rPr>
          <w:rFonts w:ascii="SimSun" w:hAnsi="SimSun"/>
          <w:spacing w:val="12"/>
        </w:rPr>
        <w:t>像前南斯拉夫社会主义联盟共和国</w:t>
      </w:r>
      <w:r>
        <w:rPr>
          <w:rFonts w:ascii="SimSun" w:hAnsi="SimSun" w:hint="eastAsia"/>
          <w:spacing w:val="12"/>
        </w:rPr>
        <w:t>当时那样，</w:t>
      </w:r>
      <w:r>
        <w:rPr>
          <w:rFonts w:ascii="SimSun" w:hAnsi="SimSun"/>
          <w:spacing w:val="12"/>
        </w:rPr>
        <w:t>所</w:t>
      </w:r>
      <w:r>
        <w:rPr>
          <w:rFonts w:ascii="SimSun" w:hAnsi="SimSun"/>
        </w:rPr>
        <w:t>有</w:t>
      </w:r>
      <w:r>
        <w:rPr>
          <w:rFonts w:ascii="SimSun" w:hAnsi="SimSun" w:hint="eastAsia"/>
        </w:rPr>
        <w:t>未决</w:t>
      </w:r>
      <w:r>
        <w:rPr>
          <w:rFonts w:ascii="SimSun" w:hAnsi="SimSun"/>
        </w:rPr>
        <w:t>问题</w:t>
      </w:r>
      <w:r>
        <w:rPr>
          <w:rFonts w:ascii="SimSun" w:hAnsi="SimSun" w:hint="eastAsia"/>
        </w:rPr>
        <w:t>都</w:t>
      </w:r>
      <w:r>
        <w:rPr>
          <w:rFonts w:ascii="SimSun" w:hAnsi="SimSun"/>
        </w:rPr>
        <w:t>将</w:t>
      </w:r>
      <w:r>
        <w:rPr>
          <w:rFonts w:ascii="SimSun" w:hAnsi="SimSun" w:hint="eastAsia"/>
        </w:rPr>
        <w:t>在</w:t>
      </w:r>
      <w:r>
        <w:rPr>
          <w:rFonts w:ascii="SimSun" w:hAnsi="SimSun"/>
        </w:rPr>
        <w:t>继承程序中予以解决</w:t>
      </w:r>
      <w:r>
        <w:rPr>
          <w:rFonts w:ascii="SimSun" w:hAnsi="SimSun" w:hint="eastAsia"/>
        </w:rPr>
        <w:t>。</w:t>
      </w:r>
    </w:p>
    <w:p w:rsidR="00000000" w:rsidRDefault="00844A84">
      <w:pPr>
        <w:pStyle w:val="Heading3"/>
        <w:spacing w:after="160"/>
        <w:rPr>
          <w:rFonts w:ascii="SimSun" w:hAnsi="SimSun" w:hint="eastAsia"/>
        </w:rPr>
      </w:pPr>
      <w:r>
        <w:rPr>
          <w:rFonts w:hint="eastAsia"/>
        </w:rPr>
        <w:t>第</w:t>
      </w:r>
      <w:r>
        <w:rPr>
          <w:rFonts w:hint="eastAsia"/>
        </w:rPr>
        <w:t xml:space="preserve"> </w:t>
      </w:r>
      <w:r>
        <w:rPr>
          <w:rFonts w:hint="eastAsia"/>
        </w:rPr>
        <w:t>二</w:t>
      </w:r>
      <w:r>
        <w:rPr>
          <w:rFonts w:hint="eastAsia"/>
        </w:rPr>
        <w:t xml:space="preserve"> </w:t>
      </w:r>
      <w:r>
        <w:rPr>
          <w:rFonts w:hint="eastAsia"/>
        </w:rPr>
        <w:t>条</w:t>
      </w:r>
    </w:p>
    <w:p w:rsidR="00000000" w:rsidRDefault="00844A84">
      <w:pPr>
        <w:pStyle w:val="Heading4"/>
        <w:rPr>
          <w:rFonts w:hint="eastAsia"/>
        </w:rPr>
      </w:pPr>
      <w:r>
        <w:rPr>
          <w:rFonts w:hint="eastAsia"/>
        </w:rPr>
        <w:t>行使公约承认的权利</w:t>
      </w:r>
    </w:p>
    <w:p w:rsidR="00000000" w:rsidRDefault="00844A84" w:rsidP="00844A84">
      <w:pPr>
        <w:ind w:firstLineChars="200" w:firstLine="31680"/>
        <w:rPr>
          <w:rFonts w:ascii="SimSun" w:hAnsi="SimSun" w:hint="eastAsia"/>
        </w:rPr>
      </w:pPr>
      <w:r>
        <w:rPr>
          <w:rFonts w:hint="eastAsia"/>
        </w:rPr>
        <w:t xml:space="preserve">10.  </w:t>
      </w:r>
      <w:r>
        <w:rPr>
          <w:rFonts w:ascii="SimSun" w:hAnsi="SimSun" w:hint="eastAsia"/>
        </w:rPr>
        <w:t>《南斯拉夫联盟共和国宪法》规定，该国是以公民平等和成员共和国平等为基础上的联盟国家</w:t>
      </w:r>
      <w:r>
        <w:rPr>
          <w:rFonts w:ascii="SimSun" w:hAnsi="SimSun" w:hint="eastAsia"/>
        </w:rPr>
        <w:t>(</w:t>
      </w:r>
      <w:r>
        <w:rPr>
          <w:rFonts w:ascii="SimSun" w:hAnsi="SimSun" w:hint="eastAsia"/>
        </w:rPr>
        <w:t>第</w:t>
      </w:r>
      <w:r>
        <w:rPr>
          <w:rFonts w:ascii="SimSun" w:hAnsi="SimSun" w:hint="eastAsia"/>
        </w:rPr>
        <w:t>1</w:t>
      </w:r>
      <w:r>
        <w:rPr>
          <w:rFonts w:ascii="SimSun" w:hAnsi="SimSun" w:hint="eastAsia"/>
        </w:rPr>
        <w:t>条</w:t>
      </w:r>
      <w:r>
        <w:rPr>
          <w:rFonts w:ascii="SimSun" w:hAnsi="SimSun" w:hint="eastAsia"/>
        </w:rPr>
        <w:t>)</w:t>
      </w:r>
      <w:r>
        <w:rPr>
          <w:rFonts w:ascii="SimSun" w:hAnsi="SimSun" w:hint="eastAsia"/>
        </w:rPr>
        <w:t>。该国公民不分民族、种族、性别、语言、宗教信仰、政治或其他信仰、教育、社会出身、财产或其他个人地位均一律平等</w:t>
      </w:r>
      <w:r>
        <w:rPr>
          <w:rFonts w:ascii="SimSun" w:hAnsi="SimSun" w:hint="eastAsia"/>
        </w:rPr>
        <w:t>(</w:t>
      </w:r>
      <w:r>
        <w:rPr>
          <w:rFonts w:ascii="SimSun" w:hAnsi="SimSun" w:hint="eastAsia"/>
        </w:rPr>
        <w:t>第</w:t>
      </w:r>
      <w:r>
        <w:t>20</w:t>
      </w:r>
      <w:r>
        <w:rPr>
          <w:rFonts w:ascii="SimSun" w:hAnsi="SimSun"/>
        </w:rPr>
        <w:t>条</w:t>
      </w:r>
      <w:r>
        <w:rPr>
          <w:rFonts w:ascii="SimSun" w:hAnsi="SimSun"/>
        </w:rPr>
        <w:t>)</w:t>
      </w:r>
      <w:r>
        <w:rPr>
          <w:rFonts w:ascii="SimSun" w:hAnsi="SimSun"/>
        </w:rPr>
        <w:t>。</w:t>
      </w:r>
    </w:p>
    <w:p w:rsidR="00000000" w:rsidRDefault="00844A84" w:rsidP="00844A84">
      <w:pPr>
        <w:ind w:firstLineChars="200" w:firstLine="31680"/>
        <w:rPr>
          <w:rFonts w:hint="eastAsia"/>
        </w:rPr>
      </w:pPr>
      <w:r>
        <w:rPr>
          <w:rFonts w:ascii="SimSun" w:hAnsi="SimSun" w:hint="eastAsia"/>
        </w:rPr>
        <w:t xml:space="preserve">11.  </w:t>
      </w:r>
      <w:r>
        <w:rPr>
          <w:rFonts w:ascii="SimSun" w:hAnsi="SimSun" w:hint="eastAsia"/>
        </w:rPr>
        <w:t>然而，《塞尔维亚和黑山共同国家宪法宪章》规定，塞尔维亚和黑山以成员国平等为基础</w:t>
      </w:r>
      <w:r>
        <w:rPr>
          <w:rFonts w:ascii="SimSun" w:hAnsi="SimSun" w:hint="eastAsia"/>
        </w:rPr>
        <w:t>(</w:t>
      </w:r>
      <w:r>
        <w:rPr>
          <w:rFonts w:ascii="SimSun" w:hAnsi="SimSun" w:hint="eastAsia"/>
        </w:rPr>
        <w:t>第</w:t>
      </w:r>
      <w:r>
        <w:rPr>
          <w:rFonts w:hint="eastAsia"/>
        </w:rPr>
        <w:t>2</w:t>
      </w:r>
      <w:r>
        <w:rPr>
          <w:rFonts w:ascii="SimSun" w:hAnsi="SimSun" w:hint="eastAsia"/>
        </w:rPr>
        <w:t>条</w:t>
      </w:r>
      <w:r>
        <w:rPr>
          <w:rFonts w:ascii="SimSun" w:hAnsi="SimSun" w:hint="eastAsia"/>
        </w:rPr>
        <w:t>)</w:t>
      </w:r>
      <w:r>
        <w:rPr>
          <w:rFonts w:ascii="SimSun" w:hAnsi="SimSun" w:hint="eastAsia"/>
        </w:rPr>
        <w:t>，</w:t>
      </w:r>
      <w:r>
        <w:rPr>
          <w:rFonts w:hint="eastAsia"/>
        </w:rPr>
        <w:t>《人权</w:t>
      </w:r>
      <w:r>
        <w:rPr>
          <w:rFonts w:hint="eastAsia"/>
        </w:rPr>
        <w:t>和少数群体权利及公民自由宪章》则全面禁止歧视</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000000" w:rsidRDefault="00844A84" w:rsidP="00844A84">
      <w:pPr>
        <w:spacing w:after="320"/>
        <w:ind w:firstLineChars="200" w:firstLine="31680"/>
        <w:rPr>
          <w:rFonts w:hint="eastAsia"/>
        </w:rPr>
      </w:pPr>
      <w:r>
        <w:rPr>
          <w:rFonts w:hint="eastAsia"/>
        </w:rPr>
        <w:t xml:space="preserve">12.  </w:t>
      </w:r>
      <w:r>
        <w:rPr>
          <w:rFonts w:hint="eastAsia"/>
        </w:rPr>
        <w:t>除了加强不歧视的一般原则外，《南斯拉夫联盟共和国宪法》第</w:t>
      </w:r>
      <w:r>
        <w:rPr>
          <w:rFonts w:hint="eastAsia"/>
        </w:rPr>
        <w:t>50</w:t>
      </w:r>
      <w:r>
        <w:rPr>
          <w:rFonts w:hint="eastAsia"/>
        </w:rPr>
        <w:t>条还规定，任何煽动或助长民族、种族、宗教或其他不平等以及煽动或助长民族、宗教或其他仇恨和不容忍的行为均属违宪行为并应予惩处。《人权和少数群体权利及公民自由宪章》采用了这一条款，规定禁止并惩处上述行为</w:t>
      </w:r>
      <w:r>
        <w:rPr>
          <w:rFonts w:hint="eastAsia"/>
        </w:rPr>
        <w:t>(</w:t>
      </w:r>
      <w:r>
        <w:rPr>
          <w:rFonts w:hint="eastAsia"/>
        </w:rPr>
        <w:t>第</w:t>
      </w:r>
      <w:r>
        <w:rPr>
          <w:rFonts w:hint="eastAsia"/>
        </w:rPr>
        <w:t>51</w:t>
      </w:r>
      <w:r>
        <w:rPr>
          <w:rFonts w:hint="eastAsia"/>
        </w:rPr>
        <w:t>条</w:t>
      </w:r>
      <w:r>
        <w:rPr>
          <w:rFonts w:hint="eastAsia"/>
        </w:rPr>
        <w:t>)</w:t>
      </w:r>
      <w:r>
        <w:rPr>
          <w:rFonts w:hint="eastAsia"/>
        </w:rPr>
        <w:t>。</w:t>
      </w:r>
    </w:p>
    <w:p w:rsidR="00000000" w:rsidRDefault="00844A84">
      <w:pPr>
        <w:pStyle w:val="Heading3"/>
        <w:rPr>
          <w:rFonts w:hint="eastAsia"/>
        </w:rPr>
      </w:pPr>
      <w:r>
        <w:rPr>
          <w:rFonts w:hint="eastAsia"/>
        </w:rPr>
        <w:t>第</w:t>
      </w:r>
      <w:r>
        <w:rPr>
          <w:rFonts w:hint="eastAsia"/>
        </w:rPr>
        <w:t xml:space="preserve"> </w:t>
      </w:r>
      <w:r>
        <w:rPr>
          <w:rFonts w:hint="eastAsia"/>
        </w:rPr>
        <w:t>三</w:t>
      </w:r>
      <w:r>
        <w:rPr>
          <w:rFonts w:hint="eastAsia"/>
        </w:rPr>
        <w:t xml:space="preserve"> </w:t>
      </w:r>
      <w:r>
        <w:rPr>
          <w:rFonts w:hint="eastAsia"/>
        </w:rPr>
        <w:t>条</w:t>
      </w:r>
    </w:p>
    <w:p w:rsidR="00000000" w:rsidRDefault="00844A84">
      <w:pPr>
        <w:pStyle w:val="Heading4"/>
        <w:rPr>
          <w:rFonts w:hint="eastAsia"/>
        </w:rPr>
      </w:pPr>
      <w:r>
        <w:rPr>
          <w:rFonts w:hint="eastAsia"/>
        </w:rPr>
        <w:t>批准国际文书</w:t>
      </w:r>
    </w:p>
    <w:p w:rsidR="00000000" w:rsidRDefault="00844A84" w:rsidP="00844A84">
      <w:pPr>
        <w:ind w:firstLineChars="200" w:firstLine="31680"/>
        <w:rPr>
          <w:rFonts w:hint="eastAsia"/>
        </w:rPr>
      </w:pPr>
      <w:r>
        <w:rPr>
          <w:rFonts w:hint="eastAsia"/>
        </w:rPr>
        <w:t>13.  2001</w:t>
      </w:r>
      <w:r>
        <w:rPr>
          <w:rFonts w:hint="eastAsia"/>
        </w:rPr>
        <w:t>年</w:t>
      </w:r>
      <w:r>
        <w:rPr>
          <w:rFonts w:hint="eastAsia"/>
        </w:rPr>
        <w:t>3</w:t>
      </w:r>
      <w:r>
        <w:rPr>
          <w:rFonts w:hint="eastAsia"/>
        </w:rPr>
        <w:t>月</w:t>
      </w:r>
      <w:r>
        <w:rPr>
          <w:rFonts w:hint="eastAsia"/>
        </w:rPr>
        <w:t>12</w:t>
      </w:r>
      <w:r>
        <w:rPr>
          <w:rFonts w:hint="eastAsia"/>
        </w:rPr>
        <w:t>日，塞尔维亚和黑山发表继承声明，表示保留该国在交由联合国秘书长保存的所有其他妇女权利问题公约中的地位。塞尔维亚和黑山</w:t>
      </w:r>
      <w:r>
        <w:rPr>
          <w:rFonts w:hint="eastAsia"/>
        </w:rPr>
        <w:t>是《消除对妇女一切形式歧视公约》的缔约国。该国于</w:t>
      </w:r>
      <w:r>
        <w:rPr>
          <w:rFonts w:hint="eastAsia"/>
        </w:rPr>
        <w:t>2002</w:t>
      </w:r>
      <w:r>
        <w:rPr>
          <w:rFonts w:hint="eastAsia"/>
        </w:rPr>
        <w:t>年</w:t>
      </w:r>
      <w:r>
        <w:rPr>
          <w:rFonts w:hint="eastAsia"/>
        </w:rPr>
        <w:t>12</w:t>
      </w:r>
      <w:r>
        <w:rPr>
          <w:rFonts w:hint="eastAsia"/>
        </w:rPr>
        <w:t>月批准了该公约的任择议定书。</w:t>
      </w:r>
    </w:p>
    <w:p w:rsidR="00000000" w:rsidRDefault="00844A84" w:rsidP="00844A84">
      <w:pPr>
        <w:spacing w:after="320"/>
        <w:ind w:firstLineChars="200" w:firstLine="31680"/>
        <w:rPr>
          <w:rFonts w:hint="eastAsia"/>
        </w:rPr>
      </w:pPr>
      <w:r>
        <w:rPr>
          <w:rFonts w:hint="eastAsia"/>
        </w:rPr>
        <w:t xml:space="preserve">14.  </w:t>
      </w:r>
      <w:r>
        <w:rPr>
          <w:rFonts w:hint="eastAsia"/>
        </w:rPr>
        <w:t>同样，塞尔维亚和黑山也是劳工组织第</w:t>
      </w:r>
      <w:r>
        <w:rPr>
          <w:rFonts w:hint="eastAsia"/>
        </w:rPr>
        <w:t>111</w:t>
      </w:r>
      <w:r>
        <w:rPr>
          <w:rFonts w:hint="eastAsia"/>
        </w:rPr>
        <w:t>号公约《</w:t>
      </w:r>
      <w:r>
        <w:rPr>
          <w:rFonts w:hint="eastAsia"/>
        </w:rPr>
        <w:t>(</w:t>
      </w:r>
      <w:r>
        <w:rPr>
          <w:rFonts w:hint="eastAsia"/>
        </w:rPr>
        <w:t>就业和职业</w:t>
      </w:r>
      <w:r>
        <w:rPr>
          <w:rFonts w:hint="eastAsia"/>
        </w:rPr>
        <w:t>)</w:t>
      </w:r>
      <w:r>
        <w:rPr>
          <w:rFonts w:hint="eastAsia"/>
        </w:rPr>
        <w:t>歧视公约》</w:t>
      </w:r>
      <w:r>
        <w:rPr>
          <w:rFonts w:hint="eastAsia"/>
        </w:rPr>
        <w:t>(1958</w:t>
      </w:r>
      <w:r>
        <w:rPr>
          <w:rFonts w:hint="eastAsia"/>
        </w:rPr>
        <w:t>年</w:t>
      </w:r>
      <w:r>
        <w:rPr>
          <w:rFonts w:hint="eastAsia"/>
        </w:rPr>
        <w:t>)</w:t>
      </w:r>
      <w:r>
        <w:rPr>
          <w:rFonts w:hint="eastAsia"/>
        </w:rPr>
        <w:t>以及劳工组织第</w:t>
      </w:r>
      <w:r>
        <w:rPr>
          <w:rFonts w:hint="eastAsia"/>
        </w:rPr>
        <w:t>100</w:t>
      </w:r>
      <w:r>
        <w:rPr>
          <w:rFonts w:hint="eastAsia"/>
        </w:rPr>
        <w:t>号公约《同酬公约》</w:t>
      </w:r>
      <w:r>
        <w:rPr>
          <w:rFonts w:hint="eastAsia"/>
        </w:rPr>
        <w:t>(1951</w:t>
      </w:r>
      <w:r>
        <w:rPr>
          <w:rFonts w:hint="eastAsia"/>
        </w:rPr>
        <w:t>年</w:t>
      </w:r>
      <w:r>
        <w:rPr>
          <w:rFonts w:hint="eastAsia"/>
        </w:rPr>
        <w:t>)</w:t>
      </w:r>
      <w:r>
        <w:rPr>
          <w:rFonts w:hint="eastAsia"/>
        </w:rPr>
        <w:t>的缔约国。</w:t>
      </w:r>
    </w:p>
    <w:p w:rsidR="00000000" w:rsidRDefault="00844A84">
      <w:pPr>
        <w:pStyle w:val="Heading4"/>
        <w:spacing w:after="320"/>
        <w:rPr>
          <w:rFonts w:hint="eastAsia"/>
        </w:rPr>
      </w:pPr>
      <w:r>
        <w:rPr>
          <w:rFonts w:hint="eastAsia"/>
        </w:rPr>
        <w:t>南斯拉夫联盟共和国境内妇女的地位</w:t>
      </w:r>
    </w:p>
    <w:p w:rsidR="00000000" w:rsidRDefault="00844A84" w:rsidP="00844A84">
      <w:pPr>
        <w:spacing w:after="320"/>
        <w:ind w:firstLineChars="200" w:firstLine="31680"/>
        <w:rPr>
          <w:rFonts w:hint="eastAsia"/>
        </w:rPr>
      </w:pPr>
      <w:r>
        <w:rPr>
          <w:rFonts w:hint="eastAsia"/>
        </w:rPr>
        <w:t xml:space="preserve">15.  </w:t>
      </w:r>
      <w:r>
        <w:rPr>
          <w:rFonts w:hint="eastAsia"/>
        </w:rPr>
        <w:t>妇女占南斯拉夫联盟共和国成年人口</w:t>
      </w:r>
      <w:r>
        <w:rPr>
          <w:rFonts w:hint="eastAsia"/>
        </w:rPr>
        <w:t>52%</w:t>
      </w:r>
      <w:r>
        <w:rPr>
          <w:rFonts w:hint="eastAsia"/>
        </w:rPr>
        <w:t>。现有资料表明，许多阶层的妇女处于不平等地位，因此必须在各级设立监测机制并创造条件，使妇女拥有平等机会，并实现两性平等。</w:t>
      </w:r>
    </w:p>
    <w:p w:rsidR="00000000" w:rsidRDefault="00844A84" w:rsidP="00844A84">
      <w:pPr>
        <w:pStyle w:val="Heading4"/>
        <w:spacing w:after="160"/>
        <w:ind w:firstLineChars="200" w:firstLine="31680"/>
        <w:rPr>
          <w:rFonts w:hint="eastAsia"/>
        </w:rPr>
      </w:pPr>
      <w:r>
        <w:rPr>
          <w:rFonts w:hint="eastAsia"/>
        </w:rPr>
        <w:t>妇女与教育</w:t>
      </w:r>
    </w:p>
    <w:p w:rsidR="00000000" w:rsidRDefault="00844A84" w:rsidP="00844A84">
      <w:pPr>
        <w:spacing w:line="324" w:lineRule="auto"/>
        <w:ind w:firstLineChars="200" w:firstLine="31680"/>
        <w:rPr>
          <w:rFonts w:hint="eastAsia"/>
        </w:rPr>
      </w:pPr>
      <w:r>
        <w:rPr>
          <w:rFonts w:hint="eastAsia"/>
        </w:rPr>
        <w:t xml:space="preserve">16.  </w:t>
      </w:r>
      <w:r>
        <w:rPr>
          <w:rFonts w:hint="eastAsia"/>
        </w:rPr>
        <w:t>教育领域在两性平等方面出现了影响深</w:t>
      </w:r>
      <w:r>
        <w:rPr>
          <w:rFonts w:hint="eastAsia"/>
        </w:rPr>
        <w:t>远的积极变化。各级教育都取得了进展，高等教育尤为如此。由于向男女儿童提供了平等的教育机会，妇女的教育程度有所提高。在某些级别，妇女的教育程度已与男子相当</w:t>
      </w:r>
      <w:r>
        <w:rPr>
          <w:rFonts w:hint="eastAsia"/>
        </w:rPr>
        <w:t>(</w:t>
      </w:r>
      <w:r>
        <w:rPr>
          <w:rFonts w:hint="eastAsia"/>
        </w:rPr>
        <w:t>例如据</w:t>
      </w:r>
      <w:r>
        <w:rPr>
          <w:rFonts w:hint="eastAsia"/>
        </w:rPr>
        <w:t>1991</w:t>
      </w:r>
      <w:r>
        <w:rPr>
          <w:rFonts w:hint="eastAsia"/>
        </w:rPr>
        <w:t>年人口普查资料，塞尔维亚中部地区有</w:t>
      </w:r>
      <w:r>
        <w:rPr>
          <w:rFonts w:hint="eastAsia"/>
        </w:rPr>
        <w:t>18.4%</w:t>
      </w:r>
      <w:r>
        <w:rPr>
          <w:rFonts w:hint="eastAsia"/>
        </w:rPr>
        <w:t>的男子和</w:t>
      </w:r>
      <w:r>
        <w:rPr>
          <w:rFonts w:hint="eastAsia"/>
        </w:rPr>
        <w:t>24.3%</w:t>
      </w:r>
      <w:r>
        <w:rPr>
          <w:rFonts w:hint="eastAsia"/>
        </w:rPr>
        <w:t>的妇女以及伏伊伏丁那有</w:t>
      </w:r>
      <w:r>
        <w:t>24.8</w:t>
      </w:r>
      <w:r>
        <w:rPr>
          <w:rFonts w:hint="eastAsia"/>
        </w:rPr>
        <w:t>%</w:t>
      </w:r>
      <w:r>
        <w:rPr>
          <w:rFonts w:hint="eastAsia"/>
        </w:rPr>
        <w:t>的男子和</w:t>
      </w:r>
      <w:r>
        <w:rPr>
          <w:rFonts w:hint="eastAsia"/>
        </w:rPr>
        <w:t>25.7%</w:t>
      </w:r>
      <w:r>
        <w:rPr>
          <w:rFonts w:hint="eastAsia"/>
        </w:rPr>
        <w:t>的妇女完成了初等教育</w:t>
      </w:r>
      <w:r>
        <w:rPr>
          <w:rFonts w:hint="eastAsia"/>
        </w:rPr>
        <w:t>)</w:t>
      </w:r>
      <w:r>
        <w:rPr>
          <w:rFonts w:hint="eastAsia"/>
        </w:rPr>
        <w:t>，但妇女在文盲人口中所占的比例依然高于男子，这主要是由于年老的几代妇女在历史上缺乏接受教育的机会。</w:t>
      </w:r>
    </w:p>
    <w:p w:rsidR="00000000" w:rsidRDefault="00844A84" w:rsidP="00844A84">
      <w:pPr>
        <w:spacing w:line="324" w:lineRule="auto"/>
        <w:ind w:firstLineChars="200" w:firstLine="31680"/>
        <w:rPr>
          <w:rFonts w:ascii="SimSun" w:hAnsi="SimSun" w:hint="eastAsia"/>
        </w:rPr>
      </w:pPr>
      <w:r>
        <w:rPr>
          <w:rFonts w:hint="eastAsia"/>
        </w:rPr>
        <w:t xml:space="preserve">17.  </w:t>
      </w:r>
      <w:r>
        <w:rPr>
          <w:rFonts w:ascii="SimSun" w:hAnsi="SimSun" w:hint="eastAsia"/>
        </w:rPr>
        <w:t>一代又一代的</w:t>
      </w:r>
      <w:r>
        <w:rPr>
          <w:rFonts w:ascii="SimSun" w:hAnsi="SimSun"/>
        </w:rPr>
        <w:t>妇女</w:t>
      </w:r>
      <w:r>
        <w:rPr>
          <w:rFonts w:ascii="SimSun" w:hAnsi="SimSun" w:hint="eastAsia"/>
        </w:rPr>
        <w:t>赶上</w:t>
      </w:r>
      <w:r>
        <w:rPr>
          <w:rFonts w:ascii="SimSun" w:hAnsi="SimSun"/>
        </w:rPr>
        <w:t>有时甚至超过了男子，在高等教育方面</w:t>
      </w:r>
      <w:r>
        <w:rPr>
          <w:rFonts w:ascii="SimSun" w:hAnsi="SimSun" w:hint="eastAsia"/>
        </w:rPr>
        <w:t>更是如此</w:t>
      </w:r>
      <w:r>
        <w:rPr>
          <w:rFonts w:ascii="SimSun" w:hAnsi="SimSun"/>
        </w:rPr>
        <w:t>。</w:t>
      </w:r>
      <w:r>
        <w:rPr>
          <w:rFonts w:ascii="SimSun" w:hAnsi="SimSun"/>
        </w:rPr>
        <w:t>1991</w:t>
      </w:r>
      <w:r>
        <w:rPr>
          <w:rFonts w:ascii="SimSun" w:hAnsi="SimSun"/>
        </w:rPr>
        <w:t>年人口普查</w:t>
      </w:r>
      <w:r>
        <w:rPr>
          <w:rFonts w:ascii="SimSun" w:hAnsi="SimSun" w:hint="eastAsia"/>
        </w:rPr>
        <w:t>表明</w:t>
      </w:r>
      <w:r>
        <w:rPr>
          <w:rFonts w:ascii="SimSun" w:hAnsi="SimSun"/>
        </w:rPr>
        <w:t>，在</w:t>
      </w:r>
      <w:r>
        <w:rPr>
          <w:rFonts w:ascii="SimSun" w:hAnsi="SimSun"/>
        </w:rPr>
        <w:t>35</w:t>
      </w:r>
      <w:r>
        <w:rPr>
          <w:rFonts w:ascii="SimSun" w:hAnsi="SimSun"/>
        </w:rPr>
        <w:t>至</w:t>
      </w:r>
      <w:r>
        <w:rPr>
          <w:rFonts w:ascii="SimSun" w:hAnsi="SimSun"/>
        </w:rPr>
        <w:t>39</w:t>
      </w:r>
      <w:r>
        <w:rPr>
          <w:rFonts w:ascii="SimSun" w:hAnsi="SimSun" w:hint="eastAsia"/>
        </w:rPr>
        <w:t>岁年龄组</w:t>
      </w:r>
      <w:r>
        <w:rPr>
          <w:rFonts w:ascii="SimSun" w:hAnsi="SimSun"/>
        </w:rPr>
        <w:t>的人口中，受过高等教育的妇女人数</w:t>
      </w:r>
      <w:r>
        <w:rPr>
          <w:rFonts w:ascii="SimSun" w:hAnsi="SimSun"/>
        </w:rPr>
        <w:t>(</w:t>
      </w:r>
      <w:r>
        <w:rPr>
          <w:rFonts w:ascii="SimSun" w:hAnsi="SimSun" w:hint="eastAsia"/>
        </w:rPr>
        <w:t>伏伊伏丁那</w:t>
      </w:r>
      <w:r>
        <w:rPr>
          <w:rFonts w:ascii="SimSun" w:hAnsi="SimSun"/>
        </w:rPr>
        <w:t>为</w:t>
      </w:r>
      <w:r>
        <w:t>10.9%</w:t>
      </w:r>
      <w:r>
        <w:t>，</w:t>
      </w:r>
      <w:r>
        <w:rPr>
          <w:rFonts w:ascii="SimSun" w:hAnsi="SimSun"/>
        </w:rPr>
        <w:t>塞尔维亚中部为</w:t>
      </w:r>
      <w:r>
        <w:t>13.1%</w:t>
      </w:r>
      <w:r>
        <w:rPr>
          <w:rFonts w:ascii="SimSun" w:hAnsi="SimSun"/>
        </w:rPr>
        <w:t>)</w:t>
      </w:r>
      <w:r>
        <w:rPr>
          <w:rFonts w:ascii="SimSun" w:hAnsi="SimSun"/>
        </w:rPr>
        <w:t>与受</w:t>
      </w:r>
      <w:r>
        <w:rPr>
          <w:rFonts w:ascii="SimSun" w:hAnsi="SimSun" w:hint="eastAsia"/>
        </w:rPr>
        <w:t>过高等</w:t>
      </w:r>
      <w:r>
        <w:rPr>
          <w:rFonts w:ascii="SimSun" w:hAnsi="SimSun"/>
        </w:rPr>
        <w:t>教育的男子人数</w:t>
      </w:r>
      <w:r>
        <w:rPr>
          <w:rFonts w:ascii="SimSun" w:hAnsi="SimSun"/>
        </w:rPr>
        <w:t>(</w:t>
      </w:r>
      <w:r>
        <w:rPr>
          <w:rFonts w:ascii="SimSun" w:hAnsi="SimSun" w:hint="eastAsia"/>
        </w:rPr>
        <w:t>伏伊伏丁那</w:t>
      </w:r>
      <w:r>
        <w:rPr>
          <w:rFonts w:ascii="SimSun" w:hAnsi="SimSun"/>
        </w:rPr>
        <w:t>为</w:t>
      </w:r>
      <w:r>
        <w:t>1</w:t>
      </w:r>
      <w:r>
        <w:rPr>
          <w:rFonts w:hint="eastAsia"/>
        </w:rPr>
        <w:t>1.</w:t>
      </w:r>
      <w:r>
        <w:t>4%</w:t>
      </w:r>
      <w:r>
        <w:t>，</w:t>
      </w:r>
      <w:r>
        <w:rPr>
          <w:rFonts w:ascii="SimSun" w:hAnsi="SimSun"/>
        </w:rPr>
        <w:t>塞尔维亚中部为</w:t>
      </w:r>
      <w:r>
        <w:t>14.4%)</w:t>
      </w:r>
      <w:r>
        <w:rPr>
          <w:rFonts w:ascii="SimSun" w:hAnsi="SimSun"/>
        </w:rPr>
        <w:t>大致相同。年轻的几代妇女已经领先。例如，在</w:t>
      </w:r>
      <w:r>
        <w:rPr>
          <w:rFonts w:ascii="SimSun" w:hAnsi="SimSun"/>
        </w:rPr>
        <w:t>30</w:t>
      </w:r>
      <w:r>
        <w:rPr>
          <w:rFonts w:ascii="SimSun" w:hAnsi="SimSun"/>
        </w:rPr>
        <w:t>至</w:t>
      </w:r>
      <w:r>
        <w:rPr>
          <w:rFonts w:ascii="SimSun" w:hAnsi="SimSun"/>
        </w:rPr>
        <w:t>34</w:t>
      </w:r>
      <w:r>
        <w:rPr>
          <w:rFonts w:ascii="SimSun" w:hAnsi="SimSun"/>
        </w:rPr>
        <w:t>岁年龄组的人口中，</w:t>
      </w:r>
      <w:r>
        <w:rPr>
          <w:rFonts w:ascii="SimSun" w:hAnsi="SimSun" w:hint="eastAsia"/>
        </w:rPr>
        <w:t>伏伊伏丁那</w:t>
      </w:r>
      <w:r>
        <w:rPr>
          <w:rFonts w:ascii="SimSun" w:hAnsi="SimSun"/>
        </w:rPr>
        <w:t>有</w:t>
      </w:r>
      <w:r>
        <w:rPr>
          <w:rFonts w:ascii="SimSun" w:hAnsi="SimSun"/>
        </w:rPr>
        <w:t>13.1%</w:t>
      </w:r>
      <w:r>
        <w:rPr>
          <w:rFonts w:ascii="SimSun" w:hAnsi="SimSun"/>
        </w:rPr>
        <w:t>的妇女、塞尔维亚中部有</w:t>
      </w:r>
      <w:r>
        <w:t>14.6%</w:t>
      </w:r>
      <w:r>
        <w:rPr>
          <w:rFonts w:ascii="SimSun" w:hAnsi="SimSun"/>
        </w:rPr>
        <w:t>的妇女从高中或大学毕业。在这一年龄组中，</w:t>
      </w:r>
      <w:r>
        <w:rPr>
          <w:rFonts w:ascii="SimSun" w:hAnsi="SimSun" w:hint="eastAsia"/>
        </w:rPr>
        <w:t>伏伊伏丁那</w:t>
      </w:r>
      <w:r>
        <w:rPr>
          <w:rFonts w:ascii="SimSun" w:hAnsi="SimSun"/>
        </w:rPr>
        <w:t>的妇女超过了男子，后者受过</w:t>
      </w:r>
      <w:r>
        <w:rPr>
          <w:rFonts w:ascii="SimSun" w:hAnsi="SimSun" w:hint="eastAsia"/>
        </w:rPr>
        <w:t>这类</w:t>
      </w:r>
      <w:r>
        <w:rPr>
          <w:rFonts w:ascii="SimSun" w:hAnsi="SimSun"/>
        </w:rPr>
        <w:t>教育的人为</w:t>
      </w:r>
      <w:r>
        <w:rPr>
          <w:rFonts w:hint="eastAsia"/>
        </w:rPr>
        <w:t>1</w:t>
      </w:r>
      <w:r>
        <w:t>1.9%</w:t>
      </w:r>
      <w:r>
        <w:t>，</w:t>
      </w:r>
      <w:r>
        <w:rPr>
          <w:rFonts w:hint="eastAsia"/>
        </w:rPr>
        <w:t>而</w:t>
      </w:r>
      <w:r>
        <w:rPr>
          <w:rFonts w:ascii="SimSun" w:hAnsi="SimSun" w:hint="eastAsia"/>
        </w:rPr>
        <w:t>在</w:t>
      </w:r>
      <w:r>
        <w:rPr>
          <w:rFonts w:ascii="SimSun" w:hAnsi="SimSun"/>
        </w:rPr>
        <w:t>塞尔维亚中部，这一部分妇女为</w:t>
      </w:r>
      <w:r>
        <w:t>14.7%</w:t>
      </w:r>
      <w:r>
        <w:rPr>
          <w:rFonts w:ascii="SimSun" w:hAnsi="SimSun"/>
        </w:rPr>
        <w:t>，</w:t>
      </w:r>
      <w:r>
        <w:rPr>
          <w:rFonts w:ascii="SimSun" w:hAnsi="SimSun" w:hint="eastAsia"/>
        </w:rPr>
        <w:t>与</w:t>
      </w:r>
      <w:r>
        <w:rPr>
          <w:rFonts w:ascii="SimSun" w:hAnsi="SimSun"/>
        </w:rPr>
        <w:t>男子大致相</w:t>
      </w:r>
      <w:r>
        <w:rPr>
          <w:rFonts w:ascii="SimSun" w:hAnsi="SimSun" w:hint="eastAsia"/>
        </w:rPr>
        <w:t>当</w:t>
      </w:r>
      <w:r>
        <w:rPr>
          <w:rFonts w:ascii="SimSun" w:hAnsi="SimSun"/>
        </w:rPr>
        <w:t>。在</w:t>
      </w:r>
      <w:r>
        <w:rPr>
          <w:rFonts w:ascii="SimSun" w:hAnsi="SimSun" w:hint="eastAsia"/>
        </w:rPr>
        <w:t>较年轻</w:t>
      </w:r>
      <w:r>
        <w:rPr>
          <w:rFonts w:ascii="SimSun" w:hAnsi="SimSun"/>
        </w:rPr>
        <w:t>年龄组的人口中，教育程度的差别</w:t>
      </w:r>
      <w:r>
        <w:rPr>
          <w:rFonts w:ascii="SimSun" w:hAnsi="SimSun" w:hint="eastAsia"/>
        </w:rPr>
        <w:t>一代与一代不同，而且</w:t>
      </w:r>
      <w:r>
        <w:rPr>
          <w:rFonts w:ascii="SimSun" w:hAnsi="SimSun"/>
        </w:rPr>
        <w:t>总是妇女高于男子。在</w:t>
      </w:r>
      <w:r>
        <w:rPr>
          <w:rFonts w:ascii="SimSun" w:hAnsi="SimSun"/>
        </w:rPr>
        <w:t>25</w:t>
      </w:r>
      <w:r>
        <w:rPr>
          <w:rFonts w:ascii="SimSun" w:hAnsi="SimSun"/>
        </w:rPr>
        <w:t>至</w:t>
      </w:r>
      <w:r>
        <w:rPr>
          <w:rFonts w:ascii="SimSun" w:hAnsi="SimSun"/>
        </w:rPr>
        <w:t>29</w:t>
      </w:r>
      <w:r>
        <w:rPr>
          <w:rFonts w:ascii="SimSun" w:hAnsi="SimSun"/>
        </w:rPr>
        <w:t>岁的妇女中，</w:t>
      </w:r>
      <w:r>
        <w:rPr>
          <w:rFonts w:ascii="SimSun" w:hAnsi="SimSun" w:hint="eastAsia"/>
        </w:rPr>
        <w:t>伏伊伏丁那</w:t>
      </w:r>
      <w:r>
        <w:rPr>
          <w:rFonts w:ascii="SimSun" w:hAnsi="SimSun"/>
        </w:rPr>
        <w:t>有</w:t>
      </w:r>
      <w:r>
        <w:t>12.8%</w:t>
      </w:r>
      <w:r>
        <w:rPr>
          <w:rFonts w:ascii="SimSun" w:hAnsi="SimSun"/>
        </w:rPr>
        <w:t>的妇女</w:t>
      </w:r>
      <w:r>
        <w:rPr>
          <w:rFonts w:ascii="SimSun" w:hAnsi="SimSun" w:hint="eastAsia"/>
        </w:rPr>
        <w:t>拥有</w:t>
      </w:r>
      <w:r>
        <w:rPr>
          <w:rFonts w:ascii="SimSun" w:hAnsi="SimSun"/>
        </w:rPr>
        <w:t>高中或大学文凭</w:t>
      </w:r>
      <w:r>
        <w:rPr>
          <w:rFonts w:ascii="SimSun" w:hAnsi="SimSun"/>
        </w:rPr>
        <w:t>(</w:t>
      </w:r>
      <w:r>
        <w:rPr>
          <w:rFonts w:ascii="SimSun" w:hAnsi="SimSun"/>
        </w:rPr>
        <w:t>男子为</w:t>
      </w:r>
      <w:r>
        <w:t>7.6%</w:t>
      </w:r>
      <w:r>
        <w:rPr>
          <w:rFonts w:hint="eastAsia"/>
        </w:rPr>
        <w:t>)</w:t>
      </w:r>
      <w:r>
        <w:rPr>
          <w:rFonts w:ascii="SimSun" w:hAnsi="SimSun"/>
        </w:rPr>
        <w:t>，塞尔维亚中部的这一比例为</w:t>
      </w:r>
      <w:r>
        <w:rPr>
          <w:rFonts w:ascii="SimSun" w:hAnsi="SimSun"/>
        </w:rPr>
        <w:t>1</w:t>
      </w:r>
      <w:r>
        <w:t>3.8</w:t>
      </w:r>
      <w:r>
        <w:rPr>
          <w:rFonts w:ascii="SimSun" w:hAnsi="SimSun"/>
        </w:rPr>
        <w:t>比</w:t>
      </w:r>
      <w:r>
        <w:t>10.0%</w:t>
      </w:r>
      <w:r>
        <w:t>，</w:t>
      </w:r>
      <w:r>
        <w:rPr>
          <w:rFonts w:ascii="SimSun" w:hAnsi="SimSun"/>
        </w:rPr>
        <w:t>妇女高于男子。</w:t>
      </w:r>
    </w:p>
    <w:p w:rsidR="00000000" w:rsidRDefault="00844A84" w:rsidP="00844A84">
      <w:pPr>
        <w:spacing w:line="324" w:lineRule="auto"/>
        <w:ind w:firstLineChars="200" w:firstLine="31680"/>
        <w:rPr>
          <w:rFonts w:hint="eastAsia"/>
        </w:rPr>
      </w:pPr>
      <w:r>
        <w:rPr>
          <w:rFonts w:hint="eastAsia"/>
        </w:rPr>
        <w:t xml:space="preserve">18.  </w:t>
      </w:r>
      <w:r>
        <w:rPr>
          <w:rFonts w:hint="eastAsia"/>
        </w:rPr>
        <w:t>与此同时，</w:t>
      </w:r>
      <w:r>
        <w:t>1990</w:t>
      </w:r>
      <w:r>
        <w:t>年代男女在高中或大学的入学率</w:t>
      </w:r>
      <w:r>
        <w:rPr>
          <w:rFonts w:hint="eastAsia"/>
        </w:rPr>
        <w:t>也是</w:t>
      </w:r>
      <w:r>
        <w:t>一代</w:t>
      </w:r>
      <w:r>
        <w:rPr>
          <w:rFonts w:hint="eastAsia"/>
        </w:rPr>
        <w:t>又一代地</w:t>
      </w:r>
      <w:r>
        <w:t>持续上升。</w:t>
      </w:r>
      <w:r>
        <w:t>1994/95</w:t>
      </w:r>
      <w:r>
        <w:rPr>
          <w:rFonts w:hint="eastAsia"/>
        </w:rPr>
        <w:t>学年</w:t>
      </w:r>
      <w:r>
        <w:t>，</w:t>
      </w:r>
      <w:r>
        <w:rPr>
          <w:rFonts w:hint="eastAsia"/>
        </w:rPr>
        <w:t>女性</w:t>
      </w:r>
      <w:r>
        <w:t>在</w:t>
      </w:r>
      <w:r>
        <w:rPr>
          <w:rFonts w:hint="eastAsia"/>
        </w:rPr>
        <w:t>高中</w:t>
      </w:r>
      <w:r>
        <w:t>和大学的入学率为</w:t>
      </w:r>
      <w:r>
        <w:t>3</w:t>
      </w:r>
      <w:r>
        <w:rPr>
          <w:rFonts w:hint="eastAsia"/>
        </w:rPr>
        <w:t>1</w:t>
      </w:r>
      <w:r>
        <w:t>%</w:t>
      </w:r>
      <w:r>
        <w:t>。</w:t>
      </w:r>
      <w:r>
        <w:t>19</w:t>
      </w:r>
      <w:r>
        <w:rPr>
          <w:rFonts w:hint="eastAsia"/>
        </w:rPr>
        <w:t>9</w:t>
      </w:r>
      <w:r>
        <w:t>8</w:t>
      </w:r>
      <w:r>
        <w:t>年，高中和大学毕业生</w:t>
      </w:r>
      <w:r>
        <w:rPr>
          <w:rFonts w:hint="eastAsia"/>
        </w:rPr>
        <w:t>中</w:t>
      </w:r>
      <w:r>
        <w:t>女</w:t>
      </w:r>
      <w:r>
        <w:rPr>
          <w:rFonts w:hint="eastAsia"/>
        </w:rPr>
        <w:t>性占</w:t>
      </w:r>
      <w:r>
        <w:t>60%</w:t>
      </w:r>
      <w:r>
        <w:t>，</w:t>
      </w:r>
      <w:r>
        <w:rPr>
          <w:rFonts w:hint="eastAsia"/>
        </w:rPr>
        <w:t>其中伏伊伏丁那</w:t>
      </w:r>
      <w:r>
        <w:t>为</w:t>
      </w:r>
      <w:r>
        <w:t>63.4%</w:t>
      </w:r>
      <w:r>
        <w:t>，塞尔维亚中部</w:t>
      </w:r>
      <w:r>
        <w:rPr>
          <w:rFonts w:hint="eastAsia"/>
        </w:rPr>
        <w:t>为</w:t>
      </w:r>
      <w:r>
        <w:t>58.4%</w:t>
      </w:r>
      <w:r>
        <w:t>。</w:t>
      </w:r>
      <w:r>
        <w:t>1999</w:t>
      </w:r>
      <w:r>
        <w:t>年，高中和大学女毕业生</w:t>
      </w:r>
      <w:r>
        <w:rPr>
          <w:rFonts w:hint="eastAsia"/>
        </w:rPr>
        <w:t>的比例为</w:t>
      </w:r>
      <w:r>
        <w:t>59%</w:t>
      </w:r>
      <w:r>
        <w:t>，</w:t>
      </w:r>
      <w:r>
        <w:t>2000</w:t>
      </w:r>
      <w:r>
        <w:t>年为</w:t>
      </w:r>
      <w:r>
        <w:t>58%</w:t>
      </w:r>
      <w:r>
        <w:t>。</w:t>
      </w:r>
      <w:r>
        <w:rPr>
          <w:rStyle w:val="EndnoteReference"/>
          <w:bCs/>
        </w:rPr>
        <w:endnoteReference w:id="1"/>
      </w:r>
    </w:p>
    <w:p w:rsidR="00000000" w:rsidRDefault="00844A84" w:rsidP="00844A84">
      <w:pPr>
        <w:spacing w:after="240" w:line="324" w:lineRule="auto"/>
        <w:ind w:firstLineChars="200" w:firstLine="31680"/>
        <w:rPr>
          <w:rFonts w:ascii="SimSun" w:hAnsi="SimSun" w:hint="eastAsia"/>
          <w:bCs/>
        </w:rPr>
      </w:pPr>
      <w:r>
        <w:rPr>
          <w:rFonts w:hint="eastAsia"/>
          <w:bCs/>
        </w:rPr>
        <w:t>19.</w:t>
      </w:r>
      <w:r>
        <w:rPr>
          <w:rFonts w:ascii="SimSun" w:hAnsi="SimSun" w:hint="eastAsia"/>
          <w:bCs/>
        </w:rPr>
        <w:t xml:space="preserve">  </w:t>
      </w:r>
      <w:r>
        <w:rPr>
          <w:rFonts w:ascii="SimSun" w:hAnsi="SimSun"/>
          <w:bCs/>
        </w:rPr>
        <w:t>1998</w:t>
      </w:r>
      <w:r>
        <w:rPr>
          <w:rFonts w:ascii="SimSun" w:hAnsi="SimSun"/>
          <w:bCs/>
        </w:rPr>
        <w:t>年，妇女占</w:t>
      </w:r>
      <w:r>
        <w:rPr>
          <w:rFonts w:ascii="SimSun" w:hAnsi="SimSun"/>
        </w:rPr>
        <w:t>专科学校</w:t>
      </w:r>
      <w:r>
        <w:rPr>
          <w:rFonts w:ascii="SimSun" w:hAnsi="SimSun"/>
          <w:bCs/>
        </w:rPr>
        <w:t>学</w:t>
      </w:r>
      <w:r>
        <w:rPr>
          <w:rFonts w:ascii="SimSun" w:hAnsi="SimSun"/>
          <w:bCs/>
        </w:rPr>
        <w:t>生</w:t>
      </w:r>
      <w:r>
        <w:rPr>
          <w:rFonts w:ascii="SimSun" w:hAnsi="SimSun" w:hint="eastAsia"/>
          <w:bCs/>
        </w:rPr>
        <w:t>的</w:t>
      </w:r>
      <w:r>
        <w:rPr>
          <w:bCs/>
        </w:rPr>
        <w:t>61%</w:t>
      </w:r>
      <w:r>
        <w:rPr>
          <w:bCs/>
        </w:rPr>
        <w:t>。</w:t>
      </w:r>
      <w:r>
        <w:rPr>
          <w:bCs/>
        </w:rPr>
        <w:t>1999</w:t>
      </w:r>
      <w:r>
        <w:rPr>
          <w:bCs/>
        </w:rPr>
        <w:t>年为</w:t>
      </w:r>
      <w:r>
        <w:rPr>
          <w:bCs/>
        </w:rPr>
        <w:t>63%</w:t>
      </w:r>
      <w:r>
        <w:rPr>
          <w:bCs/>
        </w:rPr>
        <w:t>，</w:t>
      </w:r>
      <w:r>
        <w:rPr>
          <w:bCs/>
        </w:rPr>
        <w:t>2000</w:t>
      </w:r>
      <w:r>
        <w:rPr>
          <w:bCs/>
        </w:rPr>
        <w:t>年为</w:t>
      </w:r>
      <w:r>
        <w:rPr>
          <w:bCs/>
        </w:rPr>
        <w:t>60%</w:t>
      </w:r>
      <w:r>
        <w:rPr>
          <w:bCs/>
        </w:rPr>
        <w:t>。</w:t>
      </w:r>
      <w:r>
        <w:rPr>
          <w:bCs/>
        </w:rPr>
        <w:t>1998</w:t>
      </w:r>
      <w:r>
        <w:rPr>
          <w:bCs/>
        </w:rPr>
        <w:t>年，妇女占攻读硕士学位学生的</w:t>
      </w:r>
      <w:r>
        <w:rPr>
          <w:bCs/>
        </w:rPr>
        <w:t>45%</w:t>
      </w:r>
      <w:r>
        <w:rPr>
          <w:rFonts w:hint="eastAsia"/>
          <w:bCs/>
        </w:rPr>
        <w:t>，</w:t>
      </w:r>
      <w:r>
        <w:rPr>
          <w:bCs/>
        </w:rPr>
        <w:t>1999</w:t>
      </w:r>
      <w:r>
        <w:rPr>
          <w:bCs/>
        </w:rPr>
        <w:t>年为</w:t>
      </w:r>
      <w:r>
        <w:rPr>
          <w:bCs/>
        </w:rPr>
        <w:t>47%</w:t>
      </w:r>
      <w:r>
        <w:rPr>
          <w:bCs/>
        </w:rPr>
        <w:t>，</w:t>
      </w:r>
      <w:r>
        <w:rPr>
          <w:bCs/>
        </w:rPr>
        <w:t>2000</w:t>
      </w:r>
      <w:r>
        <w:rPr>
          <w:bCs/>
        </w:rPr>
        <w:t>年为</w:t>
      </w:r>
      <w:r>
        <w:rPr>
          <w:bCs/>
        </w:rPr>
        <w:t>47%</w:t>
      </w:r>
      <w:r>
        <w:rPr>
          <w:bCs/>
        </w:rPr>
        <w:t>，而攻读博士学位的女学生在上述年份分别为</w:t>
      </w:r>
      <w:r>
        <w:rPr>
          <w:bCs/>
        </w:rPr>
        <w:t>37%</w:t>
      </w:r>
      <w:r>
        <w:rPr>
          <w:bCs/>
        </w:rPr>
        <w:t>、</w:t>
      </w:r>
      <w:r>
        <w:rPr>
          <w:bCs/>
        </w:rPr>
        <w:t>40%</w:t>
      </w:r>
      <w:r>
        <w:rPr>
          <w:bCs/>
        </w:rPr>
        <w:t>和</w:t>
      </w:r>
      <w:r>
        <w:rPr>
          <w:bCs/>
        </w:rPr>
        <w:t>58%</w:t>
      </w:r>
      <w:r>
        <w:rPr>
          <w:bCs/>
        </w:rPr>
        <w:t>。</w:t>
      </w:r>
      <w:r>
        <w:rPr>
          <w:rStyle w:val="EndnoteReference"/>
          <w:bCs/>
        </w:rPr>
        <w:endnoteReference w:id="2"/>
      </w:r>
    </w:p>
    <w:p w:rsidR="00000000" w:rsidRDefault="00844A84" w:rsidP="00844A84">
      <w:pPr>
        <w:pStyle w:val="Heading4"/>
        <w:spacing w:after="160"/>
        <w:ind w:leftChars="196" w:left="31680"/>
        <w:rPr>
          <w:rFonts w:ascii="SimSun" w:hAnsi="SimSun" w:hint="eastAsia"/>
          <w:bCs/>
        </w:rPr>
      </w:pPr>
      <w:r>
        <w:rPr>
          <w:rFonts w:hint="eastAsia"/>
        </w:rPr>
        <w:t>劳工市场和决策机构中的妇女</w:t>
      </w:r>
    </w:p>
    <w:p w:rsidR="00000000" w:rsidRDefault="00844A84" w:rsidP="00844A84">
      <w:pPr>
        <w:ind w:firstLineChars="200" w:firstLine="31680"/>
        <w:rPr>
          <w:rFonts w:ascii="SimSun" w:hAnsi="SimSun" w:hint="eastAsia"/>
          <w:bCs/>
        </w:rPr>
      </w:pPr>
      <w:r>
        <w:rPr>
          <w:bCs/>
        </w:rPr>
        <w:t>20.</w:t>
      </w:r>
      <w:r>
        <w:rPr>
          <w:rFonts w:ascii="SimSun" w:hAnsi="SimSun" w:hint="eastAsia"/>
          <w:bCs/>
        </w:rPr>
        <w:t xml:space="preserve">  </w:t>
      </w:r>
      <w:r>
        <w:rPr>
          <w:rFonts w:ascii="SimSun" w:hAnsi="SimSun" w:hint="eastAsia"/>
          <w:bCs/>
        </w:rPr>
        <w:t>多种</w:t>
      </w:r>
      <w:r>
        <w:rPr>
          <w:rFonts w:ascii="SimSun" w:hAnsi="SimSun"/>
          <w:bCs/>
        </w:rPr>
        <w:t>指标</w:t>
      </w:r>
      <w:r>
        <w:rPr>
          <w:rFonts w:ascii="SimSun" w:hAnsi="SimSun" w:hint="eastAsia"/>
          <w:bCs/>
        </w:rPr>
        <w:t>表明</w:t>
      </w:r>
      <w:r>
        <w:rPr>
          <w:rFonts w:ascii="SimSun" w:hAnsi="SimSun"/>
          <w:bCs/>
        </w:rPr>
        <w:t>，妇女在劳工市场也</w:t>
      </w:r>
      <w:r>
        <w:rPr>
          <w:rFonts w:ascii="SimSun" w:hAnsi="SimSun" w:hint="eastAsia"/>
          <w:bCs/>
        </w:rPr>
        <w:t>未</w:t>
      </w:r>
      <w:r>
        <w:rPr>
          <w:rFonts w:ascii="SimSun" w:hAnsi="SimSun"/>
          <w:bCs/>
        </w:rPr>
        <w:t>获得与男子平等的待遇。劳工市场</w:t>
      </w:r>
      <w:r>
        <w:rPr>
          <w:rFonts w:ascii="SimSun" w:hAnsi="SimSun" w:hint="eastAsia"/>
          <w:bCs/>
        </w:rPr>
        <w:t>的失业</w:t>
      </w:r>
      <w:r>
        <w:rPr>
          <w:rFonts w:ascii="SimSun" w:hAnsi="SimSun"/>
          <w:bCs/>
        </w:rPr>
        <w:t>人口大</w:t>
      </w:r>
      <w:r>
        <w:rPr>
          <w:rFonts w:ascii="SimSun" w:hAnsi="SimSun" w:hint="eastAsia"/>
          <w:bCs/>
        </w:rPr>
        <w:t>多为</w:t>
      </w:r>
      <w:r>
        <w:rPr>
          <w:rFonts w:ascii="SimSun" w:hAnsi="SimSun"/>
          <w:bCs/>
        </w:rPr>
        <w:t>妇女，</w:t>
      </w:r>
      <w:r>
        <w:rPr>
          <w:rFonts w:ascii="SimSun" w:hAnsi="SimSun" w:hint="eastAsia"/>
          <w:bCs/>
        </w:rPr>
        <w:t>其失业率</w:t>
      </w:r>
      <w:r>
        <w:rPr>
          <w:rFonts w:ascii="SimSun" w:hAnsi="SimSun"/>
          <w:bCs/>
        </w:rPr>
        <w:t>大幅高于</w:t>
      </w:r>
      <w:r>
        <w:rPr>
          <w:rFonts w:ascii="SimSun" w:hAnsi="SimSun" w:hint="eastAsia"/>
          <w:bCs/>
        </w:rPr>
        <w:t>她们在</w:t>
      </w:r>
      <w:r>
        <w:rPr>
          <w:rFonts w:ascii="SimSun" w:hAnsi="SimSun"/>
          <w:bCs/>
        </w:rPr>
        <w:t>成年人口</w:t>
      </w:r>
      <w:r>
        <w:rPr>
          <w:rFonts w:ascii="SimSun" w:hAnsi="SimSun" w:hint="eastAsia"/>
          <w:bCs/>
        </w:rPr>
        <w:t>中所占的比率</w:t>
      </w:r>
      <w:r>
        <w:rPr>
          <w:rFonts w:ascii="SimSun" w:hAnsi="SimSun"/>
          <w:bCs/>
        </w:rPr>
        <w:t>。</w:t>
      </w:r>
    </w:p>
    <w:p w:rsidR="00000000" w:rsidRDefault="00844A84" w:rsidP="00844A84">
      <w:pPr>
        <w:spacing w:after="320"/>
        <w:ind w:firstLineChars="200" w:firstLine="31680"/>
        <w:rPr>
          <w:rFonts w:ascii="SimSun" w:hAnsi="SimSun" w:hint="eastAsia"/>
          <w:bCs/>
        </w:rPr>
      </w:pPr>
      <w:r>
        <w:rPr>
          <w:bCs/>
        </w:rPr>
        <w:t>21.</w:t>
      </w:r>
      <w:r>
        <w:rPr>
          <w:rFonts w:ascii="SimSun" w:hAnsi="SimSun" w:hint="eastAsia"/>
          <w:bCs/>
        </w:rPr>
        <w:t xml:space="preserve">  </w:t>
      </w:r>
      <w:r>
        <w:rPr>
          <w:rFonts w:ascii="SimSun" w:hAnsi="SimSun"/>
          <w:bCs/>
        </w:rPr>
        <w:t>妇女担任管理职位的比</w:t>
      </w:r>
      <w:r>
        <w:rPr>
          <w:rFonts w:ascii="SimSun" w:hAnsi="SimSun" w:hint="eastAsia"/>
          <w:bCs/>
        </w:rPr>
        <w:t>率</w:t>
      </w:r>
      <w:r>
        <w:rPr>
          <w:rFonts w:ascii="SimSun" w:hAnsi="SimSun"/>
          <w:bCs/>
        </w:rPr>
        <w:t>远远低于男子，即使在女雇员</w:t>
      </w:r>
      <w:r>
        <w:rPr>
          <w:rFonts w:ascii="SimSun" w:hAnsi="SimSun" w:hint="eastAsia"/>
          <w:bCs/>
        </w:rPr>
        <w:t>约占其</w:t>
      </w:r>
      <w:r>
        <w:rPr>
          <w:bCs/>
        </w:rPr>
        <w:t>70%</w:t>
      </w:r>
      <w:r>
        <w:rPr>
          <w:rFonts w:ascii="SimSun" w:hAnsi="SimSun"/>
          <w:bCs/>
        </w:rPr>
        <w:t>的职业中也是如此。</w:t>
      </w:r>
    </w:p>
    <w:p w:rsidR="00000000" w:rsidRDefault="00844A84">
      <w:pPr>
        <w:pStyle w:val="Heading3"/>
        <w:spacing w:after="240"/>
        <w:rPr>
          <w:rFonts w:hint="eastAsia"/>
        </w:rPr>
      </w:pPr>
      <w:r>
        <w:rPr>
          <w:rFonts w:hint="eastAsia"/>
        </w:rPr>
        <w:t>第</w:t>
      </w:r>
      <w:r>
        <w:rPr>
          <w:rFonts w:hint="eastAsia"/>
        </w:rPr>
        <w:t xml:space="preserve"> </w:t>
      </w:r>
      <w:r>
        <w:rPr>
          <w:rFonts w:hint="eastAsia"/>
        </w:rPr>
        <w:t>四</w:t>
      </w:r>
      <w:r>
        <w:rPr>
          <w:rFonts w:hint="eastAsia"/>
        </w:rPr>
        <w:t xml:space="preserve"> </w:t>
      </w:r>
      <w:r>
        <w:rPr>
          <w:rFonts w:hint="eastAsia"/>
        </w:rPr>
        <w:t>条</w:t>
      </w:r>
    </w:p>
    <w:p w:rsidR="00000000" w:rsidRDefault="00844A84">
      <w:pPr>
        <w:pStyle w:val="Heading4"/>
        <w:spacing w:after="160"/>
        <w:rPr>
          <w:rFonts w:hint="eastAsia"/>
        </w:rPr>
      </w:pPr>
      <w:r>
        <w:rPr>
          <w:rFonts w:hint="eastAsia"/>
        </w:rPr>
        <w:t>对《公约》规定的权利和自由的限制</w:t>
      </w:r>
    </w:p>
    <w:p w:rsidR="00000000" w:rsidRDefault="00844A84" w:rsidP="00844A84">
      <w:pPr>
        <w:ind w:firstLineChars="200" w:firstLine="31680"/>
        <w:rPr>
          <w:rFonts w:ascii="SimSun" w:hAnsi="SimSun" w:hint="eastAsia"/>
          <w:bCs/>
        </w:rPr>
      </w:pPr>
      <w:r>
        <w:rPr>
          <w:bCs/>
        </w:rPr>
        <w:t>22.</w:t>
      </w:r>
      <w:r>
        <w:rPr>
          <w:rFonts w:ascii="SimSun" w:hAnsi="SimSun" w:hint="eastAsia"/>
          <w:bCs/>
        </w:rPr>
        <w:t xml:space="preserve">  </w:t>
      </w:r>
      <w:r>
        <w:rPr>
          <w:rFonts w:ascii="SimSun" w:hAnsi="SimSun"/>
          <w:bCs/>
        </w:rPr>
        <w:t>《南斯拉夫联盟共和国宪法》规定可</w:t>
      </w:r>
      <w:r>
        <w:rPr>
          <w:rFonts w:ascii="SimSun" w:hAnsi="SimSun" w:hint="eastAsia"/>
          <w:bCs/>
        </w:rPr>
        <w:t>行使人权</w:t>
      </w:r>
      <w:r>
        <w:rPr>
          <w:rFonts w:ascii="SimSun" w:hAnsi="SimSun"/>
          <w:bCs/>
        </w:rPr>
        <w:t>和公民权利</w:t>
      </w:r>
      <w:r>
        <w:rPr>
          <w:rFonts w:ascii="SimSun" w:hAnsi="SimSun" w:hint="eastAsia"/>
          <w:bCs/>
        </w:rPr>
        <w:t>，</w:t>
      </w:r>
      <w:r>
        <w:rPr>
          <w:rFonts w:ascii="SimSun" w:hAnsi="SimSun"/>
          <w:bCs/>
        </w:rPr>
        <w:t>并</w:t>
      </w:r>
      <w:r>
        <w:rPr>
          <w:rFonts w:ascii="SimSun" w:hAnsi="SimSun" w:hint="eastAsia"/>
          <w:bCs/>
        </w:rPr>
        <w:t xml:space="preserve"> </w:t>
      </w:r>
      <w:r>
        <w:rPr>
          <w:rFonts w:ascii="SimSun" w:hAnsi="SimSun"/>
          <w:bCs/>
        </w:rPr>
        <w:t>履行《宪法》</w:t>
      </w:r>
      <w:r>
        <w:rPr>
          <w:rFonts w:ascii="SimSun" w:hAnsi="SimSun" w:hint="eastAsia"/>
          <w:bCs/>
        </w:rPr>
        <w:t>规定的</w:t>
      </w:r>
      <w:r>
        <w:rPr>
          <w:rFonts w:ascii="SimSun" w:hAnsi="SimSun"/>
          <w:bCs/>
        </w:rPr>
        <w:t>义务</w:t>
      </w:r>
      <w:r>
        <w:rPr>
          <w:rFonts w:ascii="SimSun" w:hAnsi="SimSun"/>
          <w:bCs/>
        </w:rPr>
        <w:t>(</w:t>
      </w:r>
      <w:r>
        <w:rPr>
          <w:rFonts w:ascii="SimSun" w:hAnsi="SimSun"/>
          <w:bCs/>
        </w:rPr>
        <w:t>第</w:t>
      </w:r>
      <w:r>
        <w:rPr>
          <w:bCs/>
        </w:rPr>
        <w:t>67</w:t>
      </w:r>
      <w:r>
        <w:rPr>
          <w:rFonts w:ascii="SimSun" w:hAnsi="SimSun"/>
          <w:bCs/>
        </w:rPr>
        <w:t>条第</w:t>
      </w:r>
      <w:r>
        <w:rPr>
          <w:bCs/>
        </w:rPr>
        <w:t>1</w:t>
      </w:r>
      <w:r>
        <w:rPr>
          <w:rFonts w:ascii="SimSun" w:hAnsi="SimSun"/>
          <w:bCs/>
        </w:rPr>
        <w:t>款</w:t>
      </w:r>
      <w:r>
        <w:rPr>
          <w:rFonts w:ascii="SimSun" w:hAnsi="SimSun" w:hint="eastAsia"/>
          <w:bCs/>
        </w:rPr>
        <w:t>)</w:t>
      </w:r>
      <w:r>
        <w:rPr>
          <w:rFonts w:ascii="SimSun" w:hAnsi="SimSun" w:hint="eastAsia"/>
          <w:bCs/>
        </w:rPr>
        <w:t>。行使各种人权和公民权利及自由的方式，得按《宪法》规定或在必须实施时由法律予以说明</w:t>
      </w:r>
      <w:r>
        <w:rPr>
          <w:rFonts w:ascii="SimSun" w:hAnsi="SimSun" w:hint="eastAsia"/>
          <w:bCs/>
        </w:rPr>
        <w:t>(</w:t>
      </w:r>
      <w:r>
        <w:rPr>
          <w:rFonts w:ascii="SimSun" w:hAnsi="SimSun" w:hint="eastAsia"/>
          <w:bCs/>
        </w:rPr>
        <w:t>第</w:t>
      </w:r>
      <w:r>
        <w:rPr>
          <w:bCs/>
        </w:rPr>
        <w:t>67</w:t>
      </w:r>
      <w:r>
        <w:rPr>
          <w:rFonts w:ascii="SimSun" w:hAnsi="SimSun"/>
          <w:bCs/>
        </w:rPr>
        <w:t>条</w:t>
      </w:r>
      <w:r>
        <w:rPr>
          <w:rFonts w:ascii="SimSun" w:hAnsi="SimSun"/>
          <w:bCs/>
        </w:rPr>
        <w:t>)</w:t>
      </w:r>
      <w:r>
        <w:rPr>
          <w:rFonts w:ascii="SimSun" w:hAnsi="SimSun" w:hint="eastAsia"/>
          <w:bCs/>
        </w:rPr>
        <w:t>。</w:t>
      </w:r>
    </w:p>
    <w:p w:rsidR="00000000" w:rsidRDefault="00844A84" w:rsidP="00844A84">
      <w:pPr>
        <w:ind w:firstLineChars="200" w:firstLine="31680"/>
        <w:rPr>
          <w:rFonts w:ascii="SimSun" w:hAnsi="SimSun" w:hint="eastAsia"/>
          <w:bCs/>
        </w:rPr>
      </w:pPr>
      <w:r>
        <w:rPr>
          <w:bCs/>
        </w:rPr>
        <w:t>23.</w:t>
      </w:r>
      <w:r>
        <w:rPr>
          <w:rFonts w:ascii="SimSun" w:hAnsi="SimSun" w:hint="eastAsia"/>
          <w:bCs/>
        </w:rPr>
        <w:t xml:space="preserve">  </w:t>
      </w:r>
      <w:r>
        <w:rPr>
          <w:rFonts w:ascii="SimSun" w:hAnsi="SimSun" w:hint="eastAsia"/>
          <w:bCs/>
        </w:rPr>
        <w:t>与《</w:t>
      </w:r>
      <w:r>
        <w:rPr>
          <w:rFonts w:ascii="SimSun" w:hAnsi="SimSun"/>
          <w:bCs/>
        </w:rPr>
        <w:t>南斯拉夫联盟共和国宪法</w:t>
      </w:r>
      <w:r>
        <w:rPr>
          <w:rFonts w:ascii="SimSun" w:hAnsi="SimSun" w:hint="eastAsia"/>
          <w:bCs/>
        </w:rPr>
        <w:t>》</w:t>
      </w:r>
      <w:r>
        <w:rPr>
          <w:rFonts w:ascii="SimSun" w:hAnsi="SimSun"/>
          <w:bCs/>
        </w:rPr>
        <w:t>条款相比，《塞尔维亚和黑山共同国家人权和少数群体权利及公民自由宪章》对《公约》承认的权利和自由作出了更大程度的保障，</w:t>
      </w:r>
      <w:r>
        <w:rPr>
          <w:rFonts w:ascii="SimSun" w:hAnsi="SimSun" w:hint="eastAsia"/>
          <w:bCs/>
        </w:rPr>
        <w:t>并在这方面</w:t>
      </w:r>
      <w:r>
        <w:rPr>
          <w:rFonts w:ascii="SimSun" w:hAnsi="SimSun"/>
          <w:bCs/>
        </w:rPr>
        <w:t>规定</w:t>
      </w:r>
      <w:r>
        <w:rPr>
          <w:rFonts w:ascii="SimSun" w:hAnsi="SimSun" w:hint="eastAsia"/>
          <w:bCs/>
        </w:rPr>
        <w:t>，</w:t>
      </w:r>
      <w:r>
        <w:rPr>
          <w:rFonts w:ascii="SimSun" w:hAnsi="SimSun"/>
          <w:bCs/>
        </w:rPr>
        <w:t>可按</w:t>
      </w:r>
      <w:r>
        <w:rPr>
          <w:rFonts w:ascii="SimSun" w:hAnsi="SimSun" w:hint="eastAsia"/>
          <w:bCs/>
        </w:rPr>
        <w:t>照</w:t>
      </w:r>
      <w:r>
        <w:rPr>
          <w:rFonts w:ascii="SimSun" w:hAnsi="SimSun"/>
          <w:bCs/>
        </w:rPr>
        <w:t>《塞尔维亚和黑山共同国家宪法宪章》直接享有得到保障的人权和少数群体权利。两个成员国的《宪法》、法律和政策对这些权利</w:t>
      </w:r>
      <w:r>
        <w:rPr>
          <w:rFonts w:ascii="SimSun" w:hAnsi="SimSun" w:hint="eastAsia"/>
          <w:bCs/>
        </w:rPr>
        <w:t>作出了具体的</w:t>
      </w:r>
      <w:r>
        <w:rPr>
          <w:rFonts w:ascii="SimSun" w:hAnsi="SimSun"/>
          <w:bCs/>
        </w:rPr>
        <w:t>规定、</w:t>
      </w:r>
      <w:r>
        <w:rPr>
          <w:rFonts w:ascii="SimSun" w:hAnsi="SimSun" w:hint="eastAsia"/>
          <w:bCs/>
        </w:rPr>
        <w:t>保障</w:t>
      </w:r>
      <w:r>
        <w:rPr>
          <w:rFonts w:ascii="SimSun" w:hAnsi="SimSun"/>
          <w:bCs/>
        </w:rPr>
        <w:t>和</w:t>
      </w:r>
      <w:r>
        <w:rPr>
          <w:rFonts w:ascii="SimSun" w:hAnsi="SimSun"/>
          <w:bCs/>
        </w:rPr>
        <w:t>保护</w:t>
      </w:r>
      <w:r>
        <w:rPr>
          <w:rFonts w:ascii="SimSun" w:hAnsi="SimSun"/>
          <w:bCs/>
        </w:rPr>
        <w:t>(</w:t>
      </w:r>
      <w:r>
        <w:rPr>
          <w:rFonts w:ascii="SimSun" w:hAnsi="SimSun"/>
          <w:bCs/>
        </w:rPr>
        <w:t>第</w:t>
      </w:r>
      <w:r>
        <w:rPr>
          <w:rFonts w:ascii="SimSun" w:hAnsi="SimSun"/>
          <w:bCs/>
        </w:rPr>
        <w:t>2</w:t>
      </w:r>
      <w:r>
        <w:rPr>
          <w:rFonts w:ascii="SimSun" w:hAnsi="SimSun"/>
          <w:bCs/>
        </w:rPr>
        <w:t>条</w:t>
      </w:r>
      <w:r>
        <w:rPr>
          <w:rFonts w:ascii="SimSun" w:hAnsi="SimSun"/>
          <w:bCs/>
        </w:rPr>
        <w:t>)</w:t>
      </w:r>
      <w:r>
        <w:rPr>
          <w:rFonts w:ascii="SimSun" w:hAnsi="SimSun"/>
          <w:bCs/>
        </w:rPr>
        <w:t>。同样</w:t>
      </w:r>
      <w:r>
        <w:rPr>
          <w:rFonts w:ascii="SimSun" w:hAnsi="SimSun" w:hint="eastAsia"/>
          <w:bCs/>
        </w:rPr>
        <w:t>，还</w:t>
      </w:r>
      <w:r>
        <w:rPr>
          <w:rFonts w:ascii="SimSun" w:hAnsi="SimSun"/>
          <w:bCs/>
        </w:rPr>
        <w:t>按照</w:t>
      </w:r>
      <w:r>
        <w:rPr>
          <w:rFonts w:ascii="SimSun" w:hAnsi="SimSun" w:hint="eastAsia"/>
          <w:bCs/>
        </w:rPr>
        <w:t>已</w:t>
      </w:r>
      <w:r>
        <w:rPr>
          <w:rFonts w:ascii="SimSun" w:hAnsi="SimSun"/>
          <w:bCs/>
        </w:rPr>
        <w:t>生效的</w:t>
      </w:r>
      <w:r>
        <w:rPr>
          <w:rFonts w:ascii="SimSun" w:hAnsi="SimSun" w:hint="eastAsia"/>
          <w:bCs/>
        </w:rPr>
        <w:t>对</w:t>
      </w:r>
      <w:r>
        <w:rPr>
          <w:rFonts w:ascii="SimSun" w:hAnsi="SimSun"/>
          <w:bCs/>
        </w:rPr>
        <w:t>国际人权和少数群体权利</w:t>
      </w:r>
      <w:r>
        <w:rPr>
          <w:rFonts w:ascii="SimSun" w:hAnsi="SimSun" w:hint="eastAsia"/>
          <w:bCs/>
        </w:rPr>
        <w:t>的</w:t>
      </w:r>
      <w:r>
        <w:rPr>
          <w:rFonts w:ascii="SimSun" w:hAnsi="SimSun"/>
          <w:bCs/>
        </w:rPr>
        <w:t>保障</w:t>
      </w:r>
      <w:r>
        <w:rPr>
          <w:rFonts w:ascii="SimSun" w:hAnsi="SimSun" w:hint="eastAsia"/>
          <w:bCs/>
        </w:rPr>
        <w:t>办法</w:t>
      </w:r>
      <w:r>
        <w:rPr>
          <w:rFonts w:ascii="SimSun" w:hAnsi="SimSun"/>
          <w:bCs/>
        </w:rPr>
        <w:t>，并</w:t>
      </w:r>
      <w:r>
        <w:rPr>
          <w:rFonts w:ascii="SimSun" w:hAnsi="SimSun" w:hint="eastAsia"/>
          <w:bCs/>
        </w:rPr>
        <w:t>依据监测</w:t>
      </w:r>
      <w:r>
        <w:rPr>
          <w:rFonts w:ascii="SimSun" w:hAnsi="SimSun"/>
          <w:bCs/>
        </w:rPr>
        <w:t>执行情况的国际机构</w:t>
      </w:r>
      <w:r>
        <w:rPr>
          <w:rFonts w:ascii="SimSun" w:hAnsi="SimSun" w:hint="eastAsia"/>
          <w:bCs/>
        </w:rPr>
        <w:t>惯例，对公认</w:t>
      </w:r>
      <w:r>
        <w:rPr>
          <w:rFonts w:ascii="SimSun" w:hAnsi="SimSun"/>
          <w:bCs/>
        </w:rPr>
        <w:t>的国际法</w:t>
      </w:r>
      <w:r>
        <w:rPr>
          <w:rFonts w:ascii="SimSun" w:hAnsi="SimSun" w:hint="eastAsia"/>
          <w:bCs/>
        </w:rPr>
        <w:t>规则</w:t>
      </w:r>
      <w:r>
        <w:rPr>
          <w:rFonts w:ascii="SimSun" w:hAnsi="SimSun"/>
          <w:bCs/>
        </w:rPr>
        <w:t>及在共同国家</w:t>
      </w:r>
      <w:r>
        <w:rPr>
          <w:rFonts w:ascii="SimSun" w:hAnsi="SimSun" w:hint="eastAsia"/>
          <w:bCs/>
        </w:rPr>
        <w:t>实施</w:t>
      </w:r>
      <w:r>
        <w:rPr>
          <w:rFonts w:ascii="SimSun" w:hAnsi="SimSun"/>
          <w:bCs/>
        </w:rPr>
        <w:t>的国际条约所保障的各项权利进行</w:t>
      </w:r>
      <w:r>
        <w:rPr>
          <w:rFonts w:ascii="SimSun" w:hAnsi="SimSun" w:hint="eastAsia"/>
          <w:bCs/>
        </w:rPr>
        <w:t>了</w:t>
      </w:r>
      <w:r>
        <w:rPr>
          <w:rFonts w:ascii="SimSun" w:hAnsi="SimSun"/>
          <w:bCs/>
        </w:rPr>
        <w:t>解释，</w:t>
      </w:r>
      <w:r>
        <w:rPr>
          <w:rFonts w:ascii="SimSun" w:hAnsi="SimSun" w:hint="eastAsia"/>
          <w:bCs/>
        </w:rPr>
        <w:t>以此增强</w:t>
      </w:r>
      <w:r>
        <w:rPr>
          <w:rFonts w:ascii="SimSun" w:hAnsi="SimSun"/>
          <w:bCs/>
        </w:rPr>
        <w:t>开放</w:t>
      </w:r>
      <w:r>
        <w:rPr>
          <w:rFonts w:ascii="SimSun" w:hAnsi="SimSun" w:hint="eastAsia"/>
          <w:bCs/>
        </w:rPr>
        <w:t>的</w:t>
      </w:r>
      <w:r>
        <w:rPr>
          <w:rFonts w:ascii="SimSun" w:hAnsi="SimSun"/>
          <w:bCs/>
        </w:rPr>
        <w:t>民主社会的价值</w:t>
      </w:r>
      <w:r>
        <w:rPr>
          <w:rFonts w:ascii="SimSun" w:hAnsi="SimSun"/>
          <w:bCs/>
        </w:rPr>
        <w:t>(</w:t>
      </w:r>
      <w:r>
        <w:rPr>
          <w:rFonts w:ascii="SimSun" w:hAnsi="SimSun"/>
          <w:bCs/>
        </w:rPr>
        <w:t>第</w:t>
      </w:r>
      <w:r>
        <w:rPr>
          <w:rFonts w:ascii="SimSun" w:hAnsi="SimSun"/>
          <w:bCs/>
        </w:rPr>
        <w:t>10</w:t>
      </w:r>
      <w:r>
        <w:rPr>
          <w:rFonts w:ascii="SimSun" w:hAnsi="SimSun"/>
          <w:bCs/>
        </w:rPr>
        <w:t>条</w:t>
      </w:r>
      <w:r>
        <w:rPr>
          <w:rFonts w:ascii="SimSun" w:hAnsi="SimSun"/>
          <w:bCs/>
        </w:rPr>
        <w:t>)</w:t>
      </w:r>
      <w:r>
        <w:rPr>
          <w:rFonts w:ascii="SimSun" w:hAnsi="SimSun"/>
          <w:bCs/>
        </w:rPr>
        <w:t>。</w:t>
      </w:r>
    </w:p>
    <w:p w:rsidR="00000000" w:rsidRDefault="00844A84" w:rsidP="00844A84">
      <w:pPr>
        <w:spacing w:after="240"/>
        <w:ind w:firstLineChars="200" w:firstLine="31680"/>
        <w:rPr>
          <w:rFonts w:ascii="SimSun" w:hAnsi="SimSun" w:hint="eastAsia"/>
          <w:bCs/>
        </w:rPr>
      </w:pPr>
      <w:r>
        <w:rPr>
          <w:bCs/>
        </w:rPr>
        <w:t>24.</w:t>
      </w:r>
      <w:r>
        <w:rPr>
          <w:rFonts w:ascii="SimSun" w:hAnsi="SimSun" w:hint="eastAsia"/>
          <w:bCs/>
        </w:rPr>
        <w:t xml:space="preserve">  </w:t>
      </w:r>
      <w:r>
        <w:rPr>
          <w:rFonts w:ascii="SimSun" w:hAnsi="SimSun" w:hint="eastAsia"/>
          <w:bCs/>
        </w:rPr>
        <w:t>《</w:t>
      </w:r>
      <w:r>
        <w:rPr>
          <w:rFonts w:ascii="SimSun" w:hAnsi="SimSun"/>
          <w:bCs/>
        </w:rPr>
        <w:t>人权和少数群体权利及公民自由宪章</w:t>
      </w:r>
      <w:r>
        <w:rPr>
          <w:rFonts w:ascii="SimSun" w:hAnsi="SimSun" w:hint="eastAsia"/>
          <w:bCs/>
        </w:rPr>
        <w:t>》</w:t>
      </w:r>
      <w:r>
        <w:rPr>
          <w:rFonts w:ascii="SimSun" w:hAnsi="SimSun"/>
          <w:bCs/>
        </w:rPr>
        <w:t>规定，只能根据《塞尔维亚和黑山共同国家宪法宪章》、成员国</w:t>
      </w:r>
      <w:r>
        <w:rPr>
          <w:rFonts w:ascii="SimSun" w:hAnsi="SimSun" w:hint="eastAsia"/>
          <w:bCs/>
        </w:rPr>
        <w:t>《宪法》</w:t>
      </w:r>
      <w:r>
        <w:rPr>
          <w:rFonts w:ascii="SimSun" w:hAnsi="SimSun"/>
          <w:bCs/>
        </w:rPr>
        <w:t>以及具体</w:t>
      </w:r>
      <w:r>
        <w:rPr>
          <w:rFonts w:ascii="SimSun" w:hAnsi="SimSun" w:hint="eastAsia"/>
          <w:bCs/>
        </w:rPr>
        <w:t>载明</w:t>
      </w:r>
      <w:r>
        <w:rPr>
          <w:rFonts w:ascii="SimSun" w:hAnsi="SimSun"/>
          <w:bCs/>
        </w:rPr>
        <w:t>允许限制的</w:t>
      </w:r>
      <w:r>
        <w:rPr>
          <w:rFonts w:ascii="SimSun" w:hAnsi="SimSun" w:hint="eastAsia"/>
          <w:bCs/>
        </w:rPr>
        <w:t>普遍</w:t>
      </w:r>
      <w:r>
        <w:rPr>
          <w:rFonts w:ascii="SimSun" w:hAnsi="SimSun"/>
          <w:bCs/>
        </w:rPr>
        <w:t>适用</w:t>
      </w:r>
      <w:r>
        <w:rPr>
          <w:rFonts w:ascii="SimSun" w:hAnsi="SimSun" w:hint="eastAsia"/>
          <w:bCs/>
        </w:rPr>
        <w:t>的</w:t>
      </w:r>
      <w:r>
        <w:rPr>
          <w:rFonts w:ascii="SimSun" w:hAnsi="SimSun"/>
          <w:bCs/>
        </w:rPr>
        <w:t>法律</w:t>
      </w:r>
      <w:r>
        <w:rPr>
          <w:rFonts w:ascii="SimSun" w:hAnsi="SimSun" w:hint="eastAsia"/>
          <w:bCs/>
        </w:rPr>
        <w:t>所</w:t>
      </w:r>
      <w:r>
        <w:rPr>
          <w:rFonts w:ascii="SimSun" w:hAnsi="SimSun"/>
          <w:bCs/>
        </w:rPr>
        <w:t>规定的限制条件</w:t>
      </w:r>
      <w:r>
        <w:rPr>
          <w:rFonts w:ascii="SimSun" w:hAnsi="SimSun" w:hint="eastAsia"/>
          <w:bCs/>
        </w:rPr>
        <w:t>，才能对这些</w:t>
      </w:r>
      <w:r>
        <w:rPr>
          <w:rFonts w:ascii="SimSun" w:hAnsi="SimSun"/>
          <w:bCs/>
        </w:rPr>
        <w:t>人权和少数群体权利</w:t>
      </w:r>
      <w:r>
        <w:rPr>
          <w:rFonts w:ascii="SimSun" w:hAnsi="SimSun" w:hint="eastAsia"/>
          <w:bCs/>
        </w:rPr>
        <w:t>作出限制</w:t>
      </w:r>
      <w:r>
        <w:rPr>
          <w:rFonts w:ascii="SimSun" w:hAnsi="SimSun"/>
          <w:bCs/>
        </w:rPr>
        <w:t>。</w:t>
      </w:r>
      <w:r>
        <w:rPr>
          <w:rFonts w:ascii="SimSun" w:hAnsi="SimSun" w:hint="eastAsia"/>
          <w:bCs/>
        </w:rPr>
        <w:t>对获得</w:t>
      </w:r>
      <w:r>
        <w:rPr>
          <w:rFonts w:ascii="SimSun" w:hAnsi="SimSun"/>
          <w:bCs/>
        </w:rPr>
        <w:t>保障的人权和少数群体权利的限制只能是为了达到开放</w:t>
      </w:r>
      <w:r>
        <w:rPr>
          <w:rFonts w:ascii="SimSun" w:hAnsi="SimSun" w:hint="eastAsia"/>
          <w:bCs/>
        </w:rPr>
        <w:t>的</w:t>
      </w:r>
      <w:r>
        <w:rPr>
          <w:rFonts w:ascii="SimSun" w:hAnsi="SimSun"/>
          <w:bCs/>
        </w:rPr>
        <w:t>民主社会所允许限制的目的</w:t>
      </w:r>
      <w:r>
        <w:rPr>
          <w:rFonts w:ascii="SimSun" w:hAnsi="SimSun" w:hint="eastAsia"/>
          <w:bCs/>
        </w:rPr>
        <w:t>。同样，</w:t>
      </w:r>
      <w:r>
        <w:rPr>
          <w:rFonts w:ascii="SimSun" w:hAnsi="SimSun"/>
          <w:bCs/>
        </w:rPr>
        <w:t>在限制人权和少数群体权利并解释这些限制时，所有国家机关都必须考虑到受限制权利的实质内容</w:t>
      </w:r>
      <w:r>
        <w:rPr>
          <w:rFonts w:ascii="SimSun" w:hAnsi="SimSun" w:hint="eastAsia"/>
          <w:bCs/>
        </w:rPr>
        <w:t>、</w:t>
      </w:r>
      <w:r>
        <w:rPr>
          <w:rFonts w:ascii="SimSun" w:hAnsi="SimSun"/>
          <w:bCs/>
        </w:rPr>
        <w:t>限制目的的重要性</w:t>
      </w:r>
      <w:r>
        <w:rPr>
          <w:rFonts w:ascii="SimSun" w:hAnsi="SimSun" w:hint="eastAsia"/>
          <w:bCs/>
        </w:rPr>
        <w:t>、</w:t>
      </w:r>
      <w:r>
        <w:rPr>
          <w:rFonts w:ascii="SimSun" w:hAnsi="SimSun"/>
          <w:bCs/>
        </w:rPr>
        <w:t>限制的性质和范围</w:t>
      </w:r>
      <w:r>
        <w:rPr>
          <w:rFonts w:ascii="SimSun" w:hAnsi="SimSun" w:hint="eastAsia"/>
          <w:bCs/>
        </w:rPr>
        <w:t>、</w:t>
      </w:r>
      <w:r>
        <w:rPr>
          <w:rFonts w:ascii="SimSun" w:hAnsi="SimSun"/>
          <w:bCs/>
        </w:rPr>
        <w:t>限制与其目的之间的关系，以及是否可能</w:t>
      </w:r>
      <w:r>
        <w:rPr>
          <w:rFonts w:ascii="SimSun" w:hAnsi="SimSun" w:hint="eastAsia"/>
          <w:bCs/>
        </w:rPr>
        <w:t>以</w:t>
      </w:r>
      <w:r>
        <w:rPr>
          <w:rFonts w:ascii="SimSun" w:hAnsi="SimSun"/>
          <w:bCs/>
        </w:rPr>
        <w:t>限制</w:t>
      </w:r>
      <w:r>
        <w:rPr>
          <w:rFonts w:ascii="SimSun" w:hAnsi="SimSun" w:hint="eastAsia"/>
          <w:bCs/>
        </w:rPr>
        <w:t>程度</w:t>
      </w:r>
      <w:r>
        <w:rPr>
          <w:rFonts w:ascii="SimSun" w:hAnsi="SimSun"/>
          <w:bCs/>
        </w:rPr>
        <w:t>较小的手段来达到这</w:t>
      </w:r>
      <w:r>
        <w:rPr>
          <w:rFonts w:ascii="SimSun" w:hAnsi="SimSun" w:hint="eastAsia"/>
          <w:bCs/>
        </w:rPr>
        <w:t>一</w:t>
      </w:r>
      <w:r>
        <w:rPr>
          <w:rFonts w:ascii="SimSun" w:hAnsi="SimSun"/>
          <w:bCs/>
        </w:rPr>
        <w:t>目的。限制决不</w:t>
      </w:r>
      <w:r>
        <w:rPr>
          <w:rFonts w:ascii="SimSun" w:hAnsi="SimSun" w:hint="eastAsia"/>
          <w:bCs/>
        </w:rPr>
        <w:t>得</w:t>
      </w:r>
      <w:r>
        <w:rPr>
          <w:rFonts w:ascii="SimSun" w:hAnsi="SimSun"/>
          <w:bCs/>
        </w:rPr>
        <w:t>影响受保障权利的实质内容</w:t>
      </w:r>
      <w:r>
        <w:rPr>
          <w:rFonts w:ascii="SimSun" w:hAnsi="SimSun"/>
          <w:bCs/>
        </w:rPr>
        <w:t>(</w:t>
      </w:r>
      <w:r>
        <w:rPr>
          <w:rFonts w:ascii="SimSun" w:hAnsi="SimSun"/>
          <w:bCs/>
        </w:rPr>
        <w:t>第</w:t>
      </w:r>
      <w:r>
        <w:rPr>
          <w:rFonts w:ascii="SimSun" w:hAnsi="SimSun"/>
          <w:bCs/>
        </w:rPr>
        <w:t>5</w:t>
      </w:r>
      <w:r>
        <w:rPr>
          <w:rFonts w:ascii="SimSun" w:hAnsi="SimSun"/>
          <w:bCs/>
        </w:rPr>
        <w:t>条</w:t>
      </w:r>
      <w:r>
        <w:rPr>
          <w:rFonts w:ascii="SimSun" w:hAnsi="SimSun"/>
          <w:bCs/>
        </w:rPr>
        <w:t>)</w:t>
      </w:r>
      <w:r>
        <w:rPr>
          <w:rFonts w:ascii="SimSun" w:hAnsi="SimSun"/>
          <w:bCs/>
        </w:rPr>
        <w:t>。</w:t>
      </w:r>
    </w:p>
    <w:p w:rsidR="00000000" w:rsidRDefault="00844A84">
      <w:pPr>
        <w:pStyle w:val="Heading3"/>
        <w:spacing w:after="240"/>
      </w:pPr>
      <w:r>
        <w:rPr>
          <w:rFonts w:hint="eastAsia"/>
        </w:rPr>
        <w:t>第</w:t>
      </w:r>
      <w:r>
        <w:rPr>
          <w:rFonts w:hint="eastAsia"/>
        </w:rPr>
        <w:t xml:space="preserve"> </w:t>
      </w:r>
      <w:r>
        <w:rPr>
          <w:rFonts w:hint="eastAsia"/>
        </w:rPr>
        <w:t>五</w:t>
      </w:r>
      <w:r>
        <w:rPr>
          <w:rFonts w:hint="eastAsia"/>
        </w:rPr>
        <w:t xml:space="preserve"> </w:t>
      </w:r>
      <w:r>
        <w:rPr>
          <w:rFonts w:hint="eastAsia"/>
        </w:rPr>
        <w:t>条</w:t>
      </w:r>
    </w:p>
    <w:p w:rsidR="00000000" w:rsidRDefault="00844A84">
      <w:pPr>
        <w:pStyle w:val="Heading4"/>
        <w:rPr>
          <w:rFonts w:ascii="SimSun" w:hAnsi="SimSun" w:hint="eastAsia"/>
          <w:bCs/>
        </w:rPr>
      </w:pPr>
      <w:r>
        <w:t>禁止</w:t>
      </w:r>
      <w:r>
        <w:rPr>
          <w:rFonts w:hint="eastAsia"/>
        </w:rPr>
        <w:t>以</w:t>
      </w:r>
      <w:r>
        <w:t>《公约》</w:t>
      </w:r>
      <w:r>
        <w:rPr>
          <w:rFonts w:hint="eastAsia"/>
        </w:rPr>
        <w:t>未</w:t>
      </w:r>
      <w:r>
        <w:t>予以承认或只在较小范围上予以承认为借口而限制基本人权</w:t>
      </w:r>
    </w:p>
    <w:p w:rsidR="00000000" w:rsidRDefault="00844A84" w:rsidP="00844A84">
      <w:pPr>
        <w:ind w:firstLineChars="200" w:firstLine="31680"/>
        <w:rPr>
          <w:rFonts w:ascii="SimSun" w:hAnsi="SimSun" w:hint="eastAsia"/>
          <w:bCs/>
        </w:rPr>
      </w:pPr>
      <w:r>
        <w:rPr>
          <w:bCs/>
        </w:rPr>
        <w:t>25.</w:t>
      </w:r>
      <w:r>
        <w:rPr>
          <w:rFonts w:hint="eastAsia"/>
          <w:bCs/>
        </w:rPr>
        <w:t xml:space="preserve">  </w:t>
      </w:r>
      <w:r>
        <w:rPr>
          <w:rFonts w:hint="eastAsia"/>
          <w:bCs/>
        </w:rPr>
        <w:t>《</w:t>
      </w:r>
      <w:r>
        <w:rPr>
          <w:bCs/>
        </w:rPr>
        <w:t>南斯拉夫联盟共和国</w:t>
      </w:r>
      <w:r>
        <w:rPr>
          <w:rFonts w:hint="eastAsia"/>
          <w:bCs/>
        </w:rPr>
        <w:t>宪法》</w:t>
      </w:r>
      <w:r>
        <w:rPr>
          <w:bCs/>
        </w:rPr>
        <w:t>第</w:t>
      </w:r>
      <w:r>
        <w:rPr>
          <w:bCs/>
        </w:rPr>
        <w:t>16</w:t>
      </w:r>
      <w:r>
        <w:rPr>
          <w:bCs/>
        </w:rPr>
        <w:t>条</w:t>
      </w:r>
      <w:r>
        <w:rPr>
          <w:rFonts w:hint="eastAsia"/>
          <w:bCs/>
        </w:rPr>
        <w:t>第</w:t>
      </w:r>
      <w:r>
        <w:rPr>
          <w:bCs/>
        </w:rPr>
        <w:t>1</w:t>
      </w:r>
      <w:r>
        <w:rPr>
          <w:bCs/>
        </w:rPr>
        <w:t>和第</w:t>
      </w:r>
      <w:r>
        <w:rPr>
          <w:bCs/>
        </w:rPr>
        <w:t>2</w:t>
      </w:r>
      <w:r>
        <w:rPr>
          <w:bCs/>
        </w:rPr>
        <w:t>款以及第</w:t>
      </w:r>
      <w:r>
        <w:rPr>
          <w:bCs/>
        </w:rPr>
        <w:t>124</w:t>
      </w:r>
      <w:r>
        <w:rPr>
          <w:bCs/>
        </w:rPr>
        <w:t>条第</w:t>
      </w:r>
      <w:r>
        <w:rPr>
          <w:bCs/>
        </w:rPr>
        <w:t>2</w:t>
      </w:r>
      <w:r>
        <w:rPr>
          <w:bCs/>
        </w:rPr>
        <w:t>款</w:t>
      </w:r>
      <w:r>
        <w:rPr>
          <w:rFonts w:ascii="SimSun" w:hAnsi="SimSun"/>
          <w:bCs/>
        </w:rPr>
        <w:t>承诺保证遵守《经济、社会、文化权利国际公约》第五条。《宪法》明确宣布</w:t>
      </w:r>
      <w:r>
        <w:rPr>
          <w:rFonts w:ascii="SimSun" w:hAnsi="SimSun" w:hint="eastAsia"/>
          <w:bCs/>
        </w:rPr>
        <w:t>切实</w:t>
      </w:r>
      <w:r>
        <w:rPr>
          <w:rFonts w:ascii="SimSun" w:hAnsi="SimSun"/>
          <w:bCs/>
        </w:rPr>
        <w:t>履行其为缔约国的国际条约所载的义务，并</w:t>
      </w:r>
      <w:r>
        <w:rPr>
          <w:rFonts w:ascii="SimSun" w:hAnsi="SimSun"/>
          <w:bCs/>
        </w:rPr>
        <w:t>宣布这些条约包括</w:t>
      </w:r>
      <w:r>
        <w:rPr>
          <w:rFonts w:ascii="SimSun" w:hAnsi="SimSun" w:hint="eastAsia"/>
          <w:bCs/>
        </w:rPr>
        <w:t>公认</w:t>
      </w:r>
      <w:r>
        <w:rPr>
          <w:rFonts w:ascii="SimSun" w:hAnsi="SimSun"/>
          <w:bCs/>
        </w:rPr>
        <w:t>的国际法规则</w:t>
      </w:r>
      <w:r>
        <w:rPr>
          <w:rFonts w:ascii="SimSun" w:hAnsi="SimSun" w:hint="eastAsia"/>
          <w:bCs/>
        </w:rPr>
        <w:t>均为</w:t>
      </w:r>
      <w:r>
        <w:rPr>
          <w:rFonts w:ascii="SimSun" w:hAnsi="SimSun"/>
          <w:bCs/>
        </w:rPr>
        <w:t>国内</w:t>
      </w:r>
      <w:r>
        <w:rPr>
          <w:rFonts w:ascii="SimSun" w:hAnsi="SimSun" w:hint="eastAsia"/>
          <w:bCs/>
        </w:rPr>
        <w:t>法令</w:t>
      </w:r>
      <w:r>
        <w:rPr>
          <w:rFonts w:ascii="SimSun" w:hAnsi="SimSun"/>
          <w:bCs/>
        </w:rPr>
        <w:t>的组成部分</w:t>
      </w:r>
      <w:r>
        <w:rPr>
          <w:rFonts w:ascii="SimSun" w:hAnsi="SimSun"/>
          <w:bCs/>
        </w:rPr>
        <w:t>(</w:t>
      </w:r>
      <w:r>
        <w:rPr>
          <w:rFonts w:ascii="SimSun" w:hAnsi="SimSun"/>
          <w:bCs/>
        </w:rPr>
        <w:t>第</w:t>
      </w:r>
      <w:r>
        <w:rPr>
          <w:bCs/>
        </w:rPr>
        <w:t>16</w:t>
      </w:r>
      <w:r>
        <w:rPr>
          <w:bCs/>
        </w:rPr>
        <w:t>条</w:t>
      </w:r>
      <w:r>
        <w:rPr>
          <w:bCs/>
        </w:rPr>
        <w:t>)</w:t>
      </w:r>
      <w:r>
        <w:rPr>
          <w:rFonts w:ascii="SimSun" w:hAnsi="SimSun"/>
          <w:bCs/>
        </w:rPr>
        <w:t>。</w:t>
      </w:r>
    </w:p>
    <w:p w:rsidR="00000000" w:rsidRDefault="00844A84" w:rsidP="00844A84">
      <w:pPr>
        <w:ind w:firstLineChars="200" w:firstLine="31680"/>
        <w:rPr>
          <w:rFonts w:hint="eastAsia"/>
          <w:bCs/>
          <w:snapToGrid/>
        </w:rPr>
      </w:pPr>
      <w:r>
        <w:rPr>
          <w:bCs/>
        </w:rPr>
        <w:t>26.</w:t>
      </w:r>
      <w:r>
        <w:rPr>
          <w:rFonts w:hint="eastAsia"/>
          <w:bCs/>
        </w:rPr>
        <w:t xml:space="preserve">  </w:t>
      </w:r>
      <w:r>
        <w:rPr>
          <w:rFonts w:ascii="SimSun" w:hAnsi="SimSun"/>
          <w:bCs/>
        </w:rPr>
        <w:t>联邦宪法法院不仅裁定各项</w:t>
      </w:r>
      <w:r>
        <w:rPr>
          <w:rFonts w:ascii="SimSun" w:hAnsi="SimSun" w:hint="eastAsia"/>
          <w:bCs/>
        </w:rPr>
        <w:t>规约</w:t>
      </w:r>
      <w:r>
        <w:rPr>
          <w:rFonts w:ascii="SimSun" w:hAnsi="SimSun"/>
          <w:bCs/>
        </w:rPr>
        <w:t>或其他法律</w:t>
      </w:r>
      <w:r>
        <w:rPr>
          <w:rFonts w:ascii="SimSun" w:hAnsi="SimSun" w:hint="eastAsia"/>
          <w:bCs/>
        </w:rPr>
        <w:t>及普通法令规</w:t>
      </w:r>
      <w:r>
        <w:rPr>
          <w:rFonts w:ascii="SimSun" w:hAnsi="SimSun"/>
          <w:bCs/>
        </w:rPr>
        <w:t>是否符合《南斯拉夫联盟共和国宪法》，</w:t>
      </w:r>
      <w:r>
        <w:rPr>
          <w:rFonts w:ascii="SimSun" w:hAnsi="SimSun" w:hint="eastAsia"/>
          <w:bCs/>
        </w:rPr>
        <w:t>还</w:t>
      </w:r>
      <w:r>
        <w:rPr>
          <w:rFonts w:hint="eastAsia"/>
          <w:bCs/>
          <w:snapToGrid/>
        </w:rPr>
        <w:t>裁定它们是否</w:t>
      </w:r>
      <w:r>
        <w:rPr>
          <w:bCs/>
          <w:snapToGrid/>
        </w:rPr>
        <w:t>符合已批准和颁布的国</w:t>
      </w:r>
      <w:r>
        <w:rPr>
          <w:rFonts w:ascii="SimSun" w:hAnsi="SimSun"/>
          <w:bCs/>
        </w:rPr>
        <w:t>际条约</w:t>
      </w:r>
      <w:r>
        <w:rPr>
          <w:rFonts w:ascii="SimSun" w:hAnsi="SimSun"/>
          <w:bCs/>
        </w:rPr>
        <w:t>(</w:t>
      </w:r>
      <w:r>
        <w:rPr>
          <w:rFonts w:ascii="SimSun" w:hAnsi="SimSun"/>
          <w:bCs/>
        </w:rPr>
        <w:t>第</w:t>
      </w:r>
      <w:r>
        <w:rPr>
          <w:bCs/>
        </w:rPr>
        <w:t>124</w:t>
      </w:r>
      <w:r>
        <w:rPr>
          <w:rFonts w:ascii="SimSun" w:hAnsi="SimSun"/>
          <w:bCs/>
        </w:rPr>
        <w:t>条</w:t>
      </w:r>
      <w:r>
        <w:rPr>
          <w:bCs/>
          <w:snapToGrid/>
        </w:rPr>
        <w:t>第</w:t>
      </w:r>
      <w:r>
        <w:rPr>
          <w:rFonts w:hint="eastAsia"/>
          <w:bCs/>
          <w:snapToGrid/>
        </w:rPr>
        <w:t>1</w:t>
      </w:r>
      <w:r>
        <w:rPr>
          <w:bCs/>
          <w:snapToGrid/>
        </w:rPr>
        <w:t>款第</w:t>
      </w:r>
      <w:r>
        <w:rPr>
          <w:bCs/>
          <w:snapToGrid/>
        </w:rPr>
        <w:t>2</w:t>
      </w:r>
      <w:r>
        <w:rPr>
          <w:rFonts w:hint="eastAsia"/>
          <w:bCs/>
          <w:snapToGrid/>
        </w:rPr>
        <w:t>项</w:t>
      </w:r>
      <w:r>
        <w:rPr>
          <w:bCs/>
          <w:snapToGrid/>
        </w:rPr>
        <w:t>)</w:t>
      </w:r>
      <w:r>
        <w:rPr>
          <w:bCs/>
          <w:snapToGrid/>
        </w:rPr>
        <w:t>，以此承认国际条约</w:t>
      </w:r>
      <w:r>
        <w:rPr>
          <w:rFonts w:hint="eastAsia"/>
          <w:bCs/>
          <w:snapToGrid/>
        </w:rPr>
        <w:t>具有</w:t>
      </w:r>
      <w:r>
        <w:rPr>
          <w:bCs/>
          <w:snapToGrid/>
        </w:rPr>
        <w:t>高于法律的法律</w:t>
      </w:r>
      <w:r>
        <w:rPr>
          <w:rFonts w:hint="eastAsia"/>
          <w:bCs/>
          <w:snapToGrid/>
        </w:rPr>
        <w:t>效力</w:t>
      </w:r>
      <w:r>
        <w:rPr>
          <w:bCs/>
          <w:snapToGrid/>
        </w:rPr>
        <w:t>。</w:t>
      </w:r>
    </w:p>
    <w:p w:rsidR="00000000" w:rsidRDefault="00844A84" w:rsidP="00844A84">
      <w:pPr>
        <w:spacing w:after="320"/>
        <w:ind w:firstLineChars="200" w:firstLine="31680"/>
        <w:rPr>
          <w:rFonts w:ascii="SimSun" w:hAnsi="SimSun" w:hint="eastAsia"/>
          <w:bCs/>
        </w:rPr>
      </w:pPr>
      <w:r>
        <w:rPr>
          <w:bCs/>
        </w:rPr>
        <w:t>27.</w:t>
      </w:r>
      <w:r>
        <w:rPr>
          <w:rFonts w:ascii="SimSun" w:hAnsi="SimSun" w:hint="eastAsia"/>
          <w:bCs/>
        </w:rPr>
        <w:t xml:space="preserve">  </w:t>
      </w:r>
      <w:r>
        <w:rPr>
          <w:rFonts w:ascii="SimSun" w:hAnsi="SimSun"/>
          <w:bCs/>
        </w:rPr>
        <w:t>《人权和少数群体权利及公民自由宪章》规定，不</w:t>
      </w:r>
      <w:r>
        <w:rPr>
          <w:rFonts w:ascii="SimSun" w:hAnsi="SimSun" w:hint="eastAsia"/>
          <w:bCs/>
        </w:rPr>
        <w:t>得以</w:t>
      </w:r>
      <w:r>
        <w:rPr>
          <w:rFonts w:ascii="SimSun" w:hAnsi="SimSun"/>
          <w:bCs/>
        </w:rPr>
        <w:t>《人权和少数群体权利及公民自由宪章》未予以保障为借口</w:t>
      </w:r>
      <w:r>
        <w:rPr>
          <w:rFonts w:ascii="SimSun" w:hAnsi="SimSun" w:hint="eastAsia"/>
          <w:bCs/>
        </w:rPr>
        <w:t>，</w:t>
      </w:r>
      <w:r>
        <w:rPr>
          <w:rFonts w:ascii="SimSun" w:hAnsi="SimSun"/>
          <w:bCs/>
        </w:rPr>
        <w:t>限制</w:t>
      </w:r>
      <w:r>
        <w:rPr>
          <w:rFonts w:ascii="SimSun" w:hAnsi="SimSun" w:hint="eastAsia"/>
          <w:bCs/>
        </w:rPr>
        <w:t>受公认</w:t>
      </w:r>
      <w:r>
        <w:rPr>
          <w:rFonts w:ascii="SimSun" w:hAnsi="SimSun"/>
          <w:bCs/>
        </w:rPr>
        <w:t>的国际法规则、在共同国家</w:t>
      </w:r>
      <w:r>
        <w:rPr>
          <w:rFonts w:ascii="SimSun" w:hAnsi="SimSun" w:hint="eastAsia"/>
          <w:bCs/>
        </w:rPr>
        <w:t>实施</w:t>
      </w:r>
      <w:r>
        <w:rPr>
          <w:rFonts w:ascii="SimSun" w:hAnsi="SimSun"/>
          <w:bCs/>
        </w:rPr>
        <w:t>的国际条约及已生效的法律和其他立法</w:t>
      </w:r>
      <w:r>
        <w:rPr>
          <w:rFonts w:ascii="SimSun" w:hAnsi="SimSun" w:hint="eastAsia"/>
          <w:bCs/>
        </w:rPr>
        <w:t>所</w:t>
      </w:r>
      <w:r>
        <w:rPr>
          <w:rFonts w:ascii="SimSun" w:hAnsi="SimSun"/>
          <w:bCs/>
        </w:rPr>
        <w:t>保障的人权和少数群体权利。</w:t>
      </w:r>
    </w:p>
    <w:p w:rsidR="00000000" w:rsidRDefault="00844A84">
      <w:pPr>
        <w:pStyle w:val="Heading3"/>
        <w:rPr>
          <w:rFonts w:ascii="SimSun" w:hAnsi="SimSun" w:hint="eastAsia"/>
          <w:bCs/>
        </w:rPr>
      </w:pPr>
      <w:r>
        <w:rPr>
          <w:rFonts w:hint="eastAsia"/>
        </w:rPr>
        <w:t>第</w:t>
      </w:r>
      <w:r>
        <w:rPr>
          <w:rFonts w:hint="eastAsia"/>
        </w:rPr>
        <w:t xml:space="preserve"> </w:t>
      </w:r>
      <w:r>
        <w:rPr>
          <w:rFonts w:hint="eastAsia"/>
        </w:rPr>
        <w:t>六</w:t>
      </w:r>
      <w:r>
        <w:rPr>
          <w:rFonts w:hint="eastAsia"/>
        </w:rPr>
        <w:t xml:space="preserve"> </w:t>
      </w:r>
      <w:r>
        <w:rPr>
          <w:rFonts w:hint="eastAsia"/>
        </w:rPr>
        <w:t>条</w:t>
      </w:r>
    </w:p>
    <w:p w:rsidR="00000000" w:rsidRDefault="00844A84" w:rsidP="00844A84">
      <w:pPr>
        <w:spacing w:after="320"/>
        <w:ind w:firstLineChars="200" w:firstLine="31680"/>
        <w:rPr>
          <w:rFonts w:ascii="SimSun" w:hAnsi="SimSun" w:hint="eastAsia"/>
          <w:bCs/>
        </w:rPr>
      </w:pPr>
      <w:r>
        <w:rPr>
          <w:bCs/>
          <w:snapToGrid/>
        </w:rPr>
        <w:t>28.</w:t>
      </w:r>
      <w:r>
        <w:rPr>
          <w:rFonts w:hint="eastAsia"/>
          <w:bCs/>
          <w:snapToGrid/>
        </w:rPr>
        <w:t xml:space="preserve">  </w:t>
      </w:r>
      <w:r>
        <w:rPr>
          <w:bCs/>
          <w:snapToGrid/>
        </w:rPr>
        <w:t>批准的国际文书包括</w:t>
      </w:r>
      <w:r>
        <w:rPr>
          <w:rFonts w:hint="eastAsia"/>
          <w:bCs/>
          <w:snapToGrid/>
        </w:rPr>
        <w:t>：</w:t>
      </w:r>
      <w:r>
        <w:rPr>
          <w:bCs/>
          <w:snapToGrid/>
        </w:rPr>
        <w:t>劳工组织第</w:t>
      </w:r>
      <w:r>
        <w:rPr>
          <w:bCs/>
          <w:snapToGrid/>
        </w:rPr>
        <w:t>19</w:t>
      </w:r>
      <w:r>
        <w:rPr>
          <w:bCs/>
          <w:snapToGrid/>
        </w:rPr>
        <w:t>号公约《</w:t>
      </w:r>
      <w:r>
        <w:rPr>
          <w:bCs/>
          <w:snapToGrid/>
        </w:rPr>
        <w:t>(</w:t>
      </w:r>
      <w:r>
        <w:rPr>
          <w:bCs/>
          <w:snapToGrid/>
        </w:rPr>
        <w:t>事故赔偿</w:t>
      </w:r>
      <w:r>
        <w:rPr>
          <w:bCs/>
          <w:snapToGrid/>
        </w:rPr>
        <w:t>)</w:t>
      </w:r>
      <w:r>
        <w:rPr>
          <w:rFonts w:hint="eastAsia"/>
          <w:bCs/>
          <w:snapToGrid/>
        </w:rPr>
        <w:t>同等</w:t>
      </w:r>
      <w:r>
        <w:rPr>
          <w:bCs/>
          <w:snapToGrid/>
        </w:rPr>
        <w:t>待遇公约》</w:t>
      </w:r>
      <w:r>
        <w:rPr>
          <w:bCs/>
          <w:snapToGrid/>
        </w:rPr>
        <w:t>(1925</w:t>
      </w:r>
      <w:r>
        <w:rPr>
          <w:bCs/>
          <w:snapToGrid/>
        </w:rPr>
        <w:t>年</w:t>
      </w:r>
      <w:r>
        <w:rPr>
          <w:bCs/>
          <w:snapToGrid/>
        </w:rPr>
        <w:t>)</w:t>
      </w:r>
      <w:r>
        <w:rPr>
          <w:bCs/>
          <w:snapToGrid/>
        </w:rPr>
        <w:t>、劳工组织第</w:t>
      </w:r>
      <w:r>
        <w:rPr>
          <w:bCs/>
          <w:snapToGrid/>
        </w:rPr>
        <w:t>48</w:t>
      </w:r>
      <w:r>
        <w:rPr>
          <w:bCs/>
          <w:snapToGrid/>
        </w:rPr>
        <w:t>号公约《维护移民</w:t>
      </w:r>
      <w:r>
        <w:rPr>
          <w:rFonts w:hint="eastAsia"/>
          <w:bCs/>
          <w:snapToGrid/>
        </w:rPr>
        <w:t>恤金权</w:t>
      </w:r>
      <w:r>
        <w:rPr>
          <w:bCs/>
          <w:snapToGrid/>
        </w:rPr>
        <w:t>利公约》</w:t>
      </w:r>
      <w:r>
        <w:rPr>
          <w:bCs/>
          <w:snapToGrid/>
        </w:rPr>
        <w:t>(1935</w:t>
      </w:r>
      <w:r>
        <w:rPr>
          <w:bCs/>
          <w:snapToGrid/>
        </w:rPr>
        <w:t>年</w:t>
      </w:r>
      <w:r>
        <w:rPr>
          <w:bCs/>
          <w:snapToGrid/>
        </w:rPr>
        <w:t>)</w:t>
      </w:r>
      <w:r>
        <w:rPr>
          <w:rFonts w:hint="eastAsia"/>
          <w:bCs/>
          <w:snapToGrid/>
        </w:rPr>
        <w:t>、</w:t>
      </w:r>
      <w:r>
        <w:rPr>
          <w:bCs/>
          <w:snapToGrid/>
        </w:rPr>
        <w:t>劳工组织第</w:t>
      </w:r>
      <w:r>
        <w:rPr>
          <w:bCs/>
          <w:snapToGrid/>
        </w:rPr>
        <w:t>105</w:t>
      </w:r>
      <w:r>
        <w:rPr>
          <w:bCs/>
          <w:snapToGrid/>
        </w:rPr>
        <w:t>号公约《废除强迫劳动公约》</w:t>
      </w:r>
      <w:r>
        <w:rPr>
          <w:bCs/>
          <w:snapToGrid/>
        </w:rPr>
        <w:t>(1997</w:t>
      </w:r>
      <w:r>
        <w:rPr>
          <w:bCs/>
          <w:snapToGrid/>
        </w:rPr>
        <w:t>年</w:t>
      </w:r>
      <w:r>
        <w:rPr>
          <w:bCs/>
          <w:snapToGrid/>
        </w:rPr>
        <w:t>)</w:t>
      </w:r>
      <w:r>
        <w:rPr>
          <w:rFonts w:hint="eastAsia"/>
          <w:bCs/>
          <w:snapToGrid/>
        </w:rPr>
        <w:t>、劳工组织第</w:t>
      </w:r>
      <w:r>
        <w:rPr>
          <w:bCs/>
          <w:snapToGrid/>
        </w:rPr>
        <w:t>122</w:t>
      </w:r>
      <w:r>
        <w:rPr>
          <w:bCs/>
          <w:snapToGrid/>
        </w:rPr>
        <w:t>号公约《就业政策公约》</w:t>
      </w:r>
      <w:r>
        <w:rPr>
          <w:bCs/>
          <w:snapToGrid/>
        </w:rPr>
        <w:t>(1964</w:t>
      </w:r>
      <w:r>
        <w:rPr>
          <w:bCs/>
          <w:snapToGrid/>
        </w:rPr>
        <w:t>年</w:t>
      </w:r>
      <w:r>
        <w:rPr>
          <w:bCs/>
          <w:snapToGrid/>
        </w:rPr>
        <w:t>)</w:t>
      </w:r>
      <w:r>
        <w:rPr>
          <w:bCs/>
          <w:snapToGrid/>
        </w:rPr>
        <w:t>、劳工组织第</w:t>
      </w:r>
      <w:r>
        <w:rPr>
          <w:bCs/>
          <w:snapToGrid/>
        </w:rPr>
        <w:t>111</w:t>
      </w:r>
      <w:r>
        <w:rPr>
          <w:bCs/>
          <w:snapToGrid/>
        </w:rPr>
        <w:t>号公约《</w:t>
      </w:r>
      <w:r>
        <w:rPr>
          <w:bCs/>
          <w:snapToGrid/>
        </w:rPr>
        <w:t>(</w:t>
      </w:r>
      <w:r>
        <w:rPr>
          <w:bCs/>
          <w:snapToGrid/>
        </w:rPr>
        <w:t>就业和职业</w:t>
      </w:r>
      <w:r>
        <w:rPr>
          <w:bCs/>
          <w:snapToGrid/>
        </w:rPr>
        <w:t>)</w:t>
      </w:r>
      <w:r>
        <w:rPr>
          <w:bCs/>
          <w:snapToGrid/>
        </w:rPr>
        <w:t>歧视公约》</w:t>
      </w:r>
      <w:r>
        <w:rPr>
          <w:bCs/>
          <w:snapToGrid/>
        </w:rPr>
        <w:t>(19</w:t>
      </w:r>
      <w:r>
        <w:rPr>
          <w:rFonts w:hint="eastAsia"/>
          <w:bCs/>
          <w:snapToGrid/>
        </w:rPr>
        <w:t>5</w:t>
      </w:r>
      <w:r>
        <w:rPr>
          <w:bCs/>
          <w:snapToGrid/>
        </w:rPr>
        <w:t>8</w:t>
      </w:r>
      <w:r>
        <w:rPr>
          <w:bCs/>
          <w:snapToGrid/>
        </w:rPr>
        <w:t>年</w:t>
      </w:r>
      <w:r>
        <w:rPr>
          <w:bCs/>
          <w:snapToGrid/>
        </w:rPr>
        <w:t>)</w:t>
      </w:r>
      <w:r>
        <w:rPr>
          <w:bCs/>
          <w:snapToGrid/>
        </w:rPr>
        <w:t>、</w:t>
      </w:r>
      <w:r>
        <w:rPr>
          <w:rFonts w:hint="eastAsia"/>
          <w:bCs/>
          <w:snapToGrid/>
        </w:rPr>
        <w:t>《消除一切形式种族歧视国际公约》以及《消除对妇女一切形式歧视公约任择议定书》。</w:t>
      </w:r>
    </w:p>
    <w:p w:rsidR="00000000" w:rsidRDefault="00844A84">
      <w:pPr>
        <w:pStyle w:val="Heading3"/>
        <w:rPr>
          <w:rFonts w:hint="eastAsia"/>
        </w:rPr>
      </w:pPr>
      <w:r>
        <w:rPr>
          <w:rFonts w:hint="eastAsia"/>
          <w:u w:val="none"/>
        </w:rPr>
        <w:t xml:space="preserve">A.  </w:t>
      </w:r>
      <w:r>
        <w:rPr>
          <w:rFonts w:hint="eastAsia"/>
        </w:rPr>
        <w:t>工作自由和条件平等的就业权利</w:t>
      </w:r>
    </w:p>
    <w:p w:rsidR="00000000" w:rsidRDefault="00844A84" w:rsidP="00844A84">
      <w:pPr>
        <w:ind w:firstLineChars="200" w:firstLine="31680"/>
        <w:rPr>
          <w:rFonts w:hint="eastAsia"/>
          <w:bCs/>
          <w:snapToGrid/>
        </w:rPr>
      </w:pPr>
      <w:r>
        <w:rPr>
          <w:bCs/>
        </w:rPr>
        <w:t>29.</w:t>
      </w:r>
      <w:r>
        <w:rPr>
          <w:rFonts w:hint="eastAsia"/>
          <w:bCs/>
        </w:rPr>
        <w:t xml:space="preserve">  </w:t>
      </w:r>
      <w:r>
        <w:rPr>
          <w:bCs/>
        </w:rPr>
        <w:t>劳工组织第</w:t>
      </w:r>
      <w:r>
        <w:rPr>
          <w:bCs/>
        </w:rPr>
        <w:t>111</w:t>
      </w:r>
      <w:r>
        <w:rPr>
          <w:bCs/>
        </w:rPr>
        <w:t>号公约《</w:t>
      </w:r>
      <w:r>
        <w:rPr>
          <w:rFonts w:hint="eastAsia"/>
          <w:bCs/>
        </w:rPr>
        <w:t>(</w:t>
      </w:r>
      <w:r>
        <w:rPr>
          <w:bCs/>
        </w:rPr>
        <w:t>就业和职业</w:t>
      </w:r>
      <w:r>
        <w:rPr>
          <w:rFonts w:hint="eastAsia"/>
          <w:bCs/>
        </w:rPr>
        <w:t>)</w:t>
      </w:r>
      <w:r>
        <w:rPr>
          <w:bCs/>
        </w:rPr>
        <w:t>歧视公约》</w:t>
      </w:r>
      <w:r>
        <w:rPr>
          <w:rFonts w:hint="eastAsia"/>
          <w:bCs/>
        </w:rPr>
        <w:t>各条款已</w:t>
      </w:r>
      <w:r>
        <w:rPr>
          <w:bCs/>
        </w:rPr>
        <w:t>全文纳入</w:t>
      </w:r>
      <w:r>
        <w:rPr>
          <w:bCs/>
        </w:rPr>
        <w:t>南斯拉夫</w:t>
      </w:r>
      <w:r>
        <w:rPr>
          <w:rFonts w:hint="eastAsia"/>
          <w:bCs/>
        </w:rPr>
        <w:t>法律</w:t>
      </w:r>
      <w:r>
        <w:rPr>
          <w:bCs/>
        </w:rPr>
        <w:t>之中。《</w:t>
      </w:r>
      <w:r>
        <w:rPr>
          <w:bCs/>
          <w:snapToGrid/>
        </w:rPr>
        <w:t>南斯拉夫</w:t>
      </w:r>
      <w:r>
        <w:rPr>
          <w:bCs/>
        </w:rPr>
        <w:t>联盟共和国宪法》以及</w:t>
      </w:r>
      <w:r>
        <w:rPr>
          <w:rFonts w:hint="eastAsia"/>
          <w:bCs/>
        </w:rPr>
        <w:t>《</w:t>
      </w:r>
      <w:r>
        <w:rPr>
          <w:bCs/>
        </w:rPr>
        <w:t>塞尔维亚共和国宪法》保障享有工作和参与经济活动的自由以及自由选择职业</w:t>
      </w:r>
      <w:r>
        <w:rPr>
          <w:rFonts w:hint="eastAsia"/>
          <w:bCs/>
        </w:rPr>
        <w:t>和</w:t>
      </w:r>
      <w:r>
        <w:rPr>
          <w:bCs/>
        </w:rPr>
        <w:t>条件平等</w:t>
      </w:r>
      <w:r>
        <w:rPr>
          <w:rFonts w:hint="eastAsia"/>
          <w:bCs/>
        </w:rPr>
        <w:t>的</w:t>
      </w:r>
      <w:r>
        <w:rPr>
          <w:bCs/>
        </w:rPr>
        <w:t>就业权利。工作自由</w:t>
      </w:r>
      <w:r>
        <w:rPr>
          <w:rFonts w:hint="eastAsia"/>
          <w:bCs/>
        </w:rPr>
        <w:t>和在</w:t>
      </w:r>
      <w:r>
        <w:rPr>
          <w:bCs/>
        </w:rPr>
        <w:t>平等条件下就业的权利以及保护工人</w:t>
      </w:r>
      <w:r>
        <w:rPr>
          <w:rFonts w:hint="eastAsia"/>
          <w:bCs/>
        </w:rPr>
        <w:t>免受</w:t>
      </w:r>
      <w:r>
        <w:rPr>
          <w:bCs/>
        </w:rPr>
        <w:t>一切形式歧视，都受到</w:t>
      </w:r>
      <w:r>
        <w:rPr>
          <w:rFonts w:hint="eastAsia"/>
          <w:bCs/>
        </w:rPr>
        <w:t>以下法律的</w:t>
      </w:r>
      <w:r>
        <w:rPr>
          <w:bCs/>
        </w:rPr>
        <w:t>实际保障和</w:t>
      </w:r>
      <w:r>
        <w:rPr>
          <w:rFonts w:hint="eastAsia"/>
          <w:bCs/>
        </w:rPr>
        <w:t>执行：</w:t>
      </w:r>
      <w:r>
        <w:rPr>
          <w:bCs/>
        </w:rPr>
        <w:t>《基本劳工关系法》</w:t>
      </w:r>
      <w:r>
        <w:rPr>
          <w:bCs/>
        </w:rPr>
        <w:t>(</w:t>
      </w:r>
      <w:r>
        <w:rPr>
          <w:bCs/>
        </w:rPr>
        <w:t>《南斯拉夫联盟共和国政府公告》第</w:t>
      </w:r>
      <w:r>
        <w:rPr>
          <w:bCs/>
        </w:rPr>
        <w:t>29/96</w:t>
      </w:r>
      <w:r>
        <w:rPr>
          <w:rFonts w:ascii="SimSun" w:hAnsi="SimSun"/>
          <w:bCs/>
        </w:rPr>
        <w:t>号</w:t>
      </w:r>
      <w:r>
        <w:rPr>
          <w:rFonts w:ascii="SimSun" w:hAnsi="SimSun" w:hint="eastAsia"/>
          <w:bCs/>
        </w:rPr>
        <w:t>)</w:t>
      </w:r>
      <w:r>
        <w:rPr>
          <w:rFonts w:ascii="SimSun" w:hAnsi="SimSun"/>
          <w:bCs/>
        </w:rPr>
        <w:t>、</w:t>
      </w:r>
      <w:r>
        <w:rPr>
          <w:bCs/>
          <w:snapToGrid/>
        </w:rPr>
        <w:t>《塞尔维亚共和国劳工法》</w:t>
      </w:r>
      <w:r>
        <w:rPr>
          <w:bCs/>
          <w:snapToGrid/>
        </w:rPr>
        <w:t>(</w:t>
      </w:r>
      <w:r>
        <w:rPr>
          <w:bCs/>
          <w:snapToGrid/>
        </w:rPr>
        <w:t>《塞尔维亚共和国</w:t>
      </w:r>
      <w:r>
        <w:rPr>
          <w:rFonts w:hint="eastAsia"/>
          <w:bCs/>
          <w:snapToGrid/>
        </w:rPr>
        <w:t>政府公报</w:t>
      </w:r>
      <w:r>
        <w:rPr>
          <w:bCs/>
          <w:snapToGrid/>
        </w:rPr>
        <w:t>》第</w:t>
      </w:r>
      <w:r>
        <w:rPr>
          <w:bCs/>
          <w:snapToGrid/>
        </w:rPr>
        <w:t>70/2001</w:t>
      </w:r>
      <w:r>
        <w:rPr>
          <w:bCs/>
          <w:snapToGrid/>
        </w:rPr>
        <w:t>和第</w:t>
      </w:r>
      <w:r>
        <w:rPr>
          <w:bCs/>
          <w:snapToGrid/>
        </w:rPr>
        <w:t>73/2001</w:t>
      </w:r>
      <w:r>
        <w:rPr>
          <w:bCs/>
          <w:snapToGrid/>
        </w:rPr>
        <w:t>号</w:t>
      </w:r>
      <w:r>
        <w:rPr>
          <w:bCs/>
          <w:snapToGrid/>
        </w:rPr>
        <w:t>)</w:t>
      </w:r>
      <w:r>
        <w:rPr>
          <w:bCs/>
          <w:snapToGrid/>
        </w:rPr>
        <w:t>以及《就业和</w:t>
      </w:r>
      <w:r>
        <w:rPr>
          <w:rFonts w:hint="eastAsia"/>
          <w:bCs/>
          <w:snapToGrid/>
        </w:rPr>
        <w:t>行使</w:t>
      </w:r>
      <w:r>
        <w:rPr>
          <w:bCs/>
          <w:snapToGrid/>
        </w:rPr>
        <w:t>失业</w:t>
      </w:r>
      <w:r>
        <w:rPr>
          <w:rFonts w:hint="eastAsia"/>
          <w:bCs/>
          <w:snapToGrid/>
        </w:rPr>
        <w:t>者</w:t>
      </w:r>
      <w:r>
        <w:rPr>
          <w:bCs/>
          <w:snapToGrid/>
        </w:rPr>
        <w:t>权利法》</w:t>
      </w:r>
      <w:r>
        <w:rPr>
          <w:bCs/>
          <w:snapToGrid/>
        </w:rPr>
        <w:t>(</w:t>
      </w:r>
      <w:r>
        <w:rPr>
          <w:bCs/>
          <w:snapToGrid/>
        </w:rPr>
        <w:t>《塞尔维亚共和国</w:t>
      </w:r>
      <w:r>
        <w:rPr>
          <w:rFonts w:hint="eastAsia"/>
          <w:bCs/>
          <w:snapToGrid/>
        </w:rPr>
        <w:t>政府公报</w:t>
      </w:r>
      <w:r>
        <w:rPr>
          <w:bCs/>
          <w:snapToGrid/>
        </w:rPr>
        <w:t>》，第</w:t>
      </w:r>
      <w:r>
        <w:rPr>
          <w:bCs/>
          <w:snapToGrid/>
        </w:rPr>
        <w:t>22/92</w:t>
      </w:r>
      <w:r>
        <w:rPr>
          <w:bCs/>
          <w:snapToGrid/>
        </w:rPr>
        <w:t>、</w:t>
      </w:r>
      <w:r>
        <w:rPr>
          <w:bCs/>
          <w:snapToGrid/>
        </w:rPr>
        <w:t>73/92</w:t>
      </w:r>
      <w:r>
        <w:rPr>
          <w:bCs/>
          <w:snapToGrid/>
        </w:rPr>
        <w:t>、</w:t>
      </w:r>
      <w:r>
        <w:rPr>
          <w:bCs/>
          <w:snapToGrid/>
        </w:rPr>
        <w:t>82/92</w:t>
      </w:r>
      <w:r>
        <w:rPr>
          <w:bCs/>
          <w:snapToGrid/>
        </w:rPr>
        <w:t>、</w:t>
      </w:r>
      <w:r>
        <w:rPr>
          <w:bCs/>
          <w:snapToGrid/>
        </w:rPr>
        <w:t>67/93</w:t>
      </w:r>
      <w:r>
        <w:rPr>
          <w:bCs/>
          <w:snapToGrid/>
        </w:rPr>
        <w:t>、</w:t>
      </w:r>
      <w:r>
        <w:rPr>
          <w:bCs/>
          <w:snapToGrid/>
        </w:rPr>
        <w:t>34/94</w:t>
      </w:r>
      <w:r>
        <w:rPr>
          <w:bCs/>
          <w:snapToGrid/>
        </w:rPr>
        <w:t>、</w:t>
      </w:r>
      <w:r>
        <w:rPr>
          <w:bCs/>
          <w:snapToGrid/>
        </w:rPr>
        <w:t>52/96</w:t>
      </w:r>
      <w:r>
        <w:rPr>
          <w:bCs/>
          <w:snapToGrid/>
        </w:rPr>
        <w:t>、</w:t>
      </w:r>
      <w:r>
        <w:rPr>
          <w:bCs/>
          <w:snapToGrid/>
        </w:rPr>
        <w:t>46/98</w:t>
      </w:r>
      <w:r>
        <w:rPr>
          <w:bCs/>
          <w:snapToGrid/>
        </w:rPr>
        <w:t>和</w:t>
      </w:r>
      <w:r>
        <w:rPr>
          <w:bCs/>
          <w:snapToGrid/>
        </w:rPr>
        <w:t>29/2001</w:t>
      </w:r>
      <w:r>
        <w:rPr>
          <w:rFonts w:hint="eastAsia"/>
          <w:bCs/>
          <w:snapToGrid/>
        </w:rPr>
        <w:t>号</w:t>
      </w:r>
      <w:r>
        <w:rPr>
          <w:bCs/>
          <w:snapToGrid/>
        </w:rPr>
        <w:t>)</w:t>
      </w:r>
      <w:r>
        <w:rPr>
          <w:rFonts w:hint="eastAsia"/>
          <w:bCs/>
          <w:snapToGrid/>
        </w:rPr>
        <w:t>。</w:t>
      </w:r>
    </w:p>
    <w:p w:rsidR="00000000" w:rsidRDefault="00844A84" w:rsidP="00844A84">
      <w:pPr>
        <w:ind w:firstLineChars="200" w:firstLine="31680"/>
        <w:rPr>
          <w:rFonts w:hint="eastAsia"/>
          <w:bCs/>
          <w:snapToGrid/>
        </w:rPr>
      </w:pPr>
      <w:r>
        <w:rPr>
          <w:bCs/>
          <w:snapToGrid/>
        </w:rPr>
        <w:t>30.</w:t>
      </w:r>
      <w:r>
        <w:rPr>
          <w:rFonts w:hint="eastAsia"/>
          <w:bCs/>
          <w:snapToGrid/>
        </w:rPr>
        <w:t xml:space="preserve">  </w:t>
      </w:r>
      <w:r>
        <w:rPr>
          <w:bCs/>
          <w:snapToGrid/>
        </w:rPr>
        <w:t>在塞尔</w:t>
      </w:r>
      <w:r>
        <w:rPr>
          <w:bCs/>
          <w:snapToGrid/>
          <w:spacing w:val="12"/>
        </w:rPr>
        <w:t>维亚共和国劳工和就业部设立</w:t>
      </w:r>
      <w:r>
        <w:rPr>
          <w:rFonts w:hint="eastAsia"/>
          <w:bCs/>
          <w:snapToGrid/>
          <w:spacing w:val="12"/>
        </w:rPr>
        <w:t>了</w:t>
      </w:r>
      <w:r>
        <w:rPr>
          <w:bCs/>
          <w:snapToGrid/>
          <w:spacing w:val="12"/>
        </w:rPr>
        <w:t>劳工问题</w:t>
      </w:r>
      <w:r>
        <w:rPr>
          <w:rFonts w:hint="eastAsia"/>
          <w:bCs/>
          <w:snapToGrid/>
          <w:spacing w:val="12"/>
        </w:rPr>
        <w:t>视察事务处，监督</w:t>
      </w:r>
      <w:r>
        <w:rPr>
          <w:bCs/>
          <w:snapToGrid/>
          <w:spacing w:val="12"/>
        </w:rPr>
        <w:t>共和国劳工关系领域规章的实施工作。联盟</w:t>
      </w:r>
      <w:r>
        <w:rPr>
          <w:rFonts w:hint="eastAsia"/>
          <w:bCs/>
          <w:snapToGrid/>
          <w:spacing w:val="12"/>
        </w:rPr>
        <w:t>一级未开展监督</w:t>
      </w:r>
      <w:r>
        <w:rPr>
          <w:bCs/>
          <w:snapToGrid/>
          <w:spacing w:val="12"/>
        </w:rPr>
        <w:t>《联邦基本劳工关系法》的执行情况；事实上，这项工作是塞尔维亚共和国劳工问题</w:t>
      </w:r>
      <w:r>
        <w:rPr>
          <w:rFonts w:hint="eastAsia"/>
          <w:bCs/>
          <w:snapToGrid/>
          <w:spacing w:val="12"/>
        </w:rPr>
        <w:t>视察</w:t>
      </w:r>
      <w:r>
        <w:rPr>
          <w:rFonts w:hint="eastAsia"/>
          <w:bCs/>
          <w:snapToGrid/>
        </w:rPr>
        <w:t>事务处</w:t>
      </w:r>
      <w:r>
        <w:rPr>
          <w:bCs/>
          <w:snapToGrid/>
        </w:rPr>
        <w:t>通过监测共和国劳工关系</w:t>
      </w:r>
      <w:r>
        <w:rPr>
          <w:rFonts w:hint="eastAsia"/>
          <w:bCs/>
          <w:snapToGrid/>
        </w:rPr>
        <w:t>条例</w:t>
      </w:r>
      <w:r>
        <w:rPr>
          <w:bCs/>
          <w:snapToGrid/>
        </w:rPr>
        <w:t>执行情况而进行的</w:t>
      </w:r>
      <w:r>
        <w:rPr>
          <w:bCs/>
          <w:snapToGrid/>
        </w:rPr>
        <w:t>(</w:t>
      </w:r>
      <w:r>
        <w:rPr>
          <w:bCs/>
          <w:snapToGrid/>
        </w:rPr>
        <w:t>《联邦基本劳工关系法》</w:t>
      </w:r>
      <w:r>
        <w:rPr>
          <w:rFonts w:hint="eastAsia"/>
          <w:bCs/>
          <w:snapToGrid/>
        </w:rPr>
        <w:t>各</w:t>
      </w:r>
      <w:r>
        <w:rPr>
          <w:bCs/>
          <w:snapToGrid/>
        </w:rPr>
        <w:t>条款已纳入这些</w:t>
      </w:r>
      <w:r>
        <w:rPr>
          <w:rFonts w:hint="eastAsia"/>
          <w:bCs/>
          <w:snapToGrid/>
        </w:rPr>
        <w:t>条例</w:t>
      </w:r>
      <w:r>
        <w:rPr>
          <w:bCs/>
          <w:snapToGrid/>
        </w:rPr>
        <w:t>之中</w:t>
      </w:r>
      <w:r>
        <w:rPr>
          <w:rFonts w:hint="eastAsia"/>
          <w:bCs/>
          <w:snapToGrid/>
        </w:rPr>
        <w:t>)</w:t>
      </w:r>
      <w:r>
        <w:rPr>
          <w:bCs/>
          <w:snapToGrid/>
        </w:rPr>
        <w:t>。</w:t>
      </w:r>
    </w:p>
    <w:p w:rsidR="00000000" w:rsidRDefault="00844A84" w:rsidP="00844A84">
      <w:pPr>
        <w:spacing w:after="320"/>
        <w:ind w:firstLineChars="200" w:firstLine="31680"/>
        <w:rPr>
          <w:rFonts w:ascii="SimSun" w:hAnsi="SimSun" w:hint="eastAsia"/>
          <w:bCs/>
        </w:rPr>
      </w:pPr>
      <w:r>
        <w:rPr>
          <w:bCs/>
          <w:snapToGrid/>
        </w:rPr>
        <w:t>31.</w:t>
      </w:r>
      <w:r>
        <w:rPr>
          <w:rFonts w:hint="eastAsia"/>
          <w:bCs/>
          <w:snapToGrid/>
        </w:rPr>
        <w:t xml:space="preserve">  </w:t>
      </w:r>
      <w:r>
        <w:rPr>
          <w:bCs/>
          <w:snapToGrid/>
        </w:rPr>
        <w:t>《人权和少数群体权利及公民自由宪章》</w:t>
      </w:r>
      <w:r>
        <w:rPr>
          <w:rFonts w:hint="eastAsia"/>
          <w:bCs/>
          <w:snapToGrid/>
        </w:rPr>
        <w:t>依法</w:t>
      </w:r>
      <w:r>
        <w:rPr>
          <w:bCs/>
          <w:snapToGrid/>
        </w:rPr>
        <w:t>保障工作权</w:t>
      </w:r>
      <w:r>
        <w:rPr>
          <w:bCs/>
          <w:snapToGrid/>
        </w:rPr>
        <w:t>(</w:t>
      </w:r>
      <w:r>
        <w:rPr>
          <w:bCs/>
          <w:snapToGrid/>
        </w:rPr>
        <w:t>第</w:t>
      </w:r>
      <w:r>
        <w:rPr>
          <w:bCs/>
          <w:snapToGrid/>
        </w:rPr>
        <w:t>40</w:t>
      </w:r>
      <w:r>
        <w:rPr>
          <w:bCs/>
          <w:snapToGrid/>
        </w:rPr>
        <w:t>条</w:t>
      </w:r>
      <w:r>
        <w:rPr>
          <w:bCs/>
          <w:snapToGrid/>
        </w:rPr>
        <w:t>)</w:t>
      </w:r>
      <w:r>
        <w:rPr>
          <w:bCs/>
          <w:snapToGrid/>
        </w:rPr>
        <w:t>。《宪章》该条规定，成</w:t>
      </w:r>
      <w:r>
        <w:rPr>
          <w:bCs/>
          <w:snapToGrid/>
          <w:spacing w:val="12"/>
        </w:rPr>
        <w:t>员国必须创造条件，</w:t>
      </w:r>
      <w:r>
        <w:rPr>
          <w:rFonts w:hint="eastAsia"/>
          <w:bCs/>
          <w:snapToGrid/>
          <w:spacing w:val="12"/>
        </w:rPr>
        <w:t>使</w:t>
      </w:r>
      <w:r>
        <w:rPr>
          <w:bCs/>
          <w:snapToGrid/>
          <w:spacing w:val="12"/>
        </w:rPr>
        <w:t>人人都能靠工作谋生，人人都有权自由选择工作、</w:t>
      </w:r>
      <w:r>
        <w:rPr>
          <w:rFonts w:hint="eastAsia"/>
          <w:bCs/>
          <w:snapToGrid/>
          <w:spacing w:val="12"/>
        </w:rPr>
        <w:t>享有</w:t>
      </w:r>
      <w:r>
        <w:rPr>
          <w:bCs/>
          <w:snapToGrid/>
          <w:spacing w:val="12"/>
        </w:rPr>
        <w:t>公</w:t>
      </w:r>
      <w:r>
        <w:rPr>
          <w:rFonts w:hint="eastAsia"/>
          <w:bCs/>
          <w:snapToGrid/>
          <w:spacing w:val="12"/>
        </w:rPr>
        <w:t>平</w:t>
      </w:r>
      <w:r>
        <w:rPr>
          <w:bCs/>
          <w:snapToGrid/>
          <w:spacing w:val="12"/>
        </w:rPr>
        <w:t>和适当的工作条件</w:t>
      </w:r>
      <w:r>
        <w:rPr>
          <w:rFonts w:hint="eastAsia"/>
          <w:bCs/>
          <w:snapToGrid/>
          <w:spacing w:val="12"/>
        </w:rPr>
        <w:t>尤其</w:t>
      </w:r>
      <w:r>
        <w:rPr>
          <w:bCs/>
          <w:snapToGrid/>
          <w:spacing w:val="12"/>
        </w:rPr>
        <w:t>是获得公正的</w:t>
      </w:r>
      <w:r>
        <w:rPr>
          <w:rFonts w:hint="eastAsia"/>
          <w:bCs/>
          <w:snapToGrid/>
          <w:spacing w:val="12"/>
        </w:rPr>
        <w:t>劳酬</w:t>
      </w:r>
      <w:r>
        <w:rPr>
          <w:bCs/>
          <w:snapToGrid/>
          <w:spacing w:val="12"/>
        </w:rPr>
        <w:t>。但</w:t>
      </w:r>
      <w:r>
        <w:rPr>
          <w:rFonts w:hint="eastAsia"/>
          <w:bCs/>
          <w:snapToGrid/>
          <w:spacing w:val="12"/>
        </w:rPr>
        <w:t>与</w:t>
      </w:r>
      <w:r>
        <w:rPr>
          <w:bCs/>
          <w:snapToGrid/>
          <w:spacing w:val="12"/>
        </w:rPr>
        <w:t>《南斯拉夫联盟共和国宪法》不同，《宪法宪章》不再</w:t>
      </w:r>
      <w:r>
        <w:rPr>
          <w:rFonts w:hint="eastAsia"/>
          <w:bCs/>
          <w:snapToGrid/>
          <w:spacing w:val="12"/>
        </w:rPr>
        <w:t>对</w:t>
      </w:r>
      <w:r>
        <w:rPr>
          <w:bCs/>
          <w:snapToGrid/>
          <w:spacing w:val="12"/>
        </w:rPr>
        <w:t>违背雇员意愿</w:t>
      </w:r>
      <w:r>
        <w:rPr>
          <w:rFonts w:hint="eastAsia"/>
          <w:bCs/>
          <w:snapToGrid/>
          <w:spacing w:val="12"/>
        </w:rPr>
        <w:t>终止</w:t>
      </w:r>
      <w:r>
        <w:rPr>
          <w:bCs/>
          <w:snapToGrid/>
          <w:spacing w:val="12"/>
        </w:rPr>
        <w:t>雇用关系</w:t>
      </w:r>
      <w:r>
        <w:rPr>
          <w:rFonts w:hint="eastAsia"/>
          <w:bCs/>
          <w:snapToGrid/>
        </w:rPr>
        <w:t>的</w:t>
      </w:r>
      <w:r>
        <w:rPr>
          <w:bCs/>
          <w:snapToGrid/>
        </w:rPr>
        <w:t>条件</w:t>
      </w:r>
      <w:r>
        <w:rPr>
          <w:rFonts w:hint="eastAsia"/>
          <w:bCs/>
          <w:snapToGrid/>
        </w:rPr>
        <w:t>作出</w:t>
      </w:r>
      <w:r>
        <w:rPr>
          <w:bCs/>
          <w:snapToGrid/>
        </w:rPr>
        <w:t>规定。</w:t>
      </w:r>
    </w:p>
    <w:p w:rsidR="00000000" w:rsidRDefault="00844A84">
      <w:pPr>
        <w:pStyle w:val="Heading3"/>
        <w:rPr>
          <w:rFonts w:hint="eastAsia"/>
        </w:rPr>
      </w:pPr>
      <w:r>
        <w:rPr>
          <w:rFonts w:hint="eastAsia"/>
          <w:u w:val="none"/>
        </w:rPr>
        <w:t xml:space="preserve">B.  </w:t>
      </w:r>
      <w:r>
        <w:rPr>
          <w:rFonts w:hint="eastAsia"/>
        </w:rPr>
        <w:t>两性平等</w:t>
      </w:r>
    </w:p>
    <w:p w:rsidR="00000000" w:rsidRDefault="00844A84" w:rsidP="00844A84">
      <w:pPr>
        <w:ind w:firstLineChars="200" w:firstLine="31680"/>
        <w:rPr>
          <w:rFonts w:hint="eastAsia"/>
          <w:bCs/>
          <w:snapToGrid/>
        </w:rPr>
      </w:pPr>
      <w:r>
        <w:rPr>
          <w:rFonts w:hint="eastAsia"/>
          <w:bCs/>
          <w:snapToGrid/>
        </w:rPr>
        <w:t xml:space="preserve">32.  </w:t>
      </w:r>
      <w:r>
        <w:rPr>
          <w:rFonts w:hint="eastAsia"/>
          <w:bCs/>
          <w:snapToGrid/>
        </w:rPr>
        <w:t>反映执行两性平等原则实际情况的数表明，</w:t>
      </w:r>
      <w:r>
        <w:rPr>
          <w:bCs/>
          <w:snapToGrid/>
        </w:rPr>
        <w:t>1992</w:t>
      </w:r>
      <w:r>
        <w:rPr>
          <w:bCs/>
          <w:snapToGrid/>
        </w:rPr>
        <w:t>至</w:t>
      </w:r>
      <w:r>
        <w:rPr>
          <w:bCs/>
          <w:snapToGrid/>
        </w:rPr>
        <w:t>2002</w:t>
      </w:r>
      <w:r>
        <w:rPr>
          <w:bCs/>
          <w:snapToGrid/>
        </w:rPr>
        <w:t>年期间，妇女</w:t>
      </w:r>
      <w:r>
        <w:rPr>
          <w:rFonts w:hint="eastAsia"/>
          <w:bCs/>
          <w:snapToGrid/>
        </w:rPr>
        <w:t>占</w:t>
      </w:r>
      <w:r>
        <w:rPr>
          <w:bCs/>
          <w:snapToGrid/>
        </w:rPr>
        <w:t>总</w:t>
      </w:r>
      <w:r>
        <w:rPr>
          <w:rFonts w:hint="eastAsia"/>
          <w:bCs/>
          <w:snapToGrid/>
        </w:rPr>
        <w:t>就业人口</w:t>
      </w:r>
      <w:r>
        <w:rPr>
          <w:bCs/>
          <w:snapToGrid/>
        </w:rPr>
        <w:t>的</w:t>
      </w:r>
      <w:r>
        <w:rPr>
          <w:rFonts w:hint="eastAsia"/>
          <w:bCs/>
          <w:snapToGrid/>
        </w:rPr>
        <w:t>比率</w:t>
      </w:r>
      <w:r>
        <w:rPr>
          <w:bCs/>
          <w:snapToGrid/>
        </w:rPr>
        <w:t>略有提高。平均而言，过去</w:t>
      </w:r>
      <w:r>
        <w:rPr>
          <w:bCs/>
          <w:snapToGrid/>
        </w:rPr>
        <w:t>11</w:t>
      </w:r>
      <w:r>
        <w:rPr>
          <w:bCs/>
          <w:snapToGrid/>
        </w:rPr>
        <w:t>年期间</w:t>
      </w:r>
      <w:r>
        <w:rPr>
          <w:rFonts w:hint="eastAsia"/>
          <w:bCs/>
          <w:snapToGrid/>
        </w:rPr>
        <w:t>这一比率</w:t>
      </w:r>
      <w:r>
        <w:rPr>
          <w:bCs/>
          <w:snapToGrid/>
        </w:rPr>
        <w:t>为</w:t>
      </w:r>
      <w:r>
        <w:rPr>
          <w:bCs/>
          <w:snapToGrid/>
        </w:rPr>
        <w:t>41.5</w:t>
      </w:r>
      <w:r>
        <w:rPr>
          <w:rFonts w:hint="eastAsia"/>
          <w:bCs/>
          <w:snapToGrid/>
        </w:rPr>
        <w:t>5</w:t>
      </w:r>
      <w:r>
        <w:rPr>
          <w:bCs/>
          <w:snapToGrid/>
        </w:rPr>
        <w:t>%</w:t>
      </w:r>
      <w:r>
        <w:rPr>
          <w:bCs/>
          <w:snapToGrid/>
        </w:rPr>
        <w:t>。</w:t>
      </w:r>
      <w:r>
        <w:rPr>
          <w:rFonts w:hint="eastAsia"/>
          <w:bCs/>
          <w:snapToGrid/>
        </w:rPr>
        <w:t>与</w:t>
      </w:r>
      <w:r>
        <w:rPr>
          <w:bCs/>
          <w:snapToGrid/>
        </w:rPr>
        <w:t>1992</w:t>
      </w:r>
      <w:r>
        <w:rPr>
          <w:bCs/>
          <w:snapToGrid/>
        </w:rPr>
        <w:t>年相比，</w:t>
      </w:r>
      <w:r>
        <w:rPr>
          <w:bCs/>
          <w:snapToGrid/>
        </w:rPr>
        <w:t>2002</w:t>
      </w:r>
      <w:r>
        <w:rPr>
          <w:bCs/>
          <w:snapToGrid/>
        </w:rPr>
        <w:t>年上升了</w:t>
      </w:r>
      <w:r>
        <w:rPr>
          <w:bCs/>
          <w:snapToGrid/>
        </w:rPr>
        <w:t>8%</w:t>
      </w:r>
      <w:r>
        <w:rPr>
          <w:bCs/>
          <w:snapToGrid/>
        </w:rPr>
        <w:t>。</w:t>
      </w:r>
    </w:p>
    <w:p w:rsidR="00000000" w:rsidRDefault="00844A84" w:rsidP="00844A84">
      <w:pPr>
        <w:ind w:firstLineChars="200" w:firstLine="31680"/>
        <w:rPr>
          <w:rFonts w:hint="eastAsia"/>
          <w:bCs/>
          <w:snapToGrid/>
        </w:rPr>
      </w:pPr>
      <w:r>
        <w:rPr>
          <w:bCs/>
          <w:snapToGrid/>
        </w:rPr>
        <w:t>33.</w:t>
      </w:r>
      <w:r>
        <w:rPr>
          <w:rFonts w:hint="eastAsia"/>
          <w:bCs/>
          <w:snapToGrid/>
        </w:rPr>
        <w:t xml:space="preserve">  </w:t>
      </w:r>
      <w:r>
        <w:rPr>
          <w:bCs/>
          <w:snapToGrid/>
        </w:rPr>
        <w:t>平均而言，</w:t>
      </w:r>
      <w:r>
        <w:rPr>
          <w:bCs/>
          <w:snapToGrid/>
        </w:rPr>
        <w:t>1992</w:t>
      </w:r>
      <w:r>
        <w:rPr>
          <w:bCs/>
          <w:snapToGrid/>
        </w:rPr>
        <w:t>至</w:t>
      </w:r>
      <w:r>
        <w:rPr>
          <w:bCs/>
          <w:snapToGrid/>
        </w:rPr>
        <w:t>2002</w:t>
      </w:r>
      <w:r>
        <w:rPr>
          <w:bCs/>
          <w:snapToGrid/>
        </w:rPr>
        <w:t>年期间，失业妇女占总</w:t>
      </w:r>
      <w:r>
        <w:rPr>
          <w:rFonts w:hint="eastAsia"/>
          <w:bCs/>
          <w:snapToGrid/>
        </w:rPr>
        <w:t>失业</w:t>
      </w:r>
      <w:r>
        <w:rPr>
          <w:bCs/>
          <w:snapToGrid/>
        </w:rPr>
        <w:t>人数的</w:t>
      </w:r>
      <w:r>
        <w:rPr>
          <w:bCs/>
          <w:snapToGrid/>
        </w:rPr>
        <w:t>5</w:t>
      </w:r>
      <w:r>
        <w:rPr>
          <w:rFonts w:hint="eastAsia"/>
          <w:bCs/>
          <w:snapToGrid/>
        </w:rPr>
        <w:t>5.</w:t>
      </w:r>
      <w:r>
        <w:rPr>
          <w:bCs/>
          <w:snapToGrid/>
        </w:rPr>
        <w:t>45%</w:t>
      </w:r>
      <w:r>
        <w:rPr>
          <w:bCs/>
          <w:snapToGrid/>
        </w:rPr>
        <w:t>。与此同时，通过劳工市场办事处就业的妇女的平均百分比为</w:t>
      </w:r>
      <w:r>
        <w:rPr>
          <w:bCs/>
          <w:snapToGrid/>
        </w:rPr>
        <w:t>52.3%</w:t>
      </w:r>
      <w:r>
        <w:rPr>
          <w:bCs/>
          <w:snapToGrid/>
        </w:rPr>
        <w:t>。</w:t>
      </w:r>
      <w:r>
        <w:rPr>
          <w:rFonts w:hint="eastAsia"/>
          <w:bCs/>
          <w:snapToGrid/>
        </w:rPr>
        <w:t>以</w:t>
      </w:r>
      <w:r>
        <w:rPr>
          <w:bCs/>
          <w:snapToGrid/>
        </w:rPr>
        <w:t>劳工市场办事处</w:t>
      </w:r>
      <w:r>
        <w:rPr>
          <w:bCs/>
          <w:snapToGrid/>
        </w:rPr>
        <w:t>的记录以及与</w:t>
      </w:r>
      <w:r>
        <w:rPr>
          <w:rFonts w:hint="eastAsia"/>
          <w:bCs/>
          <w:snapToGrid/>
        </w:rPr>
        <w:t>失业</w:t>
      </w:r>
      <w:r>
        <w:rPr>
          <w:bCs/>
          <w:snapToGrid/>
        </w:rPr>
        <w:t>相关的记录</w:t>
      </w:r>
      <w:r>
        <w:rPr>
          <w:rFonts w:hint="eastAsia"/>
          <w:bCs/>
          <w:snapToGrid/>
        </w:rPr>
        <w:t>为依据的</w:t>
      </w:r>
      <w:r>
        <w:rPr>
          <w:bCs/>
          <w:snapToGrid/>
        </w:rPr>
        <w:t>就业</w:t>
      </w:r>
      <w:r>
        <w:rPr>
          <w:rFonts w:hint="eastAsia"/>
          <w:bCs/>
          <w:snapToGrid/>
        </w:rPr>
        <w:t>和</w:t>
      </w:r>
      <w:r>
        <w:rPr>
          <w:bCs/>
          <w:snapToGrid/>
        </w:rPr>
        <w:t>签订就业合同的趋势表明，妇女就业人数直线上升，通过劳工市场办事处</w:t>
      </w:r>
      <w:r>
        <w:rPr>
          <w:rFonts w:hint="eastAsia"/>
          <w:bCs/>
          <w:snapToGrid/>
        </w:rPr>
        <w:t>求职</w:t>
      </w:r>
      <w:r>
        <w:rPr>
          <w:bCs/>
          <w:snapToGrid/>
        </w:rPr>
        <w:t>的妇女的百分比也稳步提高。按统计数据，在拥有大专院校文凭的失业者总人数中，受过大学教育的妇女</w:t>
      </w:r>
      <w:r>
        <w:rPr>
          <w:rFonts w:hint="eastAsia"/>
          <w:bCs/>
          <w:snapToGrid/>
        </w:rPr>
        <w:t>的</w:t>
      </w:r>
      <w:r>
        <w:rPr>
          <w:bCs/>
          <w:snapToGrid/>
        </w:rPr>
        <w:t>百分比为</w:t>
      </w:r>
      <w:r>
        <w:rPr>
          <w:bCs/>
          <w:snapToGrid/>
        </w:rPr>
        <w:t>58.2%</w:t>
      </w:r>
      <w:r>
        <w:rPr>
          <w:bCs/>
          <w:snapToGrid/>
        </w:rPr>
        <w:t>。</w:t>
      </w:r>
      <w:r>
        <w:rPr>
          <w:rFonts w:hint="eastAsia"/>
          <w:bCs/>
          <w:snapToGrid/>
        </w:rPr>
        <w:t>约</w:t>
      </w:r>
      <w:r>
        <w:rPr>
          <w:bCs/>
          <w:snapToGrid/>
        </w:rPr>
        <w:t>有</w:t>
      </w:r>
      <w:r>
        <w:rPr>
          <w:bCs/>
          <w:snapToGrid/>
        </w:rPr>
        <w:t>57%</w:t>
      </w:r>
      <w:r>
        <w:rPr>
          <w:bCs/>
          <w:snapToGrid/>
        </w:rPr>
        <w:t>失业妇女的</w:t>
      </w:r>
      <w:r>
        <w:rPr>
          <w:rFonts w:hint="eastAsia"/>
          <w:bCs/>
          <w:snapToGrid/>
        </w:rPr>
        <w:t>求职</w:t>
      </w:r>
      <w:r>
        <w:rPr>
          <w:bCs/>
          <w:snapToGrid/>
        </w:rPr>
        <w:t>时间超过两年；</w:t>
      </w:r>
      <w:r>
        <w:rPr>
          <w:rFonts w:hint="eastAsia"/>
          <w:bCs/>
          <w:snapToGrid/>
        </w:rPr>
        <w:t>失业</w:t>
      </w:r>
      <w:r>
        <w:rPr>
          <w:bCs/>
          <w:snapToGrid/>
        </w:rPr>
        <w:t>男子</w:t>
      </w:r>
      <w:r>
        <w:rPr>
          <w:rFonts w:hint="eastAsia"/>
          <w:bCs/>
          <w:snapToGrid/>
        </w:rPr>
        <w:t>则略低</w:t>
      </w:r>
      <w:r>
        <w:rPr>
          <w:bCs/>
          <w:snapToGrid/>
        </w:rPr>
        <w:t>，为</w:t>
      </w:r>
      <w:r>
        <w:rPr>
          <w:bCs/>
          <w:snapToGrid/>
        </w:rPr>
        <w:t>50%</w:t>
      </w:r>
      <w:r>
        <w:rPr>
          <w:bCs/>
          <w:snapToGrid/>
        </w:rPr>
        <w:t>。</w:t>
      </w:r>
    </w:p>
    <w:p w:rsidR="00000000" w:rsidRDefault="00844A84" w:rsidP="00844A84">
      <w:pPr>
        <w:ind w:firstLineChars="200" w:firstLine="31680"/>
        <w:rPr>
          <w:rFonts w:hint="eastAsia"/>
          <w:bCs/>
          <w:snapToGrid/>
        </w:rPr>
      </w:pPr>
      <w:r>
        <w:rPr>
          <w:bCs/>
          <w:snapToGrid/>
        </w:rPr>
        <w:t>34.</w:t>
      </w:r>
      <w:r>
        <w:rPr>
          <w:rFonts w:hint="eastAsia"/>
          <w:bCs/>
          <w:snapToGrid/>
        </w:rPr>
        <w:t xml:space="preserve">  </w:t>
      </w:r>
      <w:r>
        <w:rPr>
          <w:bCs/>
          <w:snapToGrid/>
        </w:rPr>
        <w:t>平均而言，妇女</w:t>
      </w:r>
      <w:r>
        <w:rPr>
          <w:rFonts w:hint="eastAsia"/>
          <w:bCs/>
          <w:snapToGrid/>
        </w:rPr>
        <w:t>的求职</w:t>
      </w:r>
      <w:r>
        <w:rPr>
          <w:bCs/>
          <w:snapToGrid/>
        </w:rPr>
        <w:t>时间</w:t>
      </w:r>
      <w:r>
        <w:rPr>
          <w:rFonts w:hint="eastAsia"/>
          <w:bCs/>
          <w:snapToGrid/>
        </w:rPr>
        <w:t>多于</w:t>
      </w:r>
      <w:r>
        <w:rPr>
          <w:bCs/>
          <w:snapToGrid/>
        </w:rPr>
        <w:t>男子，在几乎所有</w:t>
      </w:r>
      <w:r>
        <w:rPr>
          <w:rFonts w:hint="eastAsia"/>
          <w:bCs/>
          <w:snapToGrid/>
        </w:rPr>
        <w:t>不同</w:t>
      </w:r>
      <w:r>
        <w:rPr>
          <w:bCs/>
          <w:snapToGrid/>
        </w:rPr>
        <w:t>文化水平的失业者</w:t>
      </w:r>
      <w:r>
        <w:rPr>
          <w:rFonts w:hint="eastAsia"/>
          <w:bCs/>
          <w:snapToGrid/>
        </w:rPr>
        <w:t>中，妇女都</w:t>
      </w:r>
      <w:r>
        <w:rPr>
          <w:bCs/>
          <w:snapToGrid/>
        </w:rPr>
        <w:t>占较大的比例。文化模式和妇女的社会地位</w:t>
      </w:r>
      <w:r>
        <w:rPr>
          <w:rFonts w:hint="eastAsia"/>
          <w:bCs/>
          <w:snapToGrid/>
        </w:rPr>
        <w:t>造成了</w:t>
      </w:r>
      <w:r>
        <w:rPr>
          <w:bCs/>
          <w:snapToGrid/>
        </w:rPr>
        <w:t>这种情况，但选择劳工市场需求量较低的职业</w:t>
      </w:r>
      <w:r>
        <w:rPr>
          <w:rFonts w:hint="eastAsia"/>
          <w:bCs/>
          <w:snapToGrid/>
        </w:rPr>
        <w:t>也造成了</w:t>
      </w:r>
      <w:r>
        <w:rPr>
          <w:bCs/>
          <w:snapToGrid/>
        </w:rPr>
        <w:t>这种情况。在教育、纺织业、文化和保健方面就业的妇</w:t>
      </w:r>
      <w:r>
        <w:rPr>
          <w:bCs/>
          <w:snapToGrid/>
        </w:rPr>
        <w:t>女多</w:t>
      </w:r>
      <w:r>
        <w:rPr>
          <w:rFonts w:hint="eastAsia"/>
          <w:bCs/>
          <w:snapToGrid/>
        </w:rPr>
        <w:t>于</w:t>
      </w:r>
      <w:r>
        <w:rPr>
          <w:bCs/>
          <w:snapToGrid/>
        </w:rPr>
        <w:t>男子</w:t>
      </w:r>
      <w:r>
        <w:rPr>
          <w:rFonts w:hint="eastAsia"/>
          <w:bCs/>
          <w:snapToGrid/>
        </w:rPr>
        <w:t>，这一事实</w:t>
      </w:r>
      <w:r>
        <w:rPr>
          <w:bCs/>
          <w:snapToGrid/>
        </w:rPr>
        <w:t>表明</w:t>
      </w:r>
      <w:r>
        <w:rPr>
          <w:rFonts w:hint="eastAsia"/>
          <w:bCs/>
          <w:snapToGrid/>
        </w:rPr>
        <w:t>了</w:t>
      </w:r>
      <w:r>
        <w:rPr>
          <w:bCs/>
          <w:snapToGrid/>
        </w:rPr>
        <w:t>妇女选择职业</w:t>
      </w:r>
      <w:r>
        <w:rPr>
          <w:rFonts w:hint="eastAsia"/>
          <w:bCs/>
          <w:snapToGrid/>
        </w:rPr>
        <w:t>的情况</w:t>
      </w:r>
      <w:r>
        <w:rPr>
          <w:bCs/>
          <w:snapToGrid/>
        </w:rPr>
        <w:t>。</w:t>
      </w:r>
    </w:p>
    <w:p w:rsidR="00000000" w:rsidRDefault="00844A84" w:rsidP="00844A84">
      <w:pPr>
        <w:ind w:firstLineChars="200" w:firstLine="31680"/>
        <w:rPr>
          <w:rFonts w:ascii="SimSun" w:hAnsi="SimSun" w:hint="eastAsia"/>
          <w:bCs/>
        </w:rPr>
      </w:pPr>
      <w:r>
        <w:rPr>
          <w:bCs/>
          <w:snapToGrid/>
        </w:rPr>
        <w:t>35.</w:t>
      </w:r>
      <w:r>
        <w:rPr>
          <w:rFonts w:hint="eastAsia"/>
          <w:bCs/>
          <w:snapToGrid/>
        </w:rPr>
        <w:t xml:space="preserve">  </w:t>
      </w:r>
      <w:r>
        <w:rPr>
          <w:bCs/>
          <w:snapToGrid/>
        </w:rPr>
        <w:t>在通过劳工市场办事处求职的总人数中，妇女所占比例较高，</w:t>
      </w:r>
      <w:r>
        <w:rPr>
          <w:rFonts w:hint="eastAsia"/>
          <w:bCs/>
          <w:snapToGrid/>
        </w:rPr>
        <w:t>这是因为各种</w:t>
      </w:r>
      <w:r>
        <w:rPr>
          <w:bCs/>
          <w:snapToGrid/>
        </w:rPr>
        <w:t>社会文化因素</w:t>
      </w:r>
      <w:r>
        <w:rPr>
          <w:rFonts w:hint="eastAsia"/>
          <w:bCs/>
          <w:snapToGrid/>
        </w:rPr>
        <w:t>致使</w:t>
      </w:r>
      <w:r>
        <w:rPr>
          <w:bCs/>
          <w:snapToGrid/>
        </w:rPr>
        <w:t>求职的妇女</w:t>
      </w:r>
      <w:r>
        <w:rPr>
          <w:rFonts w:hint="eastAsia"/>
          <w:bCs/>
          <w:snapToGrid/>
        </w:rPr>
        <w:t>较少进行个人</w:t>
      </w:r>
      <w:r>
        <w:rPr>
          <w:bCs/>
          <w:snapToGrid/>
        </w:rPr>
        <w:t>活动，</w:t>
      </w:r>
      <w:r>
        <w:rPr>
          <w:rFonts w:hint="eastAsia"/>
          <w:bCs/>
          <w:snapToGrid/>
        </w:rPr>
        <w:t>而且这也是</w:t>
      </w:r>
      <w:r>
        <w:rPr>
          <w:bCs/>
          <w:snapToGrid/>
        </w:rPr>
        <w:t>劳工市场办事处</w:t>
      </w:r>
      <w:r>
        <w:rPr>
          <w:rFonts w:hint="eastAsia"/>
          <w:bCs/>
          <w:snapToGrid/>
        </w:rPr>
        <w:t>开展</w:t>
      </w:r>
      <w:r>
        <w:rPr>
          <w:bCs/>
          <w:snapToGrid/>
        </w:rPr>
        <w:t>活动的结果。尽管一般而言，劳工市场办事处</w:t>
      </w:r>
      <w:r>
        <w:rPr>
          <w:rFonts w:hint="eastAsia"/>
          <w:bCs/>
          <w:snapToGrid/>
        </w:rPr>
        <w:t>未为</w:t>
      </w:r>
      <w:r>
        <w:rPr>
          <w:bCs/>
          <w:snapToGrid/>
        </w:rPr>
        <w:t>妇女就业</w:t>
      </w:r>
      <w:r>
        <w:rPr>
          <w:rFonts w:hint="eastAsia"/>
          <w:bCs/>
          <w:snapToGrid/>
        </w:rPr>
        <w:t>采用</w:t>
      </w:r>
      <w:r>
        <w:rPr>
          <w:bCs/>
          <w:snapToGrid/>
        </w:rPr>
        <w:t>特别方案</w:t>
      </w:r>
      <w:r>
        <w:rPr>
          <w:rFonts w:hint="eastAsia"/>
          <w:bCs/>
          <w:snapToGrid/>
        </w:rPr>
        <w:t>和</w:t>
      </w:r>
      <w:r>
        <w:rPr>
          <w:bCs/>
          <w:snapToGrid/>
        </w:rPr>
        <w:t>额外</w:t>
      </w:r>
      <w:r>
        <w:rPr>
          <w:rFonts w:hint="eastAsia"/>
          <w:bCs/>
          <w:snapToGrid/>
        </w:rPr>
        <w:t>的经济</w:t>
      </w:r>
      <w:r>
        <w:rPr>
          <w:bCs/>
          <w:snapToGrid/>
        </w:rPr>
        <w:t>鼓励</w:t>
      </w:r>
      <w:r>
        <w:rPr>
          <w:rFonts w:hint="eastAsia"/>
          <w:bCs/>
          <w:snapToGrid/>
        </w:rPr>
        <w:t>措施</w:t>
      </w:r>
      <w:r>
        <w:rPr>
          <w:bCs/>
          <w:snapToGrid/>
        </w:rPr>
        <w:t>，</w:t>
      </w:r>
      <w:r>
        <w:rPr>
          <w:rFonts w:hint="eastAsia"/>
          <w:bCs/>
          <w:snapToGrid/>
        </w:rPr>
        <w:t>但妇女</w:t>
      </w:r>
      <w:r>
        <w:rPr>
          <w:bCs/>
          <w:snapToGrid/>
        </w:rPr>
        <w:t>参与某些方案</w:t>
      </w:r>
      <w:r>
        <w:rPr>
          <w:rFonts w:hint="eastAsia"/>
          <w:bCs/>
          <w:snapToGrid/>
        </w:rPr>
        <w:t>的</w:t>
      </w:r>
      <w:r>
        <w:rPr>
          <w:bCs/>
          <w:snapToGrid/>
        </w:rPr>
        <w:t>活动比男子更</w:t>
      </w:r>
      <w:r>
        <w:rPr>
          <w:rFonts w:hint="eastAsia"/>
          <w:bCs/>
          <w:snapToGrid/>
        </w:rPr>
        <w:t>为积极</w:t>
      </w:r>
      <w:r>
        <w:rPr>
          <w:bCs/>
          <w:snapToGrid/>
        </w:rPr>
        <w:t>。</w:t>
      </w:r>
    </w:p>
    <w:p w:rsidR="00000000" w:rsidRDefault="00844A84" w:rsidP="00844A84">
      <w:pPr>
        <w:spacing w:after="320"/>
        <w:ind w:firstLineChars="200" w:firstLine="31680"/>
        <w:rPr>
          <w:rFonts w:ascii="SimSun" w:hAnsi="SimSun" w:hint="eastAsia"/>
          <w:bCs/>
        </w:rPr>
      </w:pPr>
      <w:r>
        <w:rPr>
          <w:bCs/>
          <w:snapToGrid/>
        </w:rPr>
        <w:t>36.</w:t>
      </w:r>
      <w:r>
        <w:rPr>
          <w:rFonts w:hint="eastAsia"/>
          <w:bCs/>
          <w:snapToGrid/>
        </w:rPr>
        <w:t xml:space="preserve">  </w:t>
      </w:r>
      <w:r>
        <w:rPr>
          <w:rFonts w:hint="eastAsia"/>
          <w:bCs/>
          <w:snapToGrid/>
        </w:rPr>
        <w:t>不严格遵守两性平等原则而限制工作权的情况是实际存在的。这尤其表现在法律规定雇主可选择和雇用符合雇主本人雇佣标准的人员。虽然法律和其他规章、集体协定等规定男女在法律上完全平等，但实</w:t>
      </w:r>
      <w:r>
        <w:rPr>
          <w:rFonts w:hint="eastAsia"/>
          <w:bCs/>
          <w:snapToGrid/>
        </w:rPr>
        <w:t>践并非始终如此。这方面的实践表明，一些雇主不完全遵守两性平等原则，尤其是在典型的女性职业中对年龄有所限制并对诸如产假或育儿假作出限制。</w:t>
      </w:r>
    </w:p>
    <w:p w:rsidR="00000000" w:rsidRDefault="00844A84">
      <w:pPr>
        <w:pStyle w:val="Heading3"/>
        <w:rPr>
          <w:rFonts w:hint="eastAsia"/>
        </w:rPr>
      </w:pPr>
      <w:r>
        <w:rPr>
          <w:rFonts w:hint="eastAsia"/>
          <w:u w:val="none"/>
        </w:rPr>
        <w:t xml:space="preserve">C.  </w:t>
      </w:r>
      <w:r>
        <w:rPr>
          <w:rFonts w:hint="eastAsia"/>
        </w:rPr>
        <w:t>遵守无歧视就业的原则</w:t>
      </w:r>
    </w:p>
    <w:p w:rsidR="00000000" w:rsidRDefault="00844A84" w:rsidP="00844A84">
      <w:pPr>
        <w:ind w:firstLineChars="200" w:firstLine="31680"/>
        <w:rPr>
          <w:rFonts w:hint="eastAsia"/>
          <w:bCs/>
          <w:snapToGrid/>
        </w:rPr>
      </w:pPr>
      <w:r>
        <w:rPr>
          <w:bCs/>
          <w:snapToGrid/>
        </w:rPr>
        <w:t>37.</w:t>
      </w:r>
      <w:r>
        <w:rPr>
          <w:rFonts w:hint="eastAsia"/>
          <w:bCs/>
          <w:snapToGrid/>
        </w:rPr>
        <w:t xml:space="preserve">  </w:t>
      </w:r>
      <w:r>
        <w:rPr>
          <w:bCs/>
          <w:snapToGrid/>
        </w:rPr>
        <w:t>如果我们</w:t>
      </w:r>
      <w:r>
        <w:rPr>
          <w:rFonts w:hint="eastAsia"/>
          <w:bCs/>
          <w:snapToGrid/>
        </w:rPr>
        <w:t>察看</w:t>
      </w:r>
      <w:r>
        <w:rPr>
          <w:bCs/>
          <w:snapToGrid/>
        </w:rPr>
        <w:t>遵守就业平等原则的情况，</w:t>
      </w:r>
      <w:r>
        <w:rPr>
          <w:rFonts w:hint="eastAsia"/>
          <w:bCs/>
          <w:snapToGrid/>
        </w:rPr>
        <w:t>就可以看到</w:t>
      </w:r>
      <w:r>
        <w:rPr>
          <w:bCs/>
          <w:snapToGrid/>
        </w:rPr>
        <w:t>实践表明</w:t>
      </w:r>
      <w:r>
        <w:rPr>
          <w:rFonts w:hint="eastAsia"/>
          <w:bCs/>
          <w:snapToGrid/>
        </w:rPr>
        <w:t>在国籍、种族、语言、宗教、政治或其他信仰、教育、社会出身、财产或任何其他个人地位等方面都一贯遵守了这一原则，也就是说，对据此行使就业权没有任何歧视。</w:t>
      </w:r>
    </w:p>
    <w:p w:rsidR="00000000" w:rsidRDefault="00844A84" w:rsidP="00844A84">
      <w:pPr>
        <w:ind w:firstLineChars="200" w:firstLine="31680"/>
        <w:rPr>
          <w:rFonts w:hint="eastAsia"/>
          <w:bCs/>
          <w:snapToGrid/>
        </w:rPr>
      </w:pPr>
      <w:r>
        <w:rPr>
          <w:rFonts w:hint="eastAsia"/>
          <w:bCs/>
          <w:snapToGrid/>
        </w:rPr>
        <w:t xml:space="preserve">38.  </w:t>
      </w:r>
      <w:r>
        <w:rPr>
          <w:rFonts w:hint="eastAsia"/>
          <w:bCs/>
          <w:snapToGrid/>
        </w:rPr>
        <w:t>尽管事实上，劳工市场办事处为残疾人就业提供的鼓励措施是为其他失业者提供的两倍之多，使残疾人在就业方面处于有利地位的类别，但</w:t>
      </w:r>
      <w:r>
        <w:rPr>
          <w:rFonts w:hint="eastAsia"/>
          <w:bCs/>
          <w:snapToGrid/>
        </w:rPr>
        <w:t>雇主认为这些鼓励措施不够充分，因此不愿雇用残疾人。</w:t>
      </w:r>
    </w:p>
    <w:p w:rsidR="00000000" w:rsidRDefault="00844A84" w:rsidP="00844A84">
      <w:pPr>
        <w:ind w:firstLineChars="200" w:firstLine="31680"/>
        <w:rPr>
          <w:rFonts w:hint="eastAsia"/>
          <w:bCs/>
          <w:snapToGrid/>
        </w:rPr>
      </w:pPr>
      <w:r>
        <w:rPr>
          <w:rFonts w:hint="eastAsia"/>
          <w:bCs/>
          <w:snapToGrid/>
        </w:rPr>
        <w:t xml:space="preserve">39.  </w:t>
      </w:r>
      <w:r>
        <w:rPr>
          <w:rFonts w:hint="eastAsia"/>
          <w:bCs/>
          <w:snapToGrid/>
        </w:rPr>
        <w:t>塞尔维亚共和国劳工和就业部编写了一份《就业和失业保险法》草案，其目的是按照国际公约、欧洲联盟的建议以及欧洲立法的当代惯例，对这些领域进行管理。法律草案规定了自由选择、平等就业和平等待遇的原则，按照这一原则，任何求职者在雇用程序中都应得到平等提供工作的机会和平等的待遇，即不得因其种族、肤色、性别、国籍、宗教、政治和其他信仰或见解、社会地位或出身、财产、婚姻或家庭状况、年龄、是否为工会、协会或政治组织的成员、符合工作条件后的健康状况或任何其他可能成为</w:t>
      </w:r>
      <w:r>
        <w:rPr>
          <w:rFonts w:hint="eastAsia"/>
          <w:bCs/>
          <w:snapToGrid/>
        </w:rPr>
        <w:t>歧视依据的情况而予以歧视，即不得对在履行工作职能方面存在无关紧要差异的人员之间予以不平等待遇。同样，法律草案还规定，如果雇主因歧视而拒绝签订雇用合同，则应支付赔偿罚款。</w:t>
      </w:r>
    </w:p>
    <w:p w:rsidR="00000000" w:rsidRDefault="00844A84" w:rsidP="00844A84">
      <w:pPr>
        <w:ind w:firstLineChars="200" w:firstLine="31680"/>
        <w:rPr>
          <w:rFonts w:hint="eastAsia"/>
          <w:bCs/>
          <w:snapToGrid/>
        </w:rPr>
      </w:pPr>
      <w:r>
        <w:rPr>
          <w:rFonts w:hint="eastAsia"/>
          <w:bCs/>
          <w:snapToGrid/>
        </w:rPr>
        <w:t xml:space="preserve">40.  </w:t>
      </w:r>
      <w:r>
        <w:rPr>
          <w:rFonts w:hint="eastAsia"/>
          <w:bCs/>
          <w:snapToGrid/>
        </w:rPr>
        <w:t>为了使残疾人充分进入劳工市场，目前正在编写《残疾人就业法》草案，该草案的依据是权利的概念，并将处理残疾问题从医疗的概念转向将之视为人权的概念。该项法律特别保护残疾人的就业和工作，禁止在就业方面歧视残疾人，为残疾人调整工作场所以符合他们的需要，并规定所有公司都有义务雇佣残疾人。如果残疾人有能力从事有关工作，他们可在平等的条件下获得所</w:t>
      </w:r>
      <w:r>
        <w:rPr>
          <w:rFonts w:hint="eastAsia"/>
          <w:bCs/>
          <w:snapToGrid/>
        </w:rPr>
        <w:t>有的工作机会和一切形式的工作培训。同样，应主要通过融合的办法即与身心健全者一起成为就业和培训方案的对象。如果他们不能就雇于开放的劳工市场，他们应就雇于对残疾人进行工作培训和供他们就业的公司。</w:t>
      </w:r>
    </w:p>
    <w:p w:rsidR="00000000" w:rsidRDefault="00844A84" w:rsidP="00844A84">
      <w:pPr>
        <w:ind w:firstLineChars="200" w:firstLine="31680"/>
        <w:rPr>
          <w:rFonts w:hint="eastAsia"/>
          <w:bCs/>
          <w:snapToGrid/>
        </w:rPr>
      </w:pPr>
      <w:r>
        <w:rPr>
          <w:rFonts w:hint="eastAsia"/>
          <w:bCs/>
          <w:snapToGrid/>
        </w:rPr>
        <w:t xml:space="preserve">41.  </w:t>
      </w:r>
      <w:r>
        <w:rPr>
          <w:rFonts w:hint="eastAsia"/>
          <w:bCs/>
          <w:snapToGrid/>
        </w:rPr>
        <w:t>按照《设施环境规划法》第</w:t>
      </w:r>
      <w:r>
        <w:rPr>
          <w:rFonts w:hint="eastAsia"/>
          <w:bCs/>
          <w:snapToGrid/>
        </w:rPr>
        <w:t>72</w:t>
      </w:r>
      <w:r>
        <w:rPr>
          <w:rFonts w:hint="eastAsia"/>
          <w:bCs/>
          <w:snapToGrid/>
        </w:rPr>
        <w:t>条第</w:t>
      </w:r>
      <w:r>
        <w:rPr>
          <w:rFonts w:hint="eastAsia"/>
          <w:bCs/>
          <w:snapToGrid/>
        </w:rPr>
        <w:t>1</w:t>
      </w:r>
      <w:r>
        <w:rPr>
          <w:rFonts w:hint="eastAsia"/>
          <w:bCs/>
          <w:snapToGrid/>
        </w:rPr>
        <w:t>款第</w:t>
      </w:r>
      <w:r>
        <w:rPr>
          <w:rFonts w:hint="eastAsia"/>
          <w:bCs/>
          <w:snapToGrid/>
        </w:rPr>
        <w:t>2</w:t>
      </w:r>
      <w:r>
        <w:rPr>
          <w:rFonts w:hint="eastAsia"/>
          <w:bCs/>
          <w:snapToGrid/>
        </w:rPr>
        <w:t>项规定，城镇规划部部长授权规定各种条件，规划和设计与儿童、老人以及残障者和残疾人安全行动有关的设施。该部长行使这一职权，制定了规定这些条件的细则</w:t>
      </w:r>
      <w:r>
        <w:rPr>
          <w:rFonts w:hint="eastAsia"/>
          <w:bCs/>
          <w:snapToGrid/>
        </w:rPr>
        <w:t>(</w:t>
      </w:r>
      <w:r>
        <w:rPr>
          <w:rFonts w:hint="eastAsia"/>
          <w:bCs/>
          <w:snapToGrid/>
        </w:rPr>
        <w:t>《塞尔维亚共和国政府公报》第</w:t>
      </w:r>
      <w:r>
        <w:rPr>
          <w:rFonts w:hint="eastAsia"/>
          <w:bCs/>
          <w:snapToGrid/>
        </w:rPr>
        <w:t>18/1997</w:t>
      </w:r>
      <w:r>
        <w:rPr>
          <w:rFonts w:hint="eastAsia"/>
          <w:bCs/>
          <w:snapToGrid/>
        </w:rPr>
        <w:t>号</w:t>
      </w:r>
      <w:r>
        <w:rPr>
          <w:rFonts w:hint="eastAsia"/>
          <w:bCs/>
          <w:snapToGrid/>
        </w:rPr>
        <w:t>)</w:t>
      </w:r>
      <w:r>
        <w:rPr>
          <w:rFonts w:hint="eastAsia"/>
          <w:bCs/>
          <w:snapToGrid/>
        </w:rPr>
        <w:t>。</w:t>
      </w:r>
    </w:p>
    <w:p w:rsidR="00000000" w:rsidRDefault="00844A84" w:rsidP="00844A84">
      <w:pPr>
        <w:ind w:firstLineChars="200" w:firstLine="31680"/>
        <w:rPr>
          <w:rFonts w:hint="eastAsia"/>
          <w:bCs/>
          <w:snapToGrid/>
        </w:rPr>
      </w:pPr>
      <w:r>
        <w:rPr>
          <w:rFonts w:hint="eastAsia"/>
          <w:bCs/>
          <w:snapToGrid/>
        </w:rPr>
        <w:t xml:space="preserve">42.  </w:t>
      </w:r>
      <w:r>
        <w:rPr>
          <w:rFonts w:hint="eastAsia"/>
          <w:bCs/>
          <w:snapToGrid/>
        </w:rPr>
        <w:t>残疾人易于出入各种空间、场所和设施的问题是应由《设施环境和居住规</w:t>
      </w:r>
      <w:r>
        <w:rPr>
          <w:rFonts w:hint="eastAsia"/>
          <w:bCs/>
          <w:snapToGrid/>
        </w:rPr>
        <w:t>划法》及《设施建造法》处理的问题，但这两项法律处理这些事项的条款甚少。</w:t>
      </w:r>
    </w:p>
    <w:p w:rsidR="00000000" w:rsidRDefault="00844A84" w:rsidP="00844A84">
      <w:pPr>
        <w:ind w:firstLineChars="200" w:firstLine="31680"/>
        <w:rPr>
          <w:rFonts w:hint="eastAsia"/>
          <w:bCs/>
          <w:snapToGrid/>
        </w:rPr>
      </w:pPr>
      <w:r>
        <w:rPr>
          <w:rFonts w:hint="eastAsia"/>
          <w:bCs/>
          <w:snapToGrid/>
        </w:rPr>
        <w:t xml:space="preserve">43.  </w:t>
      </w:r>
      <w:r>
        <w:rPr>
          <w:rFonts w:hint="eastAsia"/>
          <w:bCs/>
          <w:snapToGrid/>
        </w:rPr>
        <w:t>法国人道主义组织“国际残疾协会”发起了“残疾人及其环境”的项目。实施该项目的结果是出版了一份专著，下文的数据就是从中摘取的。在该项目的框架中可确定以下各问题：</w:t>
      </w:r>
    </w:p>
    <w:p w:rsidR="00000000" w:rsidRDefault="00844A84" w:rsidP="00844A84">
      <w:pPr>
        <w:pStyle w:val="a0"/>
        <w:tabs>
          <w:tab w:val="clear" w:pos="510"/>
          <w:tab w:val="num" w:pos="1529"/>
        </w:tabs>
        <w:ind w:leftChars="392" w:left="31680"/>
        <w:rPr>
          <w:bCs/>
          <w:snapToGrid/>
        </w:rPr>
      </w:pPr>
      <w:r>
        <w:rPr>
          <w:rFonts w:hint="eastAsia"/>
          <w:snapToGrid/>
        </w:rPr>
        <w:t>残疾人参与社会生活各领域尤其是与之有关领域的活动和决策工作受到限制或不充分；</w:t>
      </w:r>
    </w:p>
    <w:p w:rsidR="00000000" w:rsidRDefault="00844A84" w:rsidP="00844A84">
      <w:pPr>
        <w:pStyle w:val="a0"/>
        <w:tabs>
          <w:tab w:val="clear" w:pos="510"/>
          <w:tab w:val="num" w:pos="1529"/>
        </w:tabs>
        <w:ind w:leftChars="392" w:left="31680"/>
        <w:rPr>
          <w:snapToGrid/>
        </w:rPr>
      </w:pPr>
      <w:r>
        <w:rPr>
          <w:rFonts w:hint="eastAsia"/>
          <w:snapToGrid/>
        </w:rPr>
        <w:t>在教育领域，许多残障儿童被排除在学校活动之外，或限制在他们得不到参与正常社会活动最佳机会的教育机构之中；</w:t>
      </w:r>
    </w:p>
    <w:p w:rsidR="00000000" w:rsidRDefault="00844A84" w:rsidP="00844A84">
      <w:pPr>
        <w:pStyle w:val="a0"/>
        <w:tabs>
          <w:tab w:val="clear" w:pos="510"/>
          <w:tab w:val="num" w:pos="1529"/>
        </w:tabs>
        <w:ind w:leftChars="392" w:left="31680"/>
        <w:rPr>
          <w:bCs/>
          <w:snapToGrid/>
        </w:rPr>
      </w:pPr>
      <w:r>
        <w:rPr>
          <w:rFonts w:hint="eastAsia"/>
          <w:snapToGrid/>
        </w:rPr>
        <w:t>在就业领域，残疾人的就业率远远低于其他任何群体；</w:t>
      </w:r>
    </w:p>
    <w:p w:rsidR="00000000" w:rsidRDefault="00844A84" w:rsidP="00844A84">
      <w:pPr>
        <w:pStyle w:val="a0"/>
        <w:tabs>
          <w:tab w:val="clear" w:pos="510"/>
          <w:tab w:val="num" w:pos="1529"/>
        </w:tabs>
        <w:ind w:leftChars="392" w:left="31680"/>
        <w:rPr>
          <w:snapToGrid/>
        </w:rPr>
      </w:pPr>
      <w:r>
        <w:rPr>
          <w:rFonts w:hint="eastAsia"/>
          <w:snapToGrid/>
        </w:rPr>
        <w:t>大量残疾人无法参与公共生活，因为他们</w:t>
      </w:r>
      <w:r>
        <w:rPr>
          <w:rFonts w:hint="eastAsia"/>
          <w:snapToGrid/>
        </w:rPr>
        <w:t>难以出入交通设施、公共、保健、文化、宗教、体育和其他机构；</w:t>
      </w:r>
    </w:p>
    <w:p w:rsidR="00000000" w:rsidRDefault="00844A84" w:rsidP="00844A84">
      <w:pPr>
        <w:pStyle w:val="a0"/>
        <w:tabs>
          <w:tab w:val="clear" w:pos="510"/>
          <w:tab w:val="num" w:pos="1529"/>
        </w:tabs>
        <w:ind w:leftChars="392" w:left="31680"/>
        <w:rPr>
          <w:bCs/>
          <w:snapToGrid/>
        </w:rPr>
      </w:pPr>
      <w:r>
        <w:rPr>
          <w:rFonts w:hint="eastAsia"/>
          <w:snapToGrid/>
        </w:rPr>
        <w:t>改建住宅费用昂贵，大量残疾人无法承担；</w:t>
      </w:r>
    </w:p>
    <w:p w:rsidR="00000000" w:rsidRDefault="00844A84" w:rsidP="00844A84">
      <w:pPr>
        <w:pStyle w:val="a0"/>
        <w:tabs>
          <w:tab w:val="clear" w:pos="510"/>
          <w:tab w:val="num" w:pos="1529"/>
        </w:tabs>
        <w:ind w:leftChars="392" w:left="31680"/>
        <w:rPr>
          <w:rFonts w:hint="eastAsia"/>
          <w:bCs/>
          <w:snapToGrid/>
        </w:rPr>
      </w:pPr>
      <w:r>
        <w:rPr>
          <w:rFonts w:hint="eastAsia"/>
          <w:snapToGrid/>
        </w:rPr>
        <w:t>大量残疾人有着明显的经济问题，首先是基本支助方面的问题。</w:t>
      </w:r>
    </w:p>
    <w:p w:rsidR="00000000" w:rsidRDefault="00844A84">
      <w:pPr>
        <w:pStyle w:val="Heading3"/>
        <w:spacing w:after="200"/>
        <w:rPr>
          <w:rFonts w:hint="eastAsia"/>
          <w:bCs/>
          <w:snapToGrid/>
        </w:rPr>
      </w:pPr>
      <w:r>
        <w:rPr>
          <w:rFonts w:hint="eastAsia"/>
          <w:snapToGrid/>
          <w:u w:val="none"/>
        </w:rPr>
        <w:t>表</w:t>
      </w:r>
      <w:r>
        <w:rPr>
          <w:rFonts w:hint="eastAsia"/>
          <w:snapToGrid/>
          <w:u w:val="none"/>
        </w:rPr>
        <w:t xml:space="preserve">  1</w:t>
      </w:r>
      <w:r>
        <w:rPr>
          <w:snapToGrid/>
        </w:rPr>
        <w:br/>
      </w:r>
      <w:r>
        <w:rPr>
          <w:rFonts w:hint="eastAsia"/>
          <w:snapToGrid/>
        </w:rPr>
        <w:t>残疾答卷者的工作状况</w:t>
      </w:r>
      <w:r>
        <w:rPr>
          <w:rFonts w:hint="eastAsia"/>
          <w:snapToGrid/>
        </w:rPr>
        <w:t>(</w:t>
      </w:r>
      <w:r>
        <w:rPr>
          <w:rFonts w:hint="eastAsia"/>
          <w:snapToGrid/>
        </w:rPr>
        <w:t>百分数</w:t>
      </w:r>
      <w:r>
        <w:rPr>
          <w:rFonts w:hint="eastAsia"/>
          <w:snapToGrid/>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948"/>
        <w:gridCol w:w="3462"/>
      </w:tblGrid>
      <w:tr w:rsidR="00000000">
        <w:tblPrEx>
          <w:tblCellMar>
            <w:top w:w="0" w:type="dxa"/>
            <w:bottom w:w="0" w:type="dxa"/>
          </w:tblCellMar>
        </w:tblPrEx>
        <w:tc>
          <w:tcPr>
            <w:tcW w:w="5948" w:type="dxa"/>
            <w:tcBorders>
              <w:top w:val="single" w:sz="4" w:space="0" w:color="auto"/>
              <w:left w:val="single" w:sz="4" w:space="0" w:color="auto"/>
              <w:bottom w:val="nil"/>
              <w:right w:val="single" w:sz="4" w:space="0" w:color="auto"/>
            </w:tcBorders>
          </w:tcPr>
          <w:p w:rsidR="00000000" w:rsidRDefault="00844A84" w:rsidP="00844A84">
            <w:pPr>
              <w:spacing w:beforeLines="20" w:before="72" w:line="288" w:lineRule="auto"/>
              <w:ind w:firstLineChars="150" w:firstLine="31680"/>
              <w:rPr>
                <w:rFonts w:hint="eastAsia"/>
                <w:bCs/>
                <w:snapToGrid/>
                <w:sz w:val="22"/>
              </w:rPr>
            </w:pPr>
            <w:r>
              <w:rPr>
                <w:rFonts w:hint="eastAsia"/>
                <w:bCs/>
                <w:snapToGrid/>
                <w:sz w:val="22"/>
              </w:rPr>
              <w:t>受支助者</w:t>
            </w:r>
          </w:p>
        </w:tc>
        <w:tc>
          <w:tcPr>
            <w:tcW w:w="3462" w:type="dxa"/>
            <w:tcBorders>
              <w:left w:val="single" w:sz="4" w:space="0" w:color="auto"/>
              <w:bottom w:val="nil"/>
            </w:tcBorders>
          </w:tcPr>
          <w:p w:rsidR="00000000" w:rsidRDefault="00844A84" w:rsidP="00844A84">
            <w:pPr>
              <w:spacing w:beforeLines="20" w:before="72" w:line="288" w:lineRule="auto"/>
              <w:ind w:leftChars="-237" w:left="31680" w:rightChars="697" w:right="31680" w:firstLineChars="200" w:firstLine="31680"/>
              <w:jc w:val="right"/>
              <w:rPr>
                <w:rFonts w:hint="eastAsia"/>
                <w:bCs/>
                <w:snapToGrid/>
                <w:sz w:val="22"/>
              </w:rPr>
            </w:pPr>
            <w:r>
              <w:rPr>
                <w:rFonts w:hint="eastAsia"/>
                <w:bCs/>
                <w:snapToGrid/>
                <w:sz w:val="22"/>
              </w:rPr>
              <w:t>35</w:t>
            </w:r>
          </w:p>
        </w:tc>
      </w:tr>
      <w:tr w:rsidR="00000000">
        <w:tblPrEx>
          <w:tblCellMar>
            <w:top w:w="0" w:type="dxa"/>
            <w:bottom w:w="0" w:type="dxa"/>
          </w:tblCellMar>
        </w:tblPrEx>
        <w:tc>
          <w:tcPr>
            <w:tcW w:w="5948" w:type="dxa"/>
            <w:tcBorders>
              <w:top w:val="nil"/>
              <w:left w:val="single" w:sz="4" w:space="0" w:color="auto"/>
              <w:bottom w:val="nil"/>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在职者</w:t>
            </w:r>
            <w:r>
              <w:rPr>
                <w:rFonts w:hint="eastAsia"/>
                <w:bCs/>
                <w:snapToGrid/>
                <w:spacing w:val="-50"/>
                <w:sz w:val="22"/>
              </w:rPr>
              <w:t>―</w:t>
            </w:r>
            <w:r>
              <w:rPr>
                <w:rFonts w:hint="eastAsia"/>
                <w:bCs/>
                <w:snapToGrid/>
                <w:sz w:val="22"/>
              </w:rPr>
              <w:t>―在有保护的工场就业</w:t>
            </w:r>
          </w:p>
        </w:tc>
        <w:tc>
          <w:tcPr>
            <w:tcW w:w="3462" w:type="dxa"/>
            <w:tcBorders>
              <w:top w:val="nil"/>
              <w:left w:val="single" w:sz="4" w:space="0" w:color="auto"/>
              <w:bottom w:val="nil"/>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1</w:t>
            </w:r>
          </w:p>
        </w:tc>
      </w:tr>
      <w:tr w:rsidR="00000000">
        <w:tblPrEx>
          <w:tblCellMar>
            <w:top w:w="0" w:type="dxa"/>
            <w:bottom w:w="0" w:type="dxa"/>
          </w:tblCellMar>
        </w:tblPrEx>
        <w:tc>
          <w:tcPr>
            <w:tcW w:w="5948" w:type="dxa"/>
            <w:tcBorders>
              <w:top w:val="nil"/>
              <w:left w:val="single" w:sz="4" w:space="0" w:color="auto"/>
              <w:bottom w:val="nil"/>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在职者</w:t>
            </w:r>
            <w:r>
              <w:rPr>
                <w:rFonts w:hint="eastAsia"/>
                <w:bCs/>
                <w:snapToGrid/>
                <w:spacing w:val="-50"/>
                <w:sz w:val="22"/>
              </w:rPr>
              <w:t>―</w:t>
            </w:r>
            <w:r>
              <w:rPr>
                <w:rFonts w:hint="eastAsia"/>
                <w:bCs/>
                <w:snapToGrid/>
                <w:sz w:val="22"/>
              </w:rPr>
              <w:t>―在公营或私营公司就业</w:t>
            </w:r>
          </w:p>
        </w:tc>
        <w:tc>
          <w:tcPr>
            <w:tcW w:w="3462" w:type="dxa"/>
            <w:tcBorders>
              <w:top w:val="nil"/>
              <w:left w:val="single" w:sz="4" w:space="0" w:color="auto"/>
              <w:bottom w:val="nil"/>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1</w:t>
            </w:r>
          </w:p>
        </w:tc>
      </w:tr>
      <w:tr w:rsidR="00000000">
        <w:tblPrEx>
          <w:tblCellMar>
            <w:top w:w="0" w:type="dxa"/>
            <w:bottom w:w="0" w:type="dxa"/>
          </w:tblCellMar>
        </w:tblPrEx>
        <w:tc>
          <w:tcPr>
            <w:tcW w:w="5948" w:type="dxa"/>
            <w:tcBorders>
              <w:top w:val="nil"/>
              <w:left w:val="single" w:sz="4" w:space="0" w:color="auto"/>
              <w:bottom w:val="nil"/>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在职者</w:t>
            </w:r>
            <w:r>
              <w:rPr>
                <w:rFonts w:hint="eastAsia"/>
                <w:bCs/>
                <w:snapToGrid/>
                <w:spacing w:val="-50"/>
                <w:sz w:val="22"/>
              </w:rPr>
              <w:t>―</w:t>
            </w:r>
            <w:r>
              <w:rPr>
                <w:rFonts w:hint="eastAsia"/>
                <w:bCs/>
                <w:snapToGrid/>
                <w:sz w:val="22"/>
              </w:rPr>
              <w:t>―在残疾人非政府组织、协会等就业</w:t>
            </w:r>
          </w:p>
        </w:tc>
        <w:tc>
          <w:tcPr>
            <w:tcW w:w="3462" w:type="dxa"/>
            <w:tcBorders>
              <w:top w:val="nil"/>
              <w:left w:val="single" w:sz="4" w:space="0" w:color="auto"/>
              <w:bottom w:val="nil"/>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10</w:t>
            </w:r>
          </w:p>
        </w:tc>
      </w:tr>
      <w:tr w:rsidR="00000000">
        <w:tblPrEx>
          <w:tblCellMar>
            <w:top w:w="0" w:type="dxa"/>
            <w:bottom w:w="0" w:type="dxa"/>
          </w:tblCellMar>
        </w:tblPrEx>
        <w:tc>
          <w:tcPr>
            <w:tcW w:w="5948" w:type="dxa"/>
            <w:tcBorders>
              <w:top w:val="nil"/>
              <w:left w:val="single" w:sz="4" w:space="0" w:color="auto"/>
              <w:bottom w:val="nil"/>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自营职业者</w:t>
            </w:r>
          </w:p>
        </w:tc>
        <w:tc>
          <w:tcPr>
            <w:tcW w:w="3462" w:type="dxa"/>
            <w:tcBorders>
              <w:top w:val="nil"/>
              <w:left w:val="single" w:sz="4" w:space="0" w:color="auto"/>
              <w:bottom w:val="nil"/>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1</w:t>
            </w:r>
          </w:p>
        </w:tc>
      </w:tr>
      <w:tr w:rsidR="00000000">
        <w:tblPrEx>
          <w:tblCellMar>
            <w:top w:w="0" w:type="dxa"/>
            <w:bottom w:w="0" w:type="dxa"/>
          </w:tblCellMar>
        </w:tblPrEx>
        <w:tc>
          <w:tcPr>
            <w:tcW w:w="5948" w:type="dxa"/>
            <w:tcBorders>
              <w:top w:val="nil"/>
              <w:left w:val="single" w:sz="4" w:space="0" w:color="auto"/>
              <w:bottom w:val="nil"/>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退休者</w:t>
            </w:r>
          </w:p>
        </w:tc>
        <w:tc>
          <w:tcPr>
            <w:tcW w:w="3462" w:type="dxa"/>
            <w:tcBorders>
              <w:top w:val="nil"/>
              <w:left w:val="single" w:sz="4" w:space="0" w:color="auto"/>
              <w:bottom w:val="nil"/>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36</w:t>
            </w:r>
          </w:p>
        </w:tc>
      </w:tr>
      <w:tr w:rsidR="00000000">
        <w:tblPrEx>
          <w:tblCellMar>
            <w:top w:w="0" w:type="dxa"/>
            <w:bottom w:w="0" w:type="dxa"/>
          </w:tblCellMar>
        </w:tblPrEx>
        <w:tc>
          <w:tcPr>
            <w:tcW w:w="5948" w:type="dxa"/>
            <w:tcBorders>
              <w:top w:val="nil"/>
              <w:left w:val="single" w:sz="4" w:space="0" w:color="auto"/>
              <w:bottom w:val="nil"/>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失业者</w:t>
            </w:r>
            <w:r>
              <w:rPr>
                <w:rFonts w:hint="eastAsia"/>
                <w:bCs/>
                <w:snapToGrid/>
                <w:spacing w:val="-50"/>
                <w:sz w:val="22"/>
              </w:rPr>
              <w:t>―</w:t>
            </w:r>
            <w:r>
              <w:rPr>
                <w:rFonts w:hint="eastAsia"/>
                <w:bCs/>
                <w:snapToGrid/>
                <w:sz w:val="22"/>
              </w:rPr>
              <w:t>―未求职</w:t>
            </w:r>
          </w:p>
        </w:tc>
        <w:tc>
          <w:tcPr>
            <w:tcW w:w="3462" w:type="dxa"/>
            <w:tcBorders>
              <w:top w:val="nil"/>
              <w:left w:val="single" w:sz="4" w:space="0" w:color="auto"/>
              <w:bottom w:val="nil"/>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7</w:t>
            </w:r>
          </w:p>
        </w:tc>
      </w:tr>
      <w:tr w:rsidR="00000000">
        <w:tblPrEx>
          <w:tblCellMar>
            <w:top w:w="0" w:type="dxa"/>
            <w:bottom w:w="0" w:type="dxa"/>
          </w:tblCellMar>
        </w:tblPrEx>
        <w:tc>
          <w:tcPr>
            <w:tcW w:w="5948" w:type="dxa"/>
            <w:tcBorders>
              <w:top w:val="nil"/>
              <w:left w:val="single" w:sz="4" w:space="0" w:color="auto"/>
              <w:bottom w:val="nil"/>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失业者</w:t>
            </w:r>
            <w:r>
              <w:rPr>
                <w:rFonts w:hint="eastAsia"/>
                <w:bCs/>
                <w:snapToGrid/>
                <w:spacing w:val="-50"/>
                <w:sz w:val="22"/>
              </w:rPr>
              <w:t>―</w:t>
            </w:r>
            <w:r>
              <w:rPr>
                <w:rFonts w:hint="eastAsia"/>
                <w:bCs/>
                <w:snapToGrid/>
                <w:sz w:val="22"/>
              </w:rPr>
              <w:t>―已在就业中心登记</w:t>
            </w:r>
          </w:p>
        </w:tc>
        <w:tc>
          <w:tcPr>
            <w:tcW w:w="3462" w:type="dxa"/>
            <w:tcBorders>
              <w:top w:val="nil"/>
              <w:left w:val="single" w:sz="4" w:space="0" w:color="auto"/>
              <w:bottom w:val="nil"/>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6</w:t>
            </w:r>
          </w:p>
        </w:tc>
      </w:tr>
      <w:tr w:rsidR="00000000">
        <w:tblPrEx>
          <w:tblCellMar>
            <w:top w:w="0" w:type="dxa"/>
            <w:bottom w:w="0" w:type="dxa"/>
          </w:tblCellMar>
        </w:tblPrEx>
        <w:tc>
          <w:tcPr>
            <w:tcW w:w="5948" w:type="dxa"/>
            <w:tcBorders>
              <w:top w:val="nil"/>
              <w:left w:val="single" w:sz="4" w:space="0" w:color="auto"/>
              <w:bottom w:val="single" w:sz="4" w:space="0" w:color="auto"/>
              <w:right w:val="single" w:sz="4" w:space="0" w:color="auto"/>
            </w:tcBorders>
          </w:tcPr>
          <w:p w:rsidR="00000000" w:rsidRDefault="00844A84" w:rsidP="00844A84">
            <w:pPr>
              <w:spacing w:line="288" w:lineRule="auto"/>
              <w:ind w:firstLineChars="150" w:firstLine="31680"/>
              <w:rPr>
                <w:rFonts w:hint="eastAsia"/>
                <w:bCs/>
                <w:snapToGrid/>
                <w:sz w:val="22"/>
              </w:rPr>
            </w:pPr>
            <w:r>
              <w:rPr>
                <w:rFonts w:hint="eastAsia"/>
                <w:bCs/>
                <w:snapToGrid/>
                <w:sz w:val="22"/>
              </w:rPr>
              <w:t>其他</w:t>
            </w:r>
          </w:p>
        </w:tc>
        <w:tc>
          <w:tcPr>
            <w:tcW w:w="3462" w:type="dxa"/>
            <w:tcBorders>
              <w:top w:val="nil"/>
              <w:left w:val="single" w:sz="4" w:space="0" w:color="auto"/>
              <w:bottom w:val="single" w:sz="4" w:space="0" w:color="auto"/>
            </w:tcBorders>
          </w:tcPr>
          <w:p w:rsidR="00000000" w:rsidRDefault="00844A84" w:rsidP="00844A84">
            <w:pPr>
              <w:spacing w:line="288" w:lineRule="auto"/>
              <w:ind w:leftChars="-237" w:left="31680" w:rightChars="697" w:right="31680" w:firstLineChars="200" w:firstLine="31680"/>
              <w:jc w:val="right"/>
              <w:rPr>
                <w:rFonts w:hint="eastAsia"/>
                <w:bCs/>
                <w:snapToGrid/>
                <w:sz w:val="22"/>
              </w:rPr>
            </w:pPr>
            <w:r>
              <w:rPr>
                <w:rFonts w:hint="eastAsia"/>
                <w:bCs/>
                <w:snapToGrid/>
                <w:sz w:val="22"/>
              </w:rPr>
              <w:t>3</w:t>
            </w:r>
          </w:p>
        </w:tc>
      </w:tr>
    </w:tbl>
    <w:p w:rsidR="00000000" w:rsidRDefault="00844A84" w:rsidP="00844A84">
      <w:pPr>
        <w:spacing w:beforeLines="100" w:before="360"/>
        <w:ind w:firstLineChars="200" w:firstLine="31680"/>
        <w:rPr>
          <w:rFonts w:hint="eastAsia"/>
          <w:bCs/>
          <w:snapToGrid/>
        </w:rPr>
      </w:pPr>
      <w:r>
        <w:rPr>
          <w:rFonts w:hint="eastAsia"/>
          <w:bCs/>
          <w:snapToGrid/>
        </w:rPr>
        <w:t xml:space="preserve">44.  </w:t>
      </w:r>
      <w:r>
        <w:rPr>
          <w:rFonts w:hint="eastAsia"/>
          <w:bCs/>
          <w:snapToGrid/>
        </w:rPr>
        <w:t>在少量的在职残疾人中，</w:t>
      </w:r>
      <w:r>
        <w:rPr>
          <w:rFonts w:hint="eastAsia"/>
          <w:bCs/>
          <w:snapToGrid/>
        </w:rPr>
        <w:t>33%</w:t>
      </w:r>
      <w:r>
        <w:rPr>
          <w:rFonts w:hint="eastAsia"/>
          <w:bCs/>
          <w:snapToGrid/>
        </w:rPr>
        <w:t>的人认为工作场所设施环境的改</w:t>
      </w:r>
      <w:r>
        <w:rPr>
          <w:rFonts w:hint="eastAsia"/>
          <w:bCs/>
          <w:snapToGrid/>
        </w:rPr>
        <w:t>建已符合他们的要求，但只有</w:t>
      </w:r>
      <w:r>
        <w:rPr>
          <w:rFonts w:hint="eastAsia"/>
          <w:bCs/>
          <w:snapToGrid/>
        </w:rPr>
        <w:t>40%</w:t>
      </w:r>
      <w:r>
        <w:rPr>
          <w:rFonts w:hint="eastAsia"/>
          <w:bCs/>
          <w:snapToGrid/>
        </w:rPr>
        <w:t>的人认为在开始上班的时间和工作时数、范围及工间休息方面符合其要求。</w:t>
      </w:r>
    </w:p>
    <w:p w:rsidR="00000000" w:rsidRDefault="00844A84" w:rsidP="00844A84">
      <w:pPr>
        <w:ind w:firstLineChars="200" w:firstLine="31680"/>
        <w:rPr>
          <w:bCs/>
          <w:snapToGrid/>
        </w:rPr>
      </w:pPr>
      <w:r>
        <w:rPr>
          <w:rFonts w:hint="eastAsia"/>
          <w:bCs/>
          <w:snapToGrid/>
        </w:rPr>
        <w:t xml:space="preserve">45.  </w:t>
      </w:r>
      <w:r>
        <w:rPr>
          <w:rFonts w:hint="eastAsia"/>
          <w:bCs/>
          <w:snapToGrid/>
        </w:rPr>
        <w:t>塞尔维亚共和国残疾人的教育水平与一般人口相当。答卷者中有半数未受过任何教育，</w:t>
      </w:r>
      <w:r>
        <w:rPr>
          <w:bCs/>
          <w:snapToGrid/>
        </w:rPr>
        <w:t>49%</w:t>
      </w:r>
      <w:r>
        <w:rPr>
          <w:rFonts w:hint="eastAsia"/>
          <w:bCs/>
          <w:snapToGrid/>
        </w:rPr>
        <w:t>的人受过不完全的初等和中等教育，三分之一的人受过完整的中等教育。在一般人口中，</w:t>
      </w:r>
      <w:r>
        <w:rPr>
          <w:rFonts w:hint="eastAsia"/>
          <w:bCs/>
          <w:snapToGrid/>
        </w:rPr>
        <w:t>6</w:t>
      </w:r>
      <w:r>
        <w:rPr>
          <w:bCs/>
          <w:snapToGrid/>
        </w:rPr>
        <w:t>%</w:t>
      </w:r>
      <w:r>
        <w:rPr>
          <w:rFonts w:hint="eastAsia"/>
          <w:bCs/>
          <w:snapToGrid/>
        </w:rPr>
        <w:t>的答卷者受过较高的教育或高等教育，</w:t>
      </w:r>
      <w:r>
        <w:rPr>
          <w:bCs/>
          <w:snapToGrid/>
        </w:rPr>
        <w:t>11%</w:t>
      </w:r>
      <w:r>
        <w:rPr>
          <w:rFonts w:hint="eastAsia"/>
          <w:bCs/>
          <w:snapToGrid/>
        </w:rPr>
        <w:t>的答卷者完成了专科学校的教育。关于能否入学的问题，只有</w:t>
      </w:r>
      <w:r>
        <w:rPr>
          <w:bCs/>
          <w:snapToGrid/>
        </w:rPr>
        <w:t>15%</w:t>
      </w:r>
      <w:r>
        <w:rPr>
          <w:rFonts w:hint="eastAsia"/>
          <w:bCs/>
          <w:snapToGrid/>
        </w:rPr>
        <w:t>的人认为，他们不能入学主要是出于健康原因。</w:t>
      </w:r>
    </w:p>
    <w:p w:rsidR="00000000" w:rsidRDefault="00844A84" w:rsidP="00844A84">
      <w:pPr>
        <w:ind w:firstLineChars="200" w:firstLine="31680"/>
        <w:rPr>
          <w:rFonts w:hint="eastAsia"/>
          <w:bCs/>
          <w:snapToGrid/>
        </w:rPr>
      </w:pPr>
      <w:r>
        <w:rPr>
          <w:rFonts w:hint="eastAsia"/>
          <w:bCs/>
          <w:snapToGrid/>
        </w:rPr>
        <w:t xml:space="preserve">46.  </w:t>
      </w:r>
      <w:r>
        <w:rPr>
          <w:rFonts w:hint="eastAsia"/>
          <w:bCs/>
          <w:snapToGrid/>
        </w:rPr>
        <w:t>对于能否利用公共服务和公共设施的分析所显示的情况不令人满意，这种情况影响了因车祸受伤</w:t>
      </w:r>
      <w:r>
        <w:rPr>
          <w:rFonts w:hint="eastAsia"/>
          <w:bCs/>
          <w:snapToGrid/>
        </w:rPr>
        <w:t>者日常活动的生活质量。答卷者中有高达</w:t>
      </w:r>
      <w:r>
        <w:rPr>
          <w:bCs/>
          <w:snapToGrid/>
        </w:rPr>
        <w:t>52%</w:t>
      </w:r>
      <w:r>
        <w:rPr>
          <w:bCs/>
          <w:snapToGrid/>
        </w:rPr>
        <w:t>的人无法</w:t>
      </w:r>
      <w:r>
        <w:rPr>
          <w:rFonts w:hint="eastAsia"/>
          <w:bCs/>
          <w:snapToGrid/>
        </w:rPr>
        <w:t>利用</w:t>
      </w:r>
      <w:r>
        <w:rPr>
          <w:bCs/>
          <w:snapToGrid/>
        </w:rPr>
        <w:t>公共交通，</w:t>
      </w:r>
      <w:r>
        <w:rPr>
          <w:bCs/>
          <w:snapToGrid/>
        </w:rPr>
        <w:t>53%</w:t>
      </w:r>
      <w:r>
        <w:rPr>
          <w:bCs/>
          <w:snapToGrid/>
        </w:rPr>
        <w:t>的人无法</w:t>
      </w:r>
      <w:r>
        <w:rPr>
          <w:rFonts w:hint="eastAsia"/>
          <w:bCs/>
          <w:snapToGrid/>
        </w:rPr>
        <w:t>上街</w:t>
      </w:r>
      <w:r>
        <w:rPr>
          <w:bCs/>
          <w:snapToGrid/>
        </w:rPr>
        <w:t>购物，</w:t>
      </w:r>
      <w:r>
        <w:rPr>
          <w:bCs/>
          <w:snapToGrid/>
        </w:rPr>
        <w:t>37%</w:t>
      </w:r>
      <w:r>
        <w:rPr>
          <w:bCs/>
          <w:snapToGrid/>
        </w:rPr>
        <w:t>的人无法</w:t>
      </w:r>
      <w:r>
        <w:rPr>
          <w:rFonts w:hint="eastAsia"/>
          <w:bCs/>
          <w:snapToGrid/>
        </w:rPr>
        <w:t>利用</w:t>
      </w:r>
      <w:r>
        <w:rPr>
          <w:bCs/>
          <w:snapToGrid/>
        </w:rPr>
        <w:t>公用电话和其他公共服务如邮政和</w:t>
      </w:r>
      <w:r>
        <w:rPr>
          <w:rFonts w:hint="eastAsia"/>
          <w:bCs/>
          <w:snapToGrid/>
        </w:rPr>
        <w:t>(</w:t>
      </w:r>
      <w:r>
        <w:rPr>
          <w:bCs/>
          <w:snapToGrid/>
        </w:rPr>
        <w:t>或</w:t>
      </w:r>
      <w:r>
        <w:rPr>
          <w:rFonts w:hint="eastAsia"/>
          <w:bCs/>
          <w:snapToGrid/>
        </w:rPr>
        <w:t>)</w:t>
      </w:r>
      <w:r>
        <w:rPr>
          <w:bCs/>
          <w:snapToGrid/>
        </w:rPr>
        <w:t>城镇行政服务，</w:t>
      </w:r>
      <w:r>
        <w:rPr>
          <w:bCs/>
          <w:snapToGrid/>
        </w:rPr>
        <w:t>35%</w:t>
      </w:r>
      <w:r>
        <w:rPr>
          <w:bCs/>
          <w:snapToGrid/>
        </w:rPr>
        <w:t>的人无法利用警</w:t>
      </w:r>
      <w:r>
        <w:rPr>
          <w:rFonts w:hint="eastAsia"/>
          <w:bCs/>
          <w:snapToGrid/>
        </w:rPr>
        <w:t>务</w:t>
      </w:r>
      <w:r>
        <w:rPr>
          <w:bCs/>
          <w:snapToGrid/>
        </w:rPr>
        <w:t>服务。这种情况在通过娱乐提高生活质量的机构方面</w:t>
      </w:r>
      <w:r>
        <w:rPr>
          <w:rFonts w:hint="eastAsia"/>
          <w:bCs/>
          <w:snapToGrid/>
        </w:rPr>
        <w:t>尤为</w:t>
      </w:r>
      <w:r>
        <w:rPr>
          <w:bCs/>
          <w:snapToGrid/>
        </w:rPr>
        <w:t>严重</w:t>
      </w:r>
      <w:r>
        <w:rPr>
          <w:rFonts w:hint="eastAsia"/>
          <w:bCs/>
          <w:snapToGrid/>
        </w:rPr>
        <w:t>。</w:t>
      </w:r>
      <w:r>
        <w:rPr>
          <w:bCs/>
          <w:snapToGrid/>
        </w:rPr>
        <w:t>因车祸受伤</w:t>
      </w:r>
      <w:r>
        <w:rPr>
          <w:rFonts w:hint="eastAsia"/>
          <w:bCs/>
          <w:snapToGrid/>
        </w:rPr>
        <w:t>者</w:t>
      </w:r>
      <w:r>
        <w:rPr>
          <w:bCs/>
          <w:snapToGrid/>
        </w:rPr>
        <w:t>只有</w:t>
      </w:r>
      <w:r>
        <w:rPr>
          <w:bCs/>
          <w:snapToGrid/>
        </w:rPr>
        <w:t>20%</w:t>
      </w:r>
      <w:r>
        <w:rPr>
          <w:bCs/>
          <w:snapToGrid/>
        </w:rPr>
        <w:t>的人</w:t>
      </w:r>
      <w:r>
        <w:rPr>
          <w:rFonts w:hint="eastAsia"/>
          <w:bCs/>
          <w:snapToGrid/>
        </w:rPr>
        <w:t>能到电影院看电影</w:t>
      </w:r>
      <w:r>
        <w:rPr>
          <w:bCs/>
          <w:snapToGrid/>
        </w:rPr>
        <w:t>，</w:t>
      </w:r>
      <w:r>
        <w:rPr>
          <w:bCs/>
          <w:snapToGrid/>
        </w:rPr>
        <w:t>17%</w:t>
      </w:r>
      <w:r>
        <w:rPr>
          <w:bCs/>
          <w:snapToGrid/>
        </w:rPr>
        <w:t>人</w:t>
      </w:r>
      <w:r>
        <w:rPr>
          <w:rFonts w:hint="eastAsia"/>
          <w:bCs/>
          <w:snapToGrid/>
        </w:rPr>
        <w:t>能</w:t>
      </w:r>
      <w:r>
        <w:rPr>
          <w:bCs/>
          <w:snapToGrid/>
        </w:rPr>
        <w:t>到图书馆借阅图书，</w:t>
      </w:r>
      <w:r>
        <w:rPr>
          <w:bCs/>
          <w:snapToGrid/>
        </w:rPr>
        <w:t>12%</w:t>
      </w:r>
      <w:r>
        <w:rPr>
          <w:rFonts w:hint="eastAsia"/>
          <w:bCs/>
          <w:snapToGrid/>
        </w:rPr>
        <w:t>的</w:t>
      </w:r>
      <w:r>
        <w:rPr>
          <w:bCs/>
          <w:snapToGrid/>
        </w:rPr>
        <w:t>人</w:t>
      </w:r>
      <w:r>
        <w:rPr>
          <w:rFonts w:hint="eastAsia"/>
          <w:bCs/>
          <w:snapToGrid/>
        </w:rPr>
        <w:t>能</w:t>
      </w:r>
      <w:r>
        <w:rPr>
          <w:bCs/>
          <w:snapToGrid/>
        </w:rPr>
        <w:t>到剧院看演出，</w:t>
      </w:r>
      <w:r>
        <w:rPr>
          <w:bCs/>
          <w:snapToGrid/>
        </w:rPr>
        <w:t>11%</w:t>
      </w:r>
      <w:r>
        <w:rPr>
          <w:bCs/>
          <w:snapToGrid/>
        </w:rPr>
        <w:t>的人</w:t>
      </w:r>
      <w:r>
        <w:rPr>
          <w:rFonts w:hint="eastAsia"/>
          <w:bCs/>
          <w:snapToGrid/>
        </w:rPr>
        <w:t>能</w:t>
      </w:r>
      <w:r>
        <w:rPr>
          <w:bCs/>
          <w:snapToGrid/>
        </w:rPr>
        <w:t>到体育俱乐部参加活动。</w:t>
      </w:r>
      <w:r>
        <w:rPr>
          <w:rStyle w:val="EndnoteReference"/>
          <w:bCs/>
          <w:snapToGrid/>
        </w:rPr>
        <w:endnoteReference w:id="3"/>
      </w:r>
      <w:r>
        <w:rPr>
          <w:rFonts w:hint="eastAsia"/>
          <w:bCs/>
          <w:snapToGrid/>
        </w:rPr>
        <w:t xml:space="preserve"> </w:t>
      </w:r>
    </w:p>
    <w:p w:rsidR="00000000" w:rsidRDefault="00844A84" w:rsidP="00844A84">
      <w:pPr>
        <w:ind w:firstLineChars="200" w:firstLine="31680"/>
        <w:rPr>
          <w:rFonts w:hint="eastAsia"/>
          <w:bCs/>
          <w:snapToGrid/>
          <w:spacing w:val="8"/>
        </w:rPr>
      </w:pPr>
      <w:r>
        <w:rPr>
          <w:rFonts w:hint="eastAsia"/>
          <w:bCs/>
          <w:snapToGrid/>
        </w:rPr>
        <w:t xml:space="preserve">47.  </w:t>
      </w:r>
      <w:r>
        <w:rPr>
          <w:rFonts w:hint="eastAsia"/>
          <w:bCs/>
          <w:snapToGrid/>
          <w:spacing w:val="8"/>
        </w:rPr>
        <w:t>在社会保护部门的改革进程以及支助提供替代的非机构服务方面，塞尔维亚共和国社会事务部在</w:t>
      </w:r>
      <w:r>
        <w:rPr>
          <w:bCs/>
          <w:snapToGrid/>
          <w:spacing w:val="8"/>
        </w:rPr>
        <w:t>2002</w:t>
      </w:r>
      <w:r>
        <w:rPr>
          <w:bCs/>
          <w:snapToGrid/>
          <w:spacing w:val="8"/>
        </w:rPr>
        <w:t>年特别注重残疾人的需求。除法律改革外，</w:t>
      </w:r>
      <w:r>
        <w:rPr>
          <w:bCs/>
          <w:snapToGrid/>
          <w:spacing w:val="8"/>
        </w:rPr>
        <w:t>社会事务部</w:t>
      </w:r>
      <w:r>
        <w:rPr>
          <w:rFonts w:hint="eastAsia"/>
          <w:bCs/>
          <w:snapToGrid/>
          <w:spacing w:val="8"/>
        </w:rPr>
        <w:t>支持了促进</w:t>
      </w:r>
      <w:r>
        <w:rPr>
          <w:bCs/>
          <w:snapToGrid/>
          <w:spacing w:val="8"/>
        </w:rPr>
        <w:t>残疾人协会和组织的工作，</w:t>
      </w:r>
      <w:r>
        <w:rPr>
          <w:rFonts w:hint="eastAsia"/>
          <w:bCs/>
          <w:snapToGrid/>
          <w:spacing w:val="8"/>
        </w:rPr>
        <w:t>其中</w:t>
      </w:r>
      <w:r>
        <w:rPr>
          <w:bCs/>
          <w:snapToGrid/>
          <w:spacing w:val="8"/>
        </w:rPr>
        <w:t>特别优先重视地方</w:t>
      </w:r>
      <w:r>
        <w:rPr>
          <w:rFonts w:hint="eastAsia"/>
          <w:bCs/>
          <w:snapToGrid/>
          <w:spacing w:val="8"/>
        </w:rPr>
        <w:t>一级的</w:t>
      </w:r>
      <w:r>
        <w:rPr>
          <w:bCs/>
          <w:snapToGrid/>
          <w:spacing w:val="8"/>
        </w:rPr>
        <w:t>协会和组织。为此</w:t>
      </w:r>
      <w:r>
        <w:rPr>
          <w:rFonts w:hint="eastAsia"/>
          <w:bCs/>
          <w:snapToGrid/>
          <w:spacing w:val="8"/>
        </w:rPr>
        <w:t>于</w:t>
      </w:r>
      <w:r>
        <w:rPr>
          <w:bCs/>
          <w:snapToGrid/>
          <w:spacing w:val="8"/>
        </w:rPr>
        <w:t>200</w:t>
      </w:r>
      <w:r>
        <w:rPr>
          <w:rFonts w:hint="eastAsia"/>
          <w:bCs/>
          <w:snapToGrid/>
          <w:spacing w:val="8"/>
        </w:rPr>
        <w:t>2</w:t>
      </w:r>
      <w:r>
        <w:rPr>
          <w:rFonts w:hint="eastAsia"/>
          <w:bCs/>
          <w:snapToGrid/>
          <w:spacing w:val="8"/>
        </w:rPr>
        <w:t>年</w:t>
      </w:r>
      <w:r>
        <w:rPr>
          <w:rFonts w:hint="eastAsia"/>
          <w:bCs/>
          <w:snapToGrid/>
          <w:spacing w:val="8"/>
        </w:rPr>
        <w:t>5</w:t>
      </w:r>
      <w:r>
        <w:rPr>
          <w:rFonts w:hint="eastAsia"/>
          <w:bCs/>
          <w:snapToGrid/>
          <w:spacing w:val="8"/>
        </w:rPr>
        <w:t>月</w:t>
      </w:r>
      <w:r>
        <w:rPr>
          <w:bCs/>
          <w:snapToGrid/>
          <w:spacing w:val="8"/>
        </w:rPr>
        <w:t>宣布</w:t>
      </w:r>
      <w:r>
        <w:rPr>
          <w:rFonts w:hint="eastAsia"/>
          <w:bCs/>
          <w:snapToGrid/>
          <w:spacing w:val="8"/>
        </w:rPr>
        <w:t>进行</w:t>
      </w:r>
      <w:r>
        <w:rPr>
          <w:bCs/>
          <w:snapToGrid/>
          <w:spacing w:val="8"/>
        </w:rPr>
        <w:t>公开竞争，</w:t>
      </w:r>
      <w:r>
        <w:rPr>
          <w:rFonts w:hint="eastAsia"/>
          <w:bCs/>
          <w:snapToGrid/>
          <w:spacing w:val="8"/>
        </w:rPr>
        <w:t>借以</w:t>
      </w:r>
      <w:r>
        <w:rPr>
          <w:bCs/>
          <w:snapToGrid/>
          <w:spacing w:val="8"/>
        </w:rPr>
        <w:t>资助</w:t>
      </w:r>
      <w:r>
        <w:rPr>
          <w:rFonts w:hint="eastAsia"/>
          <w:bCs/>
          <w:snapToGrid/>
          <w:spacing w:val="8"/>
        </w:rPr>
        <w:t>旨在</w:t>
      </w:r>
      <w:r>
        <w:rPr>
          <w:bCs/>
          <w:snapToGrid/>
          <w:spacing w:val="8"/>
        </w:rPr>
        <w:t>解决与日</w:t>
      </w:r>
      <w:r>
        <w:rPr>
          <w:rFonts w:hint="eastAsia"/>
          <w:bCs/>
          <w:snapToGrid/>
          <w:spacing w:val="8"/>
        </w:rPr>
        <w:t>托</w:t>
      </w:r>
      <w:r>
        <w:rPr>
          <w:bCs/>
          <w:snapToGrid/>
          <w:spacing w:val="8"/>
        </w:rPr>
        <w:t>护理有关</w:t>
      </w:r>
      <w:r>
        <w:rPr>
          <w:rFonts w:hint="eastAsia"/>
          <w:bCs/>
          <w:snapToGrid/>
          <w:spacing w:val="8"/>
        </w:rPr>
        <w:t>的</w:t>
      </w:r>
      <w:r>
        <w:rPr>
          <w:bCs/>
          <w:snapToGrid/>
          <w:spacing w:val="8"/>
        </w:rPr>
        <w:t>具体问题的</w:t>
      </w:r>
      <w:r>
        <w:rPr>
          <w:rFonts w:hint="eastAsia"/>
          <w:bCs/>
          <w:snapToGrid/>
          <w:spacing w:val="8"/>
        </w:rPr>
        <w:t>方案</w:t>
      </w:r>
      <w:r>
        <w:rPr>
          <w:bCs/>
          <w:snapToGrid/>
          <w:spacing w:val="8"/>
        </w:rPr>
        <w:t>和活动，</w:t>
      </w:r>
      <w:r>
        <w:rPr>
          <w:rFonts w:hint="eastAsia"/>
          <w:bCs/>
          <w:snapToGrid/>
          <w:spacing w:val="8"/>
        </w:rPr>
        <w:t>并开展</w:t>
      </w:r>
      <w:r>
        <w:rPr>
          <w:bCs/>
          <w:snapToGrid/>
          <w:spacing w:val="8"/>
        </w:rPr>
        <w:t>吸收残废人</w:t>
      </w:r>
      <w:r>
        <w:rPr>
          <w:rFonts w:hint="eastAsia"/>
          <w:bCs/>
          <w:snapToGrid/>
          <w:spacing w:val="8"/>
        </w:rPr>
        <w:t>参与的</w:t>
      </w:r>
      <w:r>
        <w:rPr>
          <w:bCs/>
          <w:snapToGrid/>
          <w:spacing w:val="8"/>
        </w:rPr>
        <w:t>运动和</w:t>
      </w:r>
      <w:r>
        <w:rPr>
          <w:rFonts w:hint="eastAsia"/>
          <w:bCs/>
          <w:snapToGrid/>
          <w:spacing w:val="8"/>
        </w:rPr>
        <w:t>方案</w:t>
      </w:r>
      <w:r>
        <w:rPr>
          <w:bCs/>
          <w:snapToGrid/>
          <w:spacing w:val="8"/>
        </w:rPr>
        <w:t>。在</w:t>
      </w:r>
      <w:r>
        <w:rPr>
          <w:rFonts w:hint="eastAsia"/>
          <w:bCs/>
          <w:snapToGrid/>
          <w:spacing w:val="8"/>
        </w:rPr>
        <w:t>收</w:t>
      </w:r>
      <w:r>
        <w:rPr>
          <w:bCs/>
          <w:snapToGrid/>
          <w:spacing w:val="8"/>
        </w:rPr>
        <w:t>到的</w:t>
      </w:r>
      <w:r>
        <w:rPr>
          <w:rFonts w:hint="eastAsia"/>
          <w:bCs/>
          <w:snapToGrid/>
          <w:spacing w:val="8"/>
        </w:rPr>
        <w:t>投标中，社会事务部获得了用以资助</w:t>
      </w:r>
      <w:r>
        <w:rPr>
          <w:bCs/>
          <w:snapToGrid/>
          <w:spacing w:val="8"/>
        </w:rPr>
        <w:t>122</w:t>
      </w:r>
      <w:r>
        <w:rPr>
          <w:bCs/>
          <w:snapToGrid/>
          <w:spacing w:val="8"/>
        </w:rPr>
        <w:t>个项目的</w:t>
      </w:r>
      <w:r>
        <w:rPr>
          <w:rFonts w:hint="eastAsia"/>
          <w:bCs/>
          <w:snapToGrid/>
          <w:spacing w:val="8"/>
        </w:rPr>
        <w:t>资金</w:t>
      </w:r>
      <w:r>
        <w:rPr>
          <w:bCs/>
          <w:snapToGrid/>
          <w:spacing w:val="8"/>
        </w:rPr>
        <w:t>，</w:t>
      </w:r>
      <w:r>
        <w:rPr>
          <w:rFonts w:hint="eastAsia"/>
          <w:bCs/>
          <w:snapToGrid/>
          <w:spacing w:val="8"/>
        </w:rPr>
        <w:t>为这些项目</w:t>
      </w:r>
      <w:r>
        <w:rPr>
          <w:bCs/>
          <w:snapToGrid/>
          <w:spacing w:val="8"/>
        </w:rPr>
        <w:t>调拨</w:t>
      </w:r>
      <w:r>
        <w:rPr>
          <w:rFonts w:hint="eastAsia"/>
          <w:bCs/>
          <w:snapToGrid/>
          <w:spacing w:val="8"/>
        </w:rPr>
        <w:t>的</w:t>
      </w:r>
      <w:r>
        <w:rPr>
          <w:bCs/>
          <w:snapToGrid/>
          <w:spacing w:val="8"/>
        </w:rPr>
        <w:t>资源为</w:t>
      </w:r>
      <w:r>
        <w:rPr>
          <w:bCs/>
          <w:snapToGrid/>
          <w:spacing w:val="8"/>
        </w:rPr>
        <w:t>25,376,850</w:t>
      </w:r>
      <w:r>
        <w:rPr>
          <w:rFonts w:hint="eastAsia"/>
          <w:bCs/>
          <w:snapToGrid/>
          <w:spacing w:val="8"/>
        </w:rPr>
        <w:t>第纳尔</w:t>
      </w:r>
      <w:r>
        <w:rPr>
          <w:bCs/>
          <w:snapToGrid/>
          <w:spacing w:val="8"/>
        </w:rPr>
        <w:t>。</w:t>
      </w:r>
    </w:p>
    <w:p w:rsidR="00000000" w:rsidRDefault="00844A84" w:rsidP="00844A84">
      <w:pPr>
        <w:ind w:firstLineChars="200" w:firstLine="31680"/>
        <w:rPr>
          <w:rFonts w:hint="eastAsia"/>
          <w:bCs/>
          <w:snapToGrid/>
        </w:rPr>
      </w:pPr>
      <w:r>
        <w:rPr>
          <w:rFonts w:hint="eastAsia"/>
          <w:bCs/>
          <w:snapToGrid/>
        </w:rPr>
        <w:t xml:space="preserve">48.  </w:t>
      </w:r>
      <w:r>
        <w:rPr>
          <w:rFonts w:hint="eastAsia"/>
          <w:bCs/>
          <w:snapToGrid/>
        </w:rPr>
        <w:t>按照《盲人和残疾人减价乘坐公共交通工具安排法》，社会福利部从经常账户中向受影响的公路、铁路、水路或空中交通公司拨出车费补贴</w:t>
      </w:r>
      <w:r>
        <w:rPr>
          <w:rFonts w:hint="eastAsia"/>
          <w:bCs/>
          <w:snapToGrid/>
        </w:rPr>
        <w:t>(</w:t>
      </w:r>
      <w:r>
        <w:rPr>
          <w:rFonts w:hint="eastAsia"/>
          <w:bCs/>
          <w:snapToGrid/>
        </w:rPr>
        <w:t>每名由陪同者同行的残疾人每年可享受</w:t>
      </w:r>
      <w:r>
        <w:rPr>
          <w:rFonts w:hint="eastAsia"/>
          <w:bCs/>
          <w:snapToGrid/>
        </w:rPr>
        <w:t>6</w:t>
      </w:r>
      <w:r>
        <w:rPr>
          <w:rFonts w:hint="eastAsia"/>
          <w:bCs/>
          <w:snapToGrid/>
        </w:rPr>
        <w:t>次减价旅行</w:t>
      </w:r>
      <w:r>
        <w:rPr>
          <w:rFonts w:hint="eastAsia"/>
          <w:bCs/>
          <w:snapToGrid/>
        </w:rPr>
        <w:t>)</w:t>
      </w:r>
      <w:r>
        <w:rPr>
          <w:rFonts w:hint="eastAsia"/>
          <w:bCs/>
          <w:snapToGrid/>
        </w:rPr>
        <w:t>。</w:t>
      </w:r>
      <w:r>
        <w:rPr>
          <w:bCs/>
          <w:snapToGrid/>
        </w:rPr>
        <w:t>2002</w:t>
      </w:r>
      <w:r>
        <w:rPr>
          <w:bCs/>
          <w:snapToGrid/>
        </w:rPr>
        <w:t>年</w:t>
      </w:r>
      <w:r>
        <w:rPr>
          <w:bCs/>
          <w:snapToGrid/>
        </w:rPr>
        <w:t>10</w:t>
      </w:r>
      <w:r>
        <w:rPr>
          <w:rFonts w:hint="eastAsia"/>
          <w:bCs/>
          <w:snapToGrid/>
        </w:rPr>
        <w:t>个</w:t>
      </w:r>
      <w:r>
        <w:rPr>
          <w:bCs/>
          <w:snapToGrid/>
        </w:rPr>
        <w:t>月</w:t>
      </w:r>
      <w:r>
        <w:rPr>
          <w:rFonts w:hint="eastAsia"/>
          <w:bCs/>
          <w:snapToGrid/>
        </w:rPr>
        <w:t>内</w:t>
      </w:r>
      <w:r>
        <w:rPr>
          <w:bCs/>
          <w:snapToGrid/>
        </w:rPr>
        <w:t>专门为</w:t>
      </w:r>
      <w:r>
        <w:rPr>
          <w:rFonts w:hint="eastAsia"/>
          <w:bCs/>
          <w:snapToGrid/>
        </w:rPr>
        <w:t>此拨出</w:t>
      </w:r>
      <w:r>
        <w:rPr>
          <w:bCs/>
          <w:snapToGrid/>
        </w:rPr>
        <w:t>的金额为</w:t>
      </w:r>
      <w:r>
        <w:rPr>
          <w:bCs/>
          <w:snapToGrid/>
        </w:rPr>
        <w:t>4,700,000</w:t>
      </w:r>
      <w:r>
        <w:rPr>
          <w:bCs/>
          <w:snapToGrid/>
        </w:rPr>
        <w:t>第纳尔。此外还于</w:t>
      </w:r>
      <w:r>
        <w:rPr>
          <w:bCs/>
          <w:snapToGrid/>
        </w:rPr>
        <w:t>2002</w:t>
      </w:r>
      <w:r>
        <w:rPr>
          <w:bCs/>
          <w:snapToGrid/>
        </w:rPr>
        <w:t>年</w:t>
      </w:r>
      <w:r>
        <w:rPr>
          <w:rFonts w:hint="eastAsia"/>
          <w:bCs/>
          <w:snapToGrid/>
        </w:rPr>
        <w:t>为</w:t>
      </w:r>
      <w:r>
        <w:rPr>
          <w:bCs/>
          <w:snapToGrid/>
        </w:rPr>
        <w:t>共和国</w:t>
      </w:r>
      <w:r>
        <w:rPr>
          <w:rFonts w:hint="eastAsia"/>
          <w:bCs/>
          <w:snapToGrid/>
        </w:rPr>
        <w:t>各联合</w:t>
      </w:r>
      <w:r>
        <w:rPr>
          <w:bCs/>
          <w:snapToGrid/>
        </w:rPr>
        <w:t>会</w:t>
      </w:r>
      <w:r>
        <w:rPr>
          <w:bCs/>
          <w:snapToGrid/>
        </w:rPr>
        <w:t>(</w:t>
      </w:r>
      <w:r>
        <w:rPr>
          <w:bCs/>
          <w:snapToGrid/>
        </w:rPr>
        <w:t>残疾人协会和组织</w:t>
      </w:r>
      <w:r>
        <w:rPr>
          <w:bCs/>
          <w:snapToGrid/>
        </w:rPr>
        <w:t>)</w:t>
      </w:r>
      <w:r>
        <w:rPr>
          <w:bCs/>
          <w:snapToGrid/>
        </w:rPr>
        <w:t>专家服务工作及部分材料费用提供了</w:t>
      </w:r>
      <w:r>
        <w:rPr>
          <w:bCs/>
          <w:snapToGrid/>
        </w:rPr>
        <w:t>6,530,00</w:t>
      </w:r>
      <w:r>
        <w:rPr>
          <w:rFonts w:hint="eastAsia"/>
          <w:bCs/>
          <w:snapToGrid/>
        </w:rPr>
        <w:t>0</w:t>
      </w:r>
      <w:r>
        <w:rPr>
          <w:bCs/>
          <w:snapToGrid/>
        </w:rPr>
        <w:t>第纳尔的经费</w:t>
      </w:r>
      <w:r>
        <w:rPr>
          <w:rFonts w:hint="eastAsia"/>
          <w:bCs/>
          <w:snapToGrid/>
        </w:rPr>
        <w:t>。</w:t>
      </w:r>
    </w:p>
    <w:p w:rsidR="00000000" w:rsidRDefault="00844A84" w:rsidP="00844A84">
      <w:pPr>
        <w:spacing w:after="240"/>
        <w:ind w:firstLineChars="200" w:firstLine="31680"/>
        <w:rPr>
          <w:rFonts w:hint="eastAsia"/>
          <w:bCs/>
          <w:snapToGrid/>
        </w:rPr>
      </w:pPr>
      <w:r>
        <w:rPr>
          <w:bCs/>
          <w:snapToGrid/>
        </w:rPr>
        <w:t>49.</w:t>
      </w:r>
      <w:r>
        <w:rPr>
          <w:rFonts w:hint="eastAsia"/>
          <w:bCs/>
          <w:snapToGrid/>
        </w:rPr>
        <w:t xml:space="preserve">  </w:t>
      </w:r>
      <w:r>
        <w:rPr>
          <w:bCs/>
          <w:snapToGrid/>
        </w:rPr>
        <w:t>2002</w:t>
      </w:r>
      <w:r>
        <w:rPr>
          <w:bCs/>
          <w:snapToGrid/>
        </w:rPr>
        <w:t>年共拨款</w:t>
      </w:r>
      <w:r>
        <w:rPr>
          <w:bCs/>
          <w:snapToGrid/>
        </w:rPr>
        <w:t>11,</w:t>
      </w:r>
      <w:r>
        <w:rPr>
          <w:rFonts w:hint="eastAsia"/>
          <w:bCs/>
          <w:snapToGrid/>
        </w:rPr>
        <w:t>1</w:t>
      </w:r>
      <w:r>
        <w:rPr>
          <w:bCs/>
          <w:snapToGrid/>
        </w:rPr>
        <w:t>50,000</w:t>
      </w:r>
      <w:r>
        <w:rPr>
          <w:bCs/>
          <w:snapToGrid/>
        </w:rPr>
        <w:t>第纳尔购置电脑</w:t>
      </w:r>
      <w:r>
        <w:rPr>
          <w:rFonts w:hint="eastAsia"/>
          <w:bCs/>
          <w:snapToGrid/>
        </w:rPr>
        <w:t>，用</w:t>
      </w:r>
      <w:r>
        <w:rPr>
          <w:bCs/>
          <w:snapToGrid/>
        </w:rPr>
        <w:t>以满足塞尔维亚共和国境内</w:t>
      </w:r>
      <w:r>
        <w:rPr>
          <w:bCs/>
          <w:snapToGrid/>
        </w:rPr>
        <w:t>230</w:t>
      </w:r>
      <w:r>
        <w:rPr>
          <w:bCs/>
          <w:snapToGrid/>
        </w:rPr>
        <w:t>个残疾人联合会和组织的需要。</w:t>
      </w:r>
    </w:p>
    <w:p w:rsidR="00000000" w:rsidRDefault="00844A84">
      <w:pPr>
        <w:pStyle w:val="Heading3"/>
        <w:spacing w:after="160"/>
        <w:rPr>
          <w:rFonts w:hint="eastAsia"/>
          <w:snapToGrid/>
        </w:rPr>
      </w:pPr>
      <w:r>
        <w:rPr>
          <w:rFonts w:hint="eastAsia"/>
          <w:snapToGrid/>
          <w:kern w:val="0"/>
          <w:u w:val="none"/>
        </w:rPr>
        <w:t xml:space="preserve">D.  </w:t>
      </w:r>
      <w:r>
        <w:rPr>
          <w:rFonts w:hint="eastAsia"/>
          <w:snapToGrid/>
        </w:rPr>
        <w:t>禁止强迫劳动</w:t>
      </w:r>
    </w:p>
    <w:p w:rsidR="00000000" w:rsidRDefault="00844A84" w:rsidP="00844A84">
      <w:pPr>
        <w:ind w:firstLineChars="200" w:firstLine="31680"/>
        <w:rPr>
          <w:rFonts w:hint="eastAsia"/>
          <w:bCs/>
          <w:snapToGrid/>
        </w:rPr>
      </w:pPr>
      <w:r>
        <w:rPr>
          <w:rFonts w:hint="eastAsia"/>
          <w:bCs/>
          <w:snapToGrid/>
        </w:rPr>
        <w:t xml:space="preserve">50.  </w:t>
      </w:r>
      <w:r>
        <w:rPr>
          <w:rFonts w:hint="eastAsia"/>
          <w:bCs/>
          <w:snapToGrid/>
        </w:rPr>
        <w:t>工作自由是宪法保障的权利之一，在确定工作权的准则中有所规定。《南斯拉夫联盟共和国宪法》第</w:t>
      </w:r>
      <w:r>
        <w:rPr>
          <w:bCs/>
          <w:snapToGrid/>
        </w:rPr>
        <w:t>54</w:t>
      </w:r>
      <w:r>
        <w:rPr>
          <w:bCs/>
          <w:snapToGrid/>
        </w:rPr>
        <w:t>条保障自由选择职业和就业</w:t>
      </w:r>
      <w:r>
        <w:rPr>
          <w:rFonts w:hint="eastAsia"/>
          <w:bCs/>
          <w:snapToGrid/>
        </w:rPr>
        <w:t>的权利</w:t>
      </w:r>
      <w:r>
        <w:rPr>
          <w:bCs/>
          <w:snapToGrid/>
        </w:rPr>
        <w:t>。同样，只有</w:t>
      </w:r>
      <w:r>
        <w:rPr>
          <w:rFonts w:hint="eastAsia"/>
          <w:bCs/>
          <w:snapToGrid/>
        </w:rPr>
        <w:t>依据</w:t>
      </w:r>
      <w:r>
        <w:rPr>
          <w:bCs/>
          <w:snapToGrid/>
        </w:rPr>
        <w:t>法律和集体协定规定的条件和方式才能</w:t>
      </w:r>
      <w:r>
        <w:rPr>
          <w:rFonts w:hint="eastAsia"/>
          <w:bCs/>
          <w:snapToGrid/>
        </w:rPr>
        <w:t>违反雇</w:t>
      </w:r>
      <w:r>
        <w:rPr>
          <w:rFonts w:hint="eastAsia"/>
          <w:bCs/>
          <w:snapToGrid/>
        </w:rPr>
        <w:t>员</w:t>
      </w:r>
      <w:r>
        <w:rPr>
          <w:bCs/>
          <w:snapToGrid/>
        </w:rPr>
        <w:t>的</w:t>
      </w:r>
      <w:r>
        <w:rPr>
          <w:rFonts w:hint="eastAsia"/>
          <w:bCs/>
          <w:snapToGrid/>
        </w:rPr>
        <w:t>意愿而</w:t>
      </w:r>
      <w:r>
        <w:rPr>
          <w:bCs/>
          <w:snapToGrid/>
        </w:rPr>
        <w:t>终止其工作合同。该条第</w:t>
      </w:r>
      <w:r>
        <w:rPr>
          <w:rFonts w:hint="eastAsia"/>
          <w:bCs/>
          <w:snapToGrid/>
        </w:rPr>
        <w:t>3</w:t>
      </w:r>
      <w:r>
        <w:rPr>
          <w:bCs/>
          <w:snapToGrid/>
        </w:rPr>
        <w:t>款</w:t>
      </w:r>
      <w:r>
        <w:rPr>
          <w:rFonts w:hint="eastAsia"/>
          <w:bCs/>
          <w:snapToGrid/>
        </w:rPr>
        <w:t>明文</w:t>
      </w:r>
      <w:r>
        <w:rPr>
          <w:bCs/>
          <w:snapToGrid/>
        </w:rPr>
        <w:t>禁止强迫劳动。</w:t>
      </w:r>
      <w:r>
        <w:rPr>
          <w:rFonts w:hint="eastAsia"/>
          <w:bCs/>
          <w:snapToGrid/>
        </w:rPr>
        <w:t>《</w:t>
      </w:r>
      <w:r>
        <w:rPr>
          <w:bCs/>
          <w:snapToGrid/>
        </w:rPr>
        <w:t>塞尔维亚共和国宪法》也</w:t>
      </w:r>
      <w:r>
        <w:rPr>
          <w:rFonts w:hint="eastAsia"/>
          <w:bCs/>
          <w:snapToGrid/>
        </w:rPr>
        <w:t>载有</w:t>
      </w:r>
      <w:r>
        <w:rPr>
          <w:bCs/>
          <w:snapToGrid/>
        </w:rPr>
        <w:t>类似条款。</w:t>
      </w:r>
    </w:p>
    <w:p w:rsidR="00000000" w:rsidRDefault="00844A84" w:rsidP="00844A84">
      <w:pPr>
        <w:ind w:firstLineChars="200" w:firstLine="31680"/>
        <w:rPr>
          <w:rFonts w:hint="eastAsia"/>
          <w:bCs/>
          <w:snapToGrid/>
        </w:rPr>
      </w:pPr>
      <w:r>
        <w:rPr>
          <w:rFonts w:hint="eastAsia"/>
          <w:bCs/>
          <w:snapToGrid/>
        </w:rPr>
        <w:t xml:space="preserve">51.  </w:t>
      </w:r>
      <w:r>
        <w:rPr>
          <w:bCs/>
          <w:snapToGrid/>
        </w:rPr>
        <w:t>《人权和少数群体权利</w:t>
      </w:r>
      <w:r>
        <w:rPr>
          <w:rFonts w:hint="eastAsia"/>
          <w:bCs/>
          <w:snapToGrid/>
        </w:rPr>
        <w:t>及</w:t>
      </w:r>
      <w:r>
        <w:rPr>
          <w:bCs/>
          <w:snapToGrid/>
        </w:rPr>
        <w:t>公民自由宪章</w:t>
      </w:r>
      <w:r>
        <w:rPr>
          <w:rFonts w:hint="eastAsia"/>
          <w:bCs/>
          <w:snapToGrid/>
        </w:rPr>
        <w:t>》</w:t>
      </w:r>
      <w:r>
        <w:rPr>
          <w:bCs/>
          <w:snapToGrid/>
        </w:rPr>
        <w:t>保障自由选择工作的权利</w:t>
      </w:r>
      <w:r>
        <w:rPr>
          <w:bCs/>
          <w:snapToGrid/>
        </w:rPr>
        <w:t>(</w:t>
      </w:r>
      <w:r>
        <w:rPr>
          <w:bCs/>
          <w:snapToGrid/>
        </w:rPr>
        <w:t>第</w:t>
      </w:r>
      <w:r>
        <w:rPr>
          <w:bCs/>
          <w:snapToGrid/>
        </w:rPr>
        <w:t>40</w:t>
      </w:r>
      <w:r>
        <w:rPr>
          <w:bCs/>
          <w:snapToGrid/>
        </w:rPr>
        <w:t>条第</w:t>
      </w:r>
      <w:r>
        <w:rPr>
          <w:rFonts w:hint="eastAsia"/>
          <w:bCs/>
          <w:snapToGrid/>
        </w:rPr>
        <w:t>2</w:t>
      </w:r>
      <w:r>
        <w:rPr>
          <w:bCs/>
          <w:snapToGrid/>
        </w:rPr>
        <w:t>款</w:t>
      </w:r>
      <w:r>
        <w:rPr>
          <w:bCs/>
          <w:snapToGrid/>
        </w:rPr>
        <w:t>)</w:t>
      </w:r>
      <w:r>
        <w:rPr>
          <w:bCs/>
          <w:snapToGrid/>
        </w:rPr>
        <w:t>，但</w:t>
      </w:r>
      <w:r>
        <w:rPr>
          <w:rFonts w:hint="eastAsia"/>
          <w:bCs/>
          <w:snapToGrid/>
        </w:rPr>
        <w:t>无明文</w:t>
      </w:r>
      <w:r>
        <w:rPr>
          <w:bCs/>
          <w:snapToGrid/>
        </w:rPr>
        <w:t>禁止强迫劳动的条款。</w:t>
      </w:r>
    </w:p>
    <w:p w:rsidR="00000000" w:rsidRDefault="00844A84" w:rsidP="00844A84">
      <w:pPr>
        <w:ind w:firstLineChars="200" w:firstLine="31680"/>
        <w:rPr>
          <w:rFonts w:hint="eastAsia"/>
          <w:bCs/>
          <w:snapToGrid/>
        </w:rPr>
      </w:pPr>
      <w:r>
        <w:rPr>
          <w:rFonts w:hint="eastAsia"/>
          <w:bCs/>
          <w:snapToGrid/>
        </w:rPr>
        <w:t xml:space="preserve">52.  </w:t>
      </w:r>
      <w:r>
        <w:rPr>
          <w:rFonts w:hint="eastAsia"/>
          <w:bCs/>
          <w:snapToGrid/>
          <w:spacing w:val="4"/>
        </w:rPr>
        <w:t>禁止强迫劳动即享有工作自由的条款是国家履行义务的结果，规定这些义务的除了联合国有关文件外，还有已批准的劳工组织第</w:t>
      </w:r>
      <w:r>
        <w:rPr>
          <w:bCs/>
          <w:snapToGrid/>
          <w:spacing w:val="4"/>
        </w:rPr>
        <w:t>29</w:t>
      </w:r>
      <w:r>
        <w:rPr>
          <w:bCs/>
          <w:snapToGrid/>
          <w:spacing w:val="4"/>
        </w:rPr>
        <w:t>号公约《强迫劳动公约》</w:t>
      </w:r>
      <w:r>
        <w:rPr>
          <w:bCs/>
          <w:snapToGrid/>
          <w:spacing w:val="4"/>
        </w:rPr>
        <w:t>(1930</w:t>
      </w:r>
      <w:r>
        <w:rPr>
          <w:bCs/>
          <w:snapToGrid/>
          <w:spacing w:val="4"/>
        </w:rPr>
        <w:t>年</w:t>
      </w:r>
      <w:r>
        <w:rPr>
          <w:bCs/>
          <w:snapToGrid/>
          <w:spacing w:val="4"/>
        </w:rPr>
        <w:t>)(</w:t>
      </w:r>
      <w:r>
        <w:rPr>
          <w:bCs/>
          <w:snapToGrid/>
          <w:spacing w:val="4"/>
        </w:rPr>
        <w:t>我国尚未批准劳工组织第</w:t>
      </w:r>
      <w:r>
        <w:rPr>
          <w:bCs/>
          <w:snapToGrid/>
          <w:spacing w:val="4"/>
        </w:rPr>
        <w:t>105</w:t>
      </w:r>
      <w:r>
        <w:rPr>
          <w:bCs/>
          <w:snapToGrid/>
          <w:spacing w:val="4"/>
        </w:rPr>
        <w:t>号公约《废除强迫劳动公约》</w:t>
      </w:r>
      <w:r>
        <w:rPr>
          <w:bCs/>
          <w:snapToGrid/>
          <w:spacing w:val="4"/>
        </w:rPr>
        <w:t>(19</w:t>
      </w:r>
      <w:r>
        <w:rPr>
          <w:rFonts w:hint="eastAsia"/>
          <w:bCs/>
          <w:snapToGrid/>
          <w:spacing w:val="4"/>
        </w:rPr>
        <w:t>5</w:t>
      </w:r>
      <w:r>
        <w:rPr>
          <w:bCs/>
          <w:snapToGrid/>
          <w:spacing w:val="4"/>
        </w:rPr>
        <w:t>7</w:t>
      </w:r>
      <w:r>
        <w:rPr>
          <w:bCs/>
          <w:snapToGrid/>
          <w:spacing w:val="4"/>
        </w:rPr>
        <w:t>年</w:t>
      </w:r>
      <w:r>
        <w:rPr>
          <w:bCs/>
          <w:snapToGrid/>
          <w:spacing w:val="4"/>
        </w:rPr>
        <w:t>)</w:t>
      </w:r>
      <w:r>
        <w:rPr>
          <w:rFonts w:hint="eastAsia"/>
          <w:bCs/>
          <w:snapToGrid/>
          <w:spacing w:val="4"/>
        </w:rPr>
        <w:t>)</w:t>
      </w:r>
      <w:r>
        <w:rPr>
          <w:rStyle w:val="EndnoteReference"/>
          <w:bCs/>
          <w:snapToGrid/>
          <w:spacing w:val="4"/>
        </w:rPr>
        <w:endnoteReference w:id="4"/>
      </w:r>
      <w:r>
        <w:rPr>
          <w:rFonts w:hint="eastAsia"/>
          <w:bCs/>
          <w:snapToGrid/>
          <w:spacing w:val="4"/>
        </w:rPr>
        <w:t>、</w:t>
      </w:r>
      <w:r>
        <w:rPr>
          <w:bCs/>
          <w:snapToGrid/>
          <w:spacing w:val="4"/>
        </w:rPr>
        <w:t>劳工组织</w:t>
      </w:r>
      <w:r>
        <w:rPr>
          <w:rFonts w:hint="eastAsia"/>
          <w:bCs/>
          <w:snapToGrid/>
          <w:spacing w:val="4"/>
        </w:rPr>
        <w:t>第</w:t>
      </w:r>
      <w:r>
        <w:rPr>
          <w:bCs/>
          <w:snapToGrid/>
          <w:spacing w:val="4"/>
        </w:rPr>
        <w:t>35</w:t>
      </w:r>
      <w:r>
        <w:rPr>
          <w:rFonts w:hint="eastAsia"/>
          <w:bCs/>
          <w:snapToGrid/>
          <w:spacing w:val="4"/>
        </w:rPr>
        <w:t>号建议即</w:t>
      </w:r>
      <w:r>
        <w:rPr>
          <w:bCs/>
          <w:snapToGrid/>
          <w:spacing w:val="4"/>
        </w:rPr>
        <w:t>《</w:t>
      </w:r>
      <w:r>
        <w:rPr>
          <w:rFonts w:hint="eastAsia"/>
          <w:bCs/>
          <w:snapToGrid/>
          <w:spacing w:val="4"/>
        </w:rPr>
        <w:t>有关间接</w:t>
      </w:r>
      <w:r>
        <w:rPr>
          <w:bCs/>
          <w:snapToGrid/>
          <w:spacing w:val="4"/>
        </w:rPr>
        <w:t>强迫劳动</w:t>
      </w:r>
      <w:r>
        <w:rPr>
          <w:rFonts w:hint="eastAsia"/>
          <w:bCs/>
          <w:snapToGrid/>
          <w:spacing w:val="4"/>
        </w:rPr>
        <w:t>的</w:t>
      </w:r>
      <w:r>
        <w:rPr>
          <w:bCs/>
          <w:snapToGrid/>
          <w:spacing w:val="4"/>
        </w:rPr>
        <w:t>建议》以及劳工组织第</w:t>
      </w:r>
      <w:r>
        <w:rPr>
          <w:bCs/>
          <w:snapToGrid/>
          <w:spacing w:val="4"/>
        </w:rPr>
        <w:t>36</w:t>
      </w:r>
      <w:r>
        <w:rPr>
          <w:rFonts w:hint="eastAsia"/>
          <w:bCs/>
          <w:snapToGrid/>
          <w:spacing w:val="4"/>
        </w:rPr>
        <w:t>号建议即</w:t>
      </w:r>
      <w:r>
        <w:rPr>
          <w:bCs/>
          <w:snapToGrid/>
          <w:spacing w:val="4"/>
        </w:rPr>
        <w:t>《</w:t>
      </w:r>
      <w:r>
        <w:rPr>
          <w:rFonts w:hint="eastAsia"/>
          <w:bCs/>
          <w:snapToGrid/>
          <w:spacing w:val="4"/>
        </w:rPr>
        <w:t>有关</w:t>
      </w:r>
      <w:r>
        <w:rPr>
          <w:bCs/>
          <w:snapToGrid/>
          <w:spacing w:val="4"/>
        </w:rPr>
        <w:t>强迫劳动建议</w:t>
      </w:r>
      <w:r>
        <w:rPr>
          <w:rFonts w:hint="eastAsia"/>
          <w:bCs/>
          <w:snapToGrid/>
          <w:spacing w:val="4"/>
        </w:rPr>
        <w:t>的</w:t>
      </w:r>
      <w:r>
        <w:rPr>
          <w:bCs/>
          <w:snapToGrid/>
          <w:spacing w:val="4"/>
        </w:rPr>
        <w:t>规章》。某些义务也</w:t>
      </w:r>
      <w:r>
        <w:rPr>
          <w:rFonts w:hint="eastAsia"/>
          <w:bCs/>
          <w:snapToGrid/>
          <w:spacing w:val="4"/>
        </w:rPr>
        <w:t>出自</w:t>
      </w:r>
      <w:r>
        <w:rPr>
          <w:bCs/>
          <w:snapToGrid/>
          <w:spacing w:val="4"/>
        </w:rPr>
        <w:t>劳工组织第</w:t>
      </w:r>
      <w:r>
        <w:rPr>
          <w:bCs/>
          <w:snapToGrid/>
          <w:spacing w:val="4"/>
        </w:rPr>
        <w:t>46</w:t>
      </w:r>
      <w:r>
        <w:rPr>
          <w:bCs/>
          <w:snapToGrid/>
          <w:spacing w:val="4"/>
        </w:rPr>
        <w:t>号</w:t>
      </w:r>
      <w:r>
        <w:rPr>
          <w:rFonts w:hint="eastAsia"/>
          <w:bCs/>
          <w:snapToGrid/>
          <w:spacing w:val="4"/>
        </w:rPr>
        <w:t>建议即</w:t>
      </w:r>
      <w:r>
        <w:rPr>
          <w:bCs/>
          <w:snapToGrid/>
          <w:spacing w:val="4"/>
        </w:rPr>
        <w:t>《</w:t>
      </w:r>
      <w:r>
        <w:rPr>
          <w:rFonts w:hint="eastAsia"/>
          <w:bCs/>
          <w:snapToGrid/>
          <w:spacing w:val="4"/>
        </w:rPr>
        <w:t>逐步</w:t>
      </w:r>
      <w:r>
        <w:rPr>
          <w:bCs/>
          <w:snapToGrid/>
          <w:spacing w:val="4"/>
        </w:rPr>
        <w:t>废除</w:t>
      </w:r>
      <w:r>
        <w:rPr>
          <w:rFonts w:hint="eastAsia"/>
          <w:bCs/>
          <w:snapToGrid/>
          <w:spacing w:val="4"/>
        </w:rPr>
        <w:t>征聘的</w:t>
      </w:r>
      <w:r>
        <w:rPr>
          <w:bCs/>
          <w:snapToGrid/>
          <w:spacing w:val="4"/>
        </w:rPr>
        <w:t>建议</w:t>
      </w:r>
      <w:r>
        <w:rPr>
          <w:rFonts w:hint="eastAsia"/>
          <w:bCs/>
          <w:snapToGrid/>
          <w:spacing w:val="4"/>
        </w:rPr>
        <w:t>》。</w:t>
      </w:r>
    </w:p>
    <w:p w:rsidR="00000000" w:rsidRDefault="00844A84" w:rsidP="00844A84">
      <w:pPr>
        <w:ind w:firstLineChars="200" w:firstLine="31680"/>
        <w:rPr>
          <w:rFonts w:hint="eastAsia"/>
          <w:bCs/>
          <w:snapToGrid/>
        </w:rPr>
      </w:pPr>
      <w:r>
        <w:rPr>
          <w:rFonts w:hint="eastAsia"/>
          <w:bCs/>
          <w:snapToGrid/>
        </w:rPr>
        <w:t xml:space="preserve">53.  </w:t>
      </w:r>
      <w:r>
        <w:rPr>
          <w:rFonts w:hint="eastAsia"/>
          <w:bCs/>
          <w:snapToGrid/>
        </w:rPr>
        <w:t>根据上述各项国际文件，人们可以分析《基本劳工关系法》准则的复杂性，因为该项法律规定以何种方式确定劳工关系、明确劳工关系的定义、说明雇员可否转由另一雇主雇佣、雇员的休假、请假、工时长短、以及可否加班和重新安排工作时间等情况。</w:t>
      </w:r>
    </w:p>
    <w:p w:rsidR="00000000" w:rsidRDefault="00844A84" w:rsidP="00844A84">
      <w:pPr>
        <w:ind w:firstLineChars="200" w:firstLine="31680"/>
        <w:rPr>
          <w:rFonts w:hint="eastAsia"/>
          <w:bCs/>
          <w:snapToGrid/>
        </w:rPr>
      </w:pPr>
      <w:r>
        <w:rPr>
          <w:rFonts w:hint="eastAsia"/>
          <w:bCs/>
          <w:snapToGrid/>
        </w:rPr>
        <w:t xml:space="preserve">54.  </w:t>
      </w:r>
      <w:r>
        <w:rPr>
          <w:rFonts w:hint="eastAsia"/>
          <w:bCs/>
          <w:snapToGrid/>
        </w:rPr>
        <w:t>劳工关系的定义本身并未明文规定劳工关系的自愿性质，但这种性质显然出自宪章的适当条款，并出自上述法律规定的劳工关系的合同概念。</w:t>
      </w:r>
    </w:p>
    <w:p w:rsidR="00000000" w:rsidRDefault="00844A84" w:rsidP="00844A84">
      <w:pPr>
        <w:ind w:firstLineChars="200" w:firstLine="31680"/>
        <w:rPr>
          <w:rFonts w:hint="eastAsia"/>
          <w:bCs/>
          <w:snapToGrid/>
        </w:rPr>
      </w:pPr>
      <w:r>
        <w:rPr>
          <w:rFonts w:hint="eastAsia"/>
          <w:bCs/>
          <w:snapToGrid/>
        </w:rPr>
        <w:t xml:space="preserve">55.  </w:t>
      </w:r>
      <w:r>
        <w:rPr>
          <w:rFonts w:hint="eastAsia"/>
          <w:bCs/>
          <w:snapToGrid/>
        </w:rPr>
        <w:t>《基本劳工关系法》第</w:t>
      </w:r>
      <w:r>
        <w:rPr>
          <w:bCs/>
          <w:snapToGrid/>
        </w:rPr>
        <w:t>20</w:t>
      </w:r>
      <w:r>
        <w:rPr>
          <w:bCs/>
          <w:snapToGrid/>
        </w:rPr>
        <w:t>条第</w:t>
      </w:r>
      <w:r>
        <w:rPr>
          <w:bCs/>
          <w:snapToGrid/>
        </w:rPr>
        <w:t>1</w:t>
      </w:r>
      <w:r>
        <w:rPr>
          <w:bCs/>
          <w:snapToGrid/>
        </w:rPr>
        <w:t>款规定了</w:t>
      </w:r>
      <w:r>
        <w:rPr>
          <w:rFonts w:hint="eastAsia"/>
          <w:bCs/>
          <w:snapToGrid/>
        </w:rPr>
        <w:t>按</w:t>
      </w:r>
      <w:r>
        <w:rPr>
          <w:bCs/>
          <w:snapToGrid/>
        </w:rPr>
        <w:t>法律和集体协定</w:t>
      </w:r>
      <w:r>
        <w:rPr>
          <w:rFonts w:hint="eastAsia"/>
          <w:bCs/>
          <w:snapToGrid/>
        </w:rPr>
        <w:t>确定</w:t>
      </w:r>
      <w:r>
        <w:rPr>
          <w:bCs/>
          <w:snapToGrid/>
        </w:rPr>
        <w:t>的条件安排</w:t>
      </w:r>
      <w:r>
        <w:rPr>
          <w:rFonts w:hint="eastAsia"/>
          <w:bCs/>
          <w:snapToGrid/>
        </w:rPr>
        <w:t>超时工作</w:t>
      </w:r>
      <w:r>
        <w:rPr>
          <w:bCs/>
          <w:snapToGrid/>
        </w:rPr>
        <w:t>(</w:t>
      </w:r>
      <w:r>
        <w:rPr>
          <w:bCs/>
          <w:snapToGrid/>
        </w:rPr>
        <w:t>加班</w:t>
      </w:r>
      <w:r>
        <w:rPr>
          <w:bCs/>
          <w:snapToGrid/>
        </w:rPr>
        <w:t>)</w:t>
      </w:r>
      <w:r>
        <w:rPr>
          <w:rFonts w:hint="eastAsia"/>
          <w:bCs/>
          <w:snapToGrid/>
        </w:rPr>
        <w:t>的</w:t>
      </w:r>
      <w:r>
        <w:rPr>
          <w:bCs/>
          <w:snapToGrid/>
        </w:rPr>
        <w:t>(</w:t>
      </w:r>
      <w:r>
        <w:rPr>
          <w:bCs/>
          <w:snapToGrid/>
        </w:rPr>
        <w:t>任择</w:t>
      </w:r>
      <w:r>
        <w:rPr>
          <w:bCs/>
          <w:snapToGrid/>
        </w:rPr>
        <w:t>)</w:t>
      </w:r>
      <w:r>
        <w:rPr>
          <w:bCs/>
          <w:snapToGrid/>
        </w:rPr>
        <w:t>可能性，同时确定</w:t>
      </w:r>
      <w:r>
        <w:rPr>
          <w:rFonts w:hint="eastAsia"/>
          <w:bCs/>
          <w:snapToGrid/>
        </w:rPr>
        <w:t>了</w:t>
      </w:r>
      <w:r>
        <w:rPr>
          <w:bCs/>
          <w:snapToGrid/>
        </w:rPr>
        <w:t>每周最高加班</w:t>
      </w:r>
      <w:r>
        <w:rPr>
          <w:rFonts w:hint="eastAsia"/>
          <w:bCs/>
          <w:snapToGrid/>
        </w:rPr>
        <w:t>时数</w:t>
      </w:r>
      <w:r>
        <w:rPr>
          <w:bCs/>
          <w:snapToGrid/>
        </w:rPr>
        <w:t>(</w:t>
      </w:r>
      <w:r>
        <w:rPr>
          <w:rFonts w:hint="eastAsia"/>
          <w:bCs/>
          <w:snapToGrid/>
        </w:rPr>
        <w:t>至多</w:t>
      </w:r>
      <w:r>
        <w:rPr>
          <w:bCs/>
          <w:snapToGrid/>
        </w:rPr>
        <w:t>为每周</w:t>
      </w:r>
      <w:r>
        <w:rPr>
          <w:bCs/>
          <w:snapToGrid/>
        </w:rPr>
        <w:t>10</w:t>
      </w:r>
      <w:r>
        <w:rPr>
          <w:bCs/>
          <w:snapToGrid/>
        </w:rPr>
        <w:t>小时</w:t>
      </w:r>
      <w:r>
        <w:rPr>
          <w:bCs/>
          <w:snapToGrid/>
        </w:rPr>
        <w:t>)</w:t>
      </w:r>
      <w:r>
        <w:rPr>
          <w:bCs/>
          <w:snapToGrid/>
        </w:rPr>
        <w:t>。</w:t>
      </w:r>
      <w:r>
        <w:rPr>
          <w:rFonts w:hint="eastAsia"/>
          <w:bCs/>
          <w:snapToGrid/>
        </w:rPr>
        <w:t>例外情况是</w:t>
      </w:r>
      <w:r>
        <w:rPr>
          <w:bCs/>
          <w:snapToGrid/>
        </w:rPr>
        <w:t>，</w:t>
      </w:r>
      <w:r>
        <w:rPr>
          <w:rFonts w:hint="eastAsia"/>
          <w:bCs/>
          <w:snapToGrid/>
        </w:rPr>
        <w:t>第</w:t>
      </w:r>
      <w:r>
        <w:rPr>
          <w:rFonts w:hint="eastAsia"/>
          <w:bCs/>
          <w:snapToGrid/>
        </w:rPr>
        <w:t>2</w:t>
      </w:r>
      <w:r>
        <w:rPr>
          <w:bCs/>
          <w:snapToGrid/>
        </w:rPr>
        <w:t>款规定</w:t>
      </w:r>
      <w:r>
        <w:rPr>
          <w:rFonts w:hint="eastAsia"/>
          <w:bCs/>
          <w:snapToGrid/>
        </w:rPr>
        <w:t>雇员有</w:t>
      </w:r>
      <w:r>
        <w:rPr>
          <w:bCs/>
          <w:snapToGrid/>
        </w:rPr>
        <w:t>义务</w:t>
      </w:r>
      <w:r>
        <w:rPr>
          <w:rFonts w:hint="eastAsia"/>
          <w:bCs/>
          <w:snapToGrid/>
        </w:rPr>
        <w:t>在有些情况</w:t>
      </w:r>
      <w:r>
        <w:rPr>
          <w:rFonts w:hint="eastAsia"/>
          <w:bCs/>
          <w:snapToGrid/>
        </w:rPr>
        <w:t>(</w:t>
      </w:r>
      <w:r>
        <w:rPr>
          <w:bCs/>
          <w:snapToGrid/>
        </w:rPr>
        <w:t>例如在自然灾害以及共和国法律规定的其他情况</w:t>
      </w:r>
      <w:r>
        <w:rPr>
          <w:rFonts w:hint="eastAsia"/>
          <w:bCs/>
          <w:snapToGrid/>
        </w:rPr>
        <w:t>)</w:t>
      </w:r>
      <w:r>
        <w:rPr>
          <w:bCs/>
          <w:snapToGrid/>
        </w:rPr>
        <w:t>下</w:t>
      </w:r>
      <w:r>
        <w:rPr>
          <w:rFonts w:hint="eastAsia"/>
          <w:bCs/>
          <w:snapToGrid/>
        </w:rPr>
        <w:t>应增加加班时数</w:t>
      </w:r>
      <w:r>
        <w:rPr>
          <w:bCs/>
          <w:snapToGrid/>
        </w:rPr>
        <w:t>。该法律</w:t>
      </w:r>
      <w:r>
        <w:rPr>
          <w:rFonts w:hint="eastAsia"/>
          <w:bCs/>
          <w:snapToGrid/>
        </w:rPr>
        <w:t>规定了需要</w:t>
      </w:r>
      <w:r>
        <w:rPr>
          <w:bCs/>
          <w:snapToGrid/>
        </w:rPr>
        <w:t>加班的确切时间以及</w:t>
      </w:r>
      <w:r>
        <w:rPr>
          <w:rFonts w:hint="eastAsia"/>
          <w:bCs/>
          <w:snapToGrid/>
        </w:rPr>
        <w:t>工作时数</w:t>
      </w:r>
      <w:r>
        <w:rPr>
          <w:bCs/>
          <w:snapToGrid/>
        </w:rPr>
        <w:t>。在每</w:t>
      </w:r>
      <w:r>
        <w:rPr>
          <w:rFonts w:hint="eastAsia"/>
          <w:bCs/>
          <w:snapToGrid/>
        </w:rPr>
        <w:t>种</w:t>
      </w:r>
      <w:r>
        <w:rPr>
          <w:bCs/>
          <w:snapToGrid/>
        </w:rPr>
        <w:t>个别情况下，雇主</w:t>
      </w:r>
      <w:r>
        <w:rPr>
          <w:bCs/>
          <w:snapToGrid/>
        </w:rPr>
        <w:t>(</w:t>
      </w:r>
      <w:r>
        <w:rPr>
          <w:bCs/>
          <w:snapToGrid/>
        </w:rPr>
        <w:t>管理人员</w:t>
      </w:r>
      <w:r>
        <w:rPr>
          <w:bCs/>
          <w:snapToGrid/>
        </w:rPr>
        <w:t>)</w:t>
      </w:r>
      <w:r>
        <w:rPr>
          <w:bCs/>
          <w:snapToGrid/>
        </w:rPr>
        <w:t>必须</w:t>
      </w:r>
      <w:r>
        <w:rPr>
          <w:rFonts w:hint="eastAsia"/>
          <w:bCs/>
          <w:snapToGrid/>
        </w:rPr>
        <w:t>对</w:t>
      </w:r>
      <w:r>
        <w:rPr>
          <w:bCs/>
          <w:snapToGrid/>
        </w:rPr>
        <w:t>加班</w:t>
      </w:r>
      <w:r>
        <w:rPr>
          <w:rFonts w:hint="eastAsia"/>
          <w:bCs/>
          <w:snapToGrid/>
        </w:rPr>
        <w:t>作出</w:t>
      </w:r>
      <w:r>
        <w:rPr>
          <w:bCs/>
          <w:snapToGrid/>
        </w:rPr>
        <w:t>决定</w:t>
      </w:r>
      <w:r>
        <w:rPr>
          <w:bCs/>
          <w:snapToGrid/>
        </w:rPr>
        <w:t>(</w:t>
      </w:r>
      <w:r>
        <w:rPr>
          <w:bCs/>
          <w:snapToGrid/>
        </w:rPr>
        <w:t>第</w:t>
      </w:r>
      <w:r>
        <w:rPr>
          <w:bCs/>
          <w:snapToGrid/>
        </w:rPr>
        <w:t>20</w:t>
      </w:r>
      <w:r>
        <w:rPr>
          <w:bCs/>
          <w:snapToGrid/>
        </w:rPr>
        <w:t>条第</w:t>
      </w:r>
      <w:r>
        <w:rPr>
          <w:bCs/>
          <w:snapToGrid/>
        </w:rPr>
        <w:t>3</w:t>
      </w:r>
      <w:r>
        <w:rPr>
          <w:bCs/>
          <w:snapToGrid/>
        </w:rPr>
        <w:t>款</w:t>
      </w:r>
      <w:r>
        <w:rPr>
          <w:bCs/>
          <w:snapToGrid/>
        </w:rPr>
        <w:t>)</w:t>
      </w:r>
      <w:r>
        <w:rPr>
          <w:bCs/>
          <w:snapToGrid/>
        </w:rPr>
        <w:t>。不遵守加班准则，</w:t>
      </w:r>
      <w:r>
        <w:rPr>
          <w:rFonts w:hint="eastAsia"/>
          <w:bCs/>
          <w:snapToGrid/>
        </w:rPr>
        <w:t>将被视为</w:t>
      </w:r>
      <w:r>
        <w:rPr>
          <w:bCs/>
          <w:snapToGrid/>
        </w:rPr>
        <w:t>犯规行为</w:t>
      </w:r>
      <w:r>
        <w:rPr>
          <w:rFonts w:hint="eastAsia"/>
          <w:bCs/>
          <w:snapToGrid/>
        </w:rPr>
        <w:t>而</w:t>
      </w:r>
      <w:r>
        <w:rPr>
          <w:bCs/>
          <w:snapToGrid/>
        </w:rPr>
        <w:t>予以</w:t>
      </w:r>
      <w:r>
        <w:rPr>
          <w:rFonts w:hint="eastAsia"/>
          <w:bCs/>
          <w:snapToGrid/>
        </w:rPr>
        <w:t>惩罚</w:t>
      </w:r>
      <w:r>
        <w:rPr>
          <w:bCs/>
          <w:snapToGrid/>
        </w:rPr>
        <w:t>(</w:t>
      </w:r>
      <w:r>
        <w:rPr>
          <w:bCs/>
          <w:snapToGrid/>
        </w:rPr>
        <w:t>雇主</w:t>
      </w:r>
      <w:r>
        <w:rPr>
          <w:rFonts w:hint="eastAsia"/>
          <w:bCs/>
          <w:snapToGrid/>
        </w:rPr>
        <w:t>和</w:t>
      </w:r>
      <w:r>
        <w:rPr>
          <w:bCs/>
          <w:snapToGrid/>
        </w:rPr>
        <w:t>负责人员将受到罚款</w:t>
      </w:r>
      <w:r>
        <w:rPr>
          <w:bCs/>
          <w:snapToGrid/>
        </w:rPr>
        <w:t>)</w:t>
      </w:r>
      <w:r>
        <w:rPr>
          <w:bCs/>
          <w:snapToGrid/>
        </w:rPr>
        <w:t>。加班的</w:t>
      </w:r>
      <w:r>
        <w:rPr>
          <w:rFonts w:hint="eastAsia"/>
          <w:bCs/>
          <w:snapToGrid/>
        </w:rPr>
        <w:t>雇员</w:t>
      </w:r>
      <w:r>
        <w:rPr>
          <w:bCs/>
          <w:snapToGrid/>
        </w:rPr>
        <w:t>有权增加工资，</w:t>
      </w:r>
      <w:r>
        <w:rPr>
          <w:rFonts w:hint="eastAsia"/>
          <w:bCs/>
          <w:snapToGrid/>
        </w:rPr>
        <w:t>其金额</w:t>
      </w:r>
      <w:r>
        <w:rPr>
          <w:bCs/>
          <w:snapToGrid/>
        </w:rPr>
        <w:t>由共和国法律、集体协定或雇佣合同规定。</w:t>
      </w:r>
    </w:p>
    <w:p w:rsidR="00000000" w:rsidRDefault="00844A84" w:rsidP="00844A84">
      <w:pPr>
        <w:ind w:firstLineChars="200" w:firstLine="31680"/>
        <w:rPr>
          <w:rFonts w:hint="eastAsia"/>
          <w:bCs/>
          <w:snapToGrid/>
        </w:rPr>
      </w:pPr>
      <w:r>
        <w:rPr>
          <w:rFonts w:hint="eastAsia"/>
          <w:bCs/>
          <w:snapToGrid/>
        </w:rPr>
        <w:t xml:space="preserve">56.  </w:t>
      </w:r>
      <w:r>
        <w:rPr>
          <w:rFonts w:hint="eastAsia"/>
          <w:bCs/>
          <w:snapToGrid/>
        </w:rPr>
        <w:t>由于加班的特殊性</w:t>
      </w:r>
      <w:r>
        <w:rPr>
          <w:rFonts w:hint="eastAsia"/>
          <w:bCs/>
          <w:snapToGrid/>
        </w:rPr>
        <w:t>质，对此未作出更详尽的规定，但法律界定了视为加班的条件，因此有些部门</w:t>
      </w:r>
      <w:r>
        <w:rPr>
          <w:rFonts w:hint="eastAsia"/>
          <w:bCs/>
          <w:snapToGrid/>
        </w:rPr>
        <w:t>(</w:t>
      </w:r>
      <w:r>
        <w:rPr>
          <w:rFonts w:hint="eastAsia"/>
          <w:bCs/>
          <w:snapToGrid/>
        </w:rPr>
        <w:t>例如土木工程、农业、餐饮业</w:t>
      </w:r>
      <w:r>
        <w:rPr>
          <w:rFonts w:hint="eastAsia"/>
          <w:bCs/>
          <w:snapToGrid/>
        </w:rPr>
        <w:t>)</w:t>
      </w:r>
      <w:r>
        <w:rPr>
          <w:rFonts w:hint="eastAsia"/>
          <w:bCs/>
          <w:snapToGrid/>
        </w:rPr>
        <w:t>可重新安排工作时间，规定一年内部分期间的工时可超过全职工时，另部分期间则可少于全职工时，但应始终确保雇员一年的工作总时数平均不超过全年总工时。该法律第</w:t>
      </w:r>
      <w:r>
        <w:rPr>
          <w:bCs/>
          <w:snapToGrid/>
        </w:rPr>
        <w:t>23</w:t>
      </w:r>
      <w:r>
        <w:rPr>
          <w:bCs/>
          <w:snapToGrid/>
        </w:rPr>
        <w:t>条</w:t>
      </w:r>
      <w:r>
        <w:rPr>
          <w:rFonts w:hint="eastAsia"/>
          <w:bCs/>
          <w:snapToGrid/>
        </w:rPr>
        <w:t>以及</w:t>
      </w:r>
      <w:r>
        <w:rPr>
          <w:bCs/>
          <w:snapToGrid/>
        </w:rPr>
        <w:t>共和国</w:t>
      </w:r>
      <w:r>
        <w:rPr>
          <w:rFonts w:hint="eastAsia"/>
          <w:bCs/>
          <w:snapToGrid/>
        </w:rPr>
        <w:t>相关</w:t>
      </w:r>
      <w:r>
        <w:rPr>
          <w:bCs/>
          <w:snapToGrid/>
        </w:rPr>
        <w:t>劳工法律的适当条款都规定了这种重新安排的办法</w:t>
      </w:r>
      <w:r>
        <w:rPr>
          <w:rFonts w:hint="eastAsia"/>
          <w:bCs/>
          <w:snapToGrid/>
        </w:rPr>
        <w:t>。</w:t>
      </w:r>
    </w:p>
    <w:p w:rsidR="00000000" w:rsidRDefault="00844A84" w:rsidP="00844A84">
      <w:pPr>
        <w:spacing w:after="160"/>
        <w:ind w:firstLineChars="200" w:firstLine="31680"/>
        <w:rPr>
          <w:rFonts w:hint="eastAsia"/>
          <w:bCs/>
          <w:snapToGrid/>
          <w:spacing w:val="2"/>
        </w:rPr>
      </w:pPr>
      <w:r>
        <w:rPr>
          <w:rFonts w:hint="eastAsia"/>
          <w:bCs/>
          <w:snapToGrid/>
        </w:rPr>
        <w:t xml:space="preserve">57.  </w:t>
      </w:r>
      <w:r>
        <w:rPr>
          <w:rFonts w:hint="eastAsia"/>
          <w:bCs/>
          <w:snapToGrid/>
          <w:spacing w:val="2"/>
        </w:rPr>
        <w:t>刑事法律条款也规定保护免受强迫劳动之害。违反劳工关系的各类刑事罪行也受共和国刑法条款规定的惩处。《塞尔维亚共和国刑法》第</w:t>
      </w:r>
      <w:r>
        <w:rPr>
          <w:bCs/>
          <w:snapToGrid/>
          <w:spacing w:val="2"/>
        </w:rPr>
        <w:t>86</w:t>
      </w:r>
      <w:r>
        <w:rPr>
          <w:bCs/>
          <w:snapToGrid/>
          <w:spacing w:val="2"/>
        </w:rPr>
        <w:t>条规定</w:t>
      </w:r>
      <w:r>
        <w:rPr>
          <w:rFonts w:hint="eastAsia"/>
          <w:bCs/>
          <w:snapToGrid/>
          <w:spacing w:val="2"/>
        </w:rPr>
        <w:t>侵犯</w:t>
      </w:r>
      <w:r>
        <w:rPr>
          <w:bCs/>
          <w:snapToGrid/>
          <w:spacing w:val="2"/>
        </w:rPr>
        <w:t>与劳工有关权利</w:t>
      </w:r>
      <w:r>
        <w:rPr>
          <w:rFonts w:hint="eastAsia"/>
          <w:bCs/>
          <w:snapToGrid/>
          <w:spacing w:val="2"/>
        </w:rPr>
        <w:t>的行为</w:t>
      </w:r>
      <w:r>
        <w:rPr>
          <w:bCs/>
          <w:snapToGrid/>
          <w:spacing w:val="2"/>
        </w:rPr>
        <w:t>为刑事罪</w:t>
      </w:r>
      <w:r>
        <w:rPr>
          <w:rFonts w:hint="eastAsia"/>
          <w:bCs/>
          <w:snapToGrid/>
          <w:spacing w:val="2"/>
        </w:rPr>
        <w:t>，当仅采用了总体的处置办</w:t>
      </w:r>
      <w:r>
        <w:rPr>
          <w:rFonts w:hint="eastAsia"/>
          <w:bCs/>
          <w:snapToGrid/>
          <w:spacing w:val="2"/>
        </w:rPr>
        <w:t>法。该条规定，凡蓄意不遵守法律、其他规章、集体协定和其他与劳工有关的普通法令的人，都将处以罚款或判处一年以下徒刑。</w:t>
      </w:r>
    </w:p>
    <w:p w:rsidR="00000000" w:rsidRDefault="00844A84">
      <w:pPr>
        <w:pStyle w:val="Heading3"/>
        <w:spacing w:after="240"/>
        <w:rPr>
          <w:rFonts w:hint="eastAsia"/>
          <w:bCs/>
          <w:snapToGrid/>
        </w:rPr>
      </w:pPr>
      <w:r>
        <w:rPr>
          <w:rFonts w:hint="eastAsia"/>
          <w:snapToGrid/>
          <w:u w:val="none"/>
        </w:rPr>
        <w:t xml:space="preserve">E.  </w:t>
      </w:r>
      <w:r>
        <w:rPr>
          <w:rFonts w:hint="eastAsia"/>
          <w:snapToGrid/>
        </w:rPr>
        <w:t>外国人的就业权利</w:t>
      </w:r>
    </w:p>
    <w:p w:rsidR="00000000" w:rsidRDefault="00844A84" w:rsidP="00844A84">
      <w:pPr>
        <w:ind w:firstLineChars="200" w:firstLine="31680"/>
        <w:rPr>
          <w:rFonts w:hint="eastAsia"/>
          <w:bCs/>
          <w:snapToGrid/>
        </w:rPr>
      </w:pPr>
      <w:r>
        <w:rPr>
          <w:bCs/>
          <w:snapToGrid/>
        </w:rPr>
        <w:t>58.</w:t>
      </w:r>
      <w:r>
        <w:rPr>
          <w:rFonts w:hint="eastAsia"/>
          <w:bCs/>
          <w:snapToGrid/>
        </w:rPr>
        <w:t xml:space="preserve">  </w:t>
      </w:r>
      <w:r>
        <w:rPr>
          <w:bCs/>
          <w:snapToGrid/>
        </w:rPr>
        <w:t>《劳工关系基本原则法》第</w:t>
      </w:r>
      <w:r>
        <w:rPr>
          <w:bCs/>
          <w:snapToGrid/>
        </w:rPr>
        <w:t>8</w:t>
      </w:r>
      <w:r>
        <w:rPr>
          <w:bCs/>
          <w:snapToGrid/>
        </w:rPr>
        <w:t>条规定</w:t>
      </w:r>
      <w:r>
        <w:rPr>
          <w:rFonts w:hint="eastAsia"/>
          <w:bCs/>
          <w:snapToGrid/>
        </w:rPr>
        <w:t>，</w:t>
      </w:r>
      <w:r>
        <w:rPr>
          <w:bCs/>
          <w:snapToGrid/>
        </w:rPr>
        <w:t>外国国民和无国籍</w:t>
      </w:r>
      <w:r>
        <w:rPr>
          <w:rFonts w:hint="eastAsia"/>
          <w:bCs/>
          <w:snapToGrid/>
        </w:rPr>
        <w:t>人士</w:t>
      </w:r>
      <w:r>
        <w:rPr>
          <w:bCs/>
          <w:snapToGrid/>
        </w:rPr>
        <w:t>可按照该法令第</w:t>
      </w:r>
      <w:r>
        <w:rPr>
          <w:bCs/>
          <w:snapToGrid/>
        </w:rPr>
        <w:t>7</w:t>
      </w:r>
      <w:r>
        <w:rPr>
          <w:bCs/>
          <w:snapToGrid/>
        </w:rPr>
        <w:t>条的条件</w:t>
      </w:r>
      <w:r>
        <w:rPr>
          <w:rFonts w:hint="eastAsia"/>
          <w:bCs/>
          <w:snapToGrid/>
        </w:rPr>
        <w:t>即</w:t>
      </w:r>
      <w:r>
        <w:rPr>
          <w:bCs/>
          <w:snapToGrid/>
        </w:rPr>
        <w:t>为本国公民规定的同样</w:t>
      </w:r>
      <w:r>
        <w:rPr>
          <w:rFonts w:hint="eastAsia"/>
          <w:bCs/>
          <w:snapToGrid/>
        </w:rPr>
        <w:t>的</w:t>
      </w:r>
      <w:r>
        <w:rPr>
          <w:bCs/>
          <w:snapToGrid/>
        </w:rPr>
        <w:t>条件就业。</w:t>
      </w:r>
    </w:p>
    <w:p w:rsidR="00000000" w:rsidRDefault="00844A84" w:rsidP="00844A84">
      <w:pPr>
        <w:ind w:firstLineChars="200" w:firstLine="31680"/>
        <w:rPr>
          <w:rFonts w:hint="eastAsia"/>
          <w:bCs/>
          <w:snapToGrid/>
        </w:rPr>
      </w:pPr>
      <w:r>
        <w:rPr>
          <w:rFonts w:hint="eastAsia"/>
          <w:bCs/>
          <w:snapToGrid/>
        </w:rPr>
        <w:t xml:space="preserve">59.  </w:t>
      </w:r>
      <w:r>
        <w:rPr>
          <w:rFonts w:hint="eastAsia"/>
          <w:bCs/>
          <w:snapToGrid/>
        </w:rPr>
        <w:t>南斯拉夫联盟共和国是劳工组织第</w:t>
      </w:r>
      <w:r>
        <w:rPr>
          <w:bCs/>
          <w:snapToGrid/>
        </w:rPr>
        <w:t>19</w:t>
      </w:r>
      <w:r>
        <w:rPr>
          <w:bCs/>
          <w:snapToGrid/>
        </w:rPr>
        <w:t>、</w:t>
      </w:r>
      <w:r>
        <w:rPr>
          <w:bCs/>
          <w:snapToGrid/>
        </w:rPr>
        <w:t>48</w:t>
      </w:r>
      <w:r>
        <w:rPr>
          <w:bCs/>
          <w:snapToGrid/>
        </w:rPr>
        <w:t>、</w:t>
      </w:r>
      <w:r>
        <w:rPr>
          <w:bCs/>
          <w:snapToGrid/>
        </w:rPr>
        <w:t>97</w:t>
      </w:r>
      <w:r>
        <w:rPr>
          <w:bCs/>
          <w:snapToGrid/>
        </w:rPr>
        <w:t>和</w:t>
      </w:r>
      <w:r>
        <w:rPr>
          <w:bCs/>
          <w:snapToGrid/>
        </w:rPr>
        <w:t>43</w:t>
      </w:r>
      <w:r>
        <w:rPr>
          <w:bCs/>
          <w:snapToGrid/>
        </w:rPr>
        <w:t>号公约的签署国。</w:t>
      </w:r>
    </w:p>
    <w:p w:rsidR="00000000" w:rsidRDefault="00844A84" w:rsidP="00844A84">
      <w:pPr>
        <w:spacing w:after="240"/>
        <w:ind w:firstLineChars="200" w:firstLine="31680"/>
        <w:rPr>
          <w:rFonts w:hint="eastAsia"/>
          <w:bCs/>
          <w:snapToGrid/>
        </w:rPr>
      </w:pPr>
      <w:r>
        <w:rPr>
          <w:rFonts w:hint="eastAsia"/>
          <w:bCs/>
          <w:snapToGrid/>
        </w:rPr>
        <w:t xml:space="preserve">60.  </w:t>
      </w:r>
      <w:r>
        <w:rPr>
          <w:rFonts w:hint="eastAsia"/>
          <w:bCs/>
          <w:snapToGrid/>
        </w:rPr>
        <w:t>《与外国国民签订就业合同条件法》</w:t>
      </w:r>
      <w:r>
        <w:rPr>
          <w:rFonts w:hint="eastAsia"/>
          <w:bCs/>
          <w:snapToGrid/>
        </w:rPr>
        <w:t>(</w:t>
      </w:r>
      <w:r>
        <w:rPr>
          <w:rFonts w:hint="eastAsia"/>
          <w:bCs/>
          <w:snapToGrid/>
        </w:rPr>
        <w:t>《南联盟政府公报》第</w:t>
      </w:r>
      <w:r>
        <w:rPr>
          <w:bCs/>
          <w:snapToGrid/>
        </w:rPr>
        <w:t>11/78</w:t>
      </w:r>
      <w:r>
        <w:rPr>
          <w:bCs/>
          <w:snapToGrid/>
        </w:rPr>
        <w:t>和</w:t>
      </w:r>
      <w:r>
        <w:rPr>
          <w:bCs/>
          <w:snapToGrid/>
        </w:rPr>
        <w:t>64/89</w:t>
      </w:r>
      <w:r>
        <w:rPr>
          <w:rFonts w:hint="eastAsia"/>
          <w:bCs/>
          <w:snapToGrid/>
        </w:rPr>
        <w:t>号</w:t>
      </w:r>
      <w:r>
        <w:rPr>
          <w:bCs/>
          <w:snapToGrid/>
        </w:rPr>
        <w:t>以及</w:t>
      </w:r>
      <w:r>
        <w:rPr>
          <w:rFonts w:hint="eastAsia"/>
          <w:bCs/>
          <w:snapToGrid/>
        </w:rPr>
        <w:t>《</w:t>
      </w:r>
      <w:r>
        <w:rPr>
          <w:bCs/>
          <w:snapToGrid/>
        </w:rPr>
        <w:t>南联盟政府公报</w:t>
      </w:r>
      <w:r>
        <w:rPr>
          <w:rFonts w:hint="eastAsia"/>
          <w:bCs/>
          <w:snapToGrid/>
        </w:rPr>
        <w:t>》</w:t>
      </w:r>
      <w:r>
        <w:rPr>
          <w:bCs/>
          <w:snapToGrid/>
        </w:rPr>
        <w:t>第</w:t>
      </w:r>
      <w:r>
        <w:rPr>
          <w:bCs/>
          <w:snapToGrid/>
        </w:rPr>
        <w:t>42/92</w:t>
      </w:r>
      <w:r>
        <w:rPr>
          <w:bCs/>
          <w:snapToGrid/>
        </w:rPr>
        <w:t>、</w:t>
      </w:r>
      <w:r>
        <w:rPr>
          <w:bCs/>
          <w:snapToGrid/>
        </w:rPr>
        <w:t>24/94</w:t>
      </w:r>
      <w:r>
        <w:rPr>
          <w:bCs/>
          <w:snapToGrid/>
        </w:rPr>
        <w:t>和</w:t>
      </w:r>
      <w:r>
        <w:rPr>
          <w:bCs/>
          <w:snapToGrid/>
        </w:rPr>
        <w:t>28/96</w:t>
      </w:r>
      <w:r>
        <w:rPr>
          <w:rFonts w:hint="eastAsia"/>
          <w:bCs/>
          <w:snapToGrid/>
        </w:rPr>
        <w:t>号</w:t>
      </w:r>
      <w:r>
        <w:rPr>
          <w:bCs/>
          <w:snapToGrid/>
        </w:rPr>
        <w:t>)</w:t>
      </w:r>
      <w:r>
        <w:rPr>
          <w:bCs/>
          <w:snapToGrid/>
        </w:rPr>
        <w:t>规定，外国国民如</w:t>
      </w:r>
      <w:r>
        <w:rPr>
          <w:rFonts w:hint="eastAsia"/>
          <w:bCs/>
          <w:snapToGrid/>
        </w:rPr>
        <w:t>已</w:t>
      </w:r>
      <w:r>
        <w:rPr>
          <w:bCs/>
          <w:snapToGrid/>
        </w:rPr>
        <w:t>获准永久居留权</w:t>
      </w:r>
      <w:r>
        <w:rPr>
          <w:rFonts w:hint="eastAsia"/>
          <w:bCs/>
          <w:snapToGrid/>
        </w:rPr>
        <w:t>或临时居留权，</w:t>
      </w:r>
      <w:r>
        <w:rPr>
          <w:bCs/>
          <w:snapToGrid/>
        </w:rPr>
        <w:t>或</w:t>
      </w:r>
      <w:r>
        <w:rPr>
          <w:rFonts w:hint="eastAsia"/>
          <w:bCs/>
          <w:snapToGrid/>
        </w:rPr>
        <w:t>已经</w:t>
      </w:r>
      <w:r>
        <w:rPr>
          <w:bCs/>
          <w:snapToGrid/>
        </w:rPr>
        <w:t>塞尔维亚共和国就业</w:t>
      </w:r>
      <w:r>
        <w:rPr>
          <w:rFonts w:hint="eastAsia"/>
          <w:bCs/>
          <w:snapToGrid/>
        </w:rPr>
        <w:t>事务</w:t>
      </w:r>
      <w:r>
        <w:rPr>
          <w:bCs/>
          <w:snapToGrid/>
        </w:rPr>
        <w:t>机构</w:t>
      </w:r>
      <w:r>
        <w:rPr>
          <w:rFonts w:hint="eastAsia"/>
          <w:bCs/>
          <w:snapToGrid/>
        </w:rPr>
        <w:t>同意其签订</w:t>
      </w:r>
      <w:r>
        <w:rPr>
          <w:bCs/>
          <w:snapToGrid/>
        </w:rPr>
        <w:t>就业合同，则该外国公民可在南斯拉夫联盟共和国签订就业合同</w:t>
      </w:r>
      <w:r>
        <w:rPr>
          <w:bCs/>
          <w:snapToGrid/>
        </w:rPr>
        <w:t>(</w:t>
      </w:r>
      <w:r>
        <w:rPr>
          <w:bCs/>
          <w:snapToGrid/>
        </w:rPr>
        <w:t>第</w:t>
      </w:r>
      <w:r>
        <w:rPr>
          <w:bCs/>
          <w:snapToGrid/>
        </w:rPr>
        <w:t>2</w:t>
      </w:r>
      <w:r>
        <w:rPr>
          <w:bCs/>
          <w:snapToGrid/>
        </w:rPr>
        <w:t>条</w:t>
      </w:r>
      <w:r>
        <w:rPr>
          <w:bCs/>
          <w:snapToGrid/>
        </w:rPr>
        <w:t>)</w:t>
      </w:r>
      <w:r>
        <w:rPr>
          <w:bCs/>
          <w:snapToGrid/>
        </w:rPr>
        <w:t>。该项法律规定</w:t>
      </w:r>
      <w:r>
        <w:rPr>
          <w:rFonts w:hint="eastAsia"/>
          <w:bCs/>
          <w:snapToGrid/>
        </w:rPr>
        <w:t>了无须</w:t>
      </w:r>
      <w:r>
        <w:rPr>
          <w:bCs/>
          <w:snapToGrid/>
        </w:rPr>
        <w:t>宣布公开竞争</w:t>
      </w:r>
      <w:r>
        <w:rPr>
          <w:rFonts w:hint="eastAsia"/>
          <w:bCs/>
          <w:snapToGrid/>
        </w:rPr>
        <w:t>而雇佣</w:t>
      </w:r>
      <w:r>
        <w:rPr>
          <w:bCs/>
          <w:snapToGrid/>
        </w:rPr>
        <w:t>外国国民</w:t>
      </w:r>
      <w:r>
        <w:rPr>
          <w:rFonts w:hint="eastAsia"/>
          <w:bCs/>
          <w:snapToGrid/>
        </w:rPr>
        <w:t>的条件</w:t>
      </w:r>
      <w:r>
        <w:rPr>
          <w:bCs/>
          <w:snapToGrid/>
        </w:rPr>
        <w:t>。这方面的设想是雇主可设立工作场所，</w:t>
      </w:r>
      <w:r>
        <w:rPr>
          <w:rFonts w:hint="eastAsia"/>
          <w:bCs/>
          <w:snapToGrid/>
        </w:rPr>
        <w:t>供</w:t>
      </w:r>
      <w:r>
        <w:rPr>
          <w:bCs/>
          <w:snapToGrid/>
        </w:rPr>
        <w:t>外国国民就业。在通过这项法律时尊重了这方面的有关国际规则，作为平等</w:t>
      </w:r>
      <w:r>
        <w:rPr>
          <w:rFonts w:hint="eastAsia"/>
          <w:bCs/>
          <w:snapToGrid/>
        </w:rPr>
        <w:t>对待</w:t>
      </w:r>
      <w:r>
        <w:rPr>
          <w:bCs/>
          <w:snapToGrid/>
        </w:rPr>
        <w:t>外国人的首要原则，即在面对国内劳动力的情况下</w:t>
      </w:r>
      <w:r>
        <w:rPr>
          <w:rFonts w:hint="eastAsia"/>
          <w:bCs/>
          <w:snapToGrid/>
        </w:rPr>
        <w:t>无</w:t>
      </w:r>
      <w:r>
        <w:rPr>
          <w:bCs/>
          <w:snapToGrid/>
        </w:rPr>
        <w:t>歧视的原则。此外，目前正在与其他国家</w:t>
      </w:r>
      <w:r>
        <w:rPr>
          <w:rFonts w:hint="eastAsia"/>
          <w:bCs/>
          <w:snapToGrid/>
        </w:rPr>
        <w:t>续订或签订众多的有关社会安全的双边和国家间协定，以此使外国国民能在社会保险领域内享有本国公民的同等地位。因此，南斯拉夫联盟共和国已在</w:t>
      </w:r>
      <w:r>
        <w:rPr>
          <w:rFonts w:hint="eastAsia"/>
          <w:bCs/>
          <w:snapToGrid/>
        </w:rPr>
        <w:t>很大程度上实现了外国劳动力可自由流动和安置的目标。</w:t>
      </w:r>
    </w:p>
    <w:p w:rsidR="00000000" w:rsidRDefault="00844A84">
      <w:pPr>
        <w:pStyle w:val="Heading3"/>
        <w:spacing w:after="160"/>
        <w:rPr>
          <w:rFonts w:hint="eastAsia"/>
          <w:snapToGrid/>
        </w:rPr>
      </w:pPr>
      <w:r>
        <w:rPr>
          <w:rFonts w:hint="eastAsia"/>
          <w:snapToGrid/>
        </w:rPr>
        <w:t>第</w:t>
      </w:r>
      <w:r>
        <w:rPr>
          <w:rFonts w:hint="eastAsia"/>
          <w:snapToGrid/>
        </w:rPr>
        <w:t xml:space="preserve"> </w:t>
      </w:r>
      <w:r>
        <w:rPr>
          <w:rFonts w:hint="eastAsia"/>
          <w:snapToGrid/>
        </w:rPr>
        <w:t>七</w:t>
      </w:r>
      <w:r>
        <w:rPr>
          <w:rFonts w:hint="eastAsia"/>
          <w:snapToGrid/>
        </w:rPr>
        <w:t xml:space="preserve"> </w:t>
      </w:r>
      <w:r>
        <w:rPr>
          <w:rFonts w:hint="eastAsia"/>
          <w:snapToGrid/>
        </w:rPr>
        <w:t>条</w:t>
      </w:r>
    </w:p>
    <w:p w:rsidR="00000000" w:rsidRDefault="00844A84">
      <w:pPr>
        <w:pStyle w:val="Heading4"/>
        <w:spacing w:after="160"/>
        <w:rPr>
          <w:rFonts w:hint="eastAsia"/>
          <w:snapToGrid/>
        </w:rPr>
      </w:pPr>
      <w:r>
        <w:rPr>
          <w:snapToGrid/>
          <w:u w:val="none"/>
        </w:rPr>
        <w:t xml:space="preserve">(a)  </w:t>
      </w:r>
      <w:r>
        <w:rPr>
          <w:rFonts w:hint="eastAsia"/>
          <w:snapToGrid/>
        </w:rPr>
        <w:t>已批准的国际文书</w:t>
      </w:r>
    </w:p>
    <w:p w:rsidR="00000000" w:rsidRDefault="00844A84" w:rsidP="00844A84">
      <w:pPr>
        <w:spacing w:after="280"/>
        <w:ind w:firstLineChars="200" w:firstLine="31680"/>
        <w:rPr>
          <w:rFonts w:hint="eastAsia"/>
          <w:bCs/>
          <w:snapToGrid/>
        </w:rPr>
      </w:pPr>
      <w:r>
        <w:rPr>
          <w:bCs/>
          <w:snapToGrid/>
        </w:rPr>
        <w:t>61.</w:t>
      </w:r>
      <w:r>
        <w:rPr>
          <w:rFonts w:hint="eastAsia"/>
          <w:bCs/>
          <w:snapToGrid/>
        </w:rPr>
        <w:t xml:space="preserve">  </w:t>
      </w:r>
      <w:r>
        <w:rPr>
          <w:bCs/>
          <w:snapToGrid/>
        </w:rPr>
        <w:t>塞尔维亚和黑山已批准的国际劳工文书包括劳工组织第</w:t>
      </w:r>
      <w:r>
        <w:rPr>
          <w:bCs/>
          <w:snapToGrid/>
        </w:rPr>
        <w:t>14</w:t>
      </w:r>
      <w:r>
        <w:rPr>
          <w:bCs/>
          <w:snapToGrid/>
        </w:rPr>
        <w:t>号公约《</w:t>
      </w:r>
      <w:r>
        <w:rPr>
          <w:bCs/>
          <w:snapToGrid/>
        </w:rPr>
        <w:t>(</w:t>
      </w:r>
      <w:r>
        <w:rPr>
          <w:bCs/>
          <w:snapToGrid/>
        </w:rPr>
        <w:t>工业</w:t>
      </w:r>
      <w:r>
        <w:rPr>
          <w:bCs/>
          <w:snapToGrid/>
        </w:rPr>
        <w:t>)</w:t>
      </w:r>
      <w:r>
        <w:rPr>
          <w:bCs/>
          <w:snapToGrid/>
        </w:rPr>
        <w:t>每周休息公约》</w:t>
      </w:r>
      <w:r>
        <w:rPr>
          <w:bCs/>
          <w:snapToGrid/>
        </w:rPr>
        <w:t>(1921</w:t>
      </w:r>
      <w:r>
        <w:rPr>
          <w:bCs/>
          <w:snapToGrid/>
        </w:rPr>
        <w:t>年</w:t>
      </w:r>
      <w:r>
        <w:rPr>
          <w:bCs/>
          <w:snapToGrid/>
        </w:rPr>
        <w:t>)</w:t>
      </w:r>
      <w:r>
        <w:rPr>
          <w:bCs/>
          <w:snapToGrid/>
        </w:rPr>
        <w:t>；第</w:t>
      </w:r>
      <w:r>
        <w:rPr>
          <w:bCs/>
          <w:snapToGrid/>
        </w:rPr>
        <w:t>81</w:t>
      </w:r>
      <w:r>
        <w:rPr>
          <w:bCs/>
          <w:snapToGrid/>
        </w:rPr>
        <w:t>号公约《劳动监察</w:t>
      </w:r>
      <w:r>
        <w:rPr>
          <w:rFonts w:hint="eastAsia"/>
          <w:bCs/>
          <w:snapToGrid/>
        </w:rPr>
        <w:t>公约</w:t>
      </w:r>
      <w:r>
        <w:rPr>
          <w:bCs/>
          <w:snapToGrid/>
        </w:rPr>
        <w:t>》</w:t>
      </w:r>
      <w:r>
        <w:rPr>
          <w:bCs/>
          <w:snapToGrid/>
        </w:rPr>
        <w:t>(1947</w:t>
      </w:r>
      <w:r>
        <w:rPr>
          <w:bCs/>
          <w:snapToGrid/>
        </w:rPr>
        <w:t>年</w:t>
      </w:r>
      <w:r>
        <w:rPr>
          <w:bCs/>
          <w:snapToGrid/>
        </w:rPr>
        <w:t>)</w:t>
      </w:r>
      <w:r>
        <w:rPr>
          <w:bCs/>
          <w:snapToGrid/>
        </w:rPr>
        <w:t>；第</w:t>
      </w:r>
      <w:r>
        <w:rPr>
          <w:bCs/>
          <w:snapToGrid/>
        </w:rPr>
        <w:t>90</w:t>
      </w:r>
      <w:r>
        <w:rPr>
          <w:bCs/>
          <w:snapToGrid/>
        </w:rPr>
        <w:t>号公约《</w:t>
      </w:r>
      <w:r>
        <w:rPr>
          <w:bCs/>
          <w:snapToGrid/>
        </w:rPr>
        <w:t>(</w:t>
      </w:r>
      <w:r>
        <w:rPr>
          <w:bCs/>
          <w:snapToGrid/>
        </w:rPr>
        <w:t>工业</w:t>
      </w:r>
      <w:r>
        <w:rPr>
          <w:rFonts w:hint="eastAsia"/>
          <w:bCs/>
          <w:snapToGrid/>
        </w:rPr>
        <w:t>)</w:t>
      </w:r>
      <w:r>
        <w:rPr>
          <w:bCs/>
          <w:snapToGrid/>
        </w:rPr>
        <w:t>未成年人夜间工作</w:t>
      </w:r>
      <w:r>
        <w:rPr>
          <w:rFonts w:hint="eastAsia"/>
          <w:bCs/>
          <w:snapToGrid/>
        </w:rPr>
        <w:t>公约</w:t>
      </w:r>
      <w:r>
        <w:rPr>
          <w:bCs/>
          <w:snapToGrid/>
        </w:rPr>
        <w:t>(</w:t>
      </w:r>
      <w:r>
        <w:rPr>
          <w:bCs/>
          <w:snapToGrid/>
        </w:rPr>
        <w:t>修订本</w:t>
      </w:r>
      <w:r>
        <w:rPr>
          <w:bCs/>
          <w:snapToGrid/>
        </w:rPr>
        <w:t>)</w:t>
      </w:r>
      <w:r>
        <w:rPr>
          <w:rFonts w:hint="eastAsia"/>
          <w:bCs/>
          <w:snapToGrid/>
        </w:rPr>
        <w:t>》</w:t>
      </w:r>
      <w:r>
        <w:rPr>
          <w:bCs/>
          <w:snapToGrid/>
        </w:rPr>
        <w:t>(1948</w:t>
      </w:r>
      <w:r>
        <w:rPr>
          <w:bCs/>
          <w:snapToGrid/>
        </w:rPr>
        <w:t>年</w:t>
      </w:r>
      <w:r>
        <w:rPr>
          <w:bCs/>
          <w:snapToGrid/>
        </w:rPr>
        <w:t>)</w:t>
      </w:r>
      <w:r>
        <w:rPr>
          <w:bCs/>
          <w:snapToGrid/>
        </w:rPr>
        <w:t>；第</w:t>
      </w:r>
      <w:r>
        <w:rPr>
          <w:bCs/>
          <w:snapToGrid/>
        </w:rPr>
        <w:t>100</w:t>
      </w:r>
      <w:r>
        <w:rPr>
          <w:bCs/>
          <w:snapToGrid/>
        </w:rPr>
        <w:t>号公约《同酬公约》</w:t>
      </w:r>
      <w:r>
        <w:rPr>
          <w:bCs/>
          <w:snapToGrid/>
        </w:rPr>
        <w:t>(1951</w:t>
      </w:r>
      <w:r>
        <w:rPr>
          <w:bCs/>
          <w:snapToGrid/>
        </w:rPr>
        <w:t>年</w:t>
      </w:r>
      <w:r>
        <w:rPr>
          <w:bCs/>
          <w:snapToGrid/>
        </w:rPr>
        <w:t>)</w:t>
      </w:r>
      <w:r>
        <w:rPr>
          <w:bCs/>
          <w:snapToGrid/>
        </w:rPr>
        <w:t>；第</w:t>
      </w:r>
      <w:r>
        <w:rPr>
          <w:bCs/>
          <w:snapToGrid/>
        </w:rPr>
        <w:t>106</w:t>
      </w:r>
      <w:r>
        <w:rPr>
          <w:bCs/>
          <w:snapToGrid/>
        </w:rPr>
        <w:t>号公约《</w:t>
      </w:r>
      <w:r>
        <w:rPr>
          <w:bCs/>
          <w:snapToGrid/>
        </w:rPr>
        <w:t>(</w:t>
      </w:r>
      <w:r>
        <w:rPr>
          <w:bCs/>
          <w:snapToGrid/>
        </w:rPr>
        <w:t>农业和办事处所</w:t>
      </w:r>
      <w:r>
        <w:rPr>
          <w:bCs/>
          <w:snapToGrid/>
        </w:rPr>
        <w:t>)</w:t>
      </w:r>
      <w:r>
        <w:rPr>
          <w:bCs/>
          <w:snapToGrid/>
        </w:rPr>
        <w:t>每周休息公约》</w:t>
      </w:r>
      <w:r>
        <w:rPr>
          <w:bCs/>
          <w:snapToGrid/>
        </w:rPr>
        <w:t>(19</w:t>
      </w:r>
      <w:r>
        <w:rPr>
          <w:rFonts w:hint="eastAsia"/>
          <w:bCs/>
          <w:snapToGrid/>
        </w:rPr>
        <w:t>5</w:t>
      </w:r>
      <w:r>
        <w:rPr>
          <w:bCs/>
          <w:snapToGrid/>
        </w:rPr>
        <w:t>7</w:t>
      </w:r>
      <w:r>
        <w:rPr>
          <w:bCs/>
          <w:snapToGrid/>
        </w:rPr>
        <w:t>年</w:t>
      </w:r>
      <w:r>
        <w:rPr>
          <w:bCs/>
          <w:snapToGrid/>
        </w:rPr>
        <w:t>)</w:t>
      </w:r>
      <w:r>
        <w:rPr>
          <w:bCs/>
          <w:snapToGrid/>
        </w:rPr>
        <w:t>；第</w:t>
      </w:r>
      <w:r>
        <w:rPr>
          <w:bCs/>
          <w:snapToGrid/>
        </w:rPr>
        <w:t>129</w:t>
      </w:r>
      <w:r>
        <w:rPr>
          <w:bCs/>
          <w:snapToGrid/>
        </w:rPr>
        <w:t>号公约《</w:t>
      </w:r>
      <w:r>
        <w:rPr>
          <w:bCs/>
          <w:snapToGrid/>
        </w:rPr>
        <w:t>(</w:t>
      </w:r>
      <w:r>
        <w:rPr>
          <w:bCs/>
          <w:snapToGrid/>
        </w:rPr>
        <w:t>农业</w:t>
      </w:r>
      <w:r>
        <w:rPr>
          <w:bCs/>
          <w:snapToGrid/>
        </w:rPr>
        <w:t>)</w:t>
      </w:r>
      <w:r>
        <w:rPr>
          <w:bCs/>
          <w:snapToGrid/>
        </w:rPr>
        <w:t>劳动监察公约》</w:t>
      </w:r>
      <w:r>
        <w:rPr>
          <w:bCs/>
          <w:snapToGrid/>
        </w:rPr>
        <w:t>(1969</w:t>
      </w:r>
      <w:r>
        <w:rPr>
          <w:bCs/>
          <w:snapToGrid/>
        </w:rPr>
        <w:t>年</w:t>
      </w:r>
      <w:r>
        <w:rPr>
          <w:bCs/>
          <w:snapToGrid/>
        </w:rPr>
        <w:t>)</w:t>
      </w:r>
      <w:r>
        <w:rPr>
          <w:bCs/>
          <w:snapToGrid/>
        </w:rPr>
        <w:t>；第</w:t>
      </w:r>
      <w:r>
        <w:rPr>
          <w:bCs/>
          <w:snapToGrid/>
        </w:rPr>
        <w:t>131</w:t>
      </w:r>
      <w:r>
        <w:rPr>
          <w:bCs/>
          <w:snapToGrid/>
        </w:rPr>
        <w:t>号公约《确定最低工资公约》</w:t>
      </w:r>
      <w:r>
        <w:rPr>
          <w:bCs/>
          <w:snapToGrid/>
        </w:rPr>
        <w:t>(1</w:t>
      </w:r>
      <w:r>
        <w:rPr>
          <w:bCs/>
          <w:snapToGrid/>
        </w:rPr>
        <w:t>970</w:t>
      </w:r>
      <w:r>
        <w:rPr>
          <w:bCs/>
          <w:snapToGrid/>
        </w:rPr>
        <w:t>年</w:t>
      </w:r>
      <w:r>
        <w:rPr>
          <w:bCs/>
          <w:snapToGrid/>
        </w:rPr>
        <w:t>)</w:t>
      </w:r>
      <w:r>
        <w:rPr>
          <w:bCs/>
          <w:snapToGrid/>
        </w:rPr>
        <w:t>；第</w:t>
      </w:r>
      <w:r>
        <w:rPr>
          <w:bCs/>
          <w:snapToGrid/>
        </w:rPr>
        <w:t>13</w:t>
      </w:r>
      <w:r>
        <w:rPr>
          <w:rFonts w:hint="eastAsia"/>
          <w:bCs/>
          <w:snapToGrid/>
        </w:rPr>
        <w:t>2</w:t>
      </w:r>
      <w:r>
        <w:rPr>
          <w:bCs/>
          <w:snapToGrid/>
        </w:rPr>
        <w:t>号公约《带薪休假公约</w:t>
      </w:r>
      <w:r>
        <w:rPr>
          <w:bCs/>
          <w:snapToGrid/>
        </w:rPr>
        <w:t>(</w:t>
      </w:r>
      <w:r>
        <w:rPr>
          <w:bCs/>
          <w:snapToGrid/>
        </w:rPr>
        <w:t>修订本</w:t>
      </w:r>
      <w:r>
        <w:rPr>
          <w:bCs/>
          <w:snapToGrid/>
        </w:rPr>
        <w:t>)</w:t>
      </w:r>
      <w:r>
        <w:rPr>
          <w:bCs/>
          <w:snapToGrid/>
        </w:rPr>
        <w:t>》</w:t>
      </w:r>
      <w:r>
        <w:rPr>
          <w:bCs/>
          <w:snapToGrid/>
        </w:rPr>
        <w:t>(1970</w:t>
      </w:r>
      <w:r>
        <w:rPr>
          <w:bCs/>
          <w:snapToGrid/>
        </w:rPr>
        <w:t>年</w:t>
      </w:r>
      <w:r>
        <w:rPr>
          <w:bCs/>
          <w:snapToGrid/>
        </w:rPr>
        <w:t>)</w:t>
      </w:r>
      <w:r>
        <w:rPr>
          <w:bCs/>
          <w:snapToGrid/>
        </w:rPr>
        <w:t>；第</w:t>
      </w:r>
      <w:r>
        <w:rPr>
          <w:bCs/>
          <w:snapToGrid/>
        </w:rPr>
        <w:t>140</w:t>
      </w:r>
      <w:r>
        <w:rPr>
          <w:bCs/>
          <w:snapToGrid/>
        </w:rPr>
        <w:t>号公约《带薪脱产学习公约》</w:t>
      </w:r>
      <w:r>
        <w:rPr>
          <w:bCs/>
          <w:snapToGrid/>
        </w:rPr>
        <w:t>(</w:t>
      </w:r>
      <w:r>
        <w:rPr>
          <w:rFonts w:hint="eastAsia"/>
          <w:bCs/>
          <w:snapToGrid/>
        </w:rPr>
        <w:t>1</w:t>
      </w:r>
      <w:r>
        <w:rPr>
          <w:bCs/>
          <w:snapToGrid/>
        </w:rPr>
        <w:t>974</w:t>
      </w:r>
      <w:r>
        <w:rPr>
          <w:bCs/>
          <w:snapToGrid/>
        </w:rPr>
        <w:t>年</w:t>
      </w:r>
      <w:r>
        <w:rPr>
          <w:bCs/>
          <w:snapToGrid/>
        </w:rPr>
        <w:t>)</w:t>
      </w:r>
      <w:r>
        <w:rPr>
          <w:bCs/>
          <w:snapToGrid/>
        </w:rPr>
        <w:t>；第</w:t>
      </w:r>
      <w:r>
        <w:rPr>
          <w:bCs/>
          <w:snapToGrid/>
        </w:rPr>
        <w:t>155</w:t>
      </w:r>
      <w:r>
        <w:rPr>
          <w:bCs/>
          <w:snapToGrid/>
        </w:rPr>
        <w:t>号公约《职业安全和卫生公约》</w:t>
      </w:r>
      <w:r>
        <w:rPr>
          <w:bCs/>
          <w:snapToGrid/>
        </w:rPr>
        <w:t>(1981</w:t>
      </w:r>
      <w:r>
        <w:rPr>
          <w:bCs/>
          <w:snapToGrid/>
        </w:rPr>
        <w:t>年</w:t>
      </w:r>
      <w:r>
        <w:rPr>
          <w:bCs/>
          <w:snapToGrid/>
        </w:rPr>
        <w:t>)</w:t>
      </w:r>
      <w:r>
        <w:rPr>
          <w:bCs/>
          <w:snapToGrid/>
        </w:rPr>
        <w:t>。</w:t>
      </w:r>
    </w:p>
    <w:p w:rsidR="00000000" w:rsidRDefault="00844A84">
      <w:pPr>
        <w:pStyle w:val="Heading4"/>
        <w:spacing w:after="260"/>
        <w:rPr>
          <w:rFonts w:hint="eastAsia"/>
          <w:bCs/>
          <w:snapToGrid/>
        </w:rPr>
      </w:pPr>
      <w:r>
        <w:rPr>
          <w:snapToGrid/>
          <w:u w:val="none"/>
        </w:rPr>
        <w:t>(b)</w:t>
      </w:r>
      <w:r>
        <w:rPr>
          <w:rFonts w:hint="eastAsia"/>
          <w:snapToGrid/>
          <w:u w:val="none"/>
        </w:rPr>
        <w:t xml:space="preserve">  </w:t>
      </w:r>
      <w:r>
        <w:rPr>
          <w:rFonts w:hint="eastAsia"/>
          <w:snapToGrid/>
        </w:rPr>
        <w:t>工资、工资补偿和其他薪酬</w:t>
      </w:r>
    </w:p>
    <w:p w:rsidR="00000000" w:rsidRDefault="00844A84" w:rsidP="00844A84">
      <w:pPr>
        <w:ind w:firstLineChars="200" w:firstLine="31680"/>
        <w:rPr>
          <w:rFonts w:hint="eastAsia"/>
          <w:bCs/>
          <w:snapToGrid/>
        </w:rPr>
      </w:pPr>
      <w:r>
        <w:rPr>
          <w:rFonts w:hint="eastAsia"/>
          <w:bCs/>
          <w:snapToGrid/>
        </w:rPr>
        <w:t xml:space="preserve">62.  </w:t>
      </w:r>
      <w:r>
        <w:rPr>
          <w:rFonts w:hint="eastAsia"/>
          <w:bCs/>
          <w:snapToGrid/>
        </w:rPr>
        <w:t>雇员有权获得法律、普通法令或雇佣合同规定的适当工资。</w:t>
      </w:r>
    </w:p>
    <w:p w:rsidR="00000000" w:rsidRDefault="00844A84" w:rsidP="00844A84">
      <w:pPr>
        <w:ind w:firstLineChars="200" w:firstLine="31680"/>
        <w:rPr>
          <w:bCs/>
          <w:snapToGrid/>
        </w:rPr>
      </w:pPr>
      <w:r>
        <w:rPr>
          <w:bCs/>
          <w:snapToGrid/>
        </w:rPr>
        <w:t>63.</w:t>
      </w:r>
      <w:r>
        <w:rPr>
          <w:rFonts w:hint="eastAsia"/>
          <w:bCs/>
          <w:snapToGrid/>
        </w:rPr>
        <w:t xml:space="preserve">  </w:t>
      </w:r>
      <w:r>
        <w:rPr>
          <w:bCs/>
          <w:snapToGrid/>
        </w:rPr>
        <w:t>应保障</w:t>
      </w:r>
      <w:r>
        <w:rPr>
          <w:rFonts w:hint="eastAsia"/>
          <w:bCs/>
          <w:snapToGrid/>
        </w:rPr>
        <w:t>雇员</w:t>
      </w:r>
      <w:r>
        <w:rPr>
          <w:bCs/>
          <w:snapToGrid/>
        </w:rPr>
        <w:t>同工同酬</w:t>
      </w:r>
      <w:r>
        <w:rPr>
          <w:rFonts w:hint="eastAsia"/>
          <w:bCs/>
          <w:snapToGrid/>
        </w:rPr>
        <w:t>，</w:t>
      </w:r>
      <w:r>
        <w:rPr>
          <w:bCs/>
          <w:snapToGrid/>
        </w:rPr>
        <w:t>或</w:t>
      </w:r>
      <w:r>
        <w:rPr>
          <w:rFonts w:hint="eastAsia"/>
          <w:bCs/>
          <w:snapToGrid/>
        </w:rPr>
        <w:t>因从事</w:t>
      </w:r>
      <w:r>
        <w:rPr>
          <w:bCs/>
          <w:snapToGrid/>
        </w:rPr>
        <w:t>同</w:t>
      </w:r>
      <w:r>
        <w:rPr>
          <w:rFonts w:hint="eastAsia"/>
          <w:bCs/>
          <w:snapToGrid/>
        </w:rPr>
        <w:t>等</w:t>
      </w:r>
      <w:r>
        <w:rPr>
          <w:bCs/>
          <w:snapToGrid/>
        </w:rPr>
        <w:t>价值的工作</w:t>
      </w:r>
      <w:r>
        <w:rPr>
          <w:rFonts w:hint="eastAsia"/>
          <w:bCs/>
          <w:snapToGrid/>
        </w:rPr>
        <w:t>而获得</w:t>
      </w:r>
      <w:r>
        <w:rPr>
          <w:bCs/>
          <w:snapToGrid/>
        </w:rPr>
        <w:t>同</w:t>
      </w:r>
      <w:r>
        <w:rPr>
          <w:rFonts w:hint="eastAsia"/>
          <w:bCs/>
          <w:snapToGrid/>
        </w:rPr>
        <w:t>等</w:t>
      </w:r>
      <w:r>
        <w:rPr>
          <w:bCs/>
          <w:snapToGrid/>
        </w:rPr>
        <w:t>报酬。</w:t>
      </w:r>
    </w:p>
    <w:p w:rsidR="00000000" w:rsidRDefault="00844A84" w:rsidP="00844A84">
      <w:pPr>
        <w:ind w:firstLineChars="200" w:firstLine="31680"/>
        <w:rPr>
          <w:rFonts w:hint="eastAsia"/>
          <w:bCs/>
          <w:snapToGrid/>
        </w:rPr>
      </w:pPr>
      <w:r>
        <w:rPr>
          <w:bCs/>
          <w:snapToGrid/>
        </w:rPr>
        <w:t>64.</w:t>
      </w:r>
      <w:r>
        <w:rPr>
          <w:rFonts w:hint="eastAsia"/>
          <w:bCs/>
          <w:snapToGrid/>
        </w:rPr>
        <w:t xml:space="preserve">  </w:t>
      </w:r>
      <w:r>
        <w:rPr>
          <w:rFonts w:hint="eastAsia"/>
          <w:bCs/>
          <w:snapToGrid/>
        </w:rPr>
        <w:t>雇员</w:t>
      </w:r>
      <w:r>
        <w:rPr>
          <w:bCs/>
          <w:snapToGrid/>
        </w:rPr>
        <w:t>的工资由以下方面组成</w:t>
      </w:r>
      <w:r>
        <w:rPr>
          <w:rFonts w:hint="eastAsia"/>
          <w:bCs/>
          <w:snapToGrid/>
        </w:rPr>
        <w:t>：</w:t>
      </w:r>
    </w:p>
    <w:p w:rsidR="00000000" w:rsidRDefault="00844A84" w:rsidP="00844A84">
      <w:pPr>
        <w:pStyle w:val="a0"/>
        <w:ind w:leftChars="392" w:left="31680"/>
        <w:rPr>
          <w:rFonts w:hint="eastAsia"/>
          <w:bCs/>
          <w:snapToGrid/>
        </w:rPr>
      </w:pPr>
      <w:r>
        <w:rPr>
          <w:rFonts w:hint="eastAsia"/>
          <w:snapToGrid/>
        </w:rPr>
        <w:t>雇员因工作和工作所费时间而赚取的工资；</w:t>
      </w:r>
    </w:p>
    <w:p w:rsidR="00000000" w:rsidRDefault="00844A84" w:rsidP="00844A84">
      <w:pPr>
        <w:pStyle w:val="a0"/>
        <w:ind w:leftChars="392" w:left="31680"/>
        <w:rPr>
          <w:rFonts w:hint="eastAsia"/>
          <w:snapToGrid/>
        </w:rPr>
      </w:pPr>
      <w:r>
        <w:rPr>
          <w:rFonts w:hint="eastAsia"/>
          <w:snapToGrid/>
        </w:rPr>
        <w:t>增加的工资；</w:t>
      </w:r>
    </w:p>
    <w:p w:rsidR="00000000" w:rsidRDefault="00844A84" w:rsidP="00844A84">
      <w:pPr>
        <w:pStyle w:val="a0"/>
        <w:ind w:leftChars="392" w:left="31680"/>
        <w:rPr>
          <w:rFonts w:hint="eastAsia"/>
          <w:snapToGrid/>
        </w:rPr>
      </w:pPr>
      <w:r>
        <w:rPr>
          <w:rFonts w:hint="eastAsia"/>
          <w:snapToGrid/>
        </w:rPr>
        <w:t>工资补偿；</w:t>
      </w:r>
    </w:p>
    <w:p w:rsidR="00000000" w:rsidRDefault="00844A84" w:rsidP="00844A84">
      <w:pPr>
        <w:pStyle w:val="a0"/>
        <w:ind w:leftChars="392" w:left="31680"/>
        <w:rPr>
          <w:rFonts w:hint="eastAsia"/>
          <w:bCs/>
          <w:snapToGrid/>
        </w:rPr>
      </w:pPr>
      <w:r>
        <w:rPr>
          <w:rFonts w:hint="eastAsia"/>
          <w:snapToGrid/>
        </w:rPr>
        <w:t>因就业产生的其他薪酬。</w:t>
      </w:r>
    </w:p>
    <w:p w:rsidR="00000000" w:rsidRDefault="00844A84" w:rsidP="00844A84">
      <w:pPr>
        <w:ind w:firstLineChars="200" w:firstLine="31680"/>
        <w:rPr>
          <w:rFonts w:hint="eastAsia"/>
          <w:bCs/>
          <w:snapToGrid/>
        </w:rPr>
      </w:pPr>
      <w:r>
        <w:rPr>
          <w:rFonts w:hint="eastAsia"/>
          <w:bCs/>
          <w:snapToGrid/>
        </w:rPr>
        <w:t xml:space="preserve">65.  </w:t>
      </w:r>
      <w:r>
        <w:rPr>
          <w:rFonts w:hint="eastAsia"/>
          <w:bCs/>
          <w:snapToGrid/>
        </w:rPr>
        <w:t>公务旅行和通勤费用、友情援助、庆</w:t>
      </w:r>
      <w:r>
        <w:rPr>
          <w:rFonts w:hint="eastAsia"/>
          <w:bCs/>
          <w:snapToGrid/>
        </w:rPr>
        <w:t>典奖酬和退休解职费均不视为工资。</w:t>
      </w:r>
    </w:p>
    <w:p w:rsidR="00000000" w:rsidRDefault="00844A84" w:rsidP="00844A84">
      <w:pPr>
        <w:ind w:firstLineChars="200" w:firstLine="31680"/>
        <w:rPr>
          <w:rFonts w:hint="eastAsia"/>
          <w:bCs/>
          <w:snapToGrid/>
        </w:rPr>
      </w:pPr>
      <w:r>
        <w:rPr>
          <w:bCs/>
          <w:snapToGrid/>
        </w:rPr>
        <w:t>66.</w:t>
      </w:r>
      <w:r>
        <w:rPr>
          <w:rFonts w:hint="eastAsia"/>
          <w:bCs/>
          <w:snapToGrid/>
        </w:rPr>
        <w:t xml:space="preserve">  </w:t>
      </w:r>
      <w:r>
        <w:rPr>
          <w:bCs/>
          <w:snapToGrid/>
        </w:rPr>
        <w:t>法律</w:t>
      </w:r>
      <w:r>
        <w:rPr>
          <w:rFonts w:hint="eastAsia"/>
          <w:bCs/>
          <w:snapToGrid/>
        </w:rPr>
        <w:t>未</w:t>
      </w:r>
      <w:r>
        <w:rPr>
          <w:bCs/>
          <w:snapToGrid/>
        </w:rPr>
        <w:t>规定确定工资的因素。这些因素</w:t>
      </w:r>
      <w:r>
        <w:rPr>
          <w:rFonts w:hint="eastAsia"/>
          <w:bCs/>
          <w:snapToGrid/>
        </w:rPr>
        <w:t>由</w:t>
      </w:r>
      <w:r>
        <w:rPr>
          <w:bCs/>
          <w:snapToGrid/>
        </w:rPr>
        <w:t>普通法令和雇佣合同规定。</w:t>
      </w:r>
    </w:p>
    <w:p w:rsidR="00000000" w:rsidRDefault="00844A84" w:rsidP="00844A84">
      <w:pPr>
        <w:ind w:firstLineChars="200" w:firstLine="31680"/>
        <w:rPr>
          <w:rFonts w:hint="eastAsia"/>
          <w:bCs/>
          <w:snapToGrid/>
        </w:rPr>
      </w:pPr>
      <w:r>
        <w:rPr>
          <w:rFonts w:hint="eastAsia"/>
          <w:bCs/>
          <w:snapToGrid/>
        </w:rPr>
        <w:t xml:space="preserve">67.  </w:t>
      </w:r>
      <w:r>
        <w:rPr>
          <w:rFonts w:hint="eastAsia"/>
          <w:bCs/>
          <w:snapToGrid/>
        </w:rPr>
        <w:t>按《劳动法》生效前已实施的条例，工资包括工作价值、工作成绩、工作所费时间、食物补助</w:t>
      </w:r>
      <w:r>
        <w:rPr>
          <w:rFonts w:hint="eastAsia"/>
          <w:bCs/>
          <w:snapToGrid/>
        </w:rPr>
        <w:t>(</w:t>
      </w:r>
      <w:r>
        <w:rPr>
          <w:rFonts w:hint="eastAsia"/>
          <w:bCs/>
          <w:snapToGrid/>
        </w:rPr>
        <w:t>公司在工作场所补贴热餐</w:t>
      </w:r>
      <w:r>
        <w:rPr>
          <w:rFonts w:hint="eastAsia"/>
          <w:bCs/>
          <w:snapToGrid/>
        </w:rPr>
        <w:t>)</w:t>
      </w:r>
      <w:r>
        <w:rPr>
          <w:rFonts w:hint="eastAsia"/>
          <w:bCs/>
          <w:snapToGrid/>
        </w:rPr>
        <w:t>以及休假和外地工作津贴。</w:t>
      </w:r>
    </w:p>
    <w:p w:rsidR="00000000" w:rsidRDefault="00844A84" w:rsidP="00844A84">
      <w:pPr>
        <w:ind w:firstLineChars="200" w:firstLine="31680"/>
        <w:rPr>
          <w:rFonts w:hint="eastAsia"/>
          <w:bCs/>
          <w:snapToGrid/>
        </w:rPr>
      </w:pPr>
      <w:r>
        <w:rPr>
          <w:rFonts w:hint="eastAsia"/>
          <w:bCs/>
          <w:snapToGrid/>
        </w:rPr>
        <w:t xml:space="preserve">68.  </w:t>
      </w:r>
      <w:r>
        <w:rPr>
          <w:rFonts w:hint="eastAsia"/>
          <w:bCs/>
          <w:snapToGrid/>
        </w:rPr>
        <w:t>雇员有权按普通法令或雇佣合同规定，因加班、在非工作日的假日工作、上夜班以及倒班而增加工资。</w:t>
      </w:r>
    </w:p>
    <w:p w:rsidR="00000000" w:rsidRDefault="00844A84" w:rsidP="00844A84">
      <w:pPr>
        <w:ind w:firstLineChars="200" w:firstLine="31680"/>
        <w:rPr>
          <w:rFonts w:hint="eastAsia"/>
          <w:bCs/>
          <w:snapToGrid/>
        </w:rPr>
      </w:pPr>
      <w:r>
        <w:rPr>
          <w:rFonts w:hint="eastAsia"/>
          <w:bCs/>
          <w:snapToGrid/>
        </w:rPr>
        <w:t xml:space="preserve">69.  </w:t>
      </w:r>
      <w:r>
        <w:rPr>
          <w:rFonts w:hint="eastAsia"/>
          <w:bCs/>
          <w:snapToGrid/>
        </w:rPr>
        <w:t>普通法令和雇佣合同可规定雇员有权增加工资的其他情况。</w:t>
      </w:r>
    </w:p>
    <w:p w:rsidR="00000000" w:rsidRDefault="00844A84" w:rsidP="00844A84">
      <w:pPr>
        <w:ind w:firstLineChars="200" w:firstLine="31680"/>
        <w:rPr>
          <w:rFonts w:hint="eastAsia"/>
          <w:bCs/>
          <w:snapToGrid/>
        </w:rPr>
      </w:pPr>
      <w:r>
        <w:rPr>
          <w:bCs/>
          <w:snapToGrid/>
          <w:spacing w:val="4"/>
        </w:rPr>
        <w:t>70.</w:t>
      </w:r>
      <w:r>
        <w:rPr>
          <w:rFonts w:hint="eastAsia"/>
          <w:bCs/>
          <w:snapToGrid/>
          <w:spacing w:val="4"/>
        </w:rPr>
        <w:t xml:space="preserve">  </w:t>
      </w:r>
      <w:r>
        <w:rPr>
          <w:bCs/>
          <w:snapToGrid/>
          <w:spacing w:val="4"/>
        </w:rPr>
        <w:t>应按普通法令或雇佣合同规定的期间</w:t>
      </w:r>
      <w:r>
        <w:rPr>
          <w:rFonts w:hint="eastAsia"/>
          <w:bCs/>
          <w:snapToGrid/>
          <w:spacing w:val="4"/>
        </w:rPr>
        <w:t>，</w:t>
      </w:r>
      <w:r>
        <w:rPr>
          <w:bCs/>
          <w:snapToGrid/>
          <w:spacing w:val="4"/>
        </w:rPr>
        <w:t>向</w:t>
      </w:r>
      <w:r>
        <w:rPr>
          <w:rFonts w:hint="eastAsia"/>
          <w:bCs/>
          <w:snapToGrid/>
          <w:spacing w:val="4"/>
        </w:rPr>
        <w:t>雇员</w:t>
      </w:r>
      <w:r>
        <w:rPr>
          <w:bCs/>
          <w:snapToGrid/>
          <w:spacing w:val="4"/>
        </w:rPr>
        <w:t>支付工资，至少每月支付</w:t>
      </w:r>
      <w:r>
        <w:rPr>
          <w:rFonts w:hint="eastAsia"/>
          <w:bCs/>
          <w:snapToGrid/>
          <w:spacing w:val="4"/>
        </w:rPr>
        <w:t>一</w:t>
      </w:r>
      <w:r>
        <w:rPr>
          <w:rFonts w:hint="eastAsia"/>
          <w:bCs/>
          <w:snapToGrid/>
        </w:rPr>
        <w:t>次</w:t>
      </w:r>
      <w:r>
        <w:rPr>
          <w:bCs/>
          <w:snapToGrid/>
        </w:rPr>
        <w:t>。</w:t>
      </w:r>
    </w:p>
    <w:p w:rsidR="00000000" w:rsidRDefault="00844A84" w:rsidP="00844A84">
      <w:pPr>
        <w:ind w:firstLineChars="200" w:firstLine="31680"/>
        <w:rPr>
          <w:rFonts w:hint="eastAsia"/>
          <w:bCs/>
          <w:snapToGrid/>
        </w:rPr>
      </w:pPr>
      <w:r>
        <w:rPr>
          <w:rFonts w:hint="eastAsia"/>
          <w:bCs/>
          <w:snapToGrid/>
        </w:rPr>
        <w:t xml:space="preserve">71.  </w:t>
      </w:r>
      <w:r>
        <w:rPr>
          <w:rFonts w:hint="eastAsia"/>
          <w:bCs/>
          <w:snapToGrid/>
        </w:rPr>
        <w:t>工资应</w:t>
      </w:r>
      <w:r>
        <w:rPr>
          <w:rFonts w:hint="eastAsia"/>
          <w:bCs/>
          <w:snapToGrid/>
        </w:rPr>
        <w:t>仅以货币支付，但与有家眷者签订雇佣合同时，则可以实物</w:t>
      </w:r>
      <w:r>
        <w:rPr>
          <w:bCs/>
          <w:snapToGrid/>
        </w:rPr>
        <w:t>支付</w:t>
      </w:r>
      <w:r>
        <w:rPr>
          <w:rFonts w:hint="eastAsia"/>
          <w:bCs/>
          <w:snapToGrid/>
        </w:rPr>
        <w:t>其</w:t>
      </w:r>
      <w:r>
        <w:rPr>
          <w:bCs/>
          <w:snapToGrid/>
        </w:rPr>
        <w:t>部分工资。</w:t>
      </w:r>
    </w:p>
    <w:p w:rsidR="00000000" w:rsidRDefault="00844A84" w:rsidP="00844A84">
      <w:pPr>
        <w:ind w:firstLineChars="200" w:firstLine="31680"/>
        <w:rPr>
          <w:rFonts w:hint="eastAsia"/>
          <w:bCs/>
          <w:snapToGrid/>
        </w:rPr>
      </w:pPr>
      <w:r>
        <w:rPr>
          <w:rFonts w:hint="eastAsia"/>
          <w:bCs/>
          <w:snapToGrid/>
        </w:rPr>
        <w:t xml:space="preserve">72.  </w:t>
      </w:r>
      <w:r>
        <w:rPr>
          <w:rFonts w:hint="eastAsia"/>
          <w:bCs/>
          <w:snapToGrid/>
        </w:rPr>
        <w:t>雇员有权因达到标准业绩并从事全职工作而获得最低工资。最低工资由塞尔维亚共和国政府与工会有关代表以及在塞尔维亚共和国境内依法组织的雇员联合会有关代表签订的协定予以规定。如未能按本条第</w:t>
      </w:r>
      <w:r>
        <w:rPr>
          <w:rFonts w:hint="eastAsia"/>
          <w:bCs/>
          <w:snapToGrid/>
        </w:rPr>
        <w:t>2</w:t>
      </w:r>
      <w:r>
        <w:rPr>
          <w:rFonts w:hint="eastAsia"/>
          <w:bCs/>
          <w:snapToGrid/>
        </w:rPr>
        <w:t>款在开始谈判后</w:t>
      </w:r>
      <w:r>
        <w:rPr>
          <w:rFonts w:hint="eastAsia"/>
          <w:bCs/>
          <w:snapToGrid/>
        </w:rPr>
        <w:t>10</w:t>
      </w:r>
      <w:r>
        <w:rPr>
          <w:rFonts w:hint="eastAsia"/>
          <w:bCs/>
          <w:snapToGrid/>
        </w:rPr>
        <w:t>天内达成协议，则由塞尔维亚政府确定最低工资。</w:t>
      </w:r>
    </w:p>
    <w:p w:rsidR="00000000" w:rsidRDefault="00844A84" w:rsidP="00844A84">
      <w:pPr>
        <w:ind w:firstLineChars="200" w:firstLine="31680"/>
        <w:rPr>
          <w:rFonts w:hint="eastAsia"/>
          <w:bCs/>
          <w:snapToGrid/>
        </w:rPr>
      </w:pPr>
      <w:r>
        <w:rPr>
          <w:bCs/>
          <w:snapToGrid/>
        </w:rPr>
        <w:t>73.</w:t>
      </w:r>
      <w:r>
        <w:rPr>
          <w:rFonts w:hint="eastAsia"/>
          <w:bCs/>
          <w:snapToGrid/>
        </w:rPr>
        <w:t xml:space="preserve">  </w:t>
      </w:r>
      <w:r>
        <w:rPr>
          <w:bCs/>
          <w:snapToGrid/>
        </w:rPr>
        <w:t>确定最低工资时应考虑到以下因素：</w:t>
      </w:r>
      <w:r>
        <w:rPr>
          <w:rFonts w:hint="eastAsia"/>
          <w:bCs/>
          <w:snapToGrid/>
        </w:rPr>
        <w:t>雇员</w:t>
      </w:r>
      <w:r>
        <w:rPr>
          <w:bCs/>
          <w:snapToGrid/>
        </w:rPr>
        <w:t>及其家庭的生活费用、</w:t>
      </w:r>
      <w:r>
        <w:rPr>
          <w:rFonts w:hint="eastAsia"/>
          <w:bCs/>
          <w:snapToGrid/>
        </w:rPr>
        <w:t>生存</w:t>
      </w:r>
      <w:r>
        <w:rPr>
          <w:bCs/>
          <w:snapToGrid/>
        </w:rPr>
        <w:t>和社会需求、失业率</w:t>
      </w:r>
      <w:r>
        <w:rPr>
          <w:rFonts w:hint="eastAsia"/>
          <w:bCs/>
          <w:snapToGrid/>
        </w:rPr>
        <w:t>、</w:t>
      </w:r>
      <w:r>
        <w:rPr>
          <w:bCs/>
          <w:snapToGrid/>
        </w:rPr>
        <w:t>劳工市场就业</w:t>
      </w:r>
      <w:r>
        <w:rPr>
          <w:rFonts w:hint="eastAsia"/>
          <w:bCs/>
          <w:snapToGrid/>
        </w:rPr>
        <w:t>率</w:t>
      </w:r>
      <w:r>
        <w:rPr>
          <w:bCs/>
          <w:snapToGrid/>
        </w:rPr>
        <w:t>波动情况以及共和国经济发展总体水平。</w:t>
      </w:r>
    </w:p>
    <w:p w:rsidR="00000000" w:rsidRDefault="00844A84" w:rsidP="00844A84">
      <w:pPr>
        <w:ind w:firstLineChars="200" w:firstLine="31680"/>
        <w:rPr>
          <w:rFonts w:hint="eastAsia"/>
          <w:bCs/>
          <w:snapToGrid/>
        </w:rPr>
      </w:pPr>
      <w:r>
        <w:rPr>
          <w:rFonts w:hint="eastAsia"/>
          <w:bCs/>
          <w:snapToGrid/>
        </w:rPr>
        <w:t xml:space="preserve">74.  </w:t>
      </w:r>
      <w:r>
        <w:rPr>
          <w:rFonts w:hint="eastAsia"/>
          <w:bCs/>
          <w:snapToGrid/>
        </w:rPr>
        <w:t>最低工资以每工作小时计</w:t>
      </w:r>
      <w:r>
        <w:rPr>
          <w:bCs/>
          <w:snapToGrid/>
        </w:rPr>
        <w:t>，至少</w:t>
      </w:r>
      <w:r>
        <w:rPr>
          <w:rFonts w:hint="eastAsia"/>
          <w:bCs/>
          <w:snapToGrid/>
        </w:rPr>
        <w:t>为期</w:t>
      </w:r>
      <w:r>
        <w:rPr>
          <w:rFonts w:hint="eastAsia"/>
          <w:bCs/>
          <w:snapToGrid/>
        </w:rPr>
        <w:t>6</w:t>
      </w:r>
      <w:r>
        <w:rPr>
          <w:bCs/>
          <w:snapToGrid/>
        </w:rPr>
        <w:t>个月</w:t>
      </w:r>
      <w:r>
        <w:rPr>
          <w:rFonts w:hint="eastAsia"/>
          <w:bCs/>
          <w:snapToGrid/>
        </w:rPr>
        <w:t>。</w:t>
      </w:r>
    </w:p>
    <w:p w:rsidR="00000000" w:rsidRDefault="00844A84" w:rsidP="00844A84">
      <w:pPr>
        <w:ind w:firstLineChars="200" w:firstLine="31680"/>
        <w:rPr>
          <w:rFonts w:hint="eastAsia"/>
          <w:bCs/>
          <w:snapToGrid/>
        </w:rPr>
      </w:pPr>
      <w:r>
        <w:rPr>
          <w:rFonts w:hint="eastAsia"/>
          <w:bCs/>
          <w:snapToGrid/>
        </w:rPr>
        <w:t xml:space="preserve">75.  </w:t>
      </w:r>
      <w:r>
        <w:rPr>
          <w:rFonts w:hint="eastAsia"/>
          <w:bCs/>
          <w:snapToGrid/>
        </w:rPr>
        <w:t>雇员有权在以下情况下获得工资补偿：</w:t>
      </w:r>
    </w:p>
    <w:p w:rsidR="00000000" w:rsidRDefault="00844A84" w:rsidP="00844A84">
      <w:pPr>
        <w:pStyle w:val="a0"/>
        <w:tabs>
          <w:tab w:val="clear" w:pos="510"/>
        </w:tabs>
        <w:ind w:leftChars="392" w:left="31680"/>
        <w:rPr>
          <w:rFonts w:hint="eastAsia"/>
          <w:snapToGrid/>
        </w:rPr>
      </w:pPr>
      <w:r>
        <w:rPr>
          <w:rFonts w:hint="eastAsia"/>
          <w:snapToGrid/>
        </w:rPr>
        <w:t>病假期间可领取</w:t>
      </w:r>
      <w:r>
        <w:rPr>
          <w:snapToGrid/>
        </w:rPr>
        <w:t>65%</w:t>
      </w:r>
      <w:r>
        <w:rPr>
          <w:snapToGrid/>
        </w:rPr>
        <w:t>的工资；</w:t>
      </w:r>
    </w:p>
    <w:p w:rsidR="00000000" w:rsidRDefault="00844A84" w:rsidP="00844A84">
      <w:pPr>
        <w:pStyle w:val="a0"/>
        <w:tabs>
          <w:tab w:val="clear" w:pos="510"/>
        </w:tabs>
        <w:ind w:leftChars="392" w:left="31680"/>
        <w:rPr>
          <w:rFonts w:hint="eastAsia"/>
          <w:bCs/>
          <w:snapToGrid/>
        </w:rPr>
      </w:pPr>
      <w:r>
        <w:rPr>
          <w:rFonts w:hint="eastAsia"/>
          <w:snapToGrid/>
        </w:rPr>
        <w:t>患职业病和工伤期间、休假、非工作日节假日及带薪假期均可领取</w:t>
      </w:r>
      <w:r>
        <w:rPr>
          <w:snapToGrid/>
        </w:rPr>
        <w:t>100%</w:t>
      </w:r>
      <w:r>
        <w:rPr>
          <w:snapToGrid/>
        </w:rPr>
        <w:t>的工资。</w:t>
      </w:r>
    </w:p>
    <w:p w:rsidR="00000000" w:rsidRDefault="00844A84" w:rsidP="00844A84">
      <w:pPr>
        <w:spacing w:after="320"/>
        <w:ind w:firstLineChars="200" w:firstLine="31680"/>
        <w:rPr>
          <w:rFonts w:hint="eastAsia"/>
          <w:bCs/>
          <w:snapToGrid/>
        </w:rPr>
      </w:pPr>
      <w:r>
        <w:rPr>
          <w:bCs/>
          <w:snapToGrid/>
        </w:rPr>
        <w:t>76.</w:t>
      </w:r>
      <w:r>
        <w:rPr>
          <w:rFonts w:hint="eastAsia"/>
          <w:bCs/>
          <w:snapToGrid/>
        </w:rPr>
        <w:t xml:space="preserve">  </w:t>
      </w:r>
      <w:r>
        <w:rPr>
          <w:bCs/>
          <w:snapToGrid/>
        </w:rPr>
        <w:t>普通法令或雇佣合同可确定</w:t>
      </w:r>
      <w:r>
        <w:rPr>
          <w:rFonts w:hint="eastAsia"/>
          <w:bCs/>
          <w:snapToGrid/>
        </w:rPr>
        <w:t>雇员</w:t>
      </w:r>
      <w:r>
        <w:rPr>
          <w:bCs/>
          <w:snapToGrid/>
        </w:rPr>
        <w:t>有权得到工资补偿的其他条件。</w:t>
      </w:r>
      <w:r>
        <w:rPr>
          <w:rFonts w:hint="eastAsia"/>
          <w:bCs/>
          <w:snapToGrid/>
        </w:rPr>
        <w:t>雇员</w:t>
      </w:r>
      <w:r>
        <w:rPr>
          <w:bCs/>
          <w:snapToGrid/>
        </w:rPr>
        <w:t>有权</w:t>
      </w:r>
      <w:r>
        <w:rPr>
          <w:rFonts w:hint="eastAsia"/>
          <w:bCs/>
          <w:snapToGrid/>
        </w:rPr>
        <w:t>得到通勤</w:t>
      </w:r>
      <w:r>
        <w:rPr>
          <w:bCs/>
          <w:snapToGrid/>
        </w:rPr>
        <w:t>或国内公务旅行费用补偿，其金额由普通法令或雇佣合同规定。</w:t>
      </w:r>
      <w:r>
        <w:rPr>
          <w:rFonts w:hint="eastAsia"/>
          <w:bCs/>
          <w:snapToGrid/>
        </w:rPr>
        <w:t>雇员</w:t>
      </w:r>
      <w:r>
        <w:rPr>
          <w:bCs/>
          <w:snapToGrid/>
        </w:rPr>
        <w:t>有权得到国外公务旅行费用补偿。这</w:t>
      </w:r>
      <w:r>
        <w:rPr>
          <w:rFonts w:hint="eastAsia"/>
          <w:bCs/>
          <w:snapToGrid/>
        </w:rPr>
        <w:t>方面的规定与</w:t>
      </w:r>
      <w:r>
        <w:rPr>
          <w:bCs/>
          <w:snapToGrid/>
        </w:rPr>
        <w:t>上述期间相同。</w:t>
      </w:r>
    </w:p>
    <w:p w:rsidR="00000000" w:rsidRDefault="00844A84">
      <w:pPr>
        <w:pStyle w:val="Heading4"/>
        <w:spacing w:after="160"/>
        <w:rPr>
          <w:rFonts w:hint="eastAsia"/>
          <w:bCs/>
          <w:snapToGrid/>
        </w:rPr>
      </w:pPr>
      <w:r>
        <w:rPr>
          <w:rFonts w:hint="eastAsia"/>
          <w:snapToGrid/>
          <w:u w:val="none"/>
        </w:rPr>
        <w:t>(</w:t>
      </w:r>
      <w:r>
        <w:rPr>
          <w:snapToGrid/>
          <w:u w:val="none"/>
        </w:rPr>
        <w:t>c</w:t>
      </w:r>
      <w:r>
        <w:rPr>
          <w:rFonts w:hint="eastAsia"/>
          <w:snapToGrid/>
          <w:u w:val="none"/>
        </w:rPr>
        <w:t xml:space="preserve">)  </w:t>
      </w:r>
      <w:r>
        <w:rPr>
          <w:rFonts w:hint="eastAsia"/>
          <w:snapToGrid/>
        </w:rPr>
        <w:t>限制工作时间</w:t>
      </w:r>
    </w:p>
    <w:p w:rsidR="00000000" w:rsidRDefault="00844A84" w:rsidP="00844A84">
      <w:pPr>
        <w:ind w:firstLineChars="200" w:firstLine="31680"/>
        <w:rPr>
          <w:rFonts w:hint="eastAsia"/>
          <w:bCs/>
          <w:snapToGrid/>
        </w:rPr>
      </w:pPr>
      <w:r>
        <w:rPr>
          <w:bCs/>
          <w:snapToGrid/>
        </w:rPr>
        <w:t>77.</w:t>
      </w:r>
      <w:r>
        <w:rPr>
          <w:rFonts w:hint="eastAsia"/>
          <w:bCs/>
          <w:snapToGrid/>
        </w:rPr>
        <w:t xml:space="preserve">  </w:t>
      </w:r>
      <w:r>
        <w:rPr>
          <w:bCs/>
          <w:snapToGrid/>
        </w:rPr>
        <w:t>《南斯拉夫联盟共和国宪法》规定，按照法律和</w:t>
      </w:r>
      <w:r>
        <w:rPr>
          <w:bCs/>
          <w:snapToGrid/>
        </w:rPr>
        <w:t>(</w:t>
      </w:r>
      <w:r>
        <w:rPr>
          <w:bCs/>
          <w:snapToGrid/>
        </w:rPr>
        <w:t>或</w:t>
      </w:r>
      <w:r>
        <w:rPr>
          <w:bCs/>
          <w:snapToGrid/>
        </w:rPr>
        <w:t>)</w:t>
      </w:r>
      <w:r>
        <w:rPr>
          <w:bCs/>
          <w:snapToGrid/>
        </w:rPr>
        <w:t>集体协定</w:t>
      </w:r>
      <w:r>
        <w:rPr>
          <w:rFonts w:hint="eastAsia"/>
          <w:bCs/>
          <w:snapToGrid/>
        </w:rPr>
        <w:t>，雇员</w:t>
      </w:r>
      <w:r>
        <w:rPr>
          <w:bCs/>
          <w:snapToGrid/>
        </w:rPr>
        <w:t>有权限制工作时间，每天和每周有权休息，并有权享有带薪假</w:t>
      </w:r>
      <w:r>
        <w:rPr>
          <w:bCs/>
          <w:snapToGrid/>
        </w:rPr>
        <w:t>期</w:t>
      </w:r>
      <w:r>
        <w:rPr>
          <w:rFonts w:hint="eastAsia"/>
          <w:bCs/>
          <w:snapToGrid/>
        </w:rPr>
        <w:t>及</w:t>
      </w:r>
      <w:r>
        <w:rPr>
          <w:bCs/>
          <w:snapToGrid/>
        </w:rPr>
        <w:t>请假。这些都是每个工作人员不可剥夺的权利。</w:t>
      </w:r>
    </w:p>
    <w:p w:rsidR="00000000" w:rsidRDefault="00844A84" w:rsidP="00844A84">
      <w:pPr>
        <w:ind w:firstLineChars="200" w:firstLine="31680"/>
        <w:rPr>
          <w:rFonts w:hint="eastAsia"/>
          <w:bCs/>
          <w:snapToGrid/>
        </w:rPr>
      </w:pPr>
      <w:r>
        <w:rPr>
          <w:bCs/>
          <w:snapToGrid/>
        </w:rPr>
        <w:t>78.</w:t>
      </w:r>
      <w:r>
        <w:rPr>
          <w:rFonts w:hint="eastAsia"/>
          <w:bCs/>
          <w:snapToGrid/>
        </w:rPr>
        <w:t xml:space="preserve">  </w:t>
      </w:r>
      <w:r>
        <w:rPr>
          <w:bCs/>
          <w:snapToGrid/>
        </w:rPr>
        <w:t>《劳工基本原则联邦法》和《塞尔维亚共和国劳工法》规定每周工</w:t>
      </w:r>
      <w:r>
        <w:rPr>
          <w:rFonts w:hint="eastAsia"/>
          <w:bCs/>
          <w:snapToGrid/>
        </w:rPr>
        <w:t>时为</w:t>
      </w:r>
      <w:r>
        <w:rPr>
          <w:bCs/>
          <w:snapToGrid/>
        </w:rPr>
        <w:t>40</w:t>
      </w:r>
      <w:r>
        <w:rPr>
          <w:bCs/>
          <w:snapToGrid/>
        </w:rPr>
        <w:t>小时。每周工作</w:t>
      </w:r>
      <w:r>
        <w:rPr>
          <w:bCs/>
          <w:snapToGrid/>
        </w:rPr>
        <w:t>40</w:t>
      </w:r>
      <w:r>
        <w:rPr>
          <w:bCs/>
          <w:snapToGrid/>
        </w:rPr>
        <w:t>小时被视为全职</w:t>
      </w:r>
      <w:r>
        <w:rPr>
          <w:rFonts w:hint="eastAsia"/>
          <w:bCs/>
          <w:snapToGrid/>
        </w:rPr>
        <w:t>工时</w:t>
      </w:r>
      <w:r>
        <w:rPr>
          <w:bCs/>
          <w:snapToGrid/>
        </w:rPr>
        <w:t>。</w:t>
      </w:r>
      <w:r>
        <w:rPr>
          <w:bCs/>
          <w:snapToGrid/>
        </w:rPr>
        <w:t>18</w:t>
      </w:r>
      <w:r>
        <w:rPr>
          <w:bCs/>
          <w:snapToGrid/>
        </w:rPr>
        <w:t>岁以下</w:t>
      </w:r>
      <w:r>
        <w:rPr>
          <w:rFonts w:hint="eastAsia"/>
          <w:bCs/>
          <w:snapToGrid/>
        </w:rPr>
        <w:t>者的</w:t>
      </w:r>
      <w:r>
        <w:rPr>
          <w:bCs/>
          <w:snapToGrid/>
        </w:rPr>
        <w:t>全职</w:t>
      </w:r>
      <w:r>
        <w:rPr>
          <w:rFonts w:hint="eastAsia"/>
          <w:bCs/>
          <w:snapToGrid/>
        </w:rPr>
        <w:t>工时</w:t>
      </w:r>
      <w:r>
        <w:rPr>
          <w:bCs/>
          <w:snapToGrid/>
        </w:rPr>
        <w:t>不</w:t>
      </w:r>
      <w:r>
        <w:rPr>
          <w:rFonts w:hint="eastAsia"/>
          <w:bCs/>
          <w:snapToGrid/>
        </w:rPr>
        <w:t>得</w:t>
      </w:r>
      <w:r>
        <w:rPr>
          <w:bCs/>
          <w:snapToGrid/>
        </w:rPr>
        <w:t>超过每周</w:t>
      </w:r>
      <w:r>
        <w:rPr>
          <w:bCs/>
          <w:snapToGrid/>
        </w:rPr>
        <w:t>35</w:t>
      </w:r>
      <w:r>
        <w:rPr>
          <w:bCs/>
          <w:snapToGrid/>
        </w:rPr>
        <w:t>小时。</w:t>
      </w:r>
    </w:p>
    <w:p w:rsidR="00000000" w:rsidRDefault="00844A84" w:rsidP="00844A84">
      <w:pPr>
        <w:ind w:firstLineChars="200" w:firstLine="31680"/>
        <w:rPr>
          <w:rFonts w:hint="eastAsia"/>
          <w:bCs/>
          <w:snapToGrid/>
        </w:rPr>
      </w:pPr>
      <w:r>
        <w:rPr>
          <w:bCs/>
          <w:snapToGrid/>
        </w:rPr>
        <w:t>79.</w:t>
      </w:r>
      <w:r>
        <w:rPr>
          <w:rFonts w:hint="eastAsia"/>
          <w:bCs/>
          <w:snapToGrid/>
        </w:rPr>
        <w:t xml:space="preserve">  </w:t>
      </w:r>
      <w:r>
        <w:rPr>
          <w:rFonts w:hint="eastAsia"/>
          <w:bCs/>
          <w:snapToGrid/>
        </w:rPr>
        <w:t>可</w:t>
      </w:r>
      <w:r>
        <w:rPr>
          <w:bCs/>
          <w:snapToGrid/>
        </w:rPr>
        <w:t>签订长期或临时</w:t>
      </w:r>
      <w:r>
        <w:rPr>
          <w:rFonts w:hint="eastAsia"/>
          <w:bCs/>
          <w:snapToGrid/>
        </w:rPr>
        <w:t>的非</w:t>
      </w:r>
      <w:r>
        <w:rPr>
          <w:bCs/>
          <w:snapToGrid/>
        </w:rPr>
        <w:t>全职雇佣合同。</w:t>
      </w:r>
      <w:r>
        <w:rPr>
          <w:rFonts w:hint="eastAsia"/>
          <w:bCs/>
          <w:snapToGrid/>
        </w:rPr>
        <w:t>非</w:t>
      </w:r>
      <w:r>
        <w:rPr>
          <w:bCs/>
          <w:snapToGrid/>
        </w:rPr>
        <w:t>全职</w:t>
      </w:r>
      <w:r>
        <w:rPr>
          <w:rFonts w:hint="eastAsia"/>
          <w:bCs/>
          <w:snapToGrid/>
        </w:rPr>
        <w:t>雇员</w:t>
      </w:r>
      <w:r>
        <w:rPr>
          <w:bCs/>
          <w:snapToGrid/>
        </w:rPr>
        <w:t>有权享有</w:t>
      </w:r>
      <w:r>
        <w:rPr>
          <w:rFonts w:hint="eastAsia"/>
          <w:bCs/>
          <w:snapToGrid/>
        </w:rPr>
        <w:t>义务</w:t>
      </w:r>
      <w:r>
        <w:rPr>
          <w:bCs/>
          <w:snapToGrid/>
        </w:rPr>
        <w:t>社会安全</w:t>
      </w:r>
      <w:r>
        <w:rPr>
          <w:rFonts w:hint="eastAsia"/>
          <w:bCs/>
          <w:snapToGrid/>
        </w:rPr>
        <w:t>福利以及与</w:t>
      </w:r>
      <w:r>
        <w:rPr>
          <w:bCs/>
          <w:snapToGrid/>
        </w:rPr>
        <w:t>工时相应的</w:t>
      </w:r>
      <w:r>
        <w:rPr>
          <w:rFonts w:hint="eastAsia"/>
          <w:bCs/>
          <w:snapToGrid/>
        </w:rPr>
        <w:t>一切</w:t>
      </w:r>
      <w:r>
        <w:rPr>
          <w:bCs/>
          <w:snapToGrid/>
        </w:rPr>
        <w:t>就业权利。</w:t>
      </w:r>
    </w:p>
    <w:p w:rsidR="00000000" w:rsidRDefault="00844A84" w:rsidP="00844A84">
      <w:pPr>
        <w:spacing w:after="240"/>
        <w:ind w:firstLineChars="200" w:firstLine="31680"/>
        <w:rPr>
          <w:rFonts w:hint="eastAsia"/>
          <w:bCs/>
          <w:snapToGrid/>
        </w:rPr>
      </w:pPr>
      <w:r>
        <w:rPr>
          <w:bCs/>
          <w:snapToGrid/>
        </w:rPr>
        <w:t>80.</w:t>
      </w:r>
      <w:r>
        <w:rPr>
          <w:rFonts w:hint="eastAsia"/>
          <w:bCs/>
          <w:snapToGrid/>
        </w:rPr>
        <w:t xml:space="preserve">  </w:t>
      </w:r>
      <w:r>
        <w:rPr>
          <w:bCs/>
          <w:snapToGrid/>
        </w:rPr>
        <w:t>为一</w:t>
      </w:r>
      <w:r>
        <w:rPr>
          <w:rFonts w:hint="eastAsia"/>
          <w:bCs/>
          <w:snapToGrid/>
        </w:rPr>
        <w:t>名</w:t>
      </w:r>
      <w:r>
        <w:rPr>
          <w:bCs/>
          <w:snapToGrid/>
        </w:rPr>
        <w:t>雇主</w:t>
      </w:r>
      <w:r>
        <w:rPr>
          <w:rFonts w:hint="eastAsia"/>
          <w:bCs/>
          <w:snapToGrid/>
        </w:rPr>
        <w:t>兼职</w:t>
      </w:r>
      <w:r>
        <w:rPr>
          <w:bCs/>
          <w:snapToGrid/>
        </w:rPr>
        <w:t>工作的</w:t>
      </w:r>
      <w:r>
        <w:rPr>
          <w:rFonts w:hint="eastAsia"/>
          <w:bCs/>
          <w:snapToGrid/>
        </w:rPr>
        <w:t>雇员</w:t>
      </w:r>
      <w:r>
        <w:rPr>
          <w:bCs/>
          <w:snapToGrid/>
        </w:rPr>
        <w:t>可与另一名雇主</w:t>
      </w:r>
      <w:r>
        <w:rPr>
          <w:rFonts w:hint="eastAsia"/>
          <w:bCs/>
          <w:snapToGrid/>
        </w:rPr>
        <w:t>签订</w:t>
      </w:r>
      <w:r>
        <w:rPr>
          <w:bCs/>
          <w:snapToGrid/>
        </w:rPr>
        <w:t>在剩余工作时间</w:t>
      </w:r>
      <w:r>
        <w:rPr>
          <w:rFonts w:hint="eastAsia"/>
          <w:bCs/>
          <w:snapToGrid/>
        </w:rPr>
        <w:t>内为其工作的</w:t>
      </w:r>
      <w:r>
        <w:rPr>
          <w:bCs/>
          <w:snapToGrid/>
        </w:rPr>
        <w:t>雇佣合同，以此</w:t>
      </w:r>
      <w:r>
        <w:rPr>
          <w:rFonts w:hint="eastAsia"/>
          <w:bCs/>
          <w:snapToGrid/>
        </w:rPr>
        <w:t>实现</w:t>
      </w:r>
      <w:r>
        <w:rPr>
          <w:bCs/>
          <w:snapToGrid/>
        </w:rPr>
        <w:t>全职就业。</w:t>
      </w:r>
    </w:p>
    <w:p w:rsidR="00000000" w:rsidRDefault="00844A84">
      <w:pPr>
        <w:pStyle w:val="Heading4"/>
        <w:spacing w:after="160"/>
        <w:rPr>
          <w:rFonts w:hint="eastAsia"/>
          <w:bCs/>
          <w:snapToGrid/>
        </w:rPr>
      </w:pPr>
      <w:r>
        <w:rPr>
          <w:snapToGrid/>
          <w:u w:val="none"/>
        </w:rPr>
        <w:t xml:space="preserve">(d)  </w:t>
      </w:r>
      <w:r>
        <w:rPr>
          <w:rFonts w:hint="eastAsia"/>
          <w:snapToGrid/>
        </w:rPr>
        <w:t>减少工时</w:t>
      </w:r>
    </w:p>
    <w:p w:rsidR="00000000" w:rsidRDefault="00844A84" w:rsidP="00844A84">
      <w:pPr>
        <w:ind w:firstLineChars="200" w:firstLine="31680"/>
        <w:rPr>
          <w:rFonts w:hint="eastAsia"/>
          <w:bCs/>
          <w:snapToGrid/>
        </w:rPr>
      </w:pPr>
      <w:r>
        <w:rPr>
          <w:rFonts w:hint="eastAsia"/>
          <w:bCs/>
          <w:snapToGrid/>
        </w:rPr>
        <w:t xml:space="preserve">81.  </w:t>
      </w:r>
      <w:r>
        <w:rPr>
          <w:rFonts w:hint="eastAsia"/>
          <w:bCs/>
          <w:snapToGrid/>
        </w:rPr>
        <w:t>《劳工法》规定可采用减少工时的办法。该项法律规定，如按法</w:t>
      </w:r>
      <w:r>
        <w:rPr>
          <w:rFonts w:hint="eastAsia"/>
          <w:bCs/>
          <w:snapToGrid/>
        </w:rPr>
        <w:t>律或普通法令确认某一雇员的工作条件特别艰难、压力很大和不利于健康，虽已采取了劳动安全及个人保护设备和措施，但依然充满有害健康的危险</w:t>
      </w:r>
      <w:r>
        <w:rPr>
          <w:rFonts w:hint="eastAsia"/>
          <w:bCs/>
          <w:snapToGrid/>
        </w:rPr>
        <w:t>(</w:t>
      </w:r>
      <w:r>
        <w:rPr>
          <w:rFonts w:hint="eastAsia"/>
          <w:bCs/>
          <w:snapToGrid/>
        </w:rPr>
        <w:t>即雇员从事危险性大的工作</w:t>
      </w:r>
      <w:r>
        <w:rPr>
          <w:rFonts w:hint="eastAsia"/>
          <w:bCs/>
          <w:snapToGrid/>
        </w:rPr>
        <w:t>)</w:t>
      </w:r>
      <w:r>
        <w:rPr>
          <w:rFonts w:hint="eastAsia"/>
          <w:bCs/>
          <w:snapToGrid/>
        </w:rPr>
        <w:t>，则可按有害健康危险的影响程度及雇员的工作能力相应减少其工时，最多为每周减少</w:t>
      </w:r>
      <w:r>
        <w:rPr>
          <w:rFonts w:hint="eastAsia"/>
          <w:bCs/>
          <w:snapToGrid/>
        </w:rPr>
        <w:t>10</w:t>
      </w:r>
      <w:r>
        <w:rPr>
          <w:rFonts w:hint="eastAsia"/>
          <w:bCs/>
          <w:snapToGrid/>
        </w:rPr>
        <w:t>小时。</w:t>
      </w:r>
    </w:p>
    <w:p w:rsidR="00000000" w:rsidRDefault="00844A84" w:rsidP="00844A84">
      <w:pPr>
        <w:spacing w:after="320"/>
        <w:ind w:firstLineChars="200" w:firstLine="31680"/>
        <w:rPr>
          <w:rFonts w:hint="eastAsia"/>
          <w:bCs/>
          <w:snapToGrid/>
        </w:rPr>
      </w:pPr>
      <w:r>
        <w:rPr>
          <w:bCs/>
          <w:snapToGrid/>
        </w:rPr>
        <w:t>82.</w:t>
      </w:r>
      <w:r>
        <w:rPr>
          <w:rFonts w:hint="eastAsia"/>
          <w:bCs/>
          <w:snapToGrid/>
        </w:rPr>
        <w:t xml:space="preserve">  </w:t>
      </w:r>
      <w:r>
        <w:rPr>
          <w:bCs/>
          <w:snapToGrid/>
        </w:rPr>
        <w:t>减少工时</w:t>
      </w:r>
      <w:r>
        <w:rPr>
          <w:rFonts w:hint="eastAsia"/>
          <w:bCs/>
          <w:snapToGrid/>
        </w:rPr>
        <w:t>的时数应按</w:t>
      </w:r>
      <w:r>
        <w:rPr>
          <w:bCs/>
          <w:snapToGrid/>
        </w:rPr>
        <w:t>专家</w:t>
      </w:r>
      <w:r>
        <w:rPr>
          <w:rFonts w:hint="eastAsia"/>
          <w:bCs/>
          <w:snapToGrid/>
        </w:rPr>
        <w:t>的</w:t>
      </w:r>
      <w:r>
        <w:rPr>
          <w:bCs/>
          <w:snapToGrid/>
        </w:rPr>
        <w:t>分析确定。减少工时的雇员享有</w:t>
      </w:r>
      <w:r>
        <w:rPr>
          <w:rFonts w:hint="eastAsia"/>
          <w:bCs/>
          <w:snapToGrid/>
        </w:rPr>
        <w:t>相同于</w:t>
      </w:r>
      <w:r>
        <w:rPr>
          <w:bCs/>
          <w:snapToGrid/>
        </w:rPr>
        <w:t>全职工作时</w:t>
      </w:r>
      <w:r>
        <w:rPr>
          <w:rFonts w:hint="eastAsia"/>
          <w:bCs/>
          <w:snapToGrid/>
        </w:rPr>
        <w:t>的</w:t>
      </w:r>
      <w:r>
        <w:rPr>
          <w:bCs/>
          <w:snapToGrid/>
        </w:rPr>
        <w:t>一切权利。</w:t>
      </w:r>
    </w:p>
    <w:p w:rsidR="00000000" w:rsidRDefault="00844A84">
      <w:pPr>
        <w:pStyle w:val="Heading4"/>
        <w:spacing w:after="320"/>
        <w:rPr>
          <w:rFonts w:hint="eastAsia"/>
          <w:bCs/>
          <w:snapToGrid/>
        </w:rPr>
      </w:pPr>
      <w:r>
        <w:rPr>
          <w:snapToGrid/>
          <w:u w:val="none"/>
        </w:rPr>
        <w:t xml:space="preserve">(e)  </w:t>
      </w:r>
      <w:r>
        <w:rPr>
          <w:rFonts w:hint="eastAsia"/>
          <w:snapToGrid/>
        </w:rPr>
        <w:t>加</w:t>
      </w:r>
      <w:r>
        <w:rPr>
          <w:rFonts w:hint="eastAsia"/>
          <w:snapToGrid/>
        </w:rPr>
        <w:t xml:space="preserve">  </w:t>
      </w:r>
      <w:r>
        <w:rPr>
          <w:rFonts w:hint="eastAsia"/>
          <w:snapToGrid/>
        </w:rPr>
        <w:t>班</w:t>
      </w:r>
    </w:p>
    <w:p w:rsidR="00000000" w:rsidRDefault="00844A84" w:rsidP="00844A84">
      <w:pPr>
        <w:spacing w:after="320"/>
        <w:ind w:firstLineChars="200" w:firstLine="31680"/>
        <w:rPr>
          <w:rFonts w:hint="eastAsia"/>
          <w:bCs/>
          <w:snapToGrid/>
        </w:rPr>
      </w:pPr>
      <w:r>
        <w:rPr>
          <w:bCs/>
          <w:snapToGrid/>
        </w:rPr>
        <w:t>83.</w:t>
      </w:r>
      <w:r>
        <w:rPr>
          <w:rFonts w:hint="eastAsia"/>
          <w:bCs/>
          <w:snapToGrid/>
        </w:rPr>
        <w:t xml:space="preserve">  </w:t>
      </w:r>
      <w:r>
        <w:rPr>
          <w:rFonts w:hint="eastAsia"/>
          <w:bCs/>
          <w:snapToGrid/>
        </w:rPr>
        <w:t>在出现人力不可抗拒的情况、工作量突然加大以及必须在某一期间完成计划外工作时，雇员得</w:t>
      </w:r>
      <w:r>
        <w:rPr>
          <w:bCs/>
          <w:snapToGrid/>
        </w:rPr>
        <w:t>应雇主要求</w:t>
      </w:r>
      <w:r>
        <w:rPr>
          <w:rFonts w:hint="eastAsia"/>
          <w:bCs/>
          <w:snapToGrid/>
        </w:rPr>
        <w:t>加班。雇员每天的加班时间不得超过</w:t>
      </w:r>
      <w:r>
        <w:rPr>
          <w:rFonts w:hint="eastAsia"/>
          <w:bCs/>
          <w:snapToGrid/>
        </w:rPr>
        <w:t>4</w:t>
      </w:r>
      <w:r>
        <w:rPr>
          <w:rFonts w:hint="eastAsia"/>
          <w:bCs/>
          <w:snapToGrid/>
        </w:rPr>
        <w:t>小时，每日历年份</w:t>
      </w:r>
      <w:r>
        <w:rPr>
          <w:bCs/>
          <w:snapToGrid/>
        </w:rPr>
        <w:t>不</w:t>
      </w:r>
      <w:r>
        <w:rPr>
          <w:rFonts w:hint="eastAsia"/>
          <w:bCs/>
          <w:snapToGrid/>
        </w:rPr>
        <w:t>得</w:t>
      </w:r>
      <w:r>
        <w:rPr>
          <w:bCs/>
          <w:snapToGrid/>
        </w:rPr>
        <w:t>超过</w:t>
      </w:r>
      <w:r>
        <w:rPr>
          <w:bCs/>
          <w:snapToGrid/>
        </w:rPr>
        <w:t>24</w:t>
      </w:r>
      <w:r>
        <w:rPr>
          <w:rFonts w:hint="eastAsia"/>
          <w:bCs/>
          <w:snapToGrid/>
        </w:rPr>
        <w:t>0</w:t>
      </w:r>
      <w:r>
        <w:rPr>
          <w:bCs/>
          <w:snapToGrid/>
        </w:rPr>
        <w:t>小时。</w:t>
      </w:r>
    </w:p>
    <w:p w:rsidR="00000000" w:rsidRDefault="00844A84">
      <w:pPr>
        <w:pStyle w:val="Heading4"/>
        <w:rPr>
          <w:rFonts w:hint="eastAsia"/>
          <w:bCs/>
          <w:snapToGrid/>
        </w:rPr>
      </w:pPr>
      <w:r>
        <w:rPr>
          <w:snapToGrid/>
          <w:u w:val="none"/>
        </w:rPr>
        <w:t xml:space="preserve">(f)  </w:t>
      </w:r>
      <w:r>
        <w:rPr>
          <w:rFonts w:hint="eastAsia"/>
          <w:snapToGrid/>
        </w:rPr>
        <w:t>重新安排工作时间</w:t>
      </w:r>
    </w:p>
    <w:p w:rsidR="00000000" w:rsidRDefault="00844A84" w:rsidP="00844A84">
      <w:pPr>
        <w:ind w:firstLineChars="200" w:firstLine="31680"/>
        <w:rPr>
          <w:rFonts w:hint="eastAsia"/>
          <w:bCs/>
          <w:snapToGrid/>
        </w:rPr>
      </w:pPr>
      <w:r>
        <w:rPr>
          <w:bCs/>
          <w:snapToGrid/>
        </w:rPr>
        <w:t>84.</w:t>
      </w:r>
      <w:r>
        <w:rPr>
          <w:rFonts w:hint="eastAsia"/>
          <w:bCs/>
          <w:snapToGrid/>
        </w:rPr>
        <w:t xml:space="preserve">  </w:t>
      </w:r>
      <w:r>
        <w:rPr>
          <w:bCs/>
          <w:snapToGrid/>
        </w:rPr>
        <w:t>如因活动性质、工作安排、</w:t>
      </w:r>
      <w:r>
        <w:rPr>
          <w:rFonts w:hint="eastAsia"/>
          <w:bCs/>
          <w:snapToGrid/>
        </w:rPr>
        <w:t>须</w:t>
      </w:r>
      <w:r>
        <w:rPr>
          <w:bCs/>
          <w:snapToGrid/>
        </w:rPr>
        <w:t>更有效利用工作手段并在</w:t>
      </w:r>
      <w:r>
        <w:rPr>
          <w:rFonts w:hint="eastAsia"/>
          <w:bCs/>
          <w:snapToGrid/>
        </w:rPr>
        <w:t>规定期间完成工作而有所要求，雇员可重新安排上班时间。</w:t>
      </w:r>
    </w:p>
    <w:p w:rsidR="00000000" w:rsidRDefault="00844A84" w:rsidP="00844A84">
      <w:pPr>
        <w:spacing w:after="320"/>
        <w:ind w:firstLineChars="200" w:firstLine="31680"/>
        <w:rPr>
          <w:rFonts w:hint="eastAsia"/>
          <w:bCs/>
          <w:snapToGrid/>
        </w:rPr>
      </w:pPr>
      <w:r>
        <w:rPr>
          <w:rFonts w:hint="eastAsia"/>
          <w:bCs/>
          <w:snapToGrid/>
        </w:rPr>
        <w:t xml:space="preserve">85.  </w:t>
      </w:r>
      <w:r>
        <w:rPr>
          <w:rFonts w:hint="eastAsia"/>
          <w:bCs/>
          <w:snapToGrid/>
        </w:rPr>
        <w:t>重新安排工作时间的方式，应确保雇员在日历年度的总工作时间平均不得超过全职工作时间。禁止重新安排</w:t>
      </w:r>
      <w:r>
        <w:rPr>
          <w:bCs/>
          <w:snapToGrid/>
        </w:rPr>
        <w:t>18</w:t>
      </w:r>
      <w:r>
        <w:rPr>
          <w:bCs/>
          <w:snapToGrid/>
        </w:rPr>
        <w:t>岁以下雇员的工作时间。雇主可</w:t>
      </w:r>
      <w:r>
        <w:rPr>
          <w:rFonts w:hint="eastAsia"/>
          <w:bCs/>
          <w:snapToGrid/>
        </w:rPr>
        <w:t>在仅须</w:t>
      </w:r>
      <w:r>
        <w:rPr>
          <w:bCs/>
          <w:snapToGrid/>
        </w:rPr>
        <w:t>有雇员书面同意</w:t>
      </w:r>
      <w:r>
        <w:rPr>
          <w:rFonts w:hint="eastAsia"/>
          <w:bCs/>
          <w:snapToGrid/>
        </w:rPr>
        <w:t>的情况下，为</w:t>
      </w:r>
      <w:r>
        <w:rPr>
          <w:bCs/>
          <w:snapToGrid/>
        </w:rPr>
        <w:t>孕</w:t>
      </w:r>
      <w:r>
        <w:rPr>
          <w:rFonts w:hint="eastAsia"/>
          <w:bCs/>
          <w:snapToGrid/>
        </w:rPr>
        <w:t>期</w:t>
      </w:r>
      <w:r>
        <w:rPr>
          <w:bCs/>
          <w:snapToGrid/>
        </w:rPr>
        <w:t>女雇员以及有三岁以下子女或有严重心理或生理</w:t>
      </w:r>
      <w:r>
        <w:rPr>
          <w:rFonts w:hint="eastAsia"/>
          <w:bCs/>
          <w:snapToGrid/>
        </w:rPr>
        <w:t>残障</w:t>
      </w:r>
      <w:r>
        <w:rPr>
          <w:bCs/>
          <w:snapToGrid/>
        </w:rPr>
        <w:t>子女的在职父母重新安排</w:t>
      </w:r>
      <w:r>
        <w:rPr>
          <w:rFonts w:hint="eastAsia"/>
          <w:bCs/>
          <w:snapToGrid/>
        </w:rPr>
        <w:t>工</w:t>
      </w:r>
      <w:r>
        <w:rPr>
          <w:bCs/>
          <w:snapToGrid/>
        </w:rPr>
        <w:t>作时间。</w:t>
      </w:r>
    </w:p>
    <w:p w:rsidR="00000000" w:rsidRDefault="00844A84">
      <w:pPr>
        <w:pStyle w:val="Heading4"/>
        <w:rPr>
          <w:rFonts w:hint="eastAsia"/>
          <w:bCs/>
          <w:snapToGrid/>
        </w:rPr>
      </w:pPr>
      <w:r>
        <w:rPr>
          <w:snapToGrid/>
          <w:u w:val="none"/>
        </w:rPr>
        <w:t xml:space="preserve">(g)  </w:t>
      </w:r>
      <w:r>
        <w:rPr>
          <w:rFonts w:hint="eastAsia"/>
          <w:snapToGrid/>
        </w:rPr>
        <w:t>夜</w:t>
      </w:r>
      <w:r>
        <w:rPr>
          <w:rFonts w:hint="eastAsia"/>
          <w:snapToGrid/>
        </w:rPr>
        <w:t xml:space="preserve">  </w:t>
      </w:r>
      <w:r>
        <w:rPr>
          <w:rFonts w:hint="eastAsia"/>
          <w:snapToGrid/>
        </w:rPr>
        <w:t>班</w:t>
      </w:r>
    </w:p>
    <w:p w:rsidR="00000000" w:rsidRDefault="00844A84" w:rsidP="00844A84">
      <w:pPr>
        <w:spacing w:after="320"/>
        <w:ind w:firstLineChars="200" w:firstLine="31680"/>
        <w:rPr>
          <w:rFonts w:hint="eastAsia"/>
          <w:bCs/>
          <w:snapToGrid/>
        </w:rPr>
      </w:pPr>
      <w:r>
        <w:rPr>
          <w:bCs/>
          <w:snapToGrid/>
        </w:rPr>
        <w:t>86.</w:t>
      </w:r>
      <w:r>
        <w:rPr>
          <w:rFonts w:hint="eastAsia"/>
          <w:bCs/>
          <w:snapToGrid/>
        </w:rPr>
        <w:t xml:space="preserve">  </w:t>
      </w:r>
      <w:r>
        <w:rPr>
          <w:rFonts w:hint="eastAsia"/>
          <w:bCs/>
          <w:snapToGrid/>
        </w:rPr>
        <w:t>晚间</w:t>
      </w:r>
      <w:r>
        <w:rPr>
          <w:rFonts w:hint="eastAsia"/>
          <w:bCs/>
          <w:snapToGrid/>
        </w:rPr>
        <w:t>10</w:t>
      </w:r>
      <w:r>
        <w:rPr>
          <w:rFonts w:hint="eastAsia"/>
          <w:bCs/>
          <w:snapToGrid/>
        </w:rPr>
        <w:t>时</w:t>
      </w:r>
      <w:r>
        <w:rPr>
          <w:bCs/>
          <w:snapToGrid/>
        </w:rPr>
        <w:t>至</w:t>
      </w:r>
      <w:r>
        <w:rPr>
          <w:rFonts w:hint="eastAsia"/>
          <w:bCs/>
          <w:snapToGrid/>
        </w:rPr>
        <w:t>次日上午</w:t>
      </w:r>
      <w:r>
        <w:rPr>
          <w:bCs/>
          <w:snapToGrid/>
        </w:rPr>
        <w:t>6</w:t>
      </w:r>
      <w:r>
        <w:rPr>
          <w:rFonts w:hint="eastAsia"/>
          <w:bCs/>
          <w:snapToGrid/>
        </w:rPr>
        <w:t>时</w:t>
      </w:r>
      <w:r>
        <w:rPr>
          <w:bCs/>
          <w:snapToGrid/>
        </w:rPr>
        <w:t>上班</w:t>
      </w:r>
      <w:r>
        <w:rPr>
          <w:rFonts w:hint="eastAsia"/>
          <w:bCs/>
          <w:snapToGrid/>
        </w:rPr>
        <w:t>即</w:t>
      </w:r>
      <w:r>
        <w:rPr>
          <w:bCs/>
          <w:snapToGrid/>
        </w:rPr>
        <w:t>为夜班。如果安排倒班，</w:t>
      </w:r>
      <w:r>
        <w:rPr>
          <w:rFonts w:hint="eastAsia"/>
          <w:bCs/>
          <w:snapToGrid/>
        </w:rPr>
        <w:t>则</w:t>
      </w:r>
      <w:r>
        <w:rPr>
          <w:bCs/>
          <w:snapToGrid/>
        </w:rPr>
        <w:t>须确保</w:t>
      </w:r>
      <w:r>
        <w:rPr>
          <w:rFonts w:hint="eastAsia"/>
          <w:bCs/>
          <w:snapToGrid/>
        </w:rPr>
        <w:t>不致使</w:t>
      </w:r>
      <w:r>
        <w:rPr>
          <w:bCs/>
          <w:snapToGrid/>
        </w:rPr>
        <w:t>雇员</w:t>
      </w:r>
      <w:r>
        <w:rPr>
          <w:bCs/>
          <w:snapToGrid/>
        </w:rPr>
        <w:t>连续上夜班</w:t>
      </w:r>
      <w:r>
        <w:rPr>
          <w:rFonts w:hint="eastAsia"/>
          <w:bCs/>
          <w:snapToGrid/>
        </w:rPr>
        <w:t>的</w:t>
      </w:r>
      <w:r>
        <w:rPr>
          <w:bCs/>
          <w:snapToGrid/>
        </w:rPr>
        <w:t>时间超过一个工作周。只有在雇员书面同意的情况下，该雇员上夜班的时间才可超过一个工作周。</w:t>
      </w:r>
    </w:p>
    <w:p w:rsidR="00000000" w:rsidRDefault="00844A84">
      <w:pPr>
        <w:pStyle w:val="Heading4"/>
        <w:rPr>
          <w:rFonts w:hint="eastAsia"/>
          <w:bCs/>
          <w:snapToGrid/>
        </w:rPr>
      </w:pPr>
      <w:r>
        <w:rPr>
          <w:snapToGrid/>
          <w:u w:val="none"/>
        </w:rPr>
        <w:t xml:space="preserve">(h)  </w:t>
      </w:r>
      <w:r>
        <w:rPr>
          <w:rFonts w:hint="eastAsia"/>
          <w:snapToGrid/>
        </w:rPr>
        <w:t>假期和请假</w:t>
      </w:r>
    </w:p>
    <w:p w:rsidR="00000000" w:rsidRDefault="00844A84" w:rsidP="00844A84">
      <w:pPr>
        <w:ind w:firstLineChars="200" w:firstLine="31680"/>
        <w:rPr>
          <w:rFonts w:hint="eastAsia"/>
          <w:bCs/>
          <w:snapToGrid/>
        </w:rPr>
      </w:pPr>
      <w:r>
        <w:rPr>
          <w:rFonts w:hint="eastAsia"/>
          <w:bCs/>
          <w:snapToGrid/>
        </w:rPr>
        <w:t xml:space="preserve">87.  </w:t>
      </w:r>
      <w:r>
        <w:rPr>
          <w:rFonts w:hint="eastAsia"/>
          <w:bCs/>
          <w:snapToGrid/>
        </w:rPr>
        <w:t>《南斯拉夫联盟共和国宪法》保障雇员有权按照法律和</w:t>
      </w:r>
      <w:r>
        <w:rPr>
          <w:rFonts w:hint="eastAsia"/>
          <w:bCs/>
          <w:snapToGrid/>
        </w:rPr>
        <w:t>(</w:t>
      </w:r>
      <w:r>
        <w:rPr>
          <w:rFonts w:hint="eastAsia"/>
          <w:bCs/>
          <w:snapToGrid/>
        </w:rPr>
        <w:t>或</w:t>
      </w:r>
      <w:r>
        <w:rPr>
          <w:rFonts w:hint="eastAsia"/>
          <w:bCs/>
          <w:snapToGrid/>
        </w:rPr>
        <w:t>)</w:t>
      </w:r>
      <w:r>
        <w:rPr>
          <w:rFonts w:hint="eastAsia"/>
          <w:bCs/>
          <w:snapToGrid/>
        </w:rPr>
        <w:t>集体协定享有每周休息的权利</w:t>
      </w:r>
      <w:r>
        <w:rPr>
          <w:rFonts w:hint="eastAsia"/>
          <w:bCs/>
          <w:snapToGrid/>
        </w:rPr>
        <w:t>(</w:t>
      </w:r>
      <w:r>
        <w:rPr>
          <w:rFonts w:hint="eastAsia"/>
          <w:bCs/>
          <w:snapToGrid/>
        </w:rPr>
        <w:t>第</w:t>
      </w:r>
      <w:r>
        <w:rPr>
          <w:bCs/>
          <w:snapToGrid/>
        </w:rPr>
        <w:t>56</w:t>
      </w:r>
      <w:r>
        <w:rPr>
          <w:bCs/>
          <w:snapToGrid/>
        </w:rPr>
        <w:t>条</w:t>
      </w:r>
      <w:r>
        <w:rPr>
          <w:bCs/>
          <w:snapToGrid/>
        </w:rPr>
        <w:t>)</w:t>
      </w:r>
      <w:r>
        <w:rPr>
          <w:bCs/>
          <w:snapToGrid/>
        </w:rPr>
        <w:t>。《劳工关系基本原则法》规定雇员有权每周至少休息</w:t>
      </w:r>
      <w:r>
        <w:rPr>
          <w:bCs/>
          <w:snapToGrid/>
        </w:rPr>
        <w:t>24</w:t>
      </w:r>
      <w:r>
        <w:rPr>
          <w:bCs/>
          <w:snapToGrid/>
        </w:rPr>
        <w:t>小时。</w:t>
      </w:r>
      <w:r>
        <w:rPr>
          <w:rFonts w:hint="eastAsia"/>
          <w:bCs/>
          <w:snapToGrid/>
        </w:rPr>
        <w:t>如果</w:t>
      </w:r>
      <w:r>
        <w:rPr>
          <w:bCs/>
          <w:snapToGrid/>
        </w:rPr>
        <w:t>雇员必须在每周休息期间的一天工作，就必须</w:t>
      </w:r>
      <w:r>
        <w:rPr>
          <w:rFonts w:hint="eastAsia"/>
          <w:bCs/>
          <w:snapToGrid/>
        </w:rPr>
        <w:t>在下周补休一天</w:t>
      </w:r>
      <w:r>
        <w:rPr>
          <w:rFonts w:hint="eastAsia"/>
          <w:bCs/>
          <w:snapToGrid/>
        </w:rPr>
        <w:t>(</w:t>
      </w:r>
      <w:r>
        <w:rPr>
          <w:rFonts w:hint="eastAsia"/>
          <w:bCs/>
          <w:snapToGrid/>
        </w:rPr>
        <w:t>第</w:t>
      </w:r>
      <w:r>
        <w:rPr>
          <w:bCs/>
          <w:snapToGrid/>
        </w:rPr>
        <w:t>28</w:t>
      </w:r>
      <w:r>
        <w:rPr>
          <w:bCs/>
          <w:snapToGrid/>
        </w:rPr>
        <w:t>条</w:t>
      </w:r>
      <w:r>
        <w:rPr>
          <w:bCs/>
          <w:snapToGrid/>
        </w:rPr>
        <w:t>)</w:t>
      </w:r>
      <w:r>
        <w:rPr>
          <w:bCs/>
          <w:snapToGrid/>
        </w:rPr>
        <w:t>。《塞尔维亚共和国劳工法》规定，雇员有权每周至少连续休息</w:t>
      </w:r>
      <w:r>
        <w:rPr>
          <w:bCs/>
          <w:snapToGrid/>
        </w:rPr>
        <w:t>24</w:t>
      </w:r>
      <w:r>
        <w:rPr>
          <w:bCs/>
          <w:snapToGrid/>
        </w:rPr>
        <w:t>小时，如果雇员必须在每周休息期间的一天工作，就必须在</w:t>
      </w:r>
      <w:r>
        <w:rPr>
          <w:rFonts w:hint="eastAsia"/>
          <w:bCs/>
          <w:snapToGrid/>
        </w:rPr>
        <w:t>下周补休一天。</w:t>
      </w:r>
    </w:p>
    <w:p w:rsidR="00000000" w:rsidRDefault="00844A84" w:rsidP="00844A84">
      <w:pPr>
        <w:ind w:firstLineChars="200" w:firstLine="31680"/>
        <w:rPr>
          <w:rFonts w:hint="eastAsia"/>
          <w:bCs/>
          <w:snapToGrid/>
        </w:rPr>
      </w:pPr>
      <w:r>
        <w:rPr>
          <w:rFonts w:hint="eastAsia"/>
          <w:bCs/>
          <w:snapToGrid/>
        </w:rPr>
        <w:t xml:space="preserve">88.  </w:t>
      </w:r>
      <w:r>
        <w:rPr>
          <w:rFonts w:hint="eastAsia"/>
          <w:bCs/>
          <w:snapToGrid/>
          <w:spacing w:val="8"/>
        </w:rPr>
        <w:t>除了每周休息外，雇员有</w:t>
      </w:r>
      <w:r>
        <w:rPr>
          <w:rFonts w:hint="eastAsia"/>
          <w:bCs/>
          <w:snapToGrid/>
          <w:spacing w:val="8"/>
        </w:rPr>
        <w:t>权享有带薪假期。《劳工基本原则法》规定，不得拒绝给予雇员至少</w:t>
      </w:r>
      <w:r>
        <w:rPr>
          <w:bCs/>
          <w:snapToGrid/>
          <w:spacing w:val="8"/>
        </w:rPr>
        <w:t>18</w:t>
      </w:r>
      <w:r>
        <w:rPr>
          <w:rFonts w:hint="eastAsia"/>
          <w:bCs/>
          <w:snapToGrid/>
          <w:spacing w:val="8"/>
        </w:rPr>
        <w:t>个</w:t>
      </w:r>
      <w:r>
        <w:rPr>
          <w:bCs/>
          <w:snapToGrid/>
          <w:spacing w:val="8"/>
        </w:rPr>
        <w:t>工作日</w:t>
      </w:r>
      <w:r>
        <w:rPr>
          <w:rFonts w:hint="eastAsia"/>
          <w:bCs/>
          <w:snapToGrid/>
          <w:spacing w:val="8"/>
        </w:rPr>
        <w:t>休假</w:t>
      </w:r>
      <w:r>
        <w:rPr>
          <w:bCs/>
          <w:snapToGrid/>
          <w:spacing w:val="8"/>
        </w:rPr>
        <w:t>的权利，雇员也不得放弃这一权利。《塞尔维亚共和国劳工法》</w:t>
      </w:r>
      <w:r>
        <w:rPr>
          <w:rFonts w:hint="eastAsia"/>
          <w:bCs/>
          <w:snapToGrid/>
          <w:spacing w:val="8"/>
        </w:rPr>
        <w:t>载有</w:t>
      </w:r>
      <w:r>
        <w:rPr>
          <w:bCs/>
          <w:snapToGrid/>
          <w:spacing w:val="8"/>
        </w:rPr>
        <w:t>更详尽的规定，</w:t>
      </w:r>
      <w:r>
        <w:rPr>
          <w:rFonts w:hint="eastAsia"/>
          <w:bCs/>
          <w:snapToGrid/>
          <w:spacing w:val="8"/>
        </w:rPr>
        <w:t>首</w:t>
      </w:r>
      <w:r>
        <w:rPr>
          <w:bCs/>
          <w:snapToGrid/>
          <w:spacing w:val="8"/>
        </w:rPr>
        <w:t>次被雇用的雇员或</w:t>
      </w:r>
      <w:r>
        <w:rPr>
          <w:rFonts w:hint="eastAsia"/>
          <w:bCs/>
          <w:snapToGrid/>
          <w:spacing w:val="8"/>
        </w:rPr>
        <w:t>任</w:t>
      </w:r>
      <w:r>
        <w:rPr>
          <w:bCs/>
          <w:snapToGrid/>
          <w:spacing w:val="8"/>
        </w:rPr>
        <w:t>职时间中断超过</w:t>
      </w:r>
      <w:r>
        <w:rPr>
          <w:bCs/>
          <w:snapToGrid/>
          <w:spacing w:val="8"/>
        </w:rPr>
        <w:t>5</w:t>
      </w:r>
      <w:r>
        <w:rPr>
          <w:bCs/>
          <w:snapToGrid/>
          <w:spacing w:val="8"/>
        </w:rPr>
        <w:t>个工作日的雇员</w:t>
      </w:r>
      <w:r>
        <w:rPr>
          <w:rFonts w:hint="eastAsia"/>
          <w:bCs/>
          <w:snapToGrid/>
          <w:spacing w:val="8"/>
        </w:rPr>
        <w:t>，</w:t>
      </w:r>
      <w:r>
        <w:rPr>
          <w:bCs/>
          <w:snapToGrid/>
          <w:spacing w:val="8"/>
        </w:rPr>
        <w:t>都有权在连续工作</w:t>
      </w:r>
      <w:r>
        <w:rPr>
          <w:bCs/>
          <w:snapToGrid/>
          <w:spacing w:val="8"/>
        </w:rPr>
        <w:t>6</w:t>
      </w:r>
      <w:r>
        <w:rPr>
          <w:bCs/>
          <w:snapToGrid/>
          <w:spacing w:val="8"/>
        </w:rPr>
        <w:t>个月后享有带薪假期的权利。休假期间，雇员有权得到工资补偿，其金额相当于该雇员在休假月份</w:t>
      </w:r>
      <w:r>
        <w:rPr>
          <w:rFonts w:hint="eastAsia"/>
          <w:bCs/>
          <w:snapToGrid/>
          <w:spacing w:val="8"/>
        </w:rPr>
        <w:t>的</w:t>
      </w:r>
      <w:r>
        <w:rPr>
          <w:bCs/>
          <w:snapToGrid/>
          <w:spacing w:val="8"/>
        </w:rPr>
        <w:t>应</w:t>
      </w:r>
      <w:r>
        <w:rPr>
          <w:rFonts w:hint="eastAsia"/>
          <w:bCs/>
          <w:snapToGrid/>
          <w:spacing w:val="8"/>
        </w:rPr>
        <w:t>得</w:t>
      </w:r>
      <w:r>
        <w:rPr>
          <w:bCs/>
          <w:snapToGrid/>
          <w:spacing w:val="8"/>
        </w:rPr>
        <w:t>工资。如雇员</w:t>
      </w:r>
      <w:r>
        <w:rPr>
          <w:rFonts w:hint="eastAsia"/>
          <w:bCs/>
          <w:snapToGrid/>
          <w:spacing w:val="8"/>
        </w:rPr>
        <w:t>因</w:t>
      </w:r>
      <w:r>
        <w:rPr>
          <w:bCs/>
          <w:snapToGrid/>
          <w:spacing w:val="8"/>
        </w:rPr>
        <w:t>雇主的过错</w:t>
      </w:r>
      <w:r>
        <w:rPr>
          <w:rFonts w:hint="eastAsia"/>
          <w:bCs/>
          <w:snapToGrid/>
          <w:spacing w:val="8"/>
        </w:rPr>
        <w:t>而</w:t>
      </w:r>
      <w:r>
        <w:rPr>
          <w:bCs/>
          <w:snapToGrid/>
          <w:spacing w:val="8"/>
        </w:rPr>
        <w:t>无法休假，则有权得到经济补偿，其金额相当于该雇员</w:t>
      </w:r>
      <w:r>
        <w:rPr>
          <w:rFonts w:hint="eastAsia"/>
          <w:bCs/>
          <w:snapToGrid/>
          <w:spacing w:val="8"/>
        </w:rPr>
        <w:t>在</w:t>
      </w:r>
      <w:r>
        <w:rPr>
          <w:bCs/>
          <w:snapToGrid/>
          <w:spacing w:val="8"/>
        </w:rPr>
        <w:t>本应休假</w:t>
      </w:r>
      <w:r>
        <w:rPr>
          <w:rFonts w:hint="eastAsia"/>
          <w:bCs/>
          <w:snapToGrid/>
          <w:spacing w:val="8"/>
        </w:rPr>
        <w:t>的</w:t>
      </w:r>
      <w:r>
        <w:rPr>
          <w:bCs/>
          <w:snapToGrid/>
          <w:spacing w:val="8"/>
        </w:rPr>
        <w:t>月份</w:t>
      </w:r>
      <w:r>
        <w:rPr>
          <w:rFonts w:hint="eastAsia"/>
          <w:bCs/>
          <w:snapToGrid/>
          <w:spacing w:val="8"/>
        </w:rPr>
        <w:t>应得</w:t>
      </w:r>
      <w:r>
        <w:rPr>
          <w:bCs/>
          <w:snapToGrid/>
          <w:spacing w:val="8"/>
        </w:rPr>
        <w:t>的工资</w:t>
      </w:r>
      <w:r>
        <w:rPr>
          <w:rFonts w:hint="eastAsia"/>
          <w:bCs/>
          <w:snapToGrid/>
          <w:spacing w:val="8"/>
        </w:rPr>
        <w:t>额</w:t>
      </w:r>
      <w:r>
        <w:rPr>
          <w:bCs/>
          <w:snapToGrid/>
          <w:spacing w:val="8"/>
        </w:rPr>
        <w:t>。该法律</w:t>
      </w:r>
      <w:r>
        <w:rPr>
          <w:rFonts w:hint="eastAsia"/>
          <w:bCs/>
          <w:snapToGrid/>
          <w:spacing w:val="8"/>
        </w:rPr>
        <w:t>仅</w:t>
      </w:r>
      <w:r>
        <w:rPr>
          <w:bCs/>
          <w:snapToGrid/>
          <w:spacing w:val="8"/>
        </w:rPr>
        <w:t>规定</w:t>
      </w:r>
      <w:r>
        <w:rPr>
          <w:rFonts w:hint="eastAsia"/>
          <w:bCs/>
          <w:snapToGrid/>
          <w:spacing w:val="8"/>
        </w:rPr>
        <w:t>了</w:t>
      </w:r>
      <w:r>
        <w:rPr>
          <w:bCs/>
          <w:snapToGrid/>
          <w:spacing w:val="8"/>
        </w:rPr>
        <w:t>休假的最低期限</w:t>
      </w:r>
      <w:r>
        <w:rPr>
          <w:rFonts w:hint="eastAsia"/>
          <w:bCs/>
          <w:snapToGrid/>
          <w:spacing w:val="8"/>
        </w:rPr>
        <w:t>而未</w:t>
      </w:r>
      <w:r>
        <w:rPr>
          <w:bCs/>
          <w:snapToGrid/>
          <w:spacing w:val="8"/>
        </w:rPr>
        <w:t>规定最高期限，</w:t>
      </w:r>
      <w:r>
        <w:rPr>
          <w:rFonts w:hint="eastAsia"/>
          <w:bCs/>
          <w:snapToGrid/>
          <w:spacing w:val="8"/>
        </w:rPr>
        <w:t>但</w:t>
      </w:r>
      <w:r>
        <w:rPr>
          <w:bCs/>
          <w:snapToGrid/>
          <w:spacing w:val="8"/>
        </w:rPr>
        <w:t>实际</w:t>
      </w:r>
      <w:r>
        <w:rPr>
          <w:rFonts w:hint="eastAsia"/>
          <w:bCs/>
          <w:snapToGrid/>
          <w:spacing w:val="8"/>
        </w:rPr>
        <w:t>上</w:t>
      </w:r>
      <w:r>
        <w:rPr>
          <w:bCs/>
          <w:snapToGrid/>
          <w:spacing w:val="8"/>
        </w:rPr>
        <w:t>，</w:t>
      </w:r>
      <w:r>
        <w:rPr>
          <w:rFonts w:hint="eastAsia"/>
          <w:bCs/>
          <w:snapToGrid/>
          <w:spacing w:val="8"/>
        </w:rPr>
        <w:t>按照</w:t>
      </w:r>
      <w:r>
        <w:rPr>
          <w:bCs/>
          <w:snapToGrid/>
          <w:spacing w:val="8"/>
        </w:rPr>
        <w:t>确定假期期限的法律和集体协定规定的标</w:t>
      </w:r>
      <w:r>
        <w:rPr>
          <w:bCs/>
          <w:snapToGrid/>
          <w:spacing w:val="8"/>
        </w:rPr>
        <w:t>准，假期</w:t>
      </w:r>
      <w:r>
        <w:rPr>
          <w:rFonts w:hint="eastAsia"/>
          <w:bCs/>
          <w:snapToGrid/>
          <w:spacing w:val="8"/>
        </w:rPr>
        <w:t>通常</w:t>
      </w:r>
      <w:r>
        <w:rPr>
          <w:bCs/>
          <w:snapToGrid/>
          <w:spacing w:val="8"/>
        </w:rPr>
        <w:t>超过</w:t>
      </w:r>
      <w:r>
        <w:rPr>
          <w:bCs/>
          <w:snapToGrid/>
          <w:spacing w:val="8"/>
        </w:rPr>
        <w:t>18</w:t>
      </w:r>
      <w:r>
        <w:rPr>
          <w:rFonts w:hint="eastAsia"/>
          <w:bCs/>
          <w:snapToGrid/>
          <w:spacing w:val="8"/>
        </w:rPr>
        <w:t>个</w:t>
      </w:r>
      <w:r>
        <w:rPr>
          <w:bCs/>
          <w:snapToGrid/>
          <w:spacing w:val="8"/>
        </w:rPr>
        <w:t>工作日。一般而言，</w:t>
      </w:r>
      <w:r>
        <w:rPr>
          <w:bCs/>
          <w:snapToGrid/>
          <w:spacing w:val="8"/>
        </w:rPr>
        <w:t>18</w:t>
      </w:r>
      <w:r>
        <w:rPr>
          <w:rFonts w:hint="eastAsia"/>
          <w:bCs/>
          <w:snapToGrid/>
          <w:spacing w:val="8"/>
        </w:rPr>
        <w:t>个</w:t>
      </w:r>
      <w:r>
        <w:rPr>
          <w:bCs/>
          <w:snapToGrid/>
          <w:spacing w:val="8"/>
        </w:rPr>
        <w:t>工作日的假期主要</w:t>
      </w:r>
      <w:r>
        <w:rPr>
          <w:rFonts w:hint="eastAsia"/>
          <w:bCs/>
          <w:snapToGrid/>
          <w:spacing w:val="8"/>
        </w:rPr>
        <w:t>适用于刚</w:t>
      </w:r>
      <w:r>
        <w:rPr>
          <w:bCs/>
          <w:snapToGrid/>
          <w:spacing w:val="8"/>
        </w:rPr>
        <w:t>开始就业的工作人员</w:t>
      </w:r>
      <w:r>
        <w:rPr>
          <w:rFonts w:hint="eastAsia"/>
          <w:bCs/>
          <w:snapToGrid/>
          <w:spacing w:val="8"/>
        </w:rPr>
        <w:t>，即</w:t>
      </w:r>
      <w:r>
        <w:rPr>
          <w:bCs/>
          <w:snapToGrid/>
          <w:spacing w:val="8"/>
        </w:rPr>
        <w:t>服务期限较短的工作人员。</w:t>
      </w:r>
    </w:p>
    <w:p w:rsidR="00000000" w:rsidRDefault="00844A84" w:rsidP="00844A84">
      <w:pPr>
        <w:spacing w:after="320"/>
        <w:ind w:firstLineChars="200" w:firstLine="31680"/>
        <w:rPr>
          <w:rFonts w:hint="eastAsia"/>
          <w:bCs/>
          <w:snapToGrid/>
        </w:rPr>
      </w:pPr>
      <w:r>
        <w:rPr>
          <w:bCs/>
          <w:snapToGrid/>
        </w:rPr>
        <w:t>89.</w:t>
      </w:r>
      <w:r>
        <w:rPr>
          <w:rFonts w:hint="eastAsia"/>
          <w:bCs/>
          <w:snapToGrid/>
        </w:rPr>
        <w:t xml:space="preserve">  </w:t>
      </w:r>
      <w:r>
        <w:rPr>
          <w:bCs/>
          <w:snapToGrid/>
        </w:rPr>
        <w:t>除年假外，雇员有权按法律、</w:t>
      </w:r>
      <w:r>
        <w:rPr>
          <w:rFonts w:hint="eastAsia"/>
          <w:bCs/>
          <w:snapToGrid/>
        </w:rPr>
        <w:t>普通法令</w:t>
      </w:r>
      <w:r>
        <w:rPr>
          <w:bCs/>
          <w:snapToGrid/>
        </w:rPr>
        <w:t>或</w:t>
      </w:r>
      <w:r>
        <w:rPr>
          <w:rFonts w:hint="eastAsia"/>
          <w:bCs/>
          <w:snapToGrid/>
        </w:rPr>
        <w:t>雇佣</w:t>
      </w:r>
      <w:r>
        <w:rPr>
          <w:bCs/>
          <w:snapToGrid/>
        </w:rPr>
        <w:t>合同规定的情况，在日历年度内请假</w:t>
      </w:r>
      <w:r>
        <w:rPr>
          <w:rFonts w:hint="eastAsia"/>
          <w:bCs/>
          <w:snapToGrid/>
        </w:rPr>
        <w:t>至多</w:t>
      </w:r>
      <w:r>
        <w:rPr>
          <w:bCs/>
          <w:snapToGrid/>
        </w:rPr>
        <w:t>5</w:t>
      </w:r>
      <w:r>
        <w:rPr>
          <w:rFonts w:hint="eastAsia"/>
          <w:bCs/>
          <w:snapToGrid/>
        </w:rPr>
        <w:t>个</w:t>
      </w:r>
      <w:r>
        <w:rPr>
          <w:bCs/>
          <w:snapToGrid/>
        </w:rPr>
        <w:t>工作日并</w:t>
      </w:r>
      <w:r>
        <w:rPr>
          <w:rFonts w:hint="eastAsia"/>
          <w:bCs/>
          <w:snapToGrid/>
        </w:rPr>
        <w:t>获得</w:t>
      </w:r>
      <w:r>
        <w:rPr>
          <w:bCs/>
          <w:snapToGrid/>
        </w:rPr>
        <w:t>工资补偿。如并非</w:t>
      </w:r>
      <w:r>
        <w:rPr>
          <w:rFonts w:hint="eastAsia"/>
          <w:bCs/>
          <w:snapToGrid/>
        </w:rPr>
        <w:t>因</w:t>
      </w:r>
      <w:r>
        <w:rPr>
          <w:bCs/>
          <w:snapToGrid/>
        </w:rPr>
        <w:t>雇员的过错而</w:t>
      </w:r>
      <w:r>
        <w:rPr>
          <w:rFonts w:hint="eastAsia"/>
          <w:bCs/>
          <w:snapToGrid/>
        </w:rPr>
        <w:t>在日历</w:t>
      </w:r>
      <w:r>
        <w:rPr>
          <w:bCs/>
          <w:snapToGrid/>
        </w:rPr>
        <w:t>年度内工作中断</w:t>
      </w:r>
      <w:r>
        <w:rPr>
          <w:rFonts w:hint="eastAsia"/>
          <w:bCs/>
          <w:snapToGrid/>
        </w:rPr>
        <w:t>长达</w:t>
      </w:r>
      <w:r>
        <w:rPr>
          <w:bCs/>
          <w:snapToGrid/>
        </w:rPr>
        <w:t>45</w:t>
      </w:r>
      <w:r>
        <w:rPr>
          <w:bCs/>
          <w:snapToGrid/>
        </w:rPr>
        <w:t>天，则该雇员有权获得工资补偿，其金额</w:t>
      </w:r>
      <w:r>
        <w:rPr>
          <w:rFonts w:hint="eastAsia"/>
          <w:bCs/>
          <w:snapToGrid/>
        </w:rPr>
        <w:t>相当于该雇员本应</w:t>
      </w:r>
      <w:r>
        <w:rPr>
          <w:bCs/>
          <w:snapToGrid/>
        </w:rPr>
        <w:t>工作</w:t>
      </w:r>
      <w:r>
        <w:rPr>
          <w:rFonts w:hint="eastAsia"/>
          <w:bCs/>
          <w:snapToGrid/>
        </w:rPr>
        <w:t>时应得</w:t>
      </w:r>
      <w:r>
        <w:rPr>
          <w:bCs/>
          <w:snapToGrid/>
        </w:rPr>
        <w:t>工资的</w:t>
      </w:r>
      <w:r>
        <w:rPr>
          <w:bCs/>
          <w:snapToGrid/>
        </w:rPr>
        <w:t>45%</w:t>
      </w:r>
      <w:r>
        <w:rPr>
          <w:bCs/>
          <w:snapToGrid/>
        </w:rPr>
        <w:t>。如雇员在非工作日</w:t>
      </w:r>
      <w:r>
        <w:rPr>
          <w:rFonts w:hint="eastAsia"/>
          <w:bCs/>
          <w:snapToGrid/>
        </w:rPr>
        <w:t>节</w:t>
      </w:r>
      <w:r>
        <w:rPr>
          <w:bCs/>
          <w:snapToGrid/>
        </w:rPr>
        <w:t>假日请假</w:t>
      </w:r>
      <w:r>
        <w:rPr>
          <w:rFonts w:hint="eastAsia"/>
          <w:bCs/>
          <w:snapToGrid/>
        </w:rPr>
        <w:t>但又必须</w:t>
      </w:r>
      <w:r>
        <w:rPr>
          <w:bCs/>
          <w:snapToGrid/>
        </w:rPr>
        <w:t>工作</w:t>
      </w:r>
      <w:r>
        <w:rPr>
          <w:rFonts w:hint="eastAsia"/>
          <w:bCs/>
          <w:snapToGrid/>
        </w:rPr>
        <w:t>时</w:t>
      </w:r>
      <w:r>
        <w:rPr>
          <w:bCs/>
          <w:snapToGrid/>
        </w:rPr>
        <w:t>，则有权获得工资补偿，其金额为该雇员</w:t>
      </w:r>
      <w:r>
        <w:rPr>
          <w:rFonts w:hint="eastAsia"/>
          <w:bCs/>
          <w:snapToGrid/>
        </w:rPr>
        <w:t>如</w:t>
      </w:r>
      <w:r>
        <w:rPr>
          <w:bCs/>
          <w:snapToGrid/>
        </w:rPr>
        <w:t>在当天</w:t>
      </w:r>
      <w:r>
        <w:rPr>
          <w:rFonts w:hint="eastAsia"/>
          <w:bCs/>
          <w:snapToGrid/>
        </w:rPr>
        <w:t>上班时</w:t>
      </w:r>
      <w:r>
        <w:rPr>
          <w:bCs/>
          <w:snapToGrid/>
        </w:rPr>
        <w:t>应得的工资。如果雇员在非工作日的</w:t>
      </w:r>
      <w:r>
        <w:rPr>
          <w:rFonts w:hint="eastAsia"/>
          <w:bCs/>
          <w:snapToGrid/>
        </w:rPr>
        <w:t>节假日</w:t>
      </w:r>
      <w:r>
        <w:rPr>
          <w:bCs/>
          <w:snapToGrid/>
        </w:rPr>
        <w:t>上班，则</w:t>
      </w:r>
      <w:r>
        <w:rPr>
          <w:rFonts w:hint="eastAsia"/>
          <w:bCs/>
          <w:snapToGrid/>
        </w:rPr>
        <w:t>应增加其</w:t>
      </w:r>
      <w:r>
        <w:rPr>
          <w:bCs/>
          <w:snapToGrid/>
        </w:rPr>
        <w:t>工资</w:t>
      </w:r>
      <w:r>
        <w:rPr>
          <w:rFonts w:hint="eastAsia"/>
          <w:bCs/>
          <w:snapToGrid/>
        </w:rPr>
        <w:t>额</w:t>
      </w:r>
      <w:r>
        <w:rPr>
          <w:bCs/>
          <w:snapToGrid/>
        </w:rPr>
        <w:t>。</w:t>
      </w:r>
    </w:p>
    <w:p w:rsidR="00000000" w:rsidRDefault="00844A84">
      <w:pPr>
        <w:pStyle w:val="Heading4"/>
        <w:rPr>
          <w:rFonts w:ascii="SimSun" w:hAnsi="SimSun" w:hint="eastAsia"/>
          <w:bCs/>
        </w:rPr>
      </w:pPr>
      <w:r>
        <w:rPr>
          <w:snapToGrid/>
          <w:u w:val="none"/>
        </w:rPr>
        <w:t>(i</w:t>
      </w:r>
      <w:r>
        <w:rPr>
          <w:snapToGrid/>
          <w:u w:val="none"/>
        </w:rPr>
        <w:t xml:space="preserve">)  </w:t>
      </w:r>
      <w:r>
        <w:rPr>
          <w:rFonts w:hint="eastAsia"/>
          <w:snapToGrid/>
        </w:rPr>
        <w:t>劳动安全</w:t>
      </w:r>
    </w:p>
    <w:p w:rsidR="00000000" w:rsidRDefault="00844A84" w:rsidP="00844A84">
      <w:pPr>
        <w:ind w:firstLineChars="200" w:firstLine="31680"/>
        <w:rPr>
          <w:rFonts w:hint="eastAsia"/>
          <w:bCs/>
          <w:snapToGrid/>
        </w:rPr>
      </w:pPr>
      <w:r>
        <w:rPr>
          <w:bCs/>
          <w:snapToGrid/>
        </w:rPr>
        <w:t>90.</w:t>
      </w:r>
      <w:r>
        <w:rPr>
          <w:rFonts w:hint="eastAsia"/>
          <w:bCs/>
          <w:snapToGrid/>
        </w:rPr>
        <w:t xml:space="preserve">  </w:t>
      </w:r>
      <w:r>
        <w:rPr>
          <w:bCs/>
          <w:snapToGrid/>
        </w:rPr>
        <w:t>《南斯拉夫联盟共和国宪法》保障雇员有权按照法律享有劳动安全保障</w:t>
      </w:r>
      <w:r>
        <w:rPr>
          <w:rFonts w:hint="eastAsia"/>
          <w:bCs/>
          <w:snapToGrid/>
        </w:rPr>
        <w:t xml:space="preserve"> </w:t>
      </w:r>
      <w:r>
        <w:rPr>
          <w:rStyle w:val="EndnoteReference"/>
          <w:bCs/>
          <w:snapToGrid/>
        </w:rPr>
        <w:endnoteReference w:id="5"/>
      </w:r>
      <w:r>
        <w:rPr>
          <w:rFonts w:hint="eastAsia"/>
          <w:bCs/>
          <w:snapToGrid/>
        </w:rPr>
        <w:t xml:space="preserve"> (</w:t>
      </w:r>
      <w:r>
        <w:rPr>
          <w:rFonts w:hint="eastAsia"/>
          <w:bCs/>
          <w:snapToGrid/>
        </w:rPr>
        <w:t>《宪法》第</w:t>
      </w:r>
      <w:r>
        <w:rPr>
          <w:bCs/>
          <w:snapToGrid/>
        </w:rPr>
        <w:t>56</w:t>
      </w:r>
      <w:r>
        <w:rPr>
          <w:bCs/>
          <w:snapToGrid/>
        </w:rPr>
        <w:t>条第</w:t>
      </w:r>
      <w:r>
        <w:rPr>
          <w:rFonts w:hint="eastAsia"/>
          <w:bCs/>
          <w:snapToGrid/>
        </w:rPr>
        <w:t>2</w:t>
      </w:r>
      <w:r>
        <w:rPr>
          <w:bCs/>
          <w:snapToGrid/>
        </w:rPr>
        <w:t>款</w:t>
      </w:r>
      <w:r>
        <w:rPr>
          <w:bCs/>
          <w:snapToGrid/>
        </w:rPr>
        <w:t>)</w:t>
      </w:r>
      <w:r>
        <w:rPr>
          <w:bCs/>
          <w:snapToGrid/>
        </w:rPr>
        <w:t>。</w:t>
      </w:r>
    </w:p>
    <w:p w:rsidR="00000000" w:rsidRDefault="00844A84" w:rsidP="00844A84">
      <w:pPr>
        <w:ind w:firstLineChars="200" w:firstLine="31680"/>
        <w:rPr>
          <w:rFonts w:hint="eastAsia"/>
          <w:bCs/>
          <w:snapToGrid/>
        </w:rPr>
      </w:pPr>
      <w:r>
        <w:rPr>
          <w:bCs/>
          <w:snapToGrid/>
        </w:rPr>
        <w:t>91.</w:t>
      </w:r>
      <w:r>
        <w:rPr>
          <w:rFonts w:hint="eastAsia"/>
          <w:bCs/>
          <w:snapToGrid/>
        </w:rPr>
        <w:t xml:space="preserve">  </w:t>
      </w:r>
      <w:r>
        <w:rPr>
          <w:bCs/>
          <w:snapToGrid/>
        </w:rPr>
        <w:t>《塞尔维亚共和国宪法》规定，</w:t>
      </w:r>
      <w:r>
        <w:rPr>
          <w:rFonts w:hint="eastAsia"/>
          <w:bCs/>
          <w:snapToGrid/>
        </w:rPr>
        <w:t>“</w:t>
      </w:r>
      <w:r>
        <w:rPr>
          <w:bCs/>
          <w:snapToGrid/>
        </w:rPr>
        <w:t>雇员有权</w:t>
      </w:r>
      <w:r>
        <w:rPr>
          <w:rFonts w:hint="eastAsia"/>
          <w:bCs/>
          <w:snapToGrid/>
        </w:rPr>
        <w:t>依法</w:t>
      </w:r>
      <w:r>
        <w:rPr>
          <w:bCs/>
          <w:snapToGrid/>
        </w:rPr>
        <w:t>获得劳动安全保障</w:t>
      </w:r>
      <w:r>
        <w:rPr>
          <w:rFonts w:hint="eastAsia"/>
          <w:bCs/>
          <w:snapToGrid/>
        </w:rPr>
        <w:t>”</w:t>
      </w:r>
      <w:r>
        <w:rPr>
          <w:bCs/>
          <w:snapToGrid/>
        </w:rPr>
        <w:t>(</w:t>
      </w:r>
      <w:r>
        <w:rPr>
          <w:bCs/>
          <w:snapToGrid/>
        </w:rPr>
        <w:t>第</w:t>
      </w:r>
      <w:r>
        <w:rPr>
          <w:bCs/>
          <w:snapToGrid/>
        </w:rPr>
        <w:t>38</w:t>
      </w:r>
      <w:r>
        <w:rPr>
          <w:bCs/>
          <w:snapToGrid/>
        </w:rPr>
        <w:t>条第</w:t>
      </w:r>
      <w:r>
        <w:rPr>
          <w:bCs/>
          <w:snapToGrid/>
        </w:rPr>
        <w:t>2</w:t>
      </w:r>
      <w:r>
        <w:rPr>
          <w:bCs/>
          <w:snapToGrid/>
        </w:rPr>
        <w:t>款</w:t>
      </w:r>
      <w:r>
        <w:rPr>
          <w:rFonts w:hint="eastAsia"/>
          <w:bCs/>
          <w:snapToGrid/>
        </w:rPr>
        <w:t>)</w:t>
      </w:r>
      <w:r>
        <w:rPr>
          <w:bCs/>
          <w:snapToGrid/>
        </w:rPr>
        <w:t>。同样，《宪法》第</w:t>
      </w:r>
      <w:r>
        <w:rPr>
          <w:bCs/>
          <w:snapToGrid/>
        </w:rPr>
        <w:t>72</w:t>
      </w:r>
      <w:r>
        <w:rPr>
          <w:bCs/>
          <w:snapToGrid/>
        </w:rPr>
        <w:t>第</w:t>
      </w:r>
      <w:r>
        <w:rPr>
          <w:bCs/>
          <w:snapToGrid/>
        </w:rPr>
        <w:t>1</w:t>
      </w:r>
      <w:r>
        <w:rPr>
          <w:bCs/>
          <w:snapToGrid/>
        </w:rPr>
        <w:t>款第</w:t>
      </w:r>
      <w:r>
        <w:rPr>
          <w:bCs/>
          <w:snapToGrid/>
        </w:rPr>
        <w:t>4</w:t>
      </w:r>
      <w:r>
        <w:rPr>
          <w:rFonts w:hint="eastAsia"/>
          <w:bCs/>
          <w:snapToGrid/>
        </w:rPr>
        <w:t>项关于</w:t>
      </w:r>
      <w:r>
        <w:rPr>
          <w:bCs/>
          <w:snapToGrid/>
        </w:rPr>
        <w:t>权利和义务</w:t>
      </w:r>
      <w:r>
        <w:rPr>
          <w:rFonts w:hint="eastAsia"/>
          <w:bCs/>
          <w:snapToGrid/>
        </w:rPr>
        <w:t>的</w:t>
      </w:r>
      <w:r>
        <w:rPr>
          <w:bCs/>
          <w:snapToGrid/>
        </w:rPr>
        <w:t>部分规定</w:t>
      </w:r>
      <w:r>
        <w:rPr>
          <w:rFonts w:hint="eastAsia"/>
          <w:bCs/>
          <w:snapToGrid/>
        </w:rPr>
        <w:t>，</w:t>
      </w:r>
      <w:r>
        <w:rPr>
          <w:bCs/>
          <w:snapToGrid/>
        </w:rPr>
        <w:t>塞尔维亚共和国规范</w:t>
      </w:r>
      <w:r>
        <w:rPr>
          <w:rFonts w:hint="eastAsia"/>
          <w:bCs/>
          <w:snapToGrid/>
        </w:rPr>
        <w:t>并制定“</w:t>
      </w:r>
      <w:r>
        <w:rPr>
          <w:bCs/>
          <w:snapToGrid/>
        </w:rPr>
        <w:t>工作场所保护</w:t>
      </w:r>
      <w:r>
        <w:rPr>
          <w:rFonts w:hint="eastAsia"/>
          <w:bCs/>
          <w:snapToGrid/>
        </w:rPr>
        <w:t>”</w:t>
      </w:r>
      <w:r>
        <w:rPr>
          <w:bCs/>
          <w:snapToGrid/>
        </w:rPr>
        <w:t>领域的制度。</w:t>
      </w:r>
    </w:p>
    <w:p w:rsidR="00000000" w:rsidRDefault="00844A84" w:rsidP="00844A84">
      <w:pPr>
        <w:ind w:firstLineChars="200" w:firstLine="31680"/>
        <w:rPr>
          <w:rFonts w:hint="eastAsia"/>
          <w:bCs/>
          <w:snapToGrid/>
        </w:rPr>
      </w:pPr>
      <w:r>
        <w:rPr>
          <w:rFonts w:hint="eastAsia"/>
          <w:bCs/>
          <w:snapToGrid/>
        </w:rPr>
        <w:t xml:space="preserve">92.  </w:t>
      </w:r>
      <w:r>
        <w:rPr>
          <w:rFonts w:hint="eastAsia"/>
          <w:bCs/>
          <w:snapToGrid/>
        </w:rPr>
        <w:t>现已制定国家劳动安全、保健和工作环境政策，以适用于经济活动各部门及其雇用的所有工</w:t>
      </w:r>
      <w:r>
        <w:rPr>
          <w:rFonts w:hint="eastAsia"/>
          <w:bCs/>
          <w:snapToGrid/>
          <w:spacing w:val="14"/>
        </w:rPr>
        <w:t>作人员的劳动安全。现已制定了实施这些政策的措施。特别视察制度确保法律和条例得到执行。已在公司一级</w:t>
      </w:r>
      <w:r>
        <w:rPr>
          <w:rFonts w:hint="eastAsia"/>
          <w:bCs/>
          <w:snapToGrid/>
          <w:spacing w:val="14"/>
        </w:rPr>
        <w:t>设想各种措施，确保通过满足雇员的某些要求并通过雇主与工人即他们在公司的代表进行合作，确保</w:t>
      </w:r>
      <w:r>
        <w:rPr>
          <w:rFonts w:hint="eastAsia"/>
          <w:bCs/>
          <w:snapToGrid/>
        </w:rPr>
        <w:t>劳动安全制度的运作。</w:t>
      </w:r>
    </w:p>
    <w:p w:rsidR="00000000" w:rsidRDefault="00844A84" w:rsidP="00844A84">
      <w:pPr>
        <w:spacing w:after="320"/>
        <w:ind w:firstLineChars="200" w:firstLine="31680"/>
        <w:rPr>
          <w:bCs/>
          <w:snapToGrid/>
        </w:rPr>
      </w:pPr>
      <w:r>
        <w:rPr>
          <w:rFonts w:hint="eastAsia"/>
          <w:bCs/>
          <w:snapToGrid/>
        </w:rPr>
        <w:t xml:space="preserve">93.  </w:t>
      </w:r>
      <w:r>
        <w:rPr>
          <w:rFonts w:hint="eastAsia"/>
          <w:bCs/>
          <w:snapToGrid/>
        </w:rPr>
        <w:t>特别保护制度确保：</w:t>
      </w:r>
      <w:r>
        <w:rPr>
          <w:rFonts w:hint="eastAsia"/>
          <w:bCs/>
          <w:snapToGrid/>
        </w:rPr>
        <w:t xml:space="preserve">(a) </w:t>
      </w:r>
      <w:r>
        <w:rPr>
          <w:rFonts w:hint="eastAsia"/>
          <w:bCs/>
          <w:snapToGrid/>
        </w:rPr>
        <w:t>实施有关对生命和健康有威胁的材料</w:t>
      </w:r>
      <w:r>
        <w:rPr>
          <w:rFonts w:hint="eastAsia"/>
          <w:bCs/>
          <w:snapToGrid/>
        </w:rPr>
        <w:t>(</w:t>
      </w:r>
      <w:r>
        <w:rPr>
          <w:rFonts w:hint="eastAsia"/>
          <w:bCs/>
          <w:snapToGrid/>
        </w:rPr>
        <w:t>工作材料</w:t>
      </w:r>
      <w:r>
        <w:rPr>
          <w:rFonts w:hint="eastAsia"/>
          <w:bCs/>
          <w:snapToGrid/>
        </w:rPr>
        <w:t>)</w:t>
      </w:r>
      <w:r>
        <w:rPr>
          <w:rFonts w:hint="eastAsia"/>
          <w:bCs/>
          <w:snapToGrid/>
        </w:rPr>
        <w:t>和机械的使用标准；以及</w:t>
      </w:r>
      <w:r>
        <w:rPr>
          <w:rFonts w:hint="eastAsia"/>
          <w:bCs/>
          <w:snapToGrid/>
        </w:rPr>
        <w:t xml:space="preserve">(b) </w:t>
      </w:r>
      <w:r>
        <w:rPr>
          <w:rFonts w:hint="eastAsia"/>
          <w:bCs/>
          <w:snapToGrid/>
        </w:rPr>
        <w:t>实施有关一些活动例如某类工作中固有危险的标准。例如，第一类保护制度涉及保护免受采用白铅粉染色工艺、苯中毒、使用致癌物质以及接触石棉</w:t>
      </w:r>
      <w:r>
        <w:rPr>
          <w:bCs/>
          <w:snapToGrid/>
        </w:rPr>
        <w:t>之害</w:t>
      </w:r>
      <w:r>
        <w:rPr>
          <w:rFonts w:hint="eastAsia"/>
          <w:bCs/>
          <w:snapToGrid/>
        </w:rPr>
        <w:t>并</w:t>
      </w:r>
      <w:r>
        <w:rPr>
          <w:bCs/>
          <w:snapToGrid/>
        </w:rPr>
        <w:t>保护免受化学</w:t>
      </w:r>
      <w:r>
        <w:rPr>
          <w:rFonts w:hint="eastAsia"/>
          <w:bCs/>
          <w:snapToGrid/>
        </w:rPr>
        <w:t>工序</w:t>
      </w:r>
      <w:r>
        <w:rPr>
          <w:bCs/>
          <w:snapToGrid/>
        </w:rPr>
        <w:t>有害影响</w:t>
      </w:r>
      <w:r>
        <w:rPr>
          <w:rFonts w:hint="eastAsia"/>
          <w:bCs/>
          <w:snapToGrid/>
        </w:rPr>
        <w:t>，</w:t>
      </w:r>
      <w:r>
        <w:rPr>
          <w:bCs/>
          <w:snapToGrid/>
        </w:rPr>
        <w:t>包括保护</w:t>
      </w:r>
      <w:r>
        <w:rPr>
          <w:rFonts w:hint="eastAsia"/>
          <w:bCs/>
          <w:snapToGrid/>
        </w:rPr>
        <w:t>机械</w:t>
      </w:r>
      <w:r>
        <w:rPr>
          <w:bCs/>
          <w:snapToGrid/>
        </w:rPr>
        <w:t>和保护免受工作环境中</w:t>
      </w:r>
      <w:r>
        <w:rPr>
          <w:rFonts w:hint="eastAsia"/>
          <w:bCs/>
          <w:snapToGrid/>
        </w:rPr>
        <w:t>的</w:t>
      </w:r>
      <w:r>
        <w:rPr>
          <w:bCs/>
          <w:snapToGrid/>
        </w:rPr>
        <w:t>职业</w:t>
      </w:r>
      <w:r>
        <w:rPr>
          <w:rFonts w:hint="eastAsia"/>
          <w:bCs/>
          <w:snapToGrid/>
        </w:rPr>
        <w:t>性</w:t>
      </w:r>
      <w:r>
        <w:rPr>
          <w:bCs/>
          <w:snapToGrid/>
        </w:rPr>
        <w:t>危险。这类保护</w:t>
      </w:r>
      <w:r>
        <w:rPr>
          <w:rFonts w:hint="eastAsia"/>
          <w:bCs/>
          <w:snapToGrid/>
        </w:rPr>
        <w:t>还包括</w:t>
      </w:r>
      <w:r>
        <w:rPr>
          <w:bCs/>
          <w:snapToGrid/>
        </w:rPr>
        <w:t>保护工作场所的工人并</w:t>
      </w:r>
      <w:r>
        <w:rPr>
          <w:rFonts w:hint="eastAsia"/>
          <w:bCs/>
          <w:snapToGrid/>
        </w:rPr>
        <w:t>涉及</w:t>
      </w:r>
      <w:r>
        <w:rPr>
          <w:bCs/>
          <w:snapToGrid/>
        </w:rPr>
        <w:t>劳</w:t>
      </w:r>
      <w:r>
        <w:rPr>
          <w:rFonts w:hint="eastAsia"/>
          <w:bCs/>
          <w:snapToGrid/>
        </w:rPr>
        <w:t>保医学</w:t>
      </w:r>
      <w:r>
        <w:rPr>
          <w:bCs/>
          <w:snapToGrid/>
        </w:rPr>
        <w:t>。保护还涉及</w:t>
      </w:r>
      <w:r>
        <w:rPr>
          <w:rFonts w:hint="eastAsia"/>
          <w:bCs/>
          <w:snapToGrid/>
        </w:rPr>
        <w:t>提供</w:t>
      </w:r>
      <w:r>
        <w:rPr>
          <w:bCs/>
          <w:snapToGrid/>
        </w:rPr>
        <w:t>社会服务和创造有利于劳</w:t>
      </w:r>
      <w:r>
        <w:rPr>
          <w:bCs/>
          <w:snapToGrid/>
        </w:rPr>
        <w:t>工</w:t>
      </w:r>
      <w:r>
        <w:rPr>
          <w:rFonts w:hint="eastAsia"/>
          <w:bCs/>
          <w:snapToGrid/>
        </w:rPr>
        <w:t>的</w:t>
      </w:r>
      <w:r>
        <w:rPr>
          <w:bCs/>
          <w:snapToGrid/>
        </w:rPr>
        <w:t>工作和居住条件。另一类保护</w:t>
      </w:r>
      <w:r>
        <w:rPr>
          <w:rFonts w:hint="eastAsia"/>
          <w:bCs/>
          <w:snapToGrid/>
        </w:rPr>
        <w:t>制度</w:t>
      </w:r>
      <w:r>
        <w:rPr>
          <w:bCs/>
          <w:snapToGrid/>
        </w:rPr>
        <w:t>涉及保护</w:t>
      </w:r>
      <w:r>
        <w:rPr>
          <w:rFonts w:hint="eastAsia"/>
          <w:bCs/>
          <w:snapToGrid/>
        </w:rPr>
        <w:t>海员</w:t>
      </w:r>
      <w:r>
        <w:rPr>
          <w:bCs/>
          <w:snapToGrid/>
        </w:rPr>
        <w:t>、渔民、旅店、</w:t>
      </w:r>
      <w:r>
        <w:rPr>
          <w:rFonts w:hint="eastAsia"/>
          <w:bCs/>
          <w:snapToGrid/>
        </w:rPr>
        <w:t>餐馆</w:t>
      </w:r>
      <w:r>
        <w:rPr>
          <w:bCs/>
          <w:snapToGrid/>
        </w:rPr>
        <w:t>和类似设施的工作条件。</w:t>
      </w:r>
    </w:p>
    <w:p w:rsidR="00000000" w:rsidRDefault="00844A84">
      <w:pPr>
        <w:pStyle w:val="Heading4"/>
        <w:rPr>
          <w:rFonts w:hint="eastAsia"/>
          <w:snapToGrid/>
        </w:rPr>
      </w:pPr>
      <w:r>
        <w:rPr>
          <w:snapToGrid/>
          <w:u w:val="none"/>
        </w:rPr>
        <w:t xml:space="preserve">(j)  </w:t>
      </w:r>
      <w:r>
        <w:rPr>
          <w:rFonts w:hint="eastAsia"/>
          <w:snapToGrid/>
        </w:rPr>
        <w:t>关于劳动安全的法律</w:t>
      </w:r>
    </w:p>
    <w:p w:rsidR="00000000" w:rsidRDefault="00844A84" w:rsidP="00844A84">
      <w:pPr>
        <w:ind w:firstLineChars="200" w:firstLine="31680"/>
        <w:rPr>
          <w:rFonts w:hint="eastAsia"/>
          <w:bCs/>
          <w:snapToGrid/>
        </w:rPr>
      </w:pPr>
      <w:r>
        <w:rPr>
          <w:rFonts w:hint="eastAsia"/>
          <w:bCs/>
          <w:snapToGrid/>
        </w:rPr>
        <w:t xml:space="preserve">94.  </w:t>
      </w:r>
      <w:r>
        <w:rPr>
          <w:rFonts w:hint="eastAsia"/>
          <w:bCs/>
          <w:snapToGrid/>
        </w:rPr>
        <w:t>南斯拉夫联盟共和国批准了劳动安全领域的</w:t>
      </w:r>
      <w:r>
        <w:rPr>
          <w:rFonts w:hint="eastAsia"/>
          <w:bCs/>
          <w:snapToGrid/>
        </w:rPr>
        <w:t>17</w:t>
      </w:r>
      <w:r>
        <w:rPr>
          <w:rFonts w:hint="eastAsia"/>
          <w:bCs/>
          <w:snapToGrid/>
        </w:rPr>
        <w:t>项公约。这些公约涉及以下三个领域：技术保护、卫生和健康保护以及社会保护。</w:t>
      </w:r>
    </w:p>
    <w:p w:rsidR="00000000" w:rsidRDefault="00844A84" w:rsidP="00844A84">
      <w:pPr>
        <w:ind w:firstLineChars="200" w:firstLine="31680"/>
        <w:rPr>
          <w:rFonts w:hint="eastAsia"/>
          <w:bCs/>
          <w:snapToGrid/>
        </w:rPr>
      </w:pPr>
      <w:r>
        <w:rPr>
          <w:bCs/>
          <w:snapToGrid/>
        </w:rPr>
        <w:t>95.</w:t>
      </w:r>
      <w:r>
        <w:rPr>
          <w:rFonts w:hint="eastAsia"/>
          <w:bCs/>
          <w:snapToGrid/>
        </w:rPr>
        <w:t xml:space="preserve">  </w:t>
      </w:r>
      <w:r>
        <w:rPr>
          <w:bCs/>
          <w:snapToGrid/>
        </w:rPr>
        <w:t>按照各项法律，劳动安全权利就本质而言是雇员因从事工作而获得的权利。《劳工关系基本原则法》</w:t>
      </w:r>
      <w:r>
        <w:rPr>
          <w:bCs/>
          <w:snapToGrid/>
        </w:rPr>
        <w:t>(</w:t>
      </w:r>
      <w:r>
        <w:rPr>
          <w:bCs/>
          <w:snapToGrid/>
        </w:rPr>
        <w:t>《南斯拉夫联盟共和国政府公报》第</w:t>
      </w:r>
      <w:r>
        <w:rPr>
          <w:bCs/>
          <w:snapToGrid/>
        </w:rPr>
        <w:t>29/96</w:t>
      </w:r>
      <w:r>
        <w:rPr>
          <w:rFonts w:hint="eastAsia"/>
          <w:bCs/>
          <w:snapToGrid/>
        </w:rPr>
        <w:t>号</w:t>
      </w:r>
      <w:r>
        <w:rPr>
          <w:bCs/>
          <w:snapToGrid/>
        </w:rPr>
        <w:t>)</w:t>
      </w:r>
      <w:r>
        <w:rPr>
          <w:bCs/>
          <w:snapToGrid/>
        </w:rPr>
        <w:t>规定，</w:t>
      </w:r>
      <w:r>
        <w:rPr>
          <w:rFonts w:hint="eastAsia"/>
          <w:bCs/>
          <w:snapToGrid/>
        </w:rPr>
        <w:t>“</w:t>
      </w:r>
      <w:r>
        <w:rPr>
          <w:bCs/>
          <w:snapToGrid/>
        </w:rPr>
        <w:t>雇员有权享有</w:t>
      </w:r>
      <w:r>
        <w:rPr>
          <w:bCs/>
          <w:snapToGrid/>
        </w:rPr>
        <w:t>……</w:t>
      </w:r>
      <w:r>
        <w:rPr>
          <w:bCs/>
          <w:snapToGrid/>
        </w:rPr>
        <w:t>劳动安全权</w:t>
      </w:r>
      <w:r>
        <w:rPr>
          <w:rFonts w:hint="eastAsia"/>
          <w:bCs/>
          <w:snapToGrid/>
        </w:rPr>
        <w:t>”</w:t>
      </w:r>
      <w:r>
        <w:rPr>
          <w:bCs/>
          <w:snapToGrid/>
        </w:rPr>
        <w:t>(</w:t>
      </w:r>
      <w:r>
        <w:rPr>
          <w:bCs/>
          <w:snapToGrid/>
        </w:rPr>
        <w:t>第</w:t>
      </w:r>
      <w:r>
        <w:rPr>
          <w:bCs/>
          <w:snapToGrid/>
        </w:rPr>
        <w:t>3</w:t>
      </w:r>
      <w:r>
        <w:rPr>
          <w:bCs/>
          <w:snapToGrid/>
        </w:rPr>
        <w:t>条</w:t>
      </w:r>
      <w:r>
        <w:rPr>
          <w:bCs/>
          <w:snapToGrid/>
        </w:rPr>
        <w:t>)</w:t>
      </w:r>
      <w:r>
        <w:rPr>
          <w:bCs/>
          <w:snapToGrid/>
        </w:rPr>
        <w:t>，第</w:t>
      </w:r>
      <w:r>
        <w:rPr>
          <w:bCs/>
          <w:snapToGrid/>
        </w:rPr>
        <w:t>33</w:t>
      </w:r>
      <w:r>
        <w:rPr>
          <w:bCs/>
          <w:snapToGrid/>
        </w:rPr>
        <w:t>和</w:t>
      </w:r>
      <w:r>
        <w:rPr>
          <w:rFonts w:hint="eastAsia"/>
          <w:bCs/>
          <w:snapToGrid/>
        </w:rPr>
        <w:t>第</w:t>
      </w:r>
      <w:r>
        <w:rPr>
          <w:bCs/>
          <w:snapToGrid/>
        </w:rPr>
        <w:t>34</w:t>
      </w:r>
      <w:r>
        <w:rPr>
          <w:bCs/>
          <w:snapToGrid/>
        </w:rPr>
        <w:t>条则载有为雇员的劳动安全创造条件的基本原则。</w:t>
      </w:r>
      <w:r>
        <w:rPr>
          <w:rFonts w:hint="eastAsia"/>
          <w:bCs/>
          <w:snapToGrid/>
        </w:rPr>
        <w:t>“</w:t>
      </w:r>
      <w:r>
        <w:rPr>
          <w:bCs/>
          <w:snapToGrid/>
        </w:rPr>
        <w:t>雇主必须按照法</w:t>
      </w:r>
      <w:r>
        <w:rPr>
          <w:bCs/>
          <w:snapToGrid/>
        </w:rPr>
        <w:t>律和劳动安全措施及标准的规定</w:t>
      </w:r>
      <w:r>
        <w:rPr>
          <w:rFonts w:hint="eastAsia"/>
          <w:bCs/>
          <w:snapToGrid/>
        </w:rPr>
        <w:t>，</w:t>
      </w:r>
      <w:r>
        <w:rPr>
          <w:bCs/>
          <w:snapToGrid/>
        </w:rPr>
        <w:t>确保创造必要</w:t>
      </w:r>
      <w:r>
        <w:rPr>
          <w:rFonts w:hint="eastAsia"/>
          <w:bCs/>
          <w:snapToGrid/>
        </w:rPr>
        <w:t>的</w:t>
      </w:r>
      <w:r>
        <w:rPr>
          <w:bCs/>
          <w:snapToGrid/>
        </w:rPr>
        <w:t>劳动安全条件</w:t>
      </w:r>
      <w:r>
        <w:rPr>
          <w:rFonts w:hint="eastAsia"/>
          <w:bCs/>
          <w:snapToGrid/>
        </w:rPr>
        <w:t>”</w:t>
      </w:r>
      <w:r>
        <w:rPr>
          <w:bCs/>
          <w:snapToGrid/>
        </w:rPr>
        <w:t>(</w:t>
      </w:r>
      <w:r>
        <w:rPr>
          <w:bCs/>
          <w:snapToGrid/>
        </w:rPr>
        <w:t>第</w:t>
      </w:r>
      <w:r>
        <w:rPr>
          <w:bCs/>
          <w:snapToGrid/>
        </w:rPr>
        <w:t>33</w:t>
      </w:r>
      <w:r>
        <w:rPr>
          <w:bCs/>
          <w:snapToGrid/>
        </w:rPr>
        <w:t>条，第</w:t>
      </w:r>
      <w:r>
        <w:rPr>
          <w:bCs/>
          <w:snapToGrid/>
        </w:rPr>
        <w:t>1</w:t>
      </w:r>
      <w:r>
        <w:rPr>
          <w:bCs/>
          <w:snapToGrid/>
        </w:rPr>
        <w:t>款</w:t>
      </w:r>
      <w:r>
        <w:rPr>
          <w:bCs/>
          <w:snapToGrid/>
        </w:rPr>
        <w:t>)</w:t>
      </w:r>
      <w:r>
        <w:rPr>
          <w:bCs/>
          <w:snapToGrid/>
        </w:rPr>
        <w:t>。</w:t>
      </w:r>
      <w:r>
        <w:rPr>
          <w:rFonts w:hint="eastAsia"/>
          <w:bCs/>
          <w:snapToGrid/>
        </w:rPr>
        <w:t>“</w:t>
      </w:r>
      <w:r>
        <w:rPr>
          <w:bCs/>
          <w:snapToGrid/>
        </w:rPr>
        <w:t>雇主必须熟悉雇员工作场所</w:t>
      </w:r>
      <w:r>
        <w:rPr>
          <w:rFonts w:hint="eastAsia"/>
          <w:bCs/>
          <w:snapToGrid/>
        </w:rPr>
        <w:t>对其</w:t>
      </w:r>
      <w:r>
        <w:rPr>
          <w:bCs/>
          <w:snapToGrid/>
        </w:rPr>
        <w:t>生命和健康的一切</w:t>
      </w:r>
      <w:r>
        <w:rPr>
          <w:rFonts w:hint="eastAsia"/>
          <w:bCs/>
          <w:snapToGrid/>
        </w:rPr>
        <w:t>威胁因素</w:t>
      </w:r>
      <w:r>
        <w:rPr>
          <w:bCs/>
          <w:snapToGrid/>
        </w:rPr>
        <w:t>，并</w:t>
      </w:r>
      <w:r>
        <w:rPr>
          <w:rFonts w:hint="eastAsia"/>
          <w:bCs/>
          <w:snapToGrid/>
        </w:rPr>
        <w:t>熟悉</w:t>
      </w:r>
      <w:r>
        <w:rPr>
          <w:bCs/>
          <w:snapToGrid/>
        </w:rPr>
        <w:t>他们</w:t>
      </w:r>
      <w:r>
        <w:rPr>
          <w:rFonts w:hint="eastAsia"/>
          <w:bCs/>
          <w:snapToGrid/>
        </w:rPr>
        <w:t>与</w:t>
      </w:r>
      <w:r>
        <w:rPr>
          <w:bCs/>
          <w:snapToGrid/>
        </w:rPr>
        <w:t>劳动安全及工作条件有关的权利和义务</w:t>
      </w:r>
      <w:r>
        <w:rPr>
          <w:rFonts w:hint="eastAsia"/>
          <w:bCs/>
          <w:snapToGrid/>
        </w:rPr>
        <w:t>”</w:t>
      </w:r>
      <w:r>
        <w:rPr>
          <w:bCs/>
          <w:snapToGrid/>
        </w:rPr>
        <w:t>(</w:t>
      </w:r>
      <w:r>
        <w:rPr>
          <w:bCs/>
          <w:snapToGrid/>
        </w:rPr>
        <w:t>第</w:t>
      </w:r>
      <w:r>
        <w:rPr>
          <w:bCs/>
          <w:snapToGrid/>
        </w:rPr>
        <w:t>44</w:t>
      </w:r>
      <w:r>
        <w:rPr>
          <w:bCs/>
          <w:snapToGrid/>
        </w:rPr>
        <w:t>条，第</w:t>
      </w:r>
      <w:r>
        <w:rPr>
          <w:bCs/>
          <w:snapToGrid/>
        </w:rPr>
        <w:t>1</w:t>
      </w:r>
      <w:r>
        <w:rPr>
          <w:bCs/>
          <w:snapToGrid/>
        </w:rPr>
        <w:t>款</w:t>
      </w:r>
      <w:r>
        <w:rPr>
          <w:bCs/>
          <w:snapToGrid/>
        </w:rPr>
        <w:t>)</w:t>
      </w:r>
      <w:r>
        <w:rPr>
          <w:bCs/>
          <w:snapToGrid/>
        </w:rPr>
        <w:t>。</w:t>
      </w:r>
    </w:p>
    <w:p w:rsidR="00000000" w:rsidRDefault="00844A84" w:rsidP="00844A84">
      <w:pPr>
        <w:ind w:firstLineChars="200" w:firstLine="31680"/>
        <w:rPr>
          <w:rFonts w:hint="eastAsia"/>
          <w:bCs/>
          <w:snapToGrid/>
        </w:rPr>
      </w:pPr>
      <w:r>
        <w:rPr>
          <w:rFonts w:hint="eastAsia"/>
          <w:bCs/>
          <w:snapToGrid/>
        </w:rPr>
        <w:t xml:space="preserve">96.  </w:t>
      </w:r>
      <w:r>
        <w:rPr>
          <w:rFonts w:hint="eastAsia"/>
          <w:bCs/>
          <w:snapToGrid/>
        </w:rPr>
        <w:t>《劳工关系法》</w:t>
      </w:r>
      <w:r>
        <w:rPr>
          <w:rFonts w:hint="eastAsia"/>
          <w:bCs/>
          <w:snapToGrid/>
        </w:rPr>
        <w:t>(</w:t>
      </w:r>
      <w:r>
        <w:rPr>
          <w:rFonts w:hint="eastAsia"/>
          <w:bCs/>
          <w:snapToGrid/>
        </w:rPr>
        <w:t>《塞尔维亚共和国政府公报》第</w:t>
      </w:r>
      <w:r>
        <w:rPr>
          <w:rFonts w:hint="eastAsia"/>
          <w:bCs/>
          <w:snapToGrid/>
        </w:rPr>
        <w:t>55/</w:t>
      </w:r>
      <w:r>
        <w:rPr>
          <w:bCs/>
          <w:snapToGrid/>
        </w:rPr>
        <w:t>96</w:t>
      </w:r>
      <w:r>
        <w:rPr>
          <w:rFonts w:hint="eastAsia"/>
          <w:bCs/>
          <w:snapToGrid/>
        </w:rPr>
        <w:t>号</w:t>
      </w:r>
      <w:r>
        <w:rPr>
          <w:bCs/>
          <w:snapToGrid/>
        </w:rPr>
        <w:t>)</w:t>
      </w:r>
      <w:r>
        <w:rPr>
          <w:bCs/>
          <w:snapToGrid/>
        </w:rPr>
        <w:t>铭记《劳工关系基本原则法》的上述条款，规定</w:t>
      </w:r>
      <w:r>
        <w:rPr>
          <w:rFonts w:hint="eastAsia"/>
          <w:bCs/>
          <w:snapToGrid/>
        </w:rPr>
        <w:t>“</w:t>
      </w:r>
      <w:r>
        <w:rPr>
          <w:bCs/>
          <w:snapToGrid/>
        </w:rPr>
        <w:t>只有</w:t>
      </w:r>
      <w:r>
        <w:rPr>
          <w:rFonts w:hint="eastAsia"/>
          <w:bCs/>
          <w:snapToGrid/>
        </w:rPr>
        <w:t>在</w:t>
      </w:r>
      <w:r>
        <w:rPr>
          <w:bCs/>
          <w:snapToGrid/>
        </w:rPr>
        <w:t>雇员除了符合集体协定规定的条件外，还符合有关健康、心理能力和年龄</w:t>
      </w:r>
      <w:r>
        <w:rPr>
          <w:rFonts w:hint="eastAsia"/>
          <w:bCs/>
          <w:snapToGrid/>
        </w:rPr>
        <w:t>等</w:t>
      </w:r>
      <w:r>
        <w:rPr>
          <w:bCs/>
          <w:snapToGrid/>
        </w:rPr>
        <w:t>各项工作要求</w:t>
      </w:r>
      <w:r>
        <w:rPr>
          <w:rFonts w:hint="eastAsia"/>
          <w:bCs/>
          <w:snapToGrid/>
        </w:rPr>
        <w:t>时</w:t>
      </w:r>
      <w:r>
        <w:rPr>
          <w:bCs/>
          <w:snapToGrid/>
        </w:rPr>
        <w:t>，才</w:t>
      </w:r>
      <w:r>
        <w:rPr>
          <w:rFonts w:hint="eastAsia"/>
          <w:bCs/>
          <w:snapToGrid/>
        </w:rPr>
        <w:t>得将之</w:t>
      </w:r>
      <w:r>
        <w:rPr>
          <w:bCs/>
          <w:snapToGrid/>
        </w:rPr>
        <w:t>分配到存在着受伤或感染职业病或其他疾病</w:t>
      </w:r>
      <w:r>
        <w:rPr>
          <w:rFonts w:hint="eastAsia"/>
          <w:bCs/>
          <w:snapToGrid/>
        </w:rPr>
        <w:t>的</w:t>
      </w:r>
      <w:r>
        <w:rPr>
          <w:bCs/>
          <w:snapToGrid/>
        </w:rPr>
        <w:t>危险性</w:t>
      </w:r>
      <w:r>
        <w:rPr>
          <w:rFonts w:hint="eastAsia"/>
          <w:bCs/>
          <w:snapToGrid/>
        </w:rPr>
        <w:t>较</w:t>
      </w:r>
      <w:r>
        <w:rPr>
          <w:bCs/>
          <w:snapToGrid/>
        </w:rPr>
        <w:t>大的工作场所工作</w:t>
      </w:r>
      <w:r>
        <w:rPr>
          <w:rFonts w:hint="eastAsia"/>
          <w:bCs/>
          <w:snapToGrid/>
        </w:rPr>
        <w:t>”</w:t>
      </w:r>
      <w:r>
        <w:rPr>
          <w:bCs/>
          <w:snapToGrid/>
        </w:rPr>
        <w:t>(</w:t>
      </w:r>
      <w:r>
        <w:rPr>
          <w:bCs/>
          <w:snapToGrid/>
        </w:rPr>
        <w:t>第</w:t>
      </w:r>
      <w:r>
        <w:rPr>
          <w:bCs/>
          <w:snapToGrid/>
        </w:rPr>
        <w:t>73</w:t>
      </w:r>
      <w:r>
        <w:rPr>
          <w:bCs/>
          <w:snapToGrid/>
        </w:rPr>
        <w:t>条</w:t>
      </w:r>
      <w:r>
        <w:rPr>
          <w:bCs/>
          <w:snapToGrid/>
        </w:rPr>
        <w:t>)</w:t>
      </w:r>
      <w:r>
        <w:rPr>
          <w:bCs/>
          <w:snapToGrid/>
        </w:rPr>
        <w:t>。</w:t>
      </w:r>
    </w:p>
    <w:p w:rsidR="00000000" w:rsidRDefault="00844A84" w:rsidP="00844A84">
      <w:pPr>
        <w:ind w:firstLineChars="200" w:firstLine="31680"/>
        <w:rPr>
          <w:rFonts w:hint="eastAsia"/>
          <w:bCs/>
          <w:snapToGrid/>
        </w:rPr>
      </w:pPr>
      <w:r>
        <w:rPr>
          <w:rFonts w:hint="eastAsia"/>
          <w:bCs/>
          <w:snapToGrid/>
        </w:rPr>
        <w:t xml:space="preserve">97.  </w:t>
      </w:r>
      <w:r>
        <w:rPr>
          <w:rFonts w:hint="eastAsia"/>
          <w:bCs/>
          <w:snapToGrid/>
        </w:rPr>
        <w:t>工作</w:t>
      </w:r>
      <w:r>
        <w:rPr>
          <w:rFonts w:hint="eastAsia"/>
          <w:bCs/>
          <w:snapToGrid/>
        </w:rPr>
        <w:t>场所的安全和保健系统涉及各类工作人员。不同的条例规定了南斯拉夫军队成员以及在南斯拉夫军队服务的文职人员的劳动安全。</w:t>
      </w:r>
    </w:p>
    <w:p w:rsidR="00000000" w:rsidRDefault="00844A84" w:rsidP="00844A84">
      <w:pPr>
        <w:ind w:firstLineChars="200" w:firstLine="31680"/>
        <w:rPr>
          <w:rFonts w:hint="eastAsia"/>
          <w:bCs/>
          <w:snapToGrid/>
        </w:rPr>
      </w:pPr>
      <w:r>
        <w:rPr>
          <w:rFonts w:hint="eastAsia"/>
          <w:bCs/>
          <w:snapToGrid/>
        </w:rPr>
        <w:t xml:space="preserve">98.  </w:t>
      </w:r>
      <w:r>
        <w:rPr>
          <w:rFonts w:hint="eastAsia"/>
          <w:bCs/>
          <w:snapToGrid/>
        </w:rPr>
        <w:t>按上述各项条例，为保护雇员的生命和健康，雇主必须确保劳动安全的必要条件，另一方面，雇员则必须遵守劳动安全领域的条例，维护自己的工作能力、健康和生命。</w:t>
      </w:r>
    </w:p>
    <w:p w:rsidR="00000000" w:rsidRDefault="00844A84" w:rsidP="00844A84">
      <w:pPr>
        <w:ind w:firstLineChars="200" w:firstLine="31680"/>
        <w:rPr>
          <w:rFonts w:hint="eastAsia"/>
          <w:bCs/>
          <w:snapToGrid/>
        </w:rPr>
      </w:pPr>
      <w:r>
        <w:rPr>
          <w:rFonts w:hint="eastAsia"/>
          <w:bCs/>
          <w:snapToGrid/>
        </w:rPr>
        <w:t xml:space="preserve">99.  </w:t>
      </w:r>
      <w:r>
        <w:rPr>
          <w:rFonts w:hint="eastAsia"/>
          <w:bCs/>
          <w:snapToGrid/>
        </w:rPr>
        <w:t>雇主如不执行劳动安全和保健措施，则可按犯轻罪或经济罪而受到惩处。劳工视察事务处禁止在对工作人员生命和健康存在危险的工作场所工作，直到这种危险消除后为止。</w:t>
      </w:r>
    </w:p>
    <w:p w:rsidR="00000000" w:rsidRDefault="00844A84" w:rsidP="00844A84">
      <w:pPr>
        <w:ind w:firstLineChars="200" w:firstLine="31680"/>
        <w:rPr>
          <w:rFonts w:hint="eastAsia"/>
          <w:bCs/>
          <w:snapToGrid/>
        </w:rPr>
      </w:pPr>
      <w:r>
        <w:rPr>
          <w:bCs/>
          <w:snapToGrid/>
        </w:rPr>
        <w:t>100.</w:t>
      </w:r>
      <w:r>
        <w:rPr>
          <w:rFonts w:hint="eastAsia"/>
          <w:bCs/>
          <w:snapToGrid/>
        </w:rPr>
        <w:t xml:space="preserve">  </w:t>
      </w:r>
      <w:r>
        <w:rPr>
          <w:bCs/>
          <w:snapToGrid/>
        </w:rPr>
        <w:t>按照</w:t>
      </w:r>
      <w:r>
        <w:rPr>
          <w:rFonts w:hint="eastAsia"/>
          <w:bCs/>
          <w:snapToGrid/>
        </w:rPr>
        <w:t>《</w:t>
      </w:r>
      <w:r>
        <w:rPr>
          <w:bCs/>
          <w:snapToGrid/>
        </w:rPr>
        <w:t>南斯拉夫联盟共和国宪法》、《塞尔维亚共和国宪法》、</w:t>
      </w:r>
      <w:r>
        <w:rPr>
          <w:rFonts w:hint="eastAsia"/>
          <w:bCs/>
          <w:snapToGrid/>
        </w:rPr>
        <w:t>《</w:t>
      </w:r>
      <w:r>
        <w:rPr>
          <w:bCs/>
          <w:snapToGrid/>
        </w:rPr>
        <w:t>劳</w:t>
      </w:r>
      <w:r>
        <w:rPr>
          <w:bCs/>
          <w:snapToGrid/>
        </w:rPr>
        <w:t>工基本原则法》以及</w:t>
      </w:r>
      <w:r>
        <w:rPr>
          <w:rFonts w:hint="eastAsia"/>
          <w:bCs/>
          <w:snapToGrid/>
        </w:rPr>
        <w:t>《</w:t>
      </w:r>
      <w:r>
        <w:rPr>
          <w:bCs/>
          <w:snapToGrid/>
        </w:rPr>
        <w:t>劳工关系法》，塞尔维亚共和国的劳动安全系统由《劳动安全法》规定。该项法律规定</w:t>
      </w:r>
      <w:r>
        <w:rPr>
          <w:rFonts w:hint="eastAsia"/>
          <w:bCs/>
          <w:snapToGrid/>
        </w:rPr>
        <w:t>了</w:t>
      </w:r>
      <w:r>
        <w:rPr>
          <w:bCs/>
          <w:snapToGrid/>
        </w:rPr>
        <w:t>：</w:t>
      </w:r>
    </w:p>
    <w:p w:rsidR="00000000" w:rsidRDefault="00844A84">
      <w:pPr>
        <w:numPr>
          <w:ilvl w:val="0"/>
          <w:numId w:val="519"/>
        </w:numPr>
        <w:tabs>
          <w:tab w:val="clear" w:pos="1531"/>
        </w:tabs>
        <w:rPr>
          <w:rFonts w:hint="eastAsia"/>
          <w:snapToGrid/>
        </w:rPr>
      </w:pPr>
      <w:r>
        <w:rPr>
          <w:rFonts w:hint="eastAsia"/>
          <w:snapToGrid/>
        </w:rPr>
        <w:t>工人关于实施劳动安全的权利和义务；</w:t>
      </w:r>
    </w:p>
    <w:p w:rsidR="00000000" w:rsidRDefault="00844A84">
      <w:pPr>
        <w:numPr>
          <w:ilvl w:val="0"/>
          <w:numId w:val="519"/>
        </w:numPr>
        <w:tabs>
          <w:tab w:val="clear" w:pos="1531"/>
        </w:tabs>
        <w:rPr>
          <w:rFonts w:hint="eastAsia"/>
          <w:snapToGrid/>
        </w:rPr>
      </w:pPr>
      <w:r>
        <w:rPr>
          <w:rFonts w:hint="eastAsia"/>
          <w:snapToGrid/>
        </w:rPr>
        <w:t>企业和其他形式的劳工组织关于确保和执行劳动安全的权利和义务。该项法律的条款也适用于行政机关、领土自治机关和地方自治政府雇用的工作人员，除非另一项法律另有规定。</w:t>
      </w:r>
    </w:p>
    <w:p w:rsidR="00000000" w:rsidRDefault="00844A84" w:rsidP="00844A84">
      <w:pPr>
        <w:ind w:firstLineChars="200" w:firstLine="31680"/>
        <w:rPr>
          <w:rFonts w:hint="eastAsia"/>
          <w:bCs/>
          <w:snapToGrid/>
        </w:rPr>
      </w:pPr>
      <w:r>
        <w:rPr>
          <w:rFonts w:hint="eastAsia"/>
          <w:bCs/>
          <w:snapToGrid/>
        </w:rPr>
        <w:t xml:space="preserve">101.  </w:t>
      </w:r>
      <w:r>
        <w:rPr>
          <w:rFonts w:hint="eastAsia"/>
          <w:bCs/>
          <w:snapToGrid/>
        </w:rPr>
        <w:t>《劳动安全法》详尽规定了：</w:t>
      </w:r>
    </w:p>
    <w:p w:rsidR="00000000" w:rsidRDefault="00844A84">
      <w:pPr>
        <w:numPr>
          <w:ilvl w:val="0"/>
          <w:numId w:val="87"/>
        </w:numPr>
        <w:tabs>
          <w:tab w:val="clear" w:pos="2051"/>
        </w:tabs>
        <w:ind w:left="1531"/>
        <w:rPr>
          <w:rFonts w:hint="eastAsia"/>
          <w:bCs/>
          <w:snapToGrid/>
        </w:rPr>
      </w:pPr>
      <w:r>
        <w:rPr>
          <w:rFonts w:hint="eastAsia"/>
          <w:bCs/>
          <w:snapToGrid/>
        </w:rPr>
        <w:t>享有劳动安全的权利；</w:t>
      </w:r>
    </w:p>
    <w:p w:rsidR="00000000" w:rsidRDefault="00844A84">
      <w:pPr>
        <w:numPr>
          <w:ilvl w:val="0"/>
          <w:numId w:val="87"/>
        </w:numPr>
        <w:tabs>
          <w:tab w:val="clear" w:pos="2051"/>
        </w:tabs>
        <w:ind w:left="1531"/>
        <w:rPr>
          <w:rFonts w:hint="eastAsia"/>
          <w:bCs/>
          <w:snapToGrid/>
        </w:rPr>
      </w:pPr>
      <w:r>
        <w:rPr>
          <w:rFonts w:hint="eastAsia"/>
          <w:bCs/>
          <w:snapToGrid/>
        </w:rPr>
        <w:t>保障劳动安全，这是指</w:t>
      </w:r>
      <w:r>
        <w:rPr>
          <w:rFonts w:hint="eastAsia"/>
          <w:bCs/>
          <w:snapToGrid/>
        </w:rPr>
        <w:t>(</w:t>
      </w:r>
      <w:r>
        <w:rPr>
          <w:rFonts w:hint="eastAsia"/>
          <w:bCs/>
          <w:snapToGrid/>
        </w:rPr>
        <w:t>包括</w:t>
      </w:r>
      <w:r>
        <w:rPr>
          <w:rFonts w:hint="eastAsia"/>
          <w:bCs/>
          <w:snapToGrid/>
        </w:rPr>
        <w:t>)</w:t>
      </w:r>
      <w:r>
        <w:rPr>
          <w:rFonts w:hint="eastAsia"/>
          <w:bCs/>
          <w:snapToGrid/>
        </w:rPr>
        <w:t>：</w:t>
      </w:r>
    </w:p>
    <w:p w:rsidR="00000000" w:rsidRDefault="00844A84" w:rsidP="00844A84">
      <w:pPr>
        <w:pStyle w:val="a0"/>
        <w:tabs>
          <w:tab w:val="clear" w:pos="510"/>
        </w:tabs>
        <w:ind w:leftChars="603" w:left="31680"/>
        <w:rPr>
          <w:rFonts w:hint="eastAsia"/>
          <w:bCs/>
          <w:snapToGrid/>
        </w:rPr>
      </w:pPr>
      <w:r>
        <w:rPr>
          <w:rFonts w:hint="eastAsia"/>
          <w:snapToGrid/>
        </w:rPr>
        <w:t>先前在建筑工程、结构和制造工具及装置、制造个人安全工具和设备以及生产和使用有毒物质期间适用的保护措施；</w:t>
      </w:r>
    </w:p>
    <w:p w:rsidR="00000000" w:rsidRDefault="00844A84" w:rsidP="00844A84">
      <w:pPr>
        <w:pStyle w:val="a0"/>
        <w:tabs>
          <w:tab w:val="clear" w:pos="510"/>
        </w:tabs>
        <w:ind w:leftChars="603" w:left="31680"/>
        <w:rPr>
          <w:rFonts w:hint="eastAsia"/>
          <w:snapToGrid/>
        </w:rPr>
      </w:pPr>
      <w:r>
        <w:rPr>
          <w:rFonts w:hint="eastAsia"/>
          <w:snapToGrid/>
        </w:rPr>
        <w:t>定期检查和测试；</w:t>
      </w:r>
    </w:p>
    <w:p w:rsidR="00000000" w:rsidRDefault="00844A84" w:rsidP="00844A84">
      <w:pPr>
        <w:pStyle w:val="a0"/>
        <w:tabs>
          <w:tab w:val="clear" w:pos="510"/>
        </w:tabs>
        <w:ind w:leftChars="603" w:left="31680"/>
        <w:rPr>
          <w:rFonts w:hint="eastAsia"/>
          <w:snapToGrid/>
        </w:rPr>
      </w:pPr>
      <w:r>
        <w:rPr>
          <w:rFonts w:hint="eastAsia"/>
          <w:snapToGrid/>
        </w:rPr>
        <w:t>工作条件特殊的工作场所；</w:t>
      </w:r>
    </w:p>
    <w:p w:rsidR="00000000" w:rsidRDefault="00844A84" w:rsidP="00844A84">
      <w:pPr>
        <w:pStyle w:val="a0"/>
        <w:tabs>
          <w:tab w:val="clear" w:pos="510"/>
        </w:tabs>
        <w:ind w:leftChars="603" w:left="31680"/>
        <w:rPr>
          <w:rFonts w:hint="eastAsia"/>
          <w:snapToGrid/>
        </w:rPr>
      </w:pPr>
      <w:r>
        <w:rPr>
          <w:rFonts w:hint="eastAsia"/>
          <w:snapToGrid/>
        </w:rPr>
        <w:t>组织开展与劳动安全有关的行动；</w:t>
      </w:r>
    </w:p>
    <w:p w:rsidR="00000000" w:rsidRDefault="00844A84" w:rsidP="00844A84">
      <w:pPr>
        <w:pStyle w:val="a0"/>
        <w:tabs>
          <w:tab w:val="clear" w:pos="510"/>
        </w:tabs>
        <w:ind w:leftChars="603" w:left="31680"/>
        <w:rPr>
          <w:rFonts w:hint="eastAsia"/>
          <w:bCs/>
          <w:snapToGrid/>
        </w:rPr>
      </w:pPr>
      <w:r>
        <w:rPr>
          <w:rFonts w:hint="eastAsia"/>
          <w:snapToGrid/>
        </w:rPr>
        <w:t>对工人进行安全工作培训；</w:t>
      </w:r>
    </w:p>
    <w:p w:rsidR="00000000" w:rsidRDefault="00844A84" w:rsidP="00844A84">
      <w:pPr>
        <w:pStyle w:val="a0"/>
        <w:tabs>
          <w:tab w:val="clear" w:pos="510"/>
        </w:tabs>
        <w:ind w:leftChars="603" w:left="31680"/>
        <w:rPr>
          <w:rFonts w:hint="eastAsia"/>
          <w:snapToGrid/>
        </w:rPr>
      </w:pPr>
      <w:r>
        <w:rPr>
          <w:rFonts w:hint="eastAsia"/>
          <w:snapToGrid/>
        </w:rPr>
        <w:t>急救和营救；</w:t>
      </w:r>
    </w:p>
    <w:p w:rsidR="00000000" w:rsidRDefault="00844A84" w:rsidP="00844A84">
      <w:pPr>
        <w:pStyle w:val="a0"/>
        <w:tabs>
          <w:tab w:val="clear" w:pos="510"/>
        </w:tabs>
        <w:ind w:leftChars="603" w:left="31680"/>
        <w:rPr>
          <w:rFonts w:hint="eastAsia"/>
          <w:bCs/>
          <w:snapToGrid/>
        </w:rPr>
      </w:pPr>
      <w:r>
        <w:rPr>
          <w:rFonts w:hint="eastAsia"/>
          <w:snapToGrid/>
        </w:rPr>
        <w:t>保存记录。</w:t>
      </w:r>
    </w:p>
    <w:p w:rsidR="00000000" w:rsidRDefault="00844A84">
      <w:pPr>
        <w:numPr>
          <w:ilvl w:val="0"/>
          <w:numId w:val="87"/>
        </w:numPr>
        <w:tabs>
          <w:tab w:val="clear" w:pos="2051"/>
        </w:tabs>
        <w:ind w:left="1531"/>
        <w:rPr>
          <w:rFonts w:hint="eastAsia"/>
          <w:bCs/>
          <w:snapToGrid/>
        </w:rPr>
      </w:pPr>
      <w:r>
        <w:rPr>
          <w:rFonts w:hint="eastAsia"/>
          <w:bCs/>
          <w:snapToGrid/>
        </w:rPr>
        <w:t>规定和实施劳动安全中的权利、义务和责任；</w:t>
      </w:r>
    </w:p>
    <w:p w:rsidR="00000000" w:rsidRDefault="00844A84">
      <w:pPr>
        <w:numPr>
          <w:ilvl w:val="0"/>
          <w:numId w:val="87"/>
        </w:numPr>
        <w:tabs>
          <w:tab w:val="clear" w:pos="2051"/>
        </w:tabs>
        <w:ind w:left="1531"/>
        <w:rPr>
          <w:rFonts w:hint="eastAsia"/>
          <w:bCs/>
          <w:snapToGrid/>
        </w:rPr>
      </w:pPr>
      <w:r>
        <w:rPr>
          <w:rFonts w:hint="eastAsia"/>
          <w:bCs/>
          <w:snapToGrid/>
        </w:rPr>
        <w:t>监督；</w:t>
      </w:r>
    </w:p>
    <w:p w:rsidR="00000000" w:rsidRDefault="00844A84">
      <w:pPr>
        <w:numPr>
          <w:ilvl w:val="0"/>
          <w:numId w:val="87"/>
        </w:numPr>
        <w:tabs>
          <w:tab w:val="clear" w:pos="2051"/>
        </w:tabs>
        <w:ind w:left="1531"/>
        <w:rPr>
          <w:rFonts w:hint="eastAsia"/>
          <w:bCs/>
          <w:snapToGrid/>
        </w:rPr>
      </w:pPr>
      <w:r>
        <w:rPr>
          <w:rFonts w:hint="eastAsia"/>
          <w:bCs/>
          <w:snapToGrid/>
        </w:rPr>
        <w:t>惩处条款。</w:t>
      </w:r>
    </w:p>
    <w:p w:rsidR="00000000" w:rsidRDefault="00844A84" w:rsidP="00844A84">
      <w:pPr>
        <w:ind w:firstLineChars="200" w:firstLine="31680"/>
        <w:rPr>
          <w:rFonts w:hint="eastAsia"/>
          <w:bCs/>
          <w:snapToGrid/>
        </w:rPr>
      </w:pPr>
      <w:r>
        <w:rPr>
          <w:bCs/>
          <w:snapToGrid/>
        </w:rPr>
        <w:t>102.</w:t>
      </w:r>
      <w:r>
        <w:rPr>
          <w:rFonts w:hint="eastAsia"/>
          <w:bCs/>
          <w:snapToGrid/>
        </w:rPr>
        <w:t xml:space="preserve">  </w:t>
      </w:r>
      <w:r>
        <w:rPr>
          <w:bCs/>
          <w:snapToGrid/>
        </w:rPr>
        <w:t>2001</w:t>
      </w:r>
      <w:r>
        <w:rPr>
          <w:bCs/>
          <w:snapToGrid/>
        </w:rPr>
        <w:t>年</w:t>
      </w:r>
      <w:r>
        <w:rPr>
          <w:bCs/>
          <w:snapToGrid/>
        </w:rPr>
        <w:t>1</w:t>
      </w:r>
      <w:r>
        <w:rPr>
          <w:bCs/>
          <w:snapToGrid/>
        </w:rPr>
        <w:t>月</w:t>
      </w:r>
      <w:r>
        <w:rPr>
          <w:bCs/>
          <w:snapToGrid/>
        </w:rPr>
        <w:t>23</w:t>
      </w:r>
      <w:r>
        <w:rPr>
          <w:bCs/>
          <w:snapToGrid/>
        </w:rPr>
        <w:t>日前，塞尔维亚共和国劳工和退伍军人事务部负责劳动安全领域的工作，</w:t>
      </w:r>
      <w:r>
        <w:rPr>
          <w:bCs/>
          <w:snapToGrid/>
        </w:rPr>
        <w:t>2001</w:t>
      </w:r>
      <w:r>
        <w:rPr>
          <w:bCs/>
          <w:snapToGrid/>
        </w:rPr>
        <w:t>年</w:t>
      </w:r>
      <w:r>
        <w:rPr>
          <w:bCs/>
          <w:snapToGrid/>
        </w:rPr>
        <w:t>1</w:t>
      </w:r>
      <w:r>
        <w:rPr>
          <w:bCs/>
          <w:snapToGrid/>
        </w:rPr>
        <w:t>月</w:t>
      </w:r>
      <w:r>
        <w:rPr>
          <w:bCs/>
          <w:snapToGrid/>
        </w:rPr>
        <w:t>24</w:t>
      </w:r>
      <w:r>
        <w:rPr>
          <w:bCs/>
          <w:snapToGrid/>
        </w:rPr>
        <w:t>日后，按《</w:t>
      </w:r>
      <w:r>
        <w:rPr>
          <w:rFonts w:hint="eastAsia"/>
          <w:bCs/>
          <w:snapToGrid/>
        </w:rPr>
        <w:t>部委</w:t>
      </w:r>
      <w:r>
        <w:rPr>
          <w:bCs/>
          <w:snapToGrid/>
        </w:rPr>
        <w:t>法修订法》的规定，塞尔维亚共和国劳工和就业部负责这一领域的工作。</w:t>
      </w:r>
    </w:p>
    <w:p w:rsidR="00000000" w:rsidRDefault="00844A84" w:rsidP="00844A84">
      <w:pPr>
        <w:ind w:firstLineChars="200" w:firstLine="31680"/>
        <w:rPr>
          <w:rFonts w:hint="eastAsia"/>
          <w:bCs/>
          <w:snapToGrid/>
        </w:rPr>
      </w:pPr>
      <w:r>
        <w:rPr>
          <w:bCs/>
          <w:snapToGrid/>
        </w:rPr>
        <w:t>103.</w:t>
      </w:r>
      <w:r>
        <w:rPr>
          <w:rFonts w:hint="eastAsia"/>
          <w:bCs/>
          <w:snapToGrid/>
        </w:rPr>
        <w:t xml:space="preserve">  </w:t>
      </w:r>
      <w:r>
        <w:rPr>
          <w:bCs/>
          <w:snapToGrid/>
        </w:rPr>
        <w:t>劳工和就业部包括劳工视察司和劳工司两个独立的组织单位。</w:t>
      </w:r>
    </w:p>
    <w:p w:rsidR="00000000" w:rsidRDefault="00844A84" w:rsidP="00844A84">
      <w:pPr>
        <w:ind w:firstLineChars="200" w:firstLine="31680"/>
        <w:rPr>
          <w:rFonts w:ascii="SimSun" w:hAnsi="SimSun" w:hint="eastAsia"/>
          <w:bCs/>
        </w:rPr>
      </w:pPr>
      <w:r>
        <w:rPr>
          <w:bCs/>
          <w:snapToGrid/>
        </w:rPr>
        <w:t>104.</w:t>
      </w:r>
      <w:r>
        <w:rPr>
          <w:rFonts w:hint="eastAsia"/>
          <w:bCs/>
          <w:snapToGrid/>
        </w:rPr>
        <w:t xml:space="preserve">  </w:t>
      </w:r>
      <w:r>
        <w:rPr>
          <w:bCs/>
          <w:snapToGrid/>
        </w:rPr>
        <w:t>塞尔维亚共和国劳工和就业部劳工视察司劳工视察员监督执行《劳工关系法</w:t>
      </w:r>
      <w:r>
        <w:rPr>
          <w:bCs/>
          <w:snapToGrid/>
        </w:rPr>
        <w:t>》、《劳动安全法》、《企业法》及《私营企业主法》以及劳动安全和劳工关系、集体协定、</w:t>
      </w:r>
      <w:r>
        <w:rPr>
          <w:rFonts w:hint="eastAsia"/>
          <w:bCs/>
          <w:snapToGrid/>
        </w:rPr>
        <w:t>普通法令</w:t>
      </w:r>
      <w:r>
        <w:rPr>
          <w:bCs/>
          <w:snapToGrid/>
        </w:rPr>
        <w:t>和雇用合同领域的其他条例。</w:t>
      </w:r>
    </w:p>
    <w:p w:rsidR="00000000" w:rsidRDefault="00844A84" w:rsidP="00844A84">
      <w:pPr>
        <w:ind w:firstLineChars="200" w:firstLine="31680"/>
        <w:rPr>
          <w:rFonts w:hint="eastAsia"/>
          <w:bCs/>
          <w:snapToGrid/>
        </w:rPr>
      </w:pPr>
      <w:r>
        <w:rPr>
          <w:bCs/>
          <w:snapToGrid/>
        </w:rPr>
        <w:t>105.</w:t>
      </w:r>
      <w:r>
        <w:rPr>
          <w:rFonts w:hint="eastAsia"/>
          <w:bCs/>
          <w:snapToGrid/>
        </w:rPr>
        <w:t xml:space="preserve">  </w:t>
      </w:r>
      <w:r>
        <w:rPr>
          <w:bCs/>
          <w:snapToGrid/>
        </w:rPr>
        <w:t>上述劳工视察司的劳工视察</w:t>
      </w:r>
      <w:r>
        <w:rPr>
          <w:rFonts w:hint="eastAsia"/>
          <w:bCs/>
          <w:snapToGrid/>
        </w:rPr>
        <w:t>事务部</w:t>
      </w:r>
      <w:r>
        <w:rPr>
          <w:bCs/>
          <w:snapToGrid/>
        </w:rPr>
        <w:t>每年向联邦主管机构提交报告，说明塞尔维亚共和国劳动安全领域的状况，塞尔维亚共和国则向国际劳工组织提交综合报告。</w:t>
      </w:r>
    </w:p>
    <w:p w:rsidR="00000000" w:rsidRDefault="00844A84" w:rsidP="00844A84">
      <w:pPr>
        <w:ind w:firstLineChars="200" w:firstLine="31680"/>
        <w:rPr>
          <w:rFonts w:hint="eastAsia"/>
          <w:bCs/>
          <w:snapToGrid/>
        </w:rPr>
      </w:pPr>
      <w:r>
        <w:rPr>
          <w:bCs/>
          <w:snapToGrid/>
        </w:rPr>
        <w:t>106.</w:t>
      </w:r>
      <w:r>
        <w:rPr>
          <w:rFonts w:hint="eastAsia"/>
          <w:bCs/>
          <w:snapToGrid/>
        </w:rPr>
        <w:t xml:space="preserve">  </w:t>
      </w:r>
      <w:r>
        <w:rPr>
          <w:bCs/>
          <w:snapToGrid/>
        </w:rPr>
        <w:t>就全</w:t>
      </w:r>
      <w:r>
        <w:rPr>
          <w:rFonts w:hint="eastAsia"/>
          <w:bCs/>
          <w:snapToGrid/>
        </w:rPr>
        <w:t>组织</w:t>
      </w:r>
      <w:r>
        <w:rPr>
          <w:bCs/>
          <w:snapToGrid/>
        </w:rPr>
        <w:t>范围而言，塞尔维亚共和国劳工视察</w:t>
      </w:r>
      <w:r>
        <w:rPr>
          <w:rFonts w:hint="eastAsia"/>
          <w:bCs/>
          <w:snapToGrid/>
        </w:rPr>
        <w:t>事务部</w:t>
      </w:r>
      <w:r>
        <w:rPr>
          <w:bCs/>
          <w:snapToGrid/>
        </w:rPr>
        <w:t>1992</w:t>
      </w:r>
      <w:r>
        <w:rPr>
          <w:bCs/>
          <w:snapToGrid/>
        </w:rPr>
        <w:t>年以来就是塞尔维亚共和国劳工和就业部劳</w:t>
      </w:r>
      <w:r>
        <w:rPr>
          <w:rFonts w:hint="eastAsia"/>
          <w:bCs/>
          <w:snapToGrid/>
        </w:rPr>
        <w:t>工</w:t>
      </w:r>
      <w:r>
        <w:rPr>
          <w:bCs/>
          <w:snapToGrid/>
        </w:rPr>
        <w:t>视察</w:t>
      </w:r>
      <w:r>
        <w:rPr>
          <w:rFonts w:hint="eastAsia"/>
          <w:bCs/>
          <w:snapToGrid/>
        </w:rPr>
        <w:t>司的组成部分，该事务部又分成劳动安全劳工视察局和劳工关系劳工视察科。</w:t>
      </w:r>
    </w:p>
    <w:p w:rsidR="00000000" w:rsidRDefault="00844A84" w:rsidP="00844A84">
      <w:pPr>
        <w:ind w:firstLineChars="200" w:firstLine="31680"/>
        <w:rPr>
          <w:rFonts w:hint="eastAsia"/>
          <w:bCs/>
          <w:snapToGrid/>
        </w:rPr>
      </w:pPr>
      <w:r>
        <w:rPr>
          <w:rFonts w:hint="eastAsia"/>
          <w:bCs/>
          <w:snapToGrid/>
        </w:rPr>
        <w:t xml:space="preserve">107.  </w:t>
      </w:r>
      <w:r>
        <w:rPr>
          <w:rFonts w:hint="eastAsia"/>
          <w:bCs/>
          <w:snapToGrid/>
        </w:rPr>
        <w:t>共计有</w:t>
      </w:r>
      <w:r>
        <w:rPr>
          <w:rFonts w:hint="eastAsia"/>
          <w:bCs/>
          <w:snapToGrid/>
        </w:rPr>
        <w:t>167</w:t>
      </w:r>
      <w:r>
        <w:rPr>
          <w:rFonts w:hint="eastAsia"/>
          <w:bCs/>
          <w:snapToGrid/>
        </w:rPr>
        <w:t>名视察员监测塞尔维亚共和国境内的劳动</w:t>
      </w:r>
      <w:r>
        <w:rPr>
          <w:rFonts w:hint="eastAsia"/>
          <w:bCs/>
          <w:snapToGrid/>
        </w:rPr>
        <w:t>安全措施，其中有</w:t>
      </w:r>
      <w:r>
        <w:rPr>
          <w:bCs/>
          <w:snapToGrid/>
        </w:rPr>
        <w:t>106</w:t>
      </w:r>
      <w:r>
        <w:rPr>
          <w:bCs/>
          <w:snapToGrid/>
        </w:rPr>
        <w:t>名视察员监测《劳工关系法》和《劳工法》的执行情况。</w:t>
      </w:r>
    </w:p>
    <w:p w:rsidR="00000000" w:rsidRDefault="00844A84">
      <w:pPr>
        <w:rPr>
          <w:rFonts w:ascii="SimSun" w:hAnsi="SimSun" w:hint="eastAsia"/>
        </w:rPr>
      </w:pPr>
      <w:r>
        <w:rPr>
          <w:snapToGrid/>
        </w:rPr>
        <w:tab/>
        <w:t>108.</w:t>
      </w:r>
      <w:r>
        <w:rPr>
          <w:rFonts w:hint="eastAsia"/>
          <w:snapToGrid/>
        </w:rPr>
        <w:t xml:space="preserve">  </w:t>
      </w:r>
      <w:r>
        <w:rPr>
          <w:rFonts w:hint="eastAsia"/>
          <w:snapToGrid/>
        </w:rPr>
        <w:t>与</w:t>
      </w:r>
      <w:r>
        <w:rPr>
          <w:snapToGrid/>
        </w:rPr>
        <w:t>监测场所的数目以及雇主雇用的人员数目相比，塞尔维亚共和国境内视察员的</w:t>
      </w:r>
      <w:r>
        <w:rPr>
          <w:rFonts w:hint="eastAsia"/>
          <w:snapToGrid/>
        </w:rPr>
        <w:t>人手</w:t>
      </w:r>
      <w:r>
        <w:rPr>
          <w:snapToGrid/>
        </w:rPr>
        <w:t>不足。还应该指出，工作视察员没有充分的技术装备</w:t>
      </w:r>
      <w:r>
        <w:rPr>
          <w:rFonts w:hint="eastAsia"/>
          <w:snapToGrid/>
        </w:rPr>
        <w:t>用以进行</w:t>
      </w:r>
      <w:r>
        <w:rPr>
          <w:snapToGrid/>
        </w:rPr>
        <w:t>切实有效的监</w:t>
      </w:r>
      <w:r>
        <w:rPr>
          <w:rFonts w:ascii="SimSun" w:hAnsi="SimSun"/>
        </w:rPr>
        <w:t>测工作。</w:t>
      </w:r>
    </w:p>
    <w:p w:rsidR="00000000" w:rsidRDefault="00844A84" w:rsidP="00844A84">
      <w:pPr>
        <w:ind w:firstLineChars="200" w:firstLine="31680"/>
        <w:rPr>
          <w:rFonts w:hint="eastAsia"/>
          <w:bCs/>
          <w:snapToGrid/>
        </w:rPr>
      </w:pPr>
      <w:r>
        <w:rPr>
          <w:bCs/>
          <w:snapToGrid/>
        </w:rPr>
        <w:t>109.</w:t>
      </w:r>
      <w:r>
        <w:rPr>
          <w:rFonts w:hint="eastAsia"/>
          <w:bCs/>
          <w:snapToGrid/>
        </w:rPr>
        <w:t xml:space="preserve">  </w:t>
      </w:r>
      <w:r>
        <w:rPr>
          <w:bCs/>
          <w:snapToGrid/>
        </w:rPr>
        <w:t>视察事务部开展工作，努力通过实施劳动安全措施并执行《</w:t>
      </w:r>
      <w:r>
        <w:rPr>
          <w:rFonts w:hint="eastAsia"/>
          <w:bCs/>
          <w:snapToGrid/>
        </w:rPr>
        <w:t>劳动安全法》和《劳工法》改善工作条件。平均而言，每年为此目的进行了</w:t>
      </w:r>
      <w:r>
        <w:rPr>
          <w:rFonts w:hint="eastAsia"/>
          <w:bCs/>
          <w:snapToGrid/>
        </w:rPr>
        <w:t>1</w:t>
      </w:r>
      <w:r>
        <w:rPr>
          <w:bCs/>
          <w:snapToGrid/>
        </w:rPr>
        <w:t>3,736</w:t>
      </w:r>
      <w:r>
        <w:rPr>
          <w:rFonts w:hint="eastAsia"/>
          <w:bCs/>
          <w:snapToGrid/>
        </w:rPr>
        <w:t>次监督</w:t>
      </w:r>
      <w:r>
        <w:rPr>
          <w:bCs/>
          <w:snapToGrid/>
        </w:rPr>
        <w:t>，并进行</w:t>
      </w:r>
      <w:r>
        <w:rPr>
          <w:rFonts w:hint="eastAsia"/>
          <w:bCs/>
          <w:snapToGrid/>
        </w:rPr>
        <w:t>了</w:t>
      </w:r>
      <w:r>
        <w:rPr>
          <w:bCs/>
          <w:snapToGrid/>
        </w:rPr>
        <w:t>39,062</w:t>
      </w:r>
      <w:r>
        <w:rPr>
          <w:bCs/>
          <w:snapToGrid/>
        </w:rPr>
        <w:t>次视察，以便允许开始工作。据《企业法》和《私营企业主法》规定，在</w:t>
      </w:r>
      <w:r>
        <w:rPr>
          <w:rFonts w:hint="eastAsia"/>
          <w:bCs/>
          <w:snapToGrid/>
        </w:rPr>
        <w:t>进行了对</w:t>
      </w:r>
      <w:r>
        <w:rPr>
          <w:bCs/>
          <w:snapToGrid/>
        </w:rPr>
        <w:t>劳动安全的工作视察</w:t>
      </w:r>
      <w:r>
        <w:rPr>
          <w:rFonts w:hint="eastAsia"/>
          <w:bCs/>
          <w:snapToGrid/>
        </w:rPr>
        <w:t>并</w:t>
      </w:r>
      <w:r>
        <w:rPr>
          <w:bCs/>
          <w:snapToGrid/>
        </w:rPr>
        <w:t>确定工作场所</w:t>
      </w:r>
      <w:r>
        <w:rPr>
          <w:bCs/>
          <w:snapToGrid/>
        </w:rPr>
        <w:t>、</w:t>
      </w:r>
      <w:r>
        <w:rPr>
          <w:rFonts w:hint="eastAsia"/>
          <w:bCs/>
          <w:snapToGrid/>
        </w:rPr>
        <w:t>设施</w:t>
      </w:r>
      <w:r>
        <w:rPr>
          <w:bCs/>
          <w:snapToGrid/>
        </w:rPr>
        <w:t>和机器的劳动安全措施已</w:t>
      </w:r>
      <w:r>
        <w:rPr>
          <w:rFonts w:hint="eastAsia"/>
          <w:bCs/>
          <w:snapToGrid/>
        </w:rPr>
        <w:t>得到</w:t>
      </w:r>
      <w:r>
        <w:rPr>
          <w:bCs/>
          <w:snapToGrid/>
        </w:rPr>
        <w:t>实施之前，雇主不得开始工作。</w:t>
      </w:r>
    </w:p>
    <w:p w:rsidR="00000000" w:rsidRDefault="00844A84" w:rsidP="00844A84">
      <w:pPr>
        <w:ind w:firstLineChars="200" w:firstLine="31680"/>
        <w:rPr>
          <w:rFonts w:ascii="SimSun" w:hAnsi="SimSun" w:hint="eastAsia"/>
          <w:bCs/>
        </w:rPr>
      </w:pPr>
      <w:r>
        <w:rPr>
          <w:rFonts w:hint="eastAsia"/>
          <w:bCs/>
          <w:snapToGrid/>
        </w:rPr>
        <w:t xml:space="preserve">110.  </w:t>
      </w:r>
      <w:r>
        <w:rPr>
          <w:rFonts w:hint="eastAsia"/>
          <w:bCs/>
          <w:snapToGrid/>
        </w:rPr>
        <w:t>每名雇主都必须指定一人或一个事务部门负责执行劳动安全的任务。</w:t>
      </w:r>
    </w:p>
    <w:p w:rsidR="00000000" w:rsidRDefault="00844A84" w:rsidP="00844A84">
      <w:pPr>
        <w:ind w:firstLineChars="200" w:firstLine="31680"/>
        <w:rPr>
          <w:rFonts w:hint="eastAsia"/>
          <w:bCs/>
          <w:snapToGrid/>
        </w:rPr>
      </w:pPr>
      <w:r>
        <w:rPr>
          <w:bCs/>
          <w:snapToGrid/>
        </w:rPr>
        <w:t>11</w:t>
      </w:r>
      <w:r>
        <w:rPr>
          <w:rFonts w:hint="eastAsia"/>
          <w:bCs/>
          <w:snapToGrid/>
        </w:rPr>
        <w:t xml:space="preserve">1.  </w:t>
      </w:r>
      <w:r>
        <w:rPr>
          <w:rFonts w:hint="eastAsia"/>
          <w:bCs/>
          <w:snapToGrid/>
        </w:rPr>
        <w:t>塞尔维亚共和国境内有一个高等教育机构即劳动安全学院，用以培养这一领域的专家。</w:t>
      </w:r>
    </w:p>
    <w:p w:rsidR="00000000" w:rsidRDefault="00844A84" w:rsidP="00844A84">
      <w:pPr>
        <w:ind w:firstLineChars="200" w:firstLine="31680"/>
        <w:rPr>
          <w:rFonts w:hint="eastAsia"/>
          <w:bCs/>
          <w:snapToGrid/>
        </w:rPr>
      </w:pPr>
      <w:r>
        <w:rPr>
          <w:bCs/>
          <w:snapToGrid/>
        </w:rPr>
        <w:t>1</w:t>
      </w:r>
      <w:r>
        <w:rPr>
          <w:rFonts w:hint="eastAsia"/>
          <w:bCs/>
          <w:snapToGrid/>
        </w:rPr>
        <w:t>1</w:t>
      </w:r>
      <w:r>
        <w:rPr>
          <w:bCs/>
          <w:snapToGrid/>
        </w:rPr>
        <w:t>2.</w:t>
      </w:r>
      <w:r>
        <w:rPr>
          <w:rFonts w:hint="eastAsia"/>
          <w:bCs/>
          <w:snapToGrid/>
        </w:rPr>
        <w:t xml:space="preserve">  </w:t>
      </w:r>
      <w:r>
        <w:rPr>
          <w:bCs/>
          <w:snapToGrid/>
        </w:rPr>
        <w:t>为了进一步改善劳动安全领域的状况，并采用这方面的国际和欧洲标准，已于</w:t>
      </w:r>
      <w:r>
        <w:rPr>
          <w:bCs/>
          <w:snapToGrid/>
        </w:rPr>
        <w:t>2002</w:t>
      </w:r>
      <w:r>
        <w:rPr>
          <w:bCs/>
          <w:snapToGrid/>
        </w:rPr>
        <w:t>年编写了《新</w:t>
      </w:r>
      <w:r>
        <w:rPr>
          <w:rFonts w:hint="eastAsia"/>
          <w:bCs/>
          <w:snapToGrid/>
        </w:rPr>
        <w:t>的</w:t>
      </w:r>
      <w:r>
        <w:rPr>
          <w:bCs/>
          <w:snapToGrid/>
        </w:rPr>
        <w:t>劳动安全和保护工人健康法》。该</w:t>
      </w:r>
      <w:r>
        <w:rPr>
          <w:rFonts w:hint="eastAsia"/>
          <w:bCs/>
          <w:snapToGrid/>
        </w:rPr>
        <w:t>法律的</w:t>
      </w:r>
      <w:r>
        <w:rPr>
          <w:bCs/>
          <w:snapToGrid/>
        </w:rPr>
        <w:t>文本将符合劳工组织各项公约和</w:t>
      </w:r>
      <w:r>
        <w:rPr>
          <w:rFonts w:hint="eastAsia"/>
          <w:bCs/>
          <w:snapToGrid/>
        </w:rPr>
        <w:t>建议</w:t>
      </w:r>
      <w:r>
        <w:rPr>
          <w:bCs/>
          <w:snapToGrid/>
        </w:rPr>
        <w:t>，并符合</w:t>
      </w:r>
      <w:r>
        <w:rPr>
          <w:rFonts w:hint="eastAsia"/>
          <w:bCs/>
          <w:snapToGrid/>
        </w:rPr>
        <w:t>《</w:t>
      </w:r>
      <w:r>
        <w:rPr>
          <w:bCs/>
          <w:snapToGrid/>
        </w:rPr>
        <w:t>欧洲联盟</w:t>
      </w:r>
      <w:r>
        <w:rPr>
          <w:rFonts w:hint="eastAsia"/>
          <w:bCs/>
          <w:snapToGrid/>
        </w:rPr>
        <w:t>指示》。</w:t>
      </w:r>
    </w:p>
    <w:p w:rsidR="00000000" w:rsidRDefault="00844A84" w:rsidP="00844A84">
      <w:pPr>
        <w:spacing w:after="240"/>
        <w:ind w:firstLineChars="200" w:firstLine="31680"/>
        <w:rPr>
          <w:rFonts w:hint="eastAsia"/>
          <w:bCs/>
          <w:snapToGrid/>
        </w:rPr>
      </w:pPr>
      <w:r>
        <w:rPr>
          <w:bCs/>
          <w:snapToGrid/>
        </w:rPr>
        <w:t>1</w:t>
      </w:r>
      <w:r>
        <w:rPr>
          <w:rFonts w:hint="eastAsia"/>
          <w:bCs/>
          <w:snapToGrid/>
        </w:rPr>
        <w:t>1</w:t>
      </w:r>
      <w:r>
        <w:rPr>
          <w:bCs/>
          <w:snapToGrid/>
        </w:rPr>
        <w:t>3.</w:t>
      </w:r>
      <w:r>
        <w:rPr>
          <w:rFonts w:hint="eastAsia"/>
          <w:bCs/>
          <w:snapToGrid/>
        </w:rPr>
        <w:t xml:space="preserve">  </w:t>
      </w:r>
      <w:r>
        <w:rPr>
          <w:bCs/>
          <w:snapToGrid/>
        </w:rPr>
        <w:t>塞尔维亚共和国政府重视这一领域的明证</w:t>
      </w:r>
      <w:r>
        <w:rPr>
          <w:rFonts w:hint="eastAsia"/>
          <w:bCs/>
          <w:snapToGrid/>
        </w:rPr>
        <w:t>，</w:t>
      </w:r>
      <w:r>
        <w:rPr>
          <w:bCs/>
          <w:snapToGrid/>
        </w:rPr>
        <w:t>是</w:t>
      </w:r>
      <w:r>
        <w:rPr>
          <w:rFonts w:hint="eastAsia"/>
          <w:bCs/>
          <w:snapToGrid/>
        </w:rPr>
        <w:t>设</w:t>
      </w:r>
      <w:r>
        <w:rPr>
          <w:bCs/>
          <w:snapToGrid/>
        </w:rPr>
        <w:t>立了独立的劳动安全理事会。</w:t>
      </w:r>
    </w:p>
    <w:p w:rsidR="00000000" w:rsidRDefault="00844A84">
      <w:pPr>
        <w:pStyle w:val="Heading4"/>
        <w:spacing w:after="160"/>
        <w:rPr>
          <w:rFonts w:ascii="SimSun" w:hAnsi="SimSun" w:hint="eastAsia"/>
          <w:bCs/>
        </w:rPr>
      </w:pPr>
      <w:r>
        <w:rPr>
          <w:snapToGrid/>
          <w:u w:val="none"/>
        </w:rPr>
        <w:t>(k)</w:t>
      </w:r>
      <w:r>
        <w:rPr>
          <w:snapToGrid/>
          <w:u w:val="none"/>
        </w:rPr>
        <w:t xml:space="preserve">  </w:t>
      </w:r>
      <w:r>
        <w:rPr>
          <w:rFonts w:hint="eastAsia"/>
          <w:snapToGrid/>
        </w:rPr>
        <w:t>劳动安全理事会</w:t>
      </w:r>
    </w:p>
    <w:p w:rsidR="00000000" w:rsidRDefault="00844A84" w:rsidP="00844A84">
      <w:pPr>
        <w:ind w:firstLineChars="200" w:firstLine="31680"/>
        <w:rPr>
          <w:rFonts w:hint="eastAsia"/>
          <w:bCs/>
          <w:snapToGrid/>
        </w:rPr>
      </w:pPr>
      <w:r>
        <w:rPr>
          <w:bCs/>
          <w:snapToGrid/>
        </w:rPr>
        <w:t>1</w:t>
      </w:r>
      <w:r>
        <w:rPr>
          <w:rFonts w:hint="eastAsia"/>
          <w:bCs/>
          <w:snapToGrid/>
        </w:rPr>
        <w:t>1</w:t>
      </w:r>
      <w:r>
        <w:rPr>
          <w:bCs/>
          <w:snapToGrid/>
        </w:rPr>
        <w:t>4.</w:t>
      </w:r>
      <w:r>
        <w:rPr>
          <w:rFonts w:hint="eastAsia"/>
          <w:bCs/>
          <w:snapToGrid/>
        </w:rPr>
        <w:t xml:space="preserve">  </w:t>
      </w:r>
      <w:r>
        <w:rPr>
          <w:bCs/>
          <w:snapToGrid/>
        </w:rPr>
        <w:t>2001</w:t>
      </w:r>
      <w:r>
        <w:rPr>
          <w:bCs/>
          <w:snapToGrid/>
        </w:rPr>
        <w:t>年</w:t>
      </w:r>
      <w:r>
        <w:rPr>
          <w:bCs/>
          <w:snapToGrid/>
        </w:rPr>
        <w:t>7</w:t>
      </w:r>
      <w:r>
        <w:rPr>
          <w:bCs/>
          <w:snapToGrid/>
        </w:rPr>
        <w:t>月</w:t>
      </w:r>
      <w:r>
        <w:rPr>
          <w:bCs/>
          <w:snapToGrid/>
        </w:rPr>
        <w:t>3</w:t>
      </w:r>
      <w:r>
        <w:rPr>
          <w:bCs/>
          <w:snapToGrid/>
        </w:rPr>
        <w:t>日，塞尔维亚共和国政府设立了劳动安全理事会，作为全国咨询机构，由以下代表组成：政府；雇员；工会；技术、科学和教育机构；以及劳动安全协会。理事会的主要任务是：制定国家劳动安全方案和战略；并建议政府根据这一领域的国际条例通过国家劳动安全条例。</w:t>
      </w:r>
    </w:p>
    <w:p w:rsidR="00000000" w:rsidRDefault="00844A84" w:rsidP="00844A84">
      <w:pPr>
        <w:ind w:firstLineChars="200" w:firstLine="31680"/>
        <w:rPr>
          <w:bCs/>
          <w:snapToGrid/>
        </w:rPr>
      </w:pPr>
      <w:r>
        <w:rPr>
          <w:bCs/>
          <w:snapToGrid/>
        </w:rPr>
        <w:t>115.</w:t>
      </w:r>
      <w:r>
        <w:rPr>
          <w:rFonts w:hint="eastAsia"/>
          <w:bCs/>
          <w:snapToGrid/>
        </w:rPr>
        <w:t xml:space="preserve">  </w:t>
      </w:r>
      <w:r>
        <w:rPr>
          <w:rFonts w:hint="eastAsia"/>
          <w:bCs/>
          <w:snapToGrid/>
        </w:rPr>
        <w:t>劳动安全</w:t>
      </w:r>
      <w:r>
        <w:rPr>
          <w:bCs/>
          <w:snapToGrid/>
        </w:rPr>
        <w:t>方案的基本原则</w:t>
      </w:r>
      <w:r>
        <w:rPr>
          <w:rFonts w:hint="eastAsia"/>
          <w:bCs/>
          <w:snapToGrid/>
        </w:rPr>
        <w:t>，</w:t>
      </w:r>
      <w:r>
        <w:rPr>
          <w:bCs/>
          <w:snapToGrid/>
        </w:rPr>
        <w:t>是劳工组织和联合国各项公约以及欧洲联盟框架指示所</w:t>
      </w:r>
      <w:r>
        <w:rPr>
          <w:rFonts w:hint="eastAsia"/>
          <w:bCs/>
          <w:snapToGrid/>
        </w:rPr>
        <w:t>载</w:t>
      </w:r>
      <w:r>
        <w:rPr>
          <w:bCs/>
          <w:snapToGrid/>
        </w:rPr>
        <w:t>的原则，例如</w:t>
      </w:r>
      <w:r>
        <w:rPr>
          <w:rFonts w:hint="eastAsia"/>
          <w:bCs/>
          <w:snapToGrid/>
        </w:rPr>
        <w:t>：</w:t>
      </w:r>
    </w:p>
    <w:p w:rsidR="00000000" w:rsidRDefault="00844A84" w:rsidP="00844A84">
      <w:pPr>
        <w:pStyle w:val="a0"/>
        <w:tabs>
          <w:tab w:val="clear" w:pos="510"/>
          <w:tab w:val="num" w:pos="1530"/>
        </w:tabs>
        <w:ind w:leftChars="392" w:left="31680"/>
        <w:rPr>
          <w:rFonts w:hint="eastAsia"/>
        </w:rPr>
      </w:pPr>
      <w:r>
        <w:rPr>
          <w:rFonts w:hint="eastAsia"/>
        </w:rPr>
        <w:t>初级预防和安全技术；</w:t>
      </w:r>
    </w:p>
    <w:p w:rsidR="00000000" w:rsidRDefault="00844A84" w:rsidP="00844A84">
      <w:pPr>
        <w:pStyle w:val="a0"/>
        <w:tabs>
          <w:tab w:val="clear" w:pos="510"/>
          <w:tab w:val="num" w:pos="1530"/>
        </w:tabs>
        <w:ind w:leftChars="392" w:left="31680"/>
        <w:rPr>
          <w:rFonts w:hint="eastAsia"/>
        </w:rPr>
      </w:pPr>
      <w:r>
        <w:rPr>
          <w:rFonts w:hint="eastAsia"/>
        </w:rPr>
        <w:t>创造最佳的工作条件；</w:t>
      </w:r>
    </w:p>
    <w:p w:rsidR="00000000" w:rsidRDefault="00844A84" w:rsidP="00844A84">
      <w:pPr>
        <w:pStyle w:val="a0"/>
        <w:tabs>
          <w:tab w:val="clear" w:pos="510"/>
          <w:tab w:val="num" w:pos="1530"/>
        </w:tabs>
        <w:ind w:leftChars="392" w:left="31680"/>
        <w:rPr>
          <w:rFonts w:ascii="SimSun" w:hAnsi="SimSun" w:hint="eastAsia"/>
          <w:bCs/>
        </w:rPr>
      </w:pPr>
      <w:r>
        <w:rPr>
          <w:rFonts w:hint="eastAsia"/>
        </w:rPr>
        <w:t>综合有关劳动安全和保健的所有措施和活动，并将之纳入工作进程，成为企业政策的组成</w:t>
      </w:r>
      <w:r>
        <w:rPr>
          <w:rFonts w:hint="eastAsia"/>
        </w:rPr>
        <w:t>部分；</w:t>
      </w:r>
    </w:p>
    <w:p w:rsidR="00000000" w:rsidRDefault="00844A84" w:rsidP="00844A84">
      <w:pPr>
        <w:pStyle w:val="a0"/>
        <w:tabs>
          <w:tab w:val="clear" w:pos="510"/>
          <w:tab w:val="num" w:pos="1530"/>
        </w:tabs>
        <w:ind w:leftChars="392" w:left="31680"/>
        <w:rPr>
          <w:rFonts w:hint="eastAsia"/>
        </w:rPr>
      </w:pPr>
      <w:r>
        <w:rPr>
          <w:rFonts w:hint="eastAsia"/>
        </w:rPr>
        <w:t>三重性质；</w:t>
      </w:r>
    </w:p>
    <w:p w:rsidR="00000000" w:rsidRDefault="00844A84" w:rsidP="00844A84">
      <w:pPr>
        <w:pStyle w:val="a0"/>
        <w:tabs>
          <w:tab w:val="clear" w:pos="510"/>
          <w:tab w:val="num" w:pos="1530"/>
        </w:tabs>
        <w:ind w:leftChars="392" w:left="31680"/>
        <w:rPr>
          <w:rFonts w:hint="eastAsia"/>
        </w:rPr>
      </w:pPr>
      <w:r>
        <w:rPr>
          <w:rFonts w:hint="eastAsia"/>
        </w:rPr>
        <w:t>雇主和雇员平等合作；</w:t>
      </w:r>
    </w:p>
    <w:p w:rsidR="00000000" w:rsidRDefault="00844A84" w:rsidP="00844A84">
      <w:pPr>
        <w:pStyle w:val="a0"/>
        <w:tabs>
          <w:tab w:val="clear" w:pos="510"/>
          <w:tab w:val="num" w:pos="1530"/>
        </w:tabs>
        <w:ind w:leftChars="392" w:left="31680"/>
        <w:rPr>
          <w:rFonts w:hint="eastAsia"/>
        </w:rPr>
      </w:pPr>
      <w:r>
        <w:rPr>
          <w:rFonts w:hint="eastAsia"/>
        </w:rPr>
        <w:t>雇员有权参与劳动安全和保健领域的决策工作；</w:t>
      </w:r>
    </w:p>
    <w:p w:rsidR="00000000" w:rsidRDefault="00844A84" w:rsidP="00844A84">
      <w:pPr>
        <w:pStyle w:val="a0"/>
        <w:tabs>
          <w:tab w:val="clear" w:pos="510"/>
          <w:tab w:val="num" w:pos="1530"/>
        </w:tabs>
        <w:ind w:leftChars="392" w:left="31680"/>
        <w:rPr>
          <w:rFonts w:ascii="SimSun" w:hAnsi="SimSun" w:hint="eastAsia"/>
          <w:bCs/>
        </w:rPr>
      </w:pPr>
      <w:r>
        <w:rPr>
          <w:rFonts w:hint="eastAsia"/>
        </w:rPr>
        <w:t>雇员有权获得及时和准确的信息，了解透明的决策进程；</w:t>
      </w:r>
    </w:p>
    <w:p w:rsidR="00000000" w:rsidRDefault="00844A84" w:rsidP="00844A84">
      <w:pPr>
        <w:pStyle w:val="a0"/>
        <w:tabs>
          <w:tab w:val="clear" w:pos="510"/>
          <w:tab w:val="num" w:pos="1530"/>
        </w:tabs>
        <w:ind w:leftChars="392" w:left="31680"/>
        <w:rPr>
          <w:rFonts w:hint="eastAsia"/>
        </w:rPr>
      </w:pPr>
      <w:r>
        <w:rPr>
          <w:rFonts w:hint="eastAsia"/>
        </w:rPr>
        <w:t>持续监测和改善劳动安全及保健系统。</w:t>
      </w:r>
    </w:p>
    <w:p w:rsidR="00000000" w:rsidRDefault="00844A84">
      <w:pPr>
        <w:rPr>
          <w:rFonts w:ascii="SimSun" w:hAnsi="SimSun" w:hint="eastAsia"/>
        </w:rPr>
      </w:pPr>
      <w:r>
        <w:rPr>
          <w:snapToGrid/>
        </w:rPr>
        <w:tab/>
        <w:t>116.</w:t>
      </w:r>
      <w:r>
        <w:rPr>
          <w:rFonts w:hint="eastAsia"/>
          <w:snapToGrid/>
        </w:rPr>
        <w:t xml:space="preserve">  </w:t>
      </w:r>
      <w:r>
        <w:rPr>
          <w:snapToGrid/>
        </w:rPr>
        <w:t>非政府组织南斯拉夫劳动安全联盟也参与劳动安全理事会的工作。南斯拉夫劳动安全联盟是非政府、非党派和非营利组织，</w:t>
      </w:r>
      <w:r>
        <w:rPr>
          <w:rFonts w:hint="eastAsia"/>
          <w:snapToGrid/>
        </w:rPr>
        <w:t>其</w:t>
      </w:r>
      <w:r>
        <w:rPr>
          <w:snapToGrid/>
        </w:rPr>
        <w:t>目的是发展旨在促进劳动安全和改善工作条件及工作环境的各项活动。联盟的成员</w:t>
      </w:r>
      <w:r>
        <w:rPr>
          <w:rFonts w:hint="eastAsia"/>
          <w:snapToGrid/>
        </w:rPr>
        <w:t>为各</w:t>
      </w:r>
      <w:r>
        <w:rPr>
          <w:snapToGrid/>
        </w:rPr>
        <w:t>协会、企业、机构和</w:t>
      </w:r>
      <w:r>
        <w:rPr>
          <w:rFonts w:hint="eastAsia"/>
          <w:snapToGrid/>
        </w:rPr>
        <w:t>自然人。</w:t>
      </w:r>
    </w:p>
    <w:p w:rsidR="00000000" w:rsidRDefault="00844A84" w:rsidP="00844A84">
      <w:pPr>
        <w:spacing w:after="320"/>
        <w:ind w:firstLineChars="200" w:firstLine="31680"/>
        <w:rPr>
          <w:bCs/>
          <w:snapToGrid/>
        </w:rPr>
      </w:pPr>
      <w:r>
        <w:rPr>
          <w:bCs/>
          <w:snapToGrid/>
        </w:rPr>
        <w:t>117.</w:t>
      </w:r>
      <w:r>
        <w:rPr>
          <w:rFonts w:hint="eastAsia"/>
          <w:bCs/>
          <w:snapToGrid/>
        </w:rPr>
        <w:t xml:space="preserve">  </w:t>
      </w:r>
      <w:r>
        <w:rPr>
          <w:bCs/>
          <w:snapToGrid/>
        </w:rPr>
        <w:t>各项表格所列的资料表明，</w:t>
      </w:r>
      <w:r>
        <w:rPr>
          <w:rFonts w:hint="eastAsia"/>
          <w:bCs/>
          <w:snapToGrid/>
        </w:rPr>
        <w:t>工伤</w:t>
      </w:r>
      <w:r>
        <w:rPr>
          <w:bCs/>
          <w:snapToGrid/>
        </w:rPr>
        <w:t>人数，尤其是</w:t>
      </w:r>
      <w:r>
        <w:rPr>
          <w:rFonts w:hint="eastAsia"/>
          <w:bCs/>
          <w:snapToGrid/>
        </w:rPr>
        <w:t>致命工伤</w:t>
      </w:r>
      <w:r>
        <w:rPr>
          <w:bCs/>
          <w:snapToGrid/>
        </w:rPr>
        <w:t>的人数显著降低，这无疑是实施了劳动安全措施的结果。</w:t>
      </w:r>
      <w:r>
        <w:rPr>
          <w:bCs/>
          <w:snapToGrid/>
        </w:rPr>
        <w:t>1992</w:t>
      </w:r>
      <w:r>
        <w:rPr>
          <w:bCs/>
          <w:snapToGrid/>
        </w:rPr>
        <w:t>年</w:t>
      </w:r>
      <w:r>
        <w:rPr>
          <w:rFonts w:hint="eastAsia"/>
          <w:bCs/>
          <w:snapToGrid/>
        </w:rPr>
        <w:t>共有</w:t>
      </w:r>
      <w:r>
        <w:rPr>
          <w:rFonts w:hint="eastAsia"/>
          <w:bCs/>
          <w:snapToGrid/>
        </w:rPr>
        <w:t>156</w:t>
      </w:r>
      <w:r>
        <w:rPr>
          <w:rFonts w:hint="eastAsia"/>
          <w:bCs/>
          <w:snapToGrid/>
        </w:rPr>
        <w:t>起致命工伤，</w:t>
      </w:r>
      <w:r>
        <w:rPr>
          <w:rFonts w:hint="eastAsia"/>
          <w:bCs/>
          <w:snapToGrid/>
        </w:rPr>
        <w:t>1997</w:t>
      </w:r>
      <w:r>
        <w:rPr>
          <w:rFonts w:hint="eastAsia"/>
          <w:bCs/>
          <w:snapToGrid/>
        </w:rPr>
        <w:t>年则降至</w:t>
      </w:r>
      <w:r>
        <w:rPr>
          <w:rFonts w:hint="eastAsia"/>
          <w:bCs/>
          <w:snapToGrid/>
        </w:rPr>
        <w:t>44</w:t>
      </w:r>
      <w:r>
        <w:rPr>
          <w:rFonts w:hint="eastAsia"/>
          <w:bCs/>
          <w:snapToGrid/>
        </w:rPr>
        <w:t>起</w:t>
      </w:r>
      <w:r>
        <w:rPr>
          <w:bCs/>
          <w:snapToGrid/>
        </w:rPr>
        <w:t>。工业和采矿业</w:t>
      </w:r>
      <w:r>
        <w:rPr>
          <w:rFonts w:hint="eastAsia"/>
          <w:bCs/>
          <w:snapToGrid/>
        </w:rPr>
        <w:t>的致命工伤次数最多。</w:t>
      </w:r>
      <w:r>
        <w:rPr>
          <w:bCs/>
          <w:snapToGrid/>
        </w:rPr>
        <w:t>应该指出，工作人员在</w:t>
      </w:r>
      <w:r>
        <w:rPr>
          <w:rFonts w:hint="eastAsia"/>
          <w:bCs/>
          <w:snapToGrid/>
        </w:rPr>
        <w:t>通勤和</w:t>
      </w:r>
      <w:r>
        <w:rPr>
          <w:rFonts w:hint="eastAsia"/>
          <w:bCs/>
          <w:snapToGrid/>
        </w:rPr>
        <w:t>(</w:t>
      </w:r>
      <w:r>
        <w:rPr>
          <w:rFonts w:hint="eastAsia"/>
          <w:bCs/>
          <w:snapToGrid/>
        </w:rPr>
        <w:t>或</w:t>
      </w:r>
      <w:r>
        <w:rPr>
          <w:rFonts w:hint="eastAsia"/>
          <w:bCs/>
          <w:snapToGrid/>
        </w:rPr>
        <w:t>)</w:t>
      </w:r>
      <w:r>
        <w:rPr>
          <w:rFonts w:hint="eastAsia"/>
          <w:bCs/>
          <w:snapToGrid/>
        </w:rPr>
        <w:t>公务旅行期间发生的受伤事件均被视为工伤。因此，大部分工伤发生在通勤或公务旅行期间的交通事故中</w:t>
      </w:r>
      <w:r>
        <w:rPr>
          <w:rFonts w:hint="eastAsia"/>
          <w:bCs/>
          <w:snapToGrid/>
        </w:rPr>
        <w:t>(</w:t>
      </w:r>
      <w:r>
        <w:rPr>
          <w:rFonts w:hint="eastAsia"/>
          <w:bCs/>
          <w:snapToGrid/>
        </w:rPr>
        <w:t>见下文表</w:t>
      </w:r>
      <w:r>
        <w:rPr>
          <w:rFonts w:hint="eastAsia"/>
          <w:bCs/>
          <w:snapToGrid/>
        </w:rPr>
        <w:t>2</w:t>
      </w:r>
      <w:r>
        <w:rPr>
          <w:rFonts w:hint="eastAsia"/>
          <w:bCs/>
          <w:snapToGrid/>
        </w:rPr>
        <w:t>、</w:t>
      </w:r>
      <w:r>
        <w:rPr>
          <w:rFonts w:hint="eastAsia"/>
          <w:bCs/>
          <w:snapToGrid/>
        </w:rPr>
        <w:t>3</w:t>
      </w:r>
      <w:r>
        <w:rPr>
          <w:rFonts w:hint="eastAsia"/>
          <w:bCs/>
          <w:snapToGrid/>
        </w:rPr>
        <w:t>和</w:t>
      </w:r>
      <w:r>
        <w:rPr>
          <w:rFonts w:hint="eastAsia"/>
          <w:bCs/>
          <w:snapToGrid/>
        </w:rPr>
        <w:t>4)</w:t>
      </w:r>
      <w:r>
        <w:rPr>
          <w:rFonts w:hint="eastAsia"/>
          <w:bCs/>
          <w:snapToGrid/>
        </w:rPr>
        <w:t>。</w:t>
      </w:r>
    </w:p>
    <w:p w:rsidR="00000000" w:rsidRDefault="00844A84">
      <w:pPr>
        <w:pStyle w:val="Heading3"/>
      </w:pPr>
      <w:r>
        <w:rPr>
          <w:rFonts w:hint="eastAsia"/>
        </w:rPr>
        <w:t>第</w:t>
      </w:r>
      <w:r>
        <w:rPr>
          <w:rFonts w:hint="eastAsia"/>
        </w:rPr>
        <w:t xml:space="preserve"> </w:t>
      </w:r>
      <w:r>
        <w:rPr>
          <w:rFonts w:hint="eastAsia"/>
        </w:rPr>
        <w:t>八</w:t>
      </w:r>
      <w:r>
        <w:rPr>
          <w:rFonts w:hint="eastAsia"/>
        </w:rPr>
        <w:t xml:space="preserve"> </w:t>
      </w:r>
      <w:r>
        <w:rPr>
          <w:rFonts w:hint="eastAsia"/>
        </w:rPr>
        <w:t>条</w:t>
      </w:r>
    </w:p>
    <w:p w:rsidR="00000000" w:rsidRDefault="00844A84">
      <w:pPr>
        <w:pStyle w:val="Heading4"/>
      </w:pPr>
      <w:r>
        <w:rPr>
          <w:rFonts w:hint="eastAsia"/>
          <w:u w:val="none"/>
        </w:rPr>
        <w:t xml:space="preserve">(a)  </w:t>
      </w:r>
      <w:r>
        <w:rPr>
          <w:rFonts w:hint="eastAsia"/>
        </w:rPr>
        <w:t>已批准的国际文书</w:t>
      </w:r>
    </w:p>
    <w:p w:rsidR="00000000" w:rsidRDefault="00844A84">
      <w:pPr>
        <w:spacing w:after="320"/>
      </w:pPr>
      <w:r>
        <w:rPr>
          <w:rFonts w:hint="eastAsia"/>
        </w:rPr>
        <w:tab/>
        <w:t xml:space="preserve">118.  </w:t>
      </w:r>
      <w:r>
        <w:rPr>
          <w:rFonts w:hint="eastAsia"/>
        </w:rPr>
        <w:t>已批准的国际文书包括《公民权利和政治权利国际公约》；国际劳工组织关于结社自由和保护组织权利的第</w:t>
      </w:r>
      <w:r>
        <w:rPr>
          <w:rFonts w:hint="eastAsia"/>
        </w:rPr>
        <w:t>87</w:t>
      </w:r>
      <w:r>
        <w:rPr>
          <w:rFonts w:hint="eastAsia"/>
        </w:rPr>
        <w:t>号公约</w:t>
      </w:r>
      <w:r>
        <w:rPr>
          <w:rFonts w:hint="eastAsia"/>
        </w:rPr>
        <w:t>(1948</w:t>
      </w:r>
      <w:r>
        <w:rPr>
          <w:rFonts w:hint="eastAsia"/>
        </w:rPr>
        <w:t>年</w:t>
      </w:r>
      <w:r>
        <w:rPr>
          <w:rFonts w:hint="eastAsia"/>
        </w:rPr>
        <w:t>)</w:t>
      </w:r>
      <w:r>
        <w:rPr>
          <w:rFonts w:hint="eastAsia"/>
        </w:rPr>
        <w:t>；国际劳工组织关于组织权利和集体谈判权利的第</w:t>
      </w:r>
      <w:r>
        <w:rPr>
          <w:rFonts w:hint="eastAsia"/>
        </w:rPr>
        <w:t>98</w:t>
      </w:r>
      <w:r>
        <w:rPr>
          <w:rFonts w:hint="eastAsia"/>
        </w:rPr>
        <w:t>号公约</w:t>
      </w:r>
      <w:r>
        <w:rPr>
          <w:rFonts w:hint="eastAsia"/>
        </w:rPr>
        <w:t>(1949</w:t>
      </w:r>
      <w:r>
        <w:rPr>
          <w:rFonts w:hint="eastAsia"/>
        </w:rPr>
        <w:t>年</w:t>
      </w:r>
      <w:r>
        <w:rPr>
          <w:rFonts w:hint="eastAsia"/>
        </w:rPr>
        <w:t>)</w:t>
      </w:r>
      <w:r>
        <w:rPr>
          <w:rFonts w:hint="eastAsia"/>
        </w:rPr>
        <w:t>；和国际劳工组织关于工人代表的第</w:t>
      </w:r>
      <w:r>
        <w:rPr>
          <w:rFonts w:hint="eastAsia"/>
        </w:rPr>
        <w:t>1</w:t>
      </w:r>
      <w:r>
        <w:rPr>
          <w:rFonts w:hint="eastAsia"/>
        </w:rPr>
        <w:t>35</w:t>
      </w:r>
      <w:r>
        <w:rPr>
          <w:rFonts w:hint="eastAsia"/>
        </w:rPr>
        <w:t>号公约</w:t>
      </w:r>
      <w:r>
        <w:rPr>
          <w:rFonts w:hint="eastAsia"/>
        </w:rPr>
        <w:t>(1971</w:t>
      </w:r>
      <w:r>
        <w:rPr>
          <w:rFonts w:hint="eastAsia"/>
        </w:rPr>
        <w:t>年</w:t>
      </w:r>
      <w:r>
        <w:rPr>
          <w:rFonts w:hint="eastAsia"/>
        </w:rPr>
        <w:t>)</w:t>
      </w:r>
      <w:r>
        <w:rPr>
          <w:rFonts w:hint="eastAsia"/>
        </w:rPr>
        <w:t>。</w:t>
      </w:r>
    </w:p>
    <w:p w:rsidR="00000000" w:rsidRDefault="00844A84">
      <w:pPr>
        <w:pStyle w:val="Heading4"/>
        <w:rPr>
          <w:rFonts w:hint="eastAsia"/>
        </w:rPr>
      </w:pPr>
      <w:r>
        <w:rPr>
          <w:rFonts w:hint="eastAsia"/>
          <w:u w:val="none"/>
        </w:rPr>
        <w:t xml:space="preserve">(b)  </w:t>
      </w:r>
      <w:r>
        <w:rPr>
          <w:rFonts w:hint="eastAsia"/>
        </w:rPr>
        <w:t>组织工会权</w:t>
      </w:r>
    </w:p>
    <w:p w:rsidR="00000000" w:rsidRDefault="00844A84">
      <w:pPr>
        <w:rPr>
          <w:rFonts w:hint="eastAsia"/>
        </w:rPr>
      </w:pPr>
      <w:r>
        <w:rPr>
          <w:rFonts w:hint="eastAsia"/>
        </w:rPr>
        <w:tab/>
        <w:t xml:space="preserve">119.  </w:t>
      </w:r>
      <w:r>
        <w:rPr>
          <w:rFonts w:hint="eastAsia"/>
        </w:rPr>
        <w:t>组织工会的权利</w:t>
      </w:r>
      <w:r>
        <w:rPr>
          <w:rFonts w:hint="eastAsia"/>
        </w:rPr>
        <w:t>(</w:t>
      </w:r>
      <w:r>
        <w:rPr>
          <w:rFonts w:hint="eastAsia"/>
        </w:rPr>
        <w:t>结社权</w:t>
      </w:r>
      <w:r>
        <w:rPr>
          <w:rFonts w:hint="eastAsia"/>
        </w:rPr>
        <w:t>)</w:t>
      </w:r>
      <w:r>
        <w:rPr>
          <w:rFonts w:hint="eastAsia"/>
        </w:rPr>
        <w:t>与工会活动的自由得到以下法律和文书的保障：《南斯拉夫联盟共和国宪法》；《塞尔维亚共和国宪法》；《劳动关系基本原则法》；《劳动法》；《罢工法》；一般性集体协议；以及《工会组织登记条例》。</w:t>
      </w:r>
    </w:p>
    <w:p w:rsidR="00000000" w:rsidRDefault="00844A84">
      <w:pPr>
        <w:rPr>
          <w:bCs/>
          <w:snapToGrid/>
        </w:rPr>
      </w:pPr>
      <w:r>
        <w:rPr>
          <w:rFonts w:hint="eastAsia"/>
        </w:rPr>
        <w:tab/>
        <w:t xml:space="preserve">120.  </w:t>
      </w:r>
      <w:r>
        <w:rPr>
          <w:rFonts w:hint="eastAsia"/>
        </w:rPr>
        <w:t>《南斯拉夫联盟共和国宪法》第</w:t>
      </w:r>
      <w:r>
        <w:rPr>
          <w:rFonts w:hint="eastAsia"/>
        </w:rPr>
        <w:t>41</w:t>
      </w:r>
      <w:r>
        <w:rPr>
          <w:rFonts w:hint="eastAsia"/>
        </w:rPr>
        <w:t>条和第</w:t>
      </w:r>
      <w:r>
        <w:rPr>
          <w:rFonts w:hint="eastAsia"/>
        </w:rPr>
        <w:t>42</w:t>
      </w:r>
      <w:r>
        <w:rPr>
          <w:rFonts w:hint="eastAsia"/>
        </w:rPr>
        <w:t>条规定，公民有权自由组织工会和开展活动，无须经有关机构批准，但须在主管机构登记。《塞尔维亚共和国宪法》第</w:t>
      </w:r>
      <w:r>
        <w:rPr>
          <w:rFonts w:hint="eastAsia"/>
        </w:rPr>
        <w:t>44</w:t>
      </w:r>
      <w:r>
        <w:rPr>
          <w:rFonts w:hint="eastAsia"/>
        </w:rPr>
        <w:t>条也有类似规定。该规定禁止以暴力方式改变宪法确立的秩序，禁止破坏塞尔维亚共</w:t>
      </w:r>
      <w:r>
        <w:rPr>
          <w:rFonts w:hint="eastAsia"/>
        </w:rPr>
        <w:t>和国的领土完整和独立，禁止侵犯个人和公民受法律保护的自由和权利，禁止煽动民族、种族、宗教和其他不容忍和仇恨。根据《南斯拉夫联盟共和国宪法》第</w:t>
      </w:r>
      <w:r>
        <w:rPr>
          <w:rFonts w:hint="eastAsia"/>
        </w:rPr>
        <w:t>42</w:t>
      </w:r>
      <w:r>
        <w:rPr>
          <w:rFonts w:hint="eastAsia"/>
        </w:rPr>
        <w:t>条，南斯拉夫联盟共和国职业军人和警察不得组织工会。</w:t>
      </w:r>
    </w:p>
    <w:p w:rsidR="00000000" w:rsidRDefault="00844A84" w:rsidP="00844A84">
      <w:pPr>
        <w:spacing w:after="320"/>
        <w:ind w:firstLineChars="200" w:firstLine="31680"/>
        <w:rPr>
          <w:rFonts w:ascii="SimSun" w:hAnsi="SimSun"/>
          <w:bCs/>
        </w:rPr>
        <w:sectPr w:rsidR="00000000">
          <w:headerReference w:type="even" r:id="rId7"/>
          <w:headerReference w:type="default" r:id="rId8"/>
          <w:headerReference w:type="first" r:id="rId9"/>
          <w:footerReference w:type="first" r:id="rId10"/>
          <w:endnotePr>
            <w:numFmt w:val="decimal"/>
          </w:endnotePr>
          <w:pgSz w:w="11906" w:h="16838"/>
          <w:pgMar w:top="1985" w:right="851" w:bottom="1985" w:left="1701" w:header="794" w:footer="1588" w:gutter="0"/>
          <w:cols w:space="425"/>
          <w:titlePg/>
          <w:docGrid w:type="lines" w:linePitch="360"/>
        </w:sectPr>
      </w:pPr>
    </w:p>
    <w:p w:rsidR="00000000" w:rsidRDefault="00844A84">
      <w:pPr>
        <w:pStyle w:val="Heading3"/>
        <w:spacing w:after="160"/>
        <w:rPr>
          <w:rFonts w:ascii="SimSun" w:hAnsi="SimSun" w:hint="eastAsia"/>
          <w:bCs/>
        </w:rPr>
      </w:pPr>
      <w:r>
        <w:rPr>
          <w:rFonts w:hint="eastAsia"/>
          <w:u w:val="none"/>
        </w:rPr>
        <w:t>表</w:t>
      </w:r>
      <w:r>
        <w:rPr>
          <w:rFonts w:hint="eastAsia"/>
          <w:u w:val="none"/>
        </w:rPr>
        <w:t xml:space="preserve">  2</w:t>
      </w:r>
      <w:r>
        <w:rPr>
          <w:u w:val="none"/>
        </w:rPr>
        <w:br/>
      </w:r>
      <w:r>
        <w:t>1993</w:t>
      </w:r>
      <w:r>
        <w:t>至</w:t>
      </w:r>
      <w:r>
        <w:t>1997</w:t>
      </w:r>
      <w:r>
        <w:t>年期间按经济部门开列的塞尔维亚共和国境内工伤调查</w:t>
      </w:r>
    </w:p>
    <w:tbl>
      <w:tblPr>
        <w:tblW w:w="4880" w:type="pct"/>
        <w:tblCellMar>
          <w:left w:w="28" w:type="dxa"/>
          <w:right w:w="28" w:type="dxa"/>
        </w:tblCellMar>
        <w:tblLook w:val="0000" w:firstRow="0" w:lastRow="0" w:firstColumn="0" w:lastColumn="0" w:noHBand="0" w:noVBand="0"/>
      </w:tblPr>
      <w:tblGrid>
        <w:gridCol w:w="1140"/>
        <w:gridCol w:w="2919"/>
        <w:gridCol w:w="966"/>
        <w:gridCol w:w="878"/>
        <w:gridCol w:w="878"/>
        <w:gridCol w:w="878"/>
        <w:gridCol w:w="878"/>
        <w:gridCol w:w="1032"/>
        <w:gridCol w:w="1032"/>
        <w:gridCol w:w="1034"/>
        <w:gridCol w:w="979"/>
      </w:tblGrid>
      <w:tr w:rsidR="00000000">
        <w:tblPrEx>
          <w:tblCellMar>
            <w:top w:w="0" w:type="dxa"/>
            <w:bottom w:w="0" w:type="dxa"/>
          </w:tblCellMar>
        </w:tblPrEx>
        <w:trPr>
          <w:cantSplit/>
        </w:trPr>
        <w:tc>
          <w:tcPr>
            <w:tcW w:w="452" w:type="pct"/>
            <w:tcBorders>
              <w:top w:val="single" w:sz="4" w:space="0" w:color="auto"/>
              <w:left w:val="single" w:sz="4" w:space="0" w:color="auto"/>
              <w:bottom w:val="single" w:sz="4" w:space="0" w:color="auto"/>
              <w:right w:val="single" w:sz="4" w:space="0" w:color="auto"/>
            </w:tcBorders>
          </w:tcPr>
          <w:p w:rsidR="00000000" w:rsidRDefault="00844A84">
            <w:pPr>
              <w:spacing w:beforeLines="50" w:before="180" w:afterLines="50" w:after="180" w:line="240" w:lineRule="auto"/>
              <w:jc w:val="center"/>
              <w:rPr>
                <w:rFonts w:ascii="SimSun" w:hAnsi="SimSun" w:hint="eastAsia"/>
                <w:bCs/>
                <w:sz w:val="20"/>
              </w:rPr>
            </w:pPr>
            <w:r>
              <w:rPr>
                <w:rFonts w:ascii="SimSun" w:hAnsi="SimSun" w:hint="eastAsia"/>
                <w:bCs/>
                <w:sz w:val="20"/>
              </w:rPr>
              <w:t>编</w:t>
            </w:r>
            <w:r>
              <w:rPr>
                <w:rFonts w:ascii="SimSun" w:hAnsi="SimSun"/>
                <w:bCs/>
                <w:sz w:val="20"/>
              </w:rPr>
              <w:t xml:space="preserve"> </w:t>
            </w:r>
            <w:r>
              <w:rPr>
                <w:rFonts w:ascii="SimSun" w:hAnsi="SimSun" w:hint="eastAsia"/>
                <w:bCs/>
                <w:sz w:val="20"/>
              </w:rPr>
              <w:t>号</w:t>
            </w:r>
          </w:p>
        </w:tc>
        <w:tc>
          <w:tcPr>
            <w:tcW w:w="1157" w:type="pct"/>
            <w:tcBorders>
              <w:top w:val="single" w:sz="4" w:space="0" w:color="auto"/>
              <w:left w:val="single" w:sz="4" w:space="0" w:color="auto"/>
              <w:bottom w:val="single" w:sz="4" w:space="0" w:color="auto"/>
              <w:right w:val="single" w:sz="4" w:space="0" w:color="auto"/>
            </w:tcBorders>
          </w:tcPr>
          <w:p w:rsidR="00000000" w:rsidRDefault="00844A84">
            <w:pPr>
              <w:spacing w:beforeLines="50" w:before="180" w:afterLines="50" w:after="180" w:line="240" w:lineRule="auto"/>
              <w:jc w:val="center"/>
              <w:rPr>
                <w:rFonts w:ascii="SimSun" w:hAnsi="SimSun" w:hint="eastAsia"/>
                <w:bCs/>
                <w:sz w:val="20"/>
              </w:rPr>
            </w:pPr>
            <w:r>
              <w:rPr>
                <w:rFonts w:ascii="SimSun" w:hAnsi="SimSun" w:hint="eastAsia"/>
                <w:bCs/>
                <w:sz w:val="20"/>
              </w:rPr>
              <w:t>部</w:t>
            </w:r>
            <w:r>
              <w:rPr>
                <w:rFonts w:ascii="SimSun" w:hAnsi="SimSun"/>
                <w:bCs/>
                <w:sz w:val="20"/>
              </w:rPr>
              <w:t xml:space="preserve">  </w:t>
            </w:r>
            <w:r>
              <w:rPr>
                <w:rFonts w:ascii="SimSun" w:hAnsi="SimSun" w:hint="eastAsia"/>
                <w:bCs/>
                <w:sz w:val="20"/>
              </w:rPr>
              <w:t>门</w:t>
            </w:r>
          </w:p>
        </w:tc>
        <w:tc>
          <w:tcPr>
            <w:tcW w:w="1775" w:type="pct"/>
            <w:gridSpan w:val="5"/>
            <w:tcBorders>
              <w:top w:val="single" w:sz="4" w:space="0" w:color="auto"/>
              <w:left w:val="single" w:sz="4" w:space="0" w:color="auto"/>
              <w:bottom w:val="single" w:sz="4" w:space="0" w:color="auto"/>
              <w:right w:val="single" w:sz="4" w:space="0" w:color="auto"/>
            </w:tcBorders>
          </w:tcPr>
          <w:p w:rsidR="00000000" w:rsidRDefault="00844A84">
            <w:pPr>
              <w:spacing w:beforeLines="50" w:before="180" w:afterLines="50" w:after="180" w:line="240" w:lineRule="auto"/>
              <w:jc w:val="center"/>
              <w:rPr>
                <w:rFonts w:ascii="SimSun" w:hAnsi="SimSun" w:hint="eastAsia"/>
                <w:bCs/>
                <w:sz w:val="20"/>
              </w:rPr>
            </w:pPr>
            <w:r>
              <w:rPr>
                <w:rFonts w:ascii="SimSun" w:hAnsi="SimSun" w:hint="eastAsia"/>
                <w:bCs/>
                <w:sz w:val="20"/>
              </w:rPr>
              <w:t>经济部门共计</w:t>
            </w:r>
          </w:p>
        </w:tc>
        <w:tc>
          <w:tcPr>
            <w:tcW w:w="1616" w:type="pct"/>
            <w:gridSpan w:val="4"/>
            <w:tcBorders>
              <w:top w:val="single" w:sz="4" w:space="0" w:color="auto"/>
              <w:left w:val="single" w:sz="4" w:space="0" w:color="auto"/>
              <w:bottom w:val="single" w:sz="4" w:space="0" w:color="auto"/>
              <w:right w:val="single" w:sz="4" w:space="0" w:color="auto"/>
            </w:tcBorders>
          </w:tcPr>
          <w:p w:rsidR="00000000" w:rsidRDefault="00844A84">
            <w:pPr>
              <w:spacing w:beforeLines="50" w:before="180" w:afterLines="50" w:after="180" w:line="240" w:lineRule="auto"/>
              <w:jc w:val="center"/>
              <w:rPr>
                <w:rFonts w:ascii="SimSun" w:hAnsi="SimSun" w:hint="eastAsia"/>
                <w:bCs/>
                <w:sz w:val="20"/>
              </w:rPr>
            </w:pPr>
            <w:r>
              <w:rPr>
                <w:rFonts w:ascii="SimSun" w:hAnsi="SimSun" w:hint="eastAsia"/>
                <w:bCs/>
                <w:sz w:val="20"/>
              </w:rPr>
              <w:t>指</w:t>
            </w:r>
            <w:r>
              <w:rPr>
                <w:rFonts w:ascii="SimSun" w:hAnsi="SimSun" w:hint="eastAsia"/>
                <w:bCs/>
                <w:sz w:val="20"/>
              </w:rPr>
              <w:t xml:space="preserve">  </w:t>
            </w:r>
            <w:r>
              <w:rPr>
                <w:rFonts w:ascii="SimSun" w:hAnsi="SimSun" w:hint="eastAsia"/>
                <w:bCs/>
                <w:sz w:val="20"/>
              </w:rPr>
              <w:t>数</w:t>
            </w:r>
          </w:p>
        </w:tc>
      </w:tr>
      <w:tr w:rsidR="00000000">
        <w:tblPrEx>
          <w:tblCellMar>
            <w:top w:w="0" w:type="dxa"/>
            <w:bottom w:w="0" w:type="dxa"/>
          </w:tblCellMar>
        </w:tblPrEx>
        <w:tc>
          <w:tcPr>
            <w:tcW w:w="452" w:type="pct"/>
            <w:tcBorders>
              <w:top w:val="single" w:sz="4" w:space="0" w:color="auto"/>
              <w:left w:val="single" w:sz="4" w:space="0" w:color="auto"/>
              <w:right w:val="single" w:sz="4" w:space="0" w:color="auto"/>
            </w:tcBorders>
          </w:tcPr>
          <w:p w:rsidR="00000000" w:rsidRDefault="00844A84">
            <w:pPr>
              <w:spacing w:before="20" w:line="240" w:lineRule="auto"/>
              <w:jc w:val="center"/>
              <w:rPr>
                <w:rFonts w:ascii="SimSun" w:hAnsi="SimSun" w:hint="eastAsia"/>
                <w:bCs/>
                <w:sz w:val="20"/>
              </w:rPr>
            </w:pPr>
          </w:p>
        </w:tc>
        <w:tc>
          <w:tcPr>
            <w:tcW w:w="1157" w:type="pct"/>
            <w:tcBorders>
              <w:top w:val="single" w:sz="4" w:space="0" w:color="auto"/>
              <w:left w:val="single" w:sz="4" w:space="0" w:color="auto"/>
              <w:right w:val="single" w:sz="4" w:space="0" w:color="auto"/>
            </w:tcBorders>
          </w:tcPr>
          <w:p w:rsidR="00000000" w:rsidRDefault="00844A84">
            <w:pPr>
              <w:spacing w:before="20" w:line="240" w:lineRule="auto"/>
              <w:jc w:val="center"/>
              <w:rPr>
                <w:rFonts w:ascii="SimSun" w:hAnsi="SimSun" w:hint="eastAsia"/>
                <w:bCs/>
                <w:sz w:val="20"/>
              </w:rPr>
            </w:pPr>
          </w:p>
        </w:tc>
        <w:tc>
          <w:tcPr>
            <w:tcW w:w="383"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1993</w:t>
            </w:r>
          </w:p>
        </w:tc>
        <w:tc>
          <w:tcPr>
            <w:tcW w:w="348"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1994</w:t>
            </w:r>
          </w:p>
        </w:tc>
        <w:tc>
          <w:tcPr>
            <w:tcW w:w="348"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1995</w:t>
            </w:r>
          </w:p>
        </w:tc>
        <w:tc>
          <w:tcPr>
            <w:tcW w:w="348"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1996</w:t>
            </w:r>
          </w:p>
        </w:tc>
        <w:tc>
          <w:tcPr>
            <w:tcW w:w="348"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1997</w:t>
            </w:r>
          </w:p>
        </w:tc>
        <w:tc>
          <w:tcPr>
            <w:tcW w:w="409"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1994</w:t>
            </w:r>
            <w:r>
              <w:rPr>
                <w:rFonts w:hint="eastAsia"/>
                <w:bCs/>
                <w:sz w:val="20"/>
              </w:rPr>
              <w:t>/</w:t>
            </w:r>
            <w:r>
              <w:rPr>
                <w:bCs/>
                <w:sz w:val="20"/>
              </w:rPr>
              <w:t>93</w:t>
            </w:r>
          </w:p>
        </w:tc>
        <w:tc>
          <w:tcPr>
            <w:tcW w:w="409"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w:t>
            </w:r>
            <w:r>
              <w:rPr>
                <w:rFonts w:hint="eastAsia"/>
                <w:bCs/>
                <w:sz w:val="20"/>
              </w:rPr>
              <w:t>5/</w:t>
            </w:r>
            <w:r>
              <w:rPr>
                <w:bCs/>
                <w:sz w:val="20"/>
              </w:rPr>
              <w:t>94</w:t>
            </w:r>
          </w:p>
        </w:tc>
        <w:tc>
          <w:tcPr>
            <w:tcW w:w="410"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1996</w:t>
            </w:r>
            <w:r>
              <w:rPr>
                <w:rFonts w:hint="eastAsia"/>
                <w:bCs/>
                <w:sz w:val="20"/>
              </w:rPr>
              <w:t>/</w:t>
            </w:r>
            <w:r>
              <w:rPr>
                <w:bCs/>
                <w:sz w:val="20"/>
              </w:rPr>
              <w:t>95</w:t>
            </w:r>
          </w:p>
        </w:tc>
        <w:tc>
          <w:tcPr>
            <w:tcW w:w="388" w:type="pct"/>
            <w:tcBorders>
              <w:top w:val="single" w:sz="4" w:space="0" w:color="auto"/>
              <w:left w:val="single" w:sz="4" w:space="0" w:color="auto"/>
              <w:bottom w:val="single" w:sz="4" w:space="0" w:color="auto"/>
              <w:right w:val="single" w:sz="4" w:space="0" w:color="auto"/>
            </w:tcBorders>
          </w:tcPr>
          <w:p w:rsidR="00000000" w:rsidRDefault="00844A84">
            <w:pPr>
              <w:spacing w:before="20" w:line="240" w:lineRule="auto"/>
              <w:jc w:val="center"/>
              <w:rPr>
                <w:rFonts w:hint="eastAsia"/>
                <w:bCs/>
                <w:sz w:val="20"/>
              </w:rPr>
            </w:pPr>
            <w:r>
              <w:rPr>
                <w:bCs/>
                <w:sz w:val="20"/>
              </w:rPr>
              <w:t>1997</w:t>
            </w:r>
            <w:r>
              <w:rPr>
                <w:rFonts w:hint="eastAsia"/>
                <w:bCs/>
                <w:sz w:val="20"/>
              </w:rPr>
              <w:t>/</w:t>
            </w:r>
            <w:r>
              <w:rPr>
                <w:bCs/>
                <w:sz w:val="20"/>
              </w:rPr>
              <w:t>96</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01</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工业和采矿业</w:t>
            </w:r>
          </w:p>
        </w:tc>
        <w:tc>
          <w:tcPr>
            <w:tcW w:w="383"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12 012</w:t>
            </w:r>
          </w:p>
        </w:tc>
        <w:tc>
          <w:tcPr>
            <w:tcW w:w="348"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leftChars="-48" w:left="31680" w:rightChars="48" w:right="31680"/>
              <w:jc w:val="right"/>
              <w:rPr>
                <w:sz w:val="20"/>
                <w:lang w:eastAsia="zh-CN"/>
              </w:rPr>
            </w:pPr>
            <w:r>
              <w:rPr>
                <w:sz w:val="20"/>
                <w:lang w:eastAsia="zh-CN"/>
              </w:rPr>
              <w:t xml:space="preserve">13 246 </w:t>
            </w:r>
          </w:p>
        </w:tc>
        <w:tc>
          <w:tcPr>
            <w:tcW w:w="348"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15 556</w:t>
            </w:r>
          </w:p>
        </w:tc>
        <w:tc>
          <w:tcPr>
            <w:tcW w:w="348"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16 5</w:t>
            </w:r>
            <w:r>
              <w:rPr>
                <w:sz w:val="20"/>
                <w:lang w:eastAsia="zh-CN"/>
              </w:rPr>
              <w:t>91</w:t>
            </w:r>
          </w:p>
        </w:tc>
        <w:tc>
          <w:tcPr>
            <w:tcW w:w="348"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12 934</w:t>
            </w:r>
          </w:p>
        </w:tc>
        <w:tc>
          <w:tcPr>
            <w:tcW w:w="409"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110.2</w:t>
            </w:r>
          </w:p>
        </w:tc>
        <w:tc>
          <w:tcPr>
            <w:tcW w:w="409"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117.4</w:t>
            </w:r>
          </w:p>
        </w:tc>
        <w:tc>
          <w:tcPr>
            <w:tcW w:w="410"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106.6</w:t>
            </w:r>
          </w:p>
        </w:tc>
        <w:tc>
          <w:tcPr>
            <w:tcW w:w="388" w:type="pct"/>
            <w:tcBorders>
              <w:top w:val="single" w:sz="4" w:space="0" w:color="auto"/>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77.9</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02</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农业和渔业</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1 813</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2 002</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1 671</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1 499</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1 449</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111.5</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82.6</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89.7</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96.7</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03</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林</w:t>
            </w:r>
            <w:r>
              <w:rPr>
                <w:rFonts w:ascii="SimSun" w:hAnsi="SimSun"/>
                <w:bCs/>
                <w:sz w:val="20"/>
              </w:rPr>
              <w:t xml:space="preserve"> </w:t>
            </w:r>
            <w:r>
              <w:rPr>
                <w:rFonts w:ascii="SimSun" w:hAnsi="SimSun" w:hint="eastAsia"/>
                <w:bCs/>
                <w:sz w:val="20"/>
              </w:rPr>
              <w:t>业</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287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208</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226</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179</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149</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72.5</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108.6</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79.2</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83.2</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04</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水</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44</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80</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73</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129</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90</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181.8</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91.2</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176.7</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69.8</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05</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建筑业</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2 464</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2 210</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2 186</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1 987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1 349</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89.7</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98.9</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90.8</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67.9</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06</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运输和通讯</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1</w:t>
            </w:r>
            <w:r>
              <w:rPr>
                <w:sz w:val="20"/>
                <w:lang w:eastAsia="zh-CN"/>
              </w:rPr>
              <w:t xml:space="preserve"> 477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1 329</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1 727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1 731</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1 540</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90.0</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129.9</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100.2</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88.9</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07</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贸</w:t>
            </w:r>
            <w:r>
              <w:rPr>
                <w:rFonts w:ascii="SimSun" w:hAnsi="SimSun"/>
                <w:bCs/>
                <w:sz w:val="20"/>
              </w:rPr>
              <w:t xml:space="preserve"> </w:t>
            </w:r>
            <w:r>
              <w:rPr>
                <w:rFonts w:ascii="SimSun" w:hAnsi="SimSun" w:hint="eastAsia"/>
                <w:bCs/>
                <w:sz w:val="20"/>
              </w:rPr>
              <w:t>易</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956</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646</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788</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778</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683</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67.6</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122</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98.7</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87.8</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08</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餐饮和旅游</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332</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287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326</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387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270</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86.4</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113.6</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118.7</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69.8</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09</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pacing w:val="2"/>
                <w:sz w:val="20"/>
              </w:rPr>
            </w:pPr>
            <w:r>
              <w:rPr>
                <w:rFonts w:ascii="SimSun" w:hAnsi="SimSun" w:hint="eastAsia"/>
                <w:bCs/>
                <w:spacing w:val="2"/>
                <w:sz w:val="20"/>
              </w:rPr>
              <w:t>手工艺和其他私营部门服务</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374</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315</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327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342</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314</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84.2</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103.8</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104.6</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91.8</w:t>
            </w:r>
          </w:p>
        </w:tc>
      </w:tr>
      <w:tr w:rsidR="00000000">
        <w:tblPrEx>
          <w:tblCellMar>
            <w:top w:w="0" w:type="dxa"/>
            <w:bottom w:w="0" w:type="dxa"/>
          </w:tblCellMar>
        </w:tblPrEx>
        <w:tc>
          <w:tcPr>
            <w:tcW w:w="452" w:type="pct"/>
            <w:tcBorders>
              <w:left w:val="single" w:sz="4" w:space="0" w:color="auto"/>
              <w:right w:val="single" w:sz="4" w:space="0" w:color="auto"/>
            </w:tcBorders>
          </w:tcPr>
          <w:p w:rsidR="00000000" w:rsidRDefault="00844A84">
            <w:pPr>
              <w:spacing w:before="80" w:line="240" w:lineRule="auto"/>
              <w:jc w:val="center"/>
              <w:rPr>
                <w:rFonts w:hint="eastAsia"/>
                <w:bCs/>
                <w:sz w:val="20"/>
              </w:rPr>
            </w:pPr>
            <w:r>
              <w:rPr>
                <w:rFonts w:hint="eastAsia"/>
                <w:bCs/>
                <w:sz w:val="20"/>
              </w:rPr>
              <w:t>10</w:t>
            </w:r>
          </w:p>
        </w:tc>
        <w:tc>
          <w:tcPr>
            <w:tcW w:w="1157" w:type="pct"/>
            <w:tcBorders>
              <w:left w:val="single" w:sz="4" w:space="0" w:color="auto"/>
              <w:right w:val="single" w:sz="4" w:space="0" w:color="auto"/>
            </w:tcBorders>
          </w:tcPr>
          <w:p w:rsidR="00000000" w:rsidRDefault="00844A84" w:rsidP="00844A84">
            <w:pPr>
              <w:spacing w:before="80" w:line="240" w:lineRule="auto"/>
              <w:ind w:leftChars="61" w:left="31680"/>
              <w:rPr>
                <w:rFonts w:ascii="SimSun" w:hAnsi="SimSun" w:hint="eastAsia"/>
                <w:bCs/>
                <w:sz w:val="20"/>
              </w:rPr>
            </w:pPr>
            <w:r>
              <w:rPr>
                <w:rFonts w:ascii="SimSun" w:hAnsi="SimSun" w:hint="eastAsia"/>
                <w:bCs/>
                <w:sz w:val="20"/>
              </w:rPr>
              <w:t>住房、公用事业以及与城</w:t>
            </w:r>
            <w:r>
              <w:rPr>
                <w:rFonts w:ascii="SimSun" w:hAnsi="SimSun"/>
                <w:bCs/>
                <w:sz w:val="20"/>
              </w:rPr>
              <w:br/>
            </w:r>
            <w:r>
              <w:rPr>
                <w:rFonts w:ascii="SimSun" w:hAnsi="SimSun" w:hint="eastAsia"/>
                <w:bCs/>
                <w:sz w:val="20"/>
              </w:rPr>
              <w:t>市和设施环境规划及安置</w:t>
            </w:r>
            <w:r>
              <w:rPr>
                <w:rFonts w:ascii="SimSun" w:hAnsi="SimSun"/>
                <w:bCs/>
                <w:sz w:val="20"/>
              </w:rPr>
              <w:br/>
            </w:r>
            <w:r>
              <w:rPr>
                <w:rFonts w:ascii="SimSun" w:hAnsi="SimSun" w:hint="eastAsia"/>
                <w:bCs/>
                <w:sz w:val="20"/>
              </w:rPr>
              <w:t>有关的活动</w:t>
            </w:r>
          </w:p>
        </w:tc>
        <w:tc>
          <w:tcPr>
            <w:tcW w:w="0" w:type="pct"/>
            <w:tcBorders>
              <w:left w:val="single" w:sz="4" w:space="0" w:color="auto"/>
              <w:right w:val="single" w:sz="4" w:space="0" w:color="auto"/>
            </w:tcBorders>
          </w:tcPr>
          <w:p w:rsidR="00000000" w:rsidRDefault="00844A84" w:rsidP="00844A84">
            <w:pPr>
              <w:pStyle w:val="BodyText"/>
              <w:spacing w:after="0"/>
              <w:ind w:rightChars="61" w:right="31680"/>
              <w:jc w:val="right"/>
              <w:rPr>
                <w:sz w:val="20"/>
                <w:lang w:eastAsia="zh-CN"/>
              </w:rPr>
            </w:pPr>
            <w:r>
              <w:rPr>
                <w:sz w:val="20"/>
                <w:lang w:eastAsia="zh-CN"/>
              </w:rPr>
              <w:t>554</w:t>
            </w:r>
          </w:p>
        </w:tc>
        <w:tc>
          <w:tcPr>
            <w:tcW w:w="0" w:type="pct"/>
            <w:tcBorders>
              <w:left w:val="single" w:sz="4" w:space="0" w:color="auto"/>
              <w:right w:val="single" w:sz="4" w:space="0" w:color="auto"/>
            </w:tcBorders>
          </w:tcPr>
          <w:p w:rsidR="00000000" w:rsidRDefault="00844A84" w:rsidP="00844A84">
            <w:pPr>
              <w:pStyle w:val="BodyText"/>
              <w:spacing w:after="0"/>
              <w:ind w:rightChars="48" w:right="31680"/>
              <w:jc w:val="right"/>
              <w:rPr>
                <w:sz w:val="20"/>
                <w:lang w:eastAsia="zh-CN"/>
              </w:rPr>
            </w:pPr>
            <w:r>
              <w:rPr>
                <w:sz w:val="20"/>
                <w:lang w:eastAsia="zh-CN"/>
              </w:rPr>
              <w:t>632</w:t>
            </w:r>
          </w:p>
        </w:tc>
        <w:tc>
          <w:tcPr>
            <w:tcW w:w="0" w:type="pct"/>
            <w:tcBorders>
              <w:left w:val="single" w:sz="4" w:space="0" w:color="auto"/>
              <w:right w:val="single" w:sz="4" w:space="0" w:color="auto"/>
            </w:tcBorders>
          </w:tcPr>
          <w:p w:rsidR="00000000" w:rsidRDefault="00844A84" w:rsidP="00844A84">
            <w:pPr>
              <w:pStyle w:val="BodyText"/>
              <w:spacing w:after="0"/>
              <w:ind w:rightChars="48" w:right="31680"/>
              <w:jc w:val="right"/>
              <w:rPr>
                <w:sz w:val="20"/>
                <w:lang w:eastAsia="zh-CN"/>
              </w:rPr>
            </w:pPr>
            <w:r>
              <w:rPr>
                <w:sz w:val="20"/>
                <w:lang w:eastAsia="zh-CN"/>
              </w:rPr>
              <w:t>771</w:t>
            </w:r>
          </w:p>
        </w:tc>
        <w:tc>
          <w:tcPr>
            <w:tcW w:w="0" w:type="pct"/>
            <w:tcBorders>
              <w:left w:val="single" w:sz="4" w:space="0" w:color="auto"/>
              <w:right w:val="single" w:sz="4" w:space="0" w:color="auto"/>
            </w:tcBorders>
          </w:tcPr>
          <w:p w:rsidR="00000000" w:rsidRDefault="00844A84" w:rsidP="00844A84">
            <w:pPr>
              <w:pStyle w:val="BodyText"/>
              <w:spacing w:after="0"/>
              <w:ind w:rightChars="48" w:right="31680"/>
              <w:jc w:val="right"/>
              <w:rPr>
                <w:sz w:val="20"/>
                <w:lang w:eastAsia="zh-CN"/>
              </w:rPr>
            </w:pPr>
            <w:r>
              <w:rPr>
                <w:sz w:val="20"/>
                <w:lang w:eastAsia="zh-CN"/>
              </w:rPr>
              <w:t>8</w:t>
            </w:r>
            <w:r>
              <w:rPr>
                <w:sz w:val="20"/>
                <w:lang w:eastAsia="zh-CN"/>
              </w:rPr>
              <w:t>43</w:t>
            </w:r>
          </w:p>
        </w:tc>
        <w:tc>
          <w:tcPr>
            <w:tcW w:w="0" w:type="pct"/>
            <w:tcBorders>
              <w:left w:val="single" w:sz="4" w:space="0" w:color="auto"/>
              <w:right w:val="single" w:sz="4" w:space="0" w:color="auto"/>
            </w:tcBorders>
          </w:tcPr>
          <w:p w:rsidR="00000000" w:rsidRDefault="00844A84" w:rsidP="00844A84">
            <w:pPr>
              <w:pStyle w:val="BodyText"/>
              <w:spacing w:after="0"/>
              <w:ind w:rightChars="48" w:right="31680"/>
              <w:jc w:val="right"/>
              <w:rPr>
                <w:sz w:val="20"/>
                <w:lang w:eastAsia="zh-CN"/>
              </w:rPr>
            </w:pPr>
            <w:r>
              <w:rPr>
                <w:sz w:val="20"/>
                <w:lang w:eastAsia="zh-CN"/>
              </w:rPr>
              <w:t>630</w:t>
            </w:r>
          </w:p>
        </w:tc>
        <w:tc>
          <w:tcPr>
            <w:tcW w:w="0" w:type="pct"/>
            <w:tcBorders>
              <w:left w:val="single" w:sz="4" w:space="0" w:color="auto"/>
              <w:right w:val="single" w:sz="4" w:space="0" w:color="auto"/>
            </w:tcBorders>
          </w:tcPr>
          <w:p w:rsidR="00000000" w:rsidRDefault="00844A84" w:rsidP="00844A84">
            <w:pPr>
              <w:pStyle w:val="BodyText"/>
              <w:spacing w:after="0"/>
              <w:ind w:rightChars="50" w:right="31680"/>
              <w:jc w:val="right"/>
              <w:rPr>
                <w:sz w:val="20"/>
                <w:lang w:eastAsia="zh-CN"/>
              </w:rPr>
            </w:pPr>
            <w:r>
              <w:rPr>
                <w:sz w:val="20"/>
                <w:lang w:eastAsia="zh-CN"/>
              </w:rPr>
              <w:t>114.1</w:t>
            </w:r>
          </w:p>
        </w:tc>
        <w:tc>
          <w:tcPr>
            <w:tcW w:w="0" w:type="pct"/>
            <w:tcBorders>
              <w:left w:val="single" w:sz="4" w:space="0" w:color="auto"/>
              <w:right w:val="single" w:sz="4" w:space="0" w:color="auto"/>
            </w:tcBorders>
          </w:tcPr>
          <w:p w:rsidR="00000000" w:rsidRDefault="00844A84" w:rsidP="00844A84">
            <w:pPr>
              <w:pStyle w:val="BodyText"/>
              <w:spacing w:after="0"/>
              <w:ind w:rightChars="50" w:right="31680"/>
              <w:jc w:val="right"/>
              <w:rPr>
                <w:sz w:val="20"/>
                <w:lang w:eastAsia="zh-CN"/>
              </w:rPr>
            </w:pPr>
            <w:r>
              <w:rPr>
                <w:sz w:val="20"/>
                <w:lang w:eastAsia="zh-CN"/>
              </w:rPr>
              <w:t>122</w:t>
            </w:r>
          </w:p>
        </w:tc>
        <w:tc>
          <w:tcPr>
            <w:tcW w:w="0" w:type="pct"/>
            <w:tcBorders>
              <w:left w:val="single" w:sz="4" w:space="0" w:color="auto"/>
              <w:right w:val="single" w:sz="4" w:space="0" w:color="auto"/>
            </w:tcBorders>
          </w:tcPr>
          <w:p w:rsidR="00000000" w:rsidRDefault="00844A84" w:rsidP="00844A84">
            <w:pPr>
              <w:pStyle w:val="BodyText"/>
              <w:spacing w:after="0"/>
              <w:ind w:rightChars="50" w:right="31680"/>
              <w:jc w:val="right"/>
              <w:rPr>
                <w:sz w:val="20"/>
                <w:lang w:eastAsia="zh-CN"/>
              </w:rPr>
            </w:pPr>
            <w:r>
              <w:rPr>
                <w:sz w:val="20"/>
                <w:lang w:eastAsia="zh-CN"/>
              </w:rPr>
              <w:t>109.3</w:t>
            </w:r>
          </w:p>
        </w:tc>
        <w:tc>
          <w:tcPr>
            <w:tcW w:w="0" w:type="pct"/>
            <w:tcBorders>
              <w:left w:val="single" w:sz="4" w:space="0" w:color="auto"/>
              <w:right w:val="single" w:sz="4" w:space="0" w:color="auto"/>
            </w:tcBorders>
          </w:tcPr>
          <w:p w:rsidR="00000000" w:rsidRDefault="00844A84" w:rsidP="00844A84">
            <w:pPr>
              <w:pStyle w:val="BodyText"/>
              <w:spacing w:after="0"/>
              <w:ind w:rightChars="80" w:right="31680"/>
              <w:jc w:val="right"/>
              <w:rPr>
                <w:sz w:val="20"/>
                <w:lang w:eastAsia="zh-CN"/>
              </w:rPr>
            </w:pPr>
            <w:r>
              <w:rPr>
                <w:sz w:val="20"/>
                <w:lang w:eastAsia="zh-CN"/>
              </w:rPr>
              <w:t>74.7</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11</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金融、技术和商业服务</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347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304</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309</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427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259</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87.6</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101.6</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138.1</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60.6</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12</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教育、科学、文化和信息</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612</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557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637</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714</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468</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91.0</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114.4</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112.1</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65.5</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13</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保健和社会福利</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61" w:right="31680"/>
              <w:jc w:val="right"/>
              <w:rPr>
                <w:sz w:val="20"/>
                <w:lang w:eastAsia="zh-CN"/>
              </w:rPr>
            </w:pPr>
            <w:r>
              <w:rPr>
                <w:sz w:val="20"/>
                <w:lang w:eastAsia="zh-CN"/>
              </w:rPr>
              <w:t>1 346</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1 130</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1 426</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1 599</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1 218</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84.0</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126.2</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112.1</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76.2</w:t>
            </w:r>
          </w:p>
        </w:tc>
      </w:tr>
      <w:tr w:rsidR="00000000">
        <w:tblPrEx>
          <w:tblCellMar>
            <w:top w:w="0" w:type="dxa"/>
            <w:bottom w:w="0" w:type="dxa"/>
          </w:tblCellMar>
        </w:tblPrEx>
        <w:tc>
          <w:tcPr>
            <w:tcW w:w="452" w:type="pct"/>
            <w:tcBorders>
              <w:left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14</w:t>
            </w:r>
          </w:p>
        </w:tc>
        <w:tc>
          <w:tcPr>
            <w:tcW w:w="1157" w:type="pct"/>
            <w:tcBorders>
              <w:left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pacing w:val="4"/>
                <w:sz w:val="20"/>
              </w:rPr>
            </w:pPr>
            <w:r>
              <w:rPr>
                <w:rFonts w:ascii="SimSun" w:hAnsi="SimSun" w:hint="eastAsia"/>
                <w:bCs/>
                <w:spacing w:val="4"/>
                <w:sz w:val="20"/>
              </w:rPr>
              <w:t>规划、计划和专门机构</w:t>
            </w:r>
          </w:p>
        </w:tc>
        <w:tc>
          <w:tcPr>
            <w:tcW w:w="383"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878</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765</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878</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950</w:t>
            </w:r>
          </w:p>
        </w:tc>
        <w:tc>
          <w:tcPr>
            <w:tcW w:w="348" w:type="pct"/>
            <w:tcBorders>
              <w:left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809</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87.1</w:t>
            </w:r>
          </w:p>
        </w:tc>
        <w:tc>
          <w:tcPr>
            <w:tcW w:w="409"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114.8</w:t>
            </w:r>
          </w:p>
        </w:tc>
        <w:tc>
          <w:tcPr>
            <w:tcW w:w="410" w:type="pct"/>
            <w:tcBorders>
              <w:left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108</w:t>
            </w:r>
            <w:r>
              <w:rPr>
                <w:sz w:val="20"/>
                <w:lang w:eastAsia="zh-CN"/>
              </w:rPr>
              <w:t>.2</w:t>
            </w:r>
          </w:p>
        </w:tc>
        <w:tc>
          <w:tcPr>
            <w:tcW w:w="388" w:type="pct"/>
            <w:tcBorders>
              <w:left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85.1</w:t>
            </w:r>
          </w:p>
        </w:tc>
      </w:tr>
      <w:tr w:rsidR="00000000">
        <w:tblPrEx>
          <w:tblCellMar>
            <w:top w:w="0" w:type="dxa"/>
            <w:bottom w:w="0" w:type="dxa"/>
          </w:tblCellMar>
        </w:tblPrEx>
        <w:tc>
          <w:tcPr>
            <w:tcW w:w="452" w:type="pct"/>
            <w:tcBorders>
              <w:left w:val="single" w:sz="4" w:space="0" w:color="auto"/>
              <w:bottom w:val="single" w:sz="4" w:space="0" w:color="auto"/>
              <w:right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15</w:t>
            </w:r>
          </w:p>
        </w:tc>
        <w:tc>
          <w:tcPr>
            <w:tcW w:w="1157" w:type="pct"/>
            <w:tcBorders>
              <w:left w:val="single" w:sz="4" w:space="0" w:color="auto"/>
              <w:bottom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其</w:t>
            </w:r>
            <w:r>
              <w:rPr>
                <w:rFonts w:ascii="SimSun" w:hAnsi="SimSun"/>
                <w:bCs/>
                <w:sz w:val="20"/>
              </w:rPr>
              <w:t xml:space="preserve"> </w:t>
            </w:r>
            <w:r>
              <w:rPr>
                <w:rFonts w:ascii="SimSun" w:hAnsi="SimSun" w:hint="eastAsia"/>
                <w:bCs/>
                <w:sz w:val="20"/>
              </w:rPr>
              <w:t>他</w:t>
            </w:r>
          </w:p>
        </w:tc>
        <w:tc>
          <w:tcPr>
            <w:tcW w:w="383"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33</w:t>
            </w:r>
          </w:p>
        </w:tc>
        <w:tc>
          <w:tcPr>
            <w:tcW w:w="348"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 xml:space="preserve"> 18</w:t>
            </w:r>
          </w:p>
        </w:tc>
        <w:tc>
          <w:tcPr>
            <w:tcW w:w="348"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 xml:space="preserve"> 39</w:t>
            </w:r>
          </w:p>
        </w:tc>
        <w:tc>
          <w:tcPr>
            <w:tcW w:w="348"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 xml:space="preserve"> 39</w:t>
            </w:r>
          </w:p>
        </w:tc>
        <w:tc>
          <w:tcPr>
            <w:tcW w:w="348"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 xml:space="preserve"> 38</w:t>
            </w:r>
          </w:p>
        </w:tc>
        <w:tc>
          <w:tcPr>
            <w:tcW w:w="409"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54.6</w:t>
            </w:r>
          </w:p>
        </w:tc>
        <w:tc>
          <w:tcPr>
            <w:tcW w:w="409"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216.7</w:t>
            </w:r>
          </w:p>
        </w:tc>
        <w:tc>
          <w:tcPr>
            <w:tcW w:w="410"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100.0</w:t>
            </w:r>
          </w:p>
        </w:tc>
        <w:tc>
          <w:tcPr>
            <w:tcW w:w="388" w:type="pct"/>
            <w:tcBorders>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80" w:right="31680"/>
              <w:jc w:val="right"/>
              <w:rPr>
                <w:sz w:val="20"/>
                <w:lang w:eastAsia="zh-CN"/>
              </w:rPr>
            </w:pPr>
            <w:r>
              <w:rPr>
                <w:sz w:val="20"/>
                <w:lang w:eastAsia="zh-CN"/>
              </w:rPr>
              <w:t>97.4</w:t>
            </w:r>
          </w:p>
        </w:tc>
      </w:tr>
      <w:tr w:rsidR="00000000">
        <w:tblPrEx>
          <w:tblCellMar>
            <w:top w:w="0" w:type="dxa"/>
            <w:bottom w:w="0" w:type="dxa"/>
          </w:tblCellMar>
        </w:tblPrEx>
        <w:tc>
          <w:tcPr>
            <w:tcW w:w="452" w:type="pct"/>
            <w:tcBorders>
              <w:top w:val="single" w:sz="4" w:space="0" w:color="auto"/>
              <w:left w:val="single" w:sz="4" w:space="0" w:color="auto"/>
              <w:bottom w:val="single" w:sz="4" w:space="0" w:color="auto"/>
            </w:tcBorders>
            <w:vAlign w:val="center"/>
          </w:tcPr>
          <w:p w:rsidR="00000000" w:rsidRDefault="00844A84">
            <w:pPr>
              <w:spacing w:before="20" w:line="240" w:lineRule="auto"/>
              <w:ind w:left="-735"/>
              <w:rPr>
                <w:rFonts w:ascii="SimSun" w:hAnsi="SimSun" w:hint="eastAsia"/>
                <w:bCs/>
                <w:sz w:val="20"/>
              </w:rPr>
            </w:pPr>
          </w:p>
        </w:tc>
        <w:tc>
          <w:tcPr>
            <w:tcW w:w="1157" w:type="pct"/>
            <w:tcBorders>
              <w:top w:val="single" w:sz="4" w:space="0" w:color="auto"/>
              <w:bottom w:val="single" w:sz="4" w:space="0" w:color="auto"/>
              <w:right w:val="single" w:sz="4" w:space="0" w:color="auto"/>
            </w:tcBorders>
            <w:vAlign w:val="center"/>
          </w:tcPr>
          <w:p w:rsidR="00000000" w:rsidRDefault="00844A84" w:rsidP="00844A84">
            <w:pPr>
              <w:spacing w:before="20" w:line="240" w:lineRule="auto"/>
              <w:ind w:firstLineChars="66" w:firstLine="31680"/>
              <w:rPr>
                <w:rFonts w:ascii="SimSun" w:hAnsi="SimSun" w:hint="eastAsia"/>
                <w:bCs/>
                <w:sz w:val="20"/>
              </w:rPr>
            </w:pPr>
            <w:r>
              <w:rPr>
                <w:rFonts w:ascii="SimSun" w:hAnsi="SimSun" w:hint="eastAsia"/>
                <w:bCs/>
                <w:sz w:val="20"/>
              </w:rPr>
              <w:t>共</w:t>
            </w:r>
            <w:r>
              <w:rPr>
                <w:rFonts w:ascii="SimSun" w:hAnsi="SimSun"/>
                <w:bCs/>
                <w:sz w:val="20"/>
              </w:rPr>
              <w:t xml:space="preserve"> </w:t>
            </w:r>
            <w:r>
              <w:rPr>
                <w:rFonts w:ascii="SimSun" w:hAnsi="SimSun" w:hint="eastAsia"/>
                <w:bCs/>
                <w:sz w:val="20"/>
              </w:rPr>
              <w:t>计</w:t>
            </w:r>
          </w:p>
        </w:tc>
        <w:tc>
          <w:tcPr>
            <w:tcW w:w="383"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23 528</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23 749</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26 940</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28 195</w:t>
            </w:r>
          </w:p>
        </w:tc>
        <w:tc>
          <w:tcPr>
            <w:tcW w:w="348"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22 200</w:t>
            </w:r>
          </w:p>
        </w:tc>
        <w:tc>
          <w:tcPr>
            <w:tcW w:w="409"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101.0</w:t>
            </w:r>
          </w:p>
        </w:tc>
        <w:tc>
          <w:tcPr>
            <w:tcW w:w="409"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48" w:right="31680"/>
              <w:jc w:val="right"/>
              <w:rPr>
                <w:sz w:val="20"/>
                <w:lang w:eastAsia="zh-CN"/>
              </w:rPr>
            </w:pPr>
            <w:r>
              <w:rPr>
                <w:sz w:val="20"/>
                <w:lang w:eastAsia="zh-CN"/>
              </w:rPr>
              <w:t>113.4</w:t>
            </w:r>
          </w:p>
        </w:tc>
        <w:tc>
          <w:tcPr>
            <w:tcW w:w="410"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105.6</w:t>
            </w:r>
          </w:p>
        </w:tc>
        <w:tc>
          <w:tcPr>
            <w:tcW w:w="388" w:type="pct"/>
            <w:tcBorders>
              <w:top w:val="single" w:sz="4" w:space="0" w:color="auto"/>
              <w:left w:val="single" w:sz="4" w:space="0" w:color="auto"/>
              <w:bottom w:val="single" w:sz="4" w:space="0" w:color="auto"/>
              <w:right w:val="single" w:sz="4" w:space="0" w:color="auto"/>
            </w:tcBorders>
            <w:vAlign w:val="center"/>
          </w:tcPr>
          <w:p w:rsidR="00000000" w:rsidRDefault="00844A84" w:rsidP="00844A84">
            <w:pPr>
              <w:pStyle w:val="BodyText"/>
              <w:spacing w:before="20" w:after="0"/>
              <w:ind w:rightChars="35" w:right="31680"/>
              <w:jc w:val="right"/>
              <w:rPr>
                <w:sz w:val="20"/>
                <w:lang w:eastAsia="zh-CN"/>
              </w:rPr>
            </w:pPr>
            <w:r>
              <w:rPr>
                <w:sz w:val="20"/>
                <w:lang w:eastAsia="zh-CN"/>
              </w:rPr>
              <w:t>78.73</w:t>
            </w:r>
          </w:p>
        </w:tc>
      </w:tr>
    </w:tbl>
    <w:p w:rsidR="00000000" w:rsidRDefault="00844A84">
      <w:pPr>
        <w:spacing w:line="360" w:lineRule="auto"/>
        <w:rPr>
          <w:rFonts w:ascii="SimSun" w:hAnsi="SimSun" w:hint="eastAsia"/>
          <w:bCs/>
        </w:rPr>
      </w:pPr>
    </w:p>
    <w:p w:rsidR="00000000" w:rsidRDefault="00844A84">
      <w:pPr>
        <w:pStyle w:val="Heading3"/>
        <w:rPr>
          <w:rFonts w:ascii="SimSun" w:hAnsi="SimSun"/>
          <w:bCs/>
        </w:rPr>
      </w:pPr>
      <w:r>
        <w:rPr>
          <w:rFonts w:hint="eastAsia"/>
          <w:u w:val="none"/>
        </w:rPr>
        <w:t>表</w:t>
      </w:r>
      <w:r>
        <w:rPr>
          <w:u w:val="none"/>
        </w:rPr>
        <w:t xml:space="preserve">  </w:t>
      </w:r>
      <w:r>
        <w:rPr>
          <w:rFonts w:hint="eastAsia"/>
          <w:u w:val="none"/>
        </w:rPr>
        <w:t>3</w:t>
      </w:r>
      <w:r>
        <w:rPr>
          <w:u w:val="none"/>
        </w:rPr>
        <w:br/>
      </w:r>
      <w:r>
        <w:t>199</w:t>
      </w:r>
      <w:r>
        <w:rPr>
          <w:rFonts w:hint="eastAsia"/>
        </w:rPr>
        <w:t>2</w:t>
      </w:r>
      <w:r>
        <w:t>至</w:t>
      </w:r>
      <w:r>
        <w:t>199</w:t>
      </w:r>
      <w:r>
        <w:rPr>
          <w:rFonts w:hint="eastAsia"/>
        </w:rPr>
        <w:t>6</w:t>
      </w:r>
      <w:r>
        <w:t>年期间按经济部门开列的塞尔维亚共和国境内工伤调查</w:t>
      </w:r>
    </w:p>
    <w:tbl>
      <w:tblPr>
        <w:tblW w:w="12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84"/>
        <w:gridCol w:w="2674"/>
        <w:gridCol w:w="1038"/>
        <w:gridCol w:w="1038"/>
        <w:gridCol w:w="1038"/>
        <w:gridCol w:w="1038"/>
        <w:gridCol w:w="1039"/>
        <w:gridCol w:w="1187"/>
        <w:gridCol w:w="998"/>
        <w:gridCol w:w="996"/>
        <w:gridCol w:w="995"/>
      </w:tblGrid>
      <w:tr w:rsidR="00000000">
        <w:tblPrEx>
          <w:tblCellMar>
            <w:top w:w="0" w:type="dxa"/>
            <w:bottom w:w="0" w:type="dxa"/>
          </w:tblCellMar>
        </w:tblPrEx>
        <w:trPr>
          <w:cantSplit/>
        </w:trPr>
        <w:tc>
          <w:tcPr>
            <w:tcW w:w="884" w:type="dxa"/>
            <w:tcBorders>
              <w:bottom w:val="single" w:sz="4" w:space="0" w:color="auto"/>
            </w:tcBorders>
          </w:tcPr>
          <w:p w:rsidR="00000000" w:rsidRDefault="00844A84">
            <w:pPr>
              <w:pStyle w:val="a3"/>
              <w:keepNext w:val="0"/>
              <w:keepLines w:val="0"/>
              <w:widowControl/>
              <w:overflowPunct w:val="0"/>
              <w:snapToGrid w:val="0"/>
              <w:spacing w:beforeLines="30" w:before="108" w:afterLines="30" w:after="108" w:line="264" w:lineRule="auto"/>
              <w:textAlignment w:val="auto"/>
              <w:rPr>
                <w:rFonts w:ascii="SimSun" w:eastAsia="SimSun" w:hAnsi="SimSun" w:hint="eastAsia"/>
                <w:bCs/>
                <w:snapToGrid w:val="0"/>
                <w:kern w:val="0"/>
                <w:sz w:val="20"/>
              </w:rPr>
            </w:pPr>
            <w:r>
              <w:rPr>
                <w:rFonts w:ascii="SimSun" w:eastAsia="SimSun" w:hAnsi="SimSun" w:hint="eastAsia"/>
                <w:bCs/>
                <w:snapToGrid w:val="0"/>
                <w:kern w:val="0"/>
                <w:sz w:val="20"/>
              </w:rPr>
              <w:t>编</w:t>
            </w:r>
            <w:r>
              <w:rPr>
                <w:rFonts w:ascii="SimSun" w:eastAsia="SimSun" w:hAnsi="SimSun"/>
                <w:bCs/>
                <w:snapToGrid w:val="0"/>
                <w:kern w:val="0"/>
                <w:sz w:val="20"/>
              </w:rPr>
              <w:t xml:space="preserve"> </w:t>
            </w:r>
            <w:r>
              <w:rPr>
                <w:rFonts w:ascii="SimSun" w:eastAsia="SimSun" w:hAnsi="SimSun" w:hint="eastAsia"/>
                <w:bCs/>
                <w:snapToGrid w:val="0"/>
                <w:kern w:val="0"/>
                <w:sz w:val="20"/>
              </w:rPr>
              <w:t>号</w:t>
            </w:r>
          </w:p>
        </w:tc>
        <w:tc>
          <w:tcPr>
            <w:tcW w:w="2674" w:type="dxa"/>
            <w:tcBorders>
              <w:bottom w:val="single" w:sz="4" w:space="0" w:color="auto"/>
            </w:tcBorders>
          </w:tcPr>
          <w:p w:rsidR="00000000" w:rsidRDefault="00844A84">
            <w:pPr>
              <w:pStyle w:val="a3"/>
              <w:keepNext w:val="0"/>
              <w:keepLines w:val="0"/>
              <w:widowControl/>
              <w:overflowPunct w:val="0"/>
              <w:snapToGrid w:val="0"/>
              <w:spacing w:beforeLines="30" w:before="108" w:afterLines="30" w:after="108" w:line="264" w:lineRule="auto"/>
              <w:ind w:left="-57"/>
              <w:textAlignment w:val="auto"/>
              <w:rPr>
                <w:rFonts w:ascii="SimSun" w:eastAsia="SimSun" w:hAnsi="SimSun" w:hint="eastAsia"/>
                <w:bCs/>
                <w:snapToGrid w:val="0"/>
                <w:kern w:val="0"/>
                <w:sz w:val="20"/>
              </w:rPr>
            </w:pPr>
            <w:r>
              <w:rPr>
                <w:rFonts w:ascii="SimSun" w:eastAsia="SimSun" w:hAnsi="SimSun" w:hint="eastAsia"/>
                <w:bCs/>
                <w:snapToGrid w:val="0"/>
                <w:kern w:val="0"/>
                <w:sz w:val="20"/>
              </w:rPr>
              <w:t>部</w:t>
            </w:r>
            <w:r>
              <w:rPr>
                <w:rFonts w:ascii="SimSun" w:eastAsia="SimSun" w:hAnsi="SimSun"/>
                <w:bCs/>
                <w:snapToGrid w:val="0"/>
                <w:kern w:val="0"/>
                <w:sz w:val="20"/>
              </w:rPr>
              <w:t xml:space="preserve">  </w:t>
            </w:r>
            <w:r>
              <w:rPr>
                <w:rFonts w:ascii="SimSun" w:eastAsia="SimSun" w:hAnsi="SimSun" w:hint="eastAsia"/>
                <w:bCs/>
                <w:snapToGrid w:val="0"/>
                <w:kern w:val="0"/>
                <w:sz w:val="20"/>
              </w:rPr>
              <w:t>门</w:t>
            </w:r>
          </w:p>
        </w:tc>
        <w:tc>
          <w:tcPr>
            <w:tcW w:w="5191" w:type="dxa"/>
            <w:gridSpan w:val="5"/>
          </w:tcPr>
          <w:p w:rsidR="00000000" w:rsidRDefault="00844A84">
            <w:pPr>
              <w:pStyle w:val="a3"/>
              <w:keepNext w:val="0"/>
              <w:keepLines w:val="0"/>
              <w:widowControl/>
              <w:overflowPunct w:val="0"/>
              <w:snapToGrid w:val="0"/>
              <w:spacing w:beforeLines="30" w:before="108" w:afterLines="30" w:after="108" w:line="264" w:lineRule="auto"/>
              <w:textAlignment w:val="auto"/>
              <w:rPr>
                <w:rFonts w:ascii="SimSun" w:eastAsia="SimSun" w:hAnsi="SimSun" w:hint="eastAsia"/>
                <w:bCs/>
                <w:snapToGrid w:val="0"/>
                <w:kern w:val="0"/>
                <w:sz w:val="20"/>
              </w:rPr>
            </w:pPr>
            <w:r>
              <w:rPr>
                <w:rFonts w:ascii="SimSun" w:eastAsia="SimSun" w:hAnsi="SimSun" w:hint="eastAsia"/>
                <w:bCs/>
                <w:snapToGrid w:val="0"/>
                <w:kern w:val="0"/>
                <w:sz w:val="20"/>
              </w:rPr>
              <w:t>经济部门共计</w:t>
            </w:r>
          </w:p>
        </w:tc>
        <w:tc>
          <w:tcPr>
            <w:tcW w:w="4176" w:type="dxa"/>
            <w:gridSpan w:val="4"/>
          </w:tcPr>
          <w:p w:rsidR="00000000" w:rsidRDefault="00844A84">
            <w:pPr>
              <w:pStyle w:val="a3"/>
              <w:keepNext w:val="0"/>
              <w:keepLines w:val="0"/>
              <w:widowControl/>
              <w:overflowPunct w:val="0"/>
              <w:snapToGrid w:val="0"/>
              <w:spacing w:beforeLines="30" w:before="108" w:afterLines="30" w:after="108" w:line="264" w:lineRule="auto"/>
              <w:textAlignment w:val="auto"/>
              <w:rPr>
                <w:rFonts w:ascii="SimSun" w:eastAsia="SimSun" w:hAnsi="SimSun" w:hint="eastAsia"/>
                <w:bCs/>
                <w:snapToGrid w:val="0"/>
                <w:kern w:val="0"/>
                <w:sz w:val="20"/>
              </w:rPr>
            </w:pPr>
            <w:r>
              <w:rPr>
                <w:rFonts w:ascii="SimSun" w:eastAsia="SimSun" w:hAnsi="SimSun" w:hint="eastAsia"/>
                <w:bCs/>
                <w:snapToGrid w:val="0"/>
                <w:kern w:val="0"/>
                <w:sz w:val="20"/>
              </w:rPr>
              <w:t>指</w:t>
            </w:r>
            <w:r>
              <w:rPr>
                <w:rFonts w:ascii="SimSun" w:eastAsia="SimSun" w:hAnsi="SimSun"/>
                <w:bCs/>
                <w:snapToGrid w:val="0"/>
                <w:kern w:val="0"/>
                <w:sz w:val="20"/>
              </w:rPr>
              <w:t xml:space="preserve">  </w:t>
            </w:r>
            <w:r>
              <w:rPr>
                <w:rFonts w:ascii="SimSun" w:eastAsia="SimSun" w:hAnsi="SimSun" w:hint="eastAsia"/>
                <w:bCs/>
                <w:snapToGrid w:val="0"/>
                <w:kern w:val="0"/>
                <w:sz w:val="20"/>
              </w:rPr>
              <w:t>数</w:t>
            </w:r>
          </w:p>
        </w:tc>
      </w:tr>
      <w:tr w:rsidR="00000000">
        <w:tblPrEx>
          <w:tblCellMar>
            <w:top w:w="0" w:type="dxa"/>
            <w:bottom w:w="0" w:type="dxa"/>
          </w:tblCellMar>
        </w:tblPrEx>
        <w:tc>
          <w:tcPr>
            <w:tcW w:w="884" w:type="dxa"/>
            <w:tcBorders>
              <w:bottom w:val="nil"/>
            </w:tcBorders>
            <w:vAlign w:val="center"/>
          </w:tcPr>
          <w:p w:rsidR="00000000" w:rsidRDefault="00844A84">
            <w:pPr>
              <w:spacing w:before="20" w:line="240" w:lineRule="auto"/>
              <w:rPr>
                <w:rFonts w:ascii="SimSun" w:hAnsi="SimSun" w:hint="eastAsia"/>
                <w:bCs/>
                <w:sz w:val="20"/>
              </w:rPr>
            </w:pPr>
          </w:p>
        </w:tc>
        <w:tc>
          <w:tcPr>
            <w:tcW w:w="2674" w:type="dxa"/>
            <w:tcBorders>
              <w:bottom w:val="nil"/>
            </w:tcBorders>
            <w:vAlign w:val="center"/>
          </w:tcPr>
          <w:p w:rsidR="00000000" w:rsidRDefault="00844A84">
            <w:pPr>
              <w:spacing w:before="20" w:line="240" w:lineRule="auto"/>
              <w:ind w:left="-57"/>
              <w:rPr>
                <w:rFonts w:ascii="SimSun" w:hAnsi="SimSun" w:hint="eastAsia"/>
                <w:bCs/>
                <w:sz w:val="20"/>
              </w:rPr>
            </w:pPr>
          </w:p>
        </w:tc>
        <w:tc>
          <w:tcPr>
            <w:tcW w:w="1038"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1992</w:t>
            </w:r>
          </w:p>
        </w:tc>
        <w:tc>
          <w:tcPr>
            <w:tcW w:w="1038"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3</w:t>
            </w:r>
          </w:p>
        </w:tc>
        <w:tc>
          <w:tcPr>
            <w:tcW w:w="1038"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4</w:t>
            </w:r>
          </w:p>
        </w:tc>
        <w:tc>
          <w:tcPr>
            <w:tcW w:w="1038"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5</w:t>
            </w:r>
          </w:p>
        </w:tc>
        <w:tc>
          <w:tcPr>
            <w:tcW w:w="1039"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6</w:t>
            </w:r>
          </w:p>
        </w:tc>
        <w:tc>
          <w:tcPr>
            <w:tcW w:w="1187"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1993</w:t>
            </w:r>
            <w:r>
              <w:rPr>
                <w:rFonts w:hint="eastAsia"/>
                <w:bCs/>
                <w:sz w:val="20"/>
              </w:rPr>
              <w:t>/</w:t>
            </w:r>
            <w:r>
              <w:rPr>
                <w:bCs/>
                <w:sz w:val="20"/>
              </w:rPr>
              <w:t>9</w:t>
            </w:r>
            <w:r>
              <w:rPr>
                <w:rFonts w:hint="eastAsia"/>
                <w:bCs/>
                <w:sz w:val="20"/>
              </w:rPr>
              <w:t>2</w:t>
            </w:r>
          </w:p>
        </w:tc>
        <w:tc>
          <w:tcPr>
            <w:tcW w:w="998"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4/</w:t>
            </w:r>
            <w:r>
              <w:rPr>
                <w:bCs/>
                <w:sz w:val="20"/>
              </w:rPr>
              <w:t>9</w:t>
            </w:r>
            <w:r>
              <w:rPr>
                <w:rFonts w:hint="eastAsia"/>
                <w:bCs/>
                <w:sz w:val="20"/>
              </w:rPr>
              <w:t>3</w:t>
            </w:r>
          </w:p>
        </w:tc>
        <w:tc>
          <w:tcPr>
            <w:tcW w:w="996"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5/</w:t>
            </w:r>
            <w:r>
              <w:rPr>
                <w:bCs/>
                <w:sz w:val="20"/>
              </w:rPr>
              <w:t>9</w:t>
            </w:r>
            <w:r>
              <w:rPr>
                <w:rFonts w:hint="eastAsia"/>
                <w:bCs/>
                <w:sz w:val="20"/>
              </w:rPr>
              <w:t>4</w:t>
            </w:r>
          </w:p>
        </w:tc>
        <w:tc>
          <w:tcPr>
            <w:tcW w:w="995" w:type="dxa"/>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6/</w:t>
            </w:r>
            <w:r>
              <w:rPr>
                <w:bCs/>
                <w:sz w:val="20"/>
              </w:rPr>
              <w:t>9</w:t>
            </w:r>
            <w:r>
              <w:rPr>
                <w:rFonts w:hint="eastAsia"/>
                <w:bCs/>
                <w:sz w:val="20"/>
              </w:rPr>
              <w:t>5</w:t>
            </w:r>
          </w:p>
        </w:tc>
      </w:tr>
      <w:tr w:rsidR="00000000">
        <w:tblPrEx>
          <w:tblCellMar>
            <w:top w:w="0" w:type="dxa"/>
            <w:bottom w:w="0" w:type="dxa"/>
          </w:tblCellMar>
        </w:tblPrEx>
        <w:tc>
          <w:tcPr>
            <w:tcW w:w="884" w:type="dxa"/>
            <w:tcBorders>
              <w:top w:val="nil"/>
              <w:bottom w:val="nil"/>
            </w:tcBorders>
            <w:vAlign w:val="center"/>
          </w:tcPr>
          <w:p w:rsidR="00000000" w:rsidRDefault="00844A84">
            <w:pPr>
              <w:pStyle w:val="ParaNo"/>
              <w:numPr>
                <w:ilvl w:val="0"/>
                <w:numId w:val="0"/>
              </w:numPr>
              <w:overflowPunct w:val="0"/>
              <w:snapToGrid w:val="0"/>
              <w:spacing w:before="20" w:after="0"/>
              <w:ind w:left="-1"/>
              <w:jc w:val="center"/>
              <w:rPr>
                <w:rFonts w:eastAsia="SimSun" w:hint="eastAsia"/>
                <w:bCs/>
                <w:snapToGrid w:val="0"/>
                <w:sz w:val="20"/>
                <w:lang w:eastAsia="zh-CN"/>
              </w:rPr>
            </w:pPr>
            <w:r>
              <w:rPr>
                <w:rFonts w:eastAsia="SimSun" w:hint="eastAsia"/>
                <w:bCs/>
                <w:snapToGrid w:val="0"/>
                <w:sz w:val="20"/>
                <w:lang w:eastAsia="zh-CN"/>
              </w:rPr>
              <w:t>0</w:t>
            </w:r>
            <w:r>
              <w:rPr>
                <w:rFonts w:eastAsia="SimSun" w:hint="eastAsia"/>
                <w:bCs/>
                <w:snapToGrid w:val="0"/>
                <w:spacing w:val="10"/>
                <w:sz w:val="20"/>
                <w:lang w:val="en-US" w:eastAsia="zh-CN"/>
              </w:rPr>
              <w:t>1</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工业和采矿业</w:t>
            </w:r>
          </w:p>
        </w:tc>
        <w:tc>
          <w:tcPr>
            <w:tcW w:w="1038" w:type="dxa"/>
            <w:tcBorders>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w:t>
            </w:r>
            <w:r>
              <w:rPr>
                <w:sz w:val="20"/>
                <w:lang w:eastAsia="zh-CN"/>
              </w:rPr>
              <w:t>4.692</w:t>
            </w:r>
          </w:p>
        </w:tc>
        <w:tc>
          <w:tcPr>
            <w:tcW w:w="1038" w:type="dxa"/>
            <w:tcBorders>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12 012</w:t>
            </w:r>
          </w:p>
        </w:tc>
        <w:tc>
          <w:tcPr>
            <w:tcW w:w="1038" w:type="dxa"/>
            <w:tcBorders>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13 246</w:t>
            </w:r>
          </w:p>
        </w:tc>
        <w:tc>
          <w:tcPr>
            <w:tcW w:w="1038" w:type="dxa"/>
            <w:tcBorders>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15 556</w:t>
            </w:r>
          </w:p>
        </w:tc>
        <w:tc>
          <w:tcPr>
            <w:tcW w:w="1039" w:type="dxa"/>
            <w:tcBorders>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16 591</w:t>
            </w:r>
          </w:p>
        </w:tc>
        <w:tc>
          <w:tcPr>
            <w:tcW w:w="1187" w:type="dxa"/>
            <w:tcBorders>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81.8</w:t>
            </w:r>
          </w:p>
        </w:tc>
        <w:tc>
          <w:tcPr>
            <w:tcW w:w="998" w:type="dxa"/>
            <w:tcBorders>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110.2</w:t>
            </w:r>
          </w:p>
        </w:tc>
        <w:tc>
          <w:tcPr>
            <w:tcW w:w="996" w:type="dxa"/>
            <w:tcBorders>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117.4</w:t>
            </w:r>
          </w:p>
        </w:tc>
        <w:tc>
          <w:tcPr>
            <w:tcW w:w="995" w:type="dxa"/>
            <w:tcBorders>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106.6</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02</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农业和渔业</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658</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1 813</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2 022</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1 671</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1 499</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275.5</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111.5</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82.6</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89.7</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03</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林</w:t>
            </w:r>
            <w:r>
              <w:rPr>
                <w:rFonts w:ascii="SimSun" w:hAnsi="SimSun"/>
                <w:bCs/>
                <w:sz w:val="20"/>
              </w:rPr>
              <w:t xml:space="preserve"> </w:t>
            </w:r>
            <w:r>
              <w:rPr>
                <w:rFonts w:ascii="SimSun" w:hAnsi="SimSun" w:hint="eastAsia"/>
                <w:bCs/>
                <w:sz w:val="20"/>
              </w:rPr>
              <w:t>业</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234</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287</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208</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226</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179</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122.6</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72.5</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108.6</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79.2</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04</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水</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54</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44</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80</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73</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129</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81.5</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181.8</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91.2</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176.7</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05</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建筑业</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3 545</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2 464</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2 210</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2 186</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1 987</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69.5</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89</w:t>
            </w:r>
            <w:r>
              <w:rPr>
                <w:sz w:val="20"/>
                <w:lang w:eastAsia="zh-CN"/>
              </w:rPr>
              <w:t>.7</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98.9</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90.8</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06</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运输和通讯</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1 529</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1 477</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1 329</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1 727</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1 731</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96.6</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90.0</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129.9</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100.2</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07</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贸</w:t>
            </w:r>
            <w:r>
              <w:rPr>
                <w:rFonts w:ascii="SimSun" w:hAnsi="SimSun"/>
                <w:bCs/>
                <w:sz w:val="20"/>
              </w:rPr>
              <w:t xml:space="preserve"> </w:t>
            </w:r>
            <w:r>
              <w:rPr>
                <w:rFonts w:ascii="SimSun" w:hAnsi="SimSun" w:hint="eastAsia"/>
                <w:bCs/>
                <w:sz w:val="20"/>
              </w:rPr>
              <w:t>易</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931</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956</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646</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788</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778</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102.7</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67.6</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122</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98.7</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08</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餐饮和旅游</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415</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332</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287</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326</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387</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80.0</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86.4</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113.6</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118.7</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09</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pacing w:val="0"/>
                <w:sz w:val="20"/>
              </w:rPr>
            </w:pPr>
            <w:r>
              <w:rPr>
                <w:rFonts w:ascii="SimSun" w:hAnsi="SimSun" w:hint="eastAsia"/>
                <w:bCs/>
                <w:spacing w:val="0"/>
                <w:sz w:val="20"/>
              </w:rPr>
              <w:t>手工艺和其他私营部门服务</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309</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374</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315</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327</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342</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121.0</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84.2</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103.8</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104.6</w:t>
            </w:r>
          </w:p>
        </w:tc>
      </w:tr>
      <w:tr w:rsidR="00000000">
        <w:tblPrEx>
          <w:tblCellMar>
            <w:top w:w="0" w:type="dxa"/>
            <w:bottom w:w="0" w:type="dxa"/>
          </w:tblCellMar>
        </w:tblPrEx>
        <w:tc>
          <w:tcPr>
            <w:tcW w:w="884" w:type="dxa"/>
            <w:tcBorders>
              <w:top w:val="nil"/>
              <w:bottom w:val="nil"/>
            </w:tcBorders>
          </w:tcPr>
          <w:p w:rsidR="00000000" w:rsidRDefault="00844A84">
            <w:pPr>
              <w:pStyle w:val="ParaNo"/>
              <w:numPr>
                <w:ilvl w:val="0"/>
                <w:numId w:val="0"/>
              </w:numPr>
              <w:overflowPunct w:val="0"/>
              <w:snapToGrid w:val="0"/>
              <w:spacing w:before="20" w:after="0"/>
              <w:ind w:left="-1"/>
              <w:jc w:val="center"/>
              <w:rPr>
                <w:rFonts w:eastAsia="SimSun" w:hint="eastAsia"/>
                <w:bCs/>
                <w:snapToGrid w:val="0"/>
                <w:sz w:val="20"/>
                <w:lang w:eastAsia="zh-CN"/>
              </w:rPr>
            </w:pPr>
            <w:r>
              <w:rPr>
                <w:rFonts w:eastAsia="SimSun" w:hint="eastAsia"/>
                <w:bCs/>
                <w:snapToGrid w:val="0"/>
                <w:sz w:val="20"/>
                <w:lang w:eastAsia="zh-CN"/>
              </w:rPr>
              <w:t>10</w:t>
            </w:r>
          </w:p>
        </w:tc>
        <w:tc>
          <w:tcPr>
            <w:tcW w:w="2674" w:type="dxa"/>
            <w:tcBorders>
              <w:top w:val="nil"/>
              <w:bottom w:val="nil"/>
            </w:tcBorders>
          </w:tcPr>
          <w:p w:rsidR="00000000" w:rsidRDefault="00844A84" w:rsidP="00844A84">
            <w:pPr>
              <w:spacing w:before="80" w:line="240" w:lineRule="auto"/>
              <w:ind w:leftChars="20" w:left="31680" w:right="57"/>
              <w:rPr>
                <w:rFonts w:ascii="SimSun" w:hAnsi="SimSun" w:hint="eastAsia"/>
                <w:bCs/>
                <w:sz w:val="20"/>
              </w:rPr>
            </w:pPr>
            <w:r>
              <w:rPr>
                <w:rFonts w:ascii="SimSun" w:hAnsi="SimSun" w:hint="eastAsia"/>
                <w:bCs/>
                <w:sz w:val="20"/>
              </w:rPr>
              <w:t>住房、公用事业以及与城市和设施环境</w:t>
            </w:r>
            <w:r>
              <w:rPr>
                <w:rFonts w:ascii="SimSun" w:hAnsi="SimSun" w:hint="eastAsia"/>
                <w:bCs/>
                <w:sz w:val="20"/>
              </w:rPr>
              <w:t>规划及安置有关的活动</w:t>
            </w:r>
          </w:p>
        </w:tc>
        <w:tc>
          <w:tcPr>
            <w:tcW w:w="1038" w:type="dxa"/>
            <w:tcBorders>
              <w:top w:val="nil"/>
              <w:bottom w:val="nil"/>
            </w:tcBorders>
          </w:tcPr>
          <w:p w:rsidR="00000000" w:rsidRDefault="00844A84" w:rsidP="00844A84">
            <w:pPr>
              <w:pStyle w:val="BodyText"/>
              <w:spacing w:before="20" w:after="0"/>
              <w:ind w:rightChars="50" w:right="31680"/>
              <w:jc w:val="right"/>
              <w:rPr>
                <w:sz w:val="20"/>
                <w:lang w:eastAsia="zh-CN"/>
              </w:rPr>
            </w:pPr>
            <w:r>
              <w:rPr>
                <w:sz w:val="20"/>
                <w:lang w:eastAsia="zh-CN"/>
              </w:rPr>
              <w:t>550</w:t>
            </w:r>
          </w:p>
        </w:tc>
        <w:tc>
          <w:tcPr>
            <w:tcW w:w="1038" w:type="dxa"/>
            <w:tcBorders>
              <w:top w:val="nil"/>
              <w:bottom w:val="nil"/>
            </w:tcBorders>
          </w:tcPr>
          <w:p w:rsidR="00000000" w:rsidRDefault="00844A84" w:rsidP="00844A84">
            <w:pPr>
              <w:pStyle w:val="BodyText"/>
              <w:spacing w:before="20" w:after="0"/>
              <w:ind w:rightChars="46" w:right="31680"/>
              <w:jc w:val="right"/>
              <w:rPr>
                <w:sz w:val="20"/>
                <w:lang w:eastAsia="zh-CN"/>
              </w:rPr>
            </w:pPr>
            <w:r>
              <w:rPr>
                <w:sz w:val="20"/>
                <w:lang w:eastAsia="zh-CN"/>
              </w:rPr>
              <w:t>554</w:t>
            </w:r>
          </w:p>
        </w:tc>
        <w:tc>
          <w:tcPr>
            <w:tcW w:w="1038" w:type="dxa"/>
            <w:tcBorders>
              <w:top w:val="nil"/>
              <w:bottom w:val="nil"/>
            </w:tcBorders>
          </w:tcPr>
          <w:p w:rsidR="00000000" w:rsidRDefault="00844A84" w:rsidP="00844A84">
            <w:pPr>
              <w:pStyle w:val="BodyText"/>
              <w:spacing w:before="20" w:after="0"/>
              <w:ind w:rightChars="46" w:right="31680"/>
              <w:jc w:val="right"/>
              <w:rPr>
                <w:sz w:val="20"/>
                <w:lang w:eastAsia="zh-CN"/>
              </w:rPr>
            </w:pPr>
            <w:r>
              <w:rPr>
                <w:sz w:val="20"/>
                <w:lang w:eastAsia="zh-CN"/>
              </w:rPr>
              <w:t>632</w:t>
            </w:r>
          </w:p>
        </w:tc>
        <w:tc>
          <w:tcPr>
            <w:tcW w:w="1038" w:type="dxa"/>
            <w:tcBorders>
              <w:top w:val="nil"/>
              <w:bottom w:val="nil"/>
            </w:tcBorders>
          </w:tcPr>
          <w:p w:rsidR="00000000" w:rsidRDefault="00844A84" w:rsidP="00844A84">
            <w:pPr>
              <w:pStyle w:val="BodyText"/>
              <w:spacing w:before="20" w:after="0"/>
              <w:ind w:rightChars="46" w:right="31680"/>
              <w:jc w:val="right"/>
              <w:rPr>
                <w:sz w:val="20"/>
                <w:lang w:eastAsia="zh-CN"/>
              </w:rPr>
            </w:pPr>
            <w:r>
              <w:rPr>
                <w:sz w:val="20"/>
                <w:lang w:eastAsia="zh-CN"/>
              </w:rPr>
              <w:t>771</w:t>
            </w:r>
          </w:p>
        </w:tc>
        <w:tc>
          <w:tcPr>
            <w:tcW w:w="1039" w:type="dxa"/>
            <w:tcBorders>
              <w:top w:val="nil"/>
              <w:bottom w:val="nil"/>
            </w:tcBorders>
          </w:tcPr>
          <w:p w:rsidR="00000000" w:rsidRDefault="00844A84" w:rsidP="00844A84">
            <w:pPr>
              <w:pStyle w:val="BodyText"/>
              <w:spacing w:before="20" w:after="0"/>
              <w:ind w:rightChars="46" w:right="31680"/>
              <w:jc w:val="right"/>
              <w:rPr>
                <w:sz w:val="20"/>
                <w:lang w:eastAsia="zh-CN"/>
              </w:rPr>
            </w:pPr>
            <w:r>
              <w:rPr>
                <w:sz w:val="20"/>
                <w:lang w:eastAsia="zh-CN"/>
              </w:rPr>
              <w:t>843</w:t>
            </w:r>
          </w:p>
        </w:tc>
        <w:tc>
          <w:tcPr>
            <w:tcW w:w="1187" w:type="dxa"/>
            <w:tcBorders>
              <w:top w:val="nil"/>
              <w:bottom w:val="nil"/>
            </w:tcBorders>
          </w:tcPr>
          <w:p w:rsidR="00000000" w:rsidRDefault="00844A84" w:rsidP="00844A84">
            <w:pPr>
              <w:pStyle w:val="BodyText"/>
              <w:spacing w:before="20" w:after="0"/>
              <w:ind w:rightChars="100" w:right="31680"/>
              <w:jc w:val="right"/>
              <w:rPr>
                <w:sz w:val="20"/>
                <w:lang w:eastAsia="zh-CN"/>
              </w:rPr>
            </w:pPr>
            <w:r>
              <w:rPr>
                <w:sz w:val="20"/>
                <w:lang w:eastAsia="zh-CN"/>
              </w:rPr>
              <w:t>100.0</w:t>
            </w:r>
          </w:p>
        </w:tc>
        <w:tc>
          <w:tcPr>
            <w:tcW w:w="998" w:type="dxa"/>
            <w:tcBorders>
              <w:top w:val="nil"/>
              <w:bottom w:val="nil"/>
            </w:tcBorders>
          </w:tcPr>
          <w:p w:rsidR="00000000" w:rsidRDefault="00844A84" w:rsidP="00844A84">
            <w:pPr>
              <w:pStyle w:val="BodyText"/>
              <w:spacing w:before="20" w:after="0"/>
              <w:ind w:rightChars="100" w:right="31680"/>
              <w:jc w:val="right"/>
              <w:rPr>
                <w:sz w:val="20"/>
                <w:lang w:eastAsia="zh-CN"/>
              </w:rPr>
            </w:pPr>
            <w:r>
              <w:rPr>
                <w:sz w:val="20"/>
                <w:lang w:eastAsia="zh-CN"/>
              </w:rPr>
              <w:t>114.1</w:t>
            </w:r>
          </w:p>
        </w:tc>
        <w:tc>
          <w:tcPr>
            <w:tcW w:w="996" w:type="dxa"/>
            <w:tcBorders>
              <w:top w:val="nil"/>
              <w:bottom w:val="nil"/>
            </w:tcBorders>
          </w:tcPr>
          <w:p w:rsidR="00000000" w:rsidRDefault="00844A84" w:rsidP="00844A84">
            <w:pPr>
              <w:pStyle w:val="BodyText"/>
              <w:spacing w:before="20" w:after="0"/>
              <w:ind w:rightChars="100" w:right="31680"/>
              <w:jc w:val="right"/>
              <w:rPr>
                <w:sz w:val="20"/>
                <w:lang w:eastAsia="zh-CN"/>
              </w:rPr>
            </w:pPr>
            <w:r>
              <w:rPr>
                <w:sz w:val="20"/>
                <w:lang w:eastAsia="zh-CN"/>
              </w:rPr>
              <w:t>122</w:t>
            </w:r>
          </w:p>
        </w:tc>
        <w:tc>
          <w:tcPr>
            <w:tcW w:w="995" w:type="dxa"/>
            <w:tcBorders>
              <w:top w:val="nil"/>
              <w:bottom w:val="nil"/>
            </w:tcBorders>
          </w:tcPr>
          <w:p w:rsidR="00000000" w:rsidRDefault="00844A84" w:rsidP="00844A84">
            <w:pPr>
              <w:pStyle w:val="BodyText"/>
              <w:spacing w:before="20" w:after="0"/>
              <w:ind w:rightChars="100" w:right="31680"/>
              <w:jc w:val="right"/>
              <w:rPr>
                <w:sz w:val="20"/>
                <w:lang w:eastAsia="zh-CN"/>
              </w:rPr>
            </w:pPr>
            <w:r>
              <w:rPr>
                <w:sz w:val="20"/>
                <w:lang w:eastAsia="zh-CN"/>
              </w:rPr>
              <w:t>109.3</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11</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金融、技术和商业服务</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269</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347</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304</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309</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427</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129.0</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87.6</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101.6</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138.1</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12</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pacing w:val="4"/>
                <w:sz w:val="20"/>
              </w:rPr>
            </w:pPr>
            <w:r>
              <w:rPr>
                <w:rFonts w:ascii="SimSun" w:hAnsi="SimSun" w:hint="eastAsia"/>
                <w:bCs/>
                <w:spacing w:val="4"/>
                <w:sz w:val="20"/>
              </w:rPr>
              <w:t>教育、科学、文化和信息</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456</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612</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557</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637</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714</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134.2</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91.0</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114.4</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112.1</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13</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保健和社会福利</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975</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1 346</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1 130</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1 426</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1 599</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138.1</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84.0</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126.2</w:t>
            </w:r>
          </w:p>
        </w:tc>
        <w:tc>
          <w:tcPr>
            <w:tcW w:w="995" w:type="dxa"/>
            <w:tcBorders>
              <w:top w:val="nil"/>
              <w:bottom w:val="nil"/>
            </w:tcBorders>
            <w:vAlign w:val="center"/>
          </w:tcPr>
          <w:p w:rsidR="00000000" w:rsidRDefault="00844A84" w:rsidP="00844A84">
            <w:pPr>
              <w:pStyle w:val="a7"/>
              <w:spacing w:before="20" w:line="240" w:lineRule="auto"/>
              <w:ind w:rightChars="100" w:right="31680"/>
              <w:jc w:val="right"/>
              <w:rPr>
                <w:rFonts w:eastAsia="PMingLiU"/>
                <w:noProof w:val="0"/>
                <w:snapToGrid/>
                <w:spacing w:val="0"/>
                <w:sz w:val="20"/>
                <w:lang w:val="en-GB"/>
              </w:rPr>
            </w:pPr>
            <w:r>
              <w:rPr>
                <w:rFonts w:eastAsia="PMingLiU"/>
                <w:noProof w:val="0"/>
                <w:snapToGrid/>
                <w:spacing w:val="0"/>
                <w:sz w:val="20"/>
                <w:lang w:val="en-GB"/>
              </w:rPr>
              <w:t>112.1</w:t>
            </w:r>
          </w:p>
        </w:tc>
      </w:tr>
      <w:tr w:rsidR="00000000">
        <w:tblPrEx>
          <w:tblCellMar>
            <w:top w:w="0" w:type="dxa"/>
            <w:bottom w:w="0" w:type="dxa"/>
          </w:tblCellMar>
        </w:tblPrEx>
        <w:tc>
          <w:tcPr>
            <w:tcW w:w="884" w:type="dxa"/>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14</w:t>
            </w:r>
          </w:p>
        </w:tc>
        <w:tc>
          <w:tcPr>
            <w:tcW w:w="2674" w:type="dxa"/>
            <w:tcBorders>
              <w:top w:val="nil"/>
              <w:bottom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规划、计划和专门机构</w:t>
            </w:r>
          </w:p>
        </w:tc>
        <w:tc>
          <w:tcPr>
            <w:tcW w:w="1038" w:type="dxa"/>
            <w:tcBorders>
              <w:top w:val="nil"/>
              <w:bottom w:val="nil"/>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697</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878</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765</w:t>
            </w:r>
          </w:p>
        </w:tc>
        <w:tc>
          <w:tcPr>
            <w:tcW w:w="1038"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878</w:t>
            </w:r>
          </w:p>
        </w:tc>
        <w:tc>
          <w:tcPr>
            <w:tcW w:w="1039" w:type="dxa"/>
            <w:tcBorders>
              <w:top w:val="nil"/>
              <w:bottom w:val="nil"/>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950</w:t>
            </w:r>
          </w:p>
        </w:tc>
        <w:tc>
          <w:tcPr>
            <w:tcW w:w="1187"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126.0</w:t>
            </w:r>
          </w:p>
        </w:tc>
        <w:tc>
          <w:tcPr>
            <w:tcW w:w="998"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87.1</w:t>
            </w:r>
          </w:p>
        </w:tc>
        <w:tc>
          <w:tcPr>
            <w:tcW w:w="996"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114.8</w:t>
            </w:r>
          </w:p>
        </w:tc>
        <w:tc>
          <w:tcPr>
            <w:tcW w:w="995" w:type="dxa"/>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108.2</w:t>
            </w:r>
          </w:p>
        </w:tc>
      </w:tr>
      <w:tr w:rsidR="00000000">
        <w:tblPrEx>
          <w:tblCellMar>
            <w:top w:w="0" w:type="dxa"/>
            <w:bottom w:w="0" w:type="dxa"/>
          </w:tblCellMar>
        </w:tblPrEx>
        <w:tc>
          <w:tcPr>
            <w:tcW w:w="884" w:type="dxa"/>
            <w:tcBorders>
              <w:top w:val="nil"/>
              <w:bottom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15</w:t>
            </w:r>
          </w:p>
        </w:tc>
        <w:tc>
          <w:tcPr>
            <w:tcW w:w="2674" w:type="dxa"/>
            <w:tcBorders>
              <w:top w:val="nil"/>
              <w:bottom w:val="single" w:sz="4" w:space="0" w:color="auto"/>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其</w:t>
            </w:r>
            <w:r>
              <w:rPr>
                <w:rFonts w:ascii="SimSun" w:hAnsi="SimSun"/>
                <w:bCs/>
                <w:sz w:val="20"/>
              </w:rPr>
              <w:t xml:space="preserve"> </w:t>
            </w:r>
            <w:r>
              <w:rPr>
                <w:rFonts w:ascii="SimSun" w:hAnsi="SimSun" w:hint="eastAsia"/>
                <w:bCs/>
                <w:sz w:val="20"/>
              </w:rPr>
              <w:t>他</w:t>
            </w:r>
          </w:p>
        </w:tc>
        <w:tc>
          <w:tcPr>
            <w:tcW w:w="1038" w:type="dxa"/>
            <w:tcBorders>
              <w:top w:val="nil"/>
              <w:bottom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60</w:t>
            </w:r>
          </w:p>
        </w:tc>
        <w:tc>
          <w:tcPr>
            <w:tcW w:w="1038" w:type="dxa"/>
            <w:tcBorders>
              <w:top w:val="nil"/>
              <w:bottom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33</w:t>
            </w:r>
          </w:p>
        </w:tc>
        <w:tc>
          <w:tcPr>
            <w:tcW w:w="1038" w:type="dxa"/>
            <w:tcBorders>
              <w:top w:val="nil"/>
              <w:bottom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18</w:t>
            </w:r>
          </w:p>
        </w:tc>
        <w:tc>
          <w:tcPr>
            <w:tcW w:w="1038" w:type="dxa"/>
            <w:tcBorders>
              <w:top w:val="nil"/>
              <w:bottom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39</w:t>
            </w:r>
          </w:p>
        </w:tc>
        <w:tc>
          <w:tcPr>
            <w:tcW w:w="1039" w:type="dxa"/>
            <w:tcBorders>
              <w:top w:val="nil"/>
              <w:bottom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39</w:t>
            </w:r>
          </w:p>
        </w:tc>
        <w:tc>
          <w:tcPr>
            <w:tcW w:w="1187" w:type="dxa"/>
            <w:tcBorders>
              <w:top w:val="nil"/>
              <w:bottom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55.0</w:t>
            </w:r>
          </w:p>
        </w:tc>
        <w:tc>
          <w:tcPr>
            <w:tcW w:w="998" w:type="dxa"/>
            <w:tcBorders>
              <w:top w:val="nil"/>
              <w:bottom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54.6</w:t>
            </w:r>
          </w:p>
        </w:tc>
        <w:tc>
          <w:tcPr>
            <w:tcW w:w="996" w:type="dxa"/>
            <w:tcBorders>
              <w:top w:val="nil"/>
              <w:bottom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216.7</w:t>
            </w:r>
          </w:p>
        </w:tc>
        <w:tc>
          <w:tcPr>
            <w:tcW w:w="995" w:type="dxa"/>
            <w:tcBorders>
              <w:top w:val="nil"/>
              <w:bottom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100.0</w:t>
            </w:r>
          </w:p>
        </w:tc>
      </w:tr>
      <w:tr w:rsidR="00000000">
        <w:tblPrEx>
          <w:tblCellMar>
            <w:top w:w="0" w:type="dxa"/>
            <w:bottom w:w="0" w:type="dxa"/>
          </w:tblCellMar>
        </w:tblPrEx>
        <w:tc>
          <w:tcPr>
            <w:tcW w:w="884" w:type="dxa"/>
            <w:tcBorders>
              <w:top w:val="single" w:sz="4" w:space="0" w:color="auto"/>
              <w:right w:val="nil"/>
            </w:tcBorders>
            <w:vAlign w:val="center"/>
          </w:tcPr>
          <w:p w:rsidR="00000000" w:rsidRDefault="00844A84">
            <w:pPr>
              <w:spacing w:before="20" w:line="240" w:lineRule="auto"/>
              <w:ind w:left="-735"/>
              <w:jc w:val="center"/>
              <w:rPr>
                <w:rFonts w:ascii="SimSun" w:hAnsi="SimSun" w:hint="eastAsia"/>
                <w:bCs/>
                <w:sz w:val="20"/>
              </w:rPr>
            </w:pPr>
          </w:p>
        </w:tc>
        <w:tc>
          <w:tcPr>
            <w:tcW w:w="2674" w:type="dxa"/>
            <w:tcBorders>
              <w:top w:val="single" w:sz="4" w:space="0" w:color="auto"/>
              <w:left w:val="nil"/>
            </w:tcBorders>
            <w:vAlign w:val="center"/>
          </w:tcPr>
          <w:p w:rsidR="00000000" w:rsidRDefault="00844A84" w:rsidP="00844A84">
            <w:pPr>
              <w:spacing w:before="20" w:line="240" w:lineRule="auto"/>
              <w:ind w:leftChars="20" w:left="31680" w:right="57"/>
              <w:rPr>
                <w:rFonts w:ascii="SimSun" w:hAnsi="SimSun" w:hint="eastAsia"/>
                <w:bCs/>
                <w:sz w:val="20"/>
              </w:rPr>
            </w:pPr>
            <w:r>
              <w:rPr>
                <w:rFonts w:ascii="SimSun" w:hAnsi="SimSun" w:hint="eastAsia"/>
                <w:bCs/>
                <w:sz w:val="20"/>
              </w:rPr>
              <w:t>共</w:t>
            </w:r>
            <w:r>
              <w:rPr>
                <w:rFonts w:ascii="SimSun" w:hAnsi="SimSun"/>
                <w:bCs/>
                <w:sz w:val="20"/>
              </w:rPr>
              <w:t xml:space="preserve"> </w:t>
            </w:r>
            <w:r>
              <w:rPr>
                <w:rFonts w:ascii="SimSun" w:hAnsi="SimSun" w:hint="eastAsia"/>
                <w:bCs/>
                <w:sz w:val="20"/>
              </w:rPr>
              <w:t>计</w:t>
            </w:r>
          </w:p>
        </w:tc>
        <w:tc>
          <w:tcPr>
            <w:tcW w:w="1038" w:type="dxa"/>
            <w:tcBorders>
              <w:top w:val="single" w:sz="4" w:space="0" w:color="auto"/>
            </w:tcBorders>
            <w:vAlign w:val="center"/>
          </w:tcPr>
          <w:p w:rsidR="00000000" w:rsidRDefault="00844A84" w:rsidP="00844A84">
            <w:pPr>
              <w:pStyle w:val="BodyText"/>
              <w:spacing w:before="20" w:after="0"/>
              <w:ind w:rightChars="50" w:right="31680"/>
              <w:jc w:val="right"/>
              <w:rPr>
                <w:sz w:val="20"/>
                <w:lang w:eastAsia="zh-CN"/>
              </w:rPr>
            </w:pPr>
            <w:r>
              <w:rPr>
                <w:sz w:val="20"/>
                <w:lang w:eastAsia="zh-CN"/>
              </w:rPr>
              <w:t>25 374</w:t>
            </w:r>
          </w:p>
        </w:tc>
        <w:tc>
          <w:tcPr>
            <w:tcW w:w="1038" w:type="dxa"/>
            <w:tcBorders>
              <w:top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23 529</w:t>
            </w:r>
          </w:p>
        </w:tc>
        <w:tc>
          <w:tcPr>
            <w:tcW w:w="1038" w:type="dxa"/>
            <w:tcBorders>
              <w:top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23 749</w:t>
            </w:r>
          </w:p>
        </w:tc>
        <w:tc>
          <w:tcPr>
            <w:tcW w:w="1038" w:type="dxa"/>
            <w:tcBorders>
              <w:top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26 940</w:t>
            </w:r>
          </w:p>
        </w:tc>
        <w:tc>
          <w:tcPr>
            <w:tcW w:w="1039" w:type="dxa"/>
            <w:tcBorders>
              <w:top w:val="single" w:sz="4" w:space="0" w:color="auto"/>
            </w:tcBorders>
            <w:vAlign w:val="center"/>
          </w:tcPr>
          <w:p w:rsidR="00000000" w:rsidRDefault="00844A84" w:rsidP="00844A84">
            <w:pPr>
              <w:pStyle w:val="BodyText"/>
              <w:spacing w:before="20" w:after="0"/>
              <w:ind w:rightChars="46" w:right="31680"/>
              <w:jc w:val="right"/>
              <w:rPr>
                <w:sz w:val="20"/>
                <w:lang w:eastAsia="zh-CN"/>
              </w:rPr>
            </w:pPr>
            <w:r>
              <w:rPr>
                <w:sz w:val="20"/>
                <w:lang w:eastAsia="zh-CN"/>
              </w:rPr>
              <w:t>28 195</w:t>
            </w:r>
          </w:p>
        </w:tc>
        <w:tc>
          <w:tcPr>
            <w:tcW w:w="1187" w:type="dxa"/>
            <w:tcBorders>
              <w:top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92.8</w:t>
            </w:r>
          </w:p>
        </w:tc>
        <w:tc>
          <w:tcPr>
            <w:tcW w:w="998" w:type="dxa"/>
            <w:tcBorders>
              <w:top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101.0</w:t>
            </w:r>
          </w:p>
        </w:tc>
        <w:tc>
          <w:tcPr>
            <w:tcW w:w="996" w:type="dxa"/>
            <w:tcBorders>
              <w:top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113.4</w:t>
            </w:r>
          </w:p>
        </w:tc>
        <w:tc>
          <w:tcPr>
            <w:tcW w:w="995" w:type="dxa"/>
            <w:tcBorders>
              <w:top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105.6</w:t>
            </w:r>
          </w:p>
        </w:tc>
      </w:tr>
    </w:tbl>
    <w:p w:rsidR="00000000" w:rsidRDefault="00844A84">
      <w:pPr>
        <w:pStyle w:val="a6"/>
        <w:spacing w:line="360" w:lineRule="auto"/>
        <w:rPr>
          <w:rFonts w:ascii="SimSun" w:eastAsia="SimSun" w:hAnsi="SimSun" w:hint="eastAsia"/>
          <w:bCs/>
        </w:rPr>
      </w:pPr>
    </w:p>
    <w:p w:rsidR="00000000" w:rsidRDefault="00844A84">
      <w:pPr>
        <w:pStyle w:val="Heading3"/>
        <w:spacing w:after="240"/>
        <w:rPr>
          <w:rFonts w:ascii="SimSun" w:hAnsi="SimSun"/>
          <w:bCs/>
        </w:rPr>
      </w:pPr>
      <w:r>
        <w:rPr>
          <w:rFonts w:hint="eastAsia"/>
          <w:u w:val="none"/>
        </w:rPr>
        <w:t>表</w:t>
      </w:r>
      <w:r>
        <w:rPr>
          <w:u w:val="none"/>
        </w:rPr>
        <w:t xml:space="preserve">  </w:t>
      </w:r>
      <w:r>
        <w:rPr>
          <w:rFonts w:hint="eastAsia"/>
          <w:u w:val="none"/>
        </w:rPr>
        <w:t>4</w:t>
      </w:r>
      <w:r>
        <w:rPr>
          <w:u w:val="none"/>
        </w:rPr>
        <w:br/>
      </w:r>
      <w:r>
        <w:t>199</w:t>
      </w:r>
      <w:r>
        <w:rPr>
          <w:rFonts w:hint="eastAsia"/>
        </w:rPr>
        <w:t>2</w:t>
      </w:r>
      <w:r>
        <w:t>至</w:t>
      </w:r>
      <w:r>
        <w:t>199</w:t>
      </w:r>
      <w:r>
        <w:rPr>
          <w:rFonts w:hint="eastAsia"/>
        </w:rPr>
        <w:t>6</w:t>
      </w:r>
      <w:r>
        <w:t>年期间按经济部门开列的塞尔维亚共和国境内</w:t>
      </w:r>
      <w:r>
        <w:rPr>
          <w:rFonts w:hint="eastAsia"/>
        </w:rPr>
        <w:t>致命</w:t>
      </w:r>
      <w:r>
        <w:t>工伤调查</w:t>
      </w: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0"/>
        <w:gridCol w:w="3098"/>
        <w:gridCol w:w="890"/>
        <w:gridCol w:w="883"/>
        <w:gridCol w:w="5"/>
        <w:gridCol w:w="885"/>
        <w:gridCol w:w="875"/>
        <w:gridCol w:w="890"/>
        <w:gridCol w:w="1087"/>
        <w:gridCol w:w="5"/>
        <w:gridCol w:w="1085"/>
        <w:gridCol w:w="1085"/>
        <w:gridCol w:w="5"/>
        <w:gridCol w:w="1077"/>
      </w:tblGrid>
      <w:tr w:rsidR="00000000">
        <w:tblPrEx>
          <w:tblCellMar>
            <w:top w:w="0" w:type="dxa"/>
            <w:bottom w:w="0" w:type="dxa"/>
          </w:tblCellMar>
        </w:tblPrEx>
        <w:trPr>
          <w:cantSplit/>
        </w:trPr>
        <w:tc>
          <w:tcPr>
            <w:tcW w:w="360" w:type="pct"/>
            <w:tcBorders>
              <w:bottom w:val="single" w:sz="4" w:space="0" w:color="auto"/>
            </w:tcBorders>
          </w:tcPr>
          <w:p w:rsidR="00000000" w:rsidRDefault="00844A84">
            <w:pPr>
              <w:pStyle w:val="a3"/>
              <w:keepNext w:val="0"/>
              <w:keepLines w:val="0"/>
              <w:widowControl/>
              <w:overflowPunct w:val="0"/>
              <w:snapToGrid w:val="0"/>
              <w:spacing w:beforeLines="30" w:before="108" w:afterLines="30" w:after="108" w:line="264" w:lineRule="auto"/>
              <w:textAlignment w:val="auto"/>
              <w:rPr>
                <w:rFonts w:ascii="SimSun" w:eastAsia="SimSun" w:hAnsi="SimSun" w:hint="eastAsia"/>
                <w:bCs/>
                <w:snapToGrid w:val="0"/>
                <w:kern w:val="0"/>
                <w:sz w:val="20"/>
              </w:rPr>
            </w:pPr>
            <w:r>
              <w:rPr>
                <w:rFonts w:ascii="SimSun" w:eastAsia="SimSun" w:hAnsi="SimSun" w:hint="eastAsia"/>
                <w:bCs/>
                <w:snapToGrid w:val="0"/>
                <w:kern w:val="0"/>
                <w:sz w:val="20"/>
              </w:rPr>
              <w:t>编</w:t>
            </w:r>
            <w:r>
              <w:rPr>
                <w:rFonts w:ascii="SimSun" w:eastAsia="SimSun" w:hAnsi="SimSun"/>
                <w:bCs/>
                <w:snapToGrid w:val="0"/>
                <w:kern w:val="0"/>
                <w:sz w:val="20"/>
              </w:rPr>
              <w:t xml:space="preserve"> </w:t>
            </w:r>
            <w:r>
              <w:rPr>
                <w:rFonts w:ascii="SimSun" w:eastAsia="SimSun" w:hAnsi="SimSun" w:hint="eastAsia"/>
                <w:bCs/>
                <w:snapToGrid w:val="0"/>
                <w:kern w:val="0"/>
                <w:sz w:val="20"/>
              </w:rPr>
              <w:t>号</w:t>
            </w:r>
          </w:p>
        </w:tc>
        <w:tc>
          <w:tcPr>
            <w:tcW w:w="1211" w:type="pct"/>
            <w:tcBorders>
              <w:bottom w:val="single" w:sz="4" w:space="0" w:color="auto"/>
            </w:tcBorders>
          </w:tcPr>
          <w:p w:rsidR="00000000" w:rsidRDefault="00844A84">
            <w:pPr>
              <w:pStyle w:val="a3"/>
              <w:keepNext w:val="0"/>
              <w:keepLines w:val="0"/>
              <w:widowControl/>
              <w:overflowPunct w:val="0"/>
              <w:snapToGrid w:val="0"/>
              <w:spacing w:beforeLines="30" w:before="108" w:afterLines="30" w:after="108" w:line="264" w:lineRule="auto"/>
              <w:textAlignment w:val="auto"/>
              <w:rPr>
                <w:rFonts w:ascii="SimSun" w:eastAsia="SimSun" w:hAnsi="SimSun" w:hint="eastAsia"/>
                <w:bCs/>
                <w:snapToGrid w:val="0"/>
                <w:kern w:val="0"/>
                <w:sz w:val="20"/>
              </w:rPr>
            </w:pPr>
            <w:r>
              <w:rPr>
                <w:rFonts w:ascii="SimSun" w:eastAsia="SimSun" w:hAnsi="SimSun" w:hint="eastAsia"/>
                <w:bCs/>
                <w:snapToGrid w:val="0"/>
                <w:kern w:val="0"/>
                <w:sz w:val="20"/>
              </w:rPr>
              <w:t>部</w:t>
            </w:r>
            <w:r>
              <w:rPr>
                <w:rFonts w:ascii="SimSun" w:eastAsia="SimSun" w:hAnsi="SimSun"/>
                <w:bCs/>
                <w:snapToGrid w:val="0"/>
                <w:kern w:val="0"/>
                <w:sz w:val="20"/>
              </w:rPr>
              <w:t xml:space="preserve">  </w:t>
            </w:r>
            <w:r>
              <w:rPr>
                <w:rFonts w:ascii="SimSun" w:eastAsia="SimSun" w:hAnsi="SimSun" w:hint="eastAsia"/>
                <w:bCs/>
                <w:snapToGrid w:val="0"/>
                <w:kern w:val="0"/>
                <w:sz w:val="20"/>
              </w:rPr>
              <w:t>门</w:t>
            </w:r>
          </w:p>
        </w:tc>
        <w:tc>
          <w:tcPr>
            <w:tcW w:w="1731" w:type="pct"/>
            <w:gridSpan w:val="6"/>
          </w:tcPr>
          <w:p w:rsidR="00000000" w:rsidRDefault="00844A84">
            <w:pPr>
              <w:pStyle w:val="a3"/>
              <w:keepNext w:val="0"/>
              <w:keepLines w:val="0"/>
              <w:widowControl/>
              <w:overflowPunct w:val="0"/>
              <w:snapToGrid w:val="0"/>
              <w:spacing w:beforeLines="30" w:before="108" w:afterLines="30" w:after="108" w:line="264" w:lineRule="auto"/>
              <w:textAlignment w:val="auto"/>
              <w:rPr>
                <w:rFonts w:ascii="SimSun" w:eastAsia="SimSun" w:hAnsi="SimSun" w:hint="eastAsia"/>
                <w:bCs/>
                <w:snapToGrid w:val="0"/>
                <w:kern w:val="0"/>
                <w:sz w:val="20"/>
              </w:rPr>
            </w:pPr>
            <w:r>
              <w:rPr>
                <w:rFonts w:ascii="SimSun" w:eastAsia="SimSun" w:hAnsi="SimSun" w:hint="eastAsia"/>
                <w:bCs/>
                <w:snapToGrid w:val="0"/>
                <w:kern w:val="0"/>
                <w:sz w:val="20"/>
              </w:rPr>
              <w:t>经济部门共计</w:t>
            </w:r>
          </w:p>
        </w:tc>
        <w:tc>
          <w:tcPr>
            <w:tcW w:w="1698" w:type="pct"/>
            <w:gridSpan w:val="6"/>
          </w:tcPr>
          <w:p w:rsidR="00000000" w:rsidRDefault="00844A84">
            <w:pPr>
              <w:pStyle w:val="a3"/>
              <w:keepNext w:val="0"/>
              <w:keepLines w:val="0"/>
              <w:widowControl/>
              <w:overflowPunct w:val="0"/>
              <w:snapToGrid w:val="0"/>
              <w:spacing w:beforeLines="30" w:before="108" w:afterLines="30" w:after="108" w:line="264" w:lineRule="auto"/>
              <w:textAlignment w:val="auto"/>
              <w:rPr>
                <w:rFonts w:ascii="SimSun" w:eastAsia="SimSun" w:hAnsi="SimSun" w:hint="eastAsia"/>
                <w:bCs/>
                <w:snapToGrid w:val="0"/>
                <w:kern w:val="0"/>
                <w:sz w:val="20"/>
              </w:rPr>
            </w:pPr>
            <w:r>
              <w:rPr>
                <w:rFonts w:ascii="SimSun" w:eastAsia="SimSun" w:hAnsi="SimSun" w:hint="eastAsia"/>
                <w:bCs/>
                <w:snapToGrid w:val="0"/>
                <w:kern w:val="0"/>
                <w:sz w:val="20"/>
              </w:rPr>
              <w:t>指</w:t>
            </w:r>
            <w:r>
              <w:rPr>
                <w:rFonts w:ascii="SimSun" w:eastAsia="SimSun" w:hAnsi="SimSun"/>
                <w:bCs/>
                <w:snapToGrid w:val="0"/>
                <w:kern w:val="0"/>
                <w:sz w:val="20"/>
              </w:rPr>
              <w:t xml:space="preserve">  </w:t>
            </w:r>
            <w:r>
              <w:rPr>
                <w:rFonts w:ascii="SimSun" w:eastAsia="SimSun" w:hAnsi="SimSun" w:hint="eastAsia"/>
                <w:bCs/>
                <w:snapToGrid w:val="0"/>
                <w:kern w:val="0"/>
                <w:sz w:val="20"/>
              </w:rPr>
              <w:t>数</w:t>
            </w:r>
          </w:p>
        </w:tc>
      </w:tr>
      <w:tr w:rsidR="00000000">
        <w:tblPrEx>
          <w:tblCellMar>
            <w:top w:w="0" w:type="dxa"/>
            <w:bottom w:w="0" w:type="dxa"/>
          </w:tblCellMar>
        </w:tblPrEx>
        <w:tc>
          <w:tcPr>
            <w:tcW w:w="360" w:type="pct"/>
            <w:tcBorders>
              <w:bottom w:val="nil"/>
            </w:tcBorders>
            <w:vAlign w:val="center"/>
          </w:tcPr>
          <w:p w:rsidR="00000000" w:rsidRDefault="00844A84">
            <w:pPr>
              <w:spacing w:before="20" w:line="240" w:lineRule="auto"/>
              <w:rPr>
                <w:rFonts w:ascii="SimSun" w:hAnsi="SimSun" w:hint="eastAsia"/>
                <w:bCs/>
                <w:sz w:val="20"/>
              </w:rPr>
            </w:pPr>
          </w:p>
        </w:tc>
        <w:tc>
          <w:tcPr>
            <w:tcW w:w="1211" w:type="pct"/>
            <w:tcBorders>
              <w:bottom w:val="nil"/>
            </w:tcBorders>
            <w:vAlign w:val="center"/>
          </w:tcPr>
          <w:p w:rsidR="00000000" w:rsidRDefault="00844A84">
            <w:pPr>
              <w:spacing w:before="20" w:line="240" w:lineRule="auto"/>
              <w:rPr>
                <w:rFonts w:ascii="SimSun" w:hAnsi="SimSun" w:hint="eastAsia"/>
                <w:bCs/>
                <w:sz w:val="20"/>
              </w:rPr>
            </w:pPr>
          </w:p>
        </w:tc>
        <w:tc>
          <w:tcPr>
            <w:tcW w:w="348" w:type="pct"/>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2</w:t>
            </w:r>
          </w:p>
        </w:tc>
        <w:tc>
          <w:tcPr>
            <w:tcW w:w="347" w:type="pct"/>
            <w:gridSpan w:val="2"/>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3</w:t>
            </w:r>
          </w:p>
        </w:tc>
        <w:tc>
          <w:tcPr>
            <w:tcW w:w="346" w:type="pct"/>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4</w:t>
            </w:r>
          </w:p>
        </w:tc>
        <w:tc>
          <w:tcPr>
            <w:tcW w:w="342" w:type="pct"/>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5</w:t>
            </w:r>
          </w:p>
        </w:tc>
        <w:tc>
          <w:tcPr>
            <w:tcW w:w="348" w:type="pct"/>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6</w:t>
            </w:r>
          </w:p>
        </w:tc>
        <w:tc>
          <w:tcPr>
            <w:tcW w:w="427" w:type="pct"/>
            <w:gridSpan w:val="2"/>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3/</w:t>
            </w:r>
            <w:r>
              <w:rPr>
                <w:bCs/>
                <w:sz w:val="20"/>
              </w:rPr>
              <w:t>9</w:t>
            </w:r>
            <w:r>
              <w:rPr>
                <w:rFonts w:hint="eastAsia"/>
                <w:bCs/>
                <w:sz w:val="20"/>
              </w:rPr>
              <w:t>2</w:t>
            </w:r>
          </w:p>
        </w:tc>
        <w:tc>
          <w:tcPr>
            <w:tcW w:w="424" w:type="pct"/>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4/</w:t>
            </w:r>
            <w:r>
              <w:rPr>
                <w:bCs/>
                <w:sz w:val="20"/>
              </w:rPr>
              <w:t>9</w:t>
            </w:r>
            <w:r>
              <w:rPr>
                <w:rFonts w:hint="eastAsia"/>
                <w:bCs/>
                <w:sz w:val="20"/>
              </w:rPr>
              <w:t>3</w:t>
            </w:r>
          </w:p>
        </w:tc>
        <w:tc>
          <w:tcPr>
            <w:tcW w:w="426" w:type="pct"/>
            <w:gridSpan w:val="2"/>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5</w:t>
            </w:r>
            <w:r>
              <w:rPr>
                <w:rFonts w:hint="eastAsia"/>
                <w:bCs/>
                <w:sz w:val="20"/>
              </w:rPr>
              <w:t>/</w:t>
            </w:r>
            <w:r>
              <w:rPr>
                <w:bCs/>
                <w:sz w:val="20"/>
              </w:rPr>
              <w:t>9</w:t>
            </w:r>
            <w:r>
              <w:rPr>
                <w:rFonts w:hint="eastAsia"/>
                <w:bCs/>
                <w:sz w:val="20"/>
              </w:rPr>
              <w:t>4</w:t>
            </w:r>
          </w:p>
        </w:tc>
        <w:tc>
          <w:tcPr>
            <w:tcW w:w="421" w:type="pct"/>
            <w:tcBorders>
              <w:bottom w:val="single" w:sz="4" w:space="0" w:color="auto"/>
            </w:tcBorders>
            <w:vAlign w:val="center"/>
          </w:tcPr>
          <w:p w:rsidR="00000000" w:rsidRDefault="00844A84">
            <w:pPr>
              <w:spacing w:before="20" w:line="240" w:lineRule="auto"/>
              <w:jc w:val="center"/>
              <w:rPr>
                <w:rFonts w:hint="eastAsia"/>
                <w:bCs/>
                <w:sz w:val="20"/>
              </w:rPr>
            </w:pPr>
            <w:r>
              <w:rPr>
                <w:bCs/>
                <w:sz w:val="20"/>
              </w:rPr>
              <w:t>199</w:t>
            </w:r>
            <w:r>
              <w:rPr>
                <w:rFonts w:hint="eastAsia"/>
                <w:bCs/>
                <w:sz w:val="20"/>
              </w:rPr>
              <w:t>6/</w:t>
            </w:r>
            <w:r>
              <w:rPr>
                <w:bCs/>
                <w:sz w:val="20"/>
              </w:rPr>
              <w:t>9</w:t>
            </w:r>
            <w:r>
              <w:rPr>
                <w:rFonts w:hint="eastAsia"/>
                <w:bCs/>
                <w:sz w:val="20"/>
              </w:rPr>
              <w:t>5</w:t>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01</w:t>
            </w:r>
          </w:p>
        </w:tc>
        <w:tc>
          <w:tcPr>
            <w:tcW w:w="1211" w:type="pct"/>
            <w:tcBorders>
              <w:top w:val="nil"/>
              <w:bottom w:val="nil"/>
              <w:right w:val="single" w:sz="4" w:space="0" w:color="auto"/>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工业和采矿业</w:t>
            </w:r>
          </w:p>
        </w:tc>
        <w:tc>
          <w:tcPr>
            <w:tcW w:w="348" w:type="pct"/>
            <w:tcBorders>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45</w:t>
            </w:r>
          </w:p>
        </w:tc>
        <w:tc>
          <w:tcPr>
            <w:tcW w:w="345" w:type="pct"/>
            <w:tcBorders>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22</w:t>
            </w:r>
          </w:p>
        </w:tc>
        <w:tc>
          <w:tcPr>
            <w:tcW w:w="348" w:type="pct"/>
            <w:gridSpan w:val="2"/>
            <w:tcBorders>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27</w:t>
            </w:r>
          </w:p>
        </w:tc>
        <w:tc>
          <w:tcPr>
            <w:tcW w:w="342" w:type="pct"/>
            <w:tcBorders>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43</w:t>
            </w:r>
          </w:p>
        </w:tc>
        <w:tc>
          <w:tcPr>
            <w:tcW w:w="348" w:type="pct"/>
            <w:tcBorders>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27</w:t>
            </w:r>
          </w:p>
        </w:tc>
        <w:tc>
          <w:tcPr>
            <w:tcW w:w="425" w:type="pct"/>
            <w:tcBorders>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48.9</w:t>
            </w:r>
          </w:p>
        </w:tc>
        <w:tc>
          <w:tcPr>
            <w:tcW w:w="426" w:type="pct"/>
            <w:gridSpan w:val="2"/>
            <w:tcBorders>
              <w:left w:val="single" w:sz="4" w:space="0" w:color="auto"/>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127.7</w:t>
            </w:r>
          </w:p>
        </w:tc>
        <w:tc>
          <w:tcPr>
            <w:tcW w:w="426" w:type="pct"/>
            <w:gridSpan w:val="2"/>
            <w:tcBorders>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159</w:t>
            </w:r>
          </w:p>
        </w:tc>
        <w:tc>
          <w:tcPr>
            <w:tcW w:w="421" w:type="pct"/>
            <w:tcBorders>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62</w:t>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02</w:t>
            </w:r>
          </w:p>
        </w:tc>
        <w:tc>
          <w:tcPr>
            <w:tcW w:w="1211" w:type="pct"/>
            <w:tcBorders>
              <w:top w:val="nil"/>
              <w:bottom w:val="nil"/>
              <w:right w:val="single" w:sz="4" w:space="0" w:color="auto"/>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农业和渔业</w:t>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w:t>
            </w:r>
          </w:p>
        </w:tc>
        <w:tc>
          <w:tcPr>
            <w:tcW w:w="34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w:t>
            </w:r>
          </w:p>
        </w:tc>
        <w:tc>
          <w:tcPr>
            <w:tcW w:w="348" w:type="pct"/>
            <w:gridSpan w:val="2"/>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w:t>
            </w:r>
          </w:p>
        </w:tc>
        <w:tc>
          <w:tcPr>
            <w:tcW w:w="342"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42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6" w:type="pct"/>
            <w:gridSpan w:val="2"/>
            <w:tcBorders>
              <w:top w:val="nil"/>
              <w:left w:val="single" w:sz="4" w:space="0" w:color="auto"/>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03</w:t>
            </w:r>
          </w:p>
        </w:tc>
        <w:tc>
          <w:tcPr>
            <w:tcW w:w="1211" w:type="pct"/>
            <w:tcBorders>
              <w:top w:val="nil"/>
              <w:bottom w:val="nil"/>
              <w:right w:val="single" w:sz="4" w:space="0" w:color="auto"/>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林</w:t>
            </w:r>
            <w:r>
              <w:rPr>
                <w:rFonts w:ascii="SimSun" w:hAnsi="SimSun"/>
                <w:bCs/>
                <w:sz w:val="20"/>
              </w:rPr>
              <w:t xml:space="preserve"> </w:t>
            </w:r>
            <w:r>
              <w:rPr>
                <w:rFonts w:ascii="SimSun" w:hAnsi="SimSun" w:hint="eastAsia"/>
                <w:bCs/>
                <w:sz w:val="20"/>
              </w:rPr>
              <w:t>业</w:t>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8" w:type="pct"/>
            <w:gridSpan w:val="2"/>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2"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50.0</w:t>
            </w:r>
          </w:p>
        </w:tc>
        <w:tc>
          <w:tcPr>
            <w:tcW w:w="426" w:type="pct"/>
            <w:gridSpan w:val="2"/>
            <w:tcBorders>
              <w:top w:val="nil"/>
              <w:left w:val="single" w:sz="4" w:space="0" w:color="auto"/>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04</w:t>
            </w:r>
          </w:p>
        </w:tc>
        <w:tc>
          <w:tcPr>
            <w:tcW w:w="1211" w:type="pct"/>
            <w:tcBorders>
              <w:top w:val="nil"/>
              <w:bottom w:val="nil"/>
              <w:right w:val="single" w:sz="4" w:space="0" w:color="auto"/>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水</w:t>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8" w:type="pct"/>
            <w:gridSpan w:val="2"/>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2"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42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50.0</w:t>
            </w:r>
          </w:p>
        </w:tc>
        <w:tc>
          <w:tcPr>
            <w:tcW w:w="426" w:type="pct"/>
            <w:gridSpan w:val="2"/>
            <w:tcBorders>
              <w:top w:val="nil"/>
              <w:left w:val="single" w:sz="4" w:space="0" w:color="auto"/>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05</w:t>
            </w:r>
          </w:p>
        </w:tc>
        <w:tc>
          <w:tcPr>
            <w:tcW w:w="1211" w:type="pct"/>
            <w:tcBorders>
              <w:top w:val="nil"/>
              <w:bottom w:val="nil"/>
              <w:right w:val="single" w:sz="4" w:space="0" w:color="auto"/>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建筑业</w:t>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31</w:t>
            </w:r>
          </w:p>
        </w:tc>
        <w:tc>
          <w:tcPr>
            <w:tcW w:w="34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w:t>
            </w:r>
          </w:p>
        </w:tc>
        <w:tc>
          <w:tcPr>
            <w:tcW w:w="348" w:type="pct"/>
            <w:gridSpan w:val="2"/>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16</w:t>
            </w:r>
          </w:p>
        </w:tc>
        <w:tc>
          <w:tcPr>
            <w:tcW w:w="342"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w:t>
            </w:r>
          </w:p>
        </w:tc>
        <w:tc>
          <w:tcPr>
            <w:tcW w:w="348"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w:t>
            </w:r>
          </w:p>
        </w:tc>
        <w:tc>
          <w:tcPr>
            <w:tcW w:w="425" w:type="pct"/>
            <w:tcBorders>
              <w:top w:val="nil"/>
              <w:left w:val="single" w:sz="4" w:space="0" w:color="auto"/>
              <w:bottom w:val="nil"/>
              <w:right w:val="single" w:sz="4" w:space="0" w:color="auto"/>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35.5</w:t>
            </w:r>
          </w:p>
        </w:tc>
        <w:tc>
          <w:tcPr>
            <w:tcW w:w="426" w:type="pct"/>
            <w:gridSpan w:val="2"/>
            <w:tcBorders>
              <w:top w:val="nil"/>
              <w:left w:val="single" w:sz="4" w:space="0" w:color="auto"/>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145.5</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50</w:t>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75</w:t>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06</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运输和通讯</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16</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14</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9</w:t>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w:t>
            </w:r>
          </w:p>
        </w:tc>
        <w:tc>
          <w:tcPr>
            <w:tcW w:w="42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87.5</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64.3</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89</w:t>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50</w:t>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07</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贸</w:t>
            </w:r>
            <w:r>
              <w:rPr>
                <w:rFonts w:ascii="SimSun" w:hAnsi="SimSun"/>
                <w:bCs/>
                <w:sz w:val="20"/>
              </w:rPr>
              <w:t xml:space="preserve"> </w:t>
            </w:r>
            <w:r>
              <w:rPr>
                <w:rFonts w:ascii="SimSun" w:hAnsi="SimSun" w:hint="eastAsia"/>
                <w:bCs/>
                <w:sz w:val="20"/>
              </w:rPr>
              <w:t>易</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14</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7</w:t>
            </w:r>
          </w:p>
        </w:tc>
        <w:tc>
          <w:tcPr>
            <w:tcW w:w="42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71.4</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w:t>
            </w:r>
            <w:r>
              <w:rPr>
                <w:sz w:val="20"/>
                <w:lang w:eastAsia="zh-CN"/>
              </w:rPr>
              <w:t>00</w:t>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117</w:t>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08</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餐饮和旅游</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66.6</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09</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手工艺和其他私营部门服务</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42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300.0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10</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公用事业</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w:t>
            </w:r>
          </w:p>
        </w:tc>
        <w:tc>
          <w:tcPr>
            <w:tcW w:w="42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66.6</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133</w:t>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11</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金</w:t>
            </w:r>
            <w:r>
              <w:rPr>
                <w:rFonts w:ascii="SimSun" w:hAnsi="SimSun" w:hint="eastAsia"/>
                <w:bCs/>
                <w:sz w:val="20"/>
              </w:rPr>
              <w:t xml:space="preserve"> </w:t>
            </w:r>
            <w:r>
              <w:rPr>
                <w:rFonts w:ascii="SimSun" w:hAnsi="SimSun" w:hint="eastAsia"/>
                <w:bCs/>
                <w:sz w:val="20"/>
              </w:rPr>
              <w:t>融</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5" w:type="pct"/>
            <w:tcBorders>
              <w:top w:val="nil"/>
              <w:bottom w:val="nil"/>
            </w:tcBorders>
            <w:vAlign w:val="center"/>
          </w:tcPr>
          <w:p w:rsidR="00000000" w:rsidRDefault="00844A84" w:rsidP="00844A84">
            <w:pPr>
              <w:pStyle w:val="BodyText"/>
              <w:spacing w:before="20" w:after="0"/>
              <w:ind w:rightChars="100" w:right="31680"/>
              <w:jc w:val="right"/>
              <w:rPr>
                <w:sz w:val="20"/>
              </w:rPr>
            </w:pPr>
            <w:r>
              <w:rPr>
                <w:sz w:val="20"/>
              </w:rPr>
              <w:t>75.0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33.3</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12</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教</w:t>
            </w:r>
            <w:r>
              <w:rPr>
                <w:rFonts w:ascii="SimSun" w:hAnsi="SimSun" w:hint="eastAsia"/>
                <w:bCs/>
                <w:sz w:val="20"/>
              </w:rPr>
              <w:t xml:space="preserve"> </w:t>
            </w:r>
            <w:r>
              <w:rPr>
                <w:rFonts w:ascii="SimSun" w:hAnsi="SimSun" w:hint="eastAsia"/>
                <w:bCs/>
                <w:sz w:val="20"/>
              </w:rPr>
              <w:t>育</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425" w:type="pct"/>
            <w:tcBorders>
              <w:top w:val="nil"/>
              <w:bottom w:val="nil"/>
            </w:tcBorders>
            <w:vAlign w:val="center"/>
          </w:tcPr>
          <w:p w:rsidR="00000000" w:rsidRDefault="00844A84" w:rsidP="00844A84">
            <w:pPr>
              <w:pStyle w:val="BodyText"/>
              <w:spacing w:before="20" w:after="0"/>
              <w:ind w:rightChars="100" w:right="31680"/>
              <w:jc w:val="right"/>
              <w:rPr>
                <w:sz w:val="20"/>
              </w:rPr>
            </w:pPr>
            <w:r>
              <w:rPr>
                <w:sz w:val="20"/>
              </w:rPr>
              <w:t>66.6</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c>
          <w:tcPr>
            <w:tcW w:w="421"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noBreakHyphen/>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13</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保</w:t>
            </w:r>
            <w:r>
              <w:rPr>
                <w:rFonts w:ascii="SimSun" w:hAnsi="SimSun" w:hint="eastAsia"/>
                <w:bCs/>
                <w:sz w:val="20"/>
              </w:rPr>
              <w:t xml:space="preserve"> </w:t>
            </w:r>
            <w:r>
              <w:rPr>
                <w:rFonts w:ascii="SimSun" w:hAnsi="SimSun" w:hint="eastAsia"/>
                <w:bCs/>
                <w:sz w:val="20"/>
              </w:rPr>
              <w:t>健</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4</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3</w:t>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425" w:type="pct"/>
            <w:tcBorders>
              <w:top w:val="nil"/>
              <w:bottom w:val="nil"/>
            </w:tcBorders>
            <w:vAlign w:val="center"/>
          </w:tcPr>
          <w:p w:rsidR="00000000" w:rsidRDefault="00844A84">
            <w:pPr>
              <w:pStyle w:val="a7"/>
              <w:tabs>
                <w:tab w:val="clear" w:pos="510"/>
              </w:tabs>
              <w:spacing w:before="20" w:line="240" w:lineRule="auto"/>
              <w:ind w:right="247"/>
              <w:jc w:val="right"/>
              <w:rPr>
                <w:rFonts w:eastAsia="PMingLiU"/>
                <w:noProof w:val="0"/>
                <w:snapToGrid/>
                <w:spacing w:val="0"/>
                <w:sz w:val="20"/>
                <w:lang w:val="en-GB"/>
              </w:rPr>
            </w:pPr>
            <w:r>
              <w:rPr>
                <w:rFonts w:eastAsia="PMingLiU"/>
                <w:noProof w:val="0"/>
                <w:snapToGrid/>
                <w:spacing w:val="0"/>
                <w:sz w:val="20"/>
                <w:lang w:val="en-GB"/>
              </w:rPr>
              <w:t>50.0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150.0</w:t>
            </w:r>
          </w:p>
        </w:tc>
        <w:tc>
          <w:tcPr>
            <w:tcW w:w="424"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67</w:t>
            </w:r>
          </w:p>
        </w:tc>
        <w:tc>
          <w:tcPr>
            <w:tcW w:w="423"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w:t>
            </w:r>
          </w:p>
        </w:tc>
      </w:tr>
      <w:tr w:rsidR="00000000">
        <w:tblPrEx>
          <w:tblCellMar>
            <w:top w:w="0" w:type="dxa"/>
            <w:bottom w:w="0" w:type="dxa"/>
          </w:tblCellMar>
        </w:tblPrEx>
        <w:tc>
          <w:tcPr>
            <w:tcW w:w="360" w:type="pct"/>
            <w:tcBorders>
              <w:top w:val="nil"/>
              <w:bottom w:val="nil"/>
            </w:tcBorders>
            <w:vAlign w:val="center"/>
          </w:tcPr>
          <w:p w:rsidR="00000000" w:rsidRDefault="00844A84">
            <w:pPr>
              <w:spacing w:before="20" w:line="240" w:lineRule="auto"/>
              <w:jc w:val="center"/>
              <w:rPr>
                <w:rFonts w:hint="eastAsia"/>
                <w:bCs/>
                <w:sz w:val="20"/>
              </w:rPr>
            </w:pPr>
            <w:r>
              <w:rPr>
                <w:rFonts w:hint="eastAsia"/>
                <w:bCs/>
                <w:sz w:val="20"/>
              </w:rPr>
              <w:t>14</w:t>
            </w:r>
          </w:p>
        </w:tc>
        <w:tc>
          <w:tcPr>
            <w:tcW w:w="1211" w:type="pct"/>
            <w:tcBorders>
              <w:top w:val="nil"/>
              <w:bottom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地方社区</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15</w:t>
            </w:r>
          </w:p>
        </w:tc>
        <w:tc>
          <w:tcPr>
            <w:tcW w:w="345"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15</w:t>
            </w:r>
          </w:p>
        </w:tc>
        <w:tc>
          <w:tcPr>
            <w:tcW w:w="348"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2"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w:t>
            </w:r>
          </w:p>
        </w:tc>
        <w:tc>
          <w:tcPr>
            <w:tcW w:w="348"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w:t>
            </w:r>
          </w:p>
        </w:tc>
        <w:tc>
          <w:tcPr>
            <w:tcW w:w="425" w:type="pct"/>
            <w:tcBorders>
              <w:top w:val="nil"/>
              <w:bottom w:val="nil"/>
            </w:tcBorders>
            <w:vAlign w:val="center"/>
          </w:tcPr>
          <w:p w:rsidR="00000000" w:rsidRDefault="00844A84">
            <w:pPr>
              <w:pStyle w:val="a7"/>
              <w:tabs>
                <w:tab w:val="clear" w:pos="510"/>
              </w:tabs>
              <w:spacing w:before="20" w:line="240" w:lineRule="auto"/>
              <w:ind w:right="247"/>
              <w:jc w:val="right"/>
              <w:rPr>
                <w:rFonts w:eastAsia="PMingLiU"/>
                <w:noProof w:val="0"/>
                <w:snapToGrid/>
                <w:spacing w:val="0"/>
                <w:sz w:val="20"/>
                <w:lang w:val="en-GB"/>
              </w:rPr>
            </w:pPr>
            <w:r>
              <w:rPr>
                <w:rFonts w:eastAsia="PMingLiU"/>
                <w:noProof w:val="0"/>
                <w:snapToGrid/>
                <w:spacing w:val="0"/>
                <w:sz w:val="20"/>
                <w:lang w:val="en-GB"/>
              </w:rPr>
              <w:t>100.0</w:t>
            </w:r>
          </w:p>
        </w:tc>
        <w:tc>
          <w:tcPr>
            <w:tcW w:w="426"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13.3</w:t>
            </w:r>
          </w:p>
        </w:tc>
        <w:tc>
          <w:tcPr>
            <w:tcW w:w="424" w:type="pct"/>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500</w:t>
            </w:r>
          </w:p>
        </w:tc>
        <w:tc>
          <w:tcPr>
            <w:tcW w:w="423" w:type="pct"/>
            <w:gridSpan w:val="2"/>
            <w:tcBorders>
              <w:top w:val="nil"/>
              <w:bottom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80</w:t>
            </w:r>
          </w:p>
        </w:tc>
      </w:tr>
      <w:tr w:rsidR="00000000">
        <w:tblPrEx>
          <w:tblCellMar>
            <w:top w:w="0" w:type="dxa"/>
            <w:bottom w:w="0" w:type="dxa"/>
          </w:tblCellMar>
        </w:tblPrEx>
        <w:tc>
          <w:tcPr>
            <w:tcW w:w="360" w:type="pct"/>
            <w:tcBorders>
              <w:top w:val="nil"/>
              <w:bottom w:val="single" w:sz="4" w:space="0" w:color="auto"/>
            </w:tcBorders>
            <w:vAlign w:val="center"/>
          </w:tcPr>
          <w:p w:rsidR="00000000" w:rsidRDefault="00844A84">
            <w:pPr>
              <w:spacing w:before="20" w:line="240" w:lineRule="auto"/>
              <w:jc w:val="center"/>
              <w:rPr>
                <w:rFonts w:hint="eastAsia"/>
                <w:bCs/>
                <w:sz w:val="20"/>
              </w:rPr>
            </w:pPr>
            <w:r>
              <w:rPr>
                <w:rFonts w:hint="eastAsia"/>
                <w:bCs/>
                <w:sz w:val="20"/>
              </w:rPr>
              <w:t>15</w:t>
            </w:r>
          </w:p>
        </w:tc>
        <w:tc>
          <w:tcPr>
            <w:tcW w:w="1211" w:type="pct"/>
            <w:tcBorders>
              <w:top w:val="nil"/>
              <w:bottom w:val="single" w:sz="4" w:space="0" w:color="auto"/>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其</w:t>
            </w:r>
            <w:r>
              <w:rPr>
                <w:rFonts w:ascii="SimSun" w:hAnsi="SimSun"/>
                <w:bCs/>
                <w:sz w:val="20"/>
              </w:rPr>
              <w:t xml:space="preserve"> </w:t>
            </w:r>
            <w:r>
              <w:rPr>
                <w:rFonts w:ascii="SimSun" w:hAnsi="SimSun" w:hint="eastAsia"/>
                <w:bCs/>
                <w:sz w:val="20"/>
              </w:rPr>
              <w:t>他</w:t>
            </w:r>
          </w:p>
        </w:tc>
        <w:tc>
          <w:tcPr>
            <w:tcW w:w="348" w:type="pct"/>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2</w:t>
            </w:r>
          </w:p>
        </w:tc>
        <w:tc>
          <w:tcPr>
            <w:tcW w:w="345" w:type="pct"/>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8" w:type="pct"/>
            <w:gridSpan w:val="2"/>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2" w:type="pct"/>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348" w:type="pct"/>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w:t>
            </w:r>
          </w:p>
        </w:tc>
        <w:tc>
          <w:tcPr>
            <w:tcW w:w="425" w:type="pct"/>
            <w:tcBorders>
              <w:top w:val="nil"/>
            </w:tcBorders>
            <w:vAlign w:val="center"/>
          </w:tcPr>
          <w:p w:rsidR="00000000" w:rsidRDefault="00844A84">
            <w:pPr>
              <w:pStyle w:val="a7"/>
              <w:tabs>
                <w:tab w:val="clear" w:pos="510"/>
              </w:tabs>
              <w:spacing w:before="20" w:line="240" w:lineRule="auto"/>
              <w:ind w:right="247"/>
              <w:jc w:val="right"/>
              <w:rPr>
                <w:rFonts w:eastAsia="PMingLiU"/>
                <w:noProof w:val="0"/>
                <w:snapToGrid/>
                <w:spacing w:val="0"/>
                <w:sz w:val="20"/>
                <w:lang w:val="en-GB"/>
              </w:rPr>
            </w:pPr>
            <w:r>
              <w:rPr>
                <w:rFonts w:eastAsia="PMingLiU"/>
                <w:noProof w:val="0"/>
                <w:snapToGrid/>
                <w:spacing w:val="0"/>
                <w:sz w:val="20"/>
                <w:lang w:val="en-GB"/>
              </w:rPr>
              <w:t>50.0</w:t>
            </w:r>
          </w:p>
        </w:tc>
        <w:tc>
          <w:tcPr>
            <w:tcW w:w="426" w:type="pct"/>
            <w:gridSpan w:val="2"/>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100.0</w:t>
            </w:r>
          </w:p>
        </w:tc>
        <w:tc>
          <w:tcPr>
            <w:tcW w:w="424" w:type="pct"/>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w:t>
            </w:r>
          </w:p>
        </w:tc>
        <w:tc>
          <w:tcPr>
            <w:tcW w:w="423" w:type="pct"/>
            <w:gridSpan w:val="2"/>
            <w:tcBorders>
              <w:top w:val="nil"/>
            </w:tcBorders>
            <w:vAlign w:val="center"/>
          </w:tcPr>
          <w:p w:rsidR="00000000" w:rsidRDefault="00844A84" w:rsidP="00844A84">
            <w:pPr>
              <w:pStyle w:val="BodyText"/>
              <w:spacing w:before="20" w:after="0"/>
              <w:ind w:rightChars="100" w:right="31680"/>
              <w:jc w:val="right"/>
              <w:rPr>
                <w:sz w:val="20"/>
                <w:lang w:eastAsia="zh-CN"/>
              </w:rPr>
            </w:pPr>
            <w:r>
              <w:rPr>
                <w:sz w:val="20"/>
                <w:lang w:eastAsia="zh-CN"/>
              </w:rPr>
              <w:t>100</w:t>
            </w:r>
          </w:p>
        </w:tc>
      </w:tr>
      <w:tr w:rsidR="00000000">
        <w:tblPrEx>
          <w:tblCellMar>
            <w:top w:w="0" w:type="dxa"/>
            <w:bottom w:w="0" w:type="dxa"/>
          </w:tblCellMar>
        </w:tblPrEx>
        <w:tc>
          <w:tcPr>
            <w:tcW w:w="360" w:type="pct"/>
            <w:tcBorders>
              <w:right w:val="nil"/>
            </w:tcBorders>
            <w:vAlign w:val="center"/>
          </w:tcPr>
          <w:p w:rsidR="00000000" w:rsidRDefault="00844A84">
            <w:pPr>
              <w:spacing w:before="20" w:line="240" w:lineRule="auto"/>
              <w:ind w:left="-735"/>
              <w:rPr>
                <w:rFonts w:ascii="SimSun" w:hAnsi="SimSun" w:hint="eastAsia"/>
                <w:bCs/>
                <w:sz w:val="20"/>
              </w:rPr>
            </w:pPr>
          </w:p>
        </w:tc>
        <w:tc>
          <w:tcPr>
            <w:tcW w:w="1211" w:type="pct"/>
            <w:tcBorders>
              <w:left w:val="nil"/>
            </w:tcBorders>
            <w:vAlign w:val="center"/>
          </w:tcPr>
          <w:p w:rsidR="00000000" w:rsidRDefault="00844A84" w:rsidP="00844A84">
            <w:pPr>
              <w:spacing w:before="20" w:line="240" w:lineRule="auto"/>
              <w:ind w:leftChars="50" w:left="31680"/>
              <w:rPr>
                <w:rFonts w:ascii="SimSun" w:hAnsi="SimSun" w:hint="eastAsia"/>
                <w:bCs/>
                <w:sz w:val="20"/>
              </w:rPr>
            </w:pPr>
            <w:r>
              <w:rPr>
                <w:rFonts w:ascii="SimSun" w:hAnsi="SimSun" w:hint="eastAsia"/>
                <w:bCs/>
                <w:sz w:val="20"/>
              </w:rPr>
              <w:t>共</w:t>
            </w:r>
            <w:r>
              <w:rPr>
                <w:rFonts w:ascii="SimSun" w:hAnsi="SimSun"/>
                <w:bCs/>
                <w:sz w:val="20"/>
              </w:rPr>
              <w:t xml:space="preserve"> </w:t>
            </w:r>
            <w:r>
              <w:rPr>
                <w:rFonts w:ascii="SimSun" w:hAnsi="SimSun" w:hint="eastAsia"/>
                <w:bCs/>
                <w:sz w:val="20"/>
              </w:rPr>
              <w:t>计</w:t>
            </w:r>
          </w:p>
        </w:tc>
        <w:tc>
          <w:tcPr>
            <w:tcW w:w="348" w:type="pct"/>
            <w:vAlign w:val="center"/>
          </w:tcPr>
          <w:p w:rsidR="00000000" w:rsidRDefault="00844A84" w:rsidP="00844A84">
            <w:pPr>
              <w:pStyle w:val="BodyText"/>
              <w:spacing w:before="20" w:after="0"/>
              <w:ind w:rightChars="100" w:right="31680"/>
              <w:jc w:val="right"/>
              <w:rPr>
                <w:sz w:val="20"/>
                <w:lang w:eastAsia="zh-CN"/>
              </w:rPr>
            </w:pPr>
            <w:r>
              <w:rPr>
                <w:sz w:val="20"/>
                <w:lang w:eastAsia="zh-CN"/>
              </w:rPr>
              <w:t>156</w:t>
            </w:r>
          </w:p>
        </w:tc>
        <w:tc>
          <w:tcPr>
            <w:tcW w:w="345" w:type="pct"/>
            <w:vAlign w:val="center"/>
          </w:tcPr>
          <w:p w:rsidR="00000000" w:rsidRDefault="00844A84" w:rsidP="00844A84">
            <w:pPr>
              <w:pStyle w:val="BodyText"/>
              <w:spacing w:before="20" w:after="0"/>
              <w:ind w:rightChars="100" w:right="31680"/>
              <w:jc w:val="right"/>
              <w:rPr>
                <w:sz w:val="20"/>
                <w:lang w:eastAsia="zh-CN"/>
              </w:rPr>
            </w:pPr>
            <w:r>
              <w:rPr>
                <w:sz w:val="20"/>
                <w:lang w:eastAsia="zh-CN"/>
              </w:rPr>
              <w:t>99</w:t>
            </w:r>
          </w:p>
        </w:tc>
        <w:tc>
          <w:tcPr>
            <w:tcW w:w="348" w:type="pct"/>
            <w:gridSpan w:val="2"/>
            <w:vAlign w:val="center"/>
          </w:tcPr>
          <w:p w:rsidR="00000000" w:rsidRDefault="00844A84" w:rsidP="00844A84">
            <w:pPr>
              <w:pStyle w:val="BodyText"/>
              <w:spacing w:before="20" w:after="0"/>
              <w:ind w:rightChars="100" w:right="31680"/>
              <w:jc w:val="right"/>
              <w:rPr>
                <w:sz w:val="20"/>
                <w:lang w:eastAsia="zh-CN"/>
              </w:rPr>
            </w:pPr>
            <w:r>
              <w:rPr>
                <w:sz w:val="20"/>
                <w:lang w:eastAsia="zh-CN"/>
              </w:rPr>
              <w:t>68</w:t>
            </w:r>
          </w:p>
        </w:tc>
        <w:tc>
          <w:tcPr>
            <w:tcW w:w="342" w:type="pct"/>
            <w:vAlign w:val="center"/>
          </w:tcPr>
          <w:p w:rsidR="00000000" w:rsidRDefault="00844A84" w:rsidP="00844A84">
            <w:pPr>
              <w:pStyle w:val="BodyText"/>
              <w:spacing w:before="20" w:after="0"/>
              <w:ind w:rightChars="100" w:right="31680"/>
              <w:jc w:val="right"/>
              <w:rPr>
                <w:sz w:val="20"/>
                <w:lang w:eastAsia="zh-CN"/>
              </w:rPr>
            </w:pPr>
            <w:r>
              <w:rPr>
                <w:sz w:val="20"/>
                <w:lang w:eastAsia="zh-CN"/>
              </w:rPr>
              <w:t>82</w:t>
            </w:r>
          </w:p>
        </w:tc>
        <w:tc>
          <w:tcPr>
            <w:tcW w:w="348" w:type="pct"/>
            <w:vAlign w:val="center"/>
          </w:tcPr>
          <w:p w:rsidR="00000000" w:rsidRDefault="00844A84" w:rsidP="00844A84">
            <w:pPr>
              <w:pStyle w:val="BodyText"/>
              <w:spacing w:before="20" w:after="0"/>
              <w:ind w:rightChars="100" w:right="31680"/>
              <w:jc w:val="right"/>
              <w:rPr>
                <w:sz w:val="20"/>
                <w:lang w:eastAsia="zh-CN"/>
              </w:rPr>
            </w:pPr>
            <w:r>
              <w:rPr>
                <w:sz w:val="20"/>
                <w:lang w:eastAsia="zh-CN"/>
              </w:rPr>
              <w:t>69</w:t>
            </w:r>
          </w:p>
        </w:tc>
        <w:tc>
          <w:tcPr>
            <w:tcW w:w="425" w:type="pct"/>
            <w:vAlign w:val="center"/>
          </w:tcPr>
          <w:p w:rsidR="00000000" w:rsidRDefault="00844A84" w:rsidP="00844A84">
            <w:pPr>
              <w:pStyle w:val="BodyText"/>
              <w:spacing w:before="20" w:after="0"/>
              <w:ind w:rightChars="100" w:right="31680"/>
              <w:jc w:val="right"/>
              <w:rPr>
                <w:sz w:val="20"/>
              </w:rPr>
            </w:pPr>
            <w:r>
              <w:rPr>
                <w:sz w:val="20"/>
                <w:lang w:eastAsia="zh-CN"/>
              </w:rPr>
              <w:t>63</w:t>
            </w:r>
            <w:r>
              <w:rPr>
                <w:sz w:val="20"/>
              </w:rPr>
              <w:t>.4</w:t>
            </w:r>
          </w:p>
        </w:tc>
        <w:tc>
          <w:tcPr>
            <w:tcW w:w="426" w:type="pct"/>
            <w:gridSpan w:val="2"/>
            <w:vAlign w:val="center"/>
          </w:tcPr>
          <w:p w:rsidR="00000000" w:rsidRDefault="00844A84" w:rsidP="00844A84">
            <w:pPr>
              <w:pStyle w:val="BodyText"/>
              <w:spacing w:before="20" w:after="0"/>
              <w:ind w:rightChars="100" w:right="31680"/>
              <w:jc w:val="right"/>
              <w:rPr>
                <w:sz w:val="20"/>
                <w:lang w:eastAsia="zh-CN"/>
              </w:rPr>
            </w:pPr>
            <w:r>
              <w:rPr>
                <w:sz w:val="20"/>
                <w:lang w:eastAsia="zh-CN"/>
              </w:rPr>
              <w:t>68.7</w:t>
            </w:r>
          </w:p>
        </w:tc>
        <w:tc>
          <w:tcPr>
            <w:tcW w:w="424" w:type="pct"/>
            <w:vAlign w:val="center"/>
          </w:tcPr>
          <w:p w:rsidR="00000000" w:rsidRDefault="00844A84" w:rsidP="00844A84">
            <w:pPr>
              <w:pStyle w:val="BodyText"/>
              <w:spacing w:before="20" w:after="0"/>
              <w:ind w:rightChars="100" w:right="31680"/>
              <w:jc w:val="right"/>
              <w:rPr>
                <w:sz w:val="20"/>
                <w:lang w:eastAsia="zh-CN"/>
              </w:rPr>
            </w:pPr>
            <w:r>
              <w:rPr>
                <w:sz w:val="20"/>
                <w:lang w:eastAsia="zh-CN"/>
              </w:rPr>
              <w:t>121</w:t>
            </w:r>
          </w:p>
        </w:tc>
        <w:tc>
          <w:tcPr>
            <w:tcW w:w="423" w:type="pct"/>
            <w:gridSpan w:val="2"/>
            <w:vAlign w:val="center"/>
          </w:tcPr>
          <w:p w:rsidR="00000000" w:rsidRDefault="00844A84" w:rsidP="00844A84">
            <w:pPr>
              <w:pStyle w:val="BodyText"/>
              <w:spacing w:before="20" w:after="0"/>
              <w:ind w:rightChars="100" w:right="31680"/>
              <w:jc w:val="right"/>
              <w:rPr>
                <w:sz w:val="20"/>
                <w:lang w:eastAsia="zh-CN"/>
              </w:rPr>
            </w:pPr>
            <w:r>
              <w:rPr>
                <w:sz w:val="20"/>
                <w:lang w:eastAsia="zh-CN"/>
              </w:rPr>
              <w:t>84</w:t>
            </w:r>
          </w:p>
        </w:tc>
      </w:tr>
    </w:tbl>
    <w:p w:rsidR="00000000" w:rsidRDefault="00844A84"/>
    <w:p w:rsidR="00000000" w:rsidRDefault="00844A84">
      <w:pPr>
        <w:pStyle w:val="Heading3"/>
        <w:sectPr w:rsidR="00000000">
          <w:headerReference w:type="even" r:id="rId11"/>
          <w:headerReference w:type="default" r:id="rId12"/>
          <w:endnotePr>
            <w:numFmt w:val="decimal"/>
          </w:endnotePr>
          <w:pgSz w:w="16838" w:h="11906" w:orient="landscape" w:code="9"/>
          <w:pgMar w:top="1701" w:right="1985" w:bottom="851" w:left="1985" w:header="794" w:footer="1588" w:gutter="0"/>
          <w:cols w:space="425"/>
          <w:docGrid w:type="lines" w:linePitch="360"/>
        </w:sectPr>
      </w:pPr>
    </w:p>
    <w:p w:rsidR="00000000" w:rsidRDefault="00844A84">
      <w:pPr>
        <w:spacing w:line="312" w:lineRule="auto"/>
        <w:rPr>
          <w:rFonts w:hint="eastAsia"/>
        </w:rPr>
      </w:pPr>
      <w:r>
        <w:rPr>
          <w:rFonts w:hint="eastAsia"/>
        </w:rPr>
        <w:tab/>
        <w:t xml:space="preserve">121.  </w:t>
      </w:r>
      <w:r>
        <w:rPr>
          <w:rFonts w:hint="eastAsia"/>
        </w:rPr>
        <w:t>《人权和少数群体权利及公民自由宪章》第</w:t>
      </w:r>
      <w:r>
        <w:rPr>
          <w:rFonts w:hint="eastAsia"/>
        </w:rPr>
        <w:t>32</w:t>
      </w:r>
      <w:r>
        <w:rPr>
          <w:rFonts w:hint="eastAsia"/>
        </w:rPr>
        <w:t>条也规定了组织工会的自由。《塞尔维亚共和国宪法》也有类似规定。但禁止工会组织从事以下活动：暴力推翻宪法确立的秩序，破坏南斯拉夫联盟共和国的领土完整，侵犯个人和公民受保护的权利和自由，煽动民族、种族、宗教或其他不容忍和仇恨。</w:t>
      </w:r>
    </w:p>
    <w:p w:rsidR="00000000" w:rsidRDefault="00844A84">
      <w:pPr>
        <w:spacing w:line="312" w:lineRule="auto"/>
        <w:rPr>
          <w:rFonts w:hint="eastAsia"/>
        </w:rPr>
      </w:pPr>
      <w:r>
        <w:rPr>
          <w:rFonts w:hint="eastAsia"/>
        </w:rPr>
        <w:tab/>
        <w:t xml:space="preserve">122.  </w:t>
      </w:r>
      <w:r>
        <w:rPr>
          <w:rFonts w:hint="eastAsia"/>
        </w:rPr>
        <w:t>《劳动法》第</w:t>
      </w:r>
      <w:r>
        <w:rPr>
          <w:rFonts w:hint="eastAsia"/>
        </w:rPr>
        <w:t>130</w:t>
      </w:r>
      <w:r>
        <w:rPr>
          <w:rFonts w:hint="eastAsia"/>
        </w:rPr>
        <w:t>条也规定，法律维护旨在保护会员权利、促进会员职业</w:t>
      </w:r>
      <w:r>
        <w:rPr>
          <w:rFonts w:hint="eastAsia"/>
        </w:rPr>
        <w:t>和经济利益的工会组织和活动自由。成立工会无须事先得到批准，仅必须依据有关法律、法规在劳动部工会登记部门注册登记。工会是雇员自愿加入、独立运作的雇员团体，旨在实现和维护雇员的集体和个人权益</w:t>
      </w:r>
      <w:r>
        <w:rPr>
          <w:rFonts w:hint="eastAsia"/>
        </w:rPr>
        <w:t>(</w:t>
      </w:r>
      <w:r>
        <w:rPr>
          <w:rFonts w:hint="eastAsia"/>
        </w:rPr>
        <w:t>《劳动法》第</w:t>
      </w:r>
      <w:r>
        <w:rPr>
          <w:rFonts w:hint="eastAsia"/>
        </w:rPr>
        <w:t>5</w:t>
      </w:r>
      <w:r>
        <w:rPr>
          <w:rFonts w:hint="eastAsia"/>
        </w:rPr>
        <w:t>条</w:t>
      </w:r>
      <w:r>
        <w:rPr>
          <w:rFonts w:hint="eastAsia"/>
        </w:rPr>
        <w:t>)</w:t>
      </w:r>
      <w:r>
        <w:rPr>
          <w:rFonts w:hint="eastAsia"/>
        </w:rPr>
        <w:t>。</w:t>
      </w:r>
    </w:p>
    <w:p w:rsidR="00000000" w:rsidRDefault="00844A84">
      <w:pPr>
        <w:spacing w:line="312" w:lineRule="auto"/>
      </w:pPr>
      <w:r>
        <w:rPr>
          <w:rFonts w:hint="eastAsia"/>
        </w:rPr>
        <w:tab/>
        <w:t xml:space="preserve">123.  </w:t>
      </w:r>
      <w:r>
        <w:rPr>
          <w:rFonts w:hint="eastAsia"/>
        </w:rPr>
        <w:t>任何人无论是否工会会员，在就业和寻求就业中均不得受到歧视。</w:t>
      </w:r>
    </w:p>
    <w:p w:rsidR="00000000" w:rsidRDefault="00844A84">
      <w:pPr>
        <w:spacing w:line="312" w:lineRule="auto"/>
      </w:pPr>
      <w:r>
        <w:rPr>
          <w:rFonts w:hint="eastAsia"/>
        </w:rPr>
        <w:tab/>
        <w:t xml:space="preserve">124.  </w:t>
      </w:r>
      <w:r>
        <w:rPr>
          <w:rFonts w:hint="eastAsia"/>
        </w:rPr>
        <w:t>《工会组织登记条例》规定了工会登记注册的方式。登记注册工会时，工会组织应首先提出申请。除提出申请外，还应提交工会成立章程和授权提出申请的证明。劳动部将通知登记注册结果，并颁发工会登记注册证书。现在已有大约</w:t>
      </w:r>
      <w:r>
        <w:rPr>
          <w:rFonts w:hint="eastAsia"/>
        </w:rPr>
        <w:t>17,96</w:t>
      </w:r>
      <w:r>
        <w:rPr>
          <w:rFonts w:hint="eastAsia"/>
        </w:rPr>
        <w:t>0</w:t>
      </w:r>
      <w:r>
        <w:rPr>
          <w:rFonts w:hint="eastAsia"/>
        </w:rPr>
        <w:t>个工会在有关部门登记注册。</w:t>
      </w:r>
    </w:p>
    <w:p w:rsidR="00000000" w:rsidRDefault="00844A84">
      <w:pPr>
        <w:spacing w:line="312" w:lineRule="auto"/>
        <w:rPr>
          <w:snapToGrid/>
        </w:rPr>
      </w:pPr>
      <w:r>
        <w:rPr>
          <w:rFonts w:hint="eastAsia"/>
          <w:snapToGrid/>
        </w:rPr>
        <w:tab/>
        <w:t xml:space="preserve">125.  </w:t>
      </w:r>
      <w:r>
        <w:rPr>
          <w:rFonts w:hint="eastAsia"/>
          <w:snapToGrid/>
        </w:rPr>
        <w:t>可依据以下文书解散工会：</w:t>
      </w:r>
    </w:p>
    <w:p w:rsidR="00000000" w:rsidRDefault="00844A84">
      <w:pPr>
        <w:numPr>
          <w:ilvl w:val="0"/>
          <w:numId w:val="523"/>
        </w:numPr>
        <w:tabs>
          <w:tab w:val="clear" w:pos="1531"/>
        </w:tabs>
        <w:spacing w:line="312" w:lineRule="auto"/>
        <w:rPr>
          <w:snapToGrid/>
        </w:rPr>
      </w:pPr>
      <w:r>
        <w:rPr>
          <w:rFonts w:hint="eastAsia"/>
          <w:snapToGrid/>
        </w:rPr>
        <w:t>停止工会活动的法令；</w:t>
      </w:r>
    </w:p>
    <w:p w:rsidR="00000000" w:rsidRDefault="00844A84">
      <w:pPr>
        <w:numPr>
          <w:ilvl w:val="0"/>
          <w:numId w:val="523"/>
        </w:numPr>
        <w:tabs>
          <w:tab w:val="clear" w:pos="1531"/>
        </w:tabs>
        <w:spacing w:line="312" w:lineRule="auto"/>
        <w:rPr>
          <w:snapToGrid/>
        </w:rPr>
      </w:pPr>
      <w:r>
        <w:rPr>
          <w:rFonts w:hint="eastAsia"/>
          <w:snapToGrid/>
        </w:rPr>
        <w:t>法院禁止工会活动的有效裁决，其依据的宪法条款禁止工会活动以暴力方式改变宪法确立的秩序，破坏塞尔维亚共和国的领土完整和独立，侵犯个人和公民受宪法保障的自由和权利，煽动民族、种族、宗教和其他不容忍和仇恨</w:t>
      </w:r>
    </w:p>
    <w:p w:rsidR="00000000" w:rsidRDefault="00844A84">
      <w:pPr>
        <w:numPr>
          <w:ilvl w:val="0"/>
          <w:numId w:val="523"/>
        </w:numPr>
        <w:tabs>
          <w:tab w:val="clear" w:pos="1531"/>
        </w:tabs>
        <w:spacing w:line="312" w:lineRule="auto"/>
        <w:rPr>
          <w:snapToGrid/>
        </w:rPr>
      </w:pPr>
      <w:r>
        <w:rPr>
          <w:rFonts w:hint="eastAsia"/>
          <w:snapToGrid/>
        </w:rPr>
        <w:t>劳动部长因发现工会登记注册时提交的资料不实而颁布的法令。</w:t>
      </w:r>
    </w:p>
    <w:p w:rsidR="00000000" w:rsidRDefault="00844A84">
      <w:pPr>
        <w:spacing w:line="312" w:lineRule="auto"/>
        <w:rPr>
          <w:snapToGrid/>
        </w:rPr>
      </w:pPr>
      <w:r>
        <w:rPr>
          <w:rFonts w:hint="eastAsia"/>
          <w:snapToGrid/>
        </w:rPr>
        <w:tab/>
        <w:t xml:space="preserve">126.  </w:t>
      </w:r>
      <w:r>
        <w:rPr>
          <w:rFonts w:hint="eastAsia"/>
          <w:snapToGrid/>
        </w:rPr>
        <w:t>对工会组织代表的保护在一般性集体协议中加以规定。对工会代表的保护旨在保证，不得将根据法律和集体协议履行职责的工会代表降职、免职或以其他方式将之置于不</w:t>
      </w:r>
      <w:r>
        <w:rPr>
          <w:rFonts w:hint="eastAsia"/>
          <w:snapToGrid/>
        </w:rPr>
        <w:t>利地位。</w:t>
      </w:r>
    </w:p>
    <w:p w:rsidR="00000000" w:rsidRDefault="00844A84">
      <w:pPr>
        <w:spacing w:line="312" w:lineRule="auto"/>
        <w:rPr>
          <w:snapToGrid/>
        </w:rPr>
      </w:pPr>
      <w:r>
        <w:rPr>
          <w:rFonts w:hint="eastAsia"/>
          <w:snapToGrid/>
        </w:rPr>
        <w:tab/>
        <w:t xml:space="preserve">127.  </w:t>
      </w:r>
      <w:r>
        <w:rPr>
          <w:rFonts w:hint="eastAsia"/>
          <w:snapToGrid/>
        </w:rPr>
        <w:t>工会组织根据本身的规章即工会章程和议事规则独立决定其组织形式和工作方法。</w:t>
      </w:r>
    </w:p>
    <w:p w:rsidR="00000000" w:rsidRDefault="00844A84">
      <w:pPr>
        <w:spacing w:line="312" w:lineRule="auto"/>
        <w:rPr>
          <w:snapToGrid/>
        </w:rPr>
      </w:pPr>
      <w:r>
        <w:rPr>
          <w:rFonts w:hint="eastAsia"/>
          <w:snapToGrid/>
        </w:rPr>
        <w:tab/>
        <w:t xml:space="preserve">128.  </w:t>
      </w:r>
      <w:r>
        <w:rPr>
          <w:rFonts w:hint="eastAsia"/>
          <w:snapToGrid/>
        </w:rPr>
        <w:t>塞尔维亚共和国有三个工会联合会：塞尔维亚工会联合会、名为“独立”的部门工会联合会和塞尔维亚自由和独立工会协会。除了成员国一级的工会组织之外，行业各部门以及公司内部也存在工会和工会活动。</w:t>
      </w:r>
    </w:p>
    <w:p w:rsidR="00000000" w:rsidRDefault="00844A84">
      <w:pPr>
        <w:rPr>
          <w:snapToGrid/>
        </w:rPr>
      </w:pPr>
      <w:r>
        <w:rPr>
          <w:rFonts w:hint="eastAsia"/>
          <w:snapToGrid/>
        </w:rPr>
        <w:tab/>
        <w:t xml:space="preserve">129.  </w:t>
      </w:r>
      <w:r>
        <w:rPr>
          <w:rFonts w:hint="eastAsia"/>
          <w:snapToGrid/>
        </w:rPr>
        <w:t>在南联盟一级也可以建立工会组织。南联盟工会组织登记注册的法律基础是《关于在南斯拉夫社会主义联盟共和国领土上成立协会、社会组织和政治组织的公民结社法》</w:t>
      </w:r>
      <w:r>
        <w:rPr>
          <w:rFonts w:hint="eastAsia"/>
          <w:snapToGrid/>
        </w:rPr>
        <w:t>(</w:t>
      </w:r>
      <w:r>
        <w:rPr>
          <w:rFonts w:hint="eastAsia"/>
          <w:snapToGrid/>
        </w:rPr>
        <w:t>《南斯拉夫社会主义联盟共和国政府公报》第</w:t>
      </w:r>
      <w:r>
        <w:rPr>
          <w:snapToGrid/>
        </w:rPr>
        <w:t>42/90</w:t>
      </w:r>
      <w:r>
        <w:rPr>
          <w:rFonts w:hint="eastAsia"/>
          <w:snapToGrid/>
        </w:rPr>
        <w:t>号和《南斯拉夫联盟共和国政府公报》第</w:t>
      </w:r>
      <w:r>
        <w:rPr>
          <w:rFonts w:hint="eastAsia"/>
          <w:snapToGrid/>
        </w:rPr>
        <w:t>24/94</w:t>
      </w:r>
      <w:r>
        <w:rPr>
          <w:rFonts w:hint="eastAsia"/>
          <w:snapToGrid/>
        </w:rPr>
        <w:t>号和第</w:t>
      </w:r>
      <w:r>
        <w:rPr>
          <w:rFonts w:hint="eastAsia"/>
          <w:snapToGrid/>
        </w:rPr>
        <w:t>28/96</w:t>
      </w:r>
      <w:r>
        <w:rPr>
          <w:rFonts w:hint="eastAsia"/>
          <w:snapToGrid/>
        </w:rPr>
        <w:t>号</w:t>
      </w:r>
      <w:r>
        <w:rPr>
          <w:rFonts w:hint="eastAsia"/>
          <w:snapToGrid/>
        </w:rPr>
        <w:t>)</w:t>
      </w:r>
      <w:r>
        <w:rPr>
          <w:rFonts w:hint="eastAsia"/>
          <w:snapToGrid/>
        </w:rPr>
        <w:t>。同样，塞尔维亚工会组织登记注册的法律基础是《社会组织和公民结社法》</w:t>
      </w:r>
      <w:r>
        <w:rPr>
          <w:rFonts w:hint="eastAsia"/>
          <w:snapToGrid/>
        </w:rPr>
        <w:t>(</w:t>
      </w:r>
      <w:r>
        <w:rPr>
          <w:rFonts w:hint="eastAsia"/>
          <w:snapToGrid/>
        </w:rPr>
        <w:t>《塞尔维亚社会主义共和国政府公报》第</w:t>
      </w:r>
      <w:r>
        <w:rPr>
          <w:rFonts w:hint="eastAsia"/>
          <w:snapToGrid/>
        </w:rPr>
        <w:t>24/82</w:t>
      </w:r>
      <w:r>
        <w:rPr>
          <w:rFonts w:hint="eastAsia"/>
          <w:snapToGrid/>
        </w:rPr>
        <w:t>号和《塞尔维亚共和国政府公报》第</w:t>
      </w:r>
      <w:r>
        <w:rPr>
          <w:rFonts w:hint="eastAsia"/>
          <w:snapToGrid/>
        </w:rPr>
        <w:t>48/97</w:t>
      </w:r>
      <w:r>
        <w:rPr>
          <w:rFonts w:hint="eastAsia"/>
          <w:snapToGrid/>
        </w:rPr>
        <w:t>号</w:t>
      </w:r>
      <w:r>
        <w:rPr>
          <w:rFonts w:hint="eastAsia"/>
          <w:snapToGrid/>
        </w:rPr>
        <w:t>)</w:t>
      </w:r>
      <w:r>
        <w:rPr>
          <w:rFonts w:hint="eastAsia"/>
          <w:snapToGrid/>
        </w:rPr>
        <w:t>。</w:t>
      </w:r>
    </w:p>
    <w:p w:rsidR="00000000" w:rsidRDefault="00844A84">
      <w:pPr>
        <w:rPr>
          <w:snapToGrid/>
        </w:rPr>
      </w:pPr>
      <w:r>
        <w:rPr>
          <w:rFonts w:hint="eastAsia"/>
          <w:snapToGrid/>
        </w:rPr>
        <w:tab/>
        <w:t xml:space="preserve">130.  </w:t>
      </w:r>
      <w:r>
        <w:rPr>
          <w:rFonts w:hint="eastAsia"/>
          <w:snapToGrid/>
        </w:rPr>
        <w:t>南联盟一级只有一个工会，即南斯拉夫独立工会联盟，它是各部门工会的联盟机构。南联盟行政和司法机关的雇员也组织了部门工会。</w:t>
      </w:r>
    </w:p>
    <w:p w:rsidR="00000000" w:rsidRDefault="00844A84">
      <w:pPr>
        <w:rPr>
          <w:rFonts w:hint="eastAsia"/>
          <w:snapToGrid/>
        </w:rPr>
      </w:pPr>
      <w:r>
        <w:rPr>
          <w:rFonts w:hint="eastAsia"/>
          <w:snapToGrid/>
        </w:rPr>
        <w:tab/>
        <w:t xml:space="preserve">131.  </w:t>
      </w:r>
      <w:r>
        <w:rPr>
          <w:rFonts w:hint="eastAsia"/>
          <w:snapToGrid/>
        </w:rPr>
        <w:t>根据《劳动法》，集体协议由雇主或有代表权的雇主协会与有代表权的工会签订。工会的代表权取决于：</w:t>
      </w:r>
    </w:p>
    <w:p w:rsidR="00000000" w:rsidRDefault="00844A84">
      <w:pPr>
        <w:pStyle w:val="a0"/>
        <w:ind w:left="1530"/>
        <w:rPr>
          <w:rFonts w:hint="eastAsia"/>
          <w:snapToGrid/>
        </w:rPr>
      </w:pPr>
      <w:r>
        <w:rPr>
          <w:rFonts w:hint="eastAsia"/>
          <w:snapToGrid/>
        </w:rPr>
        <w:t>工会是否依据法律、法规在登记部门注册；</w:t>
      </w:r>
      <w:r>
        <w:rPr>
          <w:rFonts w:hint="eastAsia"/>
          <w:snapToGrid/>
        </w:rPr>
        <w:t>以及</w:t>
      </w:r>
    </w:p>
    <w:p w:rsidR="00000000" w:rsidRDefault="00844A84">
      <w:pPr>
        <w:pStyle w:val="a0"/>
        <w:ind w:left="1530"/>
        <w:rPr>
          <w:snapToGrid/>
        </w:rPr>
      </w:pPr>
      <w:r>
        <w:rPr>
          <w:rFonts w:hint="eastAsia"/>
          <w:snapToGrid/>
        </w:rPr>
        <w:t>按入会卡计算的会员数量。</w:t>
      </w:r>
    </w:p>
    <w:p w:rsidR="00000000" w:rsidRDefault="00844A84">
      <w:pPr>
        <w:spacing w:after="320"/>
        <w:rPr>
          <w:snapToGrid/>
        </w:rPr>
      </w:pPr>
      <w:r>
        <w:rPr>
          <w:rFonts w:hint="eastAsia"/>
          <w:snapToGrid/>
        </w:rPr>
        <w:tab/>
        <w:t xml:space="preserve">132.  </w:t>
      </w:r>
      <w:r>
        <w:rPr>
          <w:rFonts w:hint="eastAsia"/>
          <w:snapToGrid/>
        </w:rPr>
        <w:t>如果某一工会达不到代表权所要求的条件，则数个工会可以缔结联合协议，以参与签订集体协议。</w:t>
      </w:r>
    </w:p>
    <w:p w:rsidR="00000000" w:rsidRDefault="00844A84">
      <w:pPr>
        <w:pStyle w:val="Heading4"/>
      </w:pPr>
      <w:r>
        <w:rPr>
          <w:rFonts w:hint="eastAsia"/>
          <w:u w:val="none"/>
        </w:rPr>
        <w:t xml:space="preserve">(c)  </w:t>
      </w:r>
      <w:r>
        <w:rPr>
          <w:rFonts w:hint="eastAsia"/>
        </w:rPr>
        <w:t>罢工权</w:t>
      </w:r>
    </w:p>
    <w:p w:rsidR="00000000" w:rsidRDefault="00844A84">
      <w:pPr>
        <w:pStyle w:val="Heading4"/>
        <w:rPr>
          <w:snapToGrid/>
        </w:rPr>
      </w:pPr>
      <w:r>
        <w:rPr>
          <w:rFonts w:hint="eastAsia"/>
          <w:snapToGrid/>
          <w:u w:val="none"/>
        </w:rPr>
        <w:tab/>
      </w:r>
      <w:r>
        <w:rPr>
          <w:rFonts w:hint="eastAsia"/>
          <w:snapToGrid/>
        </w:rPr>
        <w:t>罢工权的宪法保障</w:t>
      </w:r>
    </w:p>
    <w:p w:rsidR="00000000" w:rsidRDefault="00844A84">
      <w:pPr>
        <w:rPr>
          <w:snapToGrid/>
        </w:rPr>
      </w:pPr>
      <w:r>
        <w:rPr>
          <w:rFonts w:hint="eastAsia"/>
          <w:snapToGrid/>
        </w:rPr>
        <w:tab/>
        <w:t xml:space="preserve">133.  </w:t>
      </w:r>
      <w:r>
        <w:rPr>
          <w:rFonts w:hint="eastAsia"/>
          <w:snapToGrid/>
        </w:rPr>
        <w:t>南联盟法律对罢工权做了全面规定。《南斯拉夫联盟共和国宪法》保障罢工权。雇员为保障其职业和经济利益有权举行罢工。</w:t>
      </w:r>
    </w:p>
    <w:p w:rsidR="00000000" w:rsidRDefault="00844A84">
      <w:pPr>
        <w:rPr>
          <w:snapToGrid/>
        </w:rPr>
      </w:pPr>
      <w:r>
        <w:rPr>
          <w:rFonts w:hint="eastAsia"/>
          <w:snapToGrid/>
        </w:rPr>
        <w:tab/>
        <w:t xml:space="preserve">134.  </w:t>
      </w:r>
      <w:r>
        <w:rPr>
          <w:rFonts w:hint="eastAsia"/>
          <w:snapToGrid/>
        </w:rPr>
        <w:t>除了《南联盟罢工法》</w:t>
      </w:r>
      <w:r>
        <w:rPr>
          <w:rFonts w:hint="eastAsia"/>
          <w:snapToGrid/>
        </w:rPr>
        <w:t>(</w:t>
      </w:r>
      <w:r>
        <w:rPr>
          <w:rFonts w:hint="eastAsia"/>
          <w:snapToGrid/>
        </w:rPr>
        <w:t>《南斯拉夫社会主义联邦共和国政府公报》第</w:t>
      </w:r>
      <w:r>
        <w:rPr>
          <w:rFonts w:hint="eastAsia"/>
          <w:snapToGrid/>
        </w:rPr>
        <w:t>42/92</w:t>
      </w:r>
      <w:r>
        <w:rPr>
          <w:rFonts w:hint="eastAsia"/>
          <w:snapToGrid/>
        </w:rPr>
        <w:t>号和《南斯拉夫联盟共和国政府公报》第</w:t>
      </w:r>
      <w:r>
        <w:rPr>
          <w:rFonts w:hint="eastAsia"/>
          <w:snapToGrid/>
        </w:rPr>
        <w:t>37/93</w:t>
      </w:r>
      <w:r>
        <w:rPr>
          <w:rFonts w:hint="eastAsia"/>
          <w:snapToGrid/>
        </w:rPr>
        <w:t>号和第</w:t>
      </w:r>
      <w:r>
        <w:rPr>
          <w:rFonts w:hint="eastAsia"/>
          <w:snapToGrid/>
        </w:rPr>
        <w:t>24/94</w:t>
      </w:r>
      <w:r>
        <w:rPr>
          <w:rFonts w:hint="eastAsia"/>
          <w:snapToGrid/>
        </w:rPr>
        <w:t>号</w:t>
      </w:r>
      <w:r>
        <w:rPr>
          <w:rFonts w:hint="eastAsia"/>
          <w:snapToGrid/>
        </w:rPr>
        <w:t>)</w:t>
      </w:r>
      <w:r>
        <w:rPr>
          <w:rFonts w:hint="eastAsia"/>
          <w:snapToGrid/>
        </w:rPr>
        <w:t>专门对罢工权做了规范性规定外，塞尔维亚共和国也在</w:t>
      </w:r>
      <w:r>
        <w:rPr>
          <w:rFonts w:hint="eastAsia"/>
          <w:snapToGrid/>
        </w:rPr>
        <w:t>1991</w:t>
      </w:r>
      <w:r>
        <w:rPr>
          <w:rFonts w:hint="eastAsia"/>
          <w:snapToGrid/>
        </w:rPr>
        <w:t>年</w:t>
      </w:r>
      <w:r>
        <w:rPr>
          <w:rFonts w:hint="eastAsia"/>
          <w:snapToGrid/>
        </w:rPr>
        <w:t>8</w:t>
      </w:r>
      <w:r>
        <w:rPr>
          <w:rFonts w:hint="eastAsia"/>
          <w:snapToGrid/>
        </w:rPr>
        <w:t>月</w:t>
      </w:r>
      <w:r>
        <w:rPr>
          <w:rFonts w:hint="eastAsia"/>
          <w:snapToGrid/>
        </w:rPr>
        <w:t>4</w:t>
      </w:r>
      <w:r>
        <w:rPr>
          <w:rFonts w:hint="eastAsia"/>
          <w:snapToGrid/>
        </w:rPr>
        <w:t>日至</w:t>
      </w:r>
      <w:r>
        <w:rPr>
          <w:rFonts w:hint="eastAsia"/>
          <w:snapToGrid/>
        </w:rPr>
        <w:t>1996</w:t>
      </w:r>
      <w:r>
        <w:rPr>
          <w:rFonts w:hint="eastAsia"/>
          <w:snapToGrid/>
        </w:rPr>
        <w:t>年</w:t>
      </w:r>
      <w:r>
        <w:rPr>
          <w:rFonts w:hint="eastAsia"/>
          <w:snapToGrid/>
        </w:rPr>
        <w:t>9</w:t>
      </w:r>
      <w:r>
        <w:rPr>
          <w:rFonts w:hint="eastAsia"/>
          <w:snapToGrid/>
        </w:rPr>
        <w:t>月</w:t>
      </w:r>
      <w:r>
        <w:rPr>
          <w:rFonts w:hint="eastAsia"/>
          <w:snapToGrid/>
        </w:rPr>
        <w:t>27</w:t>
      </w:r>
      <w:r>
        <w:rPr>
          <w:rFonts w:hint="eastAsia"/>
          <w:snapToGrid/>
        </w:rPr>
        <w:t>日期间实施了《罢工法》</w:t>
      </w:r>
      <w:r>
        <w:rPr>
          <w:rFonts w:hint="eastAsia"/>
          <w:snapToGrid/>
        </w:rPr>
        <w:t>(</w:t>
      </w:r>
      <w:r>
        <w:rPr>
          <w:rFonts w:hint="eastAsia"/>
          <w:snapToGrid/>
        </w:rPr>
        <w:t>《塞尔维亚共和国政府公报》第</w:t>
      </w:r>
      <w:r>
        <w:rPr>
          <w:rFonts w:hint="eastAsia"/>
          <w:snapToGrid/>
        </w:rPr>
        <w:t>51/91</w:t>
      </w:r>
      <w:r>
        <w:rPr>
          <w:rFonts w:hint="eastAsia"/>
          <w:snapToGrid/>
        </w:rPr>
        <w:t>号、第</w:t>
      </w:r>
      <w:r>
        <w:rPr>
          <w:rFonts w:hint="eastAsia"/>
          <w:snapToGrid/>
        </w:rPr>
        <w:t>51/92</w:t>
      </w:r>
      <w:r>
        <w:rPr>
          <w:rFonts w:hint="eastAsia"/>
          <w:snapToGrid/>
        </w:rPr>
        <w:t>号、第</w:t>
      </w:r>
      <w:r>
        <w:rPr>
          <w:rFonts w:hint="eastAsia"/>
          <w:snapToGrid/>
        </w:rPr>
        <w:t>53/93</w:t>
      </w:r>
      <w:r>
        <w:rPr>
          <w:rFonts w:hint="eastAsia"/>
          <w:snapToGrid/>
        </w:rPr>
        <w:t>号、第</w:t>
      </w:r>
      <w:r>
        <w:rPr>
          <w:rFonts w:hint="eastAsia"/>
          <w:snapToGrid/>
        </w:rPr>
        <w:t>67/93</w:t>
      </w:r>
      <w:r>
        <w:rPr>
          <w:rFonts w:hint="eastAsia"/>
          <w:snapToGrid/>
        </w:rPr>
        <w:t>号和第</w:t>
      </w:r>
      <w:r>
        <w:rPr>
          <w:rFonts w:hint="eastAsia"/>
          <w:snapToGrid/>
        </w:rPr>
        <w:t>48/94</w:t>
      </w:r>
      <w:r>
        <w:rPr>
          <w:rFonts w:hint="eastAsia"/>
          <w:snapToGrid/>
        </w:rPr>
        <w:t>号</w:t>
      </w:r>
      <w:r>
        <w:rPr>
          <w:rFonts w:hint="eastAsia"/>
          <w:snapToGrid/>
        </w:rPr>
        <w:t>)</w:t>
      </w:r>
      <w:r>
        <w:rPr>
          <w:rFonts w:hint="eastAsia"/>
          <w:snapToGrid/>
        </w:rPr>
        <w:t>。但是，黑山共和国没有对罢工作出专门规定，而是适用《南联盟罢工法》。</w:t>
      </w:r>
    </w:p>
    <w:p w:rsidR="00000000" w:rsidRDefault="00844A84">
      <w:pPr>
        <w:rPr>
          <w:snapToGrid/>
        </w:rPr>
      </w:pPr>
      <w:r>
        <w:rPr>
          <w:rFonts w:hint="eastAsia"/>
          <w:snapToGrid/>
        </w:rPr>
        <w:tab/>
        <w:t xml:space="preserve">135.  </w:t>
      </w:r>
      <w:r>
        <w:rPr>
          <w:rFonts w:hint="eastAsia"/>
          <w:snapToGrid/>
        </w:rPr>
        <w:t>《南斯拉夫联盟共和国宪法》和《罢工法》</w:t>
      </w:r>
      <w:r>
        <w:rPr>
          <w:rFonts w:hint="eastAsia"/>
          <w:snapToGrid/>
        </w:rPr>
        <w:t>(</w:t>
      </w:r>
      <w:r>
        <w:rPr>
          <w:rFonts w:hint="eastAsia"/>
          <w:snapToGrid/>
        </w:rPr>
        <w:t>《南斯拉夫联盟共和国政府公报》第</w:t>
      </w:r>
      <w:r>
        <w:rPr>
          <w:rFonts w:hint="eastAsia"/>
          <w:snapToGrid/>
        </w:rPr>
        <w:t>29/96</w:t>
      </w:r>
      <w:r>
        <w:rPr>
          <w:rFonts w:hint="eastAsia"/>
          <w:snapToGrid/>
        </w:rPr>
        <w:t>号</w:t>
      </w:r>
      <w:r>
        <w:rPr>
          <w:rFonts w:hint="eastAsia"/>
          <w:snapToGrid/>
        </w:rPr>
        <w:t>)</w:t>
      </w:r>
      <w:r>
        <w:rPr>
          <w:rFonts w:hint="eastAsia"/>
          <w:snapToGrid/>
        </w:rPr>
        <w:t>第</w:t>
      </w:r>
      <w:r>
        <w:rPr>
          <w:rFonts w:hint="eastAsia"/>
          <w:snapToGrid/>
        </w:rPr>
        <w:t>1</w:t>
      </w:r>
      <w:r>
        <w:rPr>
          <w:rFonts w:hint="eastAsia"/>
          <w:snapToGrid/>
        </w:rPr>
        <w:t>条对罢工的定义为：“雇员为保护其专业和经济利益而有组织地中断工作。”雇员自由决定是否参加罢工。根据法律，所有雇员和工会，不论其是否符合代表权的条件，都有权举行罢工。第</w:t>
      </w:r>
      <w:r>
        <w:rPr>
          <w:rFonts w:hint="eastAsia"/>
          <w:snapToGrid/>
        </w:rPr>
        <w:t>2</w:t>
      </w:r>
      <w:r>
        <w:rPr>
          <w:rFonts w:hint="eastAsia"/>
          <w:snapToGrid/>
        </w:rPr>
        <w:t>条规定罢工有以下</w:t>
      </w:r>
      <w:r>
        <w:rPr>
          <w:rFonts w:hint="eastAsia"/>
          <w:snapToGrid/>
        </w:rPr>
        <w:t>几种：整个公司范围内</w:t>
      </w:r>
      <w:r>
        <w:rPr>
          <w:rFonts w:hint="eastAsia"/>
          <w:snapToGrid/>
        </w:rPr>
        <w:t>(</w:t>
      </w:r>
      <w:r>
        <w:rPr>
          <w:rFonts w:hint="eastAsia"/>
          <w:snapToGrid/>
        </w:rPr>
        <w:t>或其他法人内部即针对作为自然人的雇主或业主的罢工；部门或行业罢工；总罢工</w:t>
      </w:r>
      <w:r>
        <w:rPr>
          <w:rFonts w:hint="eastAsia"/>
          <w:snapToGrid/>
        </w:rPr>
        <w:t>(</w:t>
      </w:r>
      <w:r>
        <w:rPr>
          <w:rFonts w:hint="eastAsia"/>
          <w:snapToGrid/>
        </w:rPr>
        <w:t>即在南斯拉夫联盟共和国一个成员国范围内的罢工</w:t>
      </w:r>
      <w:r>
        <w:rPr>
          <w:rFonts w:hint="eastAsia"/>
          <w:snapToGrid/>
        </w:rPr>
        <w:t>)</w:t>
      </w:r>
      <w:r>
        <w:rPr>
          <w:rFonts w:hint="eastAsia"/>
          <w:snapToGrid/>
        </w:rPr>
        <w:t>。</w:t>
      </w:r>
    </w:p>
    <w:p w:rsidR="00000000" w:rsidRDefault="00844A84">
      <w:pPr>
        <w:rPr>
          <w:snapToGrid/>
        </w:rPr>
      </w:pPr>
      <w:r>
        <w:rPr>
          <w:rFonts w:hint="eastAsia"/>
          <w:snapToGrid/>
        </w:rPr>
        <w:tab/>
        <w:t xml:space="preserve">136.  </w:t>
      </w:r>
      <w:r>
        <w:rPr>
          <w:rFonts w:hint="eastAsia"/>
          <w:snapToGrid/>
        </w:rPr>
        <w:t>《罢工法》第</w:t>
      </w:r>
      <w:r>
        <w:rPr>
          <w:rFonts w:hint="eastAsia"/>
          <w:snapToGrid/>
        </w:rPr>
        <w:t>13</w:t>
      </w:r>
      <w:r>
        <w:rPr>
          <w:rFonts w:hint="eastAsia"/>
          <w:snapToGrid/>
        </w:rPr>
        <w:t>条规定，对依法组织罢工的人实行专门保护。保护包括禁止对组织者进行纪律处分或追究其具体责任，禁止终止雇用合同。在参与罢工期间，雇员享有除工资权之外的基本劳动权利以及社会保障权利。</w:t>
      </w:r>
    </w:p>
    <w:p w:rsidR="00000000" w:rsidRDefault="00844A84">
      <w:pPr>
        <w:rPr>
          <w:snapToGrid/>
        </w:rPr>
      </w:pPr>
      <w:r>
        <w:rPr>
          <w:rFonts w:hint="eastAsia"/>
          <w:snapToGrid/>
        </w:rPr>
        <w:tab/>
        <w:t xml:space="preserve">137.  </w:t>
      </w:r>
      <w:r>
        <w:rPr>
          <w:rFonts w:hint="eastAsia"/>
          <w:snapToGrid/>
        </w:rPr>
        <w:t>除了以上所述南联盟法之外，从</w:t>
      </w:r>
      <w:r>
        <w:rPr>
          <w:rFonts w:hint="eastAsia"/>
          <w:snapToGrid/>
        </w:rPr>
        <w:t>1992</w:t>
      </w:r>
      <w:r>
        <w:rPr>
          <w:rFonts w:hint="eastAsia"/>
          <w:snapToGrid/>
        </w:rPr>
        <w:t>年至</w:t>
      </w:r>
      <w:r>
        <w:rPr>
          <w:rFonts w:hint="eastAsia"/>
          <w:snapToGrid/>
        </w:rPr>
        <w:t>1996</w:t>
      </w:r>
      <w:r>
        <w:rPr>
          <w:rFonts w:hint="eastAsia"/>
          <w:snapToGrid/>
        </w:rPr>
        <w:t>年期间，还实施了《塞尔维亚共和国罢工法》，该法的实施监督工作由塞尔维亚共和国劳动视察部门负责。在</w:t>
      </w:r>
      <w:r>
        <w:rPr>
          <w:rFonts w:hint="eastAsia"/>
          <w:snapToGrid/>
        </w:rPr>
        <w:t>上述期间，劳动视察部门根据对</w:t>
      </w:r>
      <w:r>
        <w:rPr>
          <w:rFonts w:hint="eastAsia"/>
          <w:snapToGrid/>
        </w:rPr>
        <w:t>111</w:t>
      </w:r>
      <w:r>
        <w:rPr>
          <w:rFonts w:hint="eastAsia"/>
          <w:snapToGrid/>
        </w:rPr>
        <w:t>起罢工案例的监察经验得出一些结论。</w:t>
      </w:r>
    </w:p>
    <w:p w:rsidR="00000000" w:rsidRDefault="00844A84">
      <w:pPr>
        <w:rPr>
          <w:snapToGrid/>
        </w:rPr>
      </w:pPr>
      <w:r>
        <w:rPr>
          <w:rFonts w:hint="eastAsia"/>
          <w:snapToGrid/>
        </w:rPr>
        <w:tab/>
        <w:t xml:space="preserve">138.  </w:t>
      </w:r>
      <w:r>
        <w:rPr>
          <w:rFonts w:hint="eastAsia"/>
          <w:snapToGrid/>
        </w:rPr>
        <w:t>在受到视察的罢工案例中，大约一半</w:t>
      </w:r>
      <w:r>
        <w:rPr>
          <w:rFonts w:hint="eastAsia"/>
          <w:snapToGrid/>
        </w:rPr>
        <w:t>(57</w:t>
      </w:r>
      <w:r>
        <w:rPr>
          <w:rFonts w:hint="eastAsia"/>
          <w:snapToGrid/>
        </w:rPr>
        <w:t>例</w:t>
      </w:r>
      <w:r>
        <w:rPr>
          <w:rFonts w:hint="eastAsia"/>
          <w:snapToGrid/>
        </w:rPr>
        <w:t>)</w:t>
      </w:r>
      <w:r>
        <w:rPr>
          <w:rFonts w:hint="eastAsia"/>
          <w:snapToGrid/>
        </w:rPr>
        <w:t>属于特别法定罢工机制规定的罢工。大多数罢工事件涉及教育、卫生领域和“具有特别社会意义的活动”</w:t>
      </w:r>
      <w:r>
        <w:rPr>
          <w:rFonts w:hint="eastAsia"/>
          <w:snapToGrid/>
        </w:rPr>
        <w:t>(</w:t>
      </w:r>
      <w:r>
        <w:rPr>
          <w:rFonts w:hint="eastAsia"/>
          <w:snapToGrid/>
        </w:rPr>
        <w:t>如采掘、广播、电视和报刊发行</w:t>
      </w:r>
      <w:r>
        <w:rPr>
          <w:rFonts w:hint="eastAsia"/>
          <w:snapToGrid/>
        </w:rPr>
        <w:t>)</w:t>
      </w:r>
      <w:r>
        <w:rPr>
          <w:rFonts w:hint="eastAsia"/>
          <w:snapToGrid/>
        </w:rPr>
        <w:t>，然后是食品加工业。这表明，法定的罢工范围很广，但同时法律规定的其他罢工条件相当严格。</w:t>
      </w:r>
    </w:p>
    <w:p w:rsidR="00000000" w:rsidRDefault="00844A84">
      <w:pPr>
        <w:rPr>
          <w:snapToGrid/>
        </w:rPr>
      </w:pPr>
      <w:r>
        <w:rPr>
          <w:rFonts w:hint="eastAsia"/>
          <w:snapToGrid/>
        </w:rPr>
        <w:tab/>
        <w:t xml:space="preserve">139.  </w:t>
      </w:r>
      <w:r>
        <w:rPr>
          <w:rFonts w:hint="eastAsia"/>
          <w:snapToGrid/>
        </w:rPr>
        <w:t>虽然在视察过程中视察员并没有深入调查罢工者的具体要求，而是仅仅了解罢工是出于经济考虑</w:t>
      </w:r>
      <w:r>
        <w:rPr>
          <w:rFonts w:hint="eastAsia"/>
          <w:snapToGrid/>
        </w:rPr>
        <w:t>(</w:t>
      </w:r>
      <w:r>
        <w:rPr>
          <w:rFonts w:hint="eastAsia"/>
          <w:snapToGrid/>
        </w:rPr>
        <w:t>保护工作权益、改善社会条件</w:t>
      </w:r>
      <w:r>
        <w:rPr>
          <w:rFonts w:hint="eastAsia"/>
          <w:snapToGrid/>
        </w:rPr>
        <w:t>)</w:t>
      </w:r>
      <w:r>
        <w:rPr>
          <w:rFonts w:hint="eastAsia"/>
          <w:snapToGrid/>
        </w:rPr>
        <w:t>，还是出于其他考虑</w:t>
      </w:r>
      <w:r>
        <w:rPr>
          <w:rFonts w:hint="eastAsia"/>
          <w:snapToGrid/>
        </w:rPr>
        <w:t>(</w:t>
      </w:r>
      <w:r>
        <w:rPr>
          <w:rFonts w:hint="eastAsia"/>
          <w:snapToGrid/>
        </w:rPr>
        <w:t>主要是政治考虑</w:t>
      </w:r>
      <w:r>
        <w:rPr>
          <w:rFonts w:hint="eastAsia"/>
          <w:snapToGrid/>
        </w:rPr>
        <w:t>)</w:t>
      </w:r>
      <w:r>
        <w:rPr>
          <w:rFonts w:hint="eastAsia"/>
          <w:snapToGrid/>
        </w:rPr>
        <w:t>，但从现有</w:t>
      </w:r>
      <w:r>
        <w:rPr>
          <w:rFonts w:hint="eastAsia"/>
          <w:snapToGrid/>
        </w:rPr>
        <w:t>案例可以间接得出结论：纯属政治性的罢工可以忽略不计。罢工者的其他要求多种多样。罢工者经常同时提出数项要求。被调查的案例中，大约有一半涉及工资支付问题，即是否达到最低工资标准；然后是要求按工作情况给予其他报酬、改善工作条件、行使与工作有关的集体权利，主要是工会权、工人代表在工会中的权利、罢工委员会委员的权利等。有趣的是，在几次罢工中，罢工者要求更换公司经理人员或要求他们辞职。还有些要求涉及企业所有权的转变，如撤消对公司房产的非法出售，要求把公司的一部分脱离该公司，或对公司法律地位的改变持不同意见。</w:t>
      </w:r>
    </w:p>
    <w:p w:rsidR="00000000" w:rsidRDefault="00844A84">
      <w:pPr>
        <w:rPr>
          <w:snapToGrid/>
        </w:rPr>
      </w:pPr>
      <w:r>
        <w:rPr>
          <w:rFonts w:hint="eastAsia"/>
          <w:snapToGrid/>
        </w:rPr>
        <w:tab/>
        <w:t>140.</w:t>
      </w:r>
      <w:r>
        <w:rPr>
          <w:rFonts w:hint="eastAsia"/>
          <w:snapToGrid/>
        </w:rPr>
        <w:t xml:space="preserve">  </w:t>
      </w:r>
      <w:r>
        <w:rPr>
          <w:rFonts w:hint="eastAsia"/>
          <w:snapToGrid/>
        </w:rPr>
        <w:t>关于罢工者的数量，大多数罢工不是在单个厂房或部门，而是在整个公司范围内举行。罢工还经常在全行业或部门展开，多数是在教育和卫生部门。</w:t>
      </w:r>
    </w:p>
    <w:p w:rsidR="00000000" w:rsidRDefault="00844A84">
      <w:pPr>
        <w:spacing w:after="320"/>
        <w:rPr>
          <w:snapToGrid/>
        </w:rPr>
      </w:pPr>
      <w:r>
        <w:rPr>
          <w:rFonts w:hint="eastAsia"/>
          <w:snapToGrid/>
        </w:rPr>
        <w:tab/>
        <w:t>141.  1997</w:t>
      </w:r>
      <w:r>
        <w:rPr>
          <w:rFonts w:hint="eastAsia"/>
          <w:snapToGrid/>
        </w:rPr>
        <w:t>年《塞尔维亚共和国罢工法》废止后，南联盟视察部门开始视察</w:t>
      </w:r>
      <w:r>
        <w:rPr>
          <w:rFonts w:hint="eastAsia"/>
          <w:snapToGrid/>
        </w:rPr>
        <w:t>1996</w:t>
      </w:r>
      <w:r>
        <w:rPr>
          <w:rFonts w:hint="eastAsia"/>
          <w:snapToGrid/>
        </w:rPr>
        <w:t>年《南斯拉夫联盟共和国罢工法》的实施情况。</w:t>
      </w:r>
    </w:p>
    <w:p w:rsidR="00000000" w:rsidRDefault="00844A84">
      <w:pPr>
        <w:pStyle w:val="Heading4"/>
      </w:pPr>
      <w:r>
        <w:rPr>
          <w:rFonts w:hint="eastAsia"/>
          <w:u w:val="none"/>
        </w:rPr>
        <w:tab/>
      </w:r>
      <w:r>
        <w:rPr>
          <w:rFonts w:hint="eastAsia"/>
        </w:rPr>
        <w:t>对罢工权的限制</w:t>
      </w:r>
    </w:p>
    <w:p w:rsidR="00000000" w:rsidRDefault="00844A84">
      <w:pPr>
        <w:rPr>
          <w:snapToGrid/>
          <w:spacing w:val="8"/>
        </w:rPr>
      </w:pPr>
      <w:r>
        <w:rPr>
          <w:rFonts w:hint="eastAsia"/>
          <w:snapToGrid/>
        </w:rPr>
        <w:tab/>
      </w:r>
      <w:r>
        <w:rPr>
          <w:rFonts w:hint="eastAsia"/>
          <w:snapToGrid/>
          <w:spacing w:val="8"/>
        </w:rPr>
        <w:t xml:space="preserve">142.  </w:t>
      </w:r>
      <w:r>
        <w:rPr>
          <w:rFonts w:hint="eastAsia"/>
          <w:snapToGrid/>
          <w:spacing w:val="8"/>
        </w:rPr>
        <w:t>《罢工法》规定了组织一般罢工的条件</w:t>
      </w:r>
      <w:r>
        <w:rPr>
          <w:rFonts w:hint="eastAsia"/>
          <w:snapToGrid/>
          <w:spacing w:val="8"/>
        </w:rPr>
        <w:t>(</w:t>
      </w:r>
      <w:r>
        <w:rPr>
          <w:rFonts w:hint="eastAsia"/>
          <w:snapToGrid/>
          <w:spacing w:val="8"/>
        </w:rPr>
        <w:t>称为“一般法定罢工机制”</w:t>
      </w:r>
      <w:r>
        <w:rPr>
          <w:rFonts w:hint="eastAsia"/>
          <w:snapToGrid/>
          <w:spacing w:val="8"/>
        </w:rPr>
        <w:t>)</w:t>
      </w:r>
      <w:r>
        <w:rPr>
          <w:rFonts w:hint="eastAsia"/>
          <w:snapToGrid/>
          <w:spacing w:val="8"/>
        </w:rPr>
        <w:t>。《罢工法》还规定了《罢工法》所列举公益部门或有特殊意义的部门组织和实施罢工受到的限制</w:t>
      </w:r>
      <w:r>
        <w:rPr>
          <w:rFonts w:hint="eastAsia"/>
          <w:snapToGrid/>
          <w:spacing w:val="8"/>
        </w:rPr>
        <w:t>(</w:t>
      </w:r>
      <w:r>
        <w:rPr>
          <w:rFonts w:hint="eastAsia"/>
          <w:snapToGrid/>
          <w:spacing w:val="8"/>
        </w:rPr>
        <w:t>称为“特别法定罢工机制”</w:t>
      </w:r>
      <w:r>
        <w:rPr>
          <w:rFonts w:hint="eastAsia"/>
          <w:snapToGrid/>
          <w:spacing w:val="8"/>
        </w:rPr>
        <w:t>)</w:t>
      </w:r>
      <w:r>
        <w:rPr>
          <w:rFonts w:hint="eastAsia"/>
          <w:snapToGrid/>
          <w:spacing w:val="8"/>
        </w:rPr>
        <w:t>。《罢工法》在第</w:t>
      </w:r>
      <w:r>
        <w:rPr>
          <w:rFonts w:hint="eastAsia"/>
          <w:snapToGrid/>
          <w:spacing w:val="8"/>
        </w:rPr>
        <w:t>9-13</w:t>
      </w:r>
      <w:r>
        <w:rPr>
          <w:rFonts w:hint="eastAsia"/>
          <w:snapToGrid/>
          <w:spacing w:val="8"/>
        </w:rPr>
        <w:t>条作出了专门规</w:t>
      </w:r>
      <w:r>
        <w:rPr>
          <w:rFonts w:hint="eastAsia"/>
          <w:snapToGrid/>
          <w:spacing w:val="8"/>
        </w:rPr>
        <w:t>定。</w:t>
      </w:r>
    </w:p>
    <w:p w:rsidR="00000000" w:rsidRDefault="00844A84">
      <w:pPr>
        <w:rPr>
          <w:snapToGrid/>
        </w:rPr>
      </w:pPr>
      <w:r>
        <w:rPr>
          <w:rFonts w:hint="eastAsia"/>
          <w:snapToGrid/>
        </w:rPr>
        <w:tab/>
        <w:t xml:space="preserve">143.  </w:t>
      </w:r>
      <w:r>
        <w:rPr>
          <w:rFonts w:hint="eastAsia"/>
          <w:snapToGrid/>
        </w:rPr>
        <w:t>根据一般法定罢工机制，一旦作出罢工决定，即可组织罢工。罢工决定既可由雇员作出，也可由工会作出。罢工委员会必须在罢工开始前至少</w:t>
      </w:r>
      <w:r>
        <w:rPr>
          <w:rFonts w:hint="eastAsia"/>
          <w:snapToGrid/>
        </w:rPr>
        <w:t>5</w:t>
      </w:r>
      <w:r>
        <w:rPr>
          <w:rFonts w:hint="eastAsia"/>
          <w:snapToGrid/>
        </w:rPr>
        <w:t>天，以书面形式通知雇主罢工的决定；举行警告性罢工则应提前</w:t>
      </w:r>
      <w:r>
        <w:rPr>
          <w:rFonts w:hint="eastAsia"/>
          <w:snapToGrid/>
        </w:rPr>
        <w:t>24</w:t>
      </w:r>
      <w:r>
        <w:rPr>
          <w:rFonts w:hint="eastAsia"/>
          <w:snapToGrid/>
        </w:rPr>
        <w:t>小时通知。第</w:t>
      </w:r>
      <w:r>
        <w:rPr>
          <w:rFonts w:hint="eastAsia"/>
          <w:snapToGrid/>
        </w:rPr>
        <w:t>4</w:t>
      </w:r>
      <w:r>
        <w:rPr>
          <w:rFonts w:hint="eastAsia"/>
          <w:snapToGrid/>
        </w:rPr>
        <w:t>条规定了罢工决定必须包含的内容：雇员的要求、罢工开始时间，雇员如须集合时的集合地点以及罢工委员会的组成。罢工期间，社会伙伴</w:t>
      </w:r>
      <w:r>
        <w:rPr>
          <w:rFonts w:hint="eastAsia"/>
          <w:snapToGrid/>
        </w:rPr>
        <w:t>(</w:t>
      </w:r>
      <w:r>
        <w:rPr>
          <w:rFonts w:hint="eastAsia"/>
          <w:snapToGrid/>
        </w:rPr>
        <w:t>即争议各方</w:t>
      </w:r>
      <w:r>
        <w:rPr>
          <w:rFonts w:hint="eastAsia"/>
          <w:snapToGrid/>
        </w:rPr>
        <w:t>)</w:t>
      </w:r>
      <w:r>
        <w:rPr>
          <w:rFonts w:hint="eastAsia"/>
          <w:snapToGrid/>
        </w:rPr>
        <w:t>有义务进行谈判，努力解决争议。</w:t>
      </w:r>
    </w:p>
    <w:p w:rsidR="00000000" w:rsidRDefault="00844A84">
      <w:pPr>
        <w:rPr>
          <w:snapToGrid/>
        </w:rPr>
      </w:pPr>
      <w:r>
        <w:rPr>
          <w:rFonts w:hint="eastAsia"/>
          <w:snapToGrid/>
        </w:rPr>
        <w:tab/>
        <w:t xml:space="preserve">144.  </w:t>
      </w:r>
      <w:r>
        <w:rPr>
          <w:rFonts w:hint="eastAsia"/>
          <w:snapToGrid/>
        </w:rPr>
        <w:t>与一般法定罢工机制不同，特别法定罢工机制要求至少在罢工开始之前</w:t>
      </w:r>
      <w:r>
        <w:rPr>
          <w:rFonts w:hint="eastAsia"/>
          <w:snapToGrid/>
        </w:rPr>
        <w:t>10</w:t>
      </w:r>
      <w:r>
        <w:rPr>
          <w:rFonts w:hint="eastAsia"/>
          <w:snapToGrid/>
        </w:rPr>
        <w:t>天宣布罢工决定，且罢工决定要通知更多当事方。</w:t>
      </w:r>
      <w:r>
        <w:rPr>
          <w:rFonts w:hint="eastAsia"/>
          <w:snapToGrid/>
        </w:rPr>
        <w:t>在这种情况下，在可根据《罢工法》第</w:t>
      </w:r>
      <w:r>
        <w:rPr>
          <w:rFonts w:hint="eastAsia"/>
          <w:snapToGrid/>
        </w:rPr>
        <w:t>9</w:t>
      </w:r>
      <w:r>
        <w:rPr>
          <w:rFonts w:hint="eastAsia"/>
          <w:snapToGrid/>
        </w:rPr>
        <w:t>条组织罢工的部门罢工时，必须保证维持最低工作量。最低工作量基本由管理人员</w:t>
      </w:r>
      <w:r>
        <w:rPr>
          <w:rFonts w:hint="eastAsia"/>
          <w:snapToGrid/>
        </w:rPr>
        <w:t>(</w:t>
      </w:r>
      <w:r>
        <w:rPr>
          <w:rFonts w:hint="eastAsia"/>
          <w:snapToGrid/>
        </w:rPr>
        <w:t>公共服务机构或公司的创始人</w:t>
      </w:r>
      <w:r>
        <w:rPr>
          <w:rFonts w:hint="eastAsia"/>
          <w:snapToGrid/>
        </w:rPr>
        <w:t>)</w:t>
      </w:r>
      <w:r>
        <w:rPr>
          <w:rFonts w:hint="eastAsia"/>
          <w:snapToGrid/>
        </w:rPr>
        <w:t>决定。《罢工法》规定，争议各方在谈判解决争端时要发挥更加积极的作用，谈判要有更多的人参与。</w:t>
      </w:r>
    </w:p>
    <w:p w:rsidR="00000000" w:rsidRDefault="00844A84">
      <w:pPr>
        <w:spacing w:after="320"/>
        <w:rPr>
          <w:snapToGrid/>
        </w:rPr>
      </w:pPr>
      <w:r>
        <w:rPr>
          <w:rFonts w:hint="eastAsia"/>
          <w:snapToGrid/>
        </w:rPr>
        <w:tab/>
        <w:t xml:space="preserve">145.  </w:t>
      </w:r>
      <w:r>
        <w:rPr>
          <w:rFonts w:hint="eastAsia"/>
          <w:snapToGrid/>
        </w:rPr>
        <w:t>由于公益或相关部门的性质，其雇员罢工可能影响人民生活和健康或引起大规模破坏，所以《罢工法》第</w:t>
      </w:r>
      <w:r>
        <w:rPr>
          <w:rFonts w:hint="eastAsia"/>
          <w:snapToGrid/>
        </w:rPr>
        <w:t>9</w:t>
      </w:r>
      <w:r>
        <w:rPr>
          <w:rFonts w:hint="eastAsia"/>
          <w:snapToGrid/>
        </w:rPr>
        <w:t>条规定，这些部门只有符合上述额外的限制条件后，才可以举行罢工。《罢工法》定义的公益部门包括：电力、水、运输、新闻</w:t>
      </w:r>
      <w:r>
        <w:rPr>
          <w:rFonts w:hint="eastAsia"/>
          <w:snapToGrid/>
        </w:rPr>
        <w:t>(</w:t>
      </w:r>
      <w:r>
        <w:rPr>
          <w:rFonts w:hint="eastAsia"/>
          <w:snapToGrid/>
          <w:lang w:val="zh-CN"/>
        </w:rPr>
        <w:t>广播、电视</w:t>
      </w:r>
      <w:r>
        <w:rPr>
          <w:rFonts w:hint="eastAsia"/>
          <w:snapToGrid/>
        </w:rPr>
        <w:t>)</w:t>
      </w:r>
      <w:r>
        <w:rPr>
          <w:rFonts w:hint="eastAsia"/>
          <w:snapToGrid/>
          <w:lang w:val="zh-CN"/>
        </w:rPr>
        <w:t>、邮政和公用服务、基本食品生产、卫生保健和动物防</w:t>
      </w:r>
      <w:r>
        <w:rPr>
          <w:rFonts w:hint="eastAsia"/>
          <w:snapToGrid/>
          <w:lang w:val="zh-CN"/>
        </w:rPr>
        <w:t>疫、教育、儿童的社会抚养和社会保障。涉及公共利益的活动还包括对南斯拉夫联盟共和国国防和安全有特殊重要意义的活动</w:t>
      </w:r>
      <w:r>
        <w:rPr>
          <w:rFonts w:hint="eastAsia"/>
          <w:snapToGrid/>
        </w:rPr>
        <w:t>(</w:t>
      </w:r>
      <w:r>
        <w:rPr>
          <w:rFonts w:hint="eastAsia"/>
          <w:snapToGrid/>
          <w:lang w:val="zh-CN"/>
        </w:rPr>
        <w:t>由南斯拉夫联盟共和国主管机构依法具体规定</w:t>
      </w:r>
      <w:r>
        <w:rPr>
          <w:rFonts w:hint="eastAsia"/>
          <w:snapToGrid/>
        </w:rPr>
        <w:t>)</w:t>
      </w:r>
      <w:r>
        <w:rPr>
          <w:rFonts w:hint="eastAsia"/>
          <w:snapToGrid/>
        </w:rPr>
        <w:t>，以及</w:t>
      </w:r>
      <w:r>
        <w:rPr>
          <w:rFonts w:hint="eastAsia"/>
          <w:snapToGrid/>
          <w:lang w:val="zh-CN"/>
        </w:rPr>
        <w:t>对南斯拉夫联盟共和国履行国际义务所必需的活动</w:t>
      </w:r>
      <w:r>
        <w:rPr>
          <w:rFonts w:hint="eastAsia"/>
          <w:snapToGrid/>
        </w:rPr>
        <w:t>。该项法律还规定了因其性质而中断工作可能危机</w:t>
      </w:r>
      <w:r>
        <w:rPr>
          <w:rFonts w:hint="eastAsia"/>
          <w:snapToGrid/>
          <w:lang w:val="zh-CN"/>
        </w:rPr>
        <w:t>人民生命健康。或造成大规模破坏的活动，如化工、钢铁和有色金属生产等。</w:t>
      </w:r>
    </w:p>
    <w:p w:rsidR="00000000" w:rsidRDefault="00844A84">
      <w:pPr>
        <w:pStyle w:val="Heading3"/>
      </w:pPr>
      <w:r>
        <w:rPr>
          <w:rFonts w:hint="eastAsia"/>
          <w:lang w:val="zh-CN"/>
        </w:rPr>
        <w:t>第</w:t>
      </w:r>
      <w:r>
        <w:t xml:space="preserve"> </w:t>
      </w:r>
      <w:r>
        <w:rPr>
          <w:rFonts w:hint="eastAsia"/>
        </w:rPr>
        <w:t>九</w:t>
      </w:r>
      <w:r>
        <w:rPr>
          <w:rFonts w:hint="eastAsia"/>
        </w:rPr>
        <w:t xml:space="preserve"> </w:t>
      </w:r>
      <w:r>
        <w:rPr>
          <w:rFonts w:hint="eastAsia"/>
          <w:lang w:val="zh-CN"/>
        </w:rPr>
        <w:t>条</w:t>
      </w:r>
    </w:p>
    <w:p w:rsidR="00000000" w:rsidRDefault="00844A84">
      <w:pPr>
        <w:pStyle w:val="Heading4"/>
      </w:pPr>
      <w:r>
        <w:rPr>
          <w:rFonts w:hint="eastAsia"/>
          <w:u w:val="none"/>
          <w:lang w:val="zh-CN"/>
        </w:rPr>
        <w:t xml:space="preserve">(a)  </w:t>
      </w:r>
      <w:r>
        <w:rPr>
          <w:rFonts w:hint="eastAsia"/>
          <w:lang w:val="zh-CN"/>
        </w:rPr>
        <w:t>已批准的国际文书</w:t>
      </w:r>
    </w:p>
    <w:p w:rsidR="00000000" w:rsidRDefault="00844A84">
      <w:pPr>
        <w:spacing w:after="320"/>
        <w:rPr>
          <w:snapToGrid/>
        </w:rPr>
      </w:pPr>
      <w:r>
        <w:rPr>
          <w:rFonts w:hint="eastAsia"/>
          <w:snapToGrid/>
          <w:lang w:val="zh-CN"/>
        </w:rPr>
        <w:tab/>
        <w:t xml:space="preserve">146.  </w:t>
      </w:r>
      <w:r>
        <w:rPr>
          <w:rFonts w:hint="eastAsia"/>
          <w:snapToGrid/>
          <w:lang w:val="zh-CN"/>
        </w:rPr>
        <w:t>南斯拉夫联盟共和国已批准社会保障领域的十项公约以及关于社会保障的大量专门公约。</w:t>
      </w:r>
    </w:p>
    <w:p w:rsidR="00000000" w:rsidRDefault="00844A84">
      <w:pPr>
        <w:pStyle w:val="Heading4"/>
      </w:pPr>
      <w:r>
        <w:rPr>
          <w:rFonts w:hint="eastAsia"/>
          <w:u w:val="none"/>
        </w:rPr>
        <w:t xml:space="preserve">(b)  </w:t>
      </w:r>
      <w:r>
        <w:rPr>
          <w:rFonts w:hint="eastAsia"/>
        </w:rPr>
        <w:t>社会保护</w:t>
      </w:r>
    </w:p>
    <w:p w:rsidR="00000000" w:rsidRDefault="00844A84">
      <w:pPr>
        <w:rPr>
          <w:snapToGrid/>
        </w:rPr>
      </w:pPr>
      <w:r>
        <w:rPr>
          <w:rFonts w:hint="eastAsia"/>
          <w:snapToGrid/>
          <w:lang w:val="zh-CN"/>
        </w:rPr>
        <w:tab/>
        <w:t xml:space="preserve">147.  </w:t>
      </w:r>
      <w:r>
        <w:rPr>
          <w:rFonts w:hint="eastAsia"/>
          <w:snapToGrid/>
          <w:lang w:val="zh-CN"/>
        </w:rPr>
        <w:t>《南斯拉夫联盟共和国宪法》</w:t>
      </w:r>
      <w:r>
        <w:rPr>
          <w:rFonts w:hint="eastAsia"/>
          <w:snapToGrid/>
          <w:lang w:val="zh-CN"/>
        </w:rPr>
        <w:t>规定</w:t>
      </w:r>
      <w:r>
        <w:rPr>
          <w:rFonts w:hint="eastAsia"/>
          <w:snapToGrid/>
        </w:rPr>
        <w:t>，</w:t>
      </w:r>
      <w:r>
        <w:rPr>
          <w:rFonts w:hint="eastAsia"/>
          <w:snapToGrid/>
          <w:lang w:val="zh-CN"/>
        </w:rPr>
        <w:t>雇员及其家庭成员享受社会保障</w:t>
      </w:r>
      <w:r>
        <w:rPr>
          <w:rFonts w:hint="eastAsia"/>
          <w:snapToGrid/>
        </w:rPr>
        <w:t>，</w:t>
      </w:r>
      <w:r>
        <w:rPr>
          <w:rFonts w:hint="eastAsia"/>
          <w:snapToGrid/>
          <w:lang w:val="zh-CN"/>
        </w:rPr>
        <w:t>无工作能力和无生活来源的公民享受社会福利。</w:t>
      </w:r>
      <w:r>
        <w:rPr>
          <w:snapToGrid/>
        </w:rPr>
        <w:t>(</w:t>
      </w:r>
      <w:r>
        <w:rPr>
          <w:rFonts w:hint="eastAsia"/>
          <w:snapToGrid/>
          <w:lang w:val="zh-CN"/>
        </w:rPr>
        <w:t>第</w:t>
      </w:r>
      <w:r>
        <w:rPr>
          <w:snapToGrid/>
        </w:rPr>
        <w:t>58</w:t>
      </w:r>
      <w:r>
        <w:rPr>
          <w:rFonts w:hint="eastAsia"/>
          <w:snapToGrid/>
          <w:lang w:val="zh-CN"/>
        </w:rPr>
        <w:t>条</w:t>
      </w:r>
      <w:r>
        <w:rPr>
          <w:rFonts w:hint="eastAsia"/>
          <w:snapToGrid/>
        </w:rPr>
        <w:t>)</w:t>
      </w:r>
    </w:p>
    <w:p w:rsidR="00000000" w:rsidRDefault="00844A84">
      <w:pPr>
        <w:rPr>
          <w:snapToGrid/>
        </w:rPr>
      </w:pPr>
      <w:r>
        <w:rPr>
          <w:rFonts w:hint="eastAsia"/>
          <w:snapToGrid/>
          <w:lang w:val="zh-CN"/>
        </w:rPr>
        <w:tab/>
        <w:t xml:space="preserve">148.  </w:t>
      </w:r>
      <w:r>
        <w:rPr>
          <w:rFonts w:hint="eastAsia"/>
          <w:snapToGrid/>
          <w:lang w:val="zh-CN"/>
        </w:rPr>
        <w:t>《人权和少数群体权利及公民自由宪章》规定</w:t>
      </w:r>
      <w:r>
        <w:rPr>
          <w:rFonts w:hint="eastAsia"/>
          <w:snapToGrid/>
        </w:rPr>
        <w:t>，</w:t>
      </w:r>
      <w:r>
        <w:rPr>
          <w:rFonts w:hint="eastAsia"/>
          <w:snapToGrid/>
          <w:lang w:val="zh-CN"/>
        </w:rPr>
        <w:t>在共同国家定居的所有居民享受社会保障和社会保险。</w:t>
      </w:r>
    </w:p>
    <w:p w:rsidR="00000000" w:rsidRDefault="00844A84">
      <w:pPr>
        <w:rPr>
          <w:snapToGrid/>
        </w:rPr>
      </w:pPr>
      <w:r>
        <w:rPr>
          <w:rFonts w:hint="eastAsia"/>
          <w:snapToGrid/>
          <w:lang w:val="zh-CN"/>
        </w:rPr>
        <w:tab/>
        <w:t xml:space="preserve">149.  </w:t>
      </w:r>
      <w:r>
        <w:rPr>
          <w:rFonts w:hint="eastAsia"/>
          <w:snapToGrid/>
          <w:lang w:val="zh-CN"/>
        </w:rPr>
        <w:t>根据《塞尔维亚共和国公民社会保护和社会保障法》</w:t>
      </w:r>
      <w:r>
        <w:rPr>
          <w:rFonts w:hint="eastAsia"/>
          <w:snapToGrid/>
        </w:rPr>
        <w:t>(</w:t>
      </w:r>
      <w:r>
        <w:rPr>
          <w:rFonts w:hint="eastAsia"/>
          <w:snapToGrid/>
          <w:lang w:val="zh-CN"/>
        </w:rPr>
        <w:t>《塞尔维亚共和国政府公报》第</w:t>
      </w:r>
      <w:r>
        <w:rPr>
          <w:snapToGrid/>
        </w:rPr>
        <w:t>36/91</w:t>
      </w:r>
      <w:r>
        <w:rPr>
          <w:rFonts w:hint="eastAsia"/>
          <w:snapToGrid/>
          <w:lang w:val="zh-CN"/>
        </w:rPr>
        <w:t>号、第</w:t>
      </w:r>
      <w:r>
        <w:rPr>
          <w:snapToGrid/>
        </w:rPr>
        <w:t>33/93</w:t>
      </w:r>
      <w:r>
        <w:rPr>
          <w:rFonts w:hint="eastAsia"/>
          <w:snapToGrid/>
          <w:lang w:val="zh-CN"/>
        </w:rPr>
        <w:t>号、第</w:t>
      </w:r>
      <w:r>
        <w:rPr>
          <w:snapToGrid/>
        </w:rPr>
        <w:t>67/93</w:t>
      </w:r>
      <w:r>
        <w:rPr>
          <w:rFonts w:hint="eastAsia"/>
          <w:snapToGrid/>
          <w:lang w:val="zh-CN"/>
        </w:rPr>
        <w:t>号、第</w:t>
      </w:r>
      <w:r>
        <w:rPr>
          <w:snapToGrid/>
        </w:rPr>
        <w:t>46/94</w:t>
      </w:r>
      <w:r>
        <w:rPr>
          <w:rFonts w:hint="eastAsia"/>
          <w:snapToGrid/>
          <w:lang w:val="zh-CN"/>
        </w:rPr>
        <w:t>号、第</w:t>
      </w:r>
      <w:r>
        <w:rPr>
          <w:snapToGrid/>
        </w:rPr>
        <w:t>52/96</w:t>
      </w:r>
      <w:r>
        <w:rPr>
          <w:rFonts w:hint="eastAsia"/>
          <w:snapToGrid/>
          <w:lang w:val="zh-CN"/>
        </w:rPr>
        <w:t>和第</w:t>
      </w:r>
      <w:r>
        <w:rPr>
          <w:snapToGrid/>
        </w:rPr>
        <w:t>29/2001</w:t>
      </w:r>
      <w:r>
        <w:rPr>
          <w:rFonts w:hint="eastAsia"/>
          <w:snapToGrid/>
          <w:lang w:val="zh-CN"/>
        </w:rPr>
        <w:t>号</w:t>
      </w:r>
      <w:r>
        <w:rPr>
          <w:rFonts w:hint="eastAsia"/>
          <w:snapToGrid/>
        </w:rPr>
        <w:t>)</w:t>
      </w:r>
      <w:r>
        <w:rPr>
          <w:rFonts w:hint="eastAsia"/>
          <w:snapToGrid/>
        </w:rPr>
        <w:t>，</w:t>
      </w:r>
      <w:r>
        <w:rPr>
          <w:rFonts w:hint="eastAsia"/>
          <w:snapToGrid/>
          <w:lang w:val="zh-CN"/>
        </w:rPr>
        <w:t>社会保护被认为是一项有组织的社会活动</w:t>
      </w:r>
      <w:r>
        <w:rPr>
          <w:rFonts w:hint="eastAsia"/>
          <w:snapToGrid/>
        </w:rPr>
        <w:t>，</w:t>
      </w:r>
      <w:r>
        <w:rPr>
          <w:rFonts w:hint="eastAsia"/>
          <w:snapToGrid/>
          <w:lang w:val="zh-CN"/>
        </w:rPr>
        <w:t>旨在帮助公民及其家庭克服社会困难</w:t>
      </w:r>
      <w:r>
        <w:rPr>
          <w:rFonts w:hint="eastAsia"/>
          <w:snapToGrid/>
        </w:rPr>
        <w:t>，</w:t>
      </w:r>
      <w:r>
        <w:rPr>
          <w:rFonts w:hint="eastAsia"/>
          <w:snapToGrid/>
          <w:lang w:val="zh-CN"/>
        </w:rPr>
        <w:t>并采取措施</w:t>
      </w:r>
      <w:r>
        <w:rPr>
          <w:rFonts w:hint="eastAsia"/>
          <w:snapToGrid/>
        </w:rPr>
        <w:t>，</w:t>
      </w:r>
      <w:r>
        <w:rPr>
          <w:rFonts w:hint="eastAsia"/>
          <w:snapToGrid/>
          <w:lang w:val="zh-CN"/>
        </w:rPr>
        <w:t>预防社会困难的产生</w:t>
      </w:r>
      <w:r>
        <w:rPr>
          <w:rFonts w:hint="eastAsia"/>
          <w:snapToGrid/>
        </w:rPr>
        <w:t>，</w:t>
      </w:r>
      <w:r>
        <w:rPr>
          <w:rFonts w:hint="eastAsia"/>
          <w:snapToGrid/>
          <w:lang w:val="zh-CN"/>
        </w:rPr>
        <w:t>消除社会困难的后果。社</w:t>
      </w:r>
      <w:r>
        <w:rPr>
          <w:rFonts w:hint="eastAsia"/>
          <w:snapToGrid/>
          <w:lang w:val="zh-CN"/>
        </w:rPr>
        <w:t>会保障的对象为无工作能力的公民</w:t>
      </w:r>
      <w:r>
        <w:rPr>
          <w:rFonts w:hint="eastAsia"/>
          <w:snapToGrid/>
        </w:rPr>
        <w:t>，</w:t>
      </w:r>
      <w:r>
        <w:rPr>
          <w:rFonts w:hint="eastAsia"/>
          <w:snapToGrid/>
          <w:lang w:val="zh-CN"/>
        </w:rPr>
        <w:t>无生活来源的公民</w:t>
      </w:r>
      <w:r>
        <w:rPr>
          <w:rFonts w:hint="eastAsia"/>
          <w:snapToGrid/>
        </w:rPr>
        <w:t>，</w:t>
      </w:r>
      <w:r>
        <w:rPr>
          <w:rFonts w:hint="eastAsia"/>
          <w:snapToGrid/>
          <w:lang w:val="zh-CN"/>
        </w:rPr>
        <w:t>以及通过自己的劳动、亲友义务接济</w:t>
      </w:r>
      <w:r>
        <w:rPr>
          <w:rFonts w:hint="eastAsia"/>
          <w:lang w:val="zh-CN"/>
        </w:rPr>
        <w:t>、依</w:t>
      </w:r>
      <w:r>
        <w:rPr>
          <w:rStyle w:val="CommentReference"/>
          <w:rFonts w:hint="eastAsia"/>
          <w:snapToGrid/>
          <w:vanish/>
        </w:rPr>
        <w:t>靠</w:t>
      </w:r>
      <w:r>
        <w:rPr>
          <w:rFonts w:hint="eastAsia"/>
          <w:snapToGrid/>
          <w:lang w:val="zh-CN"/>
        </w:rPr>
        <w:t>财产和财产权或以其他方式仍无法满足基本生活需求的公民及其家庭。</w:t>
      </w:r>
    </w:p>
    <w:p w:rsidR="00000000" w:rsidRDefault="00844A84">
      <w:pPr>
        <w:spacing w:after="320"/>
        <w:rPr>
          <w:snapToGrid/>
        </w:rPr>
      </w:pPr>
      <w:r>
        <w:rPr>
          <w:rFonts w:hint="eastAsia"/>
          <w:snapToGrid/>
          <w:lang w:val="zh-CN"/>
        </w:rPr>
        <w:tab/>
        <w:t xml:space="preserve">150.  </w:t>
      </w:r>
      <w:r>
        <w:rPr>
          <w:rFonts w:hint="eastAsia"/>
          <w:snapToGrid/>
          <w:lang w:val="zh-CN"/>
        </w:rPr>
        <w:t>已经成立了社会保护机构</w:t>
      </w:r>
      <w:r>
        <w:rPr>
          <w:rFonts w:hint="eastAsia"/>
          <w:snapToGrid/>
        </w:rPr>
        <w:t>，</w:t>
      </w:r>
      <w:r>
        <w:rPr>
          <w:rFonts w:hint="eastAsia"/>
          <w:snapToGrid/>
          <w:lang w:val="zh-CN"/>
        </w:rPr>
        <w:t>确保实现《塞尔维亚共和国公民社会保护和社会保障法》规定的权利。负责残疾人职业培训与就业的企事业单位依法对残疾人进行职业培训</w:t>
      </w:r>
      <w:r>
        <w:rPr>
          <w:rFonts w:hint="eastAsia"/>
          <w:snapToGrid/>
        </w:rPr>
        <w:t>，</w:t>
      </w:r>
      <w:r>
        <w:rPr>
          <w:rFonts w:hint="eastAsia"/>
          <w:snapToGrid/>
          <w:lang w:val="zh-CN"/>
        </w:rPr>
        <w:t>吸纳残疾人就业。公民及其他企事业单位也可以从事社会保护领域的活动。</w:t>
      </w:r>
    </w:p>
    <w:p w:rsidR="00000000" w:rsidRDefault="00844A84">
      <w:pPr>
        <w:pStyle w:val="Heading4"/>
      </w:pPr>
      <w:r>
        <w:rPr>
          <w:rFonts w:hint="eastAsia"/>
          <w:u w:val="none"/>
          <w:lang w:val="zh-CN"/>
        </w:rPr>
        <w:t xml:space="preserve">(c)  </w:t>
      </w:r>
      <w:r>
        <w:rPr>
          <w:rFonts w:hint="eastAsia"/>
          <w:lang w:val="zh-CN"/>
        </w:rPr>
        <w:t>与社会保护和社会保障有关的权利</w:t>
      </w:r>
    </w:p>
    <w:p w:rsidR="00000000" w:rsidRDefault="00844A84">
      <w:pPr>
        <w:rPr>
          <w:snapToGrid/>
        </w:rPr>
      </w:pPr>
      <w:r>
        <w:rPr>
          <w:rFonts w:hint="eastAsia"/>
          <w:snapToGrid/>
          <w:lang w:val="zh-CN"/>
        </w:rPr>
        <w:tab/>
        <w:t xml:space="preserve">151.  </w:t>
      </w:r>
      <w:r>
        <w:rPr>
          <w:rFonts w:hint="eastAsia"/>
          <w:snapToGrid/>
          <w:lang w:val="zh-CN"/>
        </w:rPr>
        <w:t>与社会保护和社会保障有关的权利包括</w:t>
      </w:r>
      <w:r>
        <w:rPr>
          <w:rFonts w:hint="eastAsia"/>
          <w:snapToGrid/>
        </w:rPr>
        <w:t>：</w:t>
      </w:r>
      <w:r>
        <w:rPr>
          <w:rFonts w:hint="eastAsia"/>
          <w:snapToGrid/>
          <w:lang w:val="zh-CN"/>
        </w:rPr>
        <w:t>经济保障；他人帮助与护理津贴</w:t>
      </w:r>
      <w:r>
        <w:rPr>
          <w:rFonts w:hint="eastAsia"/>
          <w:snapToGrid/>
        </w:rPr>
        <w:t>；</w:t>
      </w:r>
      <w:r>
        <w:rPr>
          <w:rFonts w:hint="eastAsia"/>
          <w:snapToGrid/>
          <w:lang w:val="zh-CN"/>
        </w:rPr>
        <w:t>就业培训</w:t>
      </w:r>
      <w:r>
        <w:rPr>
          <w:rFonts w:hint="eastAsia"/>
          <w:snapToGrid/>
          <w:lang w:val="zh-CN"/>
        </w:rPr>
        <w:t>协助</w:t>
      </w:r>
      <w:r>
        <w:rPr>
          <w:rFonts w:hint="eastAsia"/>
          <w:snapToGrid/>
        </w:rPr>
        <w:t>；</w:t>
      </w:r>
      <w:r>
        <w:rPr>
          <w:rFonts w:hint="eastAsia"/>
          <w:snapToGrid/>
          <w:lang w:val="zh-CN"/>
        </w:rPr>
        <w:t>家务帮助、日间护理、机构寄宿和家庭寄宿</w:t>
      </w:r>
      <w:r>
        <w:rPr>
          <w:rFonts w:hint="eastAsia"/>
          <w:snapToGrid/>
        </w:rPr>
        <w:t>；</w:t>
      </w:r>
      <w:r>
        <w:rPr>
          <w:rFonts w:hint="eastAsia"/>
          <w:snapToGrid/>
          <w:lang w:val="zh-CN"/>
        </w:rPr>
        <w:t>福利服务</w:t>
      </w:r>
      <w:r>
        <w:rPr>
          <w:rFonts w:hint="eastAsia"/>
          <w:snapToGrid/>
        </w:rPr>
        <w:t>；</w:t>
      </w:r>
      <w:r>
        <w:rPr>
          <w:rFonts w:hint="eastAsia"/>
          <w:snapToGrid/>
          <w:lang w:val="zh-CN"/>
        </w:rPr>
        <w:t>为寄宿在社会保护机构和他人家庭的受益人提供个人用品</w:t>
      </w:r>
      <w:r>
        <w:rPr>
          <w:rFonts w:hint="eastAsia"/>
          <w:snapToGrid/>
        </w:rPr>
        <w:t>；</w:t>
      </w:r>
      <w:r>
        <w:rPr>
          <w:rFonts w:hint="eastAsia"/>
          <w:snapToGrid/>
          <w:lang w:val="zh-CN"/>
        </w:rPr>
        <w:t>以及</w:t>
      </w:r>
      <w:r>
        <w:rPr>
          <w:rFonts w:hint="eastAsia"/>
          <w:snapToGrid/>
        </w:rPr>
        <w:t>一次性补助。</w:t>
      </w:r>
    </w:p>
    <w:p w:rsidR="00000000" w:rsidRDefault="00844A84">
      <w:pPr>
        <w:rPr>
          <w:snapToGrid/>
        </w:rPr>
      </w:pPr>
      <w:r>
        <w:rPr>
          <w:rFonts w:hint="eastAsia"/>
          <w:snapToGrid/>
          <w:lang w:val="zh-CN"/>
        </w:rPr>
        <w:tab/>
        <w:t xml:space="preserve">152.  </w:t>
      </w:r>
      <w:r>
        <w:rPr>
          <w:rFonts w:hint="eastAsia"/>
          <w:snapToGrid/>
          <w:lang w:val="zh-CN"/>
        </w:rPr>
        <w:t>在行使公共权力时享有的经济保障权利、得到他人帮助与护理津贴的权利、得到就业培训协助的权利、寄宿社会保护机构或他人家庭的权利以及得到福利服务的权利，</w:t>
      </w:r>
      <w:r>
        <w:rPr>
          <w:rFonts w:hint="eastAsia"/>
          <w:snapToGrid/>
        </w:rPr>
        <w:t>是</w:t>
      </w:r>
      <w:r>
        <w:rPr>
          <w:rFonts w:hint="eastAsia"/>
          <w:snapToGrid/>
          <w:lang w:val="zh-CN"/>
        </w:rPr>
        <w:t>塞尔维亚共和国提供的公益权利。家务帮助、日间护理、在社会保护机构和他人家庭寄宿者的个人用品、一次性补助和其他社会福利服务由市政当局提供。向某些权利的享受者提供援助的金额取决于当月支付的金额。以上权利的法律基础是《公民社会保护</w:t>
      </w:r>
      <w:r>
        <w:rPr>
          <w:rFonts w:hint="eastAsia"/>
          <w:snapToGrid/>
          <w:lang w:val="zh-CN"/>
        </w:rPr>
        <w:t>和社会保障法》</w:t>
      </w:r>
      <w:r>
        <w:rPr>
          <w:rFonts w:hint="eastAsia"/>
          <w:snapToGrid/>
        </w:rPr>
        <w:t>(</w:t>
      </w:r>
      <w:r>
        <w:rPr>
          <w:rFonts w:hint="eastAsia"/>
          <w:snapToGrid/>
          <w:lang w:val="zh-CN"/>
        </w:rPr>
        <w:t>《塞尔维亚共和国政府公报》第</w:t>
      </w:r>
      <w:r>
        <w:rPr>
          <w:snapToGrid/>
        </w:rPr>
        <w:t>29/2001</w:t>
      </w:r>
      <w:r>
        <w:rPr>
          <w:rFonts w:hint="eastAsia"/>
          <w:snapToGrid/>
          <w:lang w:val="zh-CN"/>
        </w:rPr>
        <w:t>号</w:t>
      </w:r>
      <w:r>
        <w:rPr>
          <w:rFonts w:hint="eastAsia"/>
          <w:snapToGrid/>
        </w:rPr>
        <w:t>)</w:t>
      </w:r>
      <w:r>
        <w:rPr>
          <w:rFonts w:hint="eastAsia"/>
          <w:snapToGrid/>
          <w:lang w:val="zh-CN"/>
        </w:rPr>
        <w:t>。</w:t>
      </w:r>
    </w:p>
    <w:p w:rsidR="00000000" w:rsidRDefault="00844A84">
      <w:pPr>
        <w:rPr>
          <w:snapToGrid/>
        </w:rPr>
      </w:pPr>
      <w:r>
        <w:rPr>
          <w:rFonts w:hint="eastAsia"/>
          <w:snapToGrid/>
          <w:lang w:val="zh-CN"/>
        </w:rPr>
        <w:tab/>
        <w:t xml:space="preserve">153.  </w:t>
      </w:r>
      <w:r>
        <w:rPr>
          <w:rFonts w:hint="eastAsia"/>
          <w:snapToGrid/>
          <w:lang w:val="zh-CN"/>
        </w:rPr>
        <w:t>经济保障权适用于《塞尔维亚共和国公民社会保护和社会保障法》所确定的收入在社会保障线之下的单身生活者或家庭。</w:t>
      </w:r>
      <w:r>
        <w:rPr>
          <w:snapToGrid/>
        </w:rPr>
        <w:t>2002</w:t>
      </w:r>
      <w:r>
        <w:rPr>
          <w:rFonts w:hint="eastAsia"/>
          <w:snapToGrid/>
          <w:lang w:val="zh-CN"/>
        </w:rPr>
        <w:t>年</w:t>
      </w:r>
      <w:r>
        <w:rPr>
          <w:rFonts w:hint="eastAsia"/>
          <w:snapToGrid/>
        </w:rPr>
        <w:t>，</w:t>
      </w:r>
      <w:r>
        <w:rPr>
          <w:rFonts w:hint="eastAsia"/>
          <w:snapToGrid/>
          <w:lang w:val="zh-CN"/>
        </w:rPr>
        <w:t>共向</w:t>
      </w:r>
      <w:r>
        <w:rPr>
          <w:snapToGrid/>
        </w:rPr>
        <w:t>40,300</w:t>
      </w:r>
      <w:r>
        <w:rPr>
          <w:rFonts w:hint="eastAsia"/>
          <w:snapToGrid/>
          <w:lang w:val="zh-CN"/>
        </w:rPr>
        <w:t>个家庭</w:t>
      </w:r>
      <w:r>
        <w:rPr>
          <w:rFonts w:hint="eastAsia"/>
          <w:snapToGrid/>
        </w:rPr>
        <w:t>(</w:t>
      </w:r>
      <w:r>
        <w:rPr>
          <w:snapToGrid/>
        </w:rPr>
        <w:t>93,400</w:t>
      </w:r>
      <w:r>
        <w:rPr>
          <w:rFonts w:hint="eastAsia"/>
          <w:snapToGrid/>
          <w:lang w:val="zh-CN"/>
        </w:rPr>
        <w:t>名个人</w:t>
      </w:r>
      <w:r>
        <w:rPr>
          <w:rFonts w:hint="eastAsia"/>
          <w:snapToGrid/>
        </w:rPr>
        <w:t>)</w:t>
      </w:r>
      <w:r>
        <w:rPr>
          <w:rFonts w:hint="eastAsia"/>
          <w:snapToGrid/>
          <w:lang w:val="zh-CN"/>
        </w:rPr>
        <w:t>发放了经济保障金。经济保障金相当于所在城市上一季度平均工资的</w:t>
      </w:r>
      <w:r>
        <w:rPr>
          <w:snapToGrid/>
        </w:rPr>
        <w:t>16%</w:t>
      </w:r>
      <w:r>
        <w:rPr>
          <w:rFonts w:hint="eastAsia"/>
          <w:snapToGrid/>
          <w:lang w:val="zh-CN"/>
        </w:rPr>
        <w:t>至</w:t>
      </w:r>
      <w:r>
        <w:rPr>
          <w:snapToGrid/>
        </w:rPr>
        <w:t>32%</w:t>
      </w:r>
      <w:r>
        <w:rPr>
          <w:rFonts w:hint="eastAsia"/>
          <w:snapToGrid/>
          <w:lang w:val="zh-CN"/>
        </w:rPr>
        <w:t>。基本保障金不得高于国家确定的保障金。</w:t>
      </w:r>
    </w:p>
    <w:p w:rsidR="00000000" w:rsidRDefault="00844A84">
      <w:pPr>
        <w:rPr>
          <w:snapToGrid/>
        </w:rPr>
      </w:pPr>
      <w:r>
        <w:rPr>
          <w:rFonts w:hint="eastAsia"/>
          <w:snapToGrid/>
          <w:lang w:val="zh-CN"/>
        </w:rPr>
        <w:tab/>
        <w:t xml:space="preserve">154.  </w:t>
      </w:r>
      <w:r>
        <w:rPr>
          <w:rFonts w:hint="eastAsia"/>
          <w:snapToGrid/>
          <w:lang w:val="zh-CN"/>
        </w:rPr>
        <w:t>获得他人帮助与护理津贴的权利适用于伤病者。由于伤病性质和严重程度，这些人需要在别人的帮助和照顾下才能满足基本生活需求。伤病者如果不能通过其他法</w:t>
      </w:r>
      <w:r>
        <w:rPr>
          <w:rFonts w:hint="eastAsia"/>
          <w:snapToGrid/>
          <w:lang w:val="zh-CN"/>
        </w:rPr>
        <w:t>律途径获得帮助和照顾，也没有行使寄宿社会保护机构的权利，则可以享受这项权利。</w:t>
      </w:r>
    </w:p>
    <w:p w:rsidR="00000000" w:rsidRDefault="00844A84">
      <w:pPr>
        <w:rPr>
          <w:snapToGrid/>
        </w:rPr>
      </w:pPr>
      <w:r>
        <w:rPr>
          <w:rFonts w:hint="eastAsia"/>
          <w:snapToGrid/>
          <w:lang w:val="zh-CN"/>
        </w:rPr>
        <w:tab/>
        <w:t xml:space="preserve">155.  </w:t>
      </w:r>
      <w:r>
        <w:rPr>
          <w:rFonts w:hint="eastAsia"/>
          <w:snapToGrid/>
          <w:lang w:val="zh-CN"/>
        </w:rPr>
        <w:t>是否需要帮助和照顾</w:t>
      </w:r>
      <w:r>
        <w:rPr>
          <w:rFonts w:hint="eastAsia"/>
          <w:snapToGrid/>
        </w:rPr>
        <w:t>则</w:t>
      </w:r>
      <w:r>
        <w:rPr>
          <w:rFonts w:hint="eastAsia"/>
          <w:snapToGrid/>
          <w:lang w:val="zh-CN"/>
        </w:rPr>
        <w:t>由养恤金和残疾保险条例确定。</w:t>
      </w:r>
      <w:r>
        <w:rPr>
          <w:snapToGrid/>
        </w:rPr>
        <w:t>2002</w:t>
      </w:r>
      <w:r>
        <w:rPr>
          <w:rFonts w:hint="eastAsia"/>
          <w:snapToGrid/>
          <w:lang w:val="zh-CN"/>
        </w:rPr>
        <w:t>年</w:t>
      </w:r>
      <w:r>
        <w:rPr>
          <w:rFonts w:hint="eastAsia"/>
          <w:snapToGrid/>
        </w:rPr>
        <w:t>，</w:t>
      </w:r>
      <w:r>
        <w:rPr>
          <w:rFonts w:hint="eastAsia"/>
          <w:snapToGrid/>
          <w:lang w:val="zh-CN"/>
        </w:rPr>
        <w:t>享受这类援助的人数为</w:t>
      </w:r>
      <w:r>
        <w:rPr>
          <w:snapToGrid/>
        </w:rPr>
        <w:t>21,000</w:t>
      </w:r>
      <w:r>
        <w:rPr>
          <w:rFonts w:hint="eastAsia"/>
          <w:snapToGrid/>
          <w:lang w:val="zh-CN"/>
        </w:rPr>
        <w:t>人</w:t>
      </w:r>
      <w:r>
        <w:rPr>
          <w:rFonts w:hint="eastAsia"/>
          <w:snapToGrid/>
        </w:rPr>
        <w:t>，</w:t>
      </w:r>
      <w:r>
        <w:rPr>
          <w:rFonts w:hint="eastAsia"/>
          <w:snapToGrid/>
          <w:lang w:val="zh-CN"/>
        </w:rPr>
        <w:t>援助金额相当于塞尔维亚共和国上月工资收入的</w:t>
      </w:r>
      <w:r>
        <w:rPr>
          <w:snapToGrid/>
        </w:rPr>
        <w:t>13%</w:t>
      </w:r>
      <w:r>
        <w:rPr>
          <w:rFonts w:hint="eastAsia"/>
          <w:snapToGrid/>
          <w:lang w:val="zh-CN"/>
        </w:rPr>
        <w:t>。</w:t>
      </w:r>
    </w:p>
    <w:p w:rsidR="00000000" w:rsidRDefault="00844A84">
      <w:pPr>
        <w:rPr>
          <w:snapToGrid/>
        </w:rPr>
      </w:pPr>
      <w:r>
        <w:rPr>
          <w:rFonts w:hint="eastAsia"/>
          <w:snapToGrid/>
          <w:lang w:val="zh-CN"/>
        </w:rPr>
        <w:tab/>
        <w:t xml:space="preserve">156.  </w:t>
      </w:r>
      <w:r>
        <w:rPr>
          <w:rFonts w:hint="eastAsia"/>
          <w:snapToGrid/>
          <w:lang w:val="zh-CN"/>
        </w:rPr>
        <w:t>得到就业培训协助的权利适用于有精神残障的青少年及其他残疾人。如果他们无法以其他法律途径实现自己的权利，则可以根据这些人的心理和身体能力和年龄，培训他们从事某些类别的工作。</w:t>
      </w:r>
    </w:p>
    <w:p w:rsidR="00000000" w:rsidRDefault="00844A84">
      <w:pPr>
        <w:rPr>
          <w:snapToGrid/>
        </w:rPr>
      </w:pPr>
      <w:r>
        <w:rPr>
          <w:rFonts w:hint="eastAsia"/>
          <w:snapToGrid/>
          <w:lang w:val="zh-CN"/>
        </w:rPr>
        <w:tab/>
        <w:t xml:space="preserve">157.  </w:t>
      </w:r>
      <w:r>
        <w:rPr>
          <w:rFonts w:hint="eastAsia"/>
          <w:snapToGrid/>
          <w:lang w:val="zh-CN"/>
        </w:rPr>
        <w:t>根据专门法律确定的程序确定残疾程序并鉴定尚有多少工作能力。以及是否进行就</w:t>
      </w:r>
      <w:r>
        <w:rPr>
          <w:rFonts w:hint="eastAsia"/>
          <w:snapToGrid/>
          <w:lang w:val="zh-CN"/>
        </w:rPr>
        <w:t>业培训。</w:t>
      </w:r>
    </w:p>
    <w:p w:rsidR="00000000" w:rsidRDefault="00844A84">
      <w:pPr>
        <w:spacing w:after="320"/>
        <w:rPr>
          <w:snapToGrid/>
        </w:rPr>
      </w:pPr>
      <w:r>
        <w:rPr>
          <w:rFonts w:hint="eastAsia"/>
          <w:snapToGrid/>
          <w:lang w:val="zh-CN"/>
        </w:rPr>
        <w:tab/>
        <w:t xml:space="preserve">158.  </w:t>
      </w:r>
      <w:r>
        <w:rPr>
          <w:rFonts w:hint="eastAsia"/>
          <w:snapToGrid/>
          <w:lang w:val="zh-CN"/>
        </w:rPr>
        <w:t>无法从家庭得到适当保护，缺乏家庭护理，又无法通过其他途径获得适当保护的人，有权享受家务帮助、日间护理与寄宿在机构或他人家庭的权利。社会保护主管机构根据对受益人需求及其家庭能力的全面评估决定是否赋予该项权利。</w:t>
      </w:r>
    </w:p>
    <w:p w:rsidR="00000000" w:rsidRDefault="00844A84">
      <w:pPr>
        <w:pStyle w:val="Heading4"/>
        <w:rPr>
          <w:i/>
        </w:rPr>
      </w:pPr>
      <w:r>
        <w:rPr>
          <w:rFonts w:hint="eastAsia"/>
          <w:u w:val="none"/>
        </w:rPr>
        <w:tab/>
      </w:r>
      <w:r>
        <w:rPr>
          <w:rFonts w:hint="eastAsia"/>
        </w:rPr>
        <w:t>家务帮助</w:t>
      </w:r>
    </w:p>
    <w:p w:rsidR="00000000" w:rsidRDefault="00844A84">
      <w:pPr>
        <w:spacing w:after="320"/>
        <w:rPr>
          <w:snapToGrid/>
        </w:rPr>
      </w:pPr>
      <w:r>
        <w:rPr>
          <w:rFonts w:hint="eastAsia"/>
          <w:snapToGrid/>
          <w:lang w:val="zh-CN"/>
        </w:rPr>
        <w:tab/>
        <w:t xml:space="preserve">159.  </w:t>
      </w:r>
      <w:r>
        <w:rPr>
          <w:rFonts w:hint="eastAsia"/>
          <w:snapToGrid/>
          <w:lang w:val="zh-CN"/>
        </w:rPr>
        <w:t>家务帮助权适用于年老体弱、长期患病和其他生活不能自理的人。提供家务帮助的方式是帮助受益人做必要的家务</w:t>
      </w:r>
      <w:r>
        <w:rPr>
          <w:rFonts w:hint="eastAsia"/>
          <w:snapToGrid/>
        </w:rPr>
        <w:t>(</w:t>
      </w:r>
      <w:r>
        <w:rPr>
          <w:rFonts w:hint="eastAsia"/>
          <w:snapToGrid/>
          <w:lang w:val="zh-CN"/>
        </w:rPr>
        <w:t>打扫卫生、供应食品和其他生活必需品、帮助受益人料理个人卫生等</w:t>
      </w:r>
      <w:r>
        <w:rPr>
          <w:rFonts w:hint="eastAsia"/>
          <w:snapToGrid/>
        </w:rPr>
        <w:t>)</w:t>
      </w:r>
      <w:r>
        <w:rPr>
          <w:rFonts w:hint="eastAsia"/>
          <w:snapToGrid/>
          <w:lang w:val="zh-CN"/>
        </w:rPr>
        <w:t>。受益人及负有法定赡养义务的亲属负担家务帮助费用的金额根据所在市福利主管机关制定的标准确定</w:t>
      </w:r>
      <w:r>
        <w:rPr>
          <w:rFonts w:hint="eastAsia"/>
          <w:snapToGrid/>
          <w:lang w:val="zh-CN"/>
        </w:rPr>
        <w:t>。</w:t>
      </w:r>
    </w:p>
    <w:p w:rsidR="00000000" w:rsidRDefault="00844A84">
      <w:pPr>
        <w:pStyle w:val="Heading4"/>
        <w:rPr>
          <w:i/>
        </w:rPr>
      </w:pPr>
      <w:r>
        <w:rPr>
          <w:rFonts w:hint="eastAsia"/>
          <w:u w:val="none"/>
        </w:rPr>
        <w:tab/>
      </w:r>
      <w:r>
        <w:rPr>
          <w:rFonts w:hint="eastAsia"/>
        </w:rPr>
        <w:t>日间护理</w:t>
      </w:r>
    </w:p>
    <w:p w:rsidR="00000000" w:rsidRDefault="00844A84">
      <w:pPr>
        <w:spacing w:after="320"/>
        <w:rPr>
          <w:snapToGrid/>
        </w:rPr>
      </w:pPr>
      <w:r>
        <w:rPr>
          <w:rFonts w:hint="eastAsia"/>
          <w:snapToGrid/>
          <w:lang w:val="zh-CN"/>
        </w:rPr>
        <w:tab/>
        <w:t xml:space="preserve">160.  </w:t>
      </w:r>
      <w:r>
        <w:rPr>
          <w:rFonts w:hint="eastAsia"/>
          <w:snapToGrid/>
          <w:lang w:val="zh-CN"/>
        </w:rPr>
        <w:t>日间护理权适用于身心残障儿童、孤独症患儿、有行为问题的儿童和有权寄宿在机构或他人家庭的成年人。考虑到残疾程度和类型、实际能力和需求及其他原因，认为日间护理最为适宜的，提供日间护理。日间护理是指把受益人委托给专门提供日间护理服务的社会保护机构或提供所需服务的教育机构。</w:t>
      </w:r>
    </w:p>
    <w:p w:rsidR="00000000" w:rsidRDefault="00844A84">
      <w:pPr>
        <w:pStyle w:val="Heading4"/>
        <w:rPr>
          <w:i/>
        </w:rPr>
      </w:pPr>
      <w:r>
        <w:rPr>
          <w:rFonts w:hint="eastAsia"/>
          <w:u w:val="none"/>
          <w:lang w:val="zh-CN"/>
        </w:rPr>
        <w:tab/>
      </w:r>
      <w:r>
        <w:rPr>
          <w:rFonts w:hint="eastAsia"/>
          <w:lang w:val="zh-CN"/>
        </w:rPr>
        <w:t>寄宿在社会保护机构</w:t>
      </w:r>
    </w:p>
    <w:p w:rsidR="00000000" w:rsidRDefault="00844A84">
      <w:pPr>
        <w:rPr>
          <w:snapToGrid/>
        </w:rPr>
      </w:pPr>
      <w:r>
        <w:rPr>
          <w:rFonts w:hint="eastAsia"/>
          <w:snapToGrid/>
          <w:lang w:val="zh-CN"/>
        </w:rPr>
        <w:tab/>
        <w:t xml:space="preserve">161.  </w:t>
      </w:r>
      <w:r>
        <w:rPr>
          <w:rFonts w:hint="eastAsia"/>
          <w:snapToGrid/>
          <w:lang w:val="zh-CN"/>
        </w:rPr>
        <w:t>这种机构是指把受益人送交提供基本生活需求</w:t>
      </w:r>
      <w:r>
        <w:rPr>
          <w:rFonts w:hint="eastAsia"/>
          <w:snapToGrid/>
        </w:rPr>
        <w:t>(</w:t>
      </w:r>
      <w:r>
        <w:rPr>
          <w:rFonts w:hint="eastAsia"/>
          <w:snapToGrid/>
          <w:lang w:val="zh-CN"/>
        </w:rPr>
        <w:t>包括食宿、衣着、照料、帮助、等</w:t>
      </w:r>
      <w:r>
        <w:rPr>
          <w:rFonts w:hint="eastAsia"/>
          <w:snapToGrid/>
        </w:rPr>
        <w:t>)</w:t>
      </w:r>
      <w:r>
        <w:rPr>
          <w:rFonts w:hint="eastAsia"/>
          <w:snapToGrid/>
          <w:lang w:val="zh-CN"/>
        </w:rPr>
        <w:t>的机构</w:t>
      </w:r>
      <w:r>
        <w:rPr>
          <w:rFonts w:hint="eastAsia"/>
          <w:snapToGrid/>
        </w:rPr>
        <w:t>，</w:t>
      </w:r>
      <w:r>
        <w:rPr>
          <w:rFonts w:hint="eastAsia"/>
          <w:snapToGrid/>
          <w:lang w:val="zh-CN"/>
        </w:rPr>
        <w:t>根据专门规定进行抚养、教育</w:t>
      </w:r>
      <w:r>
        <w:rPr>
          <w:rFonts w:hint="eastAsia"/>
          <w:snapToGrid/>
        </w:rPr>
        <w:t>，提供</w:t>
      </w:r>
      <w:r>
        <w:rPr>
          <w:rFonts w:hint="eastAsia"/>
          <w:snapToGrid/>
          <w:lang w:val="zh-CN"/>
        </w:rPr>
        <w:t>特殊职业培训</w:t>
      </w:r>
      <w:r>
        <w:rPr>
          <w:rFonts w:hint="eastAsia"/>
          <w:snapToGrid/>
        </w:rPr>
        <w:t>，</w:t>
      </w:r>
      <w:r>
        <w:rPr>
          <w:rFonts w:hint="eastAsia"/>
          <w:snapToGrid/>
          <w:lang w:val="zh-CN"/>
        </w:rPr>
        <w:t>保护其健康</w:t>
      </w:r>
      <w:r>
        <w:rPr>
          <w:rFonts w:hint="eastAsia"/>
          <w:snapToGrid/>
        </w:rPr>
        <w:t>，</w:t>
      </w:r>
      <w:r>
        <w:rPr>
          <w:rFonts w:hint="eastAsia"/>
          <w:snapToGrid/>
          <w:lang w:val="zh-CN"/>
        </w:rPr>
        <w:t>使其从事工作、文化娱乐和康复活动</w:t>
      </w:r>
      <w:r>
        <w:rPr>
          <w:rFonts w:hint="eastAsia"/>
          <w:snapToGrid/>
        </w:rPr>
        <w:t>，</w:t>
      </w:r>
      <w:r>
        <w:rPr>
          <w:rFonts w:hint="eastAsia"/>
          <w:snapToGrid/>
          <w:lang w:val="zh-CN"/>
        </w:rPr>
        <w:t>享受</w:t>
      </w:r>
      <w:r>
        <w:rPr>
          <w:rFonts w:hint="eastAsia"/>
          <w:snapToGrid/>
          <w:lang w:val="zh-CN"/>
        </w:rPr>
        <w:t>福利性服务待遇</w:t>
      </w:r>
      <w:r>
        <w:rPr>
          <w:rFonts w:hint="eastAsia"/>
          <w:snapToGrid/>
        </w:rPr>
        <w:t>，达到社会保护的目的</w:t>
      </w:r>
      <w:r>
        <w:rPr>
          <w:rFonts w:hint="eastAsia"/>
          <w:snapToGrid/>
          <w:lang w:val="zh-CN"/>
        </w:rPr>
        <w:t>。</w:t>
      </w:r>
    </w:p>
    <w:p w:rsidR="00000000" w:rsidRDefault="00844A84">
      <w:pPr>
        <w:rPr>
          <w:snapToGrid/>
        </w:rPr>
      </w:pPr>
      <w:r>
        <w:rPr>
          <w:rFonts w:hint="eastAsia"/>
          <w:snapToGrid/>
          <w:lang w:val="zh-CN"/>
        </w:rPr>
        <w:tab/>
        <w:t xml:space="preserve">162.  </w:t>
      </w:r>
      <w:r>
        <w:rPr>
          <w:rFonts w:hint="eastAsia"/>
          <w:snapToGrid/>
          <w:lang w:val="zh-CN"/>
        </w:rPr>
        <w:t>在个别情况下</w:t>
      </w:r>
      <w:r>
        <w:rPr>
          <w:rFonts w:hint="eastAsia"/>
          <w:snapToGrid/>
        </w:rPr>
        <w:t>，</w:t>
      </w:r>
      <w:r>
        <w:rPr>
          <w:rFonts w:hint="eastAsia"/>
          <w:snapToGrid/>
          <w:lang w:val="zh-CN"/>
        </w:rPr>
        <w:t>可以把受益人安排在符合寄宿条件的医疗机构</w:t>
      </w:r>
      <w:r>
        <w:rPr>
          <w:rFonts w:hint="eastAsia"/>
          <w:snapToGrid/>
        </w:rPr>
        <w:t>，</w:t>
      </w:r>
      <w:r>
        <w:rPr>
          <w:rFonts w:hint="eastAsia"/>
          <w:snapToGrid/>
          <w:lang w:val="zh-CN"/>
        </w:rPr>
        <w:t>或把接受就业培训的学生安排在学生宿舍。这需要根据福利中心和有关机构之间的服务协议进行</w:t>
      </w:r>
      <w:r>
        <w:rPr>
          <w:rFonts w:hint="eastAsia"/>
          <w:snapToGrid/>
        </w:rPr>
        <w:t>，并</w:t>
      </w:r>
      <w:r>
        <w:rPr>
          <w:rFonts w:hint="eastAsia"/>
          <w:snapToGrid/>
          <w:lang w:val="zh-CN"/>
        </w:rPr>
        <w:t>得到社会事务部许可。</w:t>
      </w:r>
    </w:p>
    <w:p w:rsidR="00000000" w:rsidRDefault="00844A84">
      <w:pPr>
        <w:rPr>
          <w:snapToGrid/>
        </w:rPr>
      </w:pPr>
      <w:r>
        <w:rPr>
          <w:rFonts w:hint="eastAsia"/>
          <w:snapToGrid/>
          <w:lang w:val="zh-CN"/>
        </w:rPr>
        <w:tab/>
        <w:t xml:space="preserve">163.  </w:t>
      </w:r>
      <w:r>
        <w:rPr>
          <w:rFonts w:hint="eastAsia"/>
          <w:snapToGrid/>
          <w:lang w:val="zh-CN"/>
        </w:rPr>
        <w:t>寄宿社会保护机构的权利也适用于</w:t>
      </w:r>
      <w:r>
        <w:rPr>
          <w:rFonts w:hint="eastAsia"/>
          <w:snapToGrid/>
        </w:rPr>
        <w:t>：</w:t>
      </w:r>
    </w:p>
    <w:p w:rsidR="00000000" w:rsidRDefault="00844A84">
      <w:pPr>
        <w:pStyle w:val="a0"/>
        <w:ind w:left="1530"/>
        <w:rPr>
          <w:snapToGrid/>
        </w:rPr>
      </w:pPr>
      <w:r>
        <w:rPr>
          <w:rFonts w:hint="eastAsia"/>
          <w:snapToGrid/>
          <w:lang w:val="zh-CN"/>
        </w:rPr>
        <w:t>没有父母照看的儿童和家庭状况妨碍其成长的儿童。寄宿直至儿童能够独立生活、返回自己的家庭或被其他家庭收养或收留；或直到其完成正规教育，但必须在完成正规教育之后六个月内离开；</w:t>
      </w:r>
    </w:p>
    <w:p w:rsidR="00000000" w:rsidRDefault="00844A84">
      <w:pPr>
        <w:pStyle w:val="a0"/>
        <w:ind w:left="1530"/>
        <w:rPr>
          <w:snapToGrid/>
        </w:rPr>
      </w:pPr>
      <w:r>
        <w:rPr>
          <w:rFonts w:hint="eastAsia"/>
          <w:snapToGrid/>
          <w:lang w:val="zh-CN"/>
        </w:rPr>
        <w:t>中度、严重和极为严重的精神残障儿童</w:t>
      </w:r>
      <w:r>
        <w:rPr>
          <w:rFonts w:hint="eastAsia"/>
          <w:snapToGrid/>
        </w:rPr>
        <w:t>(</w:t>
      </w:r>
      <w:r>
        <w:rPr>
          <w:rFonts w:hint="eastAsia"/>
          <w:snapToGrid/>
          <w:lang w:val="zh-CN"/>
        </w:rPr>
        <w:t>包括多重精神残障儿童</w:t>
      </w:r>
      <w:r>
        <w:rPr>
          <w:rFonts w:hint="eastAsia"/>
          <w:snapToGrid/>
        </w:rPr>
        <w:t>)</w:t>
      </w:r>
      <w:r>
        <w:rPr>
          <w:rFonts w:hint="eastAsia"/>
          <w:snapToGrid/>
          <w:lang w:val="zh-CN"/>
        </w:rPr>
        <w:t>、孤独症患儿</w:t>
      </w:r>
      <w:r>
        <w:rPr>
          <w:rFonts w:hint="eastAsia"/>
          <w:snapToGrid/>
        </w:rPr>
        <w:t>，</w:t>
      </w:r>
      <w:r>
        <w:rPr>
          <w:rFonts w:hint="eastAsia"/>
          <w:snapToGrid/>
          <w:lang w:val="zh-CN"/>
        </w:rPr>
        <w:t>以</w:t>
      </w:r>
      <w:r>
        <w:rPr>
          <w:rFonts w:hint="eastAsia"/>
          <w:snapToGrid/>
          <w:lang w:val="zh-CN"/>
        </w:rPr>
        <w:t>及没有条件呆在自己家里的身体残障儿童。此类保护根据需要提供；</w:t>
      </w:r>
    </w:p>
    <w:p w:rsidR="00000000" w:rsidRDefault="00844A84">
      <w:pPr>
        <w:pStyle w:val="a0"/>
        <w:ind w:left="1530"/>
        <w:rPr>
          <w:snapToGrid/>
        </w:rPr>
      </w:pPr>
      <w:r>
        <w:rPr>
          <w:rFonts w:hint="eastAsia"/>
          <w:snapToGrid/>
          <w:lang w:val="zh-CN"/>
        </w:rPr>
        <w:t>有行为问题的儿童</w:t>
      </w:r>
      <w:r>
        <w:rPr>
          <w:rFonts w:hint="eastAsia"/>
          <w:snapToGrid/>
        </w:rPr>
        <w:t>；</w:t>
      </w:r>
    </w:p>
    <w:p w:rsidR="00000000" w:rsidRDefault="00844A84">
      <w:pPr>
        <w:pStyle w:val="a0"/>
        <w:ind w:left="1530"/>
        <w:rPr>
          <w:snapToGrid/>
        </w:rPr>
      </w:pPr>
      <w:r>
        <w:rPr>
          <w:rFonts w:hint="eastAsia"/>
          <w:snapToGrid/>
          <w:lang w:val="zh-CN"/>
        </w:rPr>
        <w:t>由于经济困难、找不到住所、有家庭问题或其他类似情况</w:t>
      </w:r>
      <w:r>
        <w:rPr>
          <w:rFonts w:hint="eastAsia"/>
          <w:snapToGrid/>
        </w:rPr>
        <w:t>，</w:t>
      </w:r>
      <w:r>
        <w:rPr>
          <w:rFonts w:hint="eastAsia"/>
          <w:snapToGrid/>
          <w:lang w:val="zh-CN"/>
        </w:rPr>
        <w:t>暂时需要住宿的孕妇或婴儿不满九个月的单身母亲</w:t>
      </w:r>
      <w:r>
        <w:rPr>
          <w:rFonts w:hint="eastAsia"/>
          <w:snapToGrid/>
        </w:rPr>
        <w:t>；</w:t>
      </w:r>
    </w:p>
    <w:p w:rsidR="00000000" w:rsidRDefault="00844A84">
      <w:pPr>
        <w:pStyle w:val="a0"/>
        <w:ind w:left="1530"/>
        <w:rPr>
          <w:snapToGrid/>
        </w:rPr>
      </w:pPr>
      <w:r>
        <w:rPr>
          <w:rFonts w:hint="eastAsia"/>
          <w:snapToGrid/>
          <w:lang w:val="zh-CN"/>
        </w:rPr>
        <w:t>由于健康、社会、住房或家庭原因</w:t>
      </w:r>
      <w:r>
        <w:rPr>
          <w:rFonts w:hint="eastAsia"/>
          <w:snapToGrid/>
        </w:rPr>
        <w:t>，</w:t>
      </w:r>
      <w:r>
        <w:rPr>
          <w:rFonts w:hint="eastAsia"/>
          <w:snapToGrid/>
          <w:lang w:val="zh-CN"/>
        </w:rPr>
        <w:t>在家里无法独立生活的有身体和感官损害的成年残障者、严重慢性病患者、精神残障者</w:t>
      </w:r>
      <w:r>
        <w:rPr>
          <w:rFonts w:hint="eastAsia"/>
          <w:snapToGrid/>
        </w:rPr>
        <w:t>，</w:t>
      </w:r>
      <w:r>
        <w:rPr>
          <w:rFonts w:hint="eastAsia"/>
          <w:snapToGrid/>
          <w:lang w:val="zh-CN"/>
        </w:rPr>
        <w:t>以及有行为问题的人</w:t>
      </w:r>
      <w:r>
        <w:rPr>
          <w:rFonts w:hint="eastAsia"/>
          <w:snapToGrid/>
        </w:rPr>
        <w:t>；</w:t>
      </w:r>
    </w:p>
    <w:p w:rsidR="00000000" w:rsidRDefault="00844A84">
      <w:pPr>
        <w:pStyle w:val="a0"/>
        <w:ind w:left="1530"/>
        <w:rPr>
          <w:snapToGrid/>
        </w:rPr>
      </w:pPr>
      <w:r>
        <w:rPr>
          <w:rFonts w:hint="eastAsia"/>
          <w:snapToGrid/>
          <w:lang w:val="zh-CN"/>
        </w:rPr>
        <w:t>由于健康、社会、住房或家庭原因</w:t>
      </w:r>
      <w:r>
        <w:rPr>
          <w:rFonts w:hint="eastAsia"/>
          <w:snapToGrid/>
        </w:rPr>
        <w:t>，</w:t>
      </w:r>
      <w:r>
        <w:rPr>
          <w:rFonts w:hint="eastAsia"/>
          <w:snapToGrid/>
          <w:lang w:val="zh-CN"/>
        </w:rPr>
        <w:t>无法在家里生活的养恤金领受人或其他老年人</w:t>
      </w:r>
      <w:r>
        <w:rPr>
          <w:rFonts w:hint="eastAsia"/>
          <w:snapToGrid/>
        </w:rPr>
        <w:t>；</w:t>
      </w:r>
    </w:p>
    <w:p w:rsidR="00000000" w:rsidRDefault="00844A84">
      <w:pPr>
        <w:pStyle w:val="a0"/>
        <w:ind w:left="1530"/>
        <w:rPr>
          <w:snapToGrid/>
        </w:rPr>
      </w:pPr>
      <w:r>
        <w:rPr>
          <w:rFonts w:hint="eastAsia"/>
          <w:snapToGrid/>
          <w:lang w:val="zh-CN"/>
        </w:rPr>
        <w:t>被遗弃而流落街头者</w:t>
      </w:r>
      <w:r>
        <w:rPr>
          <w:rFonts w:hint="eastAsia"/>
          <w:snapToGrid/>
        </w:rPr>
        <w:t>，</w:t>
      </w:r>
      <w:r>
        <w:rPr>
          <w:rFonts w:hint="eastAsia"/>
          <w:snapToGrid/>
          <w:lang w:val="zh-CN"/>
        </w:rPr>
        <w:t>或由于其他原因需要临时住宿或监护的人。</w:t>
      </w:r>
    </w:p>
    <w:p w:rsidR="00000000" w:rsidRDefault="00844A84">
      <w:pPr>
        <w:spacing w:after="320"/>
        <w:rPr>
          <w:snapToGrid/>
        </w:rPr>
      </w:pPr>
      <w:r>
        <w:rPr>
          <w:rFonts w:hint="eastAsia"/>
          <w:snapToGrid/>
          <w:lang w:val="zh-CN"/>
        </w:rPr>
        <w:tab/>
        <w:t xml:space="preserve">164.  </w:t>
      </w:r>
      <w:r>
        <w:rPr>
          <w:rFonts w:hint="eastAsia"/>
          <w:snapToGrid/>
          <w:lang w:val="zh-CN"/>
        </w:rPr>
        <w:t>寄宿社会保护机构须经社会服务中心作出决定。社会服</w:t>
      </w:r>
      <w:r>
        <w:rPr>
          <w:rFonts w:hint="eastAsia"/>
          <w:snapToGrid/>
          <w:lang w:val="zh-CN"/>
        </w:rPr>
        <w:t>务中心根据中心有关专家组对寄宿需求的调查评估意见作出决定。</w:t>
      </w:r>
    </w:p>
    <w:p w:rsidR="00000000" w:rsidRDefault="00844A84">
      <w:pPr>
        <w:pStyle w:val="Heading4"/>
        <w:rPr>
          <w:rFonts w:hint="eastAsia"/>
          <w:iCs/>
        </w:rPr>
      </w:pPr>
      <w:r>
        <w:rPr>
          <w:rFonts w:hint="eastAsia"/>
          <w:u w:val="none"/>
        </w:rPr>
        <w:tab/>
      </w:r>
      <w:r>
        <w:rPr>
          <w:rFonts w:hint="eastAsia"/>
        </w:rPr>
        <w:t>寄宿他人家庭的权利</w:t>
      </w:r>
    </w:p>
    <w:p w:rsidR="00000000" w:rsidRDefault="00844A84">
      <w:pPr>
        <w:rPr>
          <w:snapToGrid/>
        </w:rPr>
      </w:pPr>
      <w:r>
        <w:rPr>
          <w:rFonts w:hint="eastAsia"/>
          <w:snapToGrid/>
          <w:lang w:val="zh-CN"/>
        </w:rPr>
        <w:tab/>
        <w:t xml:space="preserve">165.  </w:t>
      </w:r>
      <w:r>
        <w:rPr>
          <w:rFonts w:hint="eastAsia"/>
          <w:snapToGrid/>
          <w:lang w:val="zh-CN"/>
        </w:rPr>
        <w:t>寄宿他人家庭的权利适用于享有机构寄宿权的人。受益人不得被安排寄宿在有人被剥夺监护权或丧失行为能力的家庭、功能不健全的家庭、其成员有社会无法接受行为的家庭、其成员所患疾病威胁受益人健康和食宿的家庭和没有经济保障的家庭。</w:t>
      </w:r>
    </w:p>
    <w:p w:rsidR="00000000" w:rsidRDefault="00844A84">
      <w:pPr>
        <w:rPr>
          <w:snapToGrid/>
        </w:rPr>
      </w:pPr>
      <w:r>
        <w:rPr>
          <w:rFonts w:hint="eastAsia"/>
          <w:snapToGrid/>
          <w:lang w:val="zh-CN"/>
        </w:rPr>
        <w:tab/>
        <w:t xml:space="preserve">166.  </w:t>
      </w:r>
      <w:r>
        <w:rPr>
          <w:rFonts w:hint="eastAsia"/>
          <w:snapToGrid/>
          <w:lang w:val="zh-CN"/>
        </w:rPr>
        <w:t>福利性服务指有关人员根据专业和科学知识</w:t>
      </w:r>
      <w:r>
        <w:rPr>
          <w:rFonts w:hint="eastAsia"/>
          <w:snapToGrid/>
        </w:rPr>
        <w:t>，</w:t>
      </w:r>
      <w:r>
        <w:rPr>
          <w:rFonts w:hint="eastAsia"/>
          <w:snapToGrid/>
          <w:lang w:val="zh-CN"/>
        </w:rPr>
        <w:t>向个人、家庭和社会团体提供的旨在帮助他们解决生活问题的预防性活动、诊断、治疗和咨询工作</w:t>
      </w:r>
      <w:r>
        <w:rPr>
          <w:rFonts w:hint="eastAsia"/>
          <w:snapToGrid/>
        </w:rPr>
        <w:t>，</w:t>
      </w:r>
      <w:r>
        <w:rPr>
          <w:rFonts w:hint="eastAsia"/>
          <w:snapToGrid/>
          <w:lang w:val="zh-CN"/>
        </w:rPr>
        <w:t>或向当地或其他社区提供的旨在帮助其组织起来解决社会问题或</w:t>
      </w:r>
      <w:r>
        <w:rPr>
          <w:rFonts w:hint="eastAsia"/>
          <w:snapToGrid/>
          <w:lang w:val="zh-CN"/>
        </w:rPr>
        <w:t>减轻社会问题带来后果的服务。所有公民都有权免费获得福利性服务。</w:t>
      </w:r>
    </w:p>
    <w:p w:rsidR="00000000" w:rsidRDefault="00844A84">
      <w:pPr>
        <w:rPr>
          <w:snapToGrid/>
        </w:rPr>
      </w:pPr>
      <w:r>
        <w:rPr>
          <w:rFonts w:hint="eastAsia"/>
          <w:snapToGrid/>
          <w:lang w:val="zh-CN"/>
        </w:rPr>
        <w:tab/>
        <w:t xml:space="preserve">167.  </w:t>
      </w:r>
      <w:r>
        <w:rPr>
          <w:rFonts w:hint="eastAsia"/>
          <w:snapToGrid/>
          <w:lang w:val="zh-CN"/>
        </w:rPr>
        <w:t>如果福利性服务并非预防性质，也非用于行使本法规定的权利或依法保护家庭，市政府可以规定公民参与分担社会服务中心提供的这种服务的费用。</w:t>
      </w:r>
    </w:p>
    <w:p w:rsidR="00000000" w:rsidRDefault="00844A84">
      <w:pPr>
        <w:spacing w:after="320"/>
        <w:rPr>
          <w:snapToGrid/>
          <w:spacing w:val="6"/>
        </w:rPr>
      </w:pPr>
      <w:r>
        <w:rPr>
          <w:rFonts w:hint="eastAsia"/>
          <w:snapToGrid/>
          <w:lang w:val="zh-CN"/>
        </w:rPr>
        <w:tab/>
        <w:t xml:space="preserve">168.  </w:t>
      </w:r>
      <w:r>
        <w:rPr>
          <w:rFonts w:hint="eastAsia"/>
          <w:snapToGrid/>
          <w:spacing w:val="6"/>
          <w:lang w:val="zh-CN"/>
        </w:rPr>
        <w:t>一次性补助权适用于突然或暂时出现社会需求的个人。一次性补助可以以现金或实物方式提供。一次性补助的金额不得超过在发放补助当月国家的平均工资。</w:t>
      </w:r>
    </w:p>
    <w:p w:rsidR="00000000" w:rsidRDefault="00844A84">
      <w:pPr>
        <w:pStyle w:val="Heading4"/>
      </w:pPr>
      <w:r>
        <w:rPr>
          <w:u w:val="none"/>
        </w:rPr>
        <w:t>(d)</w:t>
      </w:r>
      <w:r>
        <w:rPr>
          <w:rFonts w:hint="eastAsia"/>
          <w:u w:val="none"/>
        </w:rPr>
        <w:t xml:space="preserve">  </w:t>
      </w:r>
      <w:r>
        <w:rPr>
          <w:rFonts w:hint="eastAsia"/>
          <w:lang w:val="zh-CN"/>
        </w:rPr>
        <w:t>养恤金和残疾保险权利</w:t>
      </w:r>
    </w:p>
    <w:p w:rsidR="00000000" w:rsidRDefault="00844A84">
      <w:pPr>
        <w:rPr>
          <w:snapToGrid/>
        </w:rPr>
      </w:pPr>
      <w:r>
        <w:rPr>
          <w:rFonts w:hint="eastAsia"/>
          <w:snapToGrid/>
          <w:lang w:val="zh-CN"/>
        </w:rPr>
        <w:tab/>
        <w:t xml:space="preserve">169.  </w:t>
      </w:r>
      <w:r>
        <w:rPr>
          <w:rFonts w:hint="eastAsia"/>
          <w:snapToGrid/>
          <w:lang w:val="zh-CN"/>
        </w:rPr>
        <w:t>《基本养恤金和残疾保险法》</w:t>
      </w:r>
      <w:r>
        <w:rPr>
          <w:rFonts w:hint="eastAsia"/>
          <w:snapToGrid/>
        </w:rPr>
        <w:t>(</w:t>
      </w:r>
      <w:r>
        <w:rPr>
          <w:rFonts w:hint="eastAsia"/>
          <w:snapToGrid/>
          <w:lang w:val="zh-CN"/>
        </w:rPr>
        <w:t>《南斯拉夫联盟共和国政府公报》第</w:t>
      </w:r>
      <w:r>
        <w:rPr>
          <w:snapToGrid/>
        </w:rPr>
        <w:t>30/96</w:t>
      </w:r>
      <w:r>
        <w:rPr>
          <w:rFonts w:hint="eastAsia"/>
          <w:snapToGrid/>
          <w:lang w:val="zh-CN"/>
        </w:rPr>
        <w:t>号</w:t>
      </w:r>
      <w:r>
        <w:rPr>
          <w:rFonts w:hint="eastAsia"/>
          <w:snapToGrid/>
        </w:rPr>
        <w:t>)</w:t>
      </w:r>
      <w:r>
        <w:rPr>
          <w:rFonts w:hint="eastAsia"/>
          <w:snapToGrid/>
          <w:lang w:val="zh-CN"/>
        </w:rPr>
        <w:t>和《塞尔维亚共和国养恤金和残</w:t>
      </w:r>
      <w:r>
        <w:rPr>
          <w:rFonts w:hint="eastAsia"/>
          <w:snapToGrid/>
          <w:lang w:val="zh-CN"/>
        </w:rPr>
        <w:t>疾保险法》</w:t>
      </w:r>
      <w:r>
        <w:rPr>
          <w:rFonts w:hint="eastAsia"/>
          <w:snapToGrid/>
        </w:rPr>
        <w:t>(</w:t>
      </w:r>
      <w:r>
        <w:rPr>
          <w:rFonts w:hint="eastAsia"/>
          <w:snapToGrid/>
          <w:lang w:val="zh-CN"/>
        </w:rPr>
        <w:t>第</w:t>
      </w:r>
      <w:r>
        <w:rPr>
          <w:snapToGrid/>
        </w:rPr>
        <w:t>52/96</w:t>
      </w:r>
      <w:r>
        <w:rPr>
          <w:rFonts w:hint="eastAsia"/>
          <w:snapToGrid/>
          <w:lang w:val="zh-CN"/>
        </w:rPr>
        <w:t>号、第</w:t>
      </w:r>
      <w:r>
        <w:rPr>
          <w:snapToGrid/>
        </w:rPr>
        <w:t>46/98</w:t>
      </w:r>
      <w:r>
        <w:rPr>
          <w:rFonts w:hint="eastAsia"/>
          <w:snapToGrid/>
          <w:lang w:val="zh-CN"/>
        </w:rPr>
        <w:t>号和第</w:t>
      </w:r>
      <w:r>
        <w:rPr>
          <w:snapToGrid/>
        </w:rPr>
        <w:t>29/2001</w:t>
      </w:r>
      <w:r>
        <w:rPr>
          <w:rFonts w:hint="eastAsia"/>
          <w:snapToGrid/>
          <w:lang w:val="zh-CN"/>
        </w:rPr>
        <w:t>号</w:t>
      </w:r>
      <w:r>
        <w:rPr>
          <w:rFonts w:hint="eastAsia"/>
          <w:snapToGrid/>
        </w:rPr>
        <w:t>)</w:t>
      </w:r>
      <w:r>
        <w:rPr>
          <w:rFonts w:hint="eastAsia"/>
          <w:snapToGrid/>
          <w:lang w:val="zh-CN"/>
        </w:rPr>
        <w:t>规定了获得与享有养恤金和残疾保险权利的条件和方式。</w:t>
      </w:r>
    </w:p>
    <w:p w:rsidR="00000000" w:rsidRDefault="00844A84">
      <w:pPr>
        <w:spacing w:after="320"/>
        <w:rPr>
          <w:snapToGrid/>
        </w:rPr>
      </w:pPr>
      <w:r>
        <w:rPr>
          <w:rFonts w:hint="eastAsia"/>
          <w:snapToGrid/>
          <w:lang w:val="zh-CN"/>
        </w:rPr>
        <w:tab/>
        <w:t xml:space="preserve">170.  </w:t>
      </w:r>
      <w:r>
        <w:rPr>
          <w:rFonts w:hint="eastAsia"/>
          <w:snapToGrid/>
          <w:lang w:val="zh-CN"/>
        </w:rPr>
        <w:t>基本养恤金和残疾保险权利通过强制养恤金和残疾保险机构与塞尔维亚共和国养恤金和残疾保险基金实施。该基金保证了强制性养恤金和残疾保险的资金需求。</w:t>
      </w:r>
    </w:p>
    <w:p w:rsidR="00000000" w:rsidRDefault="00844A84">
      <w:pPr>
        <w:pStyle w:val="Heading4"/>
      </w:pPr>
      <w:r>
        <w:rPr>
          <w:rFonts w:hint="eastAsia"/>
          <w:u w:val="none"/>
        </w:rPr>
        <w:tab/>
      </w:r>
      <w:r>
        <w:rPr>
          <w:rFonts w:hint="eastAsia"/>
        </w:rPr>
        <w:t>老年养恤金</w:t>
      </w:r>
    </w:p>
    <w:p w:rsidR="00000000" w:rsidRDefault="00844A84">
      <w:pPr>
        <w:rPr>
          <w:snapToGrid/>
        </w:rPr>
      </w:pPr>
      <w:r>
        <w:rPr>
          <w:rFonts w:hint="eastAsia"/>
          <w:snapToGrid/>
          <w:lang w:val="zh-CN"/>
        </w:rPr>
        <w:tab/>
        <w:t xml:space="preserve">171.  </w:t>
      </w:r>
      <w:r>
        <w:rPr>
          <w:rFonts w:hint="eastAsia"/>
          <w:snapToGrid/>
          <w:lang w:val="zh-CN"/>
        </w:rPr>
        <w:t>男性</w:t>
      </w:r>
      <w:r>
        <w:rPr>
          <w:snapToGrid/>
        </w:rPr>
        <w:t>63</w:t>
      </w:r>
      <w:r>
        <w:rPr>
          <w:rFonts w:hint="eastAsia"/>
          <w:snapToGrid/>
          <w:lang w:val="zh-CN"/>
        </w:rPr>
        <w:t>岁、女性</w:t>
      </w:r>
      <w:r>
        <w:rPr>
          <w:snapToGrid/>
        </w:rPr>
        <w:t>58</w:t>
      </w:r>
      <w:r>
        <w:rPr>
          <w:rFonts w:hint="eastAsia"/>
          <w:snapToGrid/>
          <w:lang w:val="zh-CN"/>
        </w:rPr>
        <w:t>岁工作年满</w:t>
      </w:r>
      <w:r>
        <w:rPr>
          <w:snapToGrid/>
        </w:rPr>
        <w:t>20</w:t>
      </w:r>
      <w:r>
        <w:rPr>
          <w:rFonts w:hint="eastAsia"/>
          <w:snapToGrid/>
          <w:lang w:val="zh-CN"/>
        </w:rPr>
        <w:t>年后</w:t>
      </w:r>
      <w:r>
        <w:rPr>
          <w:rFonts w:hint="eastAsia"/>
          <w:snapToGrid/>
        </w:rPr>
        <w:t>的</w:t>
      </w:r>
      <w:r>
        <w:rPr>
          <w:rFonts w:hint="eastAsia"/>
          <w:snapToGrid/>
          <w:lang w:val="zh-CN"/>
        </w:rPr>
        <w:t>被保险人有权领取老年养恤金。工作年限不足</w:t>
      </w:r>
      <w:r>
        <w:rPr>
          <w:snapToGrid/>
        </w:rPr>
        <w:t>20</w:t>
      </w:r>
      <w:r>
        <w:rPr>
          <w:rFonts w:hint="eastAsia"/>
          <w:snapToGrid/>
          <w:lang w:val="zh-CN"/>
        </w:rPr>
        <w:t>年</w:t>
      </w:r>
      <w:r>
        <w:rPr>
          <w:rFonts w:hint="eastAsia"/>
          <w:snapToGrid/>
        </w:rPr>
        <w:t>。</w:t>
      </w:r>
      <w:r>
        <w:rPr>
          <w:rFonts w:hint="eastAsia"/>
          <w:snapToGrid/>
          <w:lang w:val="zh-CN"/>
        </w:rPr>
        <w:t>但投保年限满</w:t>
      </w:r>
      <w:r>
        <w:rPr>
          <w:snapToGrid/>
        </w:rPr>
        <w:t>15</w:t>
      </w:r>
      <w:r>
        <w:rPr>
          <w:rFonts w:hint="eastAsia"/>
          <w:snapToGrid/>
          <w:lang w:val="zh-CN"/>
        </w:rPr>
        <w:t>年</w:t>
      </w:r>
      <w:r>
        <w:rPr>
          <w:rFonts w:hint="eastAsia"/>
          <w:snapToGrid/>
        </w:rPr>
        <w:t>，</w:t>
      </w:r>
      <w:r>
        <w:rPr>
          <w:rFonts w:hint="eastAsia"/>
          <w:snapToGrid/>
          <w:lang w:val="zh-CN"/>
        </w:rPr>
        <w:t>男性满</w:t>
      </w:r>
      <w:r>
        <w:rPr>
          <w:snapToGrid/>
        </w:rPr>
        <w:t>65</w:t>
      </w:r>
      <w:r>
        <w:rPr>
          <w:rFonts w:hint="eastAsia"/>
          <w:snapToGrid/>
          <w:lang w:val="zh-CN"/>
        </w:rPr>
        <w:t>岁</w:t>
      </w:r>
      <w:r>
        <w:rPr>
          <w:rFonts w:hint="eastAsia"/>
          <w:snapToGrid/>
        </w:rPr>
        <w:t>，</w:t>
      </w:r>
      <w:r>
        <w:rPr>
          <w:rFonts w:hint="eastAsia"/>
          <w:snapToGrid/>
          <w:lang w:val="zh-CN"/>
        </w:rPr>
        <w:t>女性满</w:t>
      </w:r>
      <w:r>
        <w:rPr>
          <w:snapToGrid/>
        </w:rPr>
        <w:t>60</w:t>
      </w:r>
      <w:r>
        <w:rPr>
          <w:rFonts w:hint="eastAsia"/>
          <w:snapToGrid/>
          <w:lang w:val="zh-CN"/>
        </w:rPr>
        <w:t>岁的被保险人有权领取老年养恤金。男性工作满</w:t>
      </w:r>
      <w:r>
        <w:rPr>
          <w:snapToGrid/>
        </w:rPr>
        <w:t>40</w:t>
      </w:r>
      <w:r>
        <w:rPr>
          <w:rFonts w:hint="eastAsia"/>
          <w:snapToGrid/>
          <w:lang w:val="zh-CN"/>
        </w:rPr>
        <w:t>年</w:t>
      </w:r>
      <w:r>
        <w:rPr>
          <w:rFonts w:hint="eastAsia"/>
          <w:snapToGrid/>
        </w:rPr>
        <w:t>、</w:t>
      </w:r>
      <w:r>
        <w:rPr>
          <w:rFonts w:hint="eastAsia"/>
          <w:snapToGrid/>
          <w:lang w:val="zh-CN"/>
        </w:rPr>
        <w:t>女性工作满</w:t>
      </w:r>
      <w:r>
        <w:rPr>
          <w:snapToGrid/>
        </w:rPr>
        <w:t>35</w:t>
      </w:r>
      <w:r>
        <w:rPr>
          <w:rFonts w:hint="eastAsia"/>
          <w:snapToGrid/>
          <w:lang w:val="zh-CN"/>
        </w:rPr>
        <w:t>年且年满</w:t>
      </w:r>
      <w:r>
        <w:rPr>
          <w:snapToGrid/>
        </w:rPr>
        <w:t>50</w:t>
      </w:r>
      <w:r>
        <w:rPr>
          <w:rFonts w:hint="eastAsia"/>
          <w:snapToGrid/>
          <w:lang w:val="zh-CN"/>
        </w:rPr>
        <w:t>岁的</w:t>
      </w:r>
      <w:r>
        <w:rPr>
          <w:rFonts w:hint="eastAsia"/>
          <w:snapToGrid/>
          <w:lang w:val="zh-CN"/>
        </w:rPr>
        <w:t>被保险人有权领取老年养恤金。</w:t>
      </w:r>
    </w:p>
    <w:p w:rsidR="00000000" w:rsidRDefault="00844A84">
      <w:pPr>
        <w:rPr>
          <w:snapToGrid/>
        </w:rPr>
      </w:pPr>
      <w:r>
        <w:rPr>
          <w:rFonts w:hint="eastAsia"/>
          <w:snapToGrid/>
          <w:lang w:val="zh-CN"/>
        </w:rPr>
        <w:tab/>
        <w:t xml:space="preserve">172.  </w:t>
      </w:r>
      <w:r>
        <w:rPr>
          <w:rFonts w:hint="eastAsia"/>
          <w:snapToGrid/>
          <w:lang w:val="zh-CN"/>
        </w:rPr>
        <w:t>根据《塞尔维亚共和国养恤金和残疾保险法》</w:t>
      </w:r>
      <w:r>
        <w:rPr>
          <w:rFonts w:hint="eastAsia"/>
          <w:snapToGrid/>
        </w:rPr>
        <w:t>，</w:t>
      </w:r>
      <w:r>
        <w:rPr>
          <w:rFonts w:hint="eastAsia"/>
          <w:snapToGrid/>
          <w:lang w:val="zh-CN"/>
        </w:rPr>
        <w:t>被保险人根据塞尔维亚共和国法律终止雇用</w:t>
      </w:r>
      <w:r>
        <w:rPr>
          <w:rFonts w:hint="eastAsia"/>
          <w:snapToGrid/>
        </w:rPr>
        <w:t>，</w:t>
      </w:r>
      <w:r>
        <w:rPr>
          <w:rFonts w:hint="eastAsia"/>
          <w:snapToGrid/>
          <w:lang w:val="zh-CN"/>
        </w:rPr>
        <w:t>虽未达到领取老年养恤金的一般条件</w:t>
      </w:r>
      <w:r>
        <w:rPr>
          <w:rFonts w:hint="eastAsia"/>
          <w:snapToGrid/>
        </w:rPr>
        <w:t>，</w:t>
      </w:r>
      <w:r>
        <w:rPr>
          <w:rFonts w:hint="eastAsia"/>
          <w:snapToGrid/>
          <w:lang w:val="zh-CN"/>
        </w:rPr>
        <w:t>但年满</w:t>
      </w:r>
      <w:r>
        <w:rPr>
          <w:snapToGrid/>
        </w:rPr>
        <w:t>50</w:t>
      </w:r>
      <w:r>
        <w:rPr>
          <w:rFonts w:hint="eastAsia"/>
          <w:snapToGrid/>
          <w:lang w:val="zh-CN"/>
        </w:rPr>
        <w:t>岁</w:t>
      </w:r>
      <w:r>
        <w:rPr>
          <w:rFonts w:hint="eastAsia"/>
          <w:snapToGrid/>
        </w:rPr>
        <w:t>，</w:t>
      </w:r>
      <w:r>
        <w:rPr>
          <w:rFonts w:hint="eastAsia"/>
          <w:snapToGrid/>
          <w:lang w:val="zh-CN"/>
        </w:rPr>
        <w:t>工作时间满</w:t>
      </w:r>
      <w:r>
        <w:rPr>
          <w:snapToGrid/>
        </w:rPr>
        <w:t>20</w:t>
      </w:r>
      <w:r>
        <w:rPr>
          <w:rFonts w:hint="eastAsia"/>
          <w:snapToGrid/>
          <w:lang w:val="zh-CN"/>
        </w:rPr>
        <w:t>年的</w:t>
      </w:r>
      <w:r>
        <w:rPr>
          <w:rFonts w:hint="eastAsia"/>
          <w:snapToGrid/>
        </w:rPr>
        <w:t>，也</w:t>
      </w:r>
      <w:r>
        <w:rPr>
          <w:rFonts w:hint="eastAsia"/>
          <w:snapToGrid/>
          <w:lang w:val="zh-CN"/>
        </w:rPr>
        <w:t>有权领取老年养恤金，但其必须在</w:t>
      </w:r>
      <w:r>
        <w:rPr>
          <w:rFonts w:hint="eastAsia"/>
          <w:snapToGrid/>
        </w:rPr>
        <w:t>工作</w:t>
      </w:r>
      <w:r>
        <w:rPr>
          <w:rFonts w:hint="eastAsia"/>
          <w:snapToGrid/>
          <w:lang w:val="zh-CN"/>
        </w:rPr>
        <w:t>单位工作至少累计</w:t>
      </w:r>
      <w:r>
        <w:rPr>
          <w:snapToGrid/>
        </w:rPr>
        <w:t>10</w:t>
      </w:r>
      <w:r>
        <w:rPr>
          <w:rFonts w:hint="eastAsia"/>
          <w:snapToGrid/>
          <w:lang w:val="zh-CN"/>
        </w:rPr>
        <w:t>年</w:t>
      </w:r>
      <w:r>
        <w:rPr>
          <w:rFonts w:hint="eastAsia"/>
          <w:snapToGrid/>
        </w:rPr>
        <w:t>，</w:t>
      </w:r>
      <w:r>
        <w:rPr>
          <w:rFonts w:hint="eastAsia"/>
          <w:snapToGrid/>
          <w:lang w:val="zh-CN"/>
        </w:rPr>
        <w:t>工作满</w:t>
      </w:r>
      <w:r>
        <w:rPr>
          <w:snapToGrid/>
        </w:rPr>
        <w:t>20</w:t>
      </w:r>
      <w:r>
        <w:rPr>
          <w:rFonts w:hint="eastAsia"/>
          <w:snapToGrid/>
          <w:lang w:val="zh-CN"/>
        </w:rPr>
        <w:t>年的被保险人有权领取相当于养恤金基数</w:t>
      </w:r>
      <w:r>
        <w:rPr>
          <w:snapToGrid/>
        </w:rPr>
        <w:t>55%</w:t>
      </w:r>
      <w:r>
        <w:rPr>
          <w:rFonts w:hint="eastAsia"/>
          <w:snapToGrid/>
        </w:rPr>
        <w:t>(</w:t>
      </w:r>
      <w:r>
        <w:rPr>
          <w:rFonts w:hint="eastAsia"/>
          <w:snapToGrid/>
          <w:lang w:val="zh-CN"/>
        </w:rPr>
        <w:t>男性</w:t>
      </w:r>
      <w:r>
        <w:rPr>
          <w:rFonts w:hint="eastAsia"/>
          <w:snapToGrid/>
        </w:rPr>
        <w:t>)</w:t>
      </w:r>
      <w:r>
        <w:rPr>
          <w:rFonts w:hint="eastAsia"/>
          <w:snapToGrid/>
          <w:lang w:val="zh-CN"/>
        </w:rPr>
        <w:t>或</w:t>
      </w:r>
      <w:r>
        <w:rPr>
          <w:snapToGrid/>
        </w:rPr>
        <w:t>57.5%</w:t>
      </w:r>
      <w:r>
        <w:rPr>
          <w:rFonts w:hint="eastAsia"/>
          <w:snapToGrid/>
        </w:rPr>
        <w:t>(</w:t>
      </w:r>
      <w:r>
        <w:rPr>
          <w:rFonts w:hint="eastAsia"/>
          <w:snapToGrid/>
          <w:lang w:val="zh-CN"/>
        </w:rPr>
        <w:t>女性</w:t>
      </w:r>
      <w:r>
        <w:rPr>
          <w:rFonts w:hint="eastAsia"/>
          <w:snapToGrid/>
        </w:rPr>
        <w:t>)</w:t>
      </w:r>
      <w:r>
        <w:rPr>
          <w:rFonts w:hint="eastAsia"/>
          <w:snapToGrid/>
        </w:rPr>
        <w:t>的老年养恤金；</w:t>
      </w:r>
      <w:r>
        <w:rPr>
          <w:rFonts w:hint="eastAsia"/>
          <w:snapToGrid/>
          <w:lang w:val="zh-CN"/>
        </w:rPr>
        <w:t>工龄每增加一年</w:t>
      </w:r>
      <w:r>
        <w:rPr>
          <w:rFonts w:hint="eastAsia"/>
          <w:snapToGrid/>
        </w:rPr>
        <w:t>，</w:t>
      </w:r>
      <w:r>
        <w:rPr>
          <w:rFonts w:hint="eastAsia"/>
          <w:snapToGrid/>
          <w:lang w:val="zh-CN"/>
        </w:rPr>
        <w:t>增发养恤金基数的</w:t>
      </w:r>
      <w:r>
        <w:rPr>
          <w:snapToGrid/>
        </w:rPr>
        <w:t>2.5%</w:t>
      </w:r>
      <w:r>
        <w:rPr>
          <w:rFonts w:hint="eastAsia"/>
          <w:snapToGrid/>
        </w:rPr>
        <w:t>，</w:t>
      </w:r>
      <w:r>
        <w:rPr>
          <w:rFonts w:hint="eastAsia"/>
          <w:snapToGrid/>
          <w:lang w:val="zh-CN"/>
        </w:rPr>
        <w:t>直至工龄达到</w:t>
      </w:r>
      <w:r>
        <w:rPr>
          <w:snapToGrid/>
        </w:rPr>
        <w:t>30</w:t>
      </w:r>
      <w:r>
        <w:rPr>
          <w:rFonts w:hint="eastAsia"/>
          <w:snapToGrid/>
          <w:lang w:val="zh-CN"/>
        </w:rPr>
        <w:t>年。工龄在</w:t>
      </w:r>
      <w:r>
        <w:rPr>
          <w:snapToGrid/>
        </w:rPr>
        <w:t>30</w:t>
      </w:r>
      <w:r>
        <w:rPr>
          <w:rFonts w:hint="eastAsia"/>
          <w:snapToGrid/>
          <w:lang w:val="zh-CN"/>
        </w:rPr>
        <w:t>年以上的</w:t>
      </w:r>
      <w:r>
        <w:rPr>
          <w:rFonts w:hint="eastAsia"/>
          <w:snapToGrid/>
        </w:rPr>
        <w:t>，</w:t>
      </w:r>
      <w:r>
        <w:rPr>
          <w:rFonts w:hint="eastAsia"/>
          <w:snapToGrid/>
          <w:lang w:val="zh-CN"/>
        </w:rPr>
        <w:t>工龄每增加一年</w:t>
      </w:r>
      <w:r>
        <w:rPr>
          <w:rFonts w:hint="eastAsia"/>
          <w:snapToGrid/>
        </w:rPr>
        <w:t>，</w:t>
      </w:r>
      <w:r>
        <w:rPr>
          <w:rFonts w:hint="eastAsia"/>
          <w:snapToGrid/>
          <w:lang w:val="zh-CN"/>
        </w:rPr>
        <w:t>养恤金数额增加养恤金基数的</w:t>
      </w:r>
      <w:r>
        <w:rPr>
          <w:snapToGrid/>
        </w:rPr>
        <w:t>0.5%</w:t>
      </w:r>
      <w:r>
        <w:rPr>
          <w:rFonts w:hint="eastAsia"/>
          <w:snapToGrid/>
        </w:rPr>
        <w:t>，</w:t>
      </w:r>
      <w:r>
        <w:rPr>
          <w:rFonts w:hint="eastAsia"/>
          <w:snapToGrid/>
          <w:lang w:val="zh-CN"/>
        </w:rPr>
        <w:t>但不能超过养恤金基数的</w:t>
      </w:r>
      <w:r>
        <w:rPr>
          <w:snapToGrid/>
        </w:rPr>
        <w:t>85%</w:t>
      </w:r>
      <w:r>
        <w:rPr>
          <w:rFonts w:hint="eastAsia"/>
          <w:snapToGrid/>
          <w:lang w:val="zh-CN"/>
        </w:rPr>
        <w:t>。</w:t>
      </w:r>
    </w:p>
    <w:p w:rsidR="00000000" w:rsidRDefault="00844A84">
      <w:pPr>
        <w:rPr>
          <w:snapToGrid/>
          <w:spacing w:val="6"/>
          <w:lang w:val="zh-CN"/>
        </w:rPr>
      </w:pPr>
      <w:r>
        <w:rPr>
          <w:rFonts w:hint="eastAsia"/>
          <w:snapToGrid/>
          <w:lang w:val="zh-CN"/>
        </w:rPr>
        <w:tab/>
        <w:t xml:space="preserve">173.  </w:t>
      </w:r>
      <w:r>
        <w:rPr>
          <w:rFonts w:hint="eastAsia"/>
          <w:snapToGrid/>
          <w:spacing w:val="6"/>
          <w:lang w:val="zh-CN"/>
        </w:rPr>
        <w:t>老年养恤金是按从平均月工资得出的养恤金基数或连续</w:t>
      </w:r>
      <w:r>
        <w:rPr>
          <w:snapToGrid/>
          <w:spacing w:val="6"/>
          <w:lang w:val="zh-CN"/>
        </w:rPr>
        <w:t>10</w:t>
      </w:r>
      <w:r>
        <w:rPr>
          <w:rFonts w:hint="eastAsia"/>
          <w:snapToGrid/>
          <w:spacing w:val="6"/>
          <w:lang w:val="zh-CN"/>
        </w:rPr>
        <w:t>个保险年份通行的保险基数</w:t>
      </w:r>
      <w:r>
        <w:rPr>
          <w:rFonts w:hint="eastAsia"/>
          <w:snapToGrid/>
          <w:spacing w:val="6"/>
          <w:lang w:val="zh-CN"/>
        </w:rPr>
        <w:t>(</w:t>
      </w:r>
      <w:r>
        <w:rPr>
          <w:rFonts w:hint="eastAsia"/>
          <w:snapToGrid/>
          <w:spacing w:val="6"/>
          <w:lang w:val="zh-CN"/>
        </w:rPr>
        <w:t>以最有利于领受人者为准</w:t>
      </w:r>
      <w:r>
        <w:rPr>
          <w:rFonts w:hint="eastAsia"/>
          <w:snapToGrid/>
          <w:spacing w:val="6"/>
          <w:lang w:val="zh-CN"/>
        </w:rPr>
        <w:t>)</w:t>
      </w:r>
      <w:r>
        <w:rPr>
          <w:rFonts w:hint="eastAsia"/>
          <w:snapToGrid/>
          <w:spacing w:val="6"/>
          <w:lang w:val="zh-CN"/>
        </w:rPr>
        <w:t>计算的。工资</w:t>
      </w:r>
      <w:r>
        <w:rPr>
          <w:rFonts w:hint="eastAsia"/>
          <w:snapToGrid/>
          <w:spacing w:val="6"/>
          <w:lang w:val="zh-CN"/>
        </w:rPr>
        <w:t>(</w:t>
      </w:r>
      <w:r>
        <w:rPr>
          <w:rFonts w:hint="eastAsia"/>
          <w:snapToGrid/>
          <w:spacing w:val="6"/>
          <w:lang w:val="zh-CN"/>
        </w:rPr>
        <w:t>即以前年份用以计算保险基数的工资</w:t>
      </w:r>
      <w:r>
        <w:rPr>
          <w:rFonts w:hint="eastAsia"/>
          <w:snapToGrid/>
          <w:spacing w:val="6"/>
          <w:lang w:val="zh-CN"/>
        </w:rPr>
        <w:t>)</w:t>
      </w:r>
      <w:r>
        <w:rPr>
          <w:rFonts w:hint="eastAsia"/>
          <w:snapToGrid/>
          <w:spacing w:val="6"/>
          <w:lang w:val="zh-CN"/>
        </w:rPr>
        <w:t>按有权享受养恤金年份前最后一个日历年共和国境内雇员的平均工资来计算。</w:t>
      </w:r>
    </w:p>
    <w:p w:rsidR="00000000" w:rsidRDefault="00844A84">
      <w:pPr>
        <w:spacing w:after="240"/>
        <w:rPr>
          <w:snapToGrid/>
        </w:rPr>
      </w:pPr>
      <w:r>
        <w:rPr>
          <w:rFonts w:hint="eastAsia"/>
          <w:snapToGrid/>
          <w:lang w:val="zh-CN"/>
        </w:rPr>
        <w:tab/>
        <w:t xml:space="preserve">174.  </w:t>
      </w:r>
      <w:r>
        <w:rPr>
          <w:rFonts w:hint="eastAsia"/>
          <w:snapToGrid/>
          <w:lang w:val="zh-CN"/>
        </w:rPr>
        <w:t>老年养恤金根据老年养恤金基数进行计算。老年养恤金多少取决于工龄长短，但不得低于养恤金基数的</w:t>
      </w:r>
      <w:r>
        <w:rPr>
          <w:snapToGrid/>
          <w:lang w:val="zh-CN"/>
        </w:rPr>
        <w:t>35%</w:t>
      </w:r>
      <w:r>
        <w:rPr>
          <w:rFonts w:hint="eastAsia"/>
          <w:snapToGrid/>
          <w:lang w:val="zh-CN"/>
        </w:rPr>
        <w:t>(</w:t>
      </w:r>
      <w:r>
        <w:rPr>
          <w:rFonts w:hint="eastAsia"/>
          <w:snapToGrid/>
          <w:lang w:val="zh-CN"/>
        </w:rPr>
        <w:t>男性</w:t>
      </w:r>
      <w:r>
        <w:rPr>
          <w:rFonts w:hint="eastAsia"/>
          <w:snapToGrid/>
          <w:lang w:val="zh-CN"/>
        </w:rPr>
        <w:t>)</w:t>
      </w:r>
      <w:r>
        <w:rPr>
          <w:rFonts w:hint="eastAsia"/>
          <w:snapToGrid/>
          <w:lang w:val="zh-CN"/>
        </w:rPr>
        <w:t>或</w:t>
      </w:r>
      <w:r>
        <w:rPr>
          <w:snapToGrid/>
          <w:lang w:val="zh-CN"/>
        </w:rPr>
        <w:t>40%</w:t>
      </w:r>
      <w:r>
        <w:rPr>
          <w:rFonts w:hint="eastAsia"/>
          <w:snapToGrid/>
          <w:lang w:val="zh-CN"/>
        </w:rPr>
        <w:t>(</w:t>
      </w:r>
      <w:r>
        <w:rPr>
          <w:rFonts w:hint="eastAsia"/>
          <w:snapToGrid/>
          <w:lang w:val="zh-CN"/>
        </w:rPr>
        <w:t>女性</w:t>
      </w:r>
      <w:r>
        <w:rPr>
          <w:rFonts w:hint="eastAsia"/>
          <w:snapToGrid/>
          <w:lang w:val="zh-CN"/>
        </w:rPr>
        <w:t>)</w:t>
      </w:r>
      <w:r>
        <w:rPr>
          <w:rFonts w:hint="eastAsia"/>
          <w:snapToGrid/>
          <w:lang w:val="zh-CN"/>
        </w:rPr>
        <w:t>，也不得高于养恤金基数的</w:t>
      </w:r>
      <w:r>
        <w:rPr>
          <w:snapToGrid/>
          <w:lang w:val="zh-CN"/>
        </w:rPr>
        <w:t>85%</w:t>
      </w:r>
      <w:r>
        <w:rPr>
          <w:rFonts w:hint="eastAsia"/>
          <w:snapToGrid/>
          <w:lang w:val="zh-CN"/>
        </w:rPr>
        <w:t>。以这种方式计算的老年养恤金</w:t>
      </w:r>
      <w:r>
        <w:rPr>
          <w:rFonts w:hint="eastAsia"/>
          <w:snapToGrid/>
        </w:rPr>
        <w:t>，</w:t>
      </w:r>
      <w:r>
        <w:rPr>
          <w:rFonts w:hint="eastAsia"/>
          <w:snapToGrid/>
          <w:lang w:val="zh-CN"/>
        </w:rPr>
        <w:t>根据共和国境内雇员的平均工资变化状况逐年调整。</w:t>
      </w:r>
    </w:p>
    <w:p w:rsidR="00000000" w:rsidRDefault="00844A84">
      <w:pPr>
        <w:pStyle w:val="Heading4"/>
      </w:pPr>
      <w:r>
        <w:rPr>
          <w:rFonts w:hint="eastAsia"/>
          <w:u w:val="none"/>
        </w:rPr>
        <w:tab/>
      </w:r>
      <w:r>
        <w:rPr>
          <w:rFonts w:hint="eastAsia"/>
        </w:rPr>
        <w:t>残疾人权利</w:t>
      </w:r>
    </w:p>
    <w:p w:rsidR="00000000" w:rsidRDefault="00844A84">
      <w:pPr>
        <w:rPr>
          <w:snapToGrid/>
        </w:rPr>
      </w:pPr>
      <w:r>
        <w:rPr>
          <w:rFonts w:hint="eastAsia"/>
          <w:snapToGrid/>
          <w:lang w:val="zh-CN"/>
        </w:rPr>
        <w:tab/>
        <w:t xml:space="preserve">175.  </w:t>
      </w:r>
      <w:r>
        <w:rPr>
          <w:rFonts w:hint="eastAsia"/>
          <w:snapToGrid/>
          <w:lang w:val="zh-CN"/>
        </w:rPr>
        <w:t>工作能</w:t>
      </w:r>
      <w:r>
        <w:rPr>
          <w:rFonts w:hint="eastAsia"/>
          <w:snapToGrid/>
          <w:lang w:val="zh-CN"/>
        </w:rPr>
        <w:t>力降低或丧失的被保险人的残疾权利获得保障。残疾是指被保险人由于工伤、职业病、工作外伤害、通过医疗或疗养无法治愈</w:t>
      </w:r>
      <w:r>
        <w:rPr>
          <w:rFonts w:hint="eastAsia"/>
          <w:snapToGrid/>
        </w:rPr>
        <w:t>的</w:t>
      </w:r>
      <w:r>
        <w:rPr>
          <w:rFonts w:hint="eastAsia"/>
          <w:snapToGrid/>
          <w:lang w:val="zh-CN"/>
        </w:rPr>
        <w:t>疾病等引起健康状况变化</w:t>
      </w:r>
      <w:r>
        <w:rPr>
          <w:rFonts w:hint="eastAsia"/>
          <w:snapToGrid/>
        </w:rPr>
        <w:t>，</w:t>
      </w:r>
      <w:r>
        <w:rPr>
          <w:rFonts w:hint="eastAsia"/>
          <w:snapToGrid/>
          <w:lang w:val="zh-CN"/>
        </w:rPr>
        <w:t>导致被保险人在其工作岗位的工作能力永久性降低或丧失。</w:t>
      </w:r>
    </w:p>
    <w:p w:rsidR="00000000" w:rsidRDefault="00844A84">
      <w:pPr>
        <w:rPr>
          <w:snapToGrid/>
        </w:rPr>
      </w:pPr>
      <w:r>
        <w:rPr>
          <w:rFonts w:hint="eastAsia"/>
          <w:snapToGrid/>
          <w:lang w:val="zh-CN"/>
        </w:rPr>
        <w:tab/>
        <w:t xml:space="preserve">176.  </w:t>
      </w:r>
      <w:r>
        <w:rPr>
          <w:rFonts w:hint="eastAsia"/>
          <w:snapToGrid/>
          <w:lang w:val="zh-CN"/>
        </w:rPr>
        <w:t>工作能力降低是指被保险人通过不损害其健康的正常的努力</w:t>
      </w:r>
      <w:r>
        <w:rPr>
          <w:rFonts w:hint="eastAsia"/>
          <w:snapToGrid/>
        </w:rPr>
        <w:t>，</w:t>
      </w:r>
      <w:r>
        <w:rPr>
          <w:rFonts w:hint="eastAsia"/>
          <w:snapToGrid/>
          <w:lang w:val="zh-CN"/>
        </w:rPr>
        <w:t>无法像残疾发生前那样在原来的工作岗位做全时工作。</w:t>
      </w:r>
    </w:p>
    <w:p w:rsidR="00000000" w:rsidRDefault="00844A84">
      <w:pPr>
        <w:rPr>
          <w:snapToGrid/>
        </w:rPr>
      </w:pPr>
      <w:r>
        <w:rPr>
          <w:rFonts w:hint="eastAsia"/>
          <w:snapToGrid/>
          <w:lang w:val="zh-CN"/>
        </w:rPr>
        <w:tab/>
        <w:t xml:space="preserve">177.  </w:t>
      </w:r>
      <w:r>
        <w:rPr>
          <w:rFonts w:hint="eastAsia"/>
          <w:snapToGrid/>
          <w:lang w:val="zh-CN"/>
        </w:rPr>
        <w:t>剩余工作能力是指如果被保险人的工作能力被认定降低</w:t>
      </w:r>
      <w:r>
        <w:rPr>
          <w:rFonts w:hint="eastAsia"/>
          <w:snapToGrid/>
        </w:rPr>
        <w:t>，</w:t>
      </w:r>
      <w:r>
        <w:rPr>
          <w:rFonts w:hint="eastAsia"/>
          <w:snapToGrid/>
          <w:lang w:val="zh-CN"/>
        </w:rPr>
        <w:t>但通过不损害其健康的正常努力</w:t>
      </w:r>
      <w:r>
        <w:rPr>
          <w:rFonts w:hint="eastAsia"/>
          <w:snapToGrid/>
        </w:rPr>
        <w:t>，</w:t>
      </w:r>
      <w:r>
        <w:rPr>
          <w:rFonts w:hint="eastAsia"/>
          <w:snapToGrid/>
          <w:lang w:val="zh-CN"/>
        </w:rPr>
        <w:t>在接受或不接受再培训或重新培训的情况下</w:t>
      </w:r>
      <w:r>
        <w:rPr>
          <w:rFonts w:hint="eastAsia"/>
          <w:snapToGrid/>
        </w:rPr>
        <w:t>，</w:t>
      </w:r>
      <w:r>
        <w:rPr>
          <w:rFonts w:hint="eastAsia"/>
          <w:snapToGrid/>
          <w:lang w:val="zh-CN"/>
        </w:rPr>
        <w:t>可以在另一适当岗位做全时工作。有剩余工作能力的被保险人有权被安排到另一</w:t>
      </w:r>
      <w:r>
        <w:rPr>
          <w:rFonts w:hint="eastAsia"/>
          <w:snapToGrid/>
          <w:lang w:val="zh-CN"/>
        </w:rPr>
        <w:t>适当工作岗位</w:t>
      </w:r>
      <w:r>
        <w:rPr>
          <w:rFonts w:hint="eastAsia"/>
          <w:snapToGrid/>
        </w:rPr>
        <w:t>，享受</w:t>
      </w:r>
      <w:r>
        <w:rPr>
          <w:rFonts w:hint="eastAsia"/>
          <w:snapToGrid/>
          <w:lang w:val="zh-CN"/>
        </w:rPr>
        <w:t>适当就业的权利；必要时有权得到再培训或重新培训</w:t>
      </w:r>
      <w:r>
        <w:rPr>
          <w:rFonts w:hint="eastAsia"/>
          <w:snapToGrid/>
        </w:rPr>
        <w:t>，并</w:t>
      </w:r>
      <w:r>
        <w:rPr>
          <w:rFonts w:hint="eastAsia"/>
          <w:snapToGrid/>
          <w:lang w:val="zh-CN"/>
        </w:rPr>
        <w:t>有权得到适当经济补偿，以行使上述权力。经济补偿用于补偿残疾发生后损失的工资收入。</w:t>
      </w:r>
    </w:p>
    <w:p w:rsidR="00000000" w:rsidRDefault="00844A84">
      <w:pPr>
        <w:rPr>
          <w:snapToGrid/>
        </w:rPr>
      </w:pPr>
      <w:r>
        <w:rPr>
          <w:rFonts w:hint="eastAsia"/>
          <w:snapToGrid/>
          <w:lang w:val="zh-CN"/>
        </w:rPr>
        <w:tab/>
        <w:t xml:space="preserve">178.  </w:t>
      </w:r>
      <w:r>
        <w:rPr>
          <w:rFonts w:hint="eastAsia"/>
          <w:snapToGrid/>
          <w:lang w:val="zh-CN"/>
        </w:rPr>
        <w:t>丧失工作能力是指被保险人不再有剩余工作能力，即被保险人完全地、永久性地丧失其从事原有或其他适当工作的能力，且即使通过再培训或重新培训，被保险人仍不能从事其他适当工作。在这种情况下，被保险人享受残疾养恤金权利。</w:t>
      </w:r>
    </w:p>
    <w:p w:rsidR="00000000" w:rsidRDefault="00844A84">
      <w:pPr>
        <w:spacing w:after="320"/>
        <w:rPr>
          <w:snapToGrid/>
        </w:rPr>
      </w:pPr>
      <w:r>
        <w:rPr>
          <w:rFonts w:hint="eastAsia"/>
          <w:snapToGrid/>
          <w:lang w:val="zh-CN"/>
        </w:rPr>
        <w:tab/>
        <w:t xml:space="preserve">179.  </w:t>
      </w:r>
      <w:r>
        <w:rPr>
          <w:rFonts w:hint="eastAsia"/>
          <w:snapToGrid/>
          <w:lang w:val="zh-CN"/>
        </w:rPr>
        <w:t>女性被保险人在残疾养恤金的取得方式、条件和数量上享有与男性被保险人同等的权利。</w:t>
      </w:r>
    </w:p>
    <w:p w:rsidR="00000000" w:rsidRDefault="00844A84">
      <w:pPr>
        <w:pStyle w:val="Heading4"/>
      </w:pPr>
      <w:r>
        <w:rPr>
          <w:rFonts w:hint="eastAsia"/>
          <w:u w:val="none"/>
        </w:rPr>
        <w:tab/>
      </w:r>
      <w:r>
        <w:rPr>
          <w:rFonts w:hint="eastAsia"/>
        </w:rPr>
        <w:t>最低养恤金</w:t>
      </w:r>
    </w:p>
    <w:p w:rsidR="00000000" w:rsidRDefault="00844A84">
      <w:pPr>
        <w:spacing w:after="320"/>
        <w:rPr>
          <w:snapToGrid/>
        </w:rPr>
      </w:pPr>
      <w:r>
        <w:rPr>
          <w:rFonts w:hint="eastAsia"/>
          <w:snapToGrid/>
          <w:lang w:val="zh-CN"/>
        </w:rPr>
        <w:tab/>
        <w:t xml:space="preserve">180.  </w:t>
      </w:r>
      <w:r>
        <w:rPr>
          <w:rFonts w:hint="eastAsia"/>
          <w:snapToGrid/>
          <w:lang w:val="zh-CN"/>
        </w:rPr>
        <w:t>取得老年或残疾养</w:t>
      </w:r>
      <w:r>
        <w:rPr>
          <w:rFonts w:hint="eastAsia"/>
          <w:snapToGrid/>
          <w:lang w:val="zh-CN"/>
        </w:rPr>
        <w:t>恤金权利的被保险人有权领取最低养恤金。共和国境内雇员上年月平均工资是决定最低老年和残疾养恤金的基础。最低老年或残疾养恤金相当于上述养恤金基数的</w:t>
      </w:r>
      <w:r>
        <w:rPr>
          <w:snapToGrid/>
        </w:rPr>
        <w:t>20%</w:t>
      </w:r>
      <w:r>
        <w:rPr>
          <w:rFonts w:hint="eastAsia"/>
          <w:snapToGrid/>
          <w:lang w:val="zh-CN"/>
        </w:rPr>
        <w:t>。</w:t>
      </w:r>
    </w:p>
    <w:p w:rsidR="00000000" w:rsidRDefault="00844A84">
      <w:pPr>
        <w:pStyle w:val="Heading4"/>
      </w:pPr>
      <w:r>
        <w:rPr>
          <w:rFonts w:hint="eastAsia"/>
          <w:u w:val="none"/>
        </w:rPr>
        <w:tab/>
      </w:r>
      <w:r>
        <w:rPr>
          <w:rFonts w:hint="eastAsia"/>
        </w:rPr>
        <w:t>遗属养恤金</w:t>
      </w:r>
    </w:p>
    <w:p w:rsidR="00000000" w:rsidRDefault="00844A84">
      <w:pPr>
        <w:rPr>
          <w:snapToGrid/>
        </w:rPr>
      </w:pPr>
      <w:r>
        <w:rPr>
          <w:rFonts w:hint="eastAsia"/>
          <w:snapToGrid/>
          <w:lang w:val="zh-CN"/>
        </w:rPr>
        <w:tab/>
        <w:t xml:space="preserve">181.  </w:t>
      </w:r>
      <w:r>
        <w:rPr>
          <w:rFonts w:hint="eastAsia"/>
          <w:snapToGrid/>
          <w:lang w:val="zh-CN"/>
        </w:rPr>
        <w:t>符合以下条件的死者</w:t>
      </w:r>
      <w:r>
        <w:rPr>
          <w:rFonts w:hint="eastAsia"/>
          <w:snapToGrid/>
        </w:rPr>
        <w:t>家属</w:t>
      </w:r>
      <w:r>
        <w:rPr>
          <w:rFonts w:hint="eastAsia"/>
          <w:snapToGrid/>
          <w:lang w:val="zh-CN"/>
        </w:rPr>
        <w:t>可领取遗属养恤金</w:t>
      </w:r>
      <w:r>
        <w:rPr>
          <w:rFonts w:hint="eastAsia"/>
          <w:snapToGrid/>
        </w:rPr>
        <w:t>：</w:t>
      </w:r>
    </w:p>
    <w:p w:rsidR="00000000" w:rsidRDefault="00844A84">
      <w:pPr>
        <w:numPr>
          <w:ilvl w:val="0"/>
          <w:numId w:val="520"/>
        </w:numPr>
        <w:tabs>
          <w:tab w:val="clear" w:pos="1531"/>
        </w:tabs>
        <w:rPr>
          <w:rFonts w:hint="eastAsia"/>
          <w:snapToGrid/>
          <w:lang w:val="zh-CN"/>
        </w:rPr>
      </w:pPr>
      <w:r>
        <w:rPr>
          <w:rFonts w:hint="eastAsia"/>
          <w:snapToGrid/>
          <w:lang w:val="zh-CN"/>
        </w:rPr>
        <w:t>被保险人身故</w:t>
      </w:r>
      <w:r>
        <w:rPr>
          <w:rFonts w:hint="eastAsia"/>
          <w:snapToGrid/>
        </w:rPr>
        <w:t>，但</w:t>
      </w:r>
      <w:r>
        <w:rPr>
          <w:rFonts w:hint="eastAsia"/>
          <w:snapToGrid/>
          <w:lang w:val="zh-CN"/>
        </w:rPr>
        <w:t>被保险人投保工龄至少五年</w:t>
      </w:r>
      <w:r>
        <w:rPr>
          <w:rFonts w:hint="eastAsia"/>
          <w:snapToGrid/>
        </w:rPr>
        <w:t>，</w:t>
      </w:r>
      <w:r>
        <w:rPr>
          <w:rFonts w:hint="eastAsia"/>
          <w:snapToGrid/>
          <w:lang w:val="zh-CN"/>
        </w:rPr>
        <w:t>或应计养恤金工龄至少十年</w:t>
      </w:r>
      <w:r>
        <w:rPr>
          <w:rFonts w:hint="eastAsia"/>
          <w:snapToGrid/>
        </w:rPr>
        <w:t>，</w:t>
      </w:r>
      <w:r>
        <w:rPr>
          <w:rFonts w:hint="eastAsia"/>
          <w:snapToGrid/>
          <w:lang w:val="zh-CN"/>
        </w:rPr>
        <w:t>或符合享受老年或残疾养恤金的条件</w:t>
      </w:r>
      <w:r>
        <w:rPr>
          <w:rFonts w:hint="eastAsia"/>
          <w:snapToGrid/>
        </w:rPr>
        <w:t>；</w:t>
      </w:r>
      <w:r>
        <w:rPr>
          <w:rFonts w:hint="eastAsia"/>
          <w:snapToGrid/>
          <w:lang w:val="zh-CN"/>
        </w:rPr>
        <w:t>或者</w:t>
      </w:r>
    </w:p>
    <w:p w:rsidR="00000000" w:rsidRDefault="00844A84">
      <w:pPr>
        <w:numPr>
          <w:ilvl w:val="0"/>
          <w:numId w:val="520"/>
        </w:numPr>
        <w:tabs>
          <w:tab w:val="clear" w:pos="1531"/>
        </w:tabs>
        <w:rPr>
          <w:snapToGrid/>
        </w:rPr>
      </w:pPr>
      <w:r>
        <w:rPr>
          <w:rFonts w:hint="eastAsia"/>
          <w:snapToGrid/>
          <w:lang w:val="zh-CN"/>
        </w:rPr>
        <w:t>老年或残疾养恤金受益人身故；</w:t>
      </w:r>
      <w:r>
        <w:rPr>
          <w:rFonts w:hint="eastAsia"/>
          <w:snapToGrid/>
        </w:rPr>
        <w:t>或有</w:t>
      </w:r>
      <w:r>
        <w:rPr>
          <w:rFonts w:hint="eastAsia"/>
          <w:snapToGrid/>
          <w:lang w:val="zh-CN"/>
        </w:rPr>
        <w:t>剩余工作能力、享受残疾者权利的人身故。</w:t>
      </w:r>
    </w:p>
    <w:p w:rsidR="00000000" w:rsidRDefault="00844A84">
      <w:pPr>
        <w:rPr>
          <w:snapToGrid/>
        </w:rPr>
      </w:pPr>
      <w:r>
        <w:rPr>
          <w:rFonts w:hint="eastAsia"/>
          <w:snapToGrid/>
          <w:lang w:val="zh-CN"/>
        </w:rPr>
        <w:tab/>
        <w:t xml:space="preserve">182.  </w:t>
      </w:r>
      <w:r>
        <w:rPr>
          <w:rFonts w:hint="eastAsia"/>
          <w:snapToGrid/>
          <w:lang w:val="zh-CN"/>
        </w:rPr>
        <w:t>被保险人由于工伤、职业病身故</w:t>
      </w:r>
      <w:r>
        <w:rPr>
          <w:rFonts w:hint="eastAsia"/>
          <w:snapToGrid/>
        </w:rPr>
        <w:t>，</w:t>
      </w:r>
      <w:r>
        <w:rPr>
          <w:rFonts w:hint="eastAsia"/>
          <w:snapToGrid/>
          <w:lang w:val="zh-CN"/>
        </w:rPr>
        <w:t>其家属有权得到遗属养恤金</w:t>
      </w:r>
      <w:r>
        <w:rPr>
          <w:rFonts w:hint="eastAsia"/>
          <w:snapToGrid/>
        </w:rPr>
        <w:t>，</w:t>
      </w:r>
      <w:r>
        <w:rPr>
          <w:rFonts w:hint="eastAsia"/>
          <w:snapToGrid/>
          <w:lang w:val="zh-CN"/>
        </w:rPr>
        <w:t>而无论被保险人应计养恤金工龄长短。</w:t>
      </w:r>
    </w:p>
    <w:p w:rsidR="00000000" w:rsidRDefault="00844A84">
      <w:pPr>
        <w:rPr>
          <w:snapToGrid/>
        </w:rPr>
      </w:pPr>
      <w:r>
        <w:rPr>
          <w:rFonts w:hint="eastAsia"/>
          <w:snapToGrid/>
          <w:lang w:val="zh-CN"/>
        </w:rPr>
        <w:tab/>
        <w:t>1</w:t>
      </w:r>
      <w:r>
        <w:rPr>
          <w:rFonts w:hint="eastAsia"/>
          <w:snapToGrid/>
          <w:lang w:val="zh-CN"/>
        </w:rPr>
        <w:t xml:space="preserve">83.  </w:t>
      </w:r>
      <w:r>
        <w:rPr>
          <w:rFonts w:hint="eastAsia"/>
          <w:snapToGrid/>
          <w:lang w:val="zh-CN"/>
        </w:rPr>
        <w:t>身故被保险人的家属是指</w:t>
      </w:r>
      <w:r>
        <w:rPr>
          <w:rFonts w:hint="eastAsia"/>
          <w:snapToGrid/>
        </w:rPr>
        <w:t>：</w:t>
      </w:r>
    </w:p>
    <w:p w:rsidR="00000000" w:rsidRDefault="00844A84">
      <w:pPr>
        <w:numPr>
          <w:ilvl w:val="0"/>
          <w:numId w:val="521"/>
        </w:numPr>
        <w:tabs>
          <w:tab w:val="clear" w:pos="1531"/>
        </w:tabs>
        <w:rPr>
          <w:snapToGrid/>
        </w:rPr>
      </w:pPr>
      <w:r>
        <w:rPr>
          <w:rFonts w:hint="eastAsia"/>
          <w:snapToGrid/>
        </w:rPr>
        <w:t>配偶；</w:t>
      </w:r>
    </w:p>
    <w:p w:rsidR="00000000" w:rsidRDefault="00844A84">
      <w:pPr>
        <w:numPr>
          <w:ilvl w:val="0"/>
          <w:numId w:val="521"/>
        </w:numPr>
        <w:tabs>
          <w:tab w:val="clear" w:pos="1531"/>
        </w:tabs>
        <w:rPr>
          <w:snapToGrid/>
        </w:rPr>
      </w:pPr>
      <w:r>
        <w:rPr>
          <w:rFonts w:hint="eastAsia"/>
          <w:snapToGrid/>
          <w:szCs w:val="24"/>
        </w:rPr>
        <w:t>子女</w:t>
      </w:r>
      <w:r>
        <w:rPr>
          <w:rFonts w:hint="eastAsia"/>
          <w:snapToGrid/>
          <w:szCs w:val="24"/>
        </w:rPr>
        <w:t>(</w:t>
      </w:r>
      <w:r>
        <w:rPr>
          <w:rFonts w:hint="eastAsia"/>
          <w:snapToGrid/>
          <w:szCs w:val="24"/>
          <w:lang w:val="zh-CN"/>
        </w:rPr>
        <w:t>婚生、非婚生或收养子女</w:t>
      </w:r>
      <w:r>
        <w:rPr>
          <w:rFonts w:hint="eastAsia"/>
          <w:snapToGrid/>
          <w:szCs w:val="24"/>
        </w:rPr>
        <w:t>；</w:t>
      </w:r>
      <w:r>
        <w:rPr>
          <w:rFonts w:hint="eastAsia"/>
          <w:snapToGrid/>
          <w:szCs w:val="24"/>
          <w:lang w:val="zh-CN"/>
        </w:rPr>
        <w:t>被保险人或权利享受人抚养的继子女</w:t>
      </w:r>
      <w:r>
        <w:rPr>
          <w:rFonts w:hint="eastAsia"/>
          <w:snapToGrid/>
          <w:szCs w:val="24"/>
        </w:rPr>
        <w:t>；</w:t>
      </w:r>
      <w:r>
        <w:rPr>
          <w:rFonts w:hint="eastAsia"/>
          <w:snapToGrid/>
          <w:szCs w:val="24"/>
          <w:lang w:val="zh-CN"/>
        </w:rPr>
        <w:t>被保险人或权利享受人抚养的孙子、孙女、外孙、外孙女、兄弟姐妹、其他无父母的儿童或父母一方或双方丧失工作能力的儿童</w:t>
      </w:r>
      <w:r>
        <w:rPr>
          <w:rFonts w:hint="eastAsia"/>
          <w:snapToGrid/>
          <w:szCs w:val="24"/>
        </w:rPr>
        <w:t>)</w:t>
      </w:r>
      <w:r>
        <w:rPr>
          <w:rFonts w:hint="eastAsia"/>
          <w:snapToGrid/>
          <w:szCs w:val="24"/>
          <w:lang w:val="zh-CN"/>
        </w:rPr>
        <w:t>；</w:t>
      </w:r>
    </w:p>
    <w:p w:rsidR="00000000" w:rsidRDefault="00844A84">
      <w:pPr>
        <w:numPr>
          <w:ilvl w:val="0"/>
          <w:numId w:val="521"/>
        </w:numPr>
        <w:tabs>
          <w:tab w:val="clear" w:pos="1531"/>
        </w:tabs>
        <w:rPr>
          <w:snapToGrid/>
        </w:rPr>
      </w:pPr>
      <w:r>
        <w:rPr>
          <w:rFonts w:hint="eastAsia"/>
          <w:snapToGrid/>
          <w:szCs w:val="24"/>
          <w:lang w:val="zh-CN"/>
        </w:rPr>
        <w:t>父母</w:t>
      </w:r>
      <w:r>
        <w:rPr>
          <w:rFonts w:hint="eastAsia"/>
          <w:snapToGrid/>
          <w:szCs w:val="24"/>
        </w:rPr>
        <w:t>(</w:t>
      </w:r>
      <w:r>
        <w:rPr>
          <w:rFonts w:hint="eastAsia"/>
          <w:snapToGrid/>
          <w:szCs w:val="24"/>
          <w:lang w:val="zh-CN"/>
        </w:rPr>
        <w:t>被保险人或权益人赡养的父母、继父母、养父母</w:t>
      </w:r>
      <w:r>
        <w:rPr>
          <w:rFonts w:hint="eastAsia"/>
          <w:snapToGrid/>
          <w:szCs w:val="24"/>
        </w:rPr>
        <w:t>)</w:t>
      </w:r>
      <w:r>
        <w:rPr>
          <w:rFonts w:hint="eastAsia"/>
          <w:snapToGrid/>
          <w:szCs w:val="24"/>
          <w:lang w:val="zh-CN"/>
        </w:rPr>
        <w:t>。</w:t>
      </w:r>
    </w:p>
    <w:p w:rsidR="00000000" w:rsidRDefault="00844A84">
      <w:pPr>
        <w:rPr>
          <w:snapToGrid/>
        </w:rPr>
      </w:pPr>
      <w:r>
        <w:rPr>
          <w:rFonts w:hint="eastAsia"/>
          <w:snapToGrid/>
          <w:lang w:val="zh-CN"/>
        </w:rPr>
        <w:tab/>
        <w:t xml:space="preserve">184.  </w:t>
      </w:r>
      <w:r>
        <w:rPr>
          <w:rFonts w:hint="eastAsia"/>
          <w:snapToGrid/>
          <w:lang w:val="zh-CN"/>
        </w:rPr>
        <w:t>法院决定其享受扶养权的</w:t>
      </w:r>
      <w:r>
        <w:rPr>
          <w:rFonts w:hint="eastAsia"/>
          <w:snapToGrid/>
        </w:rPr>
        <w:t>，</w:t>
      </w:r>
      <w:r>
        <w:rPr>
          <w:rFonts w:hint="eastAsia"/>
          <w:snapToGrid/>
          <w:lang w:val="zh-CN"/>
        </w:rPr>
        <w:t>婚姻解体后的配偶有权领取遗属养恤金。</w:t>
      </w:r>
    </w:p>
    <w:p w:rsidR="00000000" w:rsidRDefault="00844A84">
      <w:pPr>
        <w:rPr>
          <w:snapToGrid/>
        </w:rPr>
      </w:pPr>
      <w:r>
        <w:rPr>
          <w:rFonts w:hint="eastAsia"/>
          <w:snapToGrid/>
          <w:lang w:val="zh-CN"/>
        </w:rPr>
        <w:tab/>
        <w:t xml:space="preserve">185.  </w:t>
      </w:r>
      <w:r>
        <w:rPr>
          <w:rFonts w:hint="eastAsia"/>
          <w:snapToGrid/>
          <w:lang w:val="zh-CN"/>
        </w:rPr>
        <w:t>遗属养恤金数量根据被保险人身故时本应享受的老年和残疾养恤金数量决定。如果养恤金仅属于直系亲属</w:t>
      </w:r>
      <w:r>
        <w:rPr>
          <w:rFonts w:hint="eastAsia"/>
          <w:snapToGrid/>
        </w:rPr>
        <w:t>(</w:t>
      </w:r>
      <w:r>
        <w:rPr>
          <w:rFonts w:hint="eastAsia"/>
          <w:snapToGrid/>
          <w:lang w:val="zh-CN"/>
        </w:rPr>
        <w:t>配偶、婚生或非婚生子女、养子女、继子女、孙子、孙</w:t>
      </w:r>
      <w:r>
        <w:rPr>
          <w:rFonts w:hint="eastAsia"/>
          <w:snapToGrid/>
          <w:lang w:val="zh-CN"/>
        </w:rPr>
        <w:t>女、外孙、外孙女</w:t>
      </w:r>
      <w:r>
        <w:rPr>
          <w:rFonts w:hint="eastAsia"/>
          <w:snapToGrid/>
        </w:rPr>
        <w:t>)</w:t>
      </w:r>
      <w:r>
        <w:rPr>
          <w:rFonts w:hint="eastAsia"/>
          <w:snapToGrid/>
        </w:rPr>
        <w:t>，</w:t>
      </w:r>
      <w:r>
        <w:rPr>
          <w:rFonts w:hint="eastAsia"/>
          <w:snapToGrid/>
          <w:lang w:val="zh-CN"/>
        </w:rPr>
        <w:t>或者仅属于身故被保险人或权益人大家庭成员</w:t>
      </w:r>
      <w:r>
        <w:rPr>
          <w:rFonts w:hint="eastAsia"/>
          <w:snapToGrid/>
        </w:rPr>
        <w:t>(</w:t>
      </w:r>
      <w:r>
        <w:rPr>
          <w:rFonts w:hint="eastAsia"/>
          <w:snapToGrid/>
        </w:rPr>
        <w:t>父母，包括</w:t>
      </w:r>
      <w:r>
        <w:rPr>
          <w:rFonts w:hint="eastAsia"/>
          <w:snapToGrid/>
          <w:lang w:val="zh-CN"/>
        </w:rPr>
        <w:t>父母、继父母、养父母</w:t>
      </w:r>
      <w:r>
        <w:rPr>
          <w:rFonts w:hint="eastAsia"/>
          <w:snapToGrid/>
        </w:rPr>
        <w:t>；</w:t>
      </w:r>
      <w:r>
        <w:rPr>
          <w:rFonts w:hint="eastAsia"/>
          <w:snapToGrid/>
          <w:lang w:val="zh-CN"/>
        </w:rPr>
        <w:t>兄弟姐妹；和被保险人或权益人抚养的，父母一方或双方丧失工作能力或失去父母的亲戚或儿童</w:t>
      </w:r>
      <w:r>
        <w:rPr>
          <w:snapToGrid/>
        </w:rPr>
        <w:t>)</w:t>
      </w:r>
      <w:r>
        <w:rPr>
          <w:rFonts w:hint="eastAsia"/>
          <w:snapToGrid/>
        </w:rPr>
        <w:t>，</w:t>
      </w:r>
      <w:r>
        <w:rPr>
          <w:rFonts w:hint="eastAsia"/>
          <w:snapToGrid/>
          <w:lang w:val="zh-CN"/>
        </w:rPr>
        <w:t>则按以下比例领取养恤金</w:t>
      </w:r>
      <w:r>
        <w:rPr>
          <w:rFonts w:hint="eastAsia"/>
          <w:snapToGrid/>
        </w:rPr>
        <w:t>：</w:t>
      </w:r>
    </w:p>
    <w:p w:rsidR="00000000" w:rsidRDefault="00844A84">
      <w:pPr>
        <w:pStyle w:val="a0"/>
        <w:ind w:left="1530"/>
        <w:rPr>
          <w:snapToGrid/>
        </w:rPr>
      </w:pPr>
      <w:r>
        <w:rPr>
          <w:rFonts w:hint="eastAsia"/>
          <w:snapToGrid/>
          <w:lang w:val="zh-CN"/>
        </w:rPr>
        <w:t>一名家庭成员为</w:t>
      </w:r>
      <w:r>
        <w:rPr>
          <w:snapToGrid/>
        </w:rPr>
        <w:t>70%</w:t>
      </w:r>
      <w:r>
        <w:rPr>
          <w:rFonts w:hint="eastAsia"/>
          <w:snapToGrid/>
        </w:rPr>
        <w:t>；</w:t>
      </w:r>
    </w:p>
    <w:p w:rsidR="00000000" w:rsidRDefault="00844A84">
      <w:pPr>
        <w:pStyle w:val="a0"/>
        <w:ind w:left="1530"/>
        <w:rPr>
          <w:snapToGrid/>
        </w:rPr>
      </w:pPr>
      <w:r>
        <w:rPr>
          <w:rFonts w:hint="eastAsia"/>
          <w:snapToGrid/>
          <w:lang w:val="zh-CN"/>
        </w:rPr>
        <w:t>两名家庭成员为</w:t>
      </w:r>
      <w:r>
        <w:rPr>
          <w:snapToGrid/>
        </w:rPr>
        <w:t>80%</w:t>
      </w:r>
      <w:r>
        <w:rPr>
          <w:rFonts w:hint="eastAsia"/>
          <w:snapToGrid/>
        </w:rPr>
        <w:t>；</w:t>
      </w:r>
    </w:p>
    <w:p w:rsidR="00000000" w:rsidRDefault="00844A84">
      <w:pPr>
        <w:pStyle w:val="a0"/>
        <w:ind w:left="1530"/>
        <w:rPr>
          <w:snapToGrid/>
        </w:rPr>
      </w:pPr>
      <w:r>
        <w:rPr>
          <w:rFonts w:hint="eastAsia"/>
          <w:snapToGrid/>
        </w:rPr>
        <w:t>三名家庭成员为</w:t>
      </w:r>
      <w:r>
        <w:rPr>
          <w:rFonts w:hint="eastAsia"/>
          <w:snapToGrid/>
        </w:rPr>
        <w:t>90%</w:t>
      </w:r>
      <w:r>
        <w:rPr>
          <w:rFonts w:hint="eastAsia"/>
          <w:snapToGrid/>
        </w:rPr>
        <w:t>；</w:t>
      </w:r>
    </w:p>
    <w:p w:rsidR="00000000" w:rsidRDefault="00844A84">
      <w:pPr>
        <w:pStyle w:val="a0"/>
        <w:ind w:left="1530"/>
        <w:rPr>
          <w:snapToGrid/>
        </w:rPr>
      </w:pPr>
      <w:r>
        <w:rPr>
          <w:rFonts w:hint="eastAsia"/>
          <w:snapToGrid/>
        </w:rPr>
        <w:t>四名或四名以上家庭成员为</w:t>
      </w:r>
      <w:r>
        <w:rPr>
          <w:rFonts w:hint="eastAsia"/>
          <w:snapToGrid/>
        </w:rPr>
        <w:t>100%</w:t>
      </w:r>
      <w:r>
        <w:rPr>
          <w:rFonts w:hint="eastAsia"/>
          <w:snapToGrid/>
        </w:rPr>
        <w:t>；</w:t>
      </w:r>
    </w:p>
    <w:p w:rsidR="00000000" w:rsidRDefault="00844A84">
      <w:pPr>
        <w:rPr>
          <w:snapToGrid/>
        </w:rPr>
      </w:pPr>
      <w:r>
        <w:rPr>
          <w:rFonts w:hint="eastAsia"/>
          <w:snapToGrid/>
          <w:lang w:val="zh-CN"/>
        </w:rPr>
        <w:tab/>
        <w:t xml:space="preserve">186.  </w:t>
      </w:r>
      <w:r>
        <w:rPr>
          <w:rFonts w:hint="eastAsia"/>
          <w:snapToGrid/>
          <w:lang w:val="zh-CN"/>
        </w:rPr>
        <w:t>遗属养恤金被三个或三个以上家庭成员分享</w:t>
      </w:r>
      <w:r>
        <w:rPr>
          <w:rFonts w:hint="eastAsia"/>
          <w:snapToGrid/>
        </w:rPr>
        <w:t>，</w:t>
      </w:r>
      <w:r>
        <w:rPr>
          <w:rFonts w:hint="eastAsia"/>
          <w:snapToGrid/>
          <w:lang w:val="zh-CN"/>
        </w:rPr>
        <w:t>或被失去双亲的儿童分享的</w:t>
      </w:r>
      <w:r>
        <w:rPr>
          <w:rFonts w:hint="eastAsia"/>
          <w:snapToGrid/>
        </w:rPr>
        <w:t>，</w:t>
      </w:r>
      <w:r>
        <w:rPr>
          <w:rFonts w:hint="eastAsia"/>
          <w:snapToGrid/>
          <w:lang w:val="zh-CN"/>
        </w:rPr>
        <w:t>不得低于身故被保险人或权益人养恤金基数的</w:t>
      </w:r>
      <w:r>
        <w:rPr>
          <w:snapToGrid/>
        </w:rPr>
        <w:t>40%</w:t>
      </w:r>
      <w:r>
        <w:rPr>
          <w:rFonts w:hint="eastAsia"/>
          <w:snapToGrid/>
          <w:lang w:val="zh-CN"/>
        </w:rPr>
        <w:t>。</w:t>
      </w:r>
    </w:p>
    <w:p w:rsidR="00000000" w:rsidRDefault="00844A84">
      <w:pPr>
        <w:spacing w:after="320"/>
        <w:rPr>
          <w:snapToGrid/>
        </w:rPr>
      </w:pPr>
      <w:r>
        <w:rPr>
          <w:rFonts w:hint="eastAsia"/>
          <w:snapToGrid/>
          <w:lang w:val="zh-CN"/>
        </w:rPr>
        <w:tab/>
        <w:t xml:space="preserve">187.  </w:t>
      </w:r>
      <w:r>
        <w:rPr>
          <w:rFonts w:hint="eastAsia"/>
          <w:snapToGrid/>
          <w:lang w:val="zh-CN"/>
        </w:rPr>
        <w:t>除了父母一方的遗属养恤金外</w:t>
      </w:r>
      <w:r>
        <w:rPr>
          <w:rFonts w:hint="eastAsia"/>
          <w:snapToGrid/>
        </w:rPr>
        <w:t>，</w:t>
      </w:r>
      <w:r>
        <w:rPr>
          <w:rFonts w:hint="eastAsia"/>
          <w:snapToGrid/>
          <w:lang w:val="zh-CN"/>
        </w:rPr>
        <w:t>失去双亲的儿童有权按以下</w:t>
      </w:r>
      <w:r>
        <w:rPr>
          <w:rFonts w:hint="eastAsia"/>
          <w:snapToGrid/>
          <w:lang w:val="zh-CN"/>
        </w:rPr>
        <w:t>比例领取父母另一方的遗属养恤金</w:t>
      </w:r>
      <w:r>
        <w:rPr>
          <w:rFonts w:hint="eastAsia"/>
          <w:snapToGrid/>
        </w:rPr>
        <w:t>：</w:t>
      </w:r>
      <w:r>
        <w:rPr>
          <w:rFonts w:hint="eastAsia"/>
          <w:snapToGrid/>
          <w:lang w:val="zh-CN"/>
        </w:rPr>
        <w:t>一个孩子的</w:t>
      </w:r>
      <w:r>
        <w:rPr>
          <w:rFonts w:hint="eastAsia"/>
          <w:snapToGrid/>
        </w:rPr>
        <w:t>，</w:t>
      </w:r>
      <w:r>
        <w:rPr>
          <w:rFonts w:hint="eastAsia"/>
          <w:snapToGrid/>
          <w:lang w:val="zh-CN"/>
        </w:rPr>
        <w:t>领取老年或残疾养恤金的</w:t>
      </w:r>
      <w:r>
        <w:rPr>
          <w:snapToGrid/>
        </w:rPr>
        <w:t>20%</w:t>
      </w:r>
      <w:r>
        <w:rPr>
          <w:snapToGrid/>
        </w:rPr>
        <w:t>；</w:t>
      </w:r>
      <w:r>
        <w:rPr>
          <w:rFonts w:hint="eastAsia"/>
          <w:snapToGrid/>
          <w:lang w:val="zh-CN"/>
        </w:rPr>
        <w:t>两个孩子的</w:t>
      </w:r>
      <w:r>
        <w:rPr>
          <w:rFonts w:hint="eastAsia"/>
          <w:snapToGrid/>
        </w:rPr>
        <w:t>，</w:t>
      </w:r>
      <w:r>
        <w:rPr>
          <w:rFonts w:hint="eastAsia"/>
          <w:snapToGrid/>
          <w:lang w:val="zh-CN"/>
        </w:rPr>
        <w:t>领取</w:t>
      </w:r>
      <w:r>
        <w:rPr>
          <w:snapToGrid/>
        </w:rPr>
        <w:t>40%</w:t>
      </w:r>
      <w:r>
        <w:rPr>
          <w:snapToGrid/>
        </w:rPr>
        <w:t>；</w:t>
      </w:r>
      <w:r>
        <w:rPr>
          <w:rFonts w:hint="eastAsia"/>
          <w:snapToGrid/>
          <w:lang w:val="zh-CN"/>
        </w:rPr>
        <w:t>三个孩子的</w:t>
      </w:r>
      <w:r>
        <w:rPr>
          <w:rFonts w:hint="eastAsia"/>
          <w:snapToGrid/>
        </w:rPr>
        <w:t>，</w:t>
      </w:r>
      <w:r>
        <w:rPr>
          <w:rFonts w:hint="eastAsia"/>
          <w:snapToGrid/>
          <w:lang w:val="zh-CN"/>
        </w:rPr>
        <w:t>领取</w:t>
      </w:r>
      <w:r>
        <w:rPr>
          <w:snapToGrid/>
        </w:rPr>
        <w:t>60%</w:t>
      </w:r>
      <w:r>
        <w:rPr>
          <w:rFonts w:hint="eastAsia"/>
          <w:snapToGrid/>
        </w:rPr>
        <w:t>；</w:t>
      </w:r>
      <w:r>
        <w:rPr>
          <w:rFonts w:hint="eastAsia"/>
          <w:snapToGrid/>
          <w:lang w:val="zh-CN"/>
        </w:rPr>
        <w:t>四个或四个以上孩子的</w:t>
      </w:r>
      <w:r>
        <w:rPr>
          <w:rFonts w:hint="eastAsia"/>
          <w:snapToGrid/>
        </w:rPr>
        <w:t>，</w:t>
      </w:r>
      <w:r>
        <w:rPr>
          <w:rFonts w:hint="eastAsia"/>
          <w:snapToGrid/>
          <w:lang w:val="zh-CN"/>
        </w:rPr>
        <w:t>领取</w:t>
      </w:r>
      <w:r>
        <w:rPr>
          <w:snapToGrid/>
        </w:rPr>
        <w:t>100%</w:t>
      </w:r>
      <w:r>
        <w:rPr>
          <w:rFonts w:hint="eastAsia"/>
          <w:snapToGrid/>
          <w:lang w:val="zh-CN"/>
        </w:rPr>
        <w:t>。</w:t>
      </w:r>
    </w:p>
    <w:p w:rsidR="00000000" w:rsidRDefault="00844A84">
      <w:pPr>
        <w:pStyle w:val="Heading4"/>
      </w:pPr>
      <w:r>
        <w:rPr>
          <w:rFonts w:hint="eastAsia"/>
          <w:u w:val="none"/>
          <w:lang w:val="zh-CN"/>
        </w:rPr>
        <w:tab/>
      </w:r>
      <w:r>
        <w:rPr>
          <w:rFonts w:hint="eastAsia"/>
          <w:lang w:val="zh-CN"/>
        </w:rPr>
        <w:t>身体伤害的金钱赔偿</w:t>
      </w:r>
    </w:p>
    <w:p w:rsidR="00000000" w:rsidRDefault="00844A84">
      <w:pPr>
        <w:rPr>
          <w:snapToGrid/>
        </w:rPr>
      </w:pPr>
      <w:r>
        <w:rPr>
          <w:rFonts w:hint="eastAsia"/>
          <w:snapToGrid/>
          <w:lang w:val="zh-CN"/>
        </w:rPr>
        <w:tab/>
        <w:t xml:space="preserve">188.  </w:t>
      </w:r>
      <w:r>
        <w:rPr>
          <w:rFonts w:hint="eastAsia"/>
          <w:snapToGrid/>
          <w:lang w:val="zh-CN"/>
        </w:rPr>
        <w:t>身体伤害是指被保险人身体某些器官或肢体丧失、遭受严重损害或失去功能</w:t>
      </w:r>
      <w:r>
        <w:rPr>
          <w:rFonts w:hint="eastAsia"/>
          <w:snapToGrid/>
        </w:rPr>
        <w:t>，</w:t>
      </w:r>
      <w:r>
        <w:rPr>
          <w:rFonts w:hint="eastAsia"/>
          <w:snapToGrid/>
          <w:lang w:val="zh-CN"/>
        </w:rPr>
        <w:t>影响身体正常活动</w:t>
      </w:r>
      <w:r>
        <w:rPr>
          <w:rFonts w:hint="eastAsia"/>
          <w:snapToGrid/>
        </w:rPr>
        <w:t>，</w:t>
      </w:r>
      <w:r>
        <w:rPr>
          <w:rFonts w:hint="eastAsia"/>
          <w:snapToGrid/>
          <w:lang w:val="zh-CN"/>
        </w:rPr>
        <w:t>需要更大努力才能料理生活</w:t>
      </w:r>
      <w:r>
        <w:rPr>
          <w:rFonts w:hint="eastAsia"/>
          <w:snapToGrid/>
        </w:rPr>
        <w:t>，</w:t>
      </w:r>
      <w:r>
        <w:rPr>
          <w:rFonts w:hint="eastAsia"/>
          <w:snapToGrid/>
          <w:lang w:val="zh-CN"/>
        </w:rPr>
        <w:t>不论是否引起残疾。被保险人因工或因职业病造成身体伤害达到</w:t>
      </w:r>
      <w:r>
        <w:rPr>
          <w:rFonts w:hint="eastAsia"/>
          <w:snapToGrid/>
          <w:lang w:val="zh-CN"/>
        </w:rPr>
        <w:t>30%</w:t>
      </w:r>
      <w:r>
        <w:rPr>
          <w:rFonts w:hint="eastAsia"/>
          <w:snapToGrid/>
          <w:lang w:val="zh-CN"/>
        </w:rPr>
        <w:t>以上的</w:t>
      </w:r>
      <w:r>
        <w:rPr>
          <w:rFonts w:hint="eastAsia"/>
          <w:snapToGrid/>
        </w:rPr>
        <w:t>，</w:t>
      </w:r>
      <w:r>
        <w:rPr>
          <w:rFonts w:hint="eastAsia"/>
          <w:snapToGrid/>
          <w:lang w:val="zh-CN"/>
        </w:rPr>
        <w:t>有权得到金钱补偿。</w:t>
      </w:r>
    </w:p>
    <w:p w:rsidR="00000000" w:rsidRDefault="00844A84">
      <w:pPr>
        <w:rPr>
          <w:rFonts w:hint="eastAsia"/>
          <w:snapToGrid/>
        </w:rPr>
      </w:pPr>
      <w:r>
        <w:rPr>
          <w:rFonts w:hint="eastAsia"/>
          <w:snapToGrid/>
          <w:lang w:val="zh-CN"/>
        </w:rPr>
        <w:tab/>
        <w:t xml:space="preserve">189.  </w:t>
      </w:r>
      <w:r>
        <w:rPr>
          <w:rFonts w:hint="eastAsia"/>
          <w:snapToGrid/>
          <w:lang w:val="zh-CN"/>
        </w:rPr>
        <w:t>身体伤害补偿数量根据上年共和国境内雇员月平均工资及身体伤害程度和有关法律确定。</w:t>
      </w:r>
    </w:p>
    <w:p w:rsidR="00000000" w:rsidRDefault="00844A84">
      <w:pPr>
        <w:spacing w:after="240"/>
        <w:rPr>
          <w:snapToGrid/>
        </w:rPr>
      </w:pPr>
      <w:r>
        <w:rPr>
          <w:rFonts w:hint="eastAsia"/>
          <w:snapToGrid/>
        </w:rPr>
        <w:tab/>
        <w:t xml:space="preserve">190.  </w:t>
      </w:r>
      <w:r>
        <w:rPr>
          <w:rFonts w:hint="eastAsia"/>
          <w:snapToGrid/>
        </w:rPr>
        <w:t>身体伤</w:t>
      </w:r>
      <w:r>
        <w:rPr>
          <w:rFonts w:hint="eastAsia"/>
          <w:snapToGrid/>
        </w:rPr>
        <w:t>害及其程度由联邦主管机构决定。</w:t>
      </w:r>
    </w:p>
    <w:p w:rsidR="00000000" w:rsidRDefault="00844A84">
      <w:pPr>
        <w:pStyle w:val="Heading4"/>
        <w:spacing w:after="160"/>
      </w:pPr>
      <w:r>
        <w:rPr>
          <w:rFonts w:hint="eastAsia"/>
          <w:u w:val="none"/>
        </w:rPr>
        <w:t xml:space="preserve">(e)  </w:t>
      </w:r>
      <w:r>
        <w:rPr>
          <w:rFonts w:hint="eastAsia"/>
          <w:lang w:val="zh-CN"/>
        </w:rPr>
        <w:t>社会保护的改革</w:t>
      </w:r>
    </w:p>
    <w:p w:rsidR="00000000" w:rsidRDefault="00844A84">
      <w:pPr>
        <w:pStyle w:val="Heading4"/>
        <w:spacing w:after="160"/>
      </w:pPr>
      <w:r>
        <w:rPr>
          <w:rFonts w:hint="eastAsia"/>
          <w:u w:val="none"/>
          <w:lang w:val="zh-CN"/>
        </w:rPr>
        <w:tab/>
      </w:r>
      <w:r>
        <w:rPr>
          <w:rFonts w:hint="eastAsia"/>
          <w:lang w:val="zh-CN"/>
        </w:rPr>
        <w:t>制定社会政策的长期战略</w:t>
      </w:r>
    </w:p>
    <w:p w:rsidR="00000000" w:rsidRDefault="00844A84">
      <w:pPr>
        <w:rPr>
          <w:snapToGrid/>
        </w:rPr>
      </w:pPr>
      <w:r>
        <w:rPr>
          <w:rFonts w:hint="eastAsia"/>
          <w:snapToGrid/>
          <w:lang w:val="zh-CN"/>
        </w:rPr>
        <w:tab/>
        <w:t xml:space="preserve">191.  </w:t>
      </w:r>
      <w:r>
        <w:rPr>
          <w:rFonts w:hint="eastAsia"/>
          <w:snapToGrid/>
          <w:lang w:val="zh-CN"/>
        </w:rPr>
        <w:t>塞尔维亚共和国社会保护改革始于</w:t>
      </w:r>
      <w:r>
        <w:rPr>
          <w:snapToGrid/>
        </w:rPr>
        <w:t>2000</w:t>
      </w:r>
      <w:r>
        <w:rPr>
          <w:rFonts w:hint="eastAsia"/>
          <w:snapToGrid/>
          <w:lang w:val="zh-CN"/>
        </w:rPr>
        <w:t>年变革之后。在改革之前，已制定社会政策长期战略，并确定以下社会政策目标：</w:t>
      </w:r>
      <w:r>
        <w:rPr>
          <w:rFonts w:hint="eastAsia"/>
          <w:snapToGrid/>
          <w:lang w:val="zh-CN"/>
        </w:rPr>
        <w:t xml:space="preserve">(a) </w:t>
      </w:r>
      <w:r>
        <w:rPr>
          <w:rFonts w:hint="eastAsia"/>
          <w:snapToGrid/>
          <w:lang w:val="zh-CN"/>
        </w:rPr>
        <w:t>帮助家庭和个人取得最低社会援助</w:t>
      </w:r>
      <w:r>
        <w:rPr>
          <w:snapToGrid/>
        </w:rPr>
        <w:t>/</w:t>
      </w:r>
      <w:r>
        <w:rPr>
          <w:rFonts w:hint="eastAsia"/>
          <w:snapToGrid/>
          <w:lang w:val="zh-CN"/>
        </w:rPr>
        <w:t>保障</w:t>
      </w:r>
      <w:r>
        <w:rPr>
          <w:rFonts w:hint="eastAsia"/>
          <w:snapToGrid/>
        </w:rPr>
        <w:t>，</w:t>
      </w:r>
      <w:r>
        <w:rPr>
          <w:rFonts w:hint="eastAsia"/>
          <w:snapToGrid/>
          <w:lang w:val="zh-CN"/>
        </w:rPr>
        <w:t>制定减贫机制</w:t>
      </w:r>
      <w:r>
        <w:rPr>
          <w:rFonts w:hint="eastAsia"/>
          <w:snapToGrid/>
        </w:rPr>
        <w:t>(</w:t>
      </w:r>
      <w:r>
        <w:rPr>
          <w:rFonts w:hint="eastAsia"/>
          <w:snapToGrid/>
          <w:lang w:val="zh-CN"/>
        </w:rPr>
        <w:t>与减贫战略相联系</w:t>
      </w:r>
      <w:r>
        <w:rPr>
          <w:rFonts w:hint="eastAsia"/>
          <w:snapToGrid/>
        </w:rPr>
        <w:t>)</w:t>
      </w:r>
      <w:r>
        <w:rPr>
          <w:rFonts w:hint="eastAsia"/>
          <w:snapToGrid/>
        </w:rPr>
        <w:t>；</w:t>
      </w:r>
      <w:r>
        <w:rPr>
          <w:rFonts w:hint="eastAsia"/>
          <w:snapToGrid/>
        </w:rPr>
        <w:t xml:space="preserve">(b) </w:t>
      </w:r>
      <w:r>
        <w:rPr>
          <w:rFonts w:hint="eastAsia"/>
          <w:snapToGrid/>
          <w:lang w:val="zh-CN"/>
        </w:rPr>
        <w:t>为有子女的脆弱家庭和边缘化群体制定提供其他形式社会保护的原则并提供社会保护服务</w:t>
      </w:r>
      <w:r>
        <w:rPr>
          <w:rFonts w:hint="eastAsia"/>
          <w:snapToGrid/>
        </w:rPr>
        <w:t>；</w:t>
      </w:r>
      <w:r>
        <w:rPr>
          <w:rFonts w:hint="eastAsia"/>
          <w:snapToGrid/>
        </w:rPr>
        <w:t xml:space="preserve">(c) </w:t>
      </w:r>
      <w:r>
        <w:rPr>
          <w:rFonts w:hint="eastAsia"/>
          <w:snapToGrid/>
          <w:lang w:val="zh-CN"/>
        </w:rPr>
        <w:t>制定改革养恤金制度的战略。</w:t>
      </w:r>
    </w:p>
    <w:p w:rsidR="00000000" w:rsidRDefault="00844A84">
      <w:pPr>
        <w:spacing w:after="320"/>
        <w:rPr>
          <w:snapToGrid/>
        </w:rPr>
      </w:pPr>
      <w:r>
        <w:rPr>
          <w:rFonts w:hint="eastAsia"/>
          <w:snapToGrid/>
          <w:lang w:val="zh-CN"/>
        </w:rPr>
        <w:tab/>
        <w:t xml:space="preserve">192.  </w:t>
      </w:r>
      <w:r>
        <w:rPr>
          <w:rFonts w:hint="eastAsia"/>
          <w:snapToGrid/>
          <w:lang w:val="zh-CN"/>
        </w:rPr>
        <w:t>为保障社会保护和服务方面的权利</w:t>
      </w:r>
      <w:r>
        <w:rPr>
          <w:rFonts w:hint="eastAsia"/>
          <w:snapToGrid/>
        </w:rPr>
        <w:t>，</w:t>
      </w:r>
      <w:r>
        <w:rPr>
          <w:rFonts w:hint="eastAsia"/>
          <w:snapToGrid/>
          <w:lang w:val="zh-CN"/>
        </w:rPr>
        <w:t>目前正在努力建立机制</w:t>
      </w:r>
      <w:r>
        <w:rPr>
          <w:rFonts w:hint="eastAsia"/>
          <w:snapToGrid/>
        </w:rPr>
        <w:t>，</w:t>
      </w:r>
      <w:r>
        <w:rPr>
          <w:rFonts w:hint="eastAsia"/>
          <w:snapToGrid/>
          <w:lang w:val="zh-CN"/>
        </w:rPr>
        <w:t>实施权力下放、转型和机构改革、推</w:t>
      </w:r>
      <w:r>
        <w:rPr>
          <w:rFonts w:hint="eastAsia"/>
          <w:snapToGrid/>
          <w:lang w:val="zh-CN"/>
        </w:rPr>
        <w:t>广好的做法。同样</w:t>
      </w:r>
      <w:r>
        <w:rPr>
          <w:rFonts w:hint="eastAsia"/>
          <w:snapToGrid/>
        </w:rPr>
        <w:t>，</w:t>
      </w:r>
      <w:r>
        <w:rPr>
          <w:rFonts w:hint="eastAsia"/>
          <w:snapToGrid/>
          <w:lang w:val="zh-CN"/>
        </w:rPr>
        <w:t>为了让更多不同的行为主体参与养恤金制度改革</w:t>
      </w:r>
      <w:r>
        <w:rPr>
          <w:rFonts w:hint="eastAsia"/>
          <w:snapToGrid/>
        </w:rPr>
        <w:t>，</w:t>
      </w:r>
      <w:r>
        <w:rPr>
          <w:rFonts w:hint="eastAsia"/>
          <w:snapToGrid/>
          <w:lang w:val="zh-CN"/>
        </w:rPr>
        <w:t>塞尔维亚共和国社会事务部目前正在召集各机构、大学、民间团体、捐助机构献计献策</w:t>
      </w:r>
      <w:r>
        <w:rPr>
          <w:rFonts w:hint="eastAsia"/>
          <w:snapToGrid/>
        </w:rPr>
        <w:t>，</w:t>
      </w:r>
      <w:r>
        <w:rPr>
          <w:rFonts w:hint="eastAsia"/>
          <w:snapToGrid/>
          <w:lang w:val="zh-CN"/>
        </w:rPr>
        <w:t>根据长期战略和社会政策发展目标</w:t>
      </w:r>
      <w:r>
        <w:rPr>
          <w:rFonts w:hint="eastAsia"/>
          <w:snapToGrid/>
        </w:rPr>
        <w:t>，</w:t>
      </w:r>
      <w:r>
        <w:rPr>
          <w:rFonts w:hint="eastAsia"/>
          <w:snapToGrid/>
          <w:lang w:val="zh-CN"/>
        </w:rPr>
        <w:t>参与改革社会保护制度。</w:t>
      </w:r>
    </w:p>
    <w:p w:rsidR="00000000" w:rsidRDefault="00844A84">
      <w:pPr>
        <w:pStyle w:val="Heading4"/>
        <w:spacing w:after="160"/>
      </w:pPr>
      <w:r>
        <w:rPr>
          <w:rFonts w:hint="eastAsia"/>
          <w:u w:val="none"/>
        </w:rPr>
        <w:tab/>
      </w:r>
      <w:r>
        <w:rPr>
          <w:rFonts w:hint="eastAsia"/>
        </w:rPr>
        <w:t>社会保护领域的变革</w:t>
      </w:r>
    </w:p>
    <w:p w:rsidR="00000000" w:rsidRDefault="00844A84">
      <w:pPr>
        <w:spacing w:line="312" w:lineRule="auto"/>
        <w:rPr>
          <w:snapToGrid/>
        </w:rPr>
      </w:pPr>
      <w:r>
        <w:rPr>
          <w:rFonts w:hint="eastAsia"/>
          <w:snapToGrid/>
          <w:lang w:val="zh-CN"/>
        </w:rPr>
        <w:tab/>
        <w:t xml:space="preserve">193.  </w:t>
      </w:r>
      <w:r>
        <w:rPr>
          <w:rFonts w:hint="eastAsia"/>
          <w:snapToGrid/>
          <w:lang w:val="zh-CN"/>
        </w:rPr>
        <w:t>社会保护方面的改革体现在新通过的《向有子女家庭提供经济支持法》</w:t>
      </w:r>
      <w:r>
        <w:rPr>
          <w:rFonts w:hint="eastAsia"/>
          <w:snapToGrid/>
        </w:rPr>
        <w:t>(</w:t>
      </w:r>
      <w:r>
        <w:rPr>
          <w:rFonts w:hint="eastAsia"/>
          <w:snapToGrid/>
          <w:lang w:val="zh-CN"/>
        </w:rPr>
        <w:t>《塞尔维亚共和国政府公报》第</w:t>
      </w:r>
      <w:r>
        <w:rPr>
          <w:snapToGrid/>
        </w:rPr>
        <w:t>16/2002</w:t>
      </w:r>
      <w:r>
        <w:rPr>
          <w:rFonts w:hint="eastAsia"/>
          <w:snapToGrid/>
          <w:lang w:val="zh-CN"/>
        </w:rPr>
        <w:t>号</w:t>
      </w:r>
      <w:r>
        <w:rPr>
          <w:rFonts w:hint="eastAsia"/>
          <w:snapToGrid/>
        </w:rPr>
        <w:t>)</w:t>
      </w:r>
      <w:r>
        <w:rPr>
          <w:rFonts w:hint="eastAsia"/>
          <w:snapToGrid/>
        </w:rPr>
        <w:t>，</w:t>
      </w:r>
      <w:r>
        <w:rPr>
          <w:rFonts w:hint="eastAsia"/>
          <w:snapToGrid/>
          <w:lang w:val="zh-CN"/>
        </w:rPr>
        <w:t>该法带来了以下变化</w:t>
      </w:r>
      <w:r>
        <w:rPr>
          <w:rFonts w:hint="eastAsia"/>
          <w:snapToGrid/>
        </w:rPr>
        <w:t>：</w:t>
      </w:r>
      <w:r>
        <w:rPr>
          <w:rFonts w:hint="eastAsia"/>
          <w:snapToGrid/>
          <w:lang w:val="zh-CN"/>
        </w:rPr>
        <w:t>已采取不同措施</w:t>
      </w:r>
      <w:r>
        <w:rPr>
          <w:rFonts w:hint="eastAsia"/>
          <w:snapToGrid/>
        </w:rPr>
        <w:t>，</w:t>
      </w:r>
      <w:r>
        <w:rPr>
          <w:rFonts w:hint="eastAsia"/>
          <w:snapToGrid/>
          <w:lang w:val="zh-CN"/>
        </w:rPr>
        <w:t>实施社会和人口政策</w:t>
      </w:r>
      <w:r>
        <w:rPr>
          <w:rFonts w:hint="eastAsia"/>
          <w:snapToGrid/>
        </w:rPr>
        <w:t>；</w:t>
      </w:r>
      <w:r>
        <w:rPr>
          <w:rFonts w:hint="eastAsia"/>
          <w:snapToGrid/>
          <w:lang w:val="zh-CN"/>
        </w:rPr>
        <w:t>能够更好识别有子女的贫困</w:t>
      </w:r>
      <w:r>
        <w:rPr>
          <w:snapToGrid/>
        </w:rPr>
        <w:t>/</w:t>
      </w:r>
      <w:r>
        <w:rPr>
          <w:rFonts w:hint="eastAsia"/>
          <w:snapToGrid/>
          <w:lang w:val="zh-CN"/>
        </w:rPr>
        <w:t>脆弱家庭</w:t>
      </w:r>
      <w:r>
        <w:rPr>
          <w:rFonts w:hint="eastAsia"/>
          <w:snapToGrid/>
        </w:rPr>
        <w:t>；</w:t>
      </w:r>
      <w:r>
        <w:rPr>
          <w:rFonts w:hint="eastAsia"/>
          <w:snapToGrid/>
          <w:lang w:val="zh-CN"/>
        </w:rPr>
        <w:t>保证不间断地行使各项权力</w:t>
      </w:r>
      <w:r>
        <w:rPr>
          <w:rFonts w:hint="eastAsia"/>
          <w:snapToGrid/>
        </w:rPr>
        <w:t>；</w:t>
      </w:r>
      <w:r>
        <w:rPr>
          <w:rFonts w:hint="eastAsia"/>
          <w:snapToGrid/>
          <w:lang w:val="zh-CN"/>
        </w:rPr>
        <w:t>对本法所规定的儿童或家庭津贴支付制度的改革节约了预</w:t>
      </w:r>
      <w:r>
        <w:rPr>
          <w:rFonts w:hint="eastAsia"/>
          <w:snapToGrid/>
          <w:lang w:val="zh-CN"/>
        </w:rPr>
        <w:t>算。</w:t>
      </w:r>
    </w:p>
    <w:p w:rsidR="00000000" w:rsidRDefault="00844A84">
      <w:pPr>
        <w:spacing w:after="160" w:line="312" w:lineRule="auto"/>
        <w:rPr>
          <w:rFonts w:hint="eastAsia"/>
          <w:snapToGrid/>
        </w:rPr>
      </w:pPr>
      <w:r>
        <w:rPr>
          <w:rFonts w:hint="eastAsia"/>
          <w:snapToGrid/>
          <w:lang w:val="zh-CN"/>
        </w:rPr>
        <w:tab/>
        <w:t xml:space="preserve">194.  </w:t>
      </w:r>
      <w:r>
        <w:rPr>
          <w:rFonts w:hint="eastAsia"/>
          <w:snapToGrid/>
          <w:lang w:val="zh-CN"/>
        </w:rPr>
        <w:t>根据对本法实施的指示</w:t>
      </w:r>
      <w:r>
        <w:rPr>
          <w:rFonts w:hint="eastAsia"/>
          <w:snapToGrid/>
        </w:rPr>
        <w:t>，</w:t>
      </w:r>
      <w:r>
        <w:rPr>
          <w:rFonts w:hint="eastAsia"/>
          <w:snapToGrid/>
          <w:lang w:val="zh-CN"/>
        </w:rPr>
        <w:t>确定了</w:t>
      </w:r>
      <w:r>
        <w:rPr>
          <w:snapToGrid/>
        </w:rPr>
        <w:t>2002</w:t>
      </w:r>
      <w:r>
        <w:rPr>
          <w:rFonts w:hint="eastAsia"/>
          <w:snapToGrid/>
          <w:lang w:val="zh-CN"/>
        </w:rPr>
        <w:t>年</w:t>
      </w:r>
      <w:r>
        <w:rPr>
          <w:snapToGrid/>
        </w:rPr>
        <w:t>11</w:t>
      </w:r>
      <w:r>
        <w:rPr>
          <w:rFonts w:hint="eastAsia"/>
          <w:snapToGrid/>
          <w:lang w:val="zh-CN"/>
        </w:rPr>
        <w:t>月有子女家庭获得经济支持的标定金额、教育方案价格和儿童津贴标准，见表</w:t>
      </w:r>
      <w:r>
        <w:rPr>
          <w:rFonts w:hint="eastAsia"/>
          <w:snapToGrid/>
          <w:lang w:val="zh-CN"/>
        </w:rPr>
        <w:t>5</w:t>
      </w:r>
      <w:r>
        <w:rPr>
          <w:rFonts w:hint="eastAsia"/>
          <w:snapToGrid/>
        </w:rPr>
        <w:t>。</w:t>
      </w:r>
    </w:p>
    <w:p w:rsidR="00000000" w:rsidRDefault="00844A84">
      <w:pPr>
        <w:pStyle w:val="Heading3"/>
        <w:spacing w:after="160"/>
      </w:pPr>
      <w:r>
        <w:rPr>
          <w:rFonts w:hint="eastAsia"/>
          <w:u w:val="none"/>
        </w:rPr>
        <w:t>表</w:t>
      </w:r>
      <w:r>
        <w:rPr>
          <w:rFonts w:hint="eastAsia"/>
          <w:u w:val="none"/>
        </w:rPr>
        <w:t xml:space="preserve"> 5</w:t>
      </w:r>
      <w:r>
        <w:rPr>
          <w:u w:val="none"/>
        </w:rPr>
        <w:br/>
      </w:r>
      <w:r>
        <w:rPr>
          <w:rFonts w:hint="eastAsia"/>
        </w:rPr>
        <w:t>抚养儿童的权利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6130"/>
        <w:gridCol w:w="1430"/>
        <w:gridCol w:w="1260"/>
      </w:tblGrid>
      <w:tr w:rsidR="00000000">
        <w:tblPrEx>
          <w:tblCellMar>
            <w:top w:w="0" w:type="dxa"/>
            <w:bottom w:w="0" w:type="dxa"/>
          </w:tblCellMar>
        </w:tblPrEx>
        <w:tc>
          <w:tcPr>
            <w:tcW w:w="630" w:type="dxa"/>
          </w:tcPr>
          <w:p w:rsidR="00000000" w:rsidRDefault="00844A84">
            <w:pPr>
              <w:spacing w:before="40" w:line="240" w:lineRule="auto"/>
              <w:jc w:val="center"/>
              <w:rPr>
                <w:rFonts w:ascii="Time New Roman" w:eastAsia="SimHei" w:hAnsi="Time New Roman"/>
                <w:snapToGrid/>
                <w:sz w:val="20"/>
              </w:rPr>
            </w:pPr>
          </w:p>
        </w:tc>
        <w:tc>
          <w:tcPr>
            <w:tcW w:w="6130" w:type="dxa"/>
          </w:tcPr>
          <w:p w:rsidR="00000000" w:rsidRDefault="00844A84">
            <w:pPr>
              <w:spacing w:before="40" w:line="240" w:lineRule="auto"/>
              <w:jc w:val="center"/>
              <w:rPr>
                <w:rFonts w:ascii="Time New Roman" w:eastAsia="SimHei" w:hAnsi="Time New Roman"/>
                <w:snapToGrid/>
                <w:sz w:val="20"/>
              </w:rPr>
            </w:pPr>
            <w:r>
              <w:rPr>
                <w:rFonts w:ascii="Time New Roman" w:eastAsia="SimHei" w:hAnsi="Time New Roman" w:hint="eastAsia"/>
                <w:snapToGrid/>
                <w:sz w:val="20"/>
              </w:rPr>
              <w:t>有权得到的标定金额</w:t>
            </w:r>
          </w:p>
        </w:tc>
        <w:tc>
          <w:tcPr>
            <w:tcW w:w="1430" w:type="dxa"/>
          </w:tcPr>
          <w:p w:rsidR="00000000" w:rsidRDefault="00844A84">
            <w:pPr>
              <w:spacing w:before="40" w:line="240" w:lineRule="auto"/>
              <w:jc w:val="center"/>
              <w:rPr>
                <w:rFonts w:ascii="Time New Roman" w:eastAsia="SimHei" w:hAnsi="Time New Roman"/>
                <w:snapToGrid/>
                <w:sz w:val="20"/>
              </w:rPr>
            </w:pPr>
            <w:r>
              <w:rPr>
                <w:rFonts w:ascii="Time New Roman" w:eastAsia="SimHei" w:hAnsi="Time New Roman" w:hint="eastAsia"/>
                <w:snapToGrid/>
                <w:sz w:val="20"/>
              </w:rPr>
              <w:t>正常金额</w:t>
            </w:r>
            <w:r>
              <w:rPr>
                <w:rFonts w:ascii="Time New Roman" w:eastAsia="SimHei" w:hAnsi="Time New Roman"/>
                <w:snapToGrid/>
                <w:sz w:val="20"/>
              </w:rPr>
              <w:br/>
            </w:r>
            <w:r>
              <w:rPr>
                <w:rFonts w:hint="eastAsia"/>
                <w:snapToGrid/>
                <w:spacing w:val="0"/>
                <w:sz w:val="20"/>
              </w:rPr>
              <w:t>第纳尔</w:t>
            </w:r>
          </w:p>
        </w:tc>
        <w:tc>
          <w:tcPr>
            <w:tcW w:w="1260" w:type="dxa"/>
          </w:tcPr>
          <w:p w:rsidR="00000000" w:rsidRDefault="00844A84">
            <w:pPr>
              <w:spacing w:before="40" w:line="240" w:lineRule="auto"/>
              <w:jc w:val="center"/>
              <w:rPr>
                <w:rFonts w:ascii="Time New Roman" w:eastAsia="SimHei" w:hAnsi="Time New Roman"/>
                <w:snapToGrid/>
                <w:sz w:val="20"/>
              </w:rPr>
            </w:pPr>
            <w:r>
              <w:rPr>
                <w:rFonts w:ascii="Time New Roman" w:eastAsia="SimHei" w:hAnsi="Time New Roman" w:hint="eastAsia"/>
                <w:snapToGrid/>
                <w:sz w:val="20"/>
              </w:rPr>
              <w:t>增加金额</w:t>
            </w:r>
            <w:r>
              <w:rPr>
                <w:rFonts w:ascii="Time New Roman" w:eastAsia="SimHei" w:hAnsi="Time New Roman"/>
                <w:snapToGrid/>
                <w:sz w:val="20"/>
              </w:rPr>
              <w:br/>
            </w:r>
            <w:r>
              <w:rPr>
                <w:rFonts w:hint="eastAsia"/>
                <w:snapToGrid/>
                <w:spacing w:val="0"/>
                <w:sz w:val="20"/>
              </w:rPr>
              <w:t>第纳尔</w:t>
            </w:r>
          </w:p>
        </w:tc>
      </w:tr>
      <w:tr w:rsidR="00000000">
        <w:tblPrEx>
          <w:tblCellMar>
            <w:top w:w="0" w:type="dxa"/>
            <w:bottom w:w="0" w:type="dxa"/>
          </w:tblCellMar>
        </w:tblPrEx>
        <w:tc>
          <w:tcPr>
            <w:tcW w:w="630" w:type="dxa"/>
          </w:tcPr>
          <w:p w:rsidR="00000000" w:rsidRDefault="00844A84">
            <w:pPr>
              <w:spacing w:before="40" w:line="264" w:lineRule="auto"/>
              <w:jc w:val="center"/>
              <w:rPr>
                <w:rFonts w:hint="eastAsia"/>
                <w:snapToGrid/>
                <w:spacing w:val="0"/>
                <w:sz w:val="20"/>
              </w:rPr>
            </w:pPr>
            <w:r>
              <w:rPr>
                <w:rFonts w:hint="eastAsia"/>
                <w:snapToGrid/>
                <w:spacing w:val="0"/>
                <w:sz w:val="20"/>
              </w:rPr>
              <w:t>1.</w:t>
            </w:r>
          </w:p>
        </w:tc>
        <w:tc>
          <w:tcPr>
            <w:tcW w:w="6130" w:type="dxa"/>
          </w:tcPr>
          <w:p w:rsidR="00000000" w:rsidRDefault="00844A84">
            <w:pPr>
              <w:spacing w:before="40" w:line="264" w:lineRule="auto"/>
              <w:rPr>
                <w:snapToGrid/>
                <w:spacing w:val="0"/>
                <w:sz w:val="20"/>
              </w:rPr>
            </w:pPr>
            <w:r>
              <w:rPr>
                <w:rFonts w:hint="eastAsia"/>
                <w:snapToGrid/>
                <w:spacing w:val="0"/>
                <w:sz w:val="20"/>
              </w:rPr>
              <w:t>儿童津贴</w:t>
            </w:r>
            <w:r>
              <w:rPr>
                <w:rFonts w:hint="eastAsia"/>
                <w:snapToGrid/>
                <w:spacing w:val="0"/>
                <w:sz w:val="20"/>
              </w:rPr>
              <w:t>(</w:t>
            </w:r>
            <w:r>
              <w:rPr>
                <w:rFonts w:hint="eastAsia"/>
                <w:snapToGrid/>
                <w:spacing w:val="0"/>
                <w:sz w:val="20"/>
              </w:rPr>
              <w:t>给第一、第二、第三和第四个孩子</w:t>
            </w:r>
            <w:r>
              <w:rPr>
                <w:rFonts w:hint="eastAsia"/>
                <w:snapToGrid/>
                <w:spacing w:val="0"/>
                <w:sz w:val="20"/>
              </w:rPr>
              <w:t>)</w:t>
            </w:r>
          </w:p>
        </w:tc>
        <w:tc>
          <w:tcPr>
            <w:tcW w:w="1430" w:type="dxa"/>
          </w:tcPr>
          <w:p w:rsidR="00000000" w:rsidRDefault="00844A84">
            <w:pPr>
              <w:spacing w:before="40" w:line="264" w:lineRule="auto"/>
              <w:ind w:right="284"/>
              <w:jc w:val="right"/>
              <w:rPr>
                <w:snapToGrid/>
                <w:spacing w:val="0"/>
                <w:sz w:val="20"/>
              </w:rPr>
            </w:pPr>
            <w:r>
              <w:rPr>
                <w:snapToGrid/>
                <w:spacing w:val="0"/>
                <w:sz w:val="20"/>
              </w:rPr>
              <w:t>977.70</w:t>
            </w:r>
          </w:p>
        </w:tc>
        <w:tc>
          <w:tcPr>
            <w:tcW w:w="1260" w:type="dxa"/>
          </w:tcPr>
          <w:p w:rsidR="00000000" w:rsidRDefault="00844A84">
            <w:pPr>
              <w:spacing w:before="40" w:line="264" w:lineRule="auto"/>
              <w:ind w:right="284"/>
              <w:jc w:val="right"/>
              <w:rPr>
                <w:snapToGrid/>
                <w:spacing w:val="0"/>
                <w:sz w:val="20"/>
              </w:rPr>
            </w:pPr>
            <w:r>
              <w:rPr>
                <w:snapToGrid/>
                <w:spacing w:val="0"/>
                <w:sz w:val="20"/>
              </w:rPr>
              <w:t>1,271.00</w:t>
            </w:r>
          </w:p>
        </w:tc>
      </w:tr>
      <w:tr w:rsidR="00000000">
        <w:tblPrEx>
          <w:tblCellMar>
            <w:top w:w="0" w:type="dxa"/>
            <w:bottom w:w="0" w:type="dxa"/>
          </w:tblCellMar>
        </w:tblPrEx>
        <w:tc>
          <w:tcPr>
            <w:tcW w:w="630" w:type="dxa"/>
            <w:tcBorders>
              <w:bottom w:val="nil"/>
            </w:tcBorders>
          </w:tcPr>
          <w:p w:rsidR="00000000" w:rsidRDefault="00844A84">
            <w:pPr>
              <w:spacing w:before="40" w:line="240" w:lineRule="auto"/>
              <w:jc w:val="center"/>
              <w:rPr>
                <w:rFonts w:hint="eastAsia"/>
                <w:snapToGrid/>
                <w:spacing w:val="0"/>
                <w:sz w:val="20"/>
              </w:rPr>
            </w:pPr>
            <w:r>
              <w:rPr>
                <w:rFonts w:hint="eastAsia"/>
                <w:snapToGrid/>
                <w:spacing w:val="0"/>
                <w:sz w:val="20"/>
              </w:rPr>
              <w:t>2.</w:t>
            </w:r>
          </w:p>
        </w:tc>
        <w:tc>
          <w:tcPr>
            <w:tcW w:w="6130" w:type="dxa"/>
            <w:tcBorders>
              <w:bottom w:val="nil"/>
            </w:tcBorders>
          </w:tcPr>
          <w:p w:rsidR="00000000" w:rsidRDefault="00844A84">
            <w:pPr>
              <w:spacing w:before="40" w:line="240" w:lineRule="auto"/>
              <w:rPr>
                <w:snapToGrid/>
                <w:spacing w:val="0"/>
                <w:sz w:val="20"/>
              </w:rPr>
            </w:pPr>
            <w:r>
              <w:rPr>
                <w:rFonts w:hint="eastAsia"/>
                <w:snapToGrid/>
                <w:spacing w:val="0"/>
                <w:sz w:val="20"/>
              </w:rPr>
              <w:t>家庭津贴</w:t>
            </w:r>
            <w:r>
              <w:rPr>
                <w:rFonts w:hint="eastAsia"/>
                <w:snapToGrid/>
                <w:spacing w:val="0"/>
                <w:sz w:val="20"/>
              </w:rPr>
              <w:t>(2002</w:t>
            </w:r>
            <w:r>
              <w:rPr>
                <w:rFonts w:hint="eastAsia"/>
                <w:snapToGrid/>
                <w:spacing w:val="0"/>
                <w:sz w:val="20"/>
              </w:rPr>
              <w:t>年</w:t>
            </w:r>
            <w:r>
              <w:rPr>
                <w:rFonts w:hint="eastAsia"/>
                <w:snapToGrid/>
                <w:spacing w:val="0"/>
                <w:sz w:val="20"/>
              </w:rPr>
              <w:t>12</w:t>
            </w:r>
            <w:r>
              <w:rPr>
                <w:rFonts w:hint="eastAsia"/>
                <w:snapToGrid/>
                <w:spacing w:val="0"/>
                <w:sz w:val="20"/>
              </w:rPr>
              <w:t>月</w:t>
            </w:r>
            <w:r>
              <w:rPr>
                <w:rFonts w:hint="eastAsia"/>
                <w:snapToGrid/>
                <w:spacing w:val="0"/>
                <w:sz w:val="20"/>
              </w:rPr>
              <w:t>1</w:t>
            </w:r>
            <w:r>
              <w:rPr>
                <w:rFonts w:hint="eastAsia"/>
                <w:snapToGrid/>
                <w:spacing w:val="0"/>
                <w:sz w:val="20"/>
              </w:rPr>
              <w:t>日起</w:t>
            </w:r>
            <w:r>
              <w:rPr>
                <w:rFonts w:hint="eastAsia"/>
                <w:snapToGrid/>
                <w:spacing w:val="0"/>
                <w:sz w:val="20"/>
              </w:rPr>
              <w:t>)</w:t>
            </w:r>
          </w:p>
        </w:tc>
        <w:tc>
          <w:tcPr>
            <w:tcW w:w="1430" w:type="dxa"/>
            <w:tcBorders>
              <w:bottom w:val="nil"/>
            </w:tcBorders>
          </w:tcPr>
          <w:p w:rsidR="00000000" w:rsidRDefault="00844A84">
            <w:pPr>
              <w:spacing w:before="40" w:line="240" w:lineRule="auto"/>
              <w:ind w:right="284"/>
              <w:jc w:val="right"/>
              <w:rPr>
                <w:snapToGrid/>
                <w:spacing w:val="0"/>
                <w:sz w:val="20"/>
              </w:rPr>
            </w:pPr>
          </w:p>
        </w:tc>
        <w:tc>
          <w:tcPr>
            <w:tcW w:w="1260" w:type="dxa"/>
            <w:tcBorders>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给第二个孩子</w:t>
            </w:r>
          </w:p>
        </w:tc>
        <w:tc>
          <w:tcPr>
            <w:tcW w:w="143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54,535.00</w:t>
            </w:r>
          </w:p>
        </w:tc>
        <w:tc>
          <w:tcPr>
            <w:tcW w:w="1260" w:type="dxa"/>
            <w:tcBorders>
              <w:top w:val="nil"/>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给第三个孩子</w:t>
            </w:r>
          </w:p>
        </w:tc>
        <w:tc>
          <w:tcPr>
            <w:tcW w:w="143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98,164.00</w:t>
            </w:r>
          </w:p>
        </w:tc>
        <w:tc>
          <w:tcPr>
            <w:tcW w:w="1260" w:type="dxa"/>
            <w:tcBorders>
              <w:top w:val="nil"/>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tcBorders>
          </w:tcPr>
          <w:p w:rsidR="00000000" w:rsidRDefault="00844A84">
            <w:pPr>
              <w:spacing w:before="40" w:line="240" w:lineRule="auto"/>
              <w:jc w:val="center"/>
              <w:rPr>
                <w:snapToGrid/>
                <w:spacing w:val="0"/>
                <w:sz w:val="20"/>
              </w:rPr>
            </w:pPr>
          </w:p>
        </w:tc>
        <w:tc>
          <w:tcPr>
            <w:tcW w:w="6130" w:type="dxa"/>
            <w:tcBorders>
              <w:top w:val="nil"/>
            </w:tcBorders>
          </w:tcPr>
          <w:p w:rsidR="00000000" w:rsidRDefault="00844A84">
            <w:pPr>
              <w:spacing w:before="40" w:line="240" w:lineRule="auto"/>
              <w:rPr>
                <w:snapToGrid/>
                <w:spacing w:val="0"/>
                <w:sz w:val="20"/>
              </w:rPr>
            </w:pPr>
            <w:r>
              <w:rPr>
                <w:rFonts w:hint="eastAsia"/>
                <w:snapToGrid/>
                <w:spacing w:val="0"/>
                <w:sz w:val="20"/>
              </w:rPr>
              <w:t>给第四个孩子</w:t>
            </w:r>
          </w:p>
        </w:tc>
        <w:tc>
          <w:tcPr>
            <w:tcW w:w="1430" w:type="dxa"/>
            <w:tcBorders>
              <w:top w:val="nil"/>
            </w:tcBorders>
          </w:tcPr>
          <w:p w:rsidR="00000000" w:rsidRDefault="00844A84">
            <w:pPr>
              <w:spacing w:before="40" w:line="240" w:lineRule="auto"/>
              <w:ind w:right="284"/>
              <w:jc w:val="right"/>
              <w:rPr>
                <w:snapToGrid/>
                <w:spacing w:val="0"/>
                <w:sz w:val="20"/>
              </w:rPr>
            </w:pPr>
            <w:r>
              <w:rPr>
                <w:snapToGrid/>
                <w:spacing w:val="0"/>
                <w:sz w:val="20"/>
              </w:rPr>
              <w:t>130,885.00</w:t>
            </w:r>
          </w:p>
        </w:tc>
        <w:tc>
          <w:tcPr>
            <w:tcW w:w="1260" w:type="dxa"/>
            <w:tcBorders>
              <w:top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Pr>
          <w:p w:rsidR="00000000" w:rsidRDefault="00844A84">
            <w:pPr>
              <w:spacing w:before="40" w:line="264" w:lineRule="auto"/>
              <w:jc w:val="center"/>
              <w:rPr>
                <w:snapToGrid/>
                <w:spacing w:val="0"/>
                <w:sz w:val="20"/>
              </w:rPr>
            </w:pPr>
            <w:r>
              <w:rPr>
                <w:snapToGrid/>
                <w:spacing w:val="0"/>
                <w:sz w:val="20"/>
              </w:rPr>
              <w:t>3.</w:t>
            </w:r>
          </w:p>
        </w:tc>
        <w:tc>
          <w:tcPr>
            <w:tcW w:w="6130" w:type="dxa"/>
          </w:tcPr>
          <w:p w:rsidR="00000000" w:rsidRDefault="00844A84">
            <w:pPr>
              <w:spacing w:before="40" w:line="264" w:lineRule="auto"/>
              <w:rPr>
                <w:snapToGrid/>
                <w:spacing w:val="0"/>
                <w:sz w:val="20"/>
              </w:rPr>
            </w:pPr>
            <w:r>
              <w:rPr>
                <w:rFonts w:hint="eastAsia"/>
                <w:snapToGrid/>
                <w:spacing w:val="0"/>
                <w:sz w:val="20"/>
              </w:rPr>
              <w:t>孕产妇津贴</w:t>
            </w:r>
          </w:p>
        </w:tc>
        <w:tc>
          <w:tcPr>
            <w:tcW w:w="1430" w:type="dxa"/>
          </w:tcPr>
          <w:p w:rsidR="00000000" w:rsidRDefault="00844A84">
            <w:pPr>
              <w:spacing w:before="40" w:line="264" w:lineRule="auto"/>
              <w:ind w:right="284"/>
              <w:jc w:val="right"/>
              <w:rPr>
                <w:snapToGrid/>
                <w:spacing w:val="0"/>
                <w:sz w:val="20"/>
              </w:rPr>
            </w:pPr>
            <w:r>
              <w:rPr>
                <w:snapToGrid/>
                <w:spacing w:val="0"/>
                <w:sz w:val="20"/>
              </w:rPr>
              <w:t>1,299.50</w:t>
            </w:r>
          </w:p>
        </w:tc>
        <w:tc>
          <w:tcPr>
            <w:tcW w:w="1260" w:type="dxa"/>
          </w:tcPr>
          <w:p w:rsidR="00000000" w:rsidRDefault="00844A84">
            <w:pPr>
              <w:spacing w:before="40" w:line="264" w:lineRule="auto"/>
              <w:ind w:right="284"/>
              <w:jc w:val="right"/>
              <w:rPr>
                <w:snapToGrid/>
                <w:spacing w:val="0"/>
                <w:sz w:val="20"/>
              </w:rPr>
            </w:pPr>
          </w:p>
        </w:tc>
      </w:tr>
      <w:tr w:rsidR="00000000">
        <w:tblPrEx>
          <w:tblCellMar>
            <w:top w:w="0" w:type="dxa"/>
            <w:bottom w:w="0" w:type="dxa"/>
          </w:tblCellMar>
        </w:tblPrEx>
        <w:tc>
          <w:tcPr>
            <w:tcW w:w="630" w:type="dxa"/>
          </w:tcPr>
          <w:p w:rsidR="00000000" w:rsidRDefault="00844A84">
            <w:pPr>
              <w:spacing w:before="40" w:line="264" w:lineRule="auto"/>
              <w:jc w:val="center"/>
              <w:rPr>
                <w:snapToGrid/>
                <w:spacing w:val="0"/>
                <w:sz w:val="20"/>
              </w:rPr>
            </w:pPr>
            <w:r>
              <w:rPr>
                <w:snapToGrid/>
                <w:spacing w:val="0"/>
                <w:sz w:val="20"/>
              </w:rPr>
              <w:t>4.</w:t>
            </w:r>
          </w:p>
        </w:tc>
        <w:tc>
          <w:tcPr>
            <w:tcW w:w="6130" w:type="dxa"/>
          </w:tcPr>
          <w:p w:rsidR="00000000" w:rsidRDefault="00844A84">
            <w:pPr>
              <w:spacing w:before="40" w:line="264" w:lineRule="auto"/>
              <w:rPr>
                <w:snapToGrid/>
                <w:spacing w:val="0"/>
                <w:sz w:val="20"/>
              </w:rPr>
            </w:pPr>
            <w:r>
              <w:rPr>
                <w:rFonts w:hint="eastAsia"/>
                <w:snapToGrid/>
                <w:spacing w:val="0"/>
                <w:sz w:val="20"/>
              </w:rPr>
              <w:t>给难民母亲的经济补助</w:t>
            </w:r>
          </w:p>
        </w:tc>
        <w:tc>
          <w:tcPr>
            <w:tcW w:w="1430" w:type="dxa"/>
          </w:tcPr>
          <w:p w:rsidR="00000000" w:rsidRDefault="00844A84">
            <w:pPr>
              <w:spacing w:before="40" w:line="264" w:lineRule="auto"/>
              <w:ind w:right="284"/>
              <w:jc w:val="right"/>
              <w:rPr>
                <w:snapToGrid/>
                <w:spacing w:val="0"/>
                <w:sz w:val="20"/>
              </w:rPr>
            </w:pPr>
            <w:r>
              <w:rPr>
                <w:snapToGrid/>
                <w:spacing w:val="0"/>
                <w:sz w:val="20"/>
              </w:rPr>
              <w:t>1,083.00</w:t>
            </w:r>
          </w:p>
        </w:tc>
        <w:tc>
          <w:tcPr>
            <w:tcW w:w="1260" w:type="dxa"/>
          </w:tcPr>
          <w:p w:rsidR="00000000" w:rsidRDefault="00844A84">
            <w:pPr>
              <w:spacing w:before="40" w:line="264" w:lineRule="auto"/>
              <w:ind w:right="284"/>
              <w:jc w:val="right"/>
              <w:rPr>
                <w:snapToGrid/>
                <w:spacing w:val="0"/>
                <w:sz w:val="20"/>
              </w:rPr>
            </w:pPr>
          </w:p>
        </w:tc>
      </w:tr>
      <w:tr w:rsidR="00000000">
        <w:tblPrEx>
          <w:tblCellMar>
            <w:top w:w="0" w:type="dxa"/>
            <w:bottom w:w="0" w:type="dxa"/>
          </w:tblCellMar>
        </w:tblPrEx>
        <w:tc>
          <w:tcPr>
            <w:tcW w:w="630" w:type="dxa"/>
          </w:tcPr>
          <w:p w:rsidR="00000000" w:rsidRDefault="00844A84">
            <w:pPr>
              <w:spacing w:before="40" w:line="264" w:lineRule="auto"/>
              <w:jc w:val="center"/>
              <w:rPr>
                <w:snapToGrid/>
                <w:spacing w:val="0"/>
                <w:sz w:val="20"/>
              </w:rPr>
            </w:pPr>
            <w:r>
              <w:rPr>
                <w:snapToGrid/>
                <w:spacing w:val="0"/>
                <w:sz w:val="20"/>
              </w:rPr>
              <w:t>5.</w:t>
            </w:r>
          </w:p>
        </w:tc>
        <w:tc>
          <w:tcPr>
            <w:tcW w:w="6130" w:type="dxa"/>
          </w:tcPr>
          <w:p w:rsidR="00000000" w:rsidRDefault="00844A84">
            <w:pPr>
              <w:spacing w:before="40" w:line="264" w:lineRule="auto"/>
              <w:rPr>
                <w:snapToGrid/>
                <w:spacing w:val="0"/>
                <w:sz w:val="20"/>
              </w:rPr>
            </w:pPr>
            <w:r>
              <w:rPr>
                <w:rFonts w:hint="eastAsia"/>
                <w:snapToGrid/>
                <w:spacing w:val="0"/>
                <w:sz w:val="20"/>
              </w:rPr>
              <w:t>婴儿用品补助</w:t>
            </w:r>
            <w:r>
              <w:rPr>
                <w:rFonts w:hint="eastAsia"/>
                <w:snapToGrid/>
                <w:spacing w:val="0"/>
                <w:sz w:val="20"/>
              </w:rPr>
              <w:t>(2002</w:t>
            </w:r>
            <w:r>
              <w:rPr>
                <w:rFonts w:hint="eastAsia"/>
                <w:snapToGrid/>
                <w:spacing w:val="0"/>
                <w:sz w:val="20"/>
              </w:rPr>
              <w:t>年</w:t>
            </w:r>
            <w:r>
              <w:rPr>
                <w:rFonts w:hint="eastAsia"/>
                <w:snapToGrid/>
                <w:spacing w:val="0"/>
                <w:sz w:val="20"/>
              </w:rPr>
              <w:t>12</w:t>
            </w:r>
            <w:r>
              <w:rPr>
                <w:rFonts w:hint="eastAsia"/>
                <w:snapToGrid/>
                <w:spacing w:val="0"/>
                <w:sz w:val="20"/>
              </w:rPr>
              <w:t>月</w:t>
            </w:r>
            <w:r>
              <w:rPr>
                <w:rFonts w:hint="eastAsia"/>
                <w:snapToGrid/>
                <w:spacing w:val="0"/>
                <w:sz w:val="20"/>
              </w:rPr>
              <w:t>1</w:t>
            </w:r>
            <w:r>
              <w:rPr>
                <w:rFonts w:hint="eastAsia"/>
                <w:snapToGrid/>
                <w:spacing w:val="0"/>
                <w:sz w:val="20"/>
              </w:rPr>
              <w:t>日起</w:t>
            </w:r>
            <w:r>
              <w:rPr>
                <w:rFonts w:hint="eastAsia"/>
                <w:snapToGrid/>
                <w:spacing w:val="0"/>
                <w:sz w:val="20"/>
              </w:rPr>
              <w:t>)</w:t>
            </w:r>
          </w:p>
        </w:tc>
        <w:tc>
          <w:tcPr>
            <w:tcW w:w="1430" w:type="dxa"/>
          </w:tcPr>
          <w:p w:rsidR="00000000" w:rsidRDefault="00844A84">
            <w:pPr>
              <w:spacing w:before="40" w:line="264" w:lineRule="auto"/>
              <w:ind w:right="284"/>
              <w:jc w:val="right"/>
              <w:rPr>
                <w:snapToGrid/>
                <w:spacing w:val="0"/>
                <w:sz w:val="20"/>
              </w:rPr>
            </w:pPr>
            <w:r>
              <w:rPr>
                <w:snapToGrid/>
                <w:spacing w:val="0"/>
                <w:sz w:val="20"/>
              </w:rPr>
              <w:t>4,331.70</w:t>
            </w:r>
          </w:p>
        </w:tc>
        <w:tc>
          <w:tcPr>
            <w:tcW w:w="1260" w:type="dxa"/>
          </w:tcPr>
          <w:p w:rsidR="00000000" w:rsidRDefault="00844A84">
            <w:pPr>
              <w:spacing w:before="40" w:line="264" w:lineRule="auto"/>
              <w:ind w:right="284"/>
              <w:jc w:val="right"/>
              <w:rPr>
                <w:snapToGrid/>
                <w:spacing w:val="0"/>
                <w:sz w:val="20"/>
              </w:rPr>
            </w:pPr>
          </w:p>
        </w:tc>
      </w:tr>
      <w:tr w:rsidR="00000000">
        <w:tblPrEx>
          <w:tblCellMar>
            <w:top w:w="0" w:type="dxa"/>
            <w:bottom w:w="0" w:type="dxa"/>
          </w:tblCellMar>
        </w:tblPrEx>
        <w:tc>
          <w:tcPr>
            <w:tcW w:w="630" w:type="dxa"/>
            <w:tcBorders>
              <w:bottom w:val="nil"/>
            </w:tcBorders>
          </w:tcPr>
          <w:p w:rsidR="00000000" w:rsidRDefault="00844A84">
            <w:pPr>
              <w:spacing w:before="40" w:line="240" w:lineRule="auto"/>
              <w:jc w:val="center"/>
              <w:rPr>
                <w:snapToGrid/>
                <w:spacing w:val="0"/>
                <w:sz w:val="20"/>
              </w:rPr>
            </w:pPr>
            <w:r>
              <w:rPr>
                <w:snapToGrid/>
                <w:spacing w:val="0"/>
                <w:sz w:val="20"/>
              </w:rPr>
              <w:t>6.</w:t>
            </w:r>
          </w:p>
        </w:tc>
        <w:tc>
          <w:tcPr>
            <w:tcW w:w="6130" w:type="dxa"/>
            <w:tcBorders>
              <w:bottom w:val="nil"/>
            </w:tcBorders>
          </w:tcPr>
          <w:p w:rsidR="00000000" w:rsidRDefault="00844A84">
            <w:pPr>
              <w:spacing w:before="40" w:line="240" w:lineRule="auto"/>
              <w:rPr>
                <w:snapToGrid/>
                <w:spacing w:val="0"/>
                <w:sz w:val="20"/>
              </w:rPr>
            </w:pPr>
            <w:r>
              <w:rPr>
                <w:rFonts w:hint="eastAsia"/>
                <w:snapToGrid/>
                <w:spacing w:val="0"/>
                <w:sz w:val="20"/>
              </w:rPr>
              <w:t>根据教育组别，按市场价格向学龄前儿童教育和照料工作发放补贴，每天按三小时计</w:t>
            </w:r>
          </w:p>
        </w:tc>
        <w:tc>
          <w:tcPr>
            <w:tcW w:w="1430" w:type="dxa"/>
            <w:tcBorders>
              <w:bottom w:val="nil"/>
            </w:tcBorders>
          </w:tcPr>
          <w:p w:rsidR="00000000" w:rsidRDefault="00844A84">
            <w:pPr>
              <w:spacing w:before="40" w:line="240" w:lineRule="auto"/>
              <w:ind w:right="284"/>
              <w:jc w:val="right"/>
              <w:rPr>
                <w:snapToGrid/>
                <w:spacing w:val="0"/>
                <w:sz w:val="20"/>
              </w:rPr>
            </w:pPr>
          </w:p>
        </w:tc>
        <w:tc>
          <w:tcPr>
            <w:tcW w:w="1260" w:type="dxa"/>
            <w:tcBorders>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机构内</w:t>
            </w:r>
          </w:p>
        </w:tc>
        <w:tc>
          <w:tcPr>
            <w:tcW w:w="143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14,391.00</w:t>
            </w:r>
          </w:p>
        </w:tc>
        <w:tc>
          <w:tcPr>
            <w:tcW w:w="1260" w:type="dxa"/>
            <w:tcBorders>
              <w:top w:val="nil"/>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tcBorders>
          </w:tcPr>
          <w:p w:rsidR="00000000" w:rsidRDefault="00844A84">
            <w:pPr>
              <w:spacing w:before="40" w:line="240" w:lineRule="auto"/>
              <w:jc w:val="center"/>
              <w:rPr>
                <w:snapToGrid/>
                <w:spacing w:val="0"/>
                <w:sz w:val="20"/>
              </w:rPr>
            </w:pPr>
          </w:p>
        </w:tc>
        <w:tc>
          <w:tcPr>
            <w:tcW w:w="6130" w:type="dxa"/>
            <w:tcBorders>
              <w:top w:val="nil"/>
            </w:tcBorders>
          </w:tcPr>
          <w:p w:rsidR="00000000" w:rsidRDefault="00844A84">
            <w:pPr>
              <w:spacing w:before="40" w:line="240" w:lineRule="auto"/>
              <w:rPr>
                <w:snapToGrid/>
                <w:spacing w:val="0"/>
                <w:sz w:val="20"/>
              </w:rPr>
            </w:pPr>
            <w:r>
              <w:rPr>
                <w:rFonts w:hint="eastAsia"/>
                <w:snapToGrid/>
                <w:spacing w:val="0"/>
                <w:sz w:val="20"/>
              </w:rPr>
              <w:t>机构外</w:t>
            </w:r>
          </w:p>
        </w:tc>
        <w:tc>
          <w:tcPr>
            <w:tcW w:w="1430" w:type="dxa"/>
            <w:tcBorders>
              <w:top w:val="nil"/>
            </w:tcBorders>
          </w:tcPr>
          <w:p w:rsidR="00000000" w:rsidRDefault="00844A84">
            <w:pPr>
              <w:spacing w:before="40" w:line="240" w:lineRule="auto"/>
              <w:ind w:right="284"/>
              <w:jc w:val="right"/>
              <w:rPr>
                <w:snapToGrid/>
                <w:spacing w:val="0"/>
                <w:sz w:val="20"/>
              </w:rPr>
            </w:pPr>
            <w:r>
              <w:rPr>
                <w:snapToGrid/>
                <w:spacing w:val="0"/>
                <w:sz w:val="20"/>
              </w:rPr>
              <w:t>15,191.00</w:t>
            </w:r>
          </w:p>
        </w:tc>
        <w:tc>
          <w:tcPr>
            <w:tcW w:w="1260" w:type="dxa"/>
            <w:tcBorders>
              <w:top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bottom w:val="nil"/>
            </w:tcBorders>
          </w:tcPr>
          <w:p w:rsidR="00000000" w:rsidRDefault="00844A84">
            <w:pPr>
              <w:spacing w:before="40" w:line="240" w:lineRule="auto"/>
              <w:jc w:val="center"/>
              <w:rPr>
                <w:snapToGrid/>
                <w:spacing w:val="0"/>
                <w:sz w:val="20"/>
              </w:rPr>
            </w:pPr>
            <w:r>
              <w:rPr>
                <w:snapToGrid/>
                <w:spacing w:val="0"/>
                <w:sz w:val="20"/>
              </w:rPr>
              <w:t>7.</w:t>
            </w:r>
          </w:p>
        </w:tc>
        <w:tc>
          <w:tcPr>
            <w:tcW w:w="6130" w:type="dxa"/>
            <w:tcBorders>
              <w:bottom w:val="nil"/>
            </w:tcBorders>
          </w:tcPr>
          <w:p w:rsidR="00000000" w:rsidRDefault="00844A84">
            <w:pPr>
              <w:spacing w:before="40" w:line="240" w:lineRule="auto"/>
              <w:rPr>
                <w:snapToGrid/>
                <w:spacing w:val="0"/>
                <w:sz w:val="20"/>
              </w:rPr>
            </w:pPr>
            <w:r>
              <w:rPr>
                <w:rFonts w:hint="eastAsia"/>
                <w:snapToGrid/>
                <w:spacing w:val="0"/>
                <w:sz w:val="20"/>
              </w:rPr>
              <w:t>向需要长期住院治疗的儿童按市场价发放教育和护理津贴</w:t>
            </w:r>
          </w:p>
        </w:tc>
        <w:tc>
          <w:tcPr>
            <w:tcW w:w="1430" w:type="dxa"/>
            <w:tcBorders>
              <w:bottom w:val="nil"/>
            </w:tcBorders>
          </w:tcPr>
          <w:p w:rsidR="00000000" w:rsidRDefault="00844A84">
            <w:pPr>
              <w:spacing w:before="40" w:line="240" w:lineRule="auto"/>
              <w:ind w:right="284"/>
              <w:jc w:val="right"/>
              <w:rPr>
                <w:snapToGrid/>
                <w:spacing w:val="0"/>
                <w:sz w:val="20"/>
              </w:rPr>
            </w:pPr>
            <w:r>
              <w:rPr>
                <w:snapToGrid/>
                <w:spacing w:val="0"/>
                <w:sz w:val="20"/>
              </w:rPr>
              <w:t>19,911.00</w:t>
            </w:r>
          </w:p>
        </w:tc>
        <w:tc>
          <w:tcPr>
            <w:tcW w:w="1260" w:type="dxa"/>
            <w:tcBorders>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儿童津贴标准</w:t>
            </w:r>
            <w:r>
              <w:rPr>
                <w:rFonts w:hint="eastAsia"/>
                <w:snapToGrid/>
                <w:spacing w:val="0"/>
                <w:sz w:val="20"/>
              </w:rPr>
              <w:t>(2002</w:t>
            </w:r>
            <w:r>
              <w:rPr>
                <w:rFonts w:hint="eastAsia"/>
                <w:snapToGrid/>
                <w:spacing w:val="0"/>
                <w:sz w:val="20"/>
              </w:rPr>
              <w:t>年</w:t>
            </w:r>
            <w:r>
              <w:rPr>
                <w:rFonts w:hint="eastAsia"/>
                <w:snapToGrid/>
                <w:spacing w:val="0"/>
                <w:sz w:val="20"/>
              </w:rPr>
              <w:t>12</w:t>
            </w:r>
            <w:r>
              <w:rPr>
                <w:rFonts w:hint="eastAsia"/>
                <w:snapToGrid/>
                <w:spacing w:val="0"/>
                <w:sz w:val="20"/>
              </w:rPr>
              <w:t>月</w:t>
            </w:r>
            <w:r>
              <w:rPr>
                <w:rFonts w:hint="eastAsia"/>
                <w:snapToGrid/>
                <w:spacing w:val="0"/>
                <w:sz w:val="20"/>
              </w:rPr>
              <w:t>1</w:t>
            </w:r>
            <w:r>
              <w:rPr>
                <w:rFonts w:hint="eastAsia"/>
                <w:snapToGrid/>
                <w:spacing w:val="0"/>
                <w:sz w:val="20"/>
              </w:rPr>
              <w:t>日起</w:t>
            </w:r>
            <w:r>
              <w:rPr>
                <w:rFonts w:hint="eastAsia"/>
                <w:snapToGrid/>
                <w:spacing w:val="0"/>
                <w:sz w:val="20"/>
              </w:rPr>
              <w:t>)</w:t>
            </w:r>
          </w:p>
        </w:tc>
        <w:tc>
          <w:tcPr>
            <w:tcW w:w="1430" w:type="dxa"/>
            <w:tcBorders>
              <w:top w:val="nil"/>
              <w:bottom w:val="nil"/>
            </w:tcBorders>
          </w:tcPr>
          <w:p w:rsidR="00000000" w:rsidRDefault="00844A84">
            <w:pPr>
              <w:spacing w:before="40" w:line="240" w:lineRule="auto"/>
              <w:ind w:right="284"/>
              <w:jc w:val="right"/>
              <w:rPr>
                <w:snapToGrid/>
                <w:spacing w:val="0"/>
                <w:sz w:val="20"/>
              </w:rPr>
            </w:pPr>
          </w:p>
        </w:tc>
        <w:tc>
          <w:tcPr>
            <w:tcW w:w="1260" w:type="dxa"/>
            <w:tcBorders>
              <w:top w:val="nil"/>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r>
              <w:rPr>
                <w:snapToGrid/>
                <w:spacing w:val="0"/>
                <w:sz w:val="20"/>
              </w:rPr>
              <w:t>a)</w:t>
            </w: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收入标准</w:t>
            </w:r>
          </w:p>
        </w:tc>
        <w:tc>
          <w:tcPr>
            <w:tcW w:w="143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2,991.44</w:t>
            </w:r>
          </w:p>
        </w:tc>
        <w:tc>
          <w:tcPr>
            <w:tcW w:w="126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3,599.35</w:t>
            </w: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r>
              <w:rPr>
                <w:snapToGrid/>
                <w:spacing w:val="0"/>
                <w:sz w:val="20"/>
              </w:rPr>
              <w:t>b)</w:t>
            </w: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农业收入标准</w:t>
            </w:r>
          </w:p>
        </w:tc>
        <w:tc>
          <w:tcPr>
            <w:tcW w:w="1430" w:type="dxa"/>
            <w:tcBorders>
              <w:top w:val="nil"/>
              <w:bottom w:val="nil"/>
            </w:tcBorders>
          </w:tcPr>
          <w:p w:rsidR="00000000" w:rsidRDefault="00844A84">
            <w:pPr>
              <w:spacing w:before="40" w:line="240" w:lineRule="auto"/>
              <w:ind w:right="284"/>
              <w:jc w:val="right"/>
              <w:rPr>
                <w:snapToGrid/>
                <w:spacing w:val="0"/>
                <w:sz w:val="20"/>
              </w:rPr>
            </w:pPr>
          </w:p>
        </w:tc>
        <w:tc>
          <w:tcPr>
            <w:tcW w:w="1260" w:type="dxa"/>
            <w:tcBorders>
              <w:top w:val="nil"/>
              <w:bottom w:val="nil"/>
            </w:tcBorders>
          </w:tcPr>
          <w:p w:rsidR="00000000" w:rsidRDefault="00844A84">
            <w:pPr>
              <w:spacing w:before="40" w:line="240" w:lineRule="auto"/>
              <w:ind w:right="284"/>
              <w:jc w:val="right"/>
              <w:rPr>
                <w:snapToGrid/>
                <w:spacing w:val="0"/>
                <w:sz w:val="20"/>
              </w:rPr>
            </w:pP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本法第</w:t>
            </w:r>
            <w:r>
              <w:rPr>
                <w:rFonts w:hint="eastAsia"/>
                <w:snapToGrid/>
                <w:spacing w:val="0"/>
                <w:sz w:val="20"/>
              </w:rPr>
              <w:t>19</w:t>
            </w:r>
            <w:r>
              <w:rPr>
                <w:rFonts w:hint="eastAsia"/>
                <w:snapToGrid/>
                <w:spacing w:val="0"/>
                <w:sz w:val="20"/>
              </w:rPr>
              <w:t>条第</w:t>
            </w:r>
            <w:r>
              <w:rPr>
                <w:rFonts w:hint="eastAsia"/>
                <w:snapToGrid/>
                <w:spacing w:val="0"/>
                <w:sz w:val="20"/>
              </w:rPr>
              <w:t>1</w:t>
            </w:r>
            <w:r>
              <w:rPr>
                <w:rFonts w:hint="eastAsia"/>
                <w:snapToGrid/>
                <w:spacing w:val="0"/>
                <w:sz w:val="20"/>
              </w:rPr>
              <w:t>款第</w:t>
            </w:r>
            <w:r>
              <w:rPr>
                <w:rFonts w:hint="eastAsia"/>
                <w:snapToGrid/>
                <w:spacing w:val="0"/>
                <w:sz w:val="20"/>
              </w:rPr>
              <w:t>1</w:t>
            </w:r>
            <w:r>
              <w:rPr>
                <w:rFonts w:hint="eastAsia"/>
                <w:snapToGrid/>
                <w:spacing w:val="0"/>
                <w:sz w:val="20"/>
              </w:rPr>
              <w:t>分</w:t>
            </w:r>
            <w:r>
              <w:rPr>
                <w:rFonts w:hint="eastAsia"/>
                <w:snapToGrid/>
                <w:spacing w:val="0"/>
                <w:sz w:val="20"/>
              </w:rPr>
              <w:t>段</w:t>
            </w:r>
          </w:p>
          <w:p w:rsidR="00000000" w:rsidRDefault="00844A84">
            <w:pPr>
              <w:spacing w:before="40" w:line="240" w:lineRule="auto"/>
              <w:rPr>
                <w:snapToGrid/>
                <w:spacing w:val="0"/>
                <w:sz w:val="20"/>
              </w:rPr>
            </w:pPr>
            <w:r>
              <w:rPr>
                <w:rFonts w:hint="eastAsia"/>
                <w:snapToGrid/>
                <w:spacing w:val="0"/>
                <w:sz w:val="20"/>
                <w:szCs w:val="24"/>
                <w:lang w:val="zh-CN"/>
              </w:rPr>
              <w:t>如果每一个家庭成员纳税和缴费后每月总收入在申请月前的三个月内累计达到</w:t>
            </w:r>
            <w:r>
              <w:rPr>
                <w:snapToGrid/>
                <w:spacing w:val="0"/>
                <w:sz w:val="20"/>
                <w:szCs w:val="24"/>
              </w:rPr>
              <w:t>2,750.00</w:t>
            </w:r>
            <w:r>
              <w:rPr>
                <w:rFonts w:hint="eastAsia"/>
                <w:snapToGrid/>
                <w:spacing w:val="0"/>
                <w:sz w:val="20"/>
                <w:szCs w:val="24"/>
                <w:lang w:val="zh-CN"/>
              </w:rPr>
              <w:t>第纳尔</w:t>
            </w:r>
            <w:r>
              <w:rPr>
                <w:rFonts w:hint="eastAsia"/>
                <w:snapToGrid/>
                <w:spacing w:val="0"/>
                <w:sz w:val="20"/>
                <w:szCs w:val="24"/>
              </w:rPr>
              <w:t>，</w:t>
            </w:r>
            <w:r>
              <w:rPr>
                <w:rFonts w:hint="eastAsia"/>
                <w:snapToGrid/>
                <w:spacing w:val="0"/>
                <w:sz w:val="20"/>
                <w:szCs w:val="24"/>
                <w:lang w:val="zh-CN"/>
              </w:rPr>
              <w:t>而上一年家庭成员每月总土地收入不超过上一年每公顷良田的月总收入的</w:t>
            </w:r>
            <w:r>
              <w:rPr>
                <w:snapToGrid/>
                <w:spacing w:val="0"/>
                <w:sz w:val="20"/>
                <w:szCs w:val="24"/>
              </w:rPr>
              <w:t>3%</w:t>
            </w:r>
            <w:r>
              <w:rPr>
                <w:rFonts w:hint="eastAsia"/>
                <w:snapToGrid/>
                <w:spacing w:val="0"/>
                <w:sz w:val="20"/>
                <w:szCs w:val="24"/>
              </w:rPr>
              <w:t>，</w:t>
            </w:r>
            <w:r>
              <w:rPr>
                <w:rFonts w:hint="eastAsia"/>
                <w:snapToGrid/>
                <w:spacing w:val="0"/>
                <w:sz w:val="20"/>
                <w:szCs w:val="24"/>
                <w:lang w:val="zh-CN"/>
              </w:rPr>
              <w:t>或者来自建有住房的面积为</w:t>
            </w:r>
            <w:r>
              <w:rPr>
                <w:snapToGrid/>
                <w:spacing w:val="0"/>
                <w:sz w:val="20"/>
                <w:szCs w:val="24"/>
              </w:rPr>
              <w:t>500</w:t>
            </w:r>
            <w:r>
              <w:rPr>
                <w:rFonts w:hint="eastAsia"/>
                <w:snapToGrid/>
                <w:spacing w:val="0"/>
                <w:sz w:val="20"/>
                <w:szCs w:val="24"/>
                <w:lang w:val="zh-CN"/>
              </w:rPr>
              <w:t>平方米以下的土地</w:t>
            </w:r>
            <w:r>
              <w:rPr>
                <w:rFonts w:hint="eastAsia"/>
                <w:snapToGrid/>
                <w:spacing w:val="0"/>
                <w:sz w:val="20"/>
                <w:szCs w:val="24"/>
              </w:rPr>
              <w:t>；</w:t>
            </w:r>
          </w:p>
        </w:tc>
        <w:tc>
          <w:tcPr>
            <w:tcW w:w="143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2.38</w:t>
            </w:r>
          </w:p>
        </w:tc>
        <w:tc>
          <w:tcPr>
            <w:tcW w:w="126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2.86</w:t>
            </w:r>
          </w:p>
        </w:tc>
      </w:tr>
      <w:tr w:rsidR="00000000">
        <w:tblPrEx>
          <w:tblCellMar>
            <w:top w:w="0" w:type="dxa"/>
            <w:bottom w:w="0" w:type="dxa"/>
          </w:tblCellMar>
        </w:tblPrEx>
        <w:tc>
          <w:tcPr>
            <w:tcW w:w="630" w:type="dxa"/>
            <w:tcBorders>
              <w:top w:val="nil"/>
              <w:bottom w:val="nil"/>
            </w:tcBorders>
          </w:tcPr>
          <w:p w:rsidR="00000000" w:rsidRDefault="00844A84">
            <w:pPr>
              <w:spacing w:before="40" w:line="240" w:lineRule="auto"/>
              <w:jc w:val="center"/>
              <w:rPr>
                <w:snapToGrid/>
                <w:spacing w:val="0"/>
                <w:sz w:val="20"/>
              </w:rPr>
            </w:pPr>
          </w:p>
        </w:tc>
        <w:tc>
          <w:tcPr>
            <w:tcW w:w="6130" w:type="dxa"/>
            <w:tcBorders>
              <w:top w:val="nil"/>
              <w:bottom w:val="nil"/>
            </w:tcBorders>
          </w:tcPr>
          <w:p w:rsidR="00000000" w:rsidRDefault="00844A84">
            <w:pPr>
              <w:spacing w:before="40" w:line="240" w:lineRule="auto"/>
              <w:rPr>
                <w:snapToGrid/>
                <w:spacing w:val="0"/>
                <w:sz w:val="20"/>
              </w:rPr>
            </w:pPr>
            <w:r>
              <w:rPr>
                <w:rFonts w:hint="eastAsia"/>
                <w:snapToGrid/>
                <w:spacing w:val="0"/>
                <w:sz w:val="20"/>
              </w:rPr>
              <w:t>本法第</w:t>
            </w:r>
            <w:r>
              <w:rPr>
                <w:rFonts w:hint="eastAsia"/>
                <w:snapToGrid/>
                <w:spacing w:val="0"/>
                <w:sz w:val="20"/>
              </w:rPr>
              <w:t>19</w:t>
            </w:r>
            <w:r>
              <w:rPr>
                <w:rFonts w:hint="eastAsia"/>
                <w:snapToGrid/>
                <w:spacing w:val="0"/>
                <w:sz w:val="20"/>
              </w:rPr>
              <w:t>条第</w:t>
            </w:r>
            <w:r>
              <w:rPr>
                <w:rFonts w:hint="eastAsia"/>
                <w:snapToGrid/>
                <w:spacing w:val="0"/>
                <w:sz w:val="20"/>
              </w:rPr>
              <w:t>1</w:t>
            </w:r>
            <w:r>
              <w:rPr>
                <w:rFonts w:hint="eastAsia"/>
                <w:snapToGrid/>
                <w:spacing w:val="0"/>
                <w:sz w:val="20"/>
              </w:rPr>
              <w:t>款第</w:t>
            </w:r>
            <w:r>
              <w:rPr>
                <w:rFonts w:hint="eastAsia"/>
                <w:snapToGrid/>
                <w:spacing w:val="0"/>
                <w:sz w:val="20"/>
              </w:rPr>
              <w:t>2</w:t>
            </w:r>
            <w:r>
              <w:rPr>
                <w:rFonts w:hint="eastAsia"/>
                <w:snapToGrid/>
                <w:spacing w:val="0"/>
                <w:sz w:val="20"/>
              </w:rPr>
              <w:t>分段</w:t>
            </w:r>
          </w:p>
          <w:p w:rsidR="00000000" w:rsidRDefault="00844A84">
            <w:pPr>
              <w:spacing w:before="40" w:line="240" w:lineRule="auto"/>
              <w:rPr>
                <w:snapToGrid/>
                <w:spacing w:val="0"/>
                <w:sz w:val="20"/>
              </w:rPr>
            </w:pPr>
            <w:r>
              <w:rPr>
                <w:rFonts w:hint="eastAsia"/>
                <w:snapToGrid/>
                <w:spacing w:val="0"/>
                <w:sz w:val="20"/>
                <w:szCs w:val="24"/>
                <w:lang w:val="zh-CN"/>
              </w:rPr>
              <w:t>如果上一年每个家庭成员每月土地收入达到上一年每公顷良田平均收入的</w:t>
            </w:r>
            <w:r>
              <w:rPr>
                <w:snapToGrid/>
                <w:spacing w:val="0"/>
                <w:sz w:val="20"/>
                <w:szCs w:val="24"/>
              </w:rPr>
              <w:t>7%</w:t>
            </w:r>
            <w:r>
              <w:rPr>
                <w:rFonts w:hint="eastAsia"/>
                <w:snapToGrid/>
                <w:spacing w:val="0"/>
                <w:sz w:val="20"/>
                <w:szCs w:val="24"/>
              </w:rPr>
              <w:t>，</w:t>
            </w:r>
            <w:r>
              <w:rPr>
                <w:rFonts w:hint="eastAsia"/>
                <w:snapToGrid/>
                <w:spacing w:val="0"/>
                <w:sz w:val="20"/>
                <w:szCs w:val="24"/>
                <w:lang w:val="zh-CN"/>
              </w:rPr>
              <w:t>且家庭没有其他收入来源</w:t>
            </w:r>
          </w:p>
        </w:tc>
        <w:tc>
          <w:tcPr>
            <w:tcW w:w="143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5.56</w:t>
            </w:r>
          </w:p>
        </w:tc>
        <w:tc>
          <w:tcPr>
            <w:tcW w:w="1260" w:type="dxa"/>
            <w:tcBorders>
              <w:top w:val="nil"/>
              <w:bottom w:val="nil"/>
            </w:tcBorders>
          </w:tcPr>
          <w:p w:rsidR="00000000" w:rsidRDefault="00844A84">
            <w:pPr>
              <w:spacing w:before="40" w:line="240" w:lineRule="auto"/>
              <w:ind w:right="284"/>
              <w:jc w:val="right"/>
              <w:rPr>
                <w:snapToGrid/>
                <w:spacing w:val="0"/>
                <w:sz w:val="20"/>
              </w:rPr>
            </w:pPr>
            <w:r>
              <w:rPr>
                <w:snapToGrid/>
                <w:spacing w:val="0"/>
                <w:sz w:val="20"/>
              </w:rPr>
              <w:t>6.67</w:t>
            </w:r>
          </w:p>
        </w:tc>
      </w:tr>
      <w:tr w:rsidR="00000000">
        <w:tblPrEx>
          <w:tblCellMar>
            <w:top w:w="0" w:type="dxa"/>
            <w:bottom w:w="0" w:type="dxa"/>
          </w:tblCellMar>
        </w:tblPrEx>
        <w:tc>
          <w:tcPr>
            <w:tcW w:w="630" w:type="dxa"/>
            <w:tcBorders>
              <w:top w:val="nil"/>
            </w:tcBorders>
          </w:tcPr>
          <w:p w:rsidR="00000000" w:rsidRDefault="00844A84">
            <w:pPr>
              <w:spacing w:before="40" w:line="240" w:lineRule="auto"/>
              <w:jc w:val="center"/>
              <w:rPr>
                <w:snapToGrid/>
                <w:spacing w:val="0"/>
                <w:sz w:val="20"/>
              </w:rPr>
            </w:pPr>
          </w:p>
        </w:tc>
        <w:tc>
          <w:tcPr>
            <w:tcW w:w="6130" w:type="dxa"/>
            <w:tcBorders>
              <w:top w:val="nil"/>
            </w:tcBorders>
          </w:tcPr>
          <w:p w:rsidR="00000000" w:rsidRDefault="00844A84">
            <w:pPr>
              <w:spacing w:before="40" w:line="240" w:lineRule="auto"/>
              <w:rPr>
                <w:snapToGrid/>
                <w:spacing w:val="0"/>
                <w:sz w:val="20"/>
              </w:rPr>
            </w:pPr>
            <w:r>
              <w:rPr>
                <w:rFonts w:hint="eastAsia"/>
                <w:snapToGrid/>
                <w:spacing w:val="0"/>
                <w:sz w:val="20"/>
              </w:rPr>
              <w:t>对供养家庭者的补偿</w:t>
            </w:r>
          </w:p>
        </w:tc>
        <w:tc>
          <w:tcPr>
            <w:tcW w:w="1430" w:type="dxa"/>
            <w:tcBorders>
              <w:top w:val="nil"/>
            </w:tcBorders>
          </w:tcPr>
          <w:p w:rsidR="00000000" w:rsidRDefault="00844A84">
            <w:pPr>
              <w:spacing w:before="40" w:line="240" w:lineRule="auto"/>
              <w:ind w:right="284"/>
              <w:jc w:val="right"/>
              <w:rPr>
                <w:snapToGrid/>
                <w:spacing w:val="0"/>
                <w:sz w:val="20"/>
              </w:rPr>
            </w:pPr>
            <w:r>
              <w:rPr>
                <w:snapToGrid/>
                <w:spacing w:val="0"/>
                <w:sz w:val="20"/>
              </w:rPr>
              <w:t>832.00</w:t>
            </w:r>
          </w:p>
        </w:tc>
        <w:tc>
          <w:tcPr>
            <w:tcW w:w="1260" w:type="dxa"/>
            <w:tcBorders>
              <w:top w:val="nil"/>
            </w:tcBorders>
          </w:tcPr>
          <w:p w:rsidR="00000000" w:rsidRDefault="00844A84">
            <w:pPr>
              <w:spacing w:before="40" w:line="240" w:lineRule="auto"/>
              <w:ind w:right="284"/>
              <w:jc w:val="right"/>
              <w:rPr>
                <w:snapToGrid/>
                <w:spacing w:val="0"/>
                <w:sz w:val="20"/>
              </w:rPr>
            </w:pPr>
          </w:p>
        </w:tc>
      </w:tr>
    </w:tbl>
    <w:p w:rsidR="00000000" w:rsidRDefault="00844A84">
      <w:pPr>
        <w:pStyle w:val="EndnoteText"/>
        <w:spacing w:before="120" w:after="320"/>
        <w:rPr>
          <w:snapToGrid/>
          <w:sz w:val="22"/>
        </w:rPr>
      </w:pPr>
      <w:r>
        <w:rPr>
          <w:rFonts w:hint="eastAsia"/>
          <w:snapToGrid/>
          <w:sz w:val="22"/>
          <w:u w:val="single"/>
        </w:rPr>
        <w:t>资料来源</w:t>
      </w:r>
      <w:r>
        <w:rPr>
          <w:rFonts w:hint="eastAsia"/>
          <w:snapToGrid/>
          <w:sz w:val="22"/>
        </w:rPr>
        <w:t>：塞尔维亚共和国社会事务部。</w:t>
      </w:r>
    </w:p>
    <w:p w:rsidR="00000000" w:rsidRDefault="00844A84">
      <w:pPr>
        <w:spacing w:after="320"/>
        <w:rPr>
          <w:snapToGrid/>
        </w:rPr>
      </w:pPr>
      <w:r>
        <w:rPr>
          <w:rFonts w:hint="eastAsia"/>
          <w:snapToGrid/>
        </w:rPr>
        <w:tab/>
        <w:t xml:space="preserve">195.  </w:t>
      </w:r>
      <w:r>
        <w:rPr>
          <w:rFonts w:hint="eastAsia"/>
          <w:snapToGrid/>
        </w:rPr>
        <w:t>以下是</w:t>
      </w:r>
      <w:r>
        <w:rPr>
          <w:rFonts w:hint="eastAsia"/>
          <w:snapToGrid/>
        </w:rPr>
        <w:t>2002</w:t>
      </w:r>
      <w:r>
        <w:rPr>
          <w:rFonts w:hint="eastAsia"/>
          <w:snapToGrid/>
        </w:rPr>
        <w:t>年</w:t>
      </w:r>
      <w:r>
        <w:rPr>
          <w:rFonts w:hint="eastAsia"/>
          <w:snapToGrid/>
        </w:rPr>
        <w:t>1</w:t>
      </w:r>
      <w:r>
        <w:rPr>
          <w:rFonts w:hint="eastAsia"/>
          <w:snapToGrid/>
        </w:rPr>
        <w:t>月至</w:t>
      </w:r>
      <w:r>
        <w:rPr>
          <w:rFonts w:hint="eastAsia"/>
          <w:snapToGrid/>
        </w:rPr>
        <w:t>11</w:t>
      </w:r>
      <w:r>
        <w:rPr>
          <w:rFonts w:hint="eastAsia"/>
          <w:snapToGrid/>
        </w:rPr>
        <w:t>月有子女家</w:t>
      </w:r>
      <w:r>
        <w:rPr>
          <w:rFonts w:hint="eastAsia"/>
          <w:snapToGrid/>
        </w:rPr>
        <w:t>庭获得经济支持的规划和实际支付情况以及每月的受益人数细目。</w:t>
      </w:r>
    </w:p>
    <w:p w:rsidR="00000000" w:rsidRDefault="00844A84">
      <w:pPr>
        <w:pStyle w:val="Heading3"/>
      </w:pPr>
      <w:r>
        <w:rPr>
          <w:rFonts w:hint="eastAsia"/>
          <w:u w:val="none"/>
        </w:rPr>
        <w:t>表</w:t>
      </w:r>
      <w:r>
        <w:rPr>
          <w:rFonts w:hint="eastAsia"/>
          <w:u w:val="none"/>
        </w:rPr>
        <w:t xml:space="preserve"> 6</w:t>
      </w:r>
      <w:r>
        <w:rPr>
          <w:u w:val="none"/>
        </w:rPr>
        <w:br/>
      </w:r>
      <w:r>
        <w:rPr>
          <w:rFonts w:hint="eastAsia"/>
        </w:rPr>
        <w:t>对家庭的经济支持</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2835"/>
        <w:gridCol w:w="1470"/>
        <w:gridCol w:w="1575"/>
        <w:gridCol w:w="945"/>
        <w:gridCol w:w="1681"/>
      </w:tblGrid>
      <w:tr w:rsidR="00000000">
        <w:tblPrEx>
          <w:tblCellMar>
            <w:top w:w="0" w:type="dxa"/>
            <w:bottom w:w="0" w:type="dxa"/>
          </w:tblCellMar>
        </w:tblPrEx>
        <w:tc>
          <w:tcPr>
            <w:tcW w:w="525" w:type="dxa"/>
            <w:vAlign w:val="center"/>
          </w:tcPr>
          <w:p w:rsidR="00000000" w:rsidRDefault="00844A84">
            <w:pPr>
              <w:spacing w:line="264" w:lineRule="auto"/>
              <w:jc w:val="center"/>
              <w:rPr>
                <w:b/>
                <w:bCs/>
                <w:snapToGrid/>
                <w:sz w:val="20"/>
              </w:rPr>
            </w:pPr>
          </w:p>
        </w:tc>
        <w:tc>
          <w:tcPr>
            <w:tcW w:w="2835" w:type="dxa"/>
            <w:vAlign w:val="center"/>
          </w:tcPr>
          <w:p w:rsidR="00000000" w:rsidRDefault="00844A84">
            <w:pPr>
              <w:spacing w:line="264" w:lineRule="auto"/>
              <w:jc w:val="center"/>
              <w:rPr>
                <w:b/>
                <w:bCs/>
                <w:snapToGrid/>
                <w:sz w:val="20"/>
              </w:rPr>
            </w:pPr>
            <w:r>
              <w:rPr>
                <w:rFonts w:hint="eastAsia"/>
                <w:b/>
                <w:bCs/>
                <w:snapToGrid/>
                <w:sz w:val="20"/>
              </w:rPr>
              <w:t>权利类型</w:t>
            </w:r>
          </w:p>
        </w:tc>
        <w:tc>
          <w:tcPr>
            <w:tcW w:w="1470" w:type="dxa"/>
            <w:vAlign w:val="center"/>
          </w:tcPr>
          <w:p w:rsidR="00000000" w:rsidRDefault="00844A84">
            <w:pPr>
              <w:spacing w:line="264" w:lineRule="auto"/>
              <w:jc w:val="center"/>
              <w:rPr>
                <w:b/>
                <w:bCs/>
                <w:snapToGrid/>
                <w:sz w:val="20"/>
              </w:rPr>
            </w:pPr>
            <w:r>
              <w:rPr>
                <w:b/>
                <w:bCs/>
                <w:snapToGrid/>
                <w:sz w:val="20"/>
                <w:szCs w:val="24"/>
              </w:rPr>
              <w:t>2002</w:t>
            </w:r>
            <w:r>
              <w:rPr>
                <w:rFonts w:hint="eastAsia"/>
                <w:b/>
                <w:bCs/>
                <w:snapToGrid/>
                <w:sz w:val="20"/>
                <w:szCs w:val="24"/>
                <w:lang w:val="zh-CN"/>
              </w:rPr>
              <w:t>经济</w:t>
            </w:r>
            <w:r>
              <w:rPr>
                <w:b/>
                <w:bCs/>
                <w:snapToGrid/>
                <w:sz w:val="20"/>
                <w:szCs w:val="24"/>
                <w:lang w:val="zh-CN"/>
              </w:rPr>
              <w:br/>
            </w:r>
            <w:r>
              <w:rPr>
                <w:rFonts w:hint="eastAsia"/>
                <w:b/>
                <w:bCs/>
                <w:snapToGrid/>
                <w:sz w:val="20"/>
                <w:szCs w:val="24"/>
                <w:lang w:val="zh-CN"/>
              </w:rPr>
              <w:t>支持计划</w:t>
            </w:r>
          </w:p>
        </w:tc>
        <w:tc>
          <w:tcPr>
            <w:tcW w:w="1575" w:type="dxa"/>
            <w:vAlign w:val="center"/>
          </w:tcPr>
          <w:p w:rsidR="00000000" w:rsidRDefault="00844A84">
            <w:pPr>
              <w:spacing w:line="264" w:lineRule="auto"/>
              <w:jc w:val="center"/>
              <w:rPr>
                <w:b/>
                <w:bCs/>
                <w:snapToGrid/>
                <w:sz w:val="20"/>
              </w:rPr>
            </w:pPr>
            <w:r>
              <w:rPr>
                <w:b/>
                <w:bCs/>
                <w:snapToGrid/>
                <w:sz w:val="20"/>
                <w:szCs w:val="24"/>
              </w:rPr>
              <w:t>2002</w:t>
            </w:r>
            <w:r>
              <w:rPr>
                <w:rFonts w:hint="eastAsia"/>
                <w:b/>
                <w:bCs/>
                <w:snapToGrid/>
                <w:sz w:val="20"/>
                <w:szCs w:val="24"/>
                <w:lang w:val="zh-CN"/>
              </w:rPr>
              <w:t>年</w:t>
            </w:r>
            <w:r>
              <w:rPr>
                <w:b/>
                <w:bCs/>
                <w:snapToGrid/>
                <w:sz w:val="20"/>
                <w:szCs w:val="24"/>
              </w:rPr>
              <w:t>1</w:t>
            </w:r>
            <w:r>
              <w:rPr>
                <w:rFonts w:hint="eastAsia"/>
                <w:b/>
                <w:bCs/>
                <w:snapToGrid/>
                <w:sz w:val="20"/>
                <w:szCs w:val="24"/>
              </w:rPr>
              <w:t>-</w:t>
            </w:r>
            <w:r>
              <w:rPr>
                <w:b/>
                <w:bCs/>
                <w:snapToGrid/>
                <w:sz w:val="20"/>
                <w:szCs w:val="24"/>
              </w:rPr>
              <w:t>11</w:t>
            </w:r>
            <w:r>
              <w:rPr>
                <w:rFonts w:hint="eastAsia"/>
                <w:b/>
                <w:bCs/>
                <w:snapToGrid/>
                <w:sz w:val="20"/>
                <w:szCs w:val="24"/>
                <w:lang w:val="zh-CN"/>
              </w:rPr>
              <w:t>月经济支持计划执行</w:t>
            </w:r>
            <w:r>
              <w:rPr>
                <w:b/>
                <w:bCs/>
                <w:snapToGrid/>
                <w:sz w:val="20"/>
                <w:szCs w:val="24"/>
                <w:lang w:val="zh-CN"/>
              </w:rPr>
              <w:br/>
            </w:r>
            <w:r>
              <w:rPr>
                <w:rFonts w:hint="eastAsia"/>
                <w:b/>
                <w:bCs/>
                <w:snapToGrid/>
                <w:sz w:val="20"/>
                <w:szCs w:val="24"/>
                <w:lang w:val="zh-CN"/>
              </w:rPr>
              <w:t>情况</w:t>
            </w:r>
          </w:p>
        </w:tc>
        <w:tc>
          <w:tcPr>
            <w:tcW w:w="945" w:type="dxa"/>
            <w:vAlign w:val="center"/>
          </w:tcPr>
          <w:p w:rsidR="00000000" w:rsidRDefault="00844A84">
            <w:pPr>
              <w:spacing w:line="264" w:lineRule="auto"/>
              <w:ind w:right="-3"/>
              <w:jc w:val="center"/>
              <w:rPr>
                <w:b/>
                <w:bCs/>
                <w:snapToGrid/>
                <w:sz w:val="20"/>
              </w:rPr>
            </w:pPr>
            <w:r>
              <w:rPr>
                <w:rFonts w:hint="eastAsia"/>
                <w:b/>
                <w:bCs/>
                <w:snapToGrid/>
                <w:sz w:val="20"/>
              </w:rPr>
              <w:t>指</w:t>
            </w:r>
            <w:r>
              <w:rPr>
                <w:rFonts w:hint="eastAsia"/>
                <w:b/>
                <w:bCs/>
                <w:snapToGrid/>
                <w:sz w:val="20"/>
              </w:rPr>
              <w:t xml:space="preserve">  </w:t>
            </w:r>
            <w:r>
              <w:rPr>
                <w:rFonts w:hint="eastAsia"/>
                <w:b/>
                <w:bCs/>
                <w:snapToGrid/>
                <w:sz w:val="20"/>
              </w:rPr>
              <w:t>数</w:t>
            </w:r>
          </w:p>
        </w:tc>
        <w:tc>
          <w:tcPr>
            <w:tcW w:w="1681" w:type="dxa"/>
            <w:vAlign w:val="center"/>
          </w:tcPr>
          <w:p w:rsidR="00000000" w:rsidRDefault="00844A84">
            <w:pPr>
              <w:spacing w:line="264" w:lineRule="auto"/>
              <w:jc w:val="center"/>
              <w:rPr>
                <w:b/>
                <w:bCs/>
                <w:snapToGrid/>
                <w:sz w:val="20"/>
              </w:rPr>
            </w:pPr>
            <w:r>
              <w:rPr>
                <w:rFonts w:hint="eastAsia"/>
                <w:b/>
                <w:bCs/>
                <w:snapToGrid/>
                <w:sz w:val="20"/>
              </w:rPr>
              <w:t>每月平均受益人</w:t>
            </w:r>
            <w:r>
              <w:rPr>
                <w:rFonts w:hint="eastAsia"/>
                <w:b/>
                <w:bCs/>
                <w:snapToGrid/>
                <w:sz w:val="20"/>
              </w:rPr>
              <w:t>(</w:t>
            </w:r>
            <w:r>
              <w:rPr>
                <w:rFonts w:hint="eastAsia"/>
                <w:b/>
                <w:bCs/>
                <w:snapToGrid/>
                <w:sz w:val="20"/>
              </w:rPr>
              <w:t>儿童</w:t>
            </w:r>
            <w:r>
              <w:rPr>
                <w:rFonts w:hint="eastAsia"/>
                <w:b/>
                <w:bCs/>
                <w:snapToGrid/>
                <w:sz w:val="20"/>
              </w:rPr>
              <w:t>)</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1.</w:t>
            </w:r>
          </w:p>
        </w:tc>
        <w:tc>
          <w:tcPr>
            <w:tcW w:w="2835" w:type="dxa"/>
          </w:tcPr>
          <w:p w:rsidR="00000000" w:rsidRDefault="00844A84">
            <w:pPr>
              <w:spacing w:before="40" w:line="264" w:lineRule="auto"/>
              <w:rPr>
                <w:snapToGrid/>
                <w:spacing w:val="0"/>
                <w:sz w:val="20"/>
              </w:rPr>
            </w:pPr>
            <w:r>
              <w:rPr>
                <w:rFonts w:hint="eastAsia"/>
                <w:snapToGrid/>
                <w:spacing w:val="0"/>
                <w:sz w:val="20"/>
              </w:rPr>
              <w:t>向新生儿母亲发放的工资补贴</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2,262,000,000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2,844,673,238</w:t>
            </w:r>
          </w:p>
        </w:tc>
        <w:tc>
          <w:tcPr>
            <w:tcW w:w="945" w:type="dxa"/>
          </w:tcPr>
          <w:p w:rsidR="00000000" w:rsidRDefault="00844A84">
            <w:pPr>
              <w:spacing w:before="40" w:line="264" w:lineRule="auto"/>
              <w:ind w:right="113"/>
              <w:jc w:val="center"/>
              <w:rPr>
                <w:snapToGrid/>
                <w:spacing w:val="0"/>
                <w:sz w:val="20"/>
              </w:rPr>
            </w:pPr>
            <w:r>
              <w:rPr>
                <w:snapToGrid/>
                <w:spacing w:val="0"/>
                <w:sz w:val="20"/>
              </w:rPr>
              <w:t>125.7</w:t>
            </w:r>
          </w:p>
        </w:tc>
        <w:tc>
          <w:tcPr>
            <w:tcW w:w="1681" w:type="dxa"/>
          </w:tcPr>
          <w:p w:rsidR="00000000" w:rsidRDefault="00844A84">
            <w:pPr>
              <w:spacing w:before="40" w:line="264" w:lineRule="auto"/>
              <w:ind w:right="313"/>
              <w:jc w:val="right"/>
              <w:rPr>
                <w:snapToGrid/>
                <w:spacing w:val="0"/>
                <w:sz w:val="20"/>
              </w:rPr>
            </w:pPr>
            <w:r>
              <w:rPr>
                <w:snapToGrid/>
                <w:spacing w:val="0"/>
                <w:sz w:val="20"/>
              </w:rPr>
              <w:t>24,500</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2.</w:t>
            </w:r>
          </w:p>
        </w:tc>
        <w:tc>
          <w:tcPr>
            <w:tcW w:w="2835" w:type="dxa"/>
          </w:tcPr>
          <w:p w:rsidR="00000000" w:rsidRDefault="00844A84">
            <w:pPr>
              <w:spacing w:before="40" w:line="264" w:lineRule="auto"/>
              <w:rPr>
                <w:snapToGrid/>
                <w:spacing w:val="0"/>
                <w:sz w:val="20"/>
              </w:rPr>
            </w:pPr>
            <w:r>
              <w:rPr>
                <w:rFonts w:hint="eastAsia"/>
                <w:snapToGrid/>
                <w:spacing w:val="0"/>
                <w:sz w:val="20"/>
              </w:rPr>
              <w:t>孕产妇津贴</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510,000,000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456,067,177</w:t>
            </w:r>
          </w:p>
        </w:tc>
        <w:tc>
          <w:tcPr>
            <w:tcW w:w="945" w:type="dxa"/>
          </w:tcPr>
          <w:p w:rsidR="00000000" w:rsidRDefault="00844A84">
            <w:pPr>
              <w:spacing w:before="40" w:line="264" w:lineRule="auto"/>
              <w:ind w:right="8"/>
              <w:jc w:val="center"/>
              <w:rPr>
                <w:snapToGrid/>
                <w:spacing w:val="0"/>
                <w:sz w:val="20"/>
              </w:rPr>
            </w:pPr>
            <w:r>
              <w:rPr>
                <w:snapToGrid/>
                <w:spacing w:val="0"/>
                <w:sz w:val="20"/>
              </w:rPr>
              <w:t>89.4</w:t>
            </w:r>
          </w:p>
        </w:tc>
        <w:tc>
          <w:tcPr>
            <w:tcW w:w="1681" w:type="dxa"/>
          </w:tcPr>
          <w:p w:rsidR="00000000" w:rsidRDefault="00844A84">
            <w:pPr>
              <w:spacing w:before="40" w:line="264" w:lineRule="auto"/>
              <w:ind w:right="313"/>
              <w:jc w:val="right"/>
              <w:rPr>
                <w:snapToGrid/>
                <w:spacing w:val="0"/>
                <w:sz w:val="20"/>
              </w:rPr>
            </w:pPr>
            <w:r>
              <w:rPr>
                <w:snapToGrid/>
                <w:spacing w:val="0"/>
                <w:sz w:val="20"/>
              </w:rPr>
              <w:t>37,676</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3.</w:t>
            </w:r>
          </w:p>
        </w:tc>
        <w:tc>
          <w:tcPr>
            <w:tcW w:w="2835" w:type="dxa"/>
          </w:tcPr>
          <w:p w:rsidR="00000000" w:rsidRDefault="00844A84">
            <w:pPr>
              <w:spacing w:before="40" w:line="264" w:lineRule="auto"/>
              <w:rPr>
                <w:snapToGrid/>
                <w:spacing w:val="0"/>
                <w:sz w:val="20"/>
              </w:rPr>
            </w:pPr>
            <w:r>
              <w:rPr>
                <w:rFonts w:hint="eastAsia"/>
                <w:snapToGrid/>
                <w:spacing w:val="0"/>
                <w:sz w:val="20"/>
              </w:rPr>
              <w:t>婴儿用品津贴</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300,000,000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149,954</w:t>
            </w:r>
            <w:r>
              <w:rPr>
                <w:rFonts w:hint="eastAsia"/>
                <w:snapToGrid/>
                <w:spacing w:val="0"/>
                <w:sz w:val="20"/>
              </w:rPr>
              <w:t xml:space="preserve"> </w:t>
            </w:r>
            <w:r>
              <w:rPr>
                <w:snapToGrid/>
                <w:spacing w:val="0"/>
                <w:sz w:val="20"/>
              </w:rPr>
              <w:t>994</w:t>
            </w:r>
          </w:p>
        </w:tc>
        <w:tc>
          <w:tcPr>
            <w:tcW w:w="945" w:type="dxa"/>
          </w:tcPr>
          <w:p w:rsidR="00000000" w:rsidRDefault="00844A84">
            <w:pPr>
              <w:spacing w:before="40" w:line="264" w:lineRule="auto"/>
              <w:ind w:right="8"/>
              <w:jc w:val="center"/>
              <w:rPr>
                <w:snapToGrid/>
                <w:spacing w:val="0"/>
                <w:sz w:val="20"/>
              </w:rPr>
            </w:pPr>
            <w:r>
              <w:rPr>
                <w:snapToGrid/>
                <w:spacing w:val="0"/>
                <w:sz w:val="20"/>
              </w:rPr>
              <w:t>50.0</w:t>
            </w:r>
          </w:p>
        </w:tc>
        <w:tc>
          <w:tcPr>
            <w:tcW w:w="1681" w:type="dxa"/>
          </w:tcPr>
          <w:p w:rsidR="00000000" w:rsidRDefault="00844A84">
            <w:pPr>
              <w:spacing w:before="40" w:line="264" w:lineRule="auto"/>
              <w:ind w:right="313"/>
              <w:jc w:val="right"/>
              <w:rPr>
                <w:snapToGrid/>
                <w:spacing w:val="0"/>
                <w:sz w:val="20"/>
              </w:rPr>
            </w:pPr>
            <w:r>
              <w:rPr>
                <w:snapToGrid/>
                <w:spacing w:val="0"/>
                <w:sz w:val="20"/>
              </w:rPr>
              <w:t>3,253</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4.</w:t>
            </w:r>
          </w:p>
        </w:tc>
        <w:tc>
          <w:tcPr>
            <w:tcW w:w="2835" w:type="dxa"/>
          </w:tcPr>
          <w:p w:rsidR="00000000" w:rsidRDefault="00844A84">
            <w:pPr>
              <w:spacing w:before="40" w:line="264" w:lineRule="auto"/>
              <w:rPr>
                <w:snapToGrid/>
                <w:spacing w:val="0"/>
                <w:sz w:val="20"/>
              </w:rPr>
            </w:pPr>
            <w:r>
              <w:rPr>
                <w:rFonts w:hint="eastAsia"/>
                <w:snapToGrid/>
                <w:spacing w:val="0"/>
                <w:sz w:val="20"/>
              </w:rPr>
              <w:t>给</w:t>
            </w:r>
            <w:r>
              <w:rPr>
                <w:rFonts w:hint="eastAsia"/>
                <w:snapToGrid/>
                <w:spacing w:val="0"/>
                <w:sz w:val="20"/>
              </w:rPr>
              <w:t>难民母亲的补助</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10,000,000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8,274,125</w:t>
            </w:r>
          </w:p>
        </w:tc>
        <w:tc>
          <w:tcPr>
            <w:tcW w:w="945" w:type="dxa"/>
          </w:tcPr>
          <w:p w:rsidR="00000000" w:rsidRDefault="00844A84">
            <w:pPr>
              <w:spacing w:before="40" w:line="264" w:lineRule="auto"/>
              <w:ind w:right="8"/>
              <w:jc w:val="center"/>
              <w:rPr>
                <w:snapToGrid/>
                <w:spacing w:val="0"/>
                <w:sz w:val="20"/>
              </w:rPr>
            </w:pPr>
            <w:r>
              <w:rPr>
                <w:snapToGrid/>
                <w:spacing w:val="0"/>
                <w:sz w:val="20"/>
              </w:rPr>
              <w:t>82.7</w:t>
            </w:r>
          </w:p>
        </w:tc>
        <w:tc>
          <w:tcPr>
            <w:tcW w:w="1681" w:type="dxa"/>
          </w:tcPr>
          <w:p w:rsidR="00000000" w:rsidRDefault="00844A84">
            <w:pPr>
              <w:spacing w:before="40" w:line="264" w:lineRule="auto"/>
              <w:ind w:right="313"/>
              <w:jc w:val="right"/>
              <w:rPr>
                <w:snapToGrid/>
                <w:spacing w:val="0"/>
                <w:sz w:val="20"/>
              </w:rPr>
            </w:pPr>
            <w:r>
              <w:rPr>
                <w:snapToGrid/>
                <w:spacing w:val="0"/>
                <w:sz w:val="20"/>
              </w:rPr>
              <w:t>900</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5.</w:t>
            </w:r>
          </w:p>
        </w:tc>
        <w:tc>
          <w:tcPr>
            <w:tcW w:w="2835" w:type="dxa"/>
          </w:tcPr>
          <w:p w:rsidR="00000000" w:rsidRDefault="00844A84">
            <w:pPr>
              <w:spacing w:before="40" w:line="264" w:lineRule="auto"/>
              <w:rPr>
                <w:snapToGrid/>
                <w:spacing w:val="0"/>
                <w:sz w:val="20"/>
              </w:rPr>
            </w:pPr>
            <w:r>
              <w:rPr>
                <w:rFonts w:hint="eastAsia"/>
                <w:snapToGrid/>
                <w:spacing w:val="0"/>
                <w:sz w:val="20"/>
              </w:rPr>
              <w:t>儿童津贴</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837,000,000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6,135,486,686</w:t>
            </w:r>
          </w:p>
        </w:tc>
        <w:tc>
          <w:tcPr>
            <w:tcW w:w="945" w:type="dxa"/>
          </w:tcPr>
          <w:p w:rsidR="00000000" w:rsidRDefault="00844A84">
            <w:pPr>
              <w:spacing w:before="40" w:line="264" w:lineRule="auto"/>
              <w:ind w:right="8"/>
              <w:jc w:val="center"/>
              <w:rPr>
                <w:snapToGrid/>
                <w:spacing w:val="0"/>
                <w:sz w:val="20"/>
              </w:rPr>
            </w:pPr>
            <w:r>
              <w:rPr>
                <w:snapToGrid/>
                <w:spacing w:val="0"/>
                <w:sz w:val="20"/>
              </w:rPr>
              <w:t>73.3</w:t>
            </w:r>
          </w:p>
        </w:tc>
        <w:tc>
          <w:tcPr>
            <w:tcW w:w="1681" w:type="dxa"/>
          </w:tcPr>
          <w:p w:rsidR="00000000" w:rsidRDefault="00844A84">
            <w:pPr>
              <w:spacing w:before="40" w:line="264" w:lineRule="auto"/>
              <w:rPr>
                <w:snapToGrid/>
                <w:spacing w:val="-6"/>
                <w:sz w:val="20"/>
              </w:rPr>
            </w:pPr>
            <w:r>
              <w:rPr>
                <w:snapToGrid/>
                <w:spacing w:val="-6"/>
                <w:sz w:val="20"/>
              </w:rPr>
              <w:t>267,600</w:t>
            </w:r>
            <w:r>
              <w:rPr>
                <w:rFonts w:hint="eastAsia"/>
                <w:snapToGrid/>
                <w:spacing w:val="-6"/>
                <w:sz w:val="20"/>
              </w:rPr>
              <w:t>个受益人数，其中</w:t>
            </w:r>
            <w:r>
              <w:rPr>
                <w:snapToGrid/>
                <w:spacing w:val="-6"/>
                <w:sz w:val="20"/>
              </w:rPr>
              <w:t>458,420</w:t>
            </w:r>
            <w:r>
              <w:rPr>
                <w:rFonts w:hint="eastAsia"/>
                <w:snapToGrid/>
                <w:spacing w:val="-6"/>
                <w:sz w:val="20"/>
              </w:rPr>
              <w:t>个儿童</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6.</w:t>
            </w:r>
          </w:p>
        </w:tc>
        <w:tc>
          <w:tcPr>
            <w:tcW w:w="2835" w:type="dxa"/>
          </w:tcPr>
          <w:p w:rsidR="00000000" w:rsidRDefault="00844A84">
            <w:pPr>
              <w:spacing w:before="40" w:line="264" w:lineRule="auto"/>
              <w:rPr>
                <w:snapToGrid/>
                <w:spacing w:val="0"/>
                <w:sz w:val="20"/>
              </w:rPr>
            </w:pPr>
            <w:r>
              <w:rPr>
                <w:rFonts w:hint="eastAsia"/>
                <w:snapToGrid/>
                <w:spacing w:val="0"/>
                <w:sz w:val="20"/>
              </w:rPr>
              <w:t>家庭津贴</w:t>
            </w:r>
          </w:p>
        </w:tc>
        <w:tc>
          <w:tcPr>
            <w:tcW w:w="1470" w:type="dxa"/>
          </w:tcPr>
          <w:p w:rsidR="00000000" w:rsidRDefault="00844A84">
            <w:pPr>
              <w:tabs>
                <w:tab w:val="left" w:pos="1254"/>
              </w:tabs>
              <w:spacing w:before="40" w:line="264" w:lineRule="auto"/>
              <w:ind w:right="102"/>
              <w:jc w:val="right"/>
              <w:rPr>
                <w:snapToGrid/>
                <w:spacing w:val="0"/>
                <w:sz w:val="20"/>
              </w:rPr>
            </w:pP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702,</w:t>
            </w:r>
            <w:r>
              <w:rPr>
                <w:rFonts w:hint="eastAsia"/>
                <w:snapToGrid/>
                <w:spacing w:val="0"/>
                <w:sz w:val="20"/>
              </w:rPr>
              <w:t>1</w:t>
            </w:r>
            <w:r>
              <w:rPr>
                <w:snapToGrid/>
                <w:spacing w:val="0"/>
                <w:sz w:val="20"/>
              </w:rPr>
              <w:t>50,394</w:t>
            </w:r>
          </w:p>
        </w:tc>
        <w:tc>
          <w:tcPr>
            <w:tcW w:w="945" w:type="dxa"/>
          </w:tcPr>
          <w:p w:rsidR="00000000" w:rsidRDefault="00844A84">
            <w:pPr>
              <w:spacing w:before="40" w:line="264" w:lineRule="auto"/>
              <w:ind w:right="8"/>
              <w:jc w:val="center"/>
              <w:rPr>
                <w:snapToGrid/>
                <w:spacing w:val="0"/>
                <w:sz w:val="20"/>
              </w:rPr>
            </w:pPr>
          </w:p>
        </w:tc>
        <w:tc>
          <w:tcPr>
            <w:tcW w:w="1681" w:type="dxa"/>
          </w:tcPr>
          <w:p w:rsidR="00000000" w:rsidRDefault="00844A84">
            <w:pPr>
              <w:spacing w:before="40" w:line="264" w:lineRule="auto"/>
              <w:ind w:right="313"/>
              <w:jc w:val="right"/>
              <w:rPr>
                <w:snapToGrid/>
                <w:spacing w:val="0"/>
                <w:sz w:val="20"/>
              </w:rPr>
            </w:pPr>
            <w:r>
              <w:rPr>
                <w:snapToGrid/>
                <w:spacing w:val="0"/>
                <w:sz w:val="20"/>
              </w:rPr>
              <w:t>2,090</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7.</w:t>
            </w:r>
          </w:p>
        </w:tc>
        <w:tc>
          <w:tcPr>
            <w:tcW w:w="2835" w:type="dxa"/>
          </w:tcPr>
          <w:p w:rsidR="00000000" w:rsidRDefault="00844A84">
            <w:pPr>
              <w:spacing w:before="40" w:line="264" w:lineRule="auto"/>
              <w:rPr>
                <w:snapToGrid/>
                <w:spacing w:val="0"/>
                <w:sz w:val="20"/>
              </w:rPr>
            </w:pPr>
            <w:r>
              <w:rPr>
                <w:rFonts w:hint="eastAsia"/>
                <w:snapToGrid/>
                <w:spacing w:val="0"/>
                <w:sz w:val="20"/>
              </w:rPr>
              <w:t>学龄前学校权利</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840,000,000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627,433,544</w:t>
            </w:r>
          </w:p>
        </w:tc>
        <w:tc>
          <w:tcPr>
            <w:tcW w:w="945" w:type="dxa"/>
          </w:tcPr>
          <w:p w:rsidR="00000000" w:rsidRDefault="00844A84">
            <w:pPr>
              <w:spacing w:before="40" w:line="264" w:lineRule="auto"/>
              <w:ind w:right="8"/>
              <w:jc w:val="center"/>
              <w:rPr>
                <w:snapToGrid/>
                <w:spacing w:val="0"/>
                <w:sz w:val="20"/>
              </w:rPr>
            </w:pPr>
            <w:r>
              <w:rPr>
                <w:snapToGrid/>
                <w:spacing w:val="0"/>
                <w:sz w:val="20"/>
              </w:rPr>
              <w:t>74.7</w:t>
            </w:r>
          </w:p>
        </w:tc>
        <w:tc>
          <w:tcPr>
            <w:tcW w:w="1681" w:type="dxa"/>
          </w:tcPr>
          <w:p w:rsidR="00000000" w:rsidRDefault="00844A84">
            <w:pPr>
              <w:spacing w:before="40" w:line="264" w:lineRule="auto"/>
              <w:ind w:right="313"/>
              <w:jc w:val="right"/>
              <w:rPr>
                <w:snapToGrid/>
                <w:spacing w:val="0"/>
                <w:sz w:val="20"/>
              </w:rPr>
            </w:pPr>
            <w:r>
              <w:rPr>
                <w:snapToGrid/>
                <w:spacing w:val="0"/>
                <w:sz w:val="20"/>
              </w:rPr>
              <w:t>76,667</w:t>
            </w: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8.</w:t>
            </w:r>
          </w:p>
        </w:tc>
        <w:tc>
          <w:tcPr>
            <w:tcW w:w="2835" w:type="dxa"/>
          </w:tcPr>
          <w:p w:rsidR="00000000" w:rsidRDefault="00844A84">
            <w:pPr>
              <w:spacing w:before="40" w:line="264" w:lineRule="auto"/>
              <w:rPr>
                <w:snapToGrid/>
                <w:spacing w:val="0"/>
                <w:sz w:val="20"/>
              </w:rPr>
            </w:pPr>
            <w:r>
              <w:rPr>
                <w:rFonts w:hint="eastAsia"/>
                <w:snapToGrid/>
                <w:spacing w:val="0"/>
                <w:sz w:val="20"/>
              </w:rPr>
              <w:t>其他权利和义务</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50,000,000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68,385,223</w:t>
            </w:r>
          </w:p>
        </w:tc>
        <w:tc>
          <w:tcPr>
            <w:tcW w:w="945" w:type="dxa"/>
          </w:tcPr>
          <w:p w:rsidR="00000000" w:rsidRDefault="00844A84">
            <w:pPr>
              <w:spacing w:before="40" w:line="264" w:lineRule="auto"/>
              <w:ind w:right="113"/>
              <w:jc w:val="center"/>
              <w:rPr>
                <w:snapToGrid/>
                <w:spacing w:val="0"/>
                <w:sz w:val="20"/>
              </w:rPr>
            </w:pPr>
            <w:r>
              <w:rPr>
                <w:snapToGrid/>
                <w:spacing w:val="0"/>
                <w:sz w:val="20"/>
              </w:rPr>
              <w:t>136.8</w:t>
            </w:r>
          </w:p>
        </w:tc>
        <w:tc>
          <w:tcPr>
            <w:tcW w:w="1681" w:type="dxa"/>
          </w:tcPr>
          <w:p w:rsidR="00000000" w:rsidRDefault="00844A84">
            <w:pPr>
              <w:spacing w:before="40" w:line="264" w:lineRule="auto"/>
              <w:rPr>
                <w:snapToGrid/>
                <w:spacing w:val="0"/>
                <w:sz w:val="20"/>
              </w:rPr>
            </w:pP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9.</w:t>
            </w:r>
          </w:p>
        </w:tc>
        <w:tc>
          <w:tcPr>
            <w:tcW w:w="2835" w:type="dxa"/>
          </w:tcPr>
          <w:p w:rsidR="00000000" w:rsidRDefault="00844A84">
            <w:pPr>
              <w:spacing w:before="40" w:line="264" w:lineRule="auto"/>
              <w:rPr>
                <w:snapToGrid/>
                <w:spacing w:val="0"/>
                <w:sz w:val="20"/>
              </w:rPr>
            </w:pPr>
            <w:r>
              <w:rPr>
                <w:rFonts w:hint="eastAsia"/>
                <w:snapToGrid/>
                <w:spacing w:val="0"/>
                <w:sz w:val="20"/>
              </w:rPr>
              <w:t>儿童和孕产妇补贴义务</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220,000,000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279,411</w:t>
            </w:r>
            <w:r>
              <w:rPr>
                <w:snapToGrid/>
                <w:spacing w:val="0"/>
                <w:sz w:val="20"/>
              </w:rPr>
              <w:t>,835</w:t>
            </w:r>
          </w:p>
        </w:tc>
        <w:tc>
          <w:tcPr>
            <w:tcW w:w="945" w:type="dxa"/>
          </w:tcPr>
          <w:p w:rsidR="00000000" w:rsidRDefault="00844A84">
            <w:pPr>
              <w:tabs>
                <w:tab w:val="left" w:pos="647"/>
              </w:tabs>
              <w:spacing w:before="40" w:line="264" w:lineRule="auto"/>
              <w:ind w:right="113"/>
              <w:jc w:val="center"/>
              <w:rPr>
                <w:snapToGrid/>
                <w:spacing w:val="0"/>
                <w:sz w:val="20"/>
              </w:rPr>
            </w:pPr>
            <w:r>
              <w:rPr>
                <w:snapToGrid/>
                <w:spacing w:val="0"/>
                <w:sz w:val="20"/>
              </w:rPr>
              <w:t>127.0</w:t>
            </w:r>
          </w:p>
        </w:tc>
        <w:tc>
          <w:tcPr>
            <w:tcW w:w="1681" w:type="dxa"/>
          </w:tcPr>
          <w:p w:rsidR="00000000" w:rsidRDefault="00844A84">
            <w:pPr>
              <w:spacing w:before="40" w:line="264" w:lineRule="auto"/>
              <w:rPr>
                <w:snapToGrid/>
                <w:spacing w:val="0"/>
                <w:sz w:val="20"/>
              </w:rPr>
            </w:pP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r>
              <w:rPr>
                <w:snapToGrid/>
                <w:spacing w:val="0"/>
                <w:sz w:val="20"/>
              </w:rPr>
              <w:t>10.</w:t>
            </w:r>
          </w:p>
        </w:tc>
        <w:tc>
          <w:tcPr>
            <w:tcW w:w="2835" w:type="dxa"/>
          </w:tcPr>
          <w:p w:rsidR="00000000" w:rsidRDefault="00844A84">
            <w:pPr>
              <w:spacing w:before="40" w:line="264" w:lineRule="auto"/>
              <w:rPr>
                <w:snapToGrid/>
                <w:spacing w:val="0"/>
                <w:sz w:val="20"/>
              </w:rPr>
            </w:pPr>
            <w:r>
              <w:rPr>
                <w:rFonts w:hint="eastAsia"/>
                <w:snapToGrid/>
                <w:spacing w:val="0"/>
                <w:sz w:val="20"/>
              </w:rPr>
              <w:t>儿童周</w:t>
            </w:r>
          </w:p>
        </w:tc>
        <w:tc>
          <w:tcPr>
            <w:tcW w:w="1470" w:type="dxa"/>
          </w:tcPr>
          <w:p w:rsidR="00000000" w:rsidRDefault="00844A84">
            <w:pPr>
              <w:tabs>
                <w:tab w:val="left" w:pos="1254"/>
              </w:tabs>
              <w:spacing w:before="40" w:line="264" w:lineRule="auto"/>
              <w:ind w:right="102"/>
              <w:jc w:val="right"/>
              <w:rPr>
                <w:snapToGrid/>
                <w:spacing w:val="0"/>
                <w:sz w:val="20"/>
              </w:rPr>
            </w:pP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500,000</w:t>
            </w:r>
          </w:p>
        </w:tc>
        <w:tc>
          <w:tcPr>
            <w:tcW w:w="945" w:type="dxa"/>
          </w:tcPr>
          <w:p w:rsidR="00000000" w:rsidRDefault="00844A84">
            <w:pPr>
              <w:tabs>
                <w:tab w:val="left" w:pos="647"/>
              </w:tabs>
              <w:spacing w:before="40" w:line="264" w:lineRule="auto"/>
              <w:ind w:right="-3"/>
              <w:jc w:val="center"/>
              <w:rPr>
                <w:snapToGrid/>
                <w:spacing w:val="0"/>
                <w:sz w:val="20"/>
              </w:rPr>
            </w:pPr>
          </w:p>
        </w:tc>
        <w:tc>
          <w:tcPr>
            <w:tcW w:w="1681" w:type="dxa"/>
          </w:tcPr>
          <w:p w:rsidR="00000000" w:rsidRDefault="00844A84">
            <w:pPr>
              <w:spacing w:before="40" w:line="264" w:lineRule="auto"/>
              <w:rPr>
                <w:snapToGrid/>
                <w:spacing w:val="0"/>
                <w:sz w:val="20"/>
              </w:rPr>
            </w:pPr>
          </w:p>
        </w:tc>
      </w:tr>
      <w:tr w:rsidR="00000000">
        <w:tblPrEx>
          <w:tblCellMar>
            <w:top w:w="0" w:type="dxa"/>
            <w:bottom w:w="0" w:type="dxa"/>
          </w:tblCellMar>
        </w:tblPrEx>
        <w:tc>
          <w:tcPr>
            <w:tcW w:w="525" w:type="dxa"/>
          </w:tcPr>
          <w:p w:rsidR="00000000" w:rsidRDefault="00844A84">
            <w:pPr>
              <w:spacing w:before="40" w:line="264" w:lineRule="auto"/>
              <w:jc w:val="center"/>
              <w:rPr>
                <w:snapToGrid/>
                <w:spacing w:val="0"/>
                <w:sz w:val="20"/>
              </w:rPr>
            </w:pPr>
          </w:p>
        </w:tc>
        <w:tc>
          <w:tcPr>
            <w:tcW w:w="2835" w:type="dxa"/>
          </w:tcPr>
          <w:p w:rsidR="00000000" w:rsidRDefault="00844A84">
            <w:pPr>
              <w:spacing w:before="40" w:line="264" w:lineRule="auto"/>
              <w:rPr>
                <w:snapToGrid/>
                <w:spacing w:val="0"/>
                <w:sz w:val="20"/>
              </w:rPr>
            </w:pPr>
            <w:r>
              <w:rPr>
                <w:rFonts w:hint="eastAsia"/>
                <w:snapToGrid/>
                <w:spacing w:val="0"/>
                <w:sz w:val="20"/>
              </w:rPr>
              <w:t>总</w:t>
            </w:r>
            <w:r>
              <w:rPr>
                <w:snapToGrid/>
                <w:spacing w:val="0"/>
                <w:sz w:val="20"/>
              </w:rPr>
              <w:t xml:space="preserve">  </w:t>
            </w:r>
            <w:r>
              <w:rPr>
                <w:rFonts w:hint="eastAsia"/>
                <w:snapToGrid/>
                <w:spacing w:val="0"/>
                <w:sz w:val="20"/>
              </w:rPr>
              <w:t>计</w:t>
            </w:r>
          </w:p>
        </w:tc>
        <w:tc>
          <w:tcPr>
            <w:tcW w:w="1470" w:type="dxa"/>
          </w:tcPr>
          <w:p w:rsidR="00000000" w:rsidRDefault="00844A84">
            <w:pPr>
              <w:tabs>
                <w:tab w:val="left" w:pos="1254"/>
              </w:tabs>
              <w:spacing w:before="40" w:line="264" w:lineRule="auto"/>
              <w:ind w:right="102"/>
              <w:jc w:val="right"/>
              <w:rPr>
                <w:snapToGrid/>
                <w:spacing w:val="0"/>
                <w:sz w:val="20"/>
              </w:rPr>
            </w:pPr>
            <w:r>
              <w:rPr>
                <w:snapToGrid/>
                <w:spacing w:val="0"/>
                <w:sz w:val="20"/>
              </w:rPr>
              <w:t>12,532,000</w:t>
            </w:r>
          </w:p>
        </w:tc>
        <w:tc>
          <w:tcPr>
            <w:tcW w:w="1575" w:type="dxa"/>
          </w:tcPr>
          <w:p w:rsidR="00000000" w:rsidRDefault="00844A84">
            <w:pPr>
              <w:tabs>
                <w:tab w:val="left" w:pos="1357"/>
              </w:tabs>
              <w:spacing w:before="40" w:line="264" w:lineRule="auto"/>
              <w:ind w:right="100"/>
              <w:jc w:val="right"/>
              <w:rPr>
                <w:snapToGrid/>
                <w:spacing w:val="0"/>
                <w:sz w:val="20"/>
              </w:rPr>
            </w:pPr>
            <w:r>
              <w:rPr>
                <w:snapToGrid/>
                <w:spacing w:val="0"/>
                <w:sz w:val="20"/>
              </w:rPr>
              <w:t>11,272,337,216</w:t>
            </w:r>
          </w:p>
        </w:tc>
        <w:tc>
          <w:tcPr>
            <w:tcW w:w="945" w:type="dxa"/>
          </w:tcPr>
          <w:p w:rsidR="00000000" w:rsidRDefault="00844A84">
            <w:pPr>
              <w:tabs>
                <w:tab w:val="left" w:pos="647"/>
              </w:tabs>
              <w:spacing w:before="40" w:line="264" w:lineRule="auto"/>
              <w:ind w:right="-3"/>
              <w:jc w:val="center"/>
              <w:rPr>
                <w:snapToGrid/>
                <w:spacing w:val="0"/>
                <w:sz w:val="20"/>
              </w:rPr>
            </w:pPr>
            <w:r>
              <w:rPr>
                <w:snapToGrid/>
                <w:spacing w:val="0"/>
                <w:sz w:val="20"/>
              </w:rPr>
              <w:t>89.9</w:t>
            </w:r>
          </w:p>
        </w:tc>
        <w:tc>
          <w:tcPr>
            <w:tcW w:w="1681" w:type="dxa"/>
          </w:tcPr>
          <w:p w:rsidR="00000000" w:rsidRDefault="00844A84">
            <w:pPr>
              <w:spacing w:before="40" w:line="264" w:lineRule="auto"/>
              <w:rPr>
                <w:snapToGrid/>
                <w:spacing w:val="0"/>
                <w:sz w:val="20"/>
              </w:rPr>
            </w:pPr>
            <w:r>
              <w:rPr>
                <w:snapToGrid/>
                <w:spacing w:val="0"/>
                <w:sz w:val="20"/>
              </w:rPr>
              <w:t>603,50</w:t>
            </w:r>
            <w:r>
              <w:rPr>
                <w:rFonts w:hint="eastAsia"/>
                <w:snapToGrid/>
                <w:spacing w:val="0"/>
                <w:sz w:val="20"/>
              </w:rPr>
              <w:t>6</w:t>
            </w:r>
            <w:r>
              <w:rPr>
                <w:rFonts w:hint="eastAsia"/>
                <w:snapToGrid/>
                <w:spacing w:val="0"/>
                <w:sz w:val="20"/>
              </w:rPr>
              <w:t>名儿童</w:t>
            </w:r>
          </w:p>
        </w:tc>
      </w:tr>
    </w:tbl>
    <w:p w:rsidR="00000000" w:rsidRDefault="00844A84">
      <w:pPr>
        <w:pStyle w:val="EndnoteText"/>
        <w:rPr>
          <w:rFonts w:hint="eastAsia"/>
          <w:snapToGrid/>
        </w:rPr>
      </w:pPr>
    </w:p>
    <w:p w:rsidR="00000000" w:rsidRDefault="00844A84">
      <w:pPr>
        <w:pStyle w:val="EndnoteText"/>
        <w:spacing w:after="320"/>
        <w:rPr>
          <w:snapToGrid/>
        </w:rPr>
      </w:pPr>
      <w:r>
        <w:rPr>
          <w:rFonts w:hint="eastAsia"/>
          <w:snapToGrid/>
          <w:u w:val="single"/>
        </w:rPr>
        <w:t>资料来源</w:t>
      </w:r>
      <w:r>
        <w:rPr>
          <w:rFonts w:hint="eastAsia"/>
          <w:snapToGrid/>
        </w:rPr>
        <w:t>：塞尔维亚共和国社会事务部。</w:t>
      </w:r>
    </w:p>
    <w:p w:rsidR="00000000" w:rsidRDefault="00844A84">
      <w:pPr>
        <w:rPr>
          <w:snapToGrid/>
        </w:rPr>
      </w:pPr>
      <w:r>
        <w:rPr>
          <w:rFonts w:hint="eastAsia"/>
          <w:snapToGrid/>
          <w:szCs w:val="24"/>
          <w:lang w:val="zh-CN"/>
        </w:rPr>
        <w:tab/>
        <w:t xml:space="preserve">196.  </w:t>
      </w:r>
      <w:r>
        <w:rPr>
          <w:rFonts w:hint="eastAsia"/>
          <w:snapToGrid/>
          <w:szCs w:val="24"/>
          <w:lang w:val="zh-CN"/>
        </w:rPr>
        <w:t>向有子女的家庭提供经济支持采取量力而行的原则。通过实施《向有子女家庭提供经济支持法》</w:t>
      </w:r>
      <w:r>
        <w:rPr>
          <w:rFonts w:hint="eastAsia"/>
          <w:snapToGrid/>
          <w:szCs w:val="24"/>
        </w:rPr>
        <w:t>，</w:t>
      </w:r>
      <w:r>
        <w:rPr>
          <w:rFonts w:hint="eastAsia"/>
          <w:snapToGrid/>
          <w:szCs w:val="24"/>
          <w:lang w:val="zh-CN"/>
        </w:rPr>
        <w:t>以及通过补贴发放的合理化</w:t>
      </w:r>
      <w:r>
        <w:rPr>
          <w:rFonts w:hint="eastAsia"/>
          <w:snapToGrid/>
          <w:szCs w:val="24"/>
        </w:rPr>
        <w:t>，</w:t>
      </w:r>
      <w:r>
        <w:rPr>
          <w:rFonts w:hint="eastAsia"/>
          <w:snapToGrid/>
          <w:szCs w:val="24"/>
          <w:lang w:val="zh-CN"/>
        </w:rPr>
        <w:t>使家庭经济补贴的发放成为可能。</w:t>
      </w:r>
      <w:r>
        <w:rPr>
          <w:rFonts w:hint="eastAsia"/>
          <w:snapToGrid/>
        </w:rPr>
        <w:t>补贴发放合理化的实际效果，要在本法实施一年后才可以评估。比如，据估计，与《儿童社会抚养法》相比，本法在</w:t>
      </w:r>
      <w:r>
        <w:rPr>
          <w:rFonts w:hint="eastAsia"/>
          <w:snapToGrid/>
        </w:rPr>
        <w:t>2003</w:t>
      </w:r>
      <w:r>
        <w:rPr>
          <w:rFonts w:hint="eastAsia"/>
          <w:snapToGrid/>
        </w:rPr>
        <w:t>年将节约资金</w:t>
      </w:r>
      <w:r>
        <w:rPr>
          <w:rFonts w:hint="eastAsia"/>
          <w:snapToGrid/>
        </w:rPr>
        <w:t>27.7</w:t>
      </w:r>
      <w:r>
        <w:rPr>
          <w:rFonts w:hint="eastAsia"/>
          <w:snapToGrid/>
        </w:rPr>
        <w:t>亿第纳尔，其中大约</w:t>
      </w:r>
      <w:r>
        <w:rPr>
          <w:rFonts w:hint="eastAsia"/>
          <w:snapToGrid/>
        </w:rPr>
        <w:t>3.</w:t>
      </w:r>
      <w:r>
        <w:rPr>
          <w:rFonts w:hint="eastAsia"/>
          <w:snapToGrid/>
        </w:rPr>
        <w:t>5</w:t>
      </w:r>
      <w:r>
        <w:rPr>
          <w:rFonts w:hint="eastAsia"/>
          <w:snapToGrid/>
        </w:rPr>
        <w:t>亿第纳尔节约的处理和支付成本。</w:t>
      </w:r>
    </w:p>
    <w:p w:rsidR="00000000" w:rsidRDefault="00844A84">
      <w:pPr>
        <w:rPr>
          <w:snapToGrid/>
        </w:rPr>
      </w:pPr>
      <w:r>
        <w:rPr>
          <w:rFonts w:hint="eastAsia"/>
          <w:snapToGrid/>
        </w:rPr>
        <w:tab/>
        <w:t xml:space="preserve">197.  </w:t>
      </w:r>
      <w:r>
        <w:rPr>
          <w:rFonts w:hint="eastAsia"/>
          <w:snapToGrid/>
        </w:rPr>
        <w:t>以下改革项目旨在促进本领域政策和实践改革：</w:t>
      </w:r>
      <w:r>
        <w:rPr>
          <w:rFonts w:hint="eastAsia"/>
          <w:snapToGrid/>
          <w:lang w:val="zh-CN"/>
        </w:rPr>
        <w:t>塞尔维亚养父母发展项目</w:t>
      </w:r>
      <w:r>
        <w:rPr>
          <w:rFonts w:hint="eastAsia"/>
          <w:snapToGrid/>
        </w:rPr>
        <w:t>(</w:t>
      </w:r>
      <w:r>
        <w:rPr>
          <w:snapToGrid/>
        </w:rPr>
        <w:t>2002-2004</w:t>
      </w:r>
      <w:r>
        <w:rPr>
          <w:rFonts w:hint="eastAsia"/>
          <w:snapToGrid/>
        </w:rPr>
        <w:t>)</w:t>
      </w:r>
      <w:r>
        <w:rPr>
          <w:rFonts w:hint="eastAsia"/>
          <w:snapToGrid/>
        </w:rPr>
        <w:t>；</w:t>
      </w:r>
      <w:r>
        <w:rPr>
          <w:rFonts w:hint="eastAsia"/>
          <w:snapToGrid/>
          <w:lang w:val="zh-CN"/>
        </w:rPr>
        <w:t>社会保护机构改革</w:t>
      </w:r>
      <w:r>
        <w:rPr>
          <w:rFonts w:hint="eastAsia"/>
          <w:snapToGrid/>
          <w:spacing w:val="-50"/>
        </w:rPr>
        <w:t>―</w:t>
      </w:r>
      <w:r>
        <w:rPr>
          <w:rFonts w:hint="eastAsia"/>
          <w:snapToGrid/>
        </w:rPr>
        <w:t>―</w:t>
      </w:r>
      <w:r>
        <w:rPr>
          <w:rFonts w:hint="eastAsia"/>
          <w:snapToGrid/>
          <w:lang w:val="zh-CN"/>
        </w:rPr>
        <w:t>非机构化</w:t>
      </w:r>
      <w:r>
        <w:rPr>
          <w:snapToGrid/>
        </w:rPr>
        <w:t>(2002-2004</w:t>
      </w:r>
      <w:r>
        <w:rPr>
          <w:rFonts w:hint="eastAsia"/>
          <w:snapToGrid/>
        </w:rPr>
        <w:t>)</w:t>
      </w:r>
      <w:r>
        <w:rPr>
          <w:rFonts w:hint="eastAsia"/>
          <w:snapToGrid/>
        </w:rPr>
        <w:t>；</w:t>
      </w:r>
      <w:r>
        <w:rPr>
          <w:rFonts w:hint="eastAsia"/>
          <w:snapToGrid/>
          <w:lang w:val="zh-CN"/>
        </w:rPr>
        <w:t>制定社会保护的专业标准</w:t>
      </w:r>
      <w:r>
        <w:rPr>
          <w:rFonts w:hint="eastAsia"/>
          <w:snapToGrid/>
        </w:rPr>
        <w:t>(</w:t>
      </w:r>
      <w:r>
        <w:rPr>
          <w:rFonts w:hint="eastAsia"/>
          <w:snapToGrid/>
          <w:lang w:val="zh-CN"/>
        </w:rPr>
        <w:t>包括监测和评估</w:t>
      </w:r>
      <w:r>
        <w:rPr>
          <w:rFonts w:hint="eastAsia"/>
          <w:snapToGrid/>
          <w:lang w:val="zh-CN"/>
        </w:rPr>
        <w:t>)</w:t>
      </w:r>
      <w:r>
        <w:rPr>
          <w:rFonts w:hint="eastAsia"/>
          <w:snapToGrid/>
          <w:spacing w:val="-50"/>
        </w:rPr>
        <w:t>―</w:t>
      </w:r>
      <w:r>
        <w:rPr>
          <w:rFonts w:hint="eastAsia"/>
          <w:snapToGrid/>
        </w:rPr>
        <w:t>―</w:t>
      </w:r>
      <w:r>
        <w:rPr>
          <w:rFonts w:hint="eastAsia"/>
          <w:snapToGrid/>
          <w:lang w:val="zh-CN"/>
        </w:rPr>
        <w:t>质量保证标准</w:t>
      </w:r>
      <w:r>
        <w:rPr>
          <w:rFonts w:hint="eastAsia"/>
          <w:snapToGrid/>
        </w:rPr>
        <w:t>(</w:t>
      </w:r>
      <w:r>
        <w:rPr>
          <w:snapToGrid/>
        </w:rPr>
        <w:t>2002</w:t>
      </w:r>
      <w:r>
        <w:rPr>
          <w:rFonts w:hint="eastAsia"/>
          <w:snapToGrid/>
        </w:rPr>
        <w:t>-</w:t>
      </w:r>
      <w:r>
        <w:rPr>
          <w:snapToGrid/>
        </w:rPr>
        <w:t>2003</w:t>
      </w:r>
      <w:r>
        <w:rPr>
          <w:rFonts w:hint="eastAsia"/>
          <w:snapToGrid/>
        </w:rPr>
        <w:t>)</w:t>
      </w:r>
      <w:r>
        <w:rPr>
          <w:rFonts w:hint="eastAsia"/>
          <w:snapToGrid/>
        </w:rPr>
        <w:t>；</w:t>
      </w:r>
      <w:r>
        <w:rPr>
          <w:rFonts w:hint="eastAsia"/>
          <w:snapToGrid/>
          <w:lang w:val="zh-CN"/>
        </w:rPr>
        <w:t>建立残疾儿童社会保护机制</w:t>
      </w:r>
      <w:r>
        <w:rPr>
          <w:rFonts w:hint="eastAsia"/>
          <w:snapToGrid/>
        </w:rPr>
        <w:t>(</w:t>
      </w:r>
      <w:r>
        <w:rPr>
          <w:snapToGrid/>
        </w:rPr>
        <w:t>2002</w:t>
      </w:r>
      <w:r>
        <w:rPr>
          <w:rFonts w:hint="eastAsia"/>
          <w:snapToGrid/>
        </w:rPr>
        <w:t>-</w:t>
      </w:r>
      <w:r>
        <w:rPr>
          <w:snapToGrid/>
        </w:rPr>
        <w:t>2003</w:t>
      </w:r>
      <w:r>
        <w:rPr>
          <w:rFonts w:hint="eastAsia"/>
          <w:snapToGrid/>
        </w:rPr>
        <w:t>)</w:t>
      </w:r>
      <w:r>
        <w:rPr>
          <w:rFonts w:hint="eastAsia"/>
          <w:snapToGrid/>
        </w:rPr>
        <w:t>；</w:t>
      </w:r>
      <w:r>
        <w:rPr>
          <w:rFonts w:hint="eastAsia"/>
          <w:snapToGrid/>
          <w:lang w:val="zh-CN"/>
        </w:rPr>
        <w:t>在地方一级全面享受社会保障、发展服务提供伙伴</w:t>
      </w:r>
      <w:r>
        <w:rPr>
          <w:rFonts w:hint="eastAsia"/>
          <w:snapToGrid/>
          <w:spacing w:val="-50"/>
        </w:rPr>
        <w:t>―</w:t>
      </w:r>
      <w:r>
        <w:rPr>
          <w:rFonts w:hint="eastAsia"/>
          <w:snapToGrid/>
        </w:rPr>
        <w:t>―</w:t>
      </w:r>
      <w:r>
        <w:rPr>
          <w:rFonts w:hint="eastAsia"/>
          <w:snapToGrid/>
          <w:lang w:val="zh-CN"/>
        </w:rPr>
        <w:t>社会保护的分散化</w:t>
      </w:r>
      <w:r>
        <w:rPr>
          <w:rFonts w:hint="eastAsia"/>
          <w:snapToGrid/>
        </w:rPr>
        <w:t>(</w:t>
      </w:r>
      <w:r>
        <w:rPr>
          <w:snapToGrid/>
        </w:rPr>
        <w:t>2002</w:t>
      </w:r>
      <w:r>
        <w:rPr>
          <w:rFonts w:hint="eastAsia"/>
          <w:snapToGrid/>
        </w:rPr>
        <w:t>-</w:t>
      </w:r>
      <w:r>
        <w:rPr>
          <w:snapToGrid/>
        </w:rPr>
        <w:t>2005</w:t>
      </w:r>
      <w:r>
        <w:rPr>
          <w:rFonts w:hint="eastAsia"/>
          <w:snapToGrid/>
        </w:rPr>
        <w:t>)</w:t>
      </w:r>
      <w:r>
        <w:rPr>
          <w:rFonts w:hint="eastAsia"/>
          <w:snapToGrid/>
        </w:rPr>
        <w:t>；</w:t>
      </w:r>
      <w:r>
        <w:rPr>
          <w:rFonts w:hint="eastAsia"/>
          <w:snapToGrid/>
          <w:lang w:val="zh-CN"/>
        </w:rPr>
        <w:t>社会保障的发展与家庭暴力</w:t>
      </w:r>
      <w:r>
        <w:rPr>
          <w:rFonts w:hint="eastAsia"/>
          <w:snapToGrid/>
        </w:rPr>
        <w:t>(</w:t>
      </w:r>
      <w:r>
        <w:rPr>
          <w:rFonts w:hint="eastAsia"/>
          <w:snapToGrid/>
          <w:lang w:val="zh-CN"/>
        </w:rPr>
        <w:t>包括贩卖人口</w:t>
      </w:r>
      <w:r>
        <w:rPr>
          <w:rFonts w:hint="eastAsia"/>
          <w:snapToGrid/>
        </w:rPr>
        <w:t>)</w:t>
      </w:r>
      <w:r>
        <w:rPr>
          <w:rFonts w:hint="eastAsia"/>
          <w:snapToGrid/>
        </w:rPr>
        <w:t>的关系</w:t>
      </w:r>
      <w:r>
        <w:rPr>
          <w:rFonts w:hint="eastAsia"/>
          <w:snapToGrid/>
        </w:rPr>
        <w:t>(</w:t>
      </w:r>
      <w:r>
        <w:rPr>
          <w:snapToGrid/>
        </w:rPr>
        <w:t>2002</w:t>
      </w:r>
      <w:r>
        <w:rPr>
          <w:rFonts w:hint="eastAsia"/>
          <w:snapToGrid/>
        </w:rPr>
        <w:t>-</w:t>
      </w:r>
      <w:r>
        <w:rPr>
          <w:snapToGrid/>
        </w:rPr>
        <w:t>2004</w:t>
      </w:r>
      <w:r>
        <w:rPr>
          <w:rFonts w:hint="eastAsia"/>
          <w:snapToGrid/>
        </w:rPr>
        <w:t>)</w:t>
      </w:r>
      <w:r>
        <w:rPr>
          <w:rFonts w:hint="eastAsia"/>
          <w:snapToGrid/>
        </w:rPr>
        <w:t>；</w:t>
      </w:r>
      <w:r>
        <w:rPr>
          <w:rFonts w:hint="eastAsia"/>
          <w:snapToGrid/>
          <w:lang w:val="zh-CN"/>
        </w:rPr>
        <w:t>通过社会创新基金建立替代形式的社会保护</w:t>
      </w:r>
      <w:r>
        <w:rPr>
          <w:rFonts w:hint="eastAsia"/>
          <w:snapToGrid/>
          <w:lang w:val="zh-CN"/>
        </w:rPr>
        <w:t>和服务</w:t>
      </w:r>
      <w:r>
        <w:rPr>
          <w:rFonts w:hint="eastAsia"/>
          <w:snapToGrid/>
        </w:rPr>
        <w:t>(</w:t>
      </w:r>
      <w:r>
        <w:rPr>
          <w:snapToGrid/>
        </w:rPr>
        <w:t>2002</w:t>
      </w:r>
      <w:r>
        <w:rPr>
          <w:rFonts w:hint="eastAsia"/>
          <w:snapToGrid/>
        </w:rPr>
        <w:t>-</w:t>
      </w:r>
      <w:r>
        <w:rPr>
          <w:snapToGrid/>
        </w:rPr>
        <w:t>2004</w:t>
      </w:r>
      <w:r>
        <w:rPr>
          <w:rFonts w:hint="eastAsia"/>
          <w:snapToGrid/>
        </w:rPr>
        <w:t>)</w:t>
      </w:r>
      <w:r>
        <w:rPr>
          <w:rFonts w:hint="eastAsia"/>
          <w:snapToGrid/>
          <w:lang w:val="zh-CN"/>
        </w:rPr>
        <w:t>。</w:t>
      </w:r>
    </w:p>
    <w:p w:rsidR="00000000" w:rsidRDefault="00844A84">
      <w:pPr>
        <w:rPr>
          <w:snapToGrid/>
        </w:rPr>
      </w:pPr>
      <w:r>
        <w:rPr>
          <w:rFonts w:hint="eastAsia"/>
          <w:snapToGrid/>
          <w:lang w:val="zh-CN"/>
        </w:rPr>
        <w:tab/>
        <w:t xml:space="preserve">198.  </w:t>
      </w:r>
      <w:r>
        <w:rPr>
          <w:rFonts w:hint="eastAsia"/>
          <w:snapToGrid/>
          <w:lang w:val="zh-CN"/>
        </w:rPr>
        <w:t>在社会保障部门改革的框架内</w:t>
      </w:r>
      <w:r>
        <w:rPr>
          <w:rFonts w:hint="eastAsia"/>
          <w:snapToGrid/>
        </w:rPr>
        <w:t>，</w:t>
      </w:r>
      <w:r>
        <w:rPr>
          <w:rFonts w:hint="eastAsia"/>
          <w:snapToGrid/>
          <w:lang w:val="zh-CN"/>
        </w:rPr>
        <w:t>已经起草了《塞尔维亚共和国社会保护和社会保障法修正案》。预计</w:t>
      </w:r>
      <w:r>
        <w:rPr>
          <w:snapToGrid/>
        </w:rPr>
        <w:t>2003</w:t>
      </w:r>
      <w:r>
        <w:rPr>
          <w:rFonts w:hint="eastAsia"/>
          <w:snapToGrid/>
          <w:lang w:val="zh-CN"/>
        </w:rPr>
        <w:t>年底将通过该法。修正案将改革社会援助权利实现的标准，把过去属于养恤金和残疾保险的一些类别纳入本法，改革社会补助金额指数编制方法，制定更好识别贫困</w:t>
      </w:r>
      <w:r>
        <w:rPr>
          <w:snapToGrid/>
          <w:lang w:val="zh-CN"/>
        </w:rPr>
        <w:t>/</w:t>
      </w:r>
      <w:r>
        <w:rPr>
          <w:rFonts w:hint="eastAsia"/>
          <w:snapToGrid/>
          <w:lang w:val="zh-CN"/>
        </w:rPr>
        <w:t>社会脆弱家庭的机制，引进监测和修订机制，以及节约预算以便于重新分配社会保障基金。</w:t>
      </w:r>
    </w:p>
    <w:p w:rsidR="00000000" w:rsidRDefault="00844A84">
      <w:pPr>
        <w:rPr>
          <w:snapToGrid/>
        </w:rPr>
      </w:pPr>
      <w:r>
        <w:rPr>
          <w:rFonts w:hint="eastAsia"/>
          <w:snapToGrid/>
          <w:lang w:val="zh-CN"/>
        </w:rPr>
        <w:tab/>
        <w:t xml:space="preserve">199.  </w:t>
      </w:r>
      <w:r>
        <w:rPr>
          <w:rFonts w:hint="eastAsia"/>
          <w:snapToGrid/>
          <w:lang w:val="zh-CN"/>
        </w:rPr>
        <w:t>在养恤金和残疾保险改革的框架内</w:t>
      </w:r>
      <w:r>
        <w:rPr>
          <w:rFonts w:hint="eastAsia"/>
          <w:snapToGrid/>
        </w:rPr>
        <w:t>，</w:t>
      </w:r>
      <w:r>
        <w:rPr>
          <w:rFonts w:hint="eastAsia"/>
          <w:snapToGrid/>
          <w:lang w:val="zh-CN"/>
        </w:rPr>
        <w:t>塞尔维亚共和国社会事务部采取步骤</w:t>
      </w:r>
      <w:r>
        <w:rPr>
          <w:rFonts w:hint="eastAsia"/>
          <w:snapToGrid/>
        </w:rPr>
        <w:t>，</w:t>
      </w:r>
      <w:r>
        <w:rPr>
          <w:rFonts w:hint="eastAsia"/>
          <w:snapToGrid/>
          <w:lang w:val="zh-CN"/>
        </w:rPr>
        <w:t>改革养恤金和残疾保险制度</w:t>
      </w:r>
      <w:r>
        <w:rPr>
          <w:rFonts w:hint="eastAsia"/>
          <w:snapToGrid/>
        </w:rPr>
        <w:t>，</w:t>
      </w:r>
      <w:r>
        <w:rPr>
          <w:rFonts w:hint="eastAsia"/>
          <w:snapToGrid/>
          <w:lang w:val="zh-CN"/>
        </w:rPr>
        <w:t>为此目的</w:t>
      </w:r>
      <w:r>
        <w:rPr>
          <w:rFonts w:hint="eastAsia"/>
          <w:snapToGrid/>
        </w:rPr>
        <w:t>，</w:t>
      </w:r>
      <w:r>
        <w:rPr>
          <w:rFonts w:hint="eastAsia"/>
          <w:snapToGrid/>
          <w:lang w:val="zh-CN"/>
        </w:rPr>
        <w:t>于</w:t>
      </w:r>
      <w:r>
        <w:rPr>
          <w:snapToGrid/>
        </w:rPr>
        <w:t>2001</w:t>
      </w:r>
      <w:r>
        <w:rPr>
          <w:rFonts w:hint="eastAsia"/>
          <w:snapToGrid/>
          <w:lang w:val="zh-CN"/>
        </w:rPr>
        <w:t>年</w:t>
      </w:r>
      <w:r>
        <w:rPr>
          <w:snapToGrid/>
        </w:rPr>
        <w:t>12</w:t>
      </w:r>
      <w:r>
        <w:rPr>
          <w:rFonts w:hint="eastAsia"/>
          <w:snapToGrid/>
          <w:lang w:val="zh-CN"/>
        </w:rPr>
        <w:t>月建议修改</w:t>
      </w:r>
      <w:r>
        <w:rPr>
          <w:rFonts w:hint="eastAsia"/>
          <w:snapToGrid/>
          <w:lang w:val="zh-CN"/>
        </w:rPr>
        <w:t>《养恤金和残疾保险法》。根据这项改革，引进了瑞士的季度养恤金指数公式，把工资增长和生活费结合起来</w:t>
      </w:r>
      <w:r>
        <w:rPr>
          <w:rFonts w:hint="eastAsia"/>
          <w:snapToGrid/>
          <w:lang w:val="zh-CN"/>
        </w:rPr>
        <w:t>(</w:t>
      </w:r>
      <w:r>
        <w:rPr>
          <w:snapToGrid/>
          <w:lang w:val="zh-CN"/>
        </w:rPr>
        <w:t>50%</w:t>
      </w:r>
      <w:r>
        <w:rPr>
          <w:rFonts w:hint="eastAsia"/>
          <w:snapToGrid/>
          <w:lang w:val="zh-CN"/>
        </w:rPr>
        <w:t>：</w:t>
      </w:r>
      <w:r>
        <w:rPr>
          <w:snapToGrid/>
        </w:rPr>
        <w:t>50%)</w:t>
      </w:r>
      <w:r>
        <w:rPr>
          <w:rFonts w:hint="eastAsia"/>
          <w:snapToGrid/>
        </w:rPr>
        <w:t>；</w:t>
      </w:r>
      <w:r>
        <w:rPr>
          <w:rFonts w:hint="eastAsia"/>
          <w:snapToGrid/>
          <w:lang w:val="zh-CN"/>
        </w:rPr>
        <w:t>退休年龄推迟三年</w:t>
      </w:r>
      <w:r>
        <w:rPr>
          <w:rFonts w:hint="eastAsia"/>
          <w:snapToGrid/>
        </w:rPr>
        <w:t>(</w:t>
      </w:r>
      <w:r>
        <w:rPr>
          <w:rFonts w:hint="eastAsia"/>
          <w:snapToGrid/>
          <w:lang w:val="zh-CN"/>
        </w:rPr>
        <w:t>女性</w:t>
      </w:r>
      <w:r>
        <w:rPr>
          <w:snapToGrid/>
        </w:rPr>
        <w:t>58</w:t>
      </w:r>
      <w:r>
        <w:rPr>
          <w:rFonts w:hint="eastAsia"/>
          <w:snapToGrid/>
          <w:lang w:val="zh-CN"/>
        </w:rPr>
        <w:t>岁</w:t>
      </w:r>
      <w:r>
        <w:rPr>
          <w:rFonts w:hint="eastAsia"/>
          <w:snapToGrid/>
        </w:rPr>
        <w:t>，</w:t>
      </w:r>
      <w:r>
        <w:rPr>
          <w:rFonts w:hint="eastAsia"/>
          <w:snapToGrid/>
          <w:lang w:val="zh-CN"/>
        </w:rPr>
        <w:t>男性</w:t>
      </w:r>
      <w:r>
        <w:rPr>
          <w:snapToGrid/>
        </w:rPr>
        <w:t>63</w:t>
      </w:r>
      <w:r>
        <w:rPr>
          <w:rFonts w:hint="eastAsia"/>
          <w:snapToGrid/>
          <w:lang w:val="zh-CN"/>
        </w:rPr>
        <w:t>岁</w:t>
      </w:r>
      <w:r>
        <w:rPr>
          <w:rFonts w:hint="eastAsia"/>
          <w:snapToGrid/>
        </w:rPr>
        <w:t>)</w:t>
      </w:r>
      <w:r>
        <w:rPr>
          <w:rFonts w:hint="eastAsia"/>
          <w:snapToGrid/>
        </w:rPr>
        <w:t>；</w:t>
      </w:r>
      <w:r>
        <w:rPr>
          <w:rFonts w:hint="eastAsia"/>
          <w:snapToGrid/>
          <w:lang w:val="zh-CN"/>
        </w:rPr>
        <w:t>本制度仅规定一个最低养恤金。同样</w:t>
      </w:r>
      <w:r>
        <w:rPr>
          <w:rFonts w:hint="eastAsia"/>
          <w:snapToGrid/>
        </w:rPr>
        <w:t>，</w:t>
      </w:r>
      <w:r>
        <w:rPr>
          <w:rFonts w:hint="eastAsia"/>
          <w:snapToGrid/>
          <w:lang w:val="zh-CN"/>
        </w:rPr>
        <w:t>保证定期每</w:t>
      </w:r>
      <w:r>
        <w:rPr>
          <w:snapToGrid/>
        </w:rPr>
        <w:t>15</w:t>
      </w:r>
      <w:r>
        <w:rPr>
          <w:rFonts w:hint="eastAsia"/>
          <w:snapToGrid/>
          <w:lang w:val="zh-CN"/>
        </w:rPr>
        <w:t>天发放一次养恤金</w:t>
      </w:r>
      <w:r>
        <w:rPr>
          <w:rFonts w:hint="eastAsia"/>
          <w:snapToGrid/>
        </w:rPr>
        <w:t>；</w:t>
      </w:r>
      <w:r>
        <w:rPr>
          <w:rFonts w:hint="eastAsia"/>
          <w:snapToGrid/>
          <w:lang w:val="zh-CN"/>
        </w:rPr>
        <w:t>缴费比率从</w:t>
      </w:r>
      <w:r>
        <w:rPr>
          <w:snapToGrid/>
        </w:rPr>
        <w:t>32%</w:t>
      </w:r>
      <w:r>
        <w:rPr>
          <w:rFonts w:hint="eastAsia"/>
          <w:snapToGrid/>
          <w:lang w:val="zh-CN"/>
        </w:rPr>
        <w:t>降为</w:t>
      </w:r>
      <w:r>
        <w:rPr>
          <w:snapToGrid/>
        </w:rPr>
        <w:t>19.6%</w:t>
      </w:r>
      <w:r>
        <w:rPr>
          <w:rFonts w:hint="eastAsia"/>
          <w:snapToGrid/>
        </w:rPr>
        <w:t>；</w:t>
      </w:r>
      <w:r>
        <w:rPr>
          <w:rFonts w:hint="eastAsia"/>
          <w:snapToGrid/>
          <w:lang w:val="zh-CN"/>
        </w:rPr>
        <w:t>扩大了税收和缴费基础</w:t>
      </w:r>
      <w:r>
        <w:rPr>
          <w:rFonts w:hint="eastAsia"/>
          <w:snapToGrid/>
        </w:rPr>
        <w:t>；</w:t>
      </w:r>
      <w:r>
        <w:rPr>
          <w:rFonts w:hint="eastAsia"/>
          <w:snapToGrid/>
          <w:lang w:val="zh-CN"/>
        </w:rPr>
        <w:t>预算转移支付直接进行</w:t>
      </w:r>
      <w:r>
        <w:rPr>
          <w:rFonts w:hint="eastAsia"/>
          <w:snapToGrid/>
        </w:rPr>
        <w:t>，</w:t>
      </w:r>
      <w:r>
        <w:rPr>
          <w:rFonts w:hint="eastAsia"/>
          <w:snapToGrid/>
          <w:lang w:val="zh-CN"/>
        </w:rPr>
        <w:t>取消银行贷款</w:t>
      </w:r>
      <w:r>
        <w:rPr>
          <w:rFonts w:hint="eastAsia"/>
          <w:snapToGrid/>
        </w:rPr>
        <w:t>，</w:t>
      </w:r>
      <w:r>
        <w:rPr>
          <w:rFonts w:hint="eastAsia"/>
          <w:snapToGrid/>
          <w:lang w:val="zh-CN"/>
        </w:rPr>
        <w:t>此举节约成本</w:t>
      </w:r>
      <w:r>
        <w:rPr>
          <w:snapToGrid/>
        </w:rPr>
        <w:t>5</w:t>
      </w:r>
      <w:r>
        <w:rPr>
          <w:rFonts w:hint="eastAsia"/>
          <w:snapToGrid/>
        </w:rPr>
        <w:t>-</w:t>
      </w:r>
      <w:r>
        <w:rPr>
          <w:snapToGrid/>
        </w:rPr>
        <w:t>8</w:t>
      </w:r>
      <w:r>
        <w:rPr>
          <w:rFonts w:hint="eastAsia"/>
          <w:snapToGrid/>
          <w:lang w:val="zh-CN"/>
        </w:rPr>
        <w:t>亿第纳尔</w:t>
      </w:r>
      <w:r>
        <w:rPr>
          <w:rFonts w:hint="eastAsia"/>
          <w:snapToGrid/>
        </w:rPr>
        <w:t>；</w:t>
      </w:r>
      <w:r>
        <w:rPr>
          <w:rFonts w:hint="eastAsia"/>
          <w:snapToGrid/>
          <w:lang w:val="zh-CN"/>
        </w:rPr>
        <w:t>向养恤金和残疾保险基金提交被保险人身故证明成为强制性的</w:t>
      </w:r>
      <w:r>
        <w:rPr>
          <w:rFonts w:hint="eastAsia"/>
          <w:snapToGrid/>
        </w:rPr>
        <w:t>；</w:t>
      </w:r>
      <w:r>
        <w:rPr>
          <w:rFonts w:hint="eastAsia"/>
          <w:snapToGrid/>
          <w:lang w:val="zh-CN"/>
        </w:rPr>
        <w:t>开展了打击残疾金欺诈运动。</w:t>
      </w:r>
    </w:p>
    <w:p w:rsidR="00000000" w:rsidRDefault="00844A84">
      <w:pPr>
        <w:spacing w:after="320"/>
        <w:rPr>
          <w:snapToGrid/>
        </w:rPr>
      </w:pPr>
      <w:r>
        <w:rPr>
          <w:rFonts w:hint="eastAsia"/>
          <w:snapToGrid/>
          <w:lang w:val="zh-CN"/>
        </w:rPr>
        <w:tab/>
        <w:t xml:space="preserve">200.  </w:t>
      </w:r>
      <w:r>
        <w:rPr>
          <w:rFonts w:hint="eastAsia"/>
          <w:snapToGrid/>
          <w:lang w:val="zh-CN"/>
        </w:rPr>
        <w:t>预计将通过《塞尔维亚共和国养恤金保险法》</w:t>
      </w:r>
      <w:r>
        <w:rPr>
          <w:rFonts w:hint="eastAsia"/>
          <w:snapToGrid/>
        </w:rPr>
        <w:t>，</w:t>
      </w:r>
      <w:r>
        <w:rPr>
          <w:rFonts w:hint="eastAsia"/>
          <w:snapToGrid/>
          <w:lang w:val="zh-CN"/>
        </w:rPr>
        <w:t>其目的是加强养恤金发放数量与</w:t>
      </w:r>
      <w:r>
        <w:rPr>
          <w:rFonts w:hint="eastAsia"/>
          <w:snapToGrid/>
          <w:lang w:val="zh-CN"/>
        </w:rPr>
        <w:t>向养恤金基金缴费数量之间的关系</w:t>
      </w:r>
      <w:r>
        <w:rPr>
          <w:rFonts w:hint="eastAsia"/>
          <w:snapToGrid/>
        </w:rPr>
        <w:t>；</w:t>
      </w:r>
      <w:r>
        <w:rPr>
          <w:rFonts w:hint="eastAsia"/>
          <w:snapToGrid/>
          <w:lang w:val="zh-CN"/>
        </w:rPr>
        <w:t>减少制度中过于慷慨和再分配性质的因素</w:t>
      </w:r>
      <w:r>
        <w:rPr>
          <w:rFonts w:hint="eastAsia"/>
          <w:snapToGrid/>
        </w:rPr>
        <w:t>；</w:t>
      </w:r>
      <w:r>
        <w:rPr>
          <w:rFonts w:hint="eastAsia"/>
          <w:snapToGrid/>
          <w:lang w:val="zh-CN"/>
        </w:rPr>
        <w:t>保障本制度的经济稳定性和财务可持续性</w:t>
      </w:r>
      <w:r>
        <w:rPr>
          <w:rFonts w:hint="eastAsia"/>
          <w:snapToGrid/>
        </w:rPr>
        <w:t>；</w:t>
      </w:r>
      <w:r>
        <w:rPr>
          <w:rFonts w:hint="eastAsia"/>
          <w:snapToGrid/>
          <w:lang w:val="zh-CN"/>
        </w:rPr>
        <w:t>更平衡地分配各方义务负担</w:t>
      </w:r>
      <w:r>
        <w:rPr>
          <w:rFonts w:hint="eastAsia"/>
          <w:snapToGrid/>
        </w:rPr>
        <w:t>；</w:t>
      </w:r>
      <w:r>
        <w:rPr>
          <w:rFonts w:hint="eastAsia"/>
          <w:snapToGrid/>
          <w:lang w:val="zh-CN"/>
        </w:rPr>
        <w:t>增加选择的可能性</w:t>
      </w:r>
      <w:r>
        <w:rPr>
          <w:rFonts w:hint="eastAsia"/>
          <w:snapToGrid/>
        </w:rPr>
        <w:t>，</w:t>
      </w:r>
      <w:r>
        <w:rPr>
          <w:rFonts w:hint="eastAsia"/>
          <w:snapToGrid/>
          <w:lang w:val="zh-CN"/>
        </w:rPr>
        <w:t>即可以选择工作更长时间</w:t>
      </w:r>
      <w:r>
        <w:rPr>
          <w:rFonts w:hint="eastAsia"/>
          <w:snapToGrid/>
        </w:rPr>
        <w:t>，</w:t>
      </w:r>
      <w:r>
        <w:rPr>
          <w:rFonts w:hint="eastAsia"/>
          <w:snapToGrid/>
          <w:lang w:val="zh-CN"/>
        </w:rPr>
        <w:t>缴纳更多费用</w:t>
      </w:r>
      <w:r>
        <w:rPr>
          <w:rFonts w:hint="eastAsia"/>
          <w:snapToGrid/>
        </w:rPr>
        <w:t>，</w:t>
      </w:r>
      <w:r>
        <w:rPr>
          <w:rFonts w:hint="eastAsia"/>
          <w:snapToGrid/>
          <w:lang w:val="zh-CN"/>
        </w:rPr>
        <w:t>得到更多养恤金</w:t>
      </w:r>
      <w:r>
        <w:rPr>
          <w:rFonts w:hint="eastAsia"/>
          <w:snapToGrid/>
        </w:rPr>
        <w:t>；</w:t>
      </w:r>
      <w:r>
        <w:rPr>
          <w:rFonts w:hint="eastAsia"/>
          <w:snapToGrid/>
          <w:lang w:val="zh-CN"/>
        </w:rPr>
        <w:t>创造条件</w:t>
      </w:r>
      <w:r>
        <w:rPr>
          <w:rFonts w:hint="eastAsia"/>
          <w:snapToGrid/>
        </w:rPr>
        <w:t>，</w:t>
      </w:r>
      <w:r>
        <w:rPr>
          <w:rFonts w:hint="eastAsia"/>
          <w:snapToGrid/>
          <w:lang w:val="zh-CN"/>
        </w:rPr>
        <w:t>把灰色经济变为常规经济</w:t>
      </w:r>
      <w:r>
        <w:rPr>
          <w:rFonts w:hint="eastAsia"/>
          <w:snapToGrid/>
        </w:rPr>
        <w:t>；</w:t>
      </w:r>
      <w:r>
        <w:rPr>
          <w:rFonts w:hint="eastAsia"/>
          <w:snapToGrid/>
          <w:lang w:val="zh-CN"/>
        </w:rPr>
        <w:t>制定更公平、更有激励性和更简便的养恤金计算方法</w:t>
      </w:r>
      <w:r>
        <w:rPr>
          <w:rFonts w:hint="eastAsia"/>
          <w:snapToGrid/>
        </w:rPr>
        <w:t>；</w:t>
      </w:r>
      <w:r>
        <w:rPr>
          <w:rFonts w:hint="eastAsia"/>
          <w:snapToGrid/>
          <w:lang w:val="zh-CN"/>
        </w:rPr>
        <w:t>创造条件</w:t>
      </w:r>
      <w:r>
        <w:rPr>
          <w:rFonts w:hint="eastAsia"/>
          <w:snapToGrid/>
        </w:rPr>
        <w:t>，</w:t>
      </w:r>
      <w:r>
        <w:rPr>
          <w:rFonts w:hint="eastAsia"/>
          <w:snapToGrid/>
          <w:lang w:val="zh-CN"/>
        </w:rPr>
        <w:t>继续在本领域进行改革。</w:t>
      </w:r>
    </w:p>
    <w:p w:rsidR="00000000" w:rsidRDefault="00844A84">
      <w:pPr>
        <w:pStyle w:val="Heading3"/>
      </w:pPr>
      <w:r>
        <w:rPr>
          <w:rFonts w:hint="eastAsia"/>
        </w:rPr>
        <w:t>第</w:t>
      </w:r>
      <w:r>
        <w:rPr>
          <w:rFonts w:hint="eastAsia"/>
        </w:rPr>
        <w:t xml:space="preserve"> </w:t>
      </w:r>
      <w:r>
        <w:rPr>
          <w:rFonts w:hint="eastAsia"/>
        </w:rPr>
        <w:t>十</w:t>
      </w:r>
      <w:r>
        <w:rPr>
          <w:rFonts w:hint="eastAsia"/>
        </w:rPr>
        <w:t xml:space="preserve"> </w:t>
      </w:r>
      <w:r>
        <w:rPr>
          <w:rFonts w:hint="eastAsia"/>
        </w:rPr>
        <w:t>条</w:t>
      </w:r>
    </w:p>
    <w:p w:rsidR="00000000" w:rsidRDefault="00844A84">
      <w:pPr>
        <w:pStyle w:val="Heading4"/>
      </w:pPr>
      <w:r>
        <w:rPr>
          <w:rFonts w:hint="eastAsia"/>
          <w:u w:val="none"/>
        </w:rPr>
        <w:t xml:space="preserve">(a)  </w:t>
      </w:r>
      <w:r>
        <w:rPr>
          <w:rFonts w:hint="eastAsia"/>
        </w:rPr>
        <w:t>已批准的国际文书</w:t>
      </w:r>
    </w:p>
    <w:p w:rsidR="00000000" w:rsidRDefault="00844A84">
      <w:pPr>
        <w:spacing w:after="320"/>
        <w:rPr>
          <w:snapToGrid/>
        </w:rPr>
      </w:pPr>
      <w:r>
        <w:rPr>
          <w:rFonts w:hint="eastAsia"/>
          <w:snapToGrid/>
        </w:rPr>
        <w:tab/>
        <w:t xml:space="preserve">201.  </w:t>
      </w:r>
      <w:r>
        <w:rPr>
          <w:rFonts w:hint="eastAsia"/>
          <w:snapToGrid/>
        </w:rPr>
        <w:t>已批准的国际文书包括《公民权利和政治权利国际公约》；《儿童权利公约》；《消除对妇女一切形式歧视国际公约》；劳工组织《保护产妇公约》</w:t>
      </w:r>
      <w:r>
        <w:rPr>
          <w:rFonts w:hint="eastAsia"/>
          <w:snapToGrid/>
        </w:rPr>
        <w:t>(</w:t>
      </w:r>
      <w:r>
        <w:rPr>
          <w:rFonts w:hint="eastAsia"/>
          <w:snapToGrid/>
        </w:rPr>
        <w:t>第</w:t>
      </w:r>
      <w:r>
        <w:rPr>
          <w:rFonts w:hint="eastAsia"/>
          <w:snapToGrid/>
        </w:rPr>
        <w:t>1</w:t>
      </w:r>
      <w:r>
        <w:rPr>
          <w:rFonts w:hint="eastAsia"/>
          <w:snapToGrid/>
        </w:rPr>
        <w:t>03</w:t>
      </w:r>
      <w:r>
        <w:rPr>
          <w:rFonts w:hint="eastAsia"/>
          <w:snapToGrid/>
        </w:rPr>
        <w:t>号公约</w:t>
      </w:r>
      <w:r>
        <w:rPr>
          <w:rFonts w:hint="eastAsia"/>
          <w:snapToGrid/>
        </w:rPr>
        <w:t>)(</w:t>
      </w:r>
      <w:r>
        <w:rPr>
          <w:rFonts w:hint="eastAsia"/>
          <w:snapToGrid/>
        </w:rPr>
        <w:t>修订</w:t>
      </w:r>
      <w:r>
        <w:rPr>
          <w:rFonts w:hint="eastAsia"/>
          <w:snapToGrid/>
        </w:rPr>
        <w:t>)(1952)</w:t>
      </w:r>
      <w:r>
        <w:rPr>
          <w:rFonts w:hint="eastAsia"/>
          <w:snapToGrid/>
        </w:rPr>
        <w:t>；以及劳工组织《最低年龄公约》</w:t>
      </w:r>
      <w:r>
        <w:rPr>
          <w:rFonts w:hint="eastAsia"/>
          <w:snapToGrid/>
        </w:rPr>
        <w:t>(</w:t>
      </w:r>
      <w:r>
        <w:rPr>
          <w:rFonts w:hint="eastAsia"/>
          <w:snapToGrid/>
        </w:rPr>
        <w:t>第</w:t>
      </w:r>
      <w:r>
        <w:rPr>
          <w:rFonts w:hint="eastAsia"/>
          <w:snapToGrid/>
        </w:rPr>
        <w:t>138</w:t>
      </w:r>
      <w:r>
        <w:rPr>
          <w:rFonts w:hint="eastAsia"/>
          <w:snapToGrid/>
        </w:rPr>
        <w:t>号公约</w:t>
      </w:r>
      <w:r>
        <w:rPr>
          <w:rFonts w:hint="eastAsia"/>
          <w:snapToGrid/>
        </w:rPr>
        <w:t>)(1973)</w:t>
      </w:r>
      <w:r>
        <w:rPr>
          <w:rFonts w:hint="eastAsia"/>
          <w:snapToGrid/>
        </w:rPr>
        <w:t>。</w:t>
      </w:r>
    </w:p>
    <w:p w:rsidR="00000000" w:rsidRDefault="00844A84">
      <w:pPr>
        <w:pStyle w:val="Heading4"/>
      </w:pPr>
      <w:r>
        <w:rPr>
          <w:rFonts w:hint="eastAsia"/>
          <w:u w:val="none"/>
        </w:rPr>
        <w:t>(b</w:t>
      </w:r>
      <w:r>
        <w:rPr>
          <w:u w:val="none"/>
        </w:rPr>
        <w:t>)</w:t>
      </w:r>
      <w:r>
        <w:rPr>
          <w:rFonts w:hint="eastAsia"/>
          <w:u w:val="none"/>
        </w:rPr>
        <w:t xml:space="preserve">  </w:t>
      </w:r>
      <w:r>
        <w:t>“</w:t>
      </w:r>
      <w:r>
        <w:rPr>
          <w:rFonts w:hint="eastAsia"/>
          <w:lang w:val="zh-CN"/>
        </w:rPr>
        <w:t>家庭</w:t>
      </w:r>
      <w:r>
        <w:t>”</w:t>
      </w:r>
      <w:r>
        <w:rPr>
          <w:rFonts w:hint="eastAsia"/>
          <w:lang w:val="zh-CN"/>
        </w:rPr>
        <w:t>的定义</w:t>
      </w:r>
    </w:p>
    <w:p w:rsidR="00000000" w:rsidRDefault="00844A84">
      <w:pPr>
        <w:rPr>
          <w:snapToGrid/>
        </w:rPr>
      </w:pPr>
      <w:r>
        <w:rPr>
          <w:rFonts w:hint="eastAsia"/>
          <w:snapToGrid/>
          <w:lang w:val="zh-CN"/>
        </w:rPr>
        <w:tab/>
        <w:t xml:space="preserve">202.  </w:t>
      </w:r>
      <w:r>
        <w:rPr>
          <w:rFonts w:hint="eastAsia"/>
          <w:snapToGrid/>
          <w:lang w:val="zh-CN"/>
        </w:rPr>
        <w:t>《南斯拉夫联盟共和国宪法》规定</w:t>
      </w:r>
      <w:r>
        <w:rPr>
          <w:rFonts w:hint="eastAsia"/>
          <w:snapToGrid/>
        </w:rPr>
        <w:t>，</w:t>
      </w:r>
      <w:r>
        <w:rPr>
          <w:rFonts w:hint="eastAsia"/>
          <w:snapToGrid/>
          <w:lang w:val="zh-CN"/>
        </w:rPr>
        <w:t>家庭、母亲和儿童享受特别保护</w:t>
      </w:r>
      <w:r>
        <w:rPr>
          <w:rFonts w:hint="eastAsia"/>
          <w:snapToGrid/>
        </w:rPr>
        <w:t>，</w:t>
      </w:r>
      <w:r>
        <w:rPr>
          <w:rFonts w:hint="eastAsia"/>
          <w:snapToGrid/>
          <w:lang w:val="zh-CN"/>
        </w:rPr>
        <w:t>婚生子女和非婚生子女享有同样的权利和义务</w:t>
      </w:r>
      <w:r>
        <w:rPr>
          <w:rFonts w:hint="eastAsia"/>
          <w:snapToGrid/>
        </w:rPr>
        <w:t>(</w:t>
      </w:r>
      <w:r>
        <w:rPr>
          <w:rFonts w:hint="eastAsia"/>
          <w:snapToGrid/>
          <w:lang w:val="zh-CN"/>
        </w:rPr>
        <w:t>第</w:t>
      </w:r>
      <w:r>
        <w:rPr>
          <w:snapToGrid/>
        </w:rPr>
        <w:t>61</w:t>
      </w:r>
      <w:r>
        <w:rPr>
          <w:rFonts w:hint="eastAsia"/>
          <w:snapToGrid/>
          <w:lang w:val="zh-CN"/>
        </w:rPr>
        <w:t>条</w:t>
      </w:r>
      <w:r>
        <w:rPr>
          <w:rFonts w:hint="eastAsia"/>
          <w:snapToGrid/>
        </w:rPr>
        <w:t>)</w:t>
      </w:r>
      <w:r>
        <w:rPr>
          <w:rFonts w:hint="eastAsia"/>
          <w:snapToGrid/>
          <w:lang w:val="zh-CN"/>
        </w:rPr>
        <w:t>。《人权和少数群体权利与公民自由宪章》也规定对家庭、母亲和儿童给予特别保护。宪章还保障母亲在产前和产后法律规定的期间内有权得到成员国的支持和保护。</w:t>
      </w:r>
    </w:p>
    <w:p w:rsidR="00000000" w:rsidRDefault="00844A84">
      <w:pPr>
        <w:rPr>
          <w:snapToGrid/>
        </w:rPr>
      </w:pPr>
      <w:r>
        <w:rPr>
          <w:rFonts w:hint="eastAsia"/>
          <w:snapToGrid/>
          <w:lang w:val="zh-CN"/>
        </w:rPr>
        <w:tab/>
        <w:t xml:space="preserve">203.  </w:t>
      </w:r>
      <w:r>
        <w:rPr>
          <w:rFonts w:hint="eastAsia"/>
          <w:snapToGrid/>
          <w:lang w:val="zh-CN"/>
        </w:rPr>
        <w:t>《塞尔维亚共和国婚姻和家庭关系法》</w:t>
      </w:r>
      <w:r>
        <w:rPr>
          <w:rFonts w:hint="eastAsia"/>
          <w:snapToGrid/>
        </w:rPr>
        <w:t>(</w:t>
      </w:r>
      <w:r>
        <w:rPr>
          <w:rFonts w:hint="eastAsia"/>
          <w:snapToGrid/>
          <w:lang w:val="zh-CN"/>
        </w:rPr>
        <w:t>《塞尔维亚共和国政府公报》第</w:t>
      </w:r>
      <w:r>
        <w:rPr>
          <w:snapToGrid/>
        </w:rPr>
        <w:t>22/80,11/88,22/93,</w:t>
      </w:r>
      <w:r>
        <w:rPr>
          <w:snapToGrid/>
        </w:rPr>
        <w:t>25/93,35/94</w:t>
      </w:r>
      <w:r>
        <w:rPr>
          <w:rFonts w:hint="eastAsia"/>
          <w:snapToGrid/>
        </w:rPr>
        <w:t>和</w:t>
      </w:r>
      <w:r>
        <w:rPr>
          <w:snapToGrid/>
        </w:rPr>
        <w:t>29/2001</w:t>
      </w:r>
      <w:r>
        <w:rPr>
          <w:rFonts w:hint="eastAsia"/>
          <w:snapToGrid/>
        </w:rPr>
        <w:t>号</w:t>
      </w:r>
      <w:r>
        <w:rPr>
          <w:rFonts w:hint="eastAsia"/>
          <w:snapToGrid/>
        </w:rPr>
        <w:t>)</w:t>
      </w:r>
      <w:r>
        <w:rPr>
          <w:rFonts w:hint="eastAsia"/>
          <w:snapToGrid/>
        </w:rPr>
        <w:t>作为规范婚姻和家庭关系的主要立法，在其条款中并没有对家庭作出明确的定义。</w:t>
      </w:r>
      <w:r>
        <w:rPr>
          <w:rFonts w:hint="eastAsia"/>
          <w:snapToGrid/>
          <w:lang w:val="zh-CN"/>
        </w:rPr>
        <w:t>但是</w:t>
      </w:r>
      <w:r>
        <w:rPr>
          <w:rFonts w:hint="eastAsia"/>
          <w:snapToGrid/>
        </w:rPr>
        <w:t>，</w:t>
      </w:r>
      <w:r>
        <w:rPr>
          <w:rFonts w:hint="eastAsia"/>
          <w:snapToGrid/>
          <w:lang w:val="zh-CN"/>
        </w:rPr>
        <w:t>我们可以根据本法与家庭有关的条款推定</w:t>
      </w:r>
      <w:r>
        <w:rPr>
          <w:rFonts w:hint="eastAsia"/>
          <w:snapToGrid/>
        </w:rPr>
        <w:t>，</w:t>
      </w:r>
      <w:r>
        <w:rPr>
          <w:rFonts w:hint="eastAsia"/>
          <w:snapToGrid/>
          <w:lang w:val="zh-CN"/>
        </w:rPr>
        <w:t>家庭是指配偶的组合</w:t>
      </w:r>
      <w:r>
        <w:rPr>
          <w:rFonts w:hint="eastAsia"/>
          <w:snapToGrid/>
        </w:rPr>
        <w:t>，而</w:t>
      </w:r>
      <w:r>
        <w:rPr>
          <w:rFonts w:hint="eastAsia"/>
          <w:snapToGrid/>
          <w:lang w:val="zh-CN"/>
        </w:rPr>
        <w:t>广义的家庭是指父母和儿童的组合。只有在规范某些财产关系</w:t>
      </w:r>
      <w:r>
        <w:rPr>
          <w:rFonts w:hint="eastAsia"/>
          <w:snapToGrid/>
        </w:rPr>
        <w:t>(</w:t>
      </w:r>
      <w:r>
        <w:rPr>
          <w:rFonts w:hint="eastAsia"/>
          <w:snapToGrid/>
          <w:lang w:val="zh-CN"/>
        </w:rPr>
        <w:t>供养关系</w:t>
      </w:r>
      <w:r>
        <w:rPr>
          <w:rFonts w:hint="eastAsia"/>
          <w:snapToGrid/>
        </w:rPr>
        <w:t>)</w:t>
      </w:r>
      <w:r>
        <w:rPr>
          <w:rFonts w:hint="eastAsia"/>
          <w:snapToGrid/>
          <w:lang w:val="zh-CN"/>
        </w:rPr>
        <w:t>时</w:t>
      </w:r>
      <w:r>
        <w:rPr>
          <w:rFonts w:hint="eastAsia"/>
          <w:snapToGrid/>
        </w:rPr>
        <w:t>，</w:t>
      </w:r>
      <w:r>
        <w:rPr>
          <w:rFonts w:hint="eastAsia"/>
          <w:snapToGrid/>
          <w:lang w:val="zh-CN"/>
        </w:rPr>
        <w:t>才对家庭作广义理解</w:t>
      </w:r>
      <w:r>
        <w:rPr>
          <w:rFonts w:hint="eastAsia"/>
          <w:snapToGrid/>
        </w:rPr>
        <w:t>，</w:t>
      </w:r>
      <w:r>
        <w:rPr>
          <w:rFonts w:hint="eastAsia"/>
          <w:snapToGrid/>
          <w:lang w:val="zh-CN"/>
        </w:rPr>
        <w:t>供养义务扩大到所有亲属。无论亲等关系如何</w:t>
      </w:r>
      <w:r>
        <w:rPr>
          <w:rFonts w:hint="eastAsia"/>
          <w:snapToGrid/>
        </w:rPr>
        <w:t>，</w:t>
      </w:r>
      <w:r>
        <w:rPr>
          <w:rFonts w:hint="eastAsia"/>
          <w:snapToGrid/>
          <w:lang w:val="zh-CN"/>
        </w:rPr>
        <w:t>年长和年幼的兄弟姐妹之间存在供养义务</w:t>
      </w:r>
      <w:r>
        <w:rPr>
          <w:rFonts w:hint="eastAsia"/>
          <w:snapToGrid/>
        </w:rPr>
        <w:t>，</w:t>
      </w:r>
      <w:r>
        <w:rPr>
          <w:rFonts w:hint="eastAsia"/>
          <w:snapToGrid/>
          <w:lang w:val="zh-CN"/>
        </w:rPr>
        <w:t>在继养关系中</w:t>
      </w:r>
      <w:r>
        <w:rPr>
          <w:rFonts w:hint="eastAsia"/>
          <w:snapToGrid/>
        </w:rPr>
        <w:t>，</w:t>
      </w:r>
      <w:r>
        <w:rPr>
          <w:rFonts w:hint="eastAsia"/>
          <w:snapToGrid/>
          <w:lang w:val="zh-CN"/>
        </w:rPr>
        <w:t>继父母和继子女之间存在供养义务。</w:t>
      </w:r>
    </w:p>
    <w:p w:rsidR="00000000" w:rsidRDefault="00844A84">
      <w:pPr>
        <w:rPr>
          <w:snapToGrid/>
        </w:rPr>
      </w:pPr>
      <w:r>
        <w:rPr>
          <w:rFonts w:hint="eastAsia"/>
          <w:snapToGrid/>
          <w:lang w:val="zh-CN"/>
        </w:rPr>
        <w:tab/>
        <w:t xml:space="preserve">204.  </w:t>
      </w:r>
      <w:r>
        <w:rPr>
          <w:rFonts w:hint="eastAsia"/>
          <w:snapToGrid/>
          <w:lang w:val="zh-CN"/>
        </w:rPr>
        <w:t>根据《塞尔维亚共和国儿童社会抚养法》</w:t>
      </w:r>
      <w:r>
        <w:rPr>
          <w:rFonts w:hint="eastAsia"/>
          <w:snapToGrid/>
        </w:rPr>
        <w:t>(</w:t>
      </w:r>
      <w:r>
        <w:rPr>
          <w:rFonts w:hint="eastAsia"/>
          <w:snapToGrid/>
          <w:lang w:val="zh-CN"/>
        </w:rPr>
        <w:t>《塞尔维亚共和国政府公报》第</w:t>
      </w:r>
      <w:r>
        <w:rPr>
          <w:snapToGrid/>
        </w:rPr>
        <w:t>49/92</w:t>
      </w:r>
      <w:r>
        <w:rPr>
          <w:rFonts w:hint="eastAsia"/>
          <w:snapToGrid/>
        </w:rPr>
        <w:t>号，第</w:t>
      </w:r>
      <w:r>
        <w:rPr>
          <w:snapToGrid/>
        </w:rPr>
        <w:t>29/93</w:t>
      </w:r>
      <w:r>
        <w:rPr>
          <w:rFonts w:hint="eastAsia"/>
          <w:snapToGrid/>
        </w:rPr>
        <w:t>号，第</w:t>
      </w:r>
      <w:r>
        <w:rPr>
          <w:snapToGrid/>
        </w:rPr>
        <w:t>5</w:t>
      </w:r>
      <w:r>
        <w:rPr>
          <w:snapToGrid/>
        </w:rPr>
        <w:t>3/93</w:t>
      </w:r>
      <w:r>
        <w:rPr>
          <w:rFonts w:hint="eastAsia"/>
          <w:snapToGrid/>
        </w:rPr>
        <w:t>号，第</w:t>
      </w:r>
      <w:r>
        <w:rPr>
          <w:snapToGrid/>
        </w:rPr>
        <w:t>67/93</w:t>
      </w:r>
      <w:r>
        <w:rPr>
          <w:rFonts w:hint="eastAsia"/>
          <w:snapToGrid/>
        </w:rPr>
        <w:t>号，第</w:t>
      </w:r>
      <w:r>
        <w:rPr>
          <w:snapToGrid/>
        </w:rPr>
        <w:t>28/94</w:t>
      </w:r>
      <w:r>
        <w:rPr>
          <w:rFonts w:hint="eastAsia"/>
          <w:snapToGrid/>
        </w:rPr>
        <w:t>号，第</w:t>
      </w:r>
      <w:r>
        <w:rPr>
          <w:snapToGrid/>
        </w:rPr>
        <w:t>47/94</w:t>
      </w:r>
      <w:r>
        <w:rPr>
          <w:rFonts w:hint="eastAsia"/>
          <w:snapToGrid/>
        </w:rPr>
        <w:t>号，第</w:t>
      </w:r>
      <w:r>
        <w:rPr>
          <w:snapToGrid/>
        </w:rPr>
        <w:t>25/96</w:t>
      </w:r>
      <w:r>
        <w:rPr>
          <w:rFonts w:hint="eastAsia"/>
          <w:snapToGrid/>
        </w:rPr>
        <w:t>号，第</w:t>
      </w:r>
      <w:r>
        <w:rPr>
          <w:snapToGrid/>
        </w:rPr>
        <w:t>29/01</w:t>
      </w:r>
      <w:r>
        <w:rPr>
          <w:rFonts w:hint="eastAsia"/>
          <w:snapToGrid/>
        </w:rPr>
        <w:t>号</w:t>
      </w:r>
      <w:r>
        <w:rPr>
          <w:rFonts w:hint="eastAsia"/>
          <w:snapToGrid/>
        </w:rPr>
        <w:t>)</w:t>
      </w:r>
      <w:r>
        <w:rPr>
          <w:rFonts w:hint="eastAsia"/>
          <w:snapToGrid/>
        </w:rPr>
        <w:t>，家庭由在同一住户生活的</w:t>
      </w:r>
      <w:r>
        <w:rPr>
          <w:rFonts w:hint="eastAsia"/>
          <w:snapToGrid/>
        </w:rPr>
        <w:t>(</w:t>
      </w:r>
      <w:r>
        <w:rPr>
          <w:rFonts w:hint="eastAsia"/>
          <w:snapToGrid/>
        </w:rPr>
        <w:t>已婚或同居</w:t>
      </w:r>
      <w:r>
        <w:rPr>
          <w:rFonts w:hint="eastAsia"/>
          <w:snapToGrid/>
        </w:rPr>
        <w:t>)</w:t>
      </w:r>
      <w:r>
        <w:rPr>
          <w:rFonts w:hint="eastAsia"/>
          <w:snapToGrid/>
        </w:rPr>
        <w:t>配偶、</w:t>
      </w:r>
      <w:r>
        <w:rPr>
          <w:rFonts w:hint="eastAsia"/>
          <w:snapToGrid/>
        </w:rPr>
        <w:t>(</w:t>
      </w:r>
      <w:r>
        <w:rPr>
          <w:rFonts w:hint="eastAsia"/>
          <w:snapToGrid/>
        </w:rPr>
        <w:t>婚生或非婚生、领养和继养</w:t>
      </w:r>
      <w:r>
        <w:rPr>
          <w:rFonts w:hint="eastAsia"/>
          <w:snapToGrid/>
        </w:rPr>
        <w:t>)</w:t>
      </w:r>
      <w:r>
        <w:rPr>
          <w:rFonts w:hint="eastAsia"/>
          <w:snapToGrid/>
        </w:rPr>
        <w:t>子女和二亲等以内的亲属组成。</w:t>
      </w:r>
    </w:p>
    <w:p w:rsidR="00000000" w:rsidRDefault="00844A84">
      <w:pPr>
        <w:rPr>
          <w:snapToGrid/>
        </w:rPr>
      </w:pPr>
      <w:r>
        <w:rPr>
          <w:rFonts w:hint="eastAsia"/>
          <w:snapToGrid/>
          <w:lang w:val="zh-CN"/>
        </w:rPr>
        <w:tab/>
        <w:t xml:space="preserve">205.  </w:t>
      </w:r>
      <w:r>
        <w:rPr>
          <w:rFonts w:hint="eastAsia"/>
          <w:snapToGrid/>
          <w:lang w:val="zh-CN"/>
        </w:rPr>
        <w:t>《塞尔维亚共和国公民社会福利和社会保障法》对家庭的定义如下</w:t>
      </w:r>
      <w:r>
        <w:rPr>
          <w:rFonts w:hint="eastAsia"/>
          <w:snapToGrid/>
        </w:rPr>
        <w:t>：</w:t>
      </w:r>
      <w:r>
        <w:rPr>
          <w:snapToGrid/>
        </w:rPr>
        <w:t>“</w:t>
      </w:r>
      <w:r>
        <w:rPr>
          <w:rFonts w:hint="eastAsia"/>
          <w:snapToGrid/>
          <w:lang w:val="zh-CN"/>
        </w:rPr>
        <w:t>从获得经济补助的角度出发</w:t>
      </w:r>
      <w:r>
        <w:rPr>
          <w:rFonts w:hint="eastAsia"/>
          <w:snapToGrid/>
        </w:rPr>
        <w:t>，</w:t>
      </w:r>
      <w:r>
        <w:rPr>
          <w:rFonts w:hint="eastAsia"/>
          <w:snapToGrid/>
          <w:lang w:val="zh-CN"/>
        </w:rPr>
        <w:t>家庭的含义是在同一住户生活的已婚和同居配偶、</w:t>
      </w:r>
      <w:r>
        <w:rPr>
          <w:rFonts w:hint="eastAsia"/>
          <w:snapToGrid/>
        </w:rPr>
        <w:t>(</w:t>
      </w:r>
      <w:r>
        <w:rPr>
          <w:rFonts w:hint="eastAsia"/>
          <w:snapToGrid/>
          <w:lang w:val="zh-CN"/>
        </w:rPr>
        <w:t>婚生或非婚生、领养和寄养</w:t>
      </w:r>
      <w:r>
        <w:rPr>
          <w:rFonts w:hint="eastAsia"/>
          <w:snapToGrid/>
        </w:rPr>
        <w:t>)</w:t>
      </w:r>
      <w:r>
        <w:rPr>
          <w:rFonts w:hint="eastAsia"/>
          <w:snapToGrid/>
          <w:lang w:val="zh-CN"/>
        </w:rPr>
        <w:t>子女、直系亲属以及二亲等内的旁系亲属。</w:t>
      </w:r>
      <w:r>
        <w:rPr>
          <w:snapToGrid/>
        </w:rPr>
        <w:t>”</w:t>
      </w:r>
    </w:p>
    <w:p w:rsidR="00000000" w:rsidRDefault="00844A84">
      <w:pPr>
        <w:spacing w:after="320"/>
        <w:rPr>
          <w:snapToGrid/>
        </w:rPr>
      </w:pPr>
      <w:r>
        <w:rPr>
          <w:rFonts w:hint="eastAsia"/>
          <w:snapToGrid/>
          <w:lang w:val="zh-CN"/>
        </w:rPr>
        <w:tab/>
        <w:t xml:space="preserve">206.  </w:t>
      </w:r>
      <w:r>
        <w:rPr>
          <w:rFonts w:hint="eastAsia"/>
          <w:snapToGrid/>
          <w:lang w:val="zh-CN"/>
        </w:rPr>
        <w:t>例外情况是</w:t>
      </w:r>
      <w:r>
        <w:rPr>
          <w:rFonts w:hint="eastAsia"/>
          <w:snapToGrid/>
        </w:rPr>
        <w:t>，</w:t>
      </w:r>
      <w:r>
        <w:rPr>
          <w:rFonts w:hint="eastAsia"/>
          <w:snapToGrid/>
          <w:lang w:val="zh-CN"/>
        </w:rPr>
        <w:t>没有收入的子女虽然不与父母生活在一起</w:t>
      </w:r>
      <w:r>
        <w:rPr>
          <w:rFonts w:hint="eastAsia"/>
          <w:snapToGrid/>
        </w:rPr>
        <w:t>，</w:t>
      </w:r>
      <w:r>
        <w:rPr>
          <w:rFonts w:hint="eastAsia"/>
          <w:snapToGrid/>
          <w:lang w:val="zh-CN"/>
        </w:rPr>
        <w:t>但结婚或成家之前</w:t>
      </w:r>
      <w:r>
        <w:rPr>
          <w:rFonts w:hint="eastAsia"/>
          <w:snapToGrid/>
        </w:rPr>
        <w:t>，</w:t>
      </w:r>
      <w:r>
        <w:rPr>
          <w:rFonts w:hint="eastAsia"/>
          <w:snapToGrid/>
          <w:lang w:val="zh-CN"/>
        </w:rPr>
        <w:t>被认为是其父母家庭的</w:t>
      </w:r>
      <w:r>
        <w:rPr>
          <w:rFonts w:hint="eastAsia"/>
          <w:snapToGrid/>
          <w:lang w:val="zh-CN"/>
        </w:rPr>
        <w:t>成员</w:t>
      </w:r>
      <w:r>
        <w:rPr>
          <w:rFonts w:hint="eastAsia"/>
          <w:snapToGrid/>
        </w:rPr>
        <w:t>，</w:t>
      </w:r>
      <w:r>
        <w:rPr>
          <w:rFonts w:hint="eastAsia"/>
          <w:snapToGrid/>
          <w:lang w:val="zh-CN"/>
        </w:rPr>
        <w:t>但以</w:t>
      </w:r>
      <w:r>
        <w:rPr>
          <w:rFonts w:hint="eastAsia"/>
          <w:snapToGrid/>
        </w:rPr>
        <w:t>27</w:t>
      </w:r>
      <w:r>
        <w:rPr>
          <w:rFonts w:hint="eastAsia"/>
          <w:snapToGrid/>
          <w:lang w:val="zh-CN"/>
        </w:rPr>
        <w:t>岁为限。另外，配偶</w:t>
      </w:r>
      <w:r>
        <w:rPr>
          <w:rFonts w:hint="eastAsia"/>
          <w:snapToGrid/>
          <w:lang w:val="zh-CN"/>
        </w:rPr>
        <w:t>(</w:t>
      </w:r>
      <w:r>
        <w:rPr>
          <w:rFonts w:hint="eastAsia"/>
          <w:snapToGrid/>
          <w:lang w:val="zh-CN"/>
        </w:rPr>
        <w:t>无论居住何处</w:t>
      </w:r>
      <w:r>
        <w:rPr>
          <w:rFonts w:hint="eastAsia"/>
          <w:snapToGrid/>
          <w:lang w:val="zh-CN"/>
        </w:rPr>
        <w:t>)</w:t>
      </w:r>
      <w:r>
        <w:rPr>
          <w:rFonts w:hint="eastAsia"/>
          <w:snapToGrid/>
          <w:lang w:val="zh-CN"/>
        </w:rPr>
        <w:t>、无工作能力的父母和正在接受正规教育的子女也被视为家庭成员。</w:t>
      </w:r>
    </w:p>
    <w:p w:rsidR="00000000" w:rsidRDefault="00844A84">
      <w:pPr>
        <w:pStyle w:val="Heading4"/>
      </w:pPr>
      <w:r>
        <w:rPr>
          <w:rFonts w:hint="eastAsia"/>
          <w:u w:val="none"/>
          <w:lang w:val="zh-CN"/>
        </w:rPr>
        <w:t xml:space="preserve">(c)  </w:t>
      </w:r>
      <w:r>
        <w:rPr>
          <w:rFonts w:hint="eastAsia"/>
          <w:lang w:val="zh-CN"/>
        </w:rPr>
        <w:t>儿童取得法律行为能力的年龄</w:t>
      </w:r>
    </w:p>
    <w:p w:rsidR="00000000" w:rsidRDefault="00844A84">
      <w:pPr>
        <w:rPr>
          <w:snapToGrid/>
        </w:rPr>
      </w:pPr>
      <w:r>
        <w:rPr>
          <w:rFonts w:hint="eastAsia"/>
          <w:snapToGrid/>
          <w:lang w:val="zh-CN"/>
        </w:rPr>
        <w:tab/>
        <w:t xml:space="preserve">207.  </w:t>
      </w:r>
      <w:r>
        <w:rPr>
          <w:rFonts w:hint="eastAsia"/>
          <w:snapToGrid/>
          <w:lang w:val="zh-CN"/>
        </w:rPr>
        <w:t>《塞尔维亚共和国婚姻和家庭关系法》规定</w:t>
      </w:r>
      <w:r>
        <w:rPr>
          <w:rFonts w:hint="eastAsia"/>
          <w:snapToGrid/>
        </w:rPr>
        <w:t>，公民法定成年年龄为</w:t>
      </w:r>
      <w:r>
        <w:rPr>
          <w:snapToGrid/>
        </w:rPr>
        <w:t>18</w:t>
      </w:r>
      <w:r>
        <w:rPr>
          <w:rFonts w:hint="eastAsia"/>
          <w:snapToGrid/>
          <w:lang w:val="zh-CN"/>
        </w:rPr>
        <w:t>岁。</w:t>
      </w:r>
      <w:r>
        <w:rPr>
          <w:snapToGrid/>
          <w:lang w:val="zh-CN"/>
        </w:rPr>
        <w:t>16</w:t>
      </w:r>
      <w:r>
        <w:rPr>
          <w:rFonts w:hint="eastAsia"/>
          <w:snapToGrid/>
          <w:lang w:val="zh-CN"/>
        </w:rPr>
        <w:t>岁以上的未成年人如得到法庭许可，可缔结婚姻。达到法定年龄或在达到法定年龄之前缔结婚约的</w:t>
      </w:r>
      <w:r>
        <w:rPr>
          <w:rFonts w:hint="eastAsia"/>
          <w:snapToGrid/>
        </w:rPr>
        <w:t>，</w:t>
      </w:r>
      <w:r>
        <w:rPr>
          <w:rFonts w:hint="eastAsia"/>
          <w:snapToGrid/>
          <w:lang w:val="zh-CN"/>
        </w:rPr>
        <w:t>即享有完全的商业行为能力。</w:t>
      </w:r>
    </w:p>
    <w:p w:rsidR="00000000" w:rsidRDefault="00844A84">
      <w:pPr>
        <w:rPr>
          <w:snapToGrid/>
        </w:rPr>
      </w:pPr>
      <w:r>
        <w:rPr>
          <w:rFonts w:hint="eastAsia"/>
          <w:snapToGrid/>
        </w:rPr>
        <w:tab/>
      </w:r>
      <w:r>
        <w:rPr>
          <w:rFonts w:hint="eastAsia"/>
          <w:snapToGrid/>
          <w:lang w:val="zh-CN"/>
        </w:rPr>
        <w:t xml:space="preserve">208.  </w:t>
      </w:r>
      <w:r>
        <w:rPr>
          <w:rFonts w:hint="eastAsia"/>
          <w:snapToGrid/>
          <w:lang w:val="zh-CN"/>
        </w:rPr>
        <w:t>年满</w:t>
      </w:r>
      <w:r>
        <w:rPr>
          <w:snapToGrid/>
        </w:rPr>
        <w:t>14</w:t>
      </w:r>
      <w:r>
        <w:rPr>
          <w:rFonts w:hint="eastAsia"/>
          <w:snapToGrid/>
          <w:lang w:val="zh-CN"/>
        </w:rPr>
        <w:t>岁的儿童可以独立进行合法交易</w:t>
      </w:r>
      <w:r>
        <w:rPr>
          <w:rFonts w:hint="eastAsia"/>
          <w:snapToGrid/>
        </w:rPr>
        <w:t>，</w:t>
      </w:r>
      <w:r>
        <w:rPr>
          <w:rFonts w:hint="eastAsia"/>
          <w:snapToGrid/>
          <w:lang w:val="zh-CN"/>
        </w:rPr>
        <w:t>但除了不大重要的交易外</w:t>
      </w:r>
      <w:r>
        <w:rPr>
          <w:rFonts w:hint="eastAsia"/>
          <w:snapToGrid/>
        </w:rPr>
        <w:t>，</w:t>
      </w:r>
      <w:r>
        <w:rPr>
          <w:rFonts w:hint="eastAsia"/>
          <w:snapToGrid/>
          <w:lang w:val="zh-CN"/>
        </w:rPr>
        <w:t>处置或抵押该儿童财产时</w:t>
      </w:r>
      <w:r>
        <w:rPr>
          <w:rFonts w:hint="eastAsia"/>
          <w:snapToGrid/>
        </w:rPr>
        <w:t>，</w:t>
      </w:r>
      <w:r>
        <w:rPr>
          <w:rFonts w:hint="eastAsia"/>
          <w:snapToGrid/>
          <w:lang w:val="zh-CN"/>
        </w:rPr>
        <w:t>须征得父母或收养家庭的许可</w:t>
      </w:r>
      <w:r>
        <w:rPr>
          <w:rFonts w:hint="eastAsia"/>
          <w:snapToGrid/>
        </w:rPr>
        <w:t>，</w:t>
      </w:r>
      <w:r>
        <w:rPr>
          <w:rFonts w:hint="eastAsia"/>
          <w:snapToGrid/>
          <w:lang w:val="zh-CN"/>
        </w:rPr>
        <w:t>交易方有效。</w:t>
      </w:r>
    </w:p>
    <w:p w:rsidR="00000000" w:rsidRDefault="00844A84">
      <w:pPr>
        <w:rPr>
          <w:snapToGrid/>
        </w:rPr>
      </w:pPr>
      <w:r>
        <w:rPr>
          <w:rFonts w:hint="eastAsia"/>
          <w:snapToGrid/>
          <w:lang w:val="zh-CN"/>
        </w:rPr>
        <w:tab/>
        <w:t xml:space="preserve">209.  </w:t>
      </w:r>
      <w:r>
        <w:rPr>
          <w:rFonts w:hint="eastAsia"/>
          <w:snapToGrid/>
          <w:lang w:val="zh-CN"/>
        </w:rPr>
        <w:t>儿童满</w:t>
      </w:r>
      <w:r>
        <w:rPr>
          <w:snapToGrid/>
        </w:rPr>
        <w:t>1</w:t>
      </w:r>
      <w:r>
        <w:rPr>
          <w:snapToGrid/>
        </w:rPr>
        <w:t>5</w:t>
      </w:r>
      <w:r>
        <w:rPr>
          <w:rFonts w:hint="eastAsia"/>
          <w:snapToGrid/>
          <w:lang w:val="zh-CN"/>
        </w:rPr>
        <w:t>岁</w:t>
      </w:r>
      <w:r>
        <w:rPr>
          <w:rFonts w:hint="eastAsia"/>
          <w:snapToGrid/>
        </w:rPr>
        <w:t>，</w:t>
      </w:r>
      <w:r>
        <w:rPr>
          <w:rFonts w:hint="eastAsia"/>
          <w:snapToGrid/>
          <w:lang w:val="zh-CN"/>
        </w:rPr>
        <w:t>可以独立就业和支配自己的劳动所得和财产</w:t>
      </w:r>
      <w:r>
        <w:rPr>
          <w:rFonts w:hint="eastAsia"/>
          <w:snapToGrid/>
        </w:rPr>
        <w:t>，但有</w:t>
      </w:r>
      <w:r>
        <w:rPr>
          <w:rFonts w:hint="eastAsia"/>
          <w:snapToGrid/>
          <w:lang w:val="zh-CN"/>
        </w:rPr>
        <w:t>义务拿出部分收入负担自己的生活和教育。</w:t>
      </w:r>
    </w:p>
    <w:p w:rsidR="00000000" w:rsidRDefault="00844A84">
      <w:pPr>
        <w:spacing w:after="320"/>
        <w:rPr>
          <w:snapToGrid/>
        </w:rPr>
      </w:pPr>
      <w:r>
        <w:rPr>
          <w:rFonts w:hint="eastAsia"/>
          <w:snapToGrid/>
          <w:lang w:val="zh-CN"/>
        </w:rPr>
        <w:tab/>
        <w:t xml:space="preserve">210.  </w:t>
      </w:r>
      <w:r>
        <w:rPr>
          <w:rFonts w:hint="eastAsia"/>
          <w:snapToGrid/>
          <w:lang w:val="zh-CN"/>
        </w:rPr>
        <w:t>年满</w:t>
      </w:r>
      <w:r>
        <w:rPr>
          <w:snapToGrid/>
        </w:rPr>
        <w:t>16</w:t>
      </w:r>
      <w:r>
        <w:rPr>
          <w:rFonts w:hint="eastAsia"/>
          <w:snapToGrid/>
          <w:lang w:val="zh-CN"/>
        </w:rPr>
        <w:t>岁</w:t>
      </w:r>
      <w:r>
        <w:rPr>
          <w:rFonts w:hint="eastAsia"/>
          <w:snapToGrid/>
        </w:rPr>
        <w:t>，</w:t>
      </w:r>
      <w:r>
        <w:rPr>
          <w:rFonts w:hint="eastAsia"/>
          <w:snapToGrid/>
          <w:lang w:val="zh-CN"/>
        </w:rPr>
        <w:t>获得积极继承能力。</w:t>
      </w:r>
    </w:p>
    <w:p w:rsidR="00000000" w:rsidRDefault="00844A84">
      <w:pPr>
        <w:pStyle w:val="Heading4"/>
      </w:pPr>
      <w:r>
        <w:rPr>
          <w:u w:val="none"/>
        </w:rPr>
        <w:t xml:space="preserve">(d)  </w:t>
      </w:r>
      <w:r>
        <w:rPr>
          <w:rFonts w:hint="eastAsia"/>
          <w:lang w:val="zh-CN"/>
        </w:rPr>
        <w:t>婚姻和婚姻关系</w:t>
      </w:r>
    </w:p>
    <w:p w:rsidR="00000000" w:rsidRDefault="00844A84">
      <w:pPr>
        <w:pStyle w:val="Heading4"/>
      </w:pPr>
      <w:r>
        <w:rPr>
          <w:rFonts w:hint="eastAsia"/>
          <w:u w:val="none"/>
          <w:lang w:val="zh-CN"/>
        </w:rPr>
        <w:tab/>
      </w:r>
      <w:r>
        <w:rPr>
          <w:rFonts w:hint="eastAsia"/>
          <w:lang w:val="zh-CN"/>
        </w:rPr>
        <w:t>婚姻自由的保障</w:t>
      </w:r>
    </w:p>
    <w:p w:rsidR="00000000" w:rsidRDefault="00844A84">
      <w:pPr>
        <w:rPr>
          <w:snapToGrid/>
        </w:rPr>
      </w:pPr>
      <w:r>
        <w:rPr>
          <w:snapToGrid/>
        </w:rPr>
        <w:tab/>
        <w:t xml:space="preserve">211.  </w:t>
      </w:r>
      <w:r>
        <w:rPr>
          <w:rFonts w:hint="eastAsia"/>
          <w:snapToGrid/>
          <w:lang w:val="zh-CN"/>
        </w:rPr>
        <w:t>根据《南斯拉夫联盟共和国宪法》</w:t>
      </w:r>
      <w:r>
        <w:rPr>
          <w:rFonts w:hint="eastAsia"/>
          <w:snapToGrid/>
        </w:rPr>
        <w:t>，</w:t>
      </w:r>
      <w:r>
        <w:rPr>
          <w:rFonts w:hint="eastAsia"/>
          <w:snapToGrid/>
          <w:lang w:val="zh-CN"/>
        </w:rPr>
        <w:t>家庭受到特别保护。《人权和少数群体权利与公民自由宪章》保障男女在自愿的基础上缔结婚约的权利。男女双方在婚姻的缔结、存续和终止中享有平等权利</w:t>
      </w:r>
      <w:r>
        <w:rPr>
          <w:rFonts w:hint="eastAsia"/>
          <w:snapToGrid/>
        </w:rPr>
        <w:t>，</w:t>
      </w:r>
      <w:r>
        <w:rPr>
          <w:rFonts w:hint="eastAsia"/>
          <w:snapToGrid/>
          <w:lang w:val="zh-CN"/>
        </w:rPr>
        <w:t>婚生和非婚生子女享有平等权利</w:t>
      </w:r>
      <w:r>
        <w:rPr>
          <w:rFonts w:hint="eastAsia"/>
          <w:snapToGrid/>
        </w:rPr>
        <w:t>(</w:t>
      </w:r>
      <w:r>
        <w:rPr>
          <w:rFonts w:hint="eastAsia"/>
          <w:snapToGrid/>
          <w:lang w:val="zh-CN"/>
        </w:rPr>
        <w:t>第</w:t>
      </w:r>
      <w:r>
        <w:rPr>
          <w:snapToGrid/>
        </w:rPr>
        <w:t>25</w:t>
      </w:r>
      <w:r>
        <w:rPr>
          <w:rFonts w:hint="eastAsia"/>
          <w:snapToGrid/>
          <w:lang w:val="zh-CN"/>
        </w:rPr>
        <w:t>条</w:t>
      </w:r>
      <w:r>
        <w:rPr>
          <w:rFonts w:hint="eastAsia"/>
          <w:snapToGrid/>
        </w:rPr>
        <w:t>)</w:t>
      </w:r>
      <w:r>
        <w:rPr>
          <w:rFonts w:hint="eastAsia"/>
          <w:snapToGrid/>
          <w:lang w:val="zh-CN"/>
        </w:rPr>
        <w:t>。</w:t>
      </w:r>
    </w:p>
    <w:p w:rsidR="00000000" w:rsidRDefault="00844A84">
      <w:pPr>
        <w:spacing w:after="320"/>
        <w:rPr>
          <w:snapToGrid/>
        </w:rPr>
      </w:pPr>
      <w:r>
        <w:rPr>
          <w:rFonts w:hint="eastAsia"/>
          <w:snapToGrid/>
          <w:lang w:val="zh-CN"/>
        </w:rPr>
        <w:tab/>
        <w:t xml:space="preserve">212.  </w:t>
      </w:r>
      <w:r>
        <w:rPr>
          <w:rFonts w:hint="eastAsia"/>
          <w:snapToGrid/>
          <w:lang w:val="zh-CN"/>
        </w:rPr>
        <w:t>婚姻和婚姻中的法律关系通过法律加以规范。现有立法保障男女在主管当局面前表述双方自愿后</w:t>
      </w:r>
      <w:r>
        <w:rPr>
          <w:rFonts w:hint="eastAsia"/>
          <w:snapToGrid/>
        </w:rPr>
        <w:t>，</w:t>
      </w:r>
      <w:r>
        <w:rPr>
          <w:rFonts w:hint="eastAsia"/>
          <w:snapToGrid/>
          <w:lang w:val="zh-CN"/>
        </w:rPr>
        <w:t>缔</w:t>
      </w:r>
      <w:r>
        <w:rPr>
          <w:rFonts w:hint="eastAsia"/>
          <w:snapToGrid/>
          <w:lang w:val="zh-CN"/>
        </w:rPr>
        <w:t>结合法有效婚姻的权利。未经男女双方完全自由同意缔结的婚姻无效</w:t>
      </w:r>
      <w:r>
        <w:rPr>
          <w:rFonts w:hint="eastAsia"/>
          <w:snapToGrid/>
        </w:rPr>
        <w:t>，</w:t>
      </w:r>
      <w:r>
        <w:rPr>
          <w:rFonts w:hint="eastAsia"/>
          <w:snapToGrid/>
          <w:lang w:val="zh-CN"/>
        </w:rPr>
        <w:t>不产生任何法律后果。在实践中</w:t>
      </w:r>
      <w:r>
        <w:rPr>
          <w:rFonts w:hint="eastAsia"/>
          <w:snapToGrid/>
        </w:rPr>
        <w:t>，</w:t>
      </w:r>
      <w:r>
        <w:rPr>
          <w:rFonts w:hint="eastAsia"/>
          <w:snapToGrid/>
          <w:lang w:val="zh-CN"/>
        </w:rPr>
        <w:t>男女双方行使婚姻完全自由的权利没有任何困难。</w:t>
      </w:r>
    </w:p>
    <w:p w:rsidR="00000000" w:rsidRDefault="00844A84">
      <w:pPr>
        <w:pStyle w:val="Heading4"/>
      </w:pPr>
      <w:r>
        <w:rPr>
          <w:rFonts w:hint="eastAsia"/>
          <w:u w:val="none"/>
          <w:lang w:val="zh-CN"/>
        </w:rPr>
        <w:tab/>
      </w:r>
      <w:r>
        <w:rPr>
          <w:rFonts w:hint="eastAsia"/>
          <w:lang w:val="zh-CN"/>
        </w:rPr>
        <w:t>协助建立家庭的措施</w:t>
      </w:r>
    </w:p>
    <w:p w:rsidR="00000000" w:rsidRDefault="00844A84">
      <w:pPr>
        <w:rPr>
          <w:snapToGrid/>
        </w:rPr>
      </w:pPr>
      <w:r>
        <w:rPr>
          <w:rFonts w:hint="eastAsia"/>
          <w:snapToGrid/>
          <w:lang w:val="zh-CN"/>
        </w:rPr>
        <w:tab/>
        <w:t xml:space="preserve">213.  </w:t>
      </w:r>
      <w:r>
        <w:rPr>
          <w:rFonts w:hint="eastAsia"/>
          <w:snapToGrid/>
          <w:lang w:val="zh-CN"/>
        </w:rPr>
        <w:t>为了便于建立家庭和协助年轻夫妇</w:t>
      </w:r>
      <w:r>
        <w:rPr>
          <w:rFonts w:hint="eastAsia"/>
          <w:snapToGrid/>
        </w:rPr>
        <w:t>，国家</w:t>
      </w:r>
      <w:r>
        <w:rPr>
          <w:rFonts w:hint="eastAsia"/>
          <w:snapToGrid/>
          <w:lang w:val="zh-CN"/>
        </w:rPr>
        <w:t>采取了各种措施。其中包括各种服务和津贴。此外</w:t>
      </w:r>
      <w:r>
        <w:rPr>
          <w:rFonts w:hint="eastAsia"/>
          <w:snapToGrid/>
        </w:rPr>
        <w:t>，国家</w:t>
      </w:r>
      <w:r>
        <w:rPr>
          <w:rFonts w:hint="eastAsia"/>
          <w:snapToGrid/>
          <w:lang w:val="zh-CN"/>
        </w:rPr>
        <w:t>还采取了各种措施维护、加强和保护家庭</w:t>
      </w:r>
      <w:r>
        <w:rPr>
          <w:rFonts w:hint="eastAsia"/>
          <w:snapToGrid/>
        </w:rPr>
        <w:t>，</w:t>
      </w:r>
      <w:r>
        <w:rPr>
          <w:rFonts w:hint="eastAsia"/>
          <w:snapToGrid/>
          <w:lang w:val="zh-CN"/>
        </w:rPr>
        <w:t>例如</w:t>
      </w:r>
      <w:r>
        <w:rPr>
          <w:rFonts w:hint="eastAsia"/>
          <w:snapToGrid/>
        </w:rPr>
        <w:t>：</w:t>
      </w:r>
    </w:p>
    <w:p w:rsidR="00000000" w:rsidRDefault="00844A84">
      <w:pPr>
        <w:numPr>
          <w:ilvl w:val="0"/>
          <w:numId w:val="522"/>
        </w:numPr>
        <w:tabs>
          <w:tab w:val="clear" w:pos="1531"/>
        </w:tabs>
        <w:rPr>
          <w:rFonts w:hint="eastAsia"/>
          <w:snapToGrid/>
          <w:lang w:val="zh-CN"/>
        </w:rPr>
      </w:pPr>
      <w:r>
        <w:rPr>
          <w:rFonts w:hint="eastAsia"/>
          <w:snapToGrid/>
          <w:lang w:val="zh-CN"/>
        </w:rPr>
        <w:t>正常产假期间和为照顾患有严重疾病的五岁以下儿童而延长产假时发放工资补贴。倘若母亲无法照顾儿童</w:t>
      </w:r>
      <w:r>
        <w:rPr>
          <w:rFonts w:hint="eastAsia"/>
          <w:snapToGrid/>
        </w:rPr>
        <w:t>，</w:t>
      </w:r>
      <w:r>
        <w:rPr>
          <w:rFonts w:hint="eastAsia"/>
          <w:snapToGrid/>
          <w:lang w:val="zh-CN"/>
        </w:rPr>
        <w:t>父亲或监护人或其他照顾该儿童的个人可以行使这一权利；</w:t>
      </w:r>
    </w:p>
    <w:p w:rsidR="00000000" w:rsidRDefault="00844A84">
      <w:pPr>
        <w:numPr>
          <w:ilvl w:val="0"/>
          <w:numId w:val="522"/>
        </w:numPr>
        <w:tabs>
          <w:tab w:val="clear" w:pos="1531"/>
        </w:tabs>
        <w:rPr>
          <w:rFonts w:hint="eastAsia"/>
          <w:snapToGrid/>
          <w:lang w:val="en-GB"/>
        </w:rPr>
      </w:pPr>
      <w:r>
        <w:rPr>
          <w:rFonts w:hint="eastAsia"/>
          <w:snapToGrid/>
          <w:lang w:val="zh-CN"/>
        </w:rPr>
        <w:t>如产妇不在产假期间领取工资补贴</w:t>
      </w:r>
      <w:r>
        <w:rPr>
          <w:rFonts w:hint="eastAsia"/>
          <w:snapToGrid/>
          <w:lang w:val="en-GB"/>
        </w:rPr>
        <w:t>，</w:t>
      </w:r>
      <w:r>
        <w:rPr>
          <w:rFonts w:hint="eastAsia"/>
          <w:snapToGrid/>
          <w:lang w:val="zh-CN"/>
        </w:rPr>
        <w:t>可以享受生育津贴。这就意味</w:t>
      </w:r>
      <w:r>
        <w:rPr>
          <w:rFonts w:hint="eastAsia"/>
          <w:snapToGrid/>
          <w:lang w:val="zh-CN"/>
        </w:rPr>
        <w:t>着失业母亲在子女一岁之前都可领取这笔津贴；</w:t>
      </w:r>
    </w:p>
    <w:p w:rsidR="00000000" w:rsidRDefault="00844A84">
      <w:pPr>
        <w:numPr>
          <w:ilvl w:val="0"/>
          <w:numId w:val="522"/>
        </w:numPr>
        <w:tabs>
          <w:tab w:val="clear" w:pos="1531"/>
        </w:tabs>
        <w:rPr>
          <w:rFonts w:hint="eastAsia"/>
          <w:snapToGrid/>
          <w:lang w:val="en-GB"/>
        </w:rPr>
      </w:pPr>
      <w:r>
        <w:rPr>
          <w:rFonts w:hint="eastAsia"/>
          <w:snapToGrid/>
          <w:lang w:val="zh-CN"/>
        </w:rPr>
        <w:t>每个新生儿家庭都可得到购买新生儿用品的补贴；</w:t>
      </w:r>
    </w:p>
    <w:p w:rsidR="00000000" w:rsidRDefault="00844A84">
      <w:pPr>
        <w:numPr>
          <w:ilvl w:val="0"/>
          <w:numId w:val="522"/>
        </w:numPr>
        <w:tabs>
          <w:tab w:val="clear" w:pos="1531"/>
        </w:tabs>
        <w:rPr>
          <w:rFonts w:hint="eastAsia"/>
          <w:snapToGrid/>
          <w:lang w:val="en-GB"/>
        </w:rPr>
      </w:pPr>
      <w:r>
        <w:rPr>
          <w:rFonts w:hint="eastAsia"/>
          <w:snapToGrid/>
          <w:lang w:val="en-GB"/>
        </w:rPr>
        <w:t>保障</w:t>
      </w:r>
      <w:r>
        <w:rPr>
          <w:rFonts w:hint="eastAsia"/>
          <w:snapToGrid/>
          <w:lang w:val="zh-CN"/>
        </w:rPr>
        <w:t>儿童休息和娱乐</w:t>
      </w:r>
      <w:r>
        <w:rPr>
          <w:rFonts w:hint="eastAsia"/>
          <w:snapToGrid/>
          <w:lang w:val="en-GB"/>
        </w:rPr>
        <w:t>，</w:t>
      </w:r>
      <w:r>
        <w:rPr>
          <w:rFonts w:hint="eastAsia"/>
          <w:snapToGrid/>
          <w:lang w:val="zh-CN"/>
        </w:rPr>
        <w:t>以及在学生餐厅用餐；</w:t>
      </w:r>
    </w:p>
    <w:p w:rsidR="00000000" w:rsidRDefault="00844A84">
      <w:pPr>
        <w:numPr>
          <w:ilvl w:val="0"/>
          <w:numId w:val="522"/>
        </w:numPr>
        <w:tabs>
          <w:tab w:val="clear" w:pos="1531"/>
        </w:tabs>
        <w:rPr>
          <w:rFonts w:hint="eastAsia"/>
          <w:snapToGrid/>
          <w:lang w:val="en-GB"/>
        </w:rPr>
      </w:pPr>
      <w:r>
        <w:rPr>
          <w:rFonts w:hint="eastAsia"/>
          <w:snapToGrid/>
        </w:rPr>
        <w:t>儿童津贴</w:t>
      </w:r>
      <w:r>
        <w:rPr>
          <w:rFonts w:hint="eastAsia"/>
          <w:snapToGrid/>
          <w:spacing w:val="-50"/>
          <w:lang w:val="en-GB"/>
        </w:rPr>
        <w:t>―</w:t>
      </w:r>
      <w:r>
        <w:rPr>
          <w:rFonts w:hint="eastAsia"/>
          <w:snapToGrid/>
          <w:lang w:val="en-GB"/>
        </w:rPr>
        <w:t>―</w:t>
      </w:r>
      <w:r>
        <w:rPr>
          <w:rFonts w:hint="eastAsia"/>
          <w:snapToGrid/>
        </w:rPr>
        <w:t>每个家庭的前三个子女</w:t>
      </w:r>
      <w:r>
        <w:rPr>
          <w:rFonts w:hint="eastAsia"/>
          <w:snapToGrid/>
          <w:lang w:val="en-GB"/>
        </w:rPr>
        <w:t>，</w:t>
      </w:r>
      <w:r>
        <w:rPr>
          <w:rFonts w:hint="eastAsia"/>
          <w:snapToGrid/>
        </w:rPr>
        <w:t>如果接受正规教育</w:t>
      </w:r>
      <w:r>
        <w:rPr>
          <w:rFonts w:hint="eastAsia"/>
          <w:snapToGrid/>
          <w:lang w:val="en-GB"/>
        </w:rPr>
        <w:t>，</w:t>
      </w:r>
      <w:r>
        <w:rPr>
          <w:rFonts w:hint="eastAsia"/>
          <w:snapToGrid/>
        </w:rPr>
        <w:t>并符合法律规定的其他条件</w:t>
      </w:r>
      <w:r>
        <w:rPr>
          <w:rFonts w:hint="eastAsia"/>
          <w:snapToGrid/>
          <w:lang w:val="en-GB"/>
        </w:rPr>
        <w:t>，</w:t>
      </w:r>
      <w:r>
        <w:rPr>
          <w:rFonts w:hint="eastAsia"/>
          <w:snapToGrid/>
        </w:rPr>
        <w:t>在</w:t>
      </w:r>
      <w:r>
        <w:rPr>
          <w:rFonts w:hint="eastAsia"/>
          <w:snapToGrid/>
        </w:rPr>
        <w:t>19</w:t>
      </w:r>
      <w:r>
        <w:rPr>
          <w:rFonts w:hint="eastAsia"/>
          <w:snapToGrid/>
        </w:rPr>
        <w:t>岁之前都可享受这项权利。</w:t>
      </w:r>
      <w:r>
        <w:rPr>
          <w:rFonts w:hint="eastAsia"/>
          <w:snapToGrid/>
          <w:lang w:val="zh-CN"/>
        </w:rPr>
        <w:t>根据《塞尔维亚共和国儿童社会抚养法》</w:t>
      </w:r>
      <w:r>
        <w:rPr>
          <w:rFonts w:hint="eastAsia"/>
          <w:snapToGrid/>
        </w:rPr>
        <w:t>，</w:t>
      </w:r>
      <w:r>
        <w:rPr>
          <w:rFonts w:hint="eastAsia"/>
          <w:snapToGrid/>
          <w:lang w:val="zh-CN"/>
        </w:rPr>
        <w:t>领取儿童津贴权利取决于家庭的物质条件</w:t>
      </w:r>
      <w:r>
        <w:rPr>
          <w:rFonts w:hint="eastAsia"/>
          <w:snapToGrid/>
        </w:rPr>
        <w:t>，</w:t>
      </w:r>
      <w:r>
        <w:rPr>
          <w:rFonts w:hint="eastAsia"/>
          <w:snapToGrid/>
          <w:lang w:val="zh-CN"/>
        </w:rPr>
        <w:t>只有低收入家庭享有这项权利。例外情况是</w:t>
      </w:r>
      <w:r>
        <w:rPr>
          <w:rFonts w:hint="eastAsia"/>
          <w:snapToGrid/>
        </w:rPr>
        <w:t>，</w:t>
      </w:r>
      <w:r>
        <w:rPr>
          <w:rFonts w:hint="eastAsia"/>
          <w:snapToGrid/>
          <w:lang w:val="zh-CN"/>
        </w:rPr>
        <w:t>有三个子女的家庭</w:t>
      </w:r>
      <w:r>
        <w:rPr>
          <w:rFonts w:hint="eastAsia"/>
          <w:snapToGrid/>
        </w:rPr>
        <w:t>，</w:t>
      </w:r>
      <w:r>
        <w:rPr>
          <w:rFonts w:hint="eastAsia"/>
          <w:snapToGrid/>
          <w:lang w:val="zh-CN"/>
        </w:rPr>
        <w:t>不论家庭物质条件如何</w:t>
      </w:r>
      <w:r>
        <w:rPr>
          <w:rFonts w:hint="eastAsia"/>
          <w:snapToGrid/>
        </w:rPr>
        <w:t>，</w:t>
      </w:r>
      <w:r>
        <w:rPr>
          <w:rFonts w:hint="eastAsia"/>
          <w:snapToGrid/>
          <w:lang w:val="zh-CN"/>
        </w:rPr>
        <w:t>第三个孩子都可享受儿童津贴。儿童津贴的数额视儿童的年龄、教育水平和心理生理状况而定；以及</w:t>
      </w:r>
    </w:p>
    <w:p w:rsidR="00000000" w:rsidRDefault="00844A84">
      <w:pPr>
        <w:numPr>
          <w:ilvl w:val="0"/>
          <w:numId w:val="522"/>
        </w:numPr>
        <w:tabs>
          <w:tab w:val="clear" w:pos="1531"/>
        </w:tabs>
        <w:rPr>
          <w:snapToGrid/>
          <w:lang w:val="en-GB"/>
        </w:rPr>
      </w:pPr>
      <w:r>
        <w:rPr>
          <w:rFonts w:hint="eastAsia"/>
          <w:snapToGrid/>
          <w:lang w:val="zh-CN"/>
        </w:rPr>
        <w:t>有需要的家庭</w:t>
      </w:r>
      <w:r>
        <w:rPr>
          <w:rFonts w:hint="eastAsia"/>
          <w:snapToGrid/>
          <w:lang w:val="en-GB"/>
        </w:rPr>
        <w:t>，</w:t>
      </w:r>
      <w:r>
        <w:rPr>
          <w:rFonts w:hint="eastAsia"/>
          <w:snapToGrid/>
          <w:lang w:val="zh-CN"/>
        </w:rPr>
        <w:t>可以安排其子</w:t>
      </w:r>
      <w:r>
        <w:rPr>
          <w:rFonts w:hint="eastAsia"/>
          <w:snapToGrid/>
          <w:lang w:val="zh-CN"/>
        </w:rPr>
        <w:t>女包括学龄前儿童在儿童机构食宿。国家负担的食宿费用最多可达</w:t>
      </w:r>
      <w:r>
        <w:rPr>
          <w:snapToGrid/>
        </w:rPr>
        <w:t>80%</w:t>
      </w:r>
      <w:r>
        <w:rPr>
          <w:rFonts w:hint="eastAsia"/>
          <w:snapToGrid/>
          <w:lang w:val="zh-CN"/>
        </w:rPr>
        <w:t>。</w:t>
      </w:r>
    </w:p>
    <w:p w:rsidR="00000000" w:rsidRDefault="00844A84">
      <w:pPr>
        <w:spacing w:after="320"/>
        <w:rPr>
          <w:snapToGrid/>
          <w:spacing w:val="6"/>
        </w:rPr>
      </w:pPr>
      <w:r>
        <w:rPr>
          <w:rFonts w:hint="eastAsia"/>
          <w:snapToGrid/>
          <w:lang w:val="zh-CN"/>
        </w:rPr>
        <w:tab/>
        <w:t xml:space="preserve">214.  </w:t>
      </w:r>
      <w:r>
        <w:rPr>
          <w:rFonts w:hint="eastAsia"/>
          <w:snapToGrid/>
          <w:spacing w:val="6"/>
          <w:lang w:val="zh-CN"/>
        </w:rPr>
        <w:t>为了协助建立家庭</w:t>
      </w:r>
      <w:r>
        <w:rPr>
          <w:rFonts w:hint="eastAsia"/>
          <w:snapToGrid/>
          <w:spacing w:val="6"/>
        </w:rPr>
        <w:t>，</w:t>
      </w:r>
      <w:r>
        <w:rPr>
          <w:rFonts w:hint="eastAsia"/>
          <w:snapToGrid/>
          <w:spacing w:val="6"/>
          <w:lang w:val="zh-CN"/>
        </w:rPr>
        <w:t>还提供其他权利和其他形式的社会和儿童保障</w:t>
      </w:r>
      <w:r>
        <w:rPr>
          <w:rFonts w:hint="eastAsia"/>
          <w:snapToGrid/>
          <w:spacing w:val="6"/>
        </w:rPr>
        <w:t>，</w:t>
      </w:r>
      <w:r>
        <w:rPr>
          <w:rFonts w:hint="eastAsia"/>
          <w:snapToGrid/>
          <w:spacing w:val="6"/>
          <w:lang w:val="zh-CN"/>
        </w:rPr>
        <w:t>例如</w:t>
      </w:r>
      <w:r>
        <w:rPr>
          <w:rFonts w:hint="eastAsia"/>
          <w:snapToGrid/>
          <w:spacing w:val="6"/>
        </w:rPr>
        <w:t>：一次性补贴；贷款；家庭法律关系咨询服务</w:t>
      </w:r>
      <w:r>
        <w:rPr>
          <w:snapToGrid/>
          <w:spacing w:val="6"/>
        </w:rPr>
        <w:t>(</w:t>
      </w:r>
      <w:r>
        <w:rPr>
          <w:rFonts w:hint="eastAsia"/>
          <w:snapToGrid/>
          <w:spacing w:val="6"/>
        </w:rPr>
        <w:t>重点是防止侵权和保护婚姻和家庭，也提供改善不良家庭关系的心理治疗</w:t>
      </w:r>
      <w:r>
        <w:rPr>
          <w:snapToGrid/>
          <w:spacing w:val="6"/>
        </w:rPr>
        <w:t>)</w:t>
      </w:r>
      <w:r>
        <w:rPr>
          <w:rFonts w:hint="eastAsia"/>
          <w:snapToGrid/>
          <w:spacing w:val="6"/>
        </w:rPr>
        <w:t>；支付教科书和文具费用；为供养他人者减免税等。</w:t>
      </w:r>
    </w:p>
    <w:p w:rsidR="00000000" w:rsidRDefault="00844A84">
      <w:pPr>
        <w:pStyle w:val="Heading4"/>
      </w:pPr>
      <w:r>
        <w:rPr>
          <w:rFonts w:hint="eastAsia"/>
          <w:u w:val="none"/>
        </w:rPr>
        <w:t xml:space="preserve">(e)  </w:t>
      </w:r>
      <w:r>
        <w:rPr>
          <w:rFonts w:hint="eastAsia"/>
        </w:rPr>
        <w:t>孕产妇保护以及防止对孕产妇的歧视</w:t>
      </w:r>
    </w:p>
    <w:p w:rsidR="00000000" w:rsidRDefault="00844A84">
      <w:pPr>
        <w:rPr>
          <w:snapToGrid/>
        </w:rPr>
      </w:pPr>
      <w:r>
        <w:rPr>
          <w:rFonts w:hint="eastAsia"/>
          <w:snapToGrid/>
        </w:rPr>
        <w:tab/>
        <w:t xml:space="preserve">215.  </w:t>
      </w:r>
      <w:r>
        <w:rPr>
          <w:rFonts w:hint="eastAsia"/>
          <w:snapToGrid/>
        </w:rPr>
        <w:t>《塞尔维亚共和国宪法》第</w:t>
      </w:r>
      <w:r>
        <w:rPr>
          <w:rFonts w:hint="eastAsia"/>
          <w:snapToGrid/>
        </w:rPr>
        <w:t>28</w:t>
      </w:r>
      <w:r>
        <w:rPr>
          <w:rFonts w:hint="eastAsia"/>
          <w:snapToGrid/>
        </w:rPr>
        <w:t>条和第</w:t>
      </w:r>
      <w:r>
        <w:rPr>
          <w:rFonts w:hint="eastAsia"/>
          <w:snapToGrid/>
        </w:rPr>
        <w:t>29</w:t>
      </w:r>
      <w:r>
        <w:rPr>
          <w:rFonts w:hint="eastAsia"/>
          <w:snapToGrid/>
        </w:rPr>
        <w:t>条规定，孕产妇、儿童和家庭受到特别保护。</w:t>
      </w:r>
    </w:p>
    <w:p w:rsidR="00000000" w:rsidRDefault="00844A84">
      <w:pPr>
        <w:rPr>
          <w:snapToGrid/>
        </w:rPr>
      </w:pPr>
      <w:r>
        <w:rPr>
          <w:rFonts w:hint="eastAsia"/>
          <w:snapToGrid/>
        </w:rPr>
        <w:tab/>
        <w:t xml:space="preserve">216.  </w:t>
      </w:r>
      <w:r>
        <w:rPr>
          <w:rFonts w:hint="eastAsia"/>
          <w:snapToGrid/>
        </w:rPr>
        <w:t>《塞尔维亚共和国劳动关系法》和《社会保障法》详细规定了对孕</w:t>
      </w:r>
      <w:r>
        <w:rPr>
          <w:rFonts w:hint="eastAsia"/>
          <w:snapToGrid/>
        </w:rPr>
        <w:t>产妇的保护措施。</w:t>
      </w:r>
    </w:p>
    <w:p w:rsidR="00000000" w:rsidRDefault="00844A84">
      <w:pPr>
        <w:rPr>
          <w:snapToGrid/>
        </w:rPr>
      </w:pPr>
      <w:r>
        <w:rPr>
          <w:rFonts w:hint="eastAsia"/>
          <w:snapToGrid/>
        </w:rPr>
        <w:tab/>
        <w:t xml:space="preserve">217.  </w:t>
      </w:r>
      <w:r>
        <w:rPr>
          <w:rFonts w:hint="eastAsia"/>
          <w:snapToGrid/>
        </w:rPr>
        <w:t>《劳动关系法》规定，妇女有权享受带薪产假，产假不得少于</w:t>
      </w:r>
      <w:r>
        <w:rPr>
          <w:rFonts w:hint="eastAsia"/>
          <w:snapToGrid/>
        </w:rPr>
        <w:t>270</w:t>
      </w:r>
      <w:r>
        <w:rPr>
          <w:rFonts w:hint="eastAsia"/>
          <w:snapToGrid/>
        </w:rPr>
        <w:t>天。出于健康考虑，在婴儿预产期前</w:t>
      </w:r>
      <w:r>
        <w:rPr>
          <w:rFonts w:hint="eastAsia"/>
          <w:snapToGrid/>
        </w:rPr>
        <w:t>28</w:t>
      </w:r>
      <w:r>
        <w:rPr>
          <w:rFonts w:hint="eastAsia"/>
          <w:snapToGrid/>
        </w:rPr>
        <w:t>天开始休产假。</w:t>
      </w:r>
    </w:p>
    <w:p w:rsidR="00000000" w:rsidRDefault="00844A84">
      <w:pPr>
        <w:rPr>
          <w:snapToGrid/>
        </w:rPr>
      </w:pPr>
      <w:r>
        <w:rPr>
          <w:rFonts w:hint="eastAsia"/>
          <w:snapToGrid/>
        </w:rPr>
        <w:tab/>
        <w:t xml:space="preserve">218.  </w:t>
      </w:r>
      <w:r>
        <w:rPr>
          <w:rFonts w:hint="eastAsia"/>
          <w:snapToGrid/>
        </w:rPr>
        <w:t>产假结束后，如果主管医生认为，婴儿因健康原因需要照顾，女工有权做半工，直到婴儿三岁。在这种情况下，半时工作按全时计算。</w:t>
      </w:r>
    </w:p>
    <w:p w:rsidR="00000000" w:rsidRDefault="00844A84">
      <w:pPr>
        <w:rPr>
          <w:snapToGrid/>
        </w:rPr>
      </w:pPr>
      <w:r>
        <w:rPr>
          <w:rFonts w:hint="eastAsia"/>
          <w:snapToGrid/>
        </w:rPr>
        <w:tab/>
        <w:t xml:space="preserve">219.  </w:t>
      </w:r>
      <w:r>
        <w:rPr>
          <w:rFonts w:hint="eastAsia"/>
          <w:snapToGrid/>
        </w:rPr>
        <w:t>母亲死亡、遗弃婴儿或出于合法的理由无法利用产假时，婴儿的父亲可以利用产假。</w:t>
      </w:r>
    </w:p>
    <w:p w:rsidR="00000000" w:rsidRDefault="00844A84">
      <w:pPr>
        <w:rPr>
          <w:snapToGrid/>
        </w:rPr>
      </w:pPr>
      <w:r>
        <w:rPr>
          <w:rFonts w:hint="eastAsia"/>
          <w:snapToGrid/>
        </w:rPr>
        <w:tab/>
        <w:t xml:space="preserve">220.  </w:t>
      </w:r>
      <w:r>
        <w:rPr>
          <w:rFonts w:hint="eastAsia"/>
          <w:snapToGrid/>
        </w:rPr>
        <w:t>如果妇女生下死胎或新生儿在产假未满前死亡，她有权将产假延长一段医生认为她恢复健康所需的时间，但至少</w:t>
      </w:r>
      <w:r>
        <w:rPr>
          <w:snapToGrid/>
        </w:rPr>
        <w:t>45</w:t>
      </w:r>
      <w:r>
        <w:rPr>
          <w:rFonts w:hint="eastAsia"/>
          <w:snapToGrid/>
        </w:rPr>
        <w:t>天。在此这一期间她有权享受所</w:t>
      </w:r>
      <w:r>
        <w:rPr>
          <w:rFonts w:hint="eastAsia"/>
          <w:snapToGrid/>
        </w:rPr>
        <w:t>有产假待遇。</w:t>
      </w:r>
    </w:p>
    <w:p w:rsidR="00000000" w:rsidRDefault="00844A84">
      <w:pPr>
        <w:rPr>
          <w:snapToGrid/>
        </w:rPr>
      </w:pPr>
      <w:r>
        <w:rPr>
          <w:rFonts w:hint="eastAsia"/>
          <w:snapToGrid/>
        </w:rPr>
        <w:tab/>
        <w:t xml:space="preserve">221.  </w:t>
      </w:r>
      <w:r>
        <w:rPr>
          <w:rFonts w:hint="eastAsia"/>
          <w:snapToGrid/>
        </w:rPr>
        <w:t>产假期间的补贴相当于她在产假期间正常工作可能得到的报酬。</w:t>
      </w:r>
    </w:p>
    <w:p w:rsidR="00000000" w:rsidRDefault="00844A84">
      <w:pPr>
        <w:spacing w:after="320"/>
        <w:rPr>
          <w:snapToGrid/>
        </w:rPr>
      </w:pPr>
      <w:r>
        <w:rPr>
          <w:rFonts w:hint="eastAsia"/>
          <w:snapToGrid/>
        </w:rPr>
        <w:tab/>
        <w:t xml:space="preserve">222.  </w:t>
      </w:r>
      <w:r>
        <w:rPr>
          <w:rFonts w:hint="eastAsia"/>
          <w:snapToGrid/>
        </w:rPr>
        <w:t>休产假期间，女工有权享受与全时工作时相同的医疗保健、养恤金和残疾保险和其他社会权利。</w:t>
      </w:r>
    </w:p>
    <w:p w:rsidR="00000000" w:rsidRDefault="00844A84">
      <w:pPr>
        <w:pStyle w:val="Heading4"/>
      </w:pPr>
      <w:r>
        <w:rPr>
          <w:u w:val="none"/>
        </w:rPr>
        <w:t xml:space="preserve">(f)  </w:t>
      </w:r>
      <w:r>
        <w:rPr>
          <w:rFonts w:hint="eastAsia"/>
        </w:rPr>
        <w:t>保护儿童免受经济剥削</w:t>
      </w:r>
    </w:p>
    <w:p w:rsidR="00000000" w:rsidRDefault="00844A84">
      <w:pPr>
        <w:rPr>
          <w:snapToGrid/>
        </w:rPr>
      </w:pPr>
      <w:r>
        <w:rPr>
          <w:rFonts w:hint="eastAsia"/>
          <w:snapToGrid/>
        </w:rPr>
        <w:tab/>
        <w:t xml:space="preserve">223.  </w:t>
      </w:r>
      <w:r>
        <w:rPr>
          <w:rFonts w:hint="eastAsia"/>
          <w:snapToGrid/>
        </w:rPr>
        <w:t>《南斯拉夫联盟共和国宪法》禁止强迫劳动。</w:t>
      </w:r>
      <w:r>
        <w:rPr>
          <w:rFonts w:hint="eastAsia"/>
          <w:snapToGrid/>
        </w:rPr>
        <w:t>(</w:t>
      </w:r>
      <w:r>
        <w:rPr>
          <w:rFonts w:hint="eastAsia"/>
          <w:snapToGrid/>
        </w:rPr>
        <w:t>第</w:t>
      </w:r>
      <w:r>
        <w:rPr>
          <w:rFonts w:hint="eastAsia"/>
          <w:snapToGrid/>
        </w:rPr>
        <w:t>54</w:t>
      </w:r>
      <w:r>
        <w:rPr>
          <w:rFonts w:hint="eastAsia"/>
          <w:snapToGrid/>
        </w:rPr>
        <w:t>条第</w:t>
      </w:r>
      <w:r>
        <w:rPr>
          <w:rFonts w:hint="eastAsia"/>
          <w:snapToGrid/>
        </w:rPr>
        <w:t>3</w:t>
      </w:r>
      <w:r>
        <w:rPr>
          <w:rFonts w:hint="eastAsia"/>
          <w:snapToGrid/>
        </w:rPr>
        <w:t>款</w:t>
      </w:r>
      <w:r>
        <w:rPr>
          <w:rFonts w:hint="eastAsia"/>
          <w:snapToGrid/>
        </w:rPr>
        <w:t>)</w:t>
      </w:r>
      <w:r>
        <w:rPr>
          <w:rFonts w:hint="eastAsia"/>
          <w:snapToGrid/>
        </w:rPr>
        <w:t>。</w:t>
      </w:r>
    </w:p>
    <w:p w:rsidR="00000000" w:rsidRDefault="00844A84">
      <w:pPr>
        <w:rPr>
          <w:snapToGrid/>
        </w:rPr>
      </w:pPr>
      <w:r>
        <w:rPr>
          <w:rFonts w:hint="eastAsia"/>
          <w:snapToGrid/>
        </w:rPr>
        <w:tab/>
        <w:t xml:space="preserve">224.  </w:t>
      </w:r>
      <w:r>
        <w:rPr>
          <w:rFonts w:hint="eastAsia"/>
          <w:snapToGrid/>
        </w:rPr>
        <w:t>《人权和少数群体权利与公民自由宪章》第</w:t>
      </w:r>
      <w:r>
        <w:rPr>
          <w:rFonts w:hint="eastAsia"/>
          <w:snapToGrid/>
        </w:rPr>
        <w:t>13</w:t>
      </w:r>
      <w:r>
        <w:rPr>
          <w:rFonts w:hint="eastAsia"/>
          <w:snapToGrid/>
        </w:rPr>
        <w:t>条规定，禁止奴役、类似奴役的做法和强迫劳动。这里还禁止对处于弱势地位的人实施强迫劳动、奴役、性剥削或经济剥削。</w:t>
      </w:r>
    </w:p>
    <w:p w:rsidR="00000000" w:rsidRDefault="00844A84">
      <w:pPr>
        <w:rPr>
          <w:snapToGrid/>
        </w:rPr>
      </w:pPr>
      <w:r>
        <w:rPr>
          <w:rFonts w:hint="eastAsia"/>
          <w:snapToGrid/>
        </w:rPr>
        <w:tab/>
        <w:t xml:space="preserve">225.  </w:t>
      </w:r>
      <w:r>
        <w:rPr>
          <w:rFonts w:hint="eastAsia"/>
          <w:snapToGrid/>
        </w:rPr>
        <w:t>在此基础上，儿童和青年受到保障国家每</w:t>
      </w:r>
      <w:r>
        <w:rPr>
          <w:rFonts w:hint="eastAsia"/>
          <w:snapToGrid/>
        </w:rPr>
        <w:t>一位个人和公民的尊严和社会安全的一般性立法的保护。刑法专门规定了保护儿童和青年免受忽视和虐待。</w:t>
      </w:r>
    </w:p>
    <w:p w:rsidR="00000000" w:rsidRDefault="00844A84">
      <w:pPr>
        <w:rPr>
          <w:snapToGrid/>
        </w:rPr>
      </w:pPr>
      <w:r>
        <w:rPr>
          <w:rFonts w:hint="eastAsia"/>
          <w:snapToGrid/>
        </w:rPr>
        <w:tab/>
        <w:t xml:space="preserve">226.  </w:t>
      </w:r>
      <w:r>
        <w:rPr>
          <w:rFonts w:hint="eastAsia"/>
          <w:snapToGrid/>
        </w:rPr>
        <w:t>根据现行国内条例，考虑到其身心能力，</w:t>
      </w:r>
      <w:r>
        <w:rPr>
          <w:snapToGrid/>
        </w:rPr>
        <w:t>15</w:t>
      </w:r>
      <w:r>
        <w:rPr>
          <w:rFonts w:hint="eastAsia"/>
          <w:snapToGrid/>
        </w:rPr>
        <w:t>岁以下的人不得从事以重体力为主的劳动</w:t>
      </w:r>
      <w:r>
        <w:rPr>
          <w:rFonts w:hint="eastAsia"/>
          <w:snapToGrid/>
        </w:rPr>
        <w:t>(</w:t>
      </w:r>
      <w:r>
        <w:rPr>
          <w:rFonts w:hint="eastAsia"/>
          <w:snapToGrid/>
        </w:rPr>
        <w:t>地下和水下作业</w:t>
      </w:r>
      <w:r>
        <w:rPr>
          <w:rFonts w:hint="eastAsia"/>
          <w:snapToGrid/>
        </w:rPr>
        <w:t>)</w:t>
      </w:r>
      <w:r>
        <w:rPr>
          <w:rFonts w:hint="eastAsia"/>
          <w:snapToGrid/>
        </w:rPr>
        <w:t>，以及可能有害其生命和健康的工作。</w:t>
      </w:r>
    </w:p>
    <w:p w:rsidR="00000000" w:rsidRDefault="00844A84">
      <w:pPr>
        <w:rPr>
          <w:snapToGrid/>
        </w:rPr>
      </w:pPr>
      <w:r>
        <w:rPr>
          <w:rFonts w:hint="eastAsia"/>
          <w:snapToGrid/>
        </w:rPr>
        <w:tab/>
        <w:t xml:space="preserve">227.  </w:t>
      </w:r>
      <w:r>
        <w:rPr>
          <w:snapToGrid/>
        </w:rPr>
        <w:t>15</w:t>
      </w:r>
      <w:r>
        <w:rPr>
          <w:rFonts w:hint="eastAsia"/>
          <w:snapToGrid/>
        </w:rPr>
        <w:t>岁以下儿童可以就业，但这种情况十分罕见，因为就业资格只有中等教育结束后</w:t>
      </w:r>
      <w:r>
        <w:rPr>
          <w:rFonts w:hint="eastAsia"/>
          <w:snapToGrid/>
        </w:rPr>
        <w:t>(</w:t>
      </w:r>
      <w:r>
        <w:rPr>
          <w:snapToGrid/>
        </w:rPr>
        <w:t>18</w:t>
      </w:r>
      <w:r>
        <w:rPr>
          <w:rFonts w:hint="eastAsia"/>
          <w:snapToGrid/>
        </w:rPr>
        <w:t>岁</w:t>
      </w:r>
      <w:r>
        <w:rPr>
          <w:rFonts w:hint="eastAsia"/>
          <w:snapToGrid/>
        </w:rPr>
        <w:t>)</w:t>
      </w:r>
      <w:r>
        <w:rPr>
          <w:rFonts w:hint="eastAsia"/>
          <w:snapToGrid/>
        </w:rPr>
        <w:t>才可以获得。不过，有些儿童在</w:t>
      </w:r>
      <w:r>
        <w:rPr>
          <w:snapToGrid/>
        </w:rPr>
        <w:t>18</w:t>
      </w:r>
      <w:r>
        <w:rPr>
          <w:rFonts w:hint="eastAsia"/>
          <w:snapToGrid/>
        </w:rPr>
        <w:t>岁之前从事劳动。这通常发生在农村家庭，孩子干自己力所能及的工作。</w:t>
      </w:r>
    </w:p>
    <w:p w:rsidR="00000000" w:rsidRDefault="00844A84">
      <w:pPr>
        <w:rPr>
          <w:snapToGrid/>
        </w:rPr>
      </w:pPr>
      <w:r>
        <w:rPr>
          <w:rFonts w:hint="eastAsia"/>
          <w:snapToGrid/>
        </w:rPr>
        <w:tab/>
        <w:t>228.  18</w:t>
      </w:r>
      <w:r>
        <w:rPr>
          <w:rFonts w:hint="eastAsia"/>
          <w:snapToGrid/>
        </w:rPr>
        <w:t>岁以下的人不得在夜间</w:t>
      </w:r>
      <w:r>
        <w:rPr>
          <w:rFonts w:hint="eastAsia"/>
          <w:snapToGrid/>
        </w:rPr>
        <w:t>(</w:t>
      </w:r>
      <w:r>
        <w:rPr>
          <w:rFonts w:hint="eastAsia"/>
          <w:snapToGrid/>
        </w:rPr>
        <w:t>晚上</w:t>
      </w:r>
      <w:r>
        <w:rPr>
          <w:rFonts w:hint="eastAsia"/>
          <w:snapToGrid/>
        </w:rPr>
        <w:t>10</w:t>
      </w:r>
      <w:r>
        <w:rPr>
          <w:rFonts w:hint="eastAsia"/>
          <w:snapToGrid/>
        </w:rPr>
        <w:t>点至早上</w:t>
      </w:r>
      <w:r>
        <w:rPr>
          <w:rFonts w:hint="eastAsia"/>
          <w:snapToGrid/>
        </w:rPr>
        <w:t>6</w:t>
      </w:r>
      <w:r>
        <w:rPr>
          <w:rFonts w:hint="eastAsia"/>
          <w:snapToGrid/>
        </w:rPr>
        <w:t>点</w:t>
      </w:r>
      <w:r>
        <w:rPr>
          <w:rFonts w:hint="eastAsia"/>
          <w:snapToGrid/>
        </w:rPr>
        <w:t>)</w:t>
      </w:r>
      <w:r>
        <w:rPr>
          <w:rFonts w:hint="eastAsia"/>
          <w:snapToGrid/>
        </w:rPr>
        <w:t>工作或者加班。</w:t>
      </w:r>
      <w:r>
        <w:rPr>
          <w:rFonts w:hint="eastAsia"/>
          <w:snapToGrid/>
        </w:rPr>
        <w:t>另外，对于</w:t>
      </w:r>
      <w:r>
        <w:rPr>
          <w:rFonts w:hint="eastAsia"/>
          <w:snapToGrid/>
        </w:rPr>
        <w:t>18</w:t>
      </w:r>
      <w:r>
        <w:rPr>
          <w:rFonts w:hint="eastAsia"/>
          <w:snapToGrid/>
        </w:rPr>
        <w:t>岁以下雇员提供特别的劳动保护。</w:t>
      </w:r>
    </w:p>
    <w:p w:rsidR="00000000" w:rsidRDefault="00844A84">
      <w:pPr>
        <w:rPr>
          <w:snapToGrid/>
        </w:rPr>
      </w:pPr>
      <w:r>
        <w:rPr>
          <w:rFonts w:hint="eastAsia"/>
          <w:snapToGrid/>
        </w:rPr>
        <w:tab/>
        <w:t xml:space="preserve">229.  </w:t>
      </w:r>
      <w:r>
        <w:rPr>
          <w:rFonts w:hint="eastAsia"/>
          <w:snapToGrid/>
        </w:rPr>
        <w:t>保护和协助儿童身心健康发展的措施适用于所有儿童，不因出生、家庭背景、社会出身和其他因素有任何歧视。</w:t>
      </w:r>
    </w:p>
    <w:p w:rsidR="00000000" w:rsidRDefault="00844A84">
      <w:pPr>
        <w:rPr>
          <w:snapToGrid/>
        </w:rPr>
      </w:pPr>
      <w:r>
        <w:rPr>
          <w:rFonts w:hint="eastAsia"/>
          <w:snapToGrid/>
        </w:rPr>
        <w:tab/>
        <w:t xml:space="preserve">230.  </w:t>
      </w:r>
      <w:r>
        <w:rPr>
          <w:rFonts w:hint="eastAsia"/>
          <w:snapToGrid/>
        </w:rPr>
        <w:t>在儿童的社会抚养制度中，得不到父母照顾的儿童、身心发育不健全的儿童和家庭关系不和谐的儿童，享受特别的保护。对于法律规定的保护措施，在实践中根据财力量力而行。</w:t>
      </w:r>
    </w:p>
    <w:p w:rsidR="00000000" w:rsidRDefault="00844A84">
      <w:pPr>
        <w:rPr>
          <w:snapToGrid/>
        </w:rPr>
      </w:pPr>
      <w:r>
        <w:rPr>
          <w:rFonts w:hint="eastAsia"/>
          <w:snapToGrid/>
        </w:rPr>
        <w:tab/>
        <w:t xml:space="preserve">231.  </w:t>
      </w:r>
      <w:r>
        <w:rPr>
          <w:rFonts w:hint="eastAsia"/>
          <w:snapToGrid/>
        </w:rPr>
        <w:t>几乎所有城市都有“社会工作中心”，通过不同寄养形式和措施向一些儿童提供所需的照顾。这些儿童的父母由于各种原因不履行父母的权利和义务，或履行权利和义务时违背儿童利益。原</w:t>
      </w:r>
      <w:r>
        <w:rPr>
          <w:rFonts w:hint="eastAsia"/>
          <w:snapToGrid/>
        </w:rPr>
        <w:t>因不同，保护的措施和形式也不同。</w:t>
      </w:r>
    </w:p>
    <w:p w:rsidR="00000000" w:rsidRDefault="00844A84">
      <w:pPr>
        <w:rPr>
          <w:snapToGrid/>
        </w:rPr>
      </w:pPr>
      <w:r>
        <w:rPr>
          <w:rFonts w:hint="eastAsia"/>
          <w:snapToGrid/>
        </w:rPr>
        <w:tab/>
        <w:t xml:space="preserve">232.  </w:t>
      </w:r>
      <w:r>
        <w:rPr>
          <w:rFonts w:hint="eastAsia"/>
          <w:snapToGrid/>
        </w:rPr>
        <w:t>发育上稍有缺陷的儿童和青年享有受教育和适当就业权利，有严重缺陷的儿童有权得到必要的康复和培训。也就是说，人人享有医疗、教育、职业和社会康复机会。然而，这类青年的融合，特别是充分就业，还存在许多问题。</w:t>
      </w:r>
    </w:p>
    <w:p w:rsidR="00000000" w:rsidRDefault="00844A84">
      <w:pPr>
        <w:rPr>
          <w:snapToGrid/>
        </w:rPr>
      </w:pPr>
      <w:r>
        <w:rPr>
          <w:rFonts w:hint="eastAsia"/>
          <w:snapToGrid/>
        </w:rPr>
        <w:tab/>
        <w:t xml:space="preserve">233.  </w:t>
      </w:r>
      <w:r>
        <w:rPr>
          <w:rFonts w:hint="eastAsia"/>
          <w:snapToGrid/>
        </w:rPr>
        <w:t>为保护关系破裂家庭的儿童采取了各种措施，目的是确保他们的成长、改正缺点和适当发展。具体方法是向这些青少年提供协助和保护，对他们进行监督和职业培训，培养他们的责任感。对这类儿童的最有效保护形式是将他们安置在收容被忽视青少年的机构中。</w:t>
      </w:r>
    </w:p>
    <w:p w:rsidR="00000000" w:rsidRDefault="00844A84">
      <w:pPr>
        <w:pStyle w:val="Heading3"/>
        <w:rPr>
          <w:lang w:val="zh-CN"/>
        </w:rPr>
      </w:pPr>
      <w:r>
        <w:rPr>
          <w:rFonts w:hint="eastAsia"/>
          <w:lang w:val="zh-CN"/>
        </w:rPr>
        <w:t>第</w:t>
      </w:r>
      <w:r>
        <w:rPr>
          <w:rFonts w:hint="eastAsia"/>
          <w:lang w:val="zh-CN"/>
        </w:rPr>
        <w:t xml:space="preserve"> </w:t>
      </w:r>
      <w:r>
        <w:rPr>
          <w:rFonts w:hint="eastAsia"/>
          <w:lang w:val="zh-CN"/>
        </w:rPr>
        <w:t>十一</w:t>
      </w:r>
      <w:r>
        <w:rPr>
          <w:rFonts w:hint="eastAsia"/>
          <w:lang w:val="zh-CN"/>
        </w:rPr>
        <w:t xml:space="preserve"> </w:t>
      </w:r>
      <w:r>
        <w:rPr>
          <w:rFonts w:hint="eastAsia"/>
          <w:lang w:val="zh-CN"/>
        </w:rPr>
        <w:t>条</w:t>
      </w:r>
    </w:p>
    <w:p w:rsidR="00000000" w:rsidRDefault="00844A84">
      <w:pPr>
        <w:pStyle w:val="Heading3"/>
      </w:pPr>
      <w:r>
        <w:rPr>
          <w:u w:val="none"/>
        </w:rPr>
        <w:t>A.</w:t>
      </w:r>
      <w:r>
        <w:rPr>
          <w:u w:val="none"/>
        </w:rPr>
        <w:t xml:space="preserve"> </w:t>
      </w:r>
      <w:r>
        <w:rPr>
          <w:rFonts w:hint="eastAsia"/>
          <w:u w:val="none"/>
        </w:rPr>
        <w:t xml:space="preserve"> </w:t>
      </w:r>
      <w:r>
        <w:t>2000</w:t>
      </w:r>
      <w:r>
        <w:rPr>
          <w:rFonts w:hint="eastAsia"/>
        </w:rPr>
        <w:t>年</w:t>
      </w:r>
      <w:r>
        <w:t>10</w:t>
      </w:r>
      <w:r>
        <w:rPr>
          <w:rFonts w:hint="eastAsia"/>
        </w:rPr>
        <w:t>月之前</w:t>
      </w:r>
    </w:p>
    <w:p w:rsidR="00000000" w:rsidRDefault="00844A84">
      <w:pPr>
        <w:ind w:firstLine="510"/>
      </w:pPr>
      <w:r>
        <w:t xml:space="preserve">234. </w:t>
      </w:r>
      <w:r>
        <w:rPr>
          <w:rFonts w:hint="eastAsia"/>
        </w:rPr>
        <w:t xml:space="preserve"> </w:t>
      </w:r>
      <w:r>
        <w:t>1990</w:t>
      </w:r>
      <w:r>
        <w:rPr>
          <w:rFonts w:hint="eastAsia"/>
        </w:rPr>
        <w:t>年代国内出现严重经济危机。从</w:t>
      </w:r>
      <w:r>
        <w:t>1990</w:t>
      </w:r>
      <w:r>
        <w:rPr>
          <w:rFonts w:hint="eastAsia"/>
        </w:rPr>
        <w:t>年到</w:t>
      </w:r>
      <w:r>
        <w:t>1993</w:t>
      </w:r>
      <w:r>
        <w:rPr>
          <w:rFonts w:hint="eastAsia"/>
        </w:rPr>
        <w:t>年，国内生产总值急剧下降，导致国家货币制度崩溃。自</w:t>
      </w:r>
      <w:r>
        <w:t>1994</w:t>
      </w:r>
      <w:r>
        <w:rPr>
          <w:rFonts w:hint="eastAsia"/>
        </w:rPr>
        <w:t>年以来，宏观经济形势相对趋于稳定，经济活动有一定恢复。</w:t>
      </w:r>
    </w:p>
    <w:p w:rsidR="00000000" w:rsidRDefault="00844A84">
      <w:pPr>
        <w:ind w:firstLine="510"/>
      </w:pPr>
      <w:r>
        <w:t>235.</w:t>
      </w:r>
      <w:r>
        <w:rPr>
          <w:rFonts w:hint="eastAsia"/>
        </w:rPr>
        <w:t xml:space="preserve">  </w:t>
      </w:r>
      <w:r>
        <w:t>1995</w:t>
      </w:r>
      <w:r>
        <w:rPr>
          <w:rFonts w:hint="eastAsia"/>
        </w:rPr>
        <w:t>年，南斯拉夫联盟共和国统计局进行了家庭消费普查。根据有关数据对国家不平等和贫困状况进行分析表明，</w:t>
      </w:r>
      <w:r>
        <w:t>28.9%</w:t>
      </w:r>
      <w:r>
        <w:rPr>
          <w:rFonts w:hint="eastAsia"/>
        </w:rPr>
        <w:t>的人口</w:t>
      </w:r>
      <w:r>
        <w:rPr>
          <w:rFonts w:hint="eastAsia"/>
        </w:rPr>
        <w:t>(</w:t>
      </w:r>
      <w:r>
        <w:rPr>
          <w:rFonts w:hint="eastAsia"/>
        </w:rPr>
        <w:t>将近</w:t>
      </w:r>
      <w:r>
        <w:t>300</w:t>
      </w:r>
      <w:r>
        <w:rPr>
          <w:rFonts w:hint="eastAsia"/>
        </w:rPr>
        <w:t>万人</w:t>
      </w:r>
      <w:r>
        <w:rPr>
          <w:rFonts w:hint="eastAsia"/>
        </w:rPr>
        <w:t>)</w:t>
      </w:r>
      <w:r>
        <w:rPr>
          <w:rFonts w:hint="eastAsia"/>
        </w:rPr>
        <w:t>生活贫困。由于贫困人口增加，加上实际国内生产总值下降，导致贫困状况恶化。</w:t>
      </w:r>
    </w:p>
    <w:p w:rsidR="00000000" w:rsidRDefault="00844A84">
      <w:pPr>
        <w:ind w:firstLine="510"/>
      </w:pPr>
      <w:r>
        <w:rPr>
          <w:lang w:val="zh-CN"/>
        </w:rPr>
        <w:t>236.</w:t>
      </w:r>
      <w:r>
        <w:rPr>
          <w:rFonts w:hint="eastAsia"/>
        </w:rPr>
        <w:t xml:space="preserve">  </w:t>
      </w:r>
      <w:r>
        <w:rPr>
          <w:rFonts w:hint="eastAsia"/>
        </w:rPr>
        <w:t>受贫困影响最严重的是受雇于工业和采掘业者的家庭</w:t>
      </w:r>
      <w:r>
        <w:rPr>
          <w:rFonts w:hint="eastAsia"/>
        </w:rPr>
        <w:t>(</w:t>
      </w:r>
      <w:r>
        <w:t>38%</w:t>
      </w:r>
      <w:r>
        <w:rPr>
          <w:rFonts w:hint="eastAsia"/>
        </w:rPr>
        <w:t>)</w:t>
      </w:r>
      <w:r>
        <w:rPr>
          <w:rFonts w:hint="eastAsia"/>
        </w:rPr>
        <w:t>。有儿童的家</w:t>
      </w:r>
      <w:r>
        <w:rPr>
          <w:rFonts w:hint="eastAsia"/>
        </w:rPr>
        <w:t>庭，尤其是城市家庭</w:t>
      </w:r>
      <w:r>
        <w:rPr>
          <w:rFonts w:hint="eastAsia"/>
        </w:rPr>
        <w:t>(</w:t>
      </w:r>
      <w:r>
        <w:t>37.8%</w:t>
      </w:r>
      <w:r>
        <w:rPr>
          <w:rFonts w:hint="eastAsia"/>
        </w:rPr>
        <w:t>)</w:t>
      </w:r>
      <w:r>
        <w:rPr>
          <w:rFonts w:hint="eastAsia"/>
        </w:rPr>
        <w:t>，处于极为困难的状况。</w:t>
      </w:r>
    </w:p>
    <w:p w:rsidR="00000000" w:rsidRDefault="00844A84">
      <w:pPr>
        <w:ind w:firstLine="510"/>
      </w:pPr>
      <w:r>
        <w:rPr>
          <w:lang w:val="zh-CN"/>
        </w:rPr>
        <w:t>237.</w:t>
      </w:r>
      <w:r>
        <w:rPr>
          <w:rFonts w:hint="eastAsia"/>
        </w:rPr>
        <w:t xml:space="preserve">  </w:t>
      </w:r>
      <w:r>
        <w:rPr>
          <w:rFonts w:hint="eastAsia"/>
        </w:rPr>
        <w:t>收支结构的变化导致来自正规就业的稳定收入减少，食品和住房支出增加。因此，大多数家庭用于文化、教育和其他非物质需求的资源所剩无几。食品在消费结构中占主导地位，其比例平均上升为</w:t>
      </w:r>
      <w:r>
        <w:t>48.4%</w:t>
      </w:r>
      <w:r>
        <w:rPr>
          <w:rFonts w:hint="eastAsia"/>
        </w:rPr>
        <w:t>。在贫困人口中，食品支出占</w:t>
      </w:r>
      <w:r>
        <w:t>59.2%</w:t>
      </w:r>
      <w:r>
        <w:rPr>
          <w:rFonts w:hint="eastAsia"/>
        </w:rPr>
        <w:t>。</w:t>
      </w:r>
    </w:p>
    <w:p w:rsidR="00000000" w:rsidRDefault="00844A84">
      <w:pPr>
        <w:ind w:firstLine="510"/>
        <w:rPr>
          <w:lang w:val="zh-CN"/>
        </w:rPr>
      </w:pPr>
      <w:r>
        <w:rPr>
          <w:lang w:val="zh-CN"/>
        </w:rPr>
        <w:t>238.</w:t>
      </w:r>
      <w:r>
        <w:rPr>
          <w:rFonts w:hint="eastAsia"/>
          <w:lang w:val="zh-CN"/>
        </w:rPr>
        <w:t xml:space="preserve">  </w:t>
      </w:r>
      <w:r>
        <w:rPr>
          <w:lang w:val="zh-CN"/>
        </w:rPr>
        <w:t>1996</w:t>
      </w:r>
      <w:r>
        <w:rPr>
          <w:rFonts w:hint="eastAsia"/>
          <w:lang w:val="zh-CN"/>
        </w:rPr>
        <w:t>年，南斯拉夫联盟共和国人均国内总产值大约为</w:t>
      </w:r>
      <w:r>
        <w:rPr>
          <w:lang w:val="zh-CN"/>
        </w:rPr>
        <w:t>1,500</w:t>
      </w:r>
      <w:r>
        <w:rPr>
          <w:rFonts w:hint="eastAsia"/>
          <w:lang w:val="zh-CN"/>
        </w:rPr>
        <w:t>美元</w:t>
      </w:r>
      <w:r>
        <w:rPr>
          <w:rFonts w:hint="eastAsia"/>
          <w:lang w:val="zh-CN"/>
        </w:rPr>
        <w:t>(</w:t>
      </w:r>
      <w:r>
        <w:rPr>
          <w:rFonts w:hint="eastAsia"/>
          <w:lang w:val="zh-CN"/>
        </w:rPr>
        <w:t>虽然在增长，但仍然只有</w:t>
      </w:r>
      <w:r>
        <w:rPr>
          <w:lang w:val="zh-CN"/>
        </w:rPr>
        <w:t>1990</w:t>
      </w:r>
      <w:r>
        <w:rPr>
          <w:rFonts w:hint="eastAsia"/>
          <w:lang w:val="zh-CN"/>
        </w:rPr>
        <w:t>年人均产值的一半</w:t>
      </w:r>
      <w:r>
        <w:rPr>
          <w:rFonts w:hint="eastAsia"/>
          <w:lang w:val="zh-CN"/>
        </w:rPr>
        <w:t>)</w:t>
      </w:r>
      <w:r>
        <w:rPr>
          <w:rFonts w:hint="eastAsia"/>
          <w:lang w:val="zh-CN"/>
        </w:rPr>
        <w:t>。其邻国罗马尼亚为</w:t>
      </w:r>
      <w:r>
        <w:rPr>
          <w:lang w:val="zh-CN"/>
        </w:rPr>
        <w:t>1,437</w:t>
      </w:r>
      <w:r>
        <w:rPr>
          <w:rFonts w:hint="eastAsia"/>
          <w:lang w:val="zh-CN"/>
        </w:rPr>
        <w:t>美元，保加利亚为</w:t>
      </w:r>
      <w:r>
        <w:rPr>
          <w:lang w:val="zh-CN"/>
        </w:rPr>
        <w:t>1,047</w:t>
      </w:r>
      <w:r>
        <w:rPr>
          <w:rFonts w:hint="eastAsia"/>
          <w:lang w:val="zh-CN"/>
        </w:rPr>
        <w:t>美元。在前南斯拉夫各共和国中，只有波黑更低</w:t>
      </w:r>
      <w:r>
        <w:rPr>
          <w:rFonts w:hint="eastAsia"/>
          <w:lang w:val="zh-CN"/>
        </w:rPr>
        <w:t>(</w:t>
      </w:r>
      <w:r>
        <w:rPr>
          <w:lang w:val="zh-CN"/>
        </w:rPr>
        <w:t>815</w:t>
      </w:r>
      <w:r>
        <w:rPr>
          <w:rFonts w:hint="eastAsia"/>
          <w:lang w:val="zh-CN"/>
        </w:rPr>
        <w:t>美元</w:t>
      </w:r>
      <w:r>
        <w:rPr>
          <w:rFonts w:hint="eastAsia"/>
          <w:lang w:val="zh-CN"/>
        </w:rPr>
        <w:t>)</w:t>
      </w:r>
      <w:r>
        <w:rPr>
          <w:rFonts w:hint="eastAsia"/>
          <w:lang w:val="zh-CN"/>
        </w:rPr>
        <w:t>。马其顿的人均国内总产值稍高一些</w:t>
      </w:r>
      <w:r>
        <w:rPr>
          <w:rFonts w:hint="eastAsia"/>
          <w:lang w:val="zh-CN"/>
        </w:rPr>
        <w:t>(</w:t>
      </w:r>
      <w:r>
        <w:rPr>
          <w:lang w:val="zh-CN"/>
        </w:rPr>
        <w:t>1,845</w:t>
      </w:r>
      <w:r>
        <w:rPr>
          <w:rFonts w:hint="eastAsia"/>
          <w:lang w:val="zh-CN"/>
        </w:rPr>
        <w:t>美元</w:t>
      </w:r>
      <w:r>
        <w:rPr>
          <w:rFonts w:hint="eastAsia"/>
          <w:lang w:val="zh-CN"/>
        </w:rPr>
        <w:t>)</w:t>
      </w:r>
      <w:r>
        <w:rPr>
          <w:rFonts w:hint="eastAsia"/>
          <w:lang w:val="zh-CN"/>
        </w:rPr>
        <w:t>。克罗地亚的人均国内总产值几乎达到南联盟的三倍</w:t>
      </w:r>
      <w:r>
        <w:rPr>
          <w:rFonts w:hint="eastAsia"/>
          <w:lang w:val="zh-CN"/>
        </w:rPr>
        <w:t>(</w:t>
      </w:r>
      <w:r>
        <w:rPr>
          <w:lang w:val="zh-CN"/>
        </w:rPr>
        <w:t>3,992</w:t>
      </w:r>
      <w:r>
        <w:rPr>
          <w:rFonts w:hint="eastAsia"/>
          <w:lang w:val="zh-CN"/>
        </w:rPr>
        <w:t>美元</w:t>
      </w:r>
      <w:r>
        <w:rPr>
          <w:rFonts w:hint="eastAsia"/>
          <w:lang w:val="zh-CN"/>
        </w:rPr>
        <w:t>)</w:t>
      </w:r>
      <w:r>
        <w:rPr>
          <w:rFonts w:hint="eastAsia"/>
          <w:lang w:val="zh-CN"/>
        </w:rPr>
        <w:t>，而斯洛文尼亚的人均国内总产值是南联盟的六倍</w:t>
      </w:r>
      <w:r>
        <w:rPr>
          <w:rFonts w:hint="eastAsia"/>
          <w:lang w:val="zh-CN"/>
        </w:rPr>
        <w:t>(</w:t>
      </w:r>
      <w:r>
        <w:rPr>
          <w:lang w:val="zh-CN"/>
        </w:rPr>
        <w:t>9,279</w:t>
      </w:r>
      <w:r>
        <w:rPr>
          <w:rFonts w:hint="eastAsia"/>
          <w:lang w:val="zh-CN"/>
        </w:rPr>
        <w:t>美元</w:t>
      </w:r>
      <w:r>
        <w:rPr>
          <w:rFonts w:hint="eastAsia"/>
          <w:lang w:val="zh-CN"/>
        </w:rPr>
        <w:t>)</w:t>
      </w:r>
      <w:r>
        <w:rPr>
          <w:rFonts w:hint="eastAsia"/>
          <w:lang w:val="zh-CN"/>
        </w:rPr>
        <w:t>。</w:t>
      </w:r>
    </w:p>
    <w:p w:rsidR="00000000" w:rsidRDefault="00844A84">
      <w:pPr>
        <w:ind w:firstLine="510"/>
      </w:pPr>
      <w:r>
        <w:rPr>
          <w:lang w:val="zh-CN"/>
        </w:rPr>
        <w:t>239.</w:t>
      </w:r>
      <w:r>
        <w:rPr>
          <w:rFonts w:hint="eastAsia"/>
          <w:lang w:val="zh-CN"/>
        </w:rPr>
        <w:t xml:space="preserve">  </w:t>
      </w:r>
      <w:r>
        <w:rPr>
          <w:rFonts w:hint="eastAsia"/>
          <w:lang w:val="zh-CN"/>
        </w:rPr>
        <w:t>根据可得到的最新数据，</w:t>
      </w:r>
      <w:r>
        <w:rPr>
          <w:lang w:val="zh-CN"/>
        </w:rPr>
        <w:t>1997</w:t>
      </w:r>
      <w:r>
        <w:rPr>
          <w:rFonts w:hint="eastAsia"/>
          <w:lang w:val="zh-CN"/>
        </w:rPr>
        <w:t>年人均国内总产值为</w:t>
      </w:r>
      <w:r>
        <w:rPr>
          <w:lang w:val="zh-CN"/>
        </w:rPr>
        <w:t>1,714</w:t>
      </w:r>
      <w:r>
        <w:rPr>
          <w:rFonts w:hint="eastAsia"/>
          <w:lang w:val="zh-CN"/>
        </w:rPr>
        <w:t>美元</w:t>
      </w:r>
      <w:r>
        <w:rPr>
          <w:rFonts w:hint="eastAsia"/>
          <w:lang w:val="zh-CN"/>
        </w:rPr>
        <w:t>(</w:t>
      </w:r>
      <w:r>
        <w:rPr>
          <w:rFonts w:hint="eastAsia"/>
          <w:lang w:val="zh-CN"/>
        </w:rPr>
        <w:t>根据国民帐户体系概念计算</w:t>
      </w:r>
      <w:r>
        <w:rPr>
          <w:rFonts w:hint="eastAsia"/>
          <w:lang w:val="zh-CN"/>
        </w:rPr>
        <w:t>)</w:t>
      </w:r>
      <w:r>
        <w:rPr>
          <w:rFonts w:hint="eastAsia"/>
          <w:lang w:val="zh-CN"/>
        </w:rPr>
        <w:t>，为</w:t>
      </w:r>
      <w:r>
        <w:rPr>
          <w:lang w:val="zh-CN"/>
        </w:rPr>
        <w:t>1989</w:t>
      </w:r>
      <w:r>
        <w:rPr>
          <w:rFonts w:hint="eastAsia"/>
          <w:lang w:val="zh-CN"/>
        </w:rPr>
        <w:t>年人均国内总产值的一半。</w:t>
      </w:r>
      <w:r>
        <w:rPr>
          <w:rFonts w:hint="eastAsia"/>
          <w:lang w:val="zh-CN"/>
        </w:rPr>
        <w:t>*</w:t>
      </w:r>
    </w:p>
    <w:p w:rsidR="00000000" w:rsidRDefault="00844A84">
      <w:pPr>
        <w:ind w:firstLine="510"/>
        <w:rPr>
          <w:lang w:val="zh-CN"/>
        </w:rPr>
      </w:pPr>
      <w:r>
        <w:rPr>
          <w:lang w:val="zh-CN"/>
        </w:rPr>
        <w:t>240.</w:t>
      </w:r>
      <w:r>
        <w:rPr>
          <w:rFonts w:hint="eastAsia"/>
          <w:lang w:val="zh-CN"/>
        </w:rPr>
        <w:t xml:space="preserve">  </w:t>
      </w:r>
      <w:r>
        <w:rPr>
          <w:lang w:val="zh-CN"/>
        </w:rPr>
        <w:t>1999</w:t>
      </w:r>
      <w:r>
        <w:rPr>
          <w:rFonts w:hint="eastAsia"/>
          <w:lang w:val="zh-CN"/>
        </w:rPr>
        <w:t>年初，宏观经济指数表明，工业产出、零售和出口呈下降趋势，导致</w:t>
      </w:r>
      <w:r>
        <w:rPr>
          <w:lang w:val="zh-CN"/>
        </w:rPr>
        <w:t>1999</w:t>
      </w:r>
      <w:r>
        <w:rPr>
          <w:rFonts w:hint="eastAsia"/>
          <w:lang w:val="zh-CN"/>
        </w:rPr>
        <w:t>年国内总产值比</w:t>
      </w:r>
      <w:r>
        <w:rPr>
          <w:lang w:val="zh-CN"/>
        </w:rPr>
        <w:t>1998</w:t>
      </w:r>
      <w:r>
        <w:rPr>
          <w:rFonts w:hint="eastAsia"/>
          <w:lang w:val="zh-CN"/>
        </w:rPr>
        <w:t>年下降五分之一</w:t>
      </w:r>
      <w:r>
        <w:rPr>
          <w:rFonts w:hint="eastAsia"/>
          <w:lang w:val="zh-CN"/>
        </w:rPr>
        <w:t>(</w:t>
      </w:r>
      <w:r>
        <w:rPr>
          <w:rFonts w:hint="eastAsia"/>
          <w:lang w:val="zh-CN"/>
        </w:rPr>
        <w:t>负</w:t>
      </w:r>
      <w:r>
        <w:rPr>
          <w:lang w:val="zh-CN"/>
        </w:rPr>
        <w:t>19.3%</w:t>
      </w:r>
      <w:r>
        <w:rPr>
          <w:rFonts w:hint="eastAsia"/>
          <w:lang w:val="zh-CN"/>
        </w:rPr>
        <w:t>)</w:t>
      </w:r>
      <w:r>
        <w:rPr>
          <w:rFonts w:hint="eastAsia"/>
          <w:lang w:val="zh-CN"/>
        </w:rPr>
        <w:t>，因此，南斯拉夫联盟共和国进入</w:t>
      </w:r>
      <w:r>
        <w:rPr>
          <w:lang w:val="zh-CN"/>
        </w:rPr>
        <w:t>20</w:t>
      </w:r>
      <w:r>
        <w:rPr>
          <w:rFonts w:hint="eastAsia"/>
          <w:lang w:val="zh-CN"/>
        </w:rPr>
        <w:t>世</w:t>
      </w:r>
      <w:r>
        <w:rPr>
          <w:rFonts w:hint="eastAsia"/>
          <w:lang w:val="zh-CN"/>
        </w:rPr>
        <w:t>纪最后一年时，成为欧洲最贫困的国家之一。</w:t>
      </w:r>
    </w:p>
    <w:p w:rsidR="00000000" w:rsidRDefault="00844A84">
      <w:pPr>
        <w:ind w:firstLine="510"/>
        <w:rPr>
          <w:rFonts w:hint="eastAsia"/>
          <w:lang w:val="zh-CN"/>
        </w:rPr>
      </w:pPr>
      <w:r>
        <w:rPr>
          <w:lang w:val="zh-CN"/>
        </w:rPr>
        <w:t>241.</w:t>
      </w:r>
      <w:r>
        <w:rPr>
          <w:rFonts w:hint="eastAsia"/>
          <w:lang w:val="zh-CN"/>
        </w:rPr>
        <w:t xml:space="preserve">  </w:t>
      </w:r>
      <w:r>
        <w:rPr>
          <w:rFonts w:hint="eastAsia"/>
          <w:lang w:val="zh-CN"/>
        </w:rPr>
        <w:t>各共和国与各省国民收入急剧下降</w:t>
      </w:r>
      <w:r>
        <w:rPr>
          <w:rFonts w:hint="eastAsia"/>
          <w:lang w:val="zh-CN"/>
        </w:rPr>
        <w:t>*</w:t>
      </w:r>
      <w:r>
        <w:rPr>
          <w:rFonts w:hint="eastAsia"/>
          <w:lang w:val="zh-CN"/>
        </w:rPr>
        <w:t>，导致失业人口增加，生活水平下降，贫困加剧，社会问题迅速累积。</w:t>
      </w:r>
    </w:p>
    <w:p w:rsidR="00000000" w:rsidRDefault="00844A84">
      <w:pPr>
        <w:rPr>
          <w:rFonts w:hint="eastAsia"/>
          <w:u w:val="single"/>
          <w:lang w:val="zh-CN"/>
        </w:rPr>
      </w:pP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r>
        <w:rPr>
          <w:rFonts w:hint="eastAsia"/>
          <w:u w:val="single"/>
          <w:lang w:val="zh-CN"/>
        </w:rPr>
        <w:tab/>
      </w:r>
    </w:p>
    <w:p w:rsidR="00000000" w:rsidRDefault="00844A84">
      <w:pPr>
        <w:pStyle w:val="EndnoteText"/>
      </w:pPr>
      <w:r>
        <w:rPr>
          <w:rStyle w:val="EndnoteReference"/>
          <w:b w:val="0"/>
          <w:bCs/>
          <w:vertAlign w:val="baseline"/>
        </w:rPr>
        <w:t>*</w:t>
      </w:r>
      <w:r>
        <w:t xml:space="preserve"> </w:t>
      </w:r>
      <w:r>
        <w:rPr>
          <w:rFonts w:hint="eastAsia"/>
        </w:rPr>
        <w:t xml:space="preserve">  </w:t>
      </w:r>
      <w:r>
        <w:rPr>
          <w:rFonts w:hint="eastAsia"/>
        </w:rPr>
        <w:t>附件可在秘书处档案中查阅。</w:t>
      </w:r>
    </w:p>
    <w:p w:rsidR="00000000" w:rsidRDefault="00844A84">
      <w:pPr>
        <w:spacing w:after="320"/>
        <w:ind w:firstLine="510"/>
      </w:pPr>
      <w:r>
        <w:rPr>
          <w:lang w:val="zh-CN"/>
        </w:rPr>
        <w:t>242.</w:t>
      </w:r>
      <w:r>
        <w:rPr>
          <w:rFonts w:hint="eastAsia"/>
        </w:rPr>
        <w:t xml:space="preserve">  </w:t>
      </w:r>
      <w:r>
        <w:rPr>
          <w:rFonts w:hint="eastAsia"/>
        </w:rPr>
        <w:t>从</w:t>
      </w:r>
      <w:r>
        <w:t>1990</w:t>
      </w:r>
      <w:r>
        <w:rPr>
          <w:rFonts w:hint="eastAsia"/>
        </w:rPr>
        <w:t>年到</w:t>
      </w:r>
      <w:r>
        <w:t>1997</w:t>
      </w:r>
      <w:r>
        <w:rPr>
          <w:rFonts w:hint="eastAsia"/>
        </w:rPr>
        <w:t>年，塞尔维亚共和国公共服务经常性支出在国民收入中所占比例从</w:t>
      </w:r>
      <w:r>
        <w:t>33.5%</w:t>
      </w:r>
      <w:r>
        <w:rPr>
          <w:rFonts w:hint="eastAsia"/>
        </w:rPr>
        <w:t>到</w:t>
      </w:r>
      <w:r>
        <w:t>46.1%</w:t>
      </w:r>
      <w:r>
        <w:rPr>
          <w:rFonts w:hint="eastAsia"/>
        </w:rPr>
        <w:t>不等。在中塞尔维亚，经常性支出最高。</w:t>
      </w:r>
      <w:r>
        <w:t>1997</w:t>
      </w:r>
      <w:r>
        <w:rPr>
          <w:rFonts w:hint="eastAsia"/>
        </w:rPr>
        <w:t>年，经常性支出占其国民收入的一半以上</w:t>
      </w:r>
      <w:r>
        <w:rPr>
          <w:rFonts w:hint="eastAsia"/>
        </w:rPr>
        <w:t>(</w:t>
      </w:r>
      <w:r>
        <w:t>55.9%</w:t>
      </w:r>
      <w:r>
        <w:rPr>
          <w:rFonts w:hint="eastAsia"/>
        </w:rPr>
        <w:t>)</w:t>
      </w:r>
      <w:r>
        <w:rPr>
          <w:rFonts w:hint="eastAsia"/>
        </w:rPr>
        <w:t>。</w:t>
      </w:r>
    </w:p>
    <w:p w:rsidR="00000000" w:rsidRDefault="00844A84">
      <w:pPr>
        <w:pStyle w:val="Heading3"/>
      </w:pPr>
      <w:r>
        <w:rPr>
          <w:u w:val="none"/>
        </w:rPr>
        <w:t>B.</w:t>
      </w:r>
      <w:r>
        <w:rPr>
          <w:rFonts w:hint="eastAsia"/>
          <w:u w:val="none"/>
        </w:rPr>
        <w:t xml:space="preserve">  </w:t>
      </w:r>
      <w:r>
        <w:t>2000</w:t>
      </w:r>
      <w:r>
        <w:rPr>
          <w:rFonts w:hint="eastAsia"/>
        </w:rPr>
        <w:t>年变革之后</w:t>
      </w:r>
    </w:p>
    <w:p w:rsidR="00000000" w:rsidRDefault="00844A84">
      <w:pPr>
        <w:spacing w:after="240"/>
        <w:ind w:firstLine="510"/>
      </w:pPr>
      <w:r>
        <w:rPr>
          <w:lang w:val="zh-CN"/>
        </w:rPr>
        <w:t>243.</w:t>
      </w:r>
      <w:r>
        <w:rPr>
          <w:rFonts w:hint="eastAsia"/>
        </w:rPr>
        <w:t xml:space="preserve">  </w:t>
      </w:r>
      <w:r>
        <w:t>2002</w:t>
      </w:r>
      <w:r>
        <w:rPr>
          <w:rFonts w:hint="eastAsia"/>
        </w:rPr>
        <w:t>年，对</w:t>
      </w:r>
      <w:r>
        <w:t>6,800</w:t>
      </w:r>
      <w:r>
        <w:rPr>
          <w:rFonts w:hint="eastAsia"/>
        </w:rPr>
        <w:t>户居民进行了生活水平抽样调查。调查目的</w:t>
      </w:r>
      <w:r>
        <w:rPr>
          <w:rFonts w:hint="eastAsia"/>
        </w:rPr>
        <w:t>是为制定减贫战略提供指南，确定贫困人口人数，解释产生贫困的原因，确定贫困人口的特征，并确定福利援助和一般性社会政策的优先领域与活动。调查目的还在于检验和确定未来监测贫困的最好办法，为今后定期进行家庭消费和收入调查提供信息。本次调查的结果如下。</w:t>
      </w:r>
    </w:p>
    <w:p w:rsidR="00000000" w:rsidRDefault="00844A84">
      <w:pPr>
        <w:pStyle w:val="Heading4"/>
        <w:rPr>
          <w:lang w:val="zh-CN"/>
        </w:rPr>
      </w:pPr>
      <w:r>
        <w:rPr>
          <w:rFonts w:hint="eastAsia"/>
          <w:lang w:val="zh-CN"/>
        </w:rPr>
        <w:t>城乡家庭收支状况</w:t>
      </w:r>
    </w:p>
    <w:p w:rsidR="00000000" w:rsidRDefault="00844A84">
      <w:pPr>
        <w:ind w:firstLine="510"/>
      </w:pPr>
      <w:r>
        <w:rPr>
          <w:lang w:val="zh-CN"/>
        </w:rPr>
        <w:t>244.</w:t>
      </w:r>
      <w:r>
        <w:rPr>
          <w:rFonts w:hint="eastAsia"/>
        </w:rPr>
        <w:t xml:space="preserve">  </w:t>
      </w:r>
      <w:r>
        <w:rPr>
          <w:rFonts w:hint="eastAsia"/>
        </w:rPr>
        <w:t>城乡家庭收支状况大体平衡。由于农村地区人口结构不太有利</w:t>
      </w:r>
      <w:r>
        <w:rPr>
          <w:rFonts w:hint="eastAsia"/>
        </w:rPr>
        <w:t>(</w:t>
      </w:r>
      <w:r>
        <w:rPr>
          <w:rFonts w:hint="eastAsia"/>
        </w:rPr>
        <w:t>老龄家庭较多、家庭平均人数较多</w:t>
      </w:r>
      <w:r>
        <w:rPr>
          <w:rFonts w:hint="eastAsia"/>
        </w:rPr>
        <w:t>)</w:t>
      </w:r>
      <w:r>
        <w:rPr>
          <w:rFonts w:hint="eastAsia"/>
        </w:rPr>
        <w:t>，导致农村家庭每个消费单位平均收入</w:t>
      </w:r>
      <w:r>
        <w:rPr>
          <w:rFonts w:hint="eastAsia"/>
        </w:rPr>
        <w:t>(</w:t>
      </w:r>
      <w:r>
        <w:t>8,630</w:t>
      </w:r>
      <w:r>
        <w:rPr>
          <w:rFonts w:hint="eastAsia"/>
        </w:rPr>
        <w:t>第纳尔</w:t>
      </w:r>
      <w:r>
        <w:rPr>
          <w:rFonts w:hint="eastAsia"/>
        </w:rPr>
        <w:t>)</w:t>
      </w:r>
      <w:r>
        <w:rPr>
          <w:rFonts w:hint="eastAsia"/>
        </w:rPr>
        <w:t>低于城市家庭</w:t>
      </w:r>
      <w:r>
        <w:rPr>
          <w:rFonts w:hint="eastAsia"/>
        </w:rPr>
        <w:t>(</w:t>
      </w:r>
      <w:r>
        <w:t>9,094</w:t>
      </w:r>
      <w:r>
        <w:rPr>
          <w:rFonts w:hint="eastAsia"/>
        </w:rPr>
        <w:t>第纳尔</w:t>
      </w:r>
      <w:r>
        <w:rPr>
          <w:rFonts w:hint="eastAsia"/>
        </w:rPr>
        <w:t>)</w:t>
      </w:r>
      <w:r>
        <w:rPr>
          <w:rFonts w:hint="eastAsia"/>
        </w:rPr>
        <w:t>。</w:t>
      </w:r>
    </w:p>
    <w:p w:rsidR="00000000" w:rsidRDefault="00844A84">
      <w:pPr>
        <w:ind w:firstLine="510"/>
      </w:pPr>
      <w:r>
        <w:rPr>
          <w:lang w:val="zh-CN"/>
        </w:rPr>
        <w:t>245.</w:t>
      </w:r>
      <w:r>
        <w:rPr>
          <w:rFonts w:hint="eastAsia"/>
        </w:rPr>
        <w:t xml:space="preserve">  </w:t>
      </w:r>
      <w:r>
        <w:rPr>
          <w:rFonts w:hint="eastAsia"/>
        </w:rPr>
        <w:t>农村家庭的主要收入</w:t>
      </w:r>
      <w:r>
        <w:rPr>
          <w:rFonts w:hint="eastAsia"/>
          <w:bCs/>
        </w:rPr>
        <w:t>资料来源</w:t>
      </w:r>
      <w:r>
        <w:rPr>
          <w:rFonts w:hint="eastAsia"/>
        </w:rPr>
        <w:t>为工资收入和养恤金收入</w:t>
      </w:r>
      <w:r>
        <w:rPr>
          <w:rFonts w:hint="eastAsia"/>
        </w:rPr>
        <w:t>(</w:t>
      </w:r>
      <w:r>
        <w:t>43%</w:t>
      </w:r>
      <w:r>
        <w:rPr>
          <w:rFonts w:hint="eastAsia"/>
        </w:rPr>
        <w:t>)</w:t>
      </w:r>
      <w:r>
        <w:rPr>
          <w:rFonts w:hint="eastAsia"/>
        </w:rPr>
        <w:t>、农业生产和自给自足的生产</w:t>
      </w:r>
      <w:r>
        <w:rPr>
          <w:rFonts w:hint="eastAsia"/>
        </w:rPr>
        <w:t>(</w:t>
      </w:r>
      <w:r>
        <w:t>40%</w:t>
      </w:r>
      <w:r>
        <w:rPr>
          <w:rFonts w:hint="eastAsia"/>
        </w:rPr>
        <w:t>)</w:t>
      </w:r>
      <w:r>
        <w:rPr>
          <w:rFonts w:hint="eastAsia"/>
        </w:rPr>
        <w:t>。在城市家庭，工资和养恤金收入占全部收入的</w:t>
      </w:r>
      <w:r>
        <w:t>68%</w:t>
      </w:r>
      <w:r>
        <w:rPr>
          <w:rFonts w:hint="eastAsia"/>
        </w:rPr>
        <w:t>。</w:t>
      </w:r>
    </w:p>
    <w:p w:rsidR="00000000" w:rsidRDefault="00844A84">
      <w:pPr>
        <w:ind w:firstLine="510"/>
        <w:rPr>
          <w:lang w:val="zh-CN"/>
        </w:rPr>
      </w:pPr>
      <w:r>
        <w:rPr>
          <w:lang w:val="zh-CN"/>
        </w:rPr>
        <w:t>246.</w:t>
      </w:r>
      <w:r>
        <w:rPr>
          <w:rFonts w:hint="eastAsia"/>
          <w:lang w:val="zh-CN"/>
        </w:rPr>
        <w:t xml:space="preserve">  </w:t>
      </w:r>
      <w:r>
        <w:rPr>
          <w:rFonts w:hint="eastAsia"/>
          <w:lang w:val="zh-CN"/>
        </w:rPr>
        <w:t>城乡消费水平差距很大。城市家庭每个消费单</w:t>
      </w:r>
      <w:r>
        <w:rPr>
          <w:rFonts w:hint="eastAsia"/>
        </w:rPr>
        <w:t>位</w:t>
      </w:r>
      <w:r>
        <w:rPr>
          <w:rFonts w:hint="eastAsia"/>
          <w:lang w:val="zh-CN"/>
        </w:rPr>
        <w:t>的消费水平比农村高</w:t>
      </w:r>
      <w:r>
        <w:rPr>
          <w:lang w:val="zh-CN"/>
        </w:rPr>
        <w:t>30%</w:t>
      </w:r>
      <w:r>
        <w:rPr>
          <w:rFonts w:hint="eastAsia"/>
          <w:lang w:val="zh-CN"/>
        </w:rPr>
        <w:t>，达到</w:t>
      </w:r>
      <w:r>
        <w:rPr>
          <w:lang w:val="zh-CN"/>
        </w:rPr>
        <w:t>10,840</w:t>
      </w:r>
      <w:r>
        <w:rPr>
          <w:rFonts w:hint="eastAsia"/>
          <w:lang w:val="zh-CN"/>
        </w:rPr>
        <w:t>第纳尔，而农村只有</w:t>
      </w:r>
      <w:r>
        <w:rPr>
          <w:lang w:val="zh-CN"/>
        </w:rPr>
        <w:t>8,350</w:t>
      </w:r>
      <w:r>
        <w:rPr>
          <w:rFonts w:hint="eastAsia"/>
          <w:lang w:val="zh-CN"/>
        </w:rPr>
        <w:t>第纳尔。</w:t>
      </w:r>
    </w:p>
    <w:p w:rsidR="00000000" w:rsidRDefault="00844A84">
      <w:pPr>
        <w:ind w:firstLine="510"/>
        <w:rPr>
          <w:lang w:val="zh-CN"/>
        </w:rPr>
      </w:pPr>
      <w:r>
        <w:rPr>
          <w:lang w:val="zh-CN"/>
        </w:rPr>
        <w:t>247.</w:t>
      </w:r>
      <w:r>
        <w:rPr>
          <w:rFonts w:hint="eastAsia"/>
          <w:lang w:val="zh-CN"/>
        </w:rPr>
        <w:t xml:space="preserve">  </w:t>
      </w:r>
      <w:r>
        <w:rPr>
          <w:rFonts w:hint="eastAsia"/>
          <w:lang w:val="zh-CN"/>
        </w:rPr>
        <w:t>此外，城市家庭收入和支出存在相当大的差距，支出比收入高</w:t>
      </w:r>
      <w:r>
        <w:rPr>
          <w:lang w:val="zh-CN"/>
        </w:rPr>
        <w:t>19%</w:t>
      </w:r>
      <w:r>
        <w:rPr>
          <w:rFonts w:hint="eastAsia"/>
          <w:lang w:val="zh-CN"/>
        </w:rPr>
        <w:t>。这说明城市来自未登记经济活动的“灰色”收入即未上报收入的比例很高。</w:t>
      </w:r>
    </w:p>
    <w:p w:rsidR="00000000" w:rsidRDefault="00844A84">
      <w:pPr>
        <w:ind w:firstLine="510"/>
        <w:rPr>
          <w:lang w:val="zh-CN"/>
        </w:rPr>
      </w:pPr>
      <w:r>
        <w:rPr>
          <w:lang w:val="zh-CN"/>
        </w:rPr>
        <w:t>248.</w:t>
      </w:r>
      <w:r>
        <w:rPr>
          <w:rFonts w:hint="eastAsia"/>
          <w:lang w:val="zh-CN"/>
        </w:rPr>
        <w:t xml:space="preserve">  </w:t>
      </w:r>
      <w:r>
        <w:rPr>
          <w:rFonts w:hint="eastAsia"/>
          <w:lang w:val="zh-CN"/>
        </w:rPr>
        <w:t>同时，农村家庭登记支出较低</w:t>
      </w:r>
      <w:r>
        <w:rPr>
          <w:rFonts w:hint="eastAsia"/>
          <w:lang w:val="zh-CN"/>
        </w:rPr>
        <w:t>(</w:t>
      </w:r>
      <w:r>
        <w:rPr>
          <w:rFonts w:hint="eastAsia"/>
          <w:lang w:val="zh-CN"/>
        </w:rPr>
        <w:t>比收入低</w:t>
      </w:r>
      <w:r>
        <w:rPr>
          <w:lang w:val="zh-CN"/>
        </w:rPr>
        <w:t>3%</w:t>
      </w:r>
      <w:r>
        <w:rPr>
          <w:rFonts w:hint="eastAsia"/>
          <w:lang w:val="zh-CN"/>
        </w:rPr>
        <w:t>)</w:t>
      </w:r>
      <w:r>
        <w:rPr>
          <w:rFonts w:hint="eastAsia"/>
          <w:lang w:val="zh-CN"/>
        </w:rPr>
        <w:t>，表明农村家庭每月可能有</w:t>
      </w:r>
      <w:r>
        <w:rPr>
          <w:lang w:val="zh-CN"/>
        </w:rPr>
        <w:t>800</w:t>
      </w:r>
      <w:r>
        <w:rPr>
          <w:rFonts w:hint="eastAsia"/>
          <w:lang w:val="zh-CN"/>
        </w:rPr>
        <w:t>第纳尔的储蓄。</w:t>
      </w:r>
    </w:p>
    <w:p w:rsidR="00000000" w:rsidRDefault="00844A84">
      <w:pPr>
        <w:ind w:firstLine="510"/>
        <w:rPr>
          <w:rFonts w:hint="eastAsia"/>
          <w:lang w:val="zh-CN"/>
        </w:rPr>
      </w:pPr>
      <w:r>
        <w:rPr>
          <w:lang w:val="zh-CN"/>
        </w:rPr>
        <w:t>249.</w:t>
      </w:r>
      <w:r>
        <w:rPr>
          <w:rFonts w:hint="eastAsia"/>
          <w:lang w:val="zh-CN"/>
        </w:rPr>
        <w:t xml:space="preserve">  </w:t>
      </w:r>
      <w:r>
        <w:rPr>
          <w:rFonts w:hint="eastAsia"/>
          <w:lang w:val="zh-CN"/>
        </w:rPr>
        <w:t>支出结构本身表明，农村家庭</w:t>
      </w:r>
      <w:r>
        <w:rPr>
          <w:rFonts w:hint="eastAsia"/>
          <w:lang w:val="zh-CN"/>
        </w:rPr>
        <w:t>状况较差。在农村，食品在总支出中所占比例为</w:t>
      </w:r>
      <w:r>
        <w:rPr>
          <w:lang w:val="zh-CN"/>
        </w:rPr>
        <w:t>52%</w:t>
      </w:r>
      <w:r>
        <w:rPr>
          <w:rFonts w:hint="eastAsia"/>
          <w:lang w:val="zh-CN"/>
        </w:rPr>
        <w:t>；在城市，食品占总支出的</w:t>
      </w:r>
      <w:r>
        <w:rPr>
          <w:lang w:val="zh-CN"/>
        </w:rPr>
        <w:t>46%</w:t>
      </w:r>
      <w:r>
        <w:rPr>
          <w:rFonts w:hint="eastAsia"/>
          <w:lang w:val="zh-CN"/>
        </w:rPr>
        <w:t>。</w:t>
      </w:r>
    </w:p>
    <w:p w:rsidR="00000000" w:rsidRDefault="00844A84">
      <w:pPr>
        <w:pStyle w:val="Heading3"/>
        <w:spacing w:after="160"/>
        <w:rPr>
          <w:u w:val="none"/>
        </w:rPr>
      </w:pPr>
      <w:r>
        <w:rPr>
          <w:lang w:val="zh-CN"/>
        </w:rPr>
        <w:br w:type="page"/>
      </w:r>
      <w:r>
        <w:rPr>
          <w:rFonts w:hint="eastAsia"/>
          <w:u w:val="none"/>
          <w:lang w:val="zh-CN"/>
        </w:rPr>
        <w:t>表</w:t>
      </w:r>
      <w:r>
        <w:rPr>
          <w:u w:val="none"/>
        </w:rPr>
        <w:t xml:space="preserve">  </w:t>
      </w:r>
      <w:r>
        <w:rPr>
          <w:u w:val="none"/>
          <w:lang w:val="zh-CN"/>
        </w:rPr>
        <w:t>7</w:t>
      </w:r>
    </w:p>
    <w:p w:rsidR="00000000" w:rsidRDefault="00844A84">
      <w:pPr>
        <w:pStyle w:val="Heading3"/>
        <w:spacing w:after="120"/>
        <w:rPr>
          <w:lang w:val="zh-CN"/>
        </w:rPr>
      </w:pPr>
      <w:r>
        <w:rPr>
          <w:rFonts w:hint="eastAsia"/>
          <w:lang w:val="zh-CN"/>
        </w:rPr>
        <w:t>每个家庭和消费单位的平均收入和支出</w:t>
      </w:r>
    </w:p>
    <w:tbl>
      <w:tblPr>
        <w:tblW w:w="966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52"/>
        <w:gridCol w:w="1185"/>
        <w:gridCol w:w="1185"/>
        <w:gridCol w:w="1185"/>
        <w:gridCol w:w="1185"/>
        <w:gridCol w:w="1185"/>
        <w:gridCol w:w="1186"/>
      </w:tblGrid>
      <w:tr w:rsidR="00000000">
        <w:tblPrEx>
          <w:tblCellMar>
            <w:top w:w="0" w:type="dxa"/>
            <w:bottom w:w="0" w:type="dxa"/>
          </w:tblCellMar>
        </w:tblPrEx>
        <w:trPr>
          <w:cantSplit/>
        </w:trPr>
        <w:tc>
          <w:tcPr>
            <w:tcW w:w="2552" w:type="dxa"/>
            <w:vMerge w:val="restart"/>
            <w:tcBorders>
              <w:top w:val="single" w:sz="6" w:space="0" w:color="auto"/>
              <w:left w:val="single" w:sz="6" w:space="0" w:color="auto"/>
              <w:right w:val="single" w:sz="6" w:space="0" w:color="auto"/>
            </w:tcBorders>
          </w:tcPr>
          <w:p w:rsidR="00000000" w:rsidRDefault="00844A84">
            <w:pPr>
              <w:spacing w:before="400" w:after="40" w:line="240" w:lineRule="exact"/>
              <w:jc w:val="center"/>
              <w:rPr>
                <w:snapToGrid/>
                <w:sz w:val="20"/>
                <w:lang w:val="en-GB"/>
              </w:rPr>
            </w:pPr>
            <w:r>
              <w:rPr>
                <w:rFonts w:hint="eastAsia"/>
                <w:snapToGrid/>
                <w:sz w:val="20"/>
                <w:lang w:val="en-GB"/>
              </w:rPr>
              <w:t>消费单位</w:t>
            </w:r>
          </w:p>
        </w:tc>
        <w:tc>
          <w:tcPr>
            <w:tcW w:w="3555" w:type="dxa"/>
            <w:gridSpan w:val="3"/>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每个家庭</w:t>
            </w:r>
          </w:p>
        </w:tc>
        <w:tc>
          <w:tcPr>
            <w:tcW w:w="3556" w:type="dxa"/>
            <w:gridSpan w:val="3"/>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每个消费单位</w:t>
            </w:r>
          </w:p>
        </w:tc>
      </w:tr>
      <w:tr w:rsidR="00000000">
        <w:tblPrEx>
          <w:tblCellMar>
            <w:top w:w="0" w:type="dxa"/>
            <w:bottom w:w="0" w:type="dxa"/>
          </w:tblCellMar>
        </w:tblPrEx>
        <w:trPr>
          <w:cantSplit/>
        </w:trPr>
        <w:tc>
          <w:tcPr>
            <w:tcW w:w="2552" w:type="dxa"/>
            <w:vMerge/>
            <w:tcBorders>
              <w:left w:val="single" w:sz="6" w:space="0" w:color="auto"/>
              <w:right w:val="single" w:sz="6" w:space="0" w:color="auto"/>
            </w:tcBorders>
          </w:tcPr>
          <w:p w:rsidR="00000000" w:rsidRDefault="00844A84">
            <w:pPr>
              <w:spacing w:before="60" w:after="40" w:line="240" w:lineRule="exact"/>
              <w:jc w:val="center"/>
              <w:rPr>
                <w:snapToGrid/>
                <w:sz w:val="20"/>
                <w:lang w:val="en-GB"/>
              </w:rPr>
            </w:pPr>
          </w:p>
        </w:tc>
        <w:tc>
          <w:tcPr>
            <w:tcW w:w="1185" w:type="dxa"/>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城</w:t>
            </w:r>
            <w:r>
              <w:rPr>
                <w:rFonts w:hint="eastAsia"/>
                <w:snapToGrid/>
                <w:sz w:val="20"/>
                <w:lang w:val="en-GB"/>
              </w:rPr>
              <w:t xml:space="preserve"> </w:t>
            </w:r>
            <w:r>
              <w:rPr>
                <w:rFonts w:hint="eastAsia"/>
                <w:snapToGrid/>
                <w:sz w:val="20"/>
                <w:lang w:val="en-GB"/>
              </w:rPr>
              <w:t>市</w:t>
            </w:r>
          </w:p>
        </w:tc>
        <w:tc>
          <w:tcPr>
            <w:tcW w:w="1185" w:type="dxa"/>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农</w:t>
            </w:r>
            <w:r>
              <w:rPr>
                <w:rFonts w:hint="eastAsia"/>
                <w:snapToGrid/>
                <w:sz w:val="20"/>
                <w:lang w:val="en-GB"/>
              </w:rPr>
              <w:t xml:space="preserve"> </w:t>
            </w:r>
            <w:r>
              <w:rPr>
                <w:rFonts w:hint="eastAsia"/>
                <w:snapToGrid/>
                <w:sz w:val="20"/>
                <w:lang w:val="en-GB"/>
              </w:rPr>
              <w:t>村</w:t>
            </w:r>
          </w:p>
        </w:tc>
        <w:tc>
          <w:tcPr>
            <w:tcW w:w="1185" w:type="dxa"/>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平</w:t>
            </w:r>
            <w:r>
              <w:rPr>
                <w:rFonts w:hint="eastAsia"/>
                <w:snapToGrid/>
                <w:sz w:val="20"/>
                <w:lang w:val="en-GB"/>
              </w:rPr>
              <w:t xml:space="preserve"> </w:t>
            </w:r>
            <w:r>
              <w:rPr>
                <w:rFonts w:hint="eastAsia"/>
                <w:snapToGrid/>
                <w:sz w:val="20"/>
                <w:lang w:val="en-GB"/>
              </w:rPr>
              <w:t>均</w:t>
            </w:r>
          </w:p>
        </w:tc>
        <w:tc>
          <w:tcPr>
            <w:tcW w:w="1185" w:type="dxa"/>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城</w:t>
            </w:r>
            <w:r>
              <w:rPr>
                <w:rFonts w:hint="eastAsia"/>
                <w:snapToGrid/>
                <w:sz w:val="20"/>
                <w:lang w:val="en-GB"/>
              </w:rPr>
              <w:t xml:space="preserve"> </w:t>
            </w:r>
            <w:r>
              <w:rPr>
                <w:rFonts w:hint="eastAsia"/>
                <w:snapToGrid/>
                <w:sz w:val="20"/>
                <w:lang w:val="en-GB"/>
              </w:rPr>
              <w:t>市</w:t>
            </w:r>
          </w:p>
        </w:tc>
        <w:tc>
          <w:tcPr>
            <w:tcW w:w="1185" w:type="dxa"/>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农</w:t>
            </w:r>
            <w:r>
              <w:rPr>
                <w:rFonts w:hint="eastAsia"/>
                <w:snapToGrid/>
                <w:sz w:val="20"/>
                <w:lang w:val="en-GB"/>
              </w:rPr>
              <w:t xml:space="preserve"> </w:t>
            </w:r>
            <w:r>
              <w:rPr>
                <w:rFonts w:hint="eastAsia"/>
                <w:snapToGrid/>
                <w:sz w:val="20"/>
                <w:lang w:val="en-GB"/>
              </w:rPr>
              <w:t>村</w:t>
            </w:r>
          </w:p>
        </w:tc>
        <w:tc>
          <w:tcPr>
            <w:tcW w:w="1186" w:type="dxa"/>
            <w:tcBorders>
              <w:top w:val="single" w:sz="6" w:space="0" w:color="auto"/>
              <w:left w:val="single" w:sz="6" w:space="0" w:color="auto"/>
              <w:bottom w:val="nil"/>
              <w:right w:val="single" w:sz="6" w:space="0" w:color="auto"/>
            </w:tcBorders>
          </w:tcPr>
          <w:p w:rsidR="00000000" w:rsidRDefault="00844A84">
            <w:pPr>
              <w:spacing w:before="60" w:after="40" w:line="240" w:lineRule="exact"/>
              <w:jc w:val="center"/>
              <w:rPr>
                <w:snapToGrid/>
                <w:sz w:val="20"/>
                <w:lang w:val="en-GB"/>
              </w:rPr>
            </w:pPr>
            <w:r>
              <w:rPr>
                <w:rFonts w:hint="eastAsia"/>
                <w:snapToGrid/>
                <w:sz w:val="20"/>
                <w:lang w:val="en-GB"/>
              </w:rPr>
              <w:t>平</w:t>
            </w:r>
            <w:r>
              <w:rPr>
                <w:rFonts w:hint="eastAsia"/>
                <w:snapToGrid/>
                <w:sz w:val="20"/>
                <w:lang w:val="en-GB"/>
              </w:rPr>
              <w:t xml:space="preserve"> </w:t>
            </w:r>
            <w:r>
              <w:rPr>
                <w:rFonts w:hint="eastAsia"/>
                <w:snapToGrid/>
                <w:sz w:val="20"/>
                <w:lang w:val="en-GB"/>
              </w:rPr>
              <w:t>均</w:t>
            </w:r>
          </w:p>
        </w:tc>
      </w:tr>
      <w:tr w:rsidR="00000000">
        <w:tblPrEx>
          <w:tblCellMar>
            <w:top w:w="0" w:type="dxa"/>
            <w:bottom w:w="0" w:type="dxa"/>
          </w:tblCellMar>
        </w:tblPrEx>
        <w:trPr>
          <w:cantSplit/>
        </w:trPr>
        <w:tc>
          <w:tcPr>
            <w:tcW w:w="2552" w:type="dxa"/>
            <w:vMerge/>
            <w:tcBorders>
              <w:left w:val="single" w:sz="6" w:space="0" w:color="auto"/>
              <w:bottom w:val="single" w:sz="6" w:space="0" w:color="auto"/>
              <w:right w:val="single" w:sz="6" w:space="0" w:color="auto"/>
            </w:tcBorders>
          </w:tcPr>
          <w:p w:rsidR="00000000" w:rsidRDefault="00844A84">
            <w:pPr>
              <w:spacing w:before="20" w:line="240" w:lineRule="exact"/>
              <w:rPr>
                <w:snapToGrid/>
                <w:sz w:val="20"/>
                <w:lang w:val="en-GB"/>
              </w:rPr>
            </w:pPr>
          </w:p>
        </w:tc>
        <w:tc>
          <w:tcPr>
            <w:tcW w:w="7111" w:type="dxa"/>
            <w:gridSpan w:val="6"/>
            <w:tcBorders>
              <w:top w:val="single" w:sz="6" w:space="0" w:color="auto"/>
              <w:left w:val="single" w:sz="6" w:space="0" w:color="auto"/>
              <w:bottom w:val="single" w:sz="6" w:space="0" w:color="auto"/>
              <w:right w:val="single" w:sz="6" w:space="0" w:color="auto"/>
            </w:tcBorders>
          </w:tcPr>
          <w:p w:rsidR="00000000" w:rsidRDefault="00844A84">
            <w:pPr>
              <w:spacing w:before="20" w:line="240" w:lineRule="exact"/>
              <w:jc w:val="center"/>
              <w:rPr>
                <w:snapToGrid/>
                <w:sz w:val="20"/>
                <w:lang w:val="en-GB"/>
              </w:rPr>
            </w:pPr>
            <w:r>
              <w:rPr>
                <w:rFonts w:hint="eastAsia"/>
                <w:snapToGrid/>
                <w:sz w:val="20"/>
                <w:lang w:val="en-GB"/>
              </w:rPr>
              <w:t>收入</w:t>
            </w:r>
            <w:r>
              <w:rPr>
                <w:rFonts w:hint="eastAsia"/>
                <w:snapToGrid/>
                <w:sz w:val="20"/>
                <w:lang w:val="en-GB"/>
              </w:rPr>
              <w:t xml:space="preserve"> (</w:t>
            </w:r>
            <w:r>
              <w:rPr>
                <w:rFonts w:hint="eastAsia"/>
                <w:snapToGrid/>
                <w:sz w:val="20"/>
                <w:lang w:val="en-GB"/>
              </w:rPr>
              <w:t>第纳尔</w:t>
            </w:r>
            <w:r>
              <w:rPr>
                <w:rFonts w:hint="eastAsia"/>
                <w:snapToGrid/>
                <w:sz w:val="20"/>
                <w:lang w:val="en-GB"/>
              </w:rPr>
              <w:t>)</w:t>
            </w:r>
          </w:p>
        </w:tc>
      </w:tr>
      <w:tr w:rsidR="00000000">
        <w:tblPrEx>
          <w:tblCellMar>
            <w:top w:w="0" w:type="dxa"/>
            <w:bottom w:w="0" w:type="dxa"/>
          </w:tblCellMar>
        </w:tblPrEx>
        <w:tc>
          <w:tcPr>
            <w:tcW w:w="2552" w:type="dxa"/>
            <w:tcBorders>
              <w:top w:val="single" w:sz="6" w:space="0" w:color="auto"/>
              <w:left w:val="single" w:sz="6" w:space="0" w:color="auto"/>
              <w:bottom w:val="nil"/>
              <w:right w:val="single" w:sz="4" w:space="0" w:color="auto"/>
            </w:tcBorders>
          </w:tcPr>
          <w:p w:rsidR="00000000" w:rsidRDefault="00844A84">
            <w:pPr>
              <w:spacing w:before="20" w:line="240" w:lineRule="exact"/>
              <w:rPr>
                <w:spacing w:val="6"/>
                <w:sz w:val="20"/>
                <w:lang w:val="en-GB"/>
              </w:rPr>
            </w:pPr>
            <w:r>
              <w:rPr>
                <w:rFonts w:hint="eastAsia"/>
                <w:spacing w:val="6"/>
                <w:sz w:val="20"/>
                <w:lang w:val="en-GB"/>
              </w:rPr>
              <w:t>工资和与工作有关的收入</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10,905</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6,929</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9,243</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4,379.5</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2,604.9</w:t>
            </w:r>
          </w:p>
        </w:tc>
        <w:tc>
          <w:tcPr>
            <w:tcW w:w="1186" w:type="dxa"/>
            <w:tcBorders>
              <w:top w:val="single" w:sz="6" w:space="0" w:color="auto"/>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3,610.5</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养恤金</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4,430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3,082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3,866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1,779.1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1,158.6</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1,510.2</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农业收入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520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5,056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2,415</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208.8</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1,900.</w:t>
            </w:r>
            <w:r>
              <w:rPr>
                <w:sz w:val="20"/>
                <w:lang w:val="en-GB"/>
              </w:rPr>
              <w:t>8</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943.4</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自给自足的生产性收入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400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4,221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1,997</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160.6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1,586.8</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780.1</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房租收入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1,363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533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1,016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547.4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200.2</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396.9</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耐用品收入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3,355</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1,452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2,560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1,347.4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545.9</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1,000.0</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第二职业</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717</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698</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709</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288.0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262.4</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277.0</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其他收入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954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987</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968</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383.1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371.1</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378.1</w:t>
            </w:r>
          </w:p>
        </w:tc>
      </w:tr>
      <w:tr w:rsidR="00000000">
        <w:tblPrEx>
          <w:tblCellMar>
            <w:top w:w="0" w:type="dxa"/>
            <w:bottom w:w="0" w:type="dxa"/>
          </w:tblCellMar>
        </w:tblPrEx>
        <w:tc>
          <w:tcPr>
            <w:tcW w:w="2552" w:type="dxa"/>
            <w:tcBorders>
              <w:top w:val="nil"/>
              <w:left w:val="single" w:sz="6" w:space="0" w:color="auto"/>
              <w:bottom w:val="single" w:sz="6" w:space="0" w:color="auto"/>
              <w:right w:val="single" w:sz="4" w:space="0" w:color="auto"/>
            </w:tcBorders>
          </w:tcPr>
          <w:p w:rsidR="00000000" w:rsidRDefault="00844A84">
            <w:pPr>
              <w:spacing w:before="20" w:line="240" w:lineRule="exact"/>
              <w:rPr>
                <w:snapToGrid/>
                <w:sz w:val="20"/>
                <w:lang w:val="en-GB"/>
              </w:rPr>
            </w:pPr>
            <w:r>
              <w:rPr>
                <w:rFonts w:hint="eastAsia"/>
                <w:snapToGrid/>
                <w:sz w:val="20"/>
                <w:lang w:val="en-GB"/>
              </w:rPr>
              <w:t>总收入</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22,644</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22,957.5</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22,774</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9,094.0</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8,630</w:t>
            </w:r>
            <w:r>
              <w:rPr>
                <w:snapToGrid/>
                <w:sz w:val="20"/>
                <w:lang w:val="en-GB"/>
              </w:rPr>
              <w:t>.6</w:t>
            </w:r>
          </w:p>
        </w:tc>
        <w:tc>
          <w:tcPr>
            <w:tcW w:w="1186" w:type="dxa"/>
            <w:tcBorders>
              <w:top w:val="nil"/>
              <w:left w:val="single" w:sz="4" w:space="0" w:color="auto"/>
              <w:bottom w:val="single" w:sz="6" w:space="0" w:color="auto"/>
              <w:right w:val="single" w:sz="6" w:space="0" w:color="auto"/>
            </w:tcBorders>
          </w:tcPr>
          <w:p w:rsidR="00000000" w:rsidRDefault="00844A84">
            <w:pPr>
              <w:tabs>
                <w:tab w:val="decimal" w:pos="1058"/>
              </w:tabs>
              <w:spacing w:before="20" w:line="240" w:lineRule="exact"/>
              <w:rPr>
                <w:snapToGrid/>
                <w:sz w:val="20"/>
                <w:lang w:val="en-GB"/>
              </w:rPr>
            </w:pPr>
            <w:r>
              <w:rPr>
                <w:snapToGrid/>
                <w:sz w:val="20"/>
                <w:lang w:val="en-GB"/>
              </w:rPr>
              <w:t>8,896.1</w:t>
            </w:r>
          </w:p>
        </w:tc>
      </w:tr>
      <w:tr w:rsidR="00000000">
        <w:tblPrEx>
          <w:tblCellMar>
            <w:top w:w="0" w:type="dxa"/>
            <w:bottom w:w="0" w:type="dxa"/>
          </w:tblCellMar>
        </w:tblPrEx>
        <w:trPr>
          <w:cantSplit/>
        </w:trPr>
        <w:tc>
          <w:tcPr>
            <w:tcW w:w="2552" w:type="dxa"/>
            <w:tcBorders>
              <w:top w:val="single" w:sz="6" w:space="0" w:color="auto"/>
              <w:left w:val="single" w:sz="6" w:space="0" w:color="auto"/>
              <w:bottom w:val="single" w:sz="6" w:space="0" w:color="auto"/>
              <w:right w:val="single" w:sz="6" w:space="0" w:color="auto"/>
            </w:tcBorders>
          </w:tcPr>
          <w:p w:rsidR="00000000" w:rsidRDefault="00844A84">
            <w:pPr>
              <w:spacing w:before="20" w:line="240" w:lineRule="exact"/>
              <w:rPr>
                <w:rFonts w:hint="eastAsia"/>
                <w:snapToGrid/>
                <w:sz w:val="20"/>
                <w:lang w:val="en-GB"/>
              </w:rPr>
            </w:pPr>
          </w:p>
        </w:tc>
        <w:tc>
          <w:tcPr>
            <w:tcW w:w="7111" w:type="dxa"/>
            <w:gridSpan w:val="6"/>
            <w:tcBorders>
              <w:top w:val="single" w:sz="6" w:space="0" w:color="auto"/>
              <w:left w:val="single" w:sz="6" w:space="0" w:color="auto"/>
              <w:bottom w:val="single" w:sz="6" w:space="0" w:color="auto"/>
              <w:right w:val="single" w:sz="6" w:space="0" w:color="auto"/>
            </w:tcBorders>
          </w:tcPr>
          <w:p w:rsidR="00000000" w:rsidRDefault="00844A84">
            <w:pPr>
              <w:tabs>
                <w:tab w:val="decimal" w:pos="1058"/>
              </w:tabs>
              <w:spacing w:before="20" w:line="240" w:lineRule="exact"/>
              <w:jc w:val="center"/>
              <w:rPr>
                <w:snapToGrid/>
                <w:sz w:val="20"/>
                <w:lang w:val="en-GB"/>
              </w:rPr>
            </w:pPr>
            <w:r>
              <w:rPr>
                <w:rFonts w:hint="eastAsia"/>
                <w:snapToGrid/>
                <w:sz w:val="20"/>
                <w:lang w:val="en-GB"/>
              </w:rPr>
              <w:t>收入结构</w:t>
            </w:r>
            <w:r>
              <w:rPr>
                <w:rFonts w:hint="eastAsia"/>
                <w:snapToGrid/>
                <w:sz w:val="20"/>
                <w:lang w:val="en-GB"/>
              </w:rPr>
              <w:t xml:space="preserve"> </w:t>
            </w:r>
            <w:r>
              <w:rPr>
                <w:snapToGrid/>
                <w:sz w:val="20"/>
                <w:lang w:val="en-GB"/>
              </w:rPr>
              <w:t>(</w:t>
            </w:r>
            <w:r>
              <w:rPr>
                <w:rFonts w:hint="eastAsia"/>
                <w:snapToGrid/>
                <w:sz w:val="20"/>
                <w:lang w:val="en-GB"/>
              </w:rPr>
              <w:t>百分比</w:t>
            </w:r>
            <w:r>
              <w:rPr>
                <w:rFonts w:hint="eastAsia"/>
                <w:snapToGrid/>
                <w:sz w:val="20"/>
                <w:lang w:val="en-GB"/>
              </w:rPr>
              <w:t>)</w:t>
            </w:r>
          </w:p>
        </w:tc>
      </w:tr>
      <w:tr w:rsidR="00000000">
        <w:tblPrEx>
          <w:tblCellMar>
            <w:top w:w="0" w:type="dxa"/>
            <w:bottom w:w="0" w:type="dxa"/>
          </w:tblCellMar>
        </w:tblPrEx>
        <w:tc>
          <w:tcPr>
            <w:tcW w:w="2552" w:type="dxa"/>
            <w:tcBorders>
              <w:top w:val="single" w:sz="6" w:space="0" w:color="auto"/>
              <w:left w:val="single" w:sz="6" w:space="0" w:color="auto"/>
              <w:bottom w:val="nil"/>
              <w:right w:val="single" w:sz="4" w:space="0" w:color="auto"/>
            </w:tcBorders>
          </w:tcPr>
          <w:p w:rsidR="00000000" w:rsidRDefault="00844A84">
            <w:pPr>
              <w:spacing w:before="20" w:line="240" w:lineRule="exact"/>
              <w:rPr>
                <w:sz w:val="20"/>
                <w:lang w:val="en-GB"/>
              </w:rPr>
            </w:pPr>
            <w:r>
              <w:rPr>
                <w:rFonts w:hint="eastAsia"/>
                <w:spacing w:val="6"/>
                <w:sz w:val="20"/>
                <w:lang w:val="en-GB"/>
              </w:rPr>
              <w:t>工资和与工作有关的收入</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48.2</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30.2</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40.6</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single" w:sz="6" w:space="0" w:color="auto"/>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养恤金</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19.6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13.4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17.0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农业收入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22.0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10.6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自给自足的生产性收入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1.8</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18.4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8.8</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房租收入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6.0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4.5</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耐用品收入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14.8</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6.3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11.2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第二职业</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其他收入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single" w:sz="6" w:space="0" w:color="auto"/>
              <w:right w:val="single" w:sz="4" w:space="0" w:color="auto"/>
            </w:tcBorders>
          </w:tcPr>
          <w:p w:rsidR="00000000" w:rsidRDefault="00844A84">
            <w:pPr>
              <w:spacing w:before="20" w:line="240" w:lineRule="exact"/>
              <w:rPr>
                <w:snapToGrid/>
                <w:sz w:val="20"/>
                <w:lang w:val="en-GB"/>
              </w:rPr>
            </w:pPr>
            <w:r>
              <w:rPr>
                <w:rFonts w:hint="eastAsia"/>
                <w:snapToGrid/>
                <w:sz w:val="20"/>
                <w:lang w:val="en-GB"/>
              </w:rPr>
              <w:t>总收入</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100</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100</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r>
              <w:rPr>
                <w:snapToGrid/>
                <w:sz w:val="20"/>
                <w:lang w:val="en-GB"/>
              </w:rPr>
              <w:t>100</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napToGrid/>
                <w:sz w:val="20"/>
                <w:lang w:val="en-GB"/>
              </w:rPr>
            </w:pPr>
          </w:p>
        </w:tc>
        <w:tc>
          <w:tcPr>
            <w:tcW w:w="1186" w:type="dxa"/>
            <w:tcBorders>
              <w:top w:val="nil"/>
              <w:left w:val="single" w:sz="4" w:space="0" w:color="auto"/>
              <w:bottom w:val="single" w:sz="6" w:space="0" w:color="auto"/>
              <w:right w:val="single" w:sz="6" w:space="0" w:color="auto"/>
            </w:tcBorders>
          </w:tcPr>
          <w:p w:rsidR="00000000" w:rsidRDefault="00844A84">
            <w:pPr>
              <w:tabs>
                <w:tab w:val="decimal" w:pos="1058"/>
              </w:tabs>
              <w:spacing w:before="20" w:line="240" w:lineRule="exact"/>
              <w:rPr>
                <w:snapToGrid/>
                <w:sz w:val="20"/>
                <w:lang w:val="en-GB"/>
              </w:rPr>
            </w:pPr>
          </w:p>
        </w:tc>
      </w:tr>
      <w:tr w:rsidR="00000000">
        <w:tblPrEx>
          <w:tblCellMar>
            <w:top w:w="0" w:type="dxa"/>
            <w:bottom w:w="0" w:type="dxa"/>
          </w:tblCellMar>
        </w:tblPrEx>
        <w:trPr>
          <w:cantSplit/>
        </w:trPr>
        <w:tc>
          <w:tcPr>
            <w:tcW w:w="2552" w:type="dxa"/>
            <w:tcBorders>
              <w:top w:val="single" w:sz="6" w:space="0" w:color="auto"/>
              <w:left w:val="single" w:sz="6" w:space="0" w:color="auto"/>
              <w:bottom w:val="single" w:sz="6" w:space="0" w:color="auto"/>
              <w:right w:val="single" w:sz="6" w:space="0" w:color="auto"/>
            </w:tcBorders>
          </w:tcPr>
          <w:p w:rsidR="00000000" w:rsidRDefault="00844A84">
            <w:pPr>
              <w:spacing w:before="20" w:line="240" w:lineRule="exact"/>
              <w:rPr>
                <w:snapToGrid/>
                <w:sz w:val="20"/>
                <w:lang w:val="en-GB"/>
              </w:rPr>
            </w:pPr>
          </w:p>
        </w:tc>
        <w:tc>
          <w:tcPr>
            <w:tcW w:w="7111" w:type="dxa"/>
            <w:gridSpan w:val="6"/>
            <w:tcBorders>
              <w:top w:val="single" w:sz="6" w:space="0" w:color="auto"/>
              <w:left w:val="single" w:sz="6" w:space="0" w:color="auto"/>
              <w:bottom w:val="single" w:sz="6" w:space="0" w:color="auto"/>
              <w:right w:val="single" w:sz="6" w:space="0" w:color="auto"/>
            </w:tcBorders>
          </w:tcPr>
          <w:p w:rsidR="00000000" w:rsidRDefault="00844A84">
            <w:pPr>
              <w:tabs>
                <w:tab w:val="decimal" w:pos="1058"/>
              </w:tabs>
              <w:spacing w:before="20" w:line="240" w:lineRule="exact"/>
              <w:ind w:right="510"/>
              <w:jc w:val="center"/>
              <w:rPr>
                <w:snapToGrid/>
                <w:sz w:val="20"/>
                <w:lang w:val="en-GB"/>
              </w:rPr>
            </w:pPr>
            <w:r>
              <w:rPr>
                <w:rFonts w:hint="eastAsia"/>
                <w:snapToGrid/>
                <w:sz w:val="20"/>
                <w:lang w:val="en-GB"/>
              </w:rPr>
              <w:t>支</w:t>
            </w:r>
            <w:r>
              <w:rPr>
                <w:rFonts w:hint="eastAsia"/>
                <w:snapToGrid/>
                <w:sz w:val="20"/>
                <w:lang w:val="en-GB"/>
              </w:rPr>
              <w:t xml:space="preserve">   </w:t>
            </w:r>
            <w:r>
              <w:rPr>
                <w:rFonts w:hint="eastAsia"/>
                <w:snapToGrid/>
                <w:sz w:val="20"/>
                <w:lang w:val="en-GB"/>
              </w:rPr>
              <w:t>出</w:t>
            </w:r>
          </w:p>
        </w:tc>
      </w:tr>
      <w:tr w:rsidR="00000000">
        <w:tblPrEx>
          <w:tblCellMar>
            <w:top w:w="0" w:type="dxa"/>
            <w:bottom w:w="0" w:type="dxa"/>
          </w:tblCellMar>
        </w:tblPrEx>
        <w:tc>
          <w:tcPr>
            <w:tcW w:w="2552" w:type="dxa"/>
            <w:tcBorders>
              <w:top w:val="single" w:sz="6" w:space="0" w:color="auto"/>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耐用品折旧</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548</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w:t>
            </w:r>
            <w:r>
              <w:rPr>
                <w:sz w:val="20"/>
                <w:lang w:val="en-GB"/>
              </w:rPr>
              <w:t>50</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507</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220.1</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169.2</w:t>
            </w:r>
          </w:p>
        </w:tc>
        <w:tc>
          <w:tcPr>
            <w:tcW w:w="1186" w:type="dxa"/>
            <w:tcBorders>
              <w:top w:val="single" w:sz="6" w:space="0" w:color="auto"/>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198.0</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房租费用</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1,363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532.5</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1,016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547.4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200.2</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396.9</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住房支出</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4,552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3,310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4,033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1,828.1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1,244.4</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1,575.4</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食品</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12,269</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11,563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11,974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4,927.3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4,347.0</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4,677.3</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教育</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831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474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682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333.7</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178.2</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266.4</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保健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1,340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1,113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1,245</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538.2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418.4</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486.3</w:t>
            </w: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其他非食品支出</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6,090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4,6</w:t>
            </w:r>
            <w:r>
              <w:rPr>
                <w:sz w:val="20"/>
                <w:lang w:val="en-GB"/>
              </w:rPr>
              <w:t>77</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5,500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2,445.8</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1,758.3</w:t>
            </w: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r>
              <w:rPr>
                <w:sz w:val="20"/>
                <w:lang w:val="en-GB"/>
              </w:rPr>
              <w:t>2,148.4</w:t>
            </w:r>
          </w:p>
        </w:tc>
      </w:tr>
      <w:tr w:rsidR="00000000">
        <w:tblPrEx>
          <w:tblCellMar>
            <w:top w:w="0" w:type="dxa"/>
            <w:bottom w:w="0" w:type="dxa"/>
          </w:tblCellMar>
        </w:tblPrEx>
        <w:tc>
          <w:tcPr>
            <w:tcW w:w="2552" w:type="dxa"/>
            <w:tcBorders>
              <w:top w:val="nil"/>
              <w:left w:val="single" w:sz="6" w:space="0" w:color="auto"/>
              <w:bottom w:val="single" w:sz="6" w:space="0" w:color="auto"/>
              <w:right w:val="single" w:sz="4" w:space="0" w:color="auto"/>
            </w:tcBorders>
          </w:tcPr>
          <w:p w:rsidR="00000000" w:rsidRDefault="00844A84">
            <w:pPr>
              <w:spacing w:before="20" w:line="240" w:lineRule="exact"/>
              <w:rPr>
                <w:sz w:val="20"/>
                <w:lang w:val="en-GB"/>
              </w:rPr>
            </w:pPr>
            <w:r>
              <w:rPr>
                <w:rFonts w:hint="eastAsia"/>
                <w:sz w:val="20"/>
                <w:lang w:val="en-GB"/>
              </w:rPr>
              <w:t>总支出</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26,993</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22,119.5</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22,957</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10,840.6</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8,315.6</w:t>
            </w:r>
          </w:p>
        </w:tc>
        <w:tc>
          <w:tcPr>
            <w:tcW w:w="1186" w:type="dxa"/>
            <w:tcBorders>
              <w:top w:val="nil"/>
              <w:left w:val="single" w:sz="4" w:space="0" w:color="auto"/>
              <w:bottom w:val="single" w:sz="6" w:space="0" w:color="auto"/>
              <w:right w:val="single" w:sz="6" w:space="0" w:color="auto"/>
            </w:tcBorders>
          </w:tcPr>
          <w:p w:rsidR="00000000" w:rsidRDefault="00844A84">
            <w:pPr>
              <w:tabs>
                <w:tab w:val="decimal" w:pos="1058"/>
              </w:tabs>
              <w:spacing w:before="20" w:line="240" w:lineRule="exact"/>
              <w:rPr>
                <w:sz w:val="20"/>
                <w:lang w:val="en-GB"/>
              </w:rPr>
            </w:pPr>
            <w:r>
              <w:rPr>
                <w:sz w:val="20"/>
                <w:lang w:val="en-GB"/>
              </w:rPr>
              <w:t>9,748.8</w:t>
            </w:r>
          </w:p>
        </w:tc>
      </w:tr>
      <w:tr w:rsidR="00000000">
        <w:tblPrEx>
          <w:tblCellMar>
            <w:top w:w="0" w:type="dxa"/>
            <w:bottom w:w="0" w:type="dxa"/>
          </w:tblCellMar>
        </w:tblPrEx>
        <w:trPr>
          <w:cantSplit/>
        </w:trPr>
        <w:tc>
          <w:tcPr>
            <w:tcW w:w="2552" w:type="dxa"/>
            <w:tcBorders>
              <w:top w:val="single" w:sz="6" w:space="0" w:color="auto"/>
              <w:left w:val="single" w:sz="6" w:space="0" w:color="auto"/>
              <w:bottom w:val="single" w:sz="6" w:space="0" w:color="auto"/>
              <w:right w:val="single" w:sz="6" w:space="0" w:color="auto"/>
            </w:tcBorders>
          </w:tcPr>
          <w:p w:rsidR="00000000" w:rsidRDefault="00844A84">
            <w:pPr>
              <w:spacing w:before="20" w:line="240" w:lineRule="exact"/>
              <w:rPr>
                <w:sz w:val="20"/>
                <w:lang w:val="en-GB"/>
              </w:rPr>
            </w:pPr>
          </w:p>
        </w:tc>
        <w:tc>
          <w:tcPr>
            <w:tcW w:w="7111" w:type="dxa"/>
            <w:gridSpan w:val="6"/>
            <w:tcBorders>
              <w:top w:val="single" w:sz="6" w:space="0" w:color="auto"/>
              <w:left w:val="single" w:sz="6" w:space="0" w:color="auto"/>
              <w:bottom w:val="single" w:sz="6" w:space="0" w:color="auto"/>
              <w:right w:val="single" w:sz="6" w:space="0" w:color="auto"/>
            </w:tcBorders>
          </w:tcPr>
          <w:p w:rsidR="00000000" w:rsidRDefault="00844A84">
            <w:pPr>
              <w:tabs>
                <w:tab w:val="decimal" w:pos="1058"/>
              </w:tabs>
              <w:spacing w:before="20" w:line="240" w:lineRule="exact"/>
              <w:jc w:val="center"/>
              <w:rPr>
                <w:sz w:val="20"/>
                <w:lang w:val="en-GB"/>
              </w:rPr>
            </w:pPr>
            <w:r>
              <w:rPr>
                <w:rFonts w:hint="eastAsia"/>
                <w:sz w:val="20"/>
                <w:lang w:val="en-GB"/>
              </w:rPr>
              <w:t>支出结构</w:t>
            </w:r>
            <w:r>
              <w:rPr>
                <w:rFonts w:hint="eastAsia"/>
                <w:sz w:val="20"/>
                <w:lang w:val="en-GB"/>
              </w:rPr>
              <w:t xml:space="preserve"> </w:t>
            </w:r>
            <w:r>
              <w:rPr>
                <w:sz w:val="20"/>
                <w:lang w:val="en-GB"/>
              </w:rPr>
              <w:t>(</w:t>
            </w:r>
            <w:r>
              <w:rPr>
                <w:rFonts w:hint="eastAsia"/>
                <w:sz w:val="20"/>
                <w:lang w:val="en-GB"/>
              </w:rPr>
              <w:t>百分比</w:t>
            </w:r>
            <w:r>
              <w:rPr>
                <w:rFonts w:hint="eastAsia"/>
                <w:sz w:val="20"/>
                <w:lang w:val="en-GB"/>
              </w:rPr>
              <w:t>)</w:t>
            </w:r>
          </w:p>
        </w:tc>
      </w:tr>
      <w:tr w:rsidR="00000000">
        <w:tblPrEx>
          <w:tblCellMar>
            <w:top w:w="0" w:type="dxa"/>
            <w:bottom w:w="0" w:type="dxa"/>
          </w:tblCellMar>
        </w:tblPrEx>
        <w:tc>
          <w:tcPr>
            <w:tcW w:w="2552" w:type="dxa"/>
            <w:tcBorders>
              <w:top w:val="single" w:sz="6" w:space="0" w:color="auto"/>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耐用品折旧</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2.0</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2.0</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2.0</w:t>
            </w: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single" w:sz="6" w:space="0" w:color="auto"/>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single" w:sz="6" w:space="0" w:color="auto"/>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房租费用</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2.4</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住房支出</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16.9</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15.0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16.2</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食品</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45.5</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52.3</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48.0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教育</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3.1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2.7</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保健</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5.0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nil"/>
              <w:right w:val="single" w:sz="4" w:space="0" w:color="auto"/>
            </w:tcBorders>
          </w:tcPr>
          <w:p w:rsidR="00000000" w:rsidRDefault="00844A84">
            <w:pPr>
              <w:spacing w:before="20" w:line="240" w:lineRule="exact"/>
              <w:rPr>
                <w:sz w:val="20"/>
                <w:lang w:val="en-GB"/>
              </w:rPr>
            </w:pPr>
            <w:r>
              <w:rPr>
                <w:rFonts w:hint="eastAsia"/>
                <w:sz w:val="20"/>
                <w:lang w:val="en-GB"/>
              </w:rPr>
              <w:t>其他非食品支出</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22.6</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21.1</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r>
              <w:rPr>
                <w:sz w:val="20"/>
                <w:lang w:val="en-GB"/>
              </w:rPr>
              <w:t>22.0</w:t>
            </w: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nil"/>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nil"/>
              <w:right w:val="single" w:sz="6" w:space="0" w:color="auto"/>
            </w:tcBorders>
          </w:tcPr>
          <w:p w:rsidR="00000000" w:rsidRDefault="00844A84">
            <w:pPr>
              <w:tabs>
                <w:tab w:val="decimal" w:pos="1058"/>
              </w:tabs>
              <w:spacing w:before="20" w:line="240" w:lineRule="exact"/>
              <w:rPr>
                <w:sz w:val="20"/>
                <w:lang w:val="en-GB"/>
              </w:rPr>
            </w:pPr>
          </w:p>
        </w:tc>
      </w:tr>
      <w:tr w:rsidR="00000000">
        <w:tblPrEx>
          <w:tblCellMar>
            <w:top w:w="0" w:type="dxa"/>
            <w:bottom w:w="0" w:type="dxa"/>
          </w:tblCellMar>
        </w:tblPrEx>
        <w:tc>
          <w:tcPr>
            <w:tcW w:w="2552" w:type="dxa"/>
            <w:tcBorders>
              <w:top w:val="nil"/>
              <w:left w:val="single" w:sz="6" w:space="0" w:color="auto"/>
              <w:bottom w:val="single" w:sz="6" w:space="0" w:color="auto"/>
              <w:right w:val="single" w:sz="4" w:space="0" w:color="auto"/>
            </w:tcBorders>
          </w:tcPr>
          <w:p w:rsidR="00000000" w:rsidRDefault="00844A84">
            <w:pPr>
              <w:spacing w:before="20" w:line="240" w:lineRule="exact"/>
              <w:rPr>
                <w:sz w:val="20"/>
                <w:lang w:val="en-GB"/>
              </w:rPr>
            </w:pPr>
            <w:r>
              <w:rPr>
                <w:rFonts w:hint="eastAsia"/>
                <w:sz w:val="20"/>
                <w:lang w:val="en-GB"/>
              </w:rPr>
              <w:t>总支</w:t>
            </w:r>
            <w:r>
              <w:rPr>
                <w:rFonts w:hint="eastAsia"/>
                <w:sz w:val="20"/>
                <w:lang w:val="en-GB"/>
              </w:rPr>
              <w:t>出</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100</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100</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r>
              <w:rPr>
                <w:sz w:val="20"/>
                <w:lang w:val="en-GB"/>
              </w:rPr>
              <w:t>100</w:t>
            </w: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p>
        </w:tc>
        <w:tc>
          <w:tcPr>
            <w:tcW w:w="1185" w:type="dxa"/>
            <w:tcBorders>
              <w:top w:val="nil"/>
              <w:left w:val="single" w:sz="4" w:space="0" w:color="auto"/>
              <w:bottom w:val="single" w:sz="6" w:space="0" w:color="auto"/>
              <w:right w:val="single" w:sz="4" w:space="0" w:color="auto"/>
            </w:tcBorders>
          </w:tcPr>
          <w:p w:rsidR="00000000" w:rsidRDefault="00844A84">
            <w:pPr>
              <w:tabs>
                <w:tab w:val="decimal" w:pos="598"/>
              </w:tabs>
              <w:spacing w:before="20" w:line="240" w:lineRule="exact"/>
              <w:rPr>
                <w:sz w:val="20"/>
                <w:lang w:val="en-GB"/>
              </w:rPr>
            </w:pPr>
          </w:p>
        </w:tc>
        <w:tc>
          <w:tcPr>
            <w:tcW w:w="1186" w:type="dxa"/>
            <w:tcBorders>
              <w:top w:val="nil"/>
              <w:left w:val="single" w:sz="4" w:space="0" w:color="auto"/>
              <w:bottom w:val="single" w:sz="6" w:space="0" w:color="auto"/>
              <w:right w:val="single" w:sz="6" w:space="0" w:color="auto"/>
            </w:tcBorders>
          </w:tcPr>
          <w:p w:rsidR="00000000" w:rsidRDefault="00844A84">
            <w:pPr>
              <w:tabs>
                <w:tab w:val="decimal" w:pos="1058"/>
              </w:tabs>
              <w:spacing w:before="20" w:line="240" w:lineRule="exact"/>
              <w:rPr>
                <w:sz w:val="20"/>
                <w:lang w:val="en-GB"/>
              </w:rPr>
            </w:pPr>
          </w:p>
        </w:tc>
      </w:tr>
    </w:tbl>
    <w:p w:rsidR="00000000" w:rsidRDefault="00844A84">
      <w:pPr>
        <w:spacing w:before="240" w:after="320" w:line="240" w:lineRule="auto"/>
        <w:ind w:firstLine="510"/>
        <w:rPr>
          <w:rFonts w:eastAsia="KaiTi_GB2312"/>
          <w:snapToGrid/>
          <w:spacing w:val="0"/>
          <w:lang w:val="en-GB"/>
        </w:rPr>
      </w:pPr>
      <w:r>
        <w:rPr>
          <w:rFonts w:eastAsia="KaiTi_GB2312" w:hint="eastAsia"/>
          <w:bCs/>
          <w:snapToGrid/>
          <w:spacing w:val="0"/>
          <w:u w:val="single"/>
          <w:lang w:val="en-GB"/>
        </w:rPr>
        <w:t>资料来源</w:t>
      </w:r>
      <w:r>
        <w:rPr>
          <w:rFonts w:eastAsia="KaiTi_GB2312" w:hint="eastAsia"/>
          <w:snapToGrid/>
          <w:spacing w:val="0"/>
          <w:lang w:val="en-GB"/>
        </w:rPr>
        <w:t>：塞尔维亚共和国社会事务部，</w:t>
      </w:r>
      <w:r>
        <w:rPr>
          <w:rFonts w:eastAsia="KaiTi_GB2312"/>
          <w:snapToGrid/>
          <w:spacing w:val="0"/>
          <w:lang w:val="en-GB"/>
        </w:rPr>
        <w:t>2002</w:t>
      </w:r>
      <w:r>
        <w:rPr>
          <w:rFonts w:eastAsia="KaiTi_GB2312" w:hint="eastAsia"/>
          <w:snapToGrid/>
          <w:spacing w:val="0"/>
          <w:lang w:val="en-GB"/>
        </w:rPr>
        <w:t>年。</w:t>
      </w:r>
    </w:p>
    <w:p w:rsidR="00000000" w:rsidRDefault="00844A84">
      <w:pPr>
        <w:pStyle w:val="Heading4"/>
        <w:rPr>
          <w:lang w:val="en-GB"/>
        </w:rPr>
      </w:pPr>
      <w:r>
        <w:rPr>
          <w:rFonts w:hint="eastAsia"/>
          <w:lang w:val="en-GB"/>
        </w:rPr>
        <w:t>城乡家庭致贫因素</w:t>
      </w:r>
    </w:p>
    <w:p w:rsidR="00000000" w:rsidRDefault="00844A84">
      <w:pPr>
        <w:ind w:firstLine="510"/>
        <w:rPr>
          <w:lang w:val="en-GB"/>
        </w:rPr>
      </w:pPr>
      <w:r>
        <w:rPr>
          <w:lang w:val="en-GB"/>
        </w:rPr>
        <w:t>250.</w:t>
      </w:r>
      <w:r>
        <w:rPr>
          <w:rFonts w:hint="eastAsia"/>
          <w:lang w:val="en-GB"/>
        </w:rPr>
        <w:t xml:space="preserve">  </w:t>
      </w:r>
      <w:r>
        <w:rPr>
          <w:rFonts w:hint="eastAsia"/>
          <w:lang w:val="en-GB"/>
        </w:rPr>
        <w:t>为确定致贫因素及其影响程度，社会事务部在平均消费水平以下的家庭中抽取了子样本，并对每个家庭的消费水平与每个致贫因素之间的偏相关系数进行计算。</w:t>
      </w:r>
    </w:p>
    <w:p w:rsidR="00000000" w:rsidRDefault="00844A84">
      <w:pPr>
        <w:spacing w:after="320"/>
        <w:ind w:firstLine="510"/>
        <w:rPr>
          <w:lang w:val="en-GB"/>
        </w:rPr>
      </w:pPr>
      <w:r>
        <w:rPr>
          <w:lang w:val="en-GB"/>
        </w:rPr>
        <w:t>251.</w:t>
      </w:r>
      <w:r>
        <w:rPr>
          <w:rFonts w:hint="eastAsia"/>
        </w:rPr>
        <w:t xml:space="preserve">  </w:t>
      </w:r>
      <w:r>
        <w:rPr>
          <w:rFonts w:hint="eastAsia"/>
          <w:lang w:val="en-GB"/>
        </w:rPr>
        <w:t>在农村家庭的子样本中，影响消费水平的主要积极因素是实物收入水平</w:t>
      </w:r>
      <w:r>
        <w:rPr>
          <w:rFonts w:hint="eastAsia"/>
          <w:lang w:val="en-GB"/>
        </w:rPr>
        <w:t>(</w:t>
      </w:r>
      <w:r>
        <w:rPr>
          <w:rFonts w:hint="eastAsia"/>
          <w:lang w:val="en-GB"/>
        </w:rPr>
        <w:t>农业生产和自给自足的生产</w:t>
      </w:r>
      <w:r>
        <w:rPr>
          <w:rFonts w:hint="eastAsia"/>
          <w:lang w:val="en-GB"/>
        </w:rPr>
        <w:t>)</w:t>
      </w:r>
      <w:r>
        <w:rPr>
          <w:rFonts w:hint="eastAsia"/>
          <w:lang w:val="en-GB"/>
        </w:rPr>
        <w:t>。第二个影响较大的因素是养恤金的数额。工资水平仅居第三位。影响消费的最重要消极因素是家庭需要供养的成员人数。影响城市家庭消费水平的最重要因素是工资水平。</w:t>
      </w:r>
    </w:p>
    <w:p w:rsidR="00000000" w:rsidRDefault="00844A84">
      <w:pPr>
        <w:pStyle w:val="Heading3"/>
        <w:spacing w:after="160"/>
        <w:rPr>
          <w:rFonts w:hint="eastAsia"/>
        </w:rPr>
      </w:pPr>
      <w:r>
        <w:rPr>
          <w:rFonts w:hint="eastAsia"/>
          <w:u w:val="none"/>
          <w:lang w:val="en-GB"/>
        </w:rPr>
        <w:t>表</w:t>
      </w:r>
      <w:r>
        <w:rPr>
          <w:rFonts w:hint="eastAsia"/>
          <w:u w:val="none"/>
          <w:lang w:val="en-GB"/>
        </w:rPr>
        <w:t xml:space="preserve">  </w:t>
      </w:r>
      <w:r>
        <w:rPr>
          <w:u w:val="none"/>
          <w:lang w:val="en-GB"/>
        </w:rPr>
        <w:t>8</w:t>
      </w:r>
      <w:r>
        <w:rPr>
          <w:u w:val="none"/>
          <w:lang w:val="en-GB"/>
        </w:rPr>
        <w:br/>
      </w:r>
      <w:r>
        <w:rPr>
          <w:rFonts w:hint="eastAsia"/>
        </w:rPr>
        <w:t>家庭致贫因素</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062"/>
        <w:gridCol w:w="1836"/>
        <w:gridCol w:w="1836"/>
        <w:gridCol w:w="1836"/>
      </w:tblGrid>
      <w:tr w:rsidR="00000000">
        <w:tblPrEx>
          <w:tblCellMar>
            <w:top w:w="0" w:type="dxa"/>
            <w:bottom w:w="0" w:type="dxa"/>
          </w:tblCellMar>
        </w:tblPrEx>
        <w:trPr>
          <w:cantSplit/>
        </w:trPr>
        <w:tc>
          <w:tcPr>
            <w:tcW w:w="0" w:type="pct"/>
            <w:vMerge w:val="restart"/>
            <w:tcBorders>
              <w:top w:val="single" w:sz="6" w:space="0" w:color="auto"/>
              <w:left w:val="single" w:sz="6" w:space="0" w:color="auto"/>
              <w:right w:val="single" w:sz="6" w:space="0" w:color="auto"/>
            </w:tcBorders>
          </w:tcPr>
          <w:p w:rsidR="00000000" w:rsidRDefault="00844A84">
            <w:pPr>
              <w:spacing w:before="40" w:line="240" w:lineRule="auto"/>
              <w:jc w:val="center"/>
              <w:rPr>
                <w:sz w:val="22"/>
                <w:lang w:val="en-GB"/>
              </w:rPr>
            </w:pPr>
            <w:r>
              <w:rPr>
                <w:rFonts w:hint="eastAsia"/>
                <w:sz w:val="22"/>
                <w:lang w:val="en-GB"/>
              </w:rPr>
              <w:t>致贫因素</w:t>
            </w:r>
          </w:p>
        </w:tc>
        <w:tc>
          <w:tcPr>
            <w:tcW w:w="0" w:type="pct"/>
            <w:gridSpan w:val="3"/>
            <w:tcBorders>
              <w:top w:val="single" w:sz="6" w:space="0" w:color="auto"/>
              <w:left w:val="single" w:sz="6" w:space="0" w:color="auto"/>
              <w:bottom w:val="single" w:sz="6" w:space="0" w:color="auto"/>
              <w:right w:val="single" w:sz="6" w:space="0" w:color="auto"/>
            </w:tcBorders>
          </w:tcPr>
          <w:p w:rsidR="00000000" w:rsidRDefault="00844A84">
            <w:pPr>
              <w:spacing w:before="40" w:line="240" w:lineRule="auto"/>
              <w:jc w:val="center"/>
              <w:rPr>
                <w:sz w:val="22"/>
                <w:lang w:val="en-GB"/>
              </w:rPr>
            </w:pPr>
            <w:r>
              <w:rPr>
                <w:rFonts w:hint="eastAsia"/>
                <w:sz w:val="22"/>
                <w:lang w:val="en-GB"/>
              </w:rPr>
              <w:t>偏相关系数</w:t>
            </w:r>
          </w:p>
        </w:tc>
      </w:tr>
      <w:tr w:rsidR="00000000">
        <w:tblPrEx>
          <w:tblCellMar>
            <w:top w:w="0" w:type="dxa"/>
            <w:bottom w:w="0" w:type="dxa"/>
          </w:tblCellMar>
        </w:tblPrEx>
        <w:trPr>
          <w:cantSplit/>
          <w:trHeight w:val="20"/>
        </w:trPr>
        <w:tc>
          <w:tcPr>
            <w:tcW w:w="0" w:type="pct"/>
            <w:vMerge/>
            <w:tcBorders>
              <w:left w:val="single" w:sz="6" w:space="0" w:color="auto"/>
              <w:bottom w:val="single" w:sz="6" w:space="0" w:color="auto"/>
              <w:right w:val="single" w:sz="6" w:space="0" w:color="auto"/>
            </w:tcBorders>
          </w:tcPr>
          <w:p w:rsidR="00000000" w:rsidRDefault="00844A84">
            <w:pPr>
              <w:spacing w:before="40" w:line="240" w:lineRule="auto"/>
              <w:rPr>
                <w:sz w:val="22"/>
                <w:lang w:val="en-GB"/>
              </w:rPr>
            </w:pPr>
          </w:p>
        </w:tc>
        <w:tc>
          <w:tcPr>
            <w:tcW w:w="0" w:type="pct"/>
            <w:tcBorders>
              <w:top w:val="single" w:sz="6" w:space="0" w:color="auto"/>
              <w:left w:val="single" w:sz="6" w:space="0" w:color="auto"/>
              <w:bottom w:val="single" w:sz="6" w:space="0" w:color="auto"/>
              <w:right w:val="single" w:sz="6" w:space="0" w:color="auto"/>
            </w:tcBorders>
          </w:tcPr>
          <w:p w:rsidR="00000000" w:rsidRDefault="00844A84">
            <w:pPr>
              <w:spacing w:before="40" w:line="240" w:lineRule="auto"/>
              <w:jc w:val="center"/>
              <w:rPr>
                <w:sz w:val="22"/>
                <w:lang w:val="en-GB"/>
              </w:rPr>
            </w:pPr>
            <w:r>
              <w:rPr>
                <w:rFonts w:hint="eastAsia"/>
                <w:sz w:val="22"/>
                <w:lang w:val="en-GB"/>
              </w:rPr>
              <w:t>城</w:t>
            </w:r>
            <w:r>
              <w:rPr>
                <w:rFonts w:hint="eastAsia"/>
                <w:sz w:val="22"/>
                <w:lang w:val="en-GB"/>
              </w:rPr>
              <w:t xml:space="preserve">  </w:t>
            </w:r>
            <w:r>
              <w:rPr>
                <w:rFonts w:hint="eastAsia"/>
                <w:sz w:val="22"/>
                <w:lang w:val="en-GB"/>
              </w:rPr>
              <w:t>市</w:t>
            </w:r>
          </w:p>
        </w:tc>
        <w:tc>
          <w:tcPr>
            <w:tcW w:w="0" w:type="pct"/>
            <w:tcBorders>
              <w:top w:val="single" w:sz="6" w:space="0" w:color="auto"/>
              <w:left w:val="single" w:sz="6" w:space="0" w:color="auto"/>
              <w:bottom w:val="single" w:sz="6" w:space="0" w:color="auto"/>
              <w:right w:val="single" w:sz="4" w:space="0" w:color="auto"/>
            </w:tcBorders>
          </w:tcPr>
          <w:p w:rsidR="00000000" w:rsidRDefault="00844A84">
            <w:pPr>
              <w:spacing w:before="40" w:line="240" w:lineRule="auto"/>
              <w:jc w:val="center"/>
              <w:rPr>
                <w:sz w:val="22"/>
                <w:lang w:val="en-GB"/>
              </w:rPr>
            </w:pPr>
            <w:r>
              <w:rPr>
                <w:rFonts w:hint="eastAsia"/>
                <w:sz w:val="22"/>
                <w:lang w:val="en-GB"/>
              </w:rPr>
              <w:t>农</w:t>
            </w:r>
            <w:r>
              <w:rPr>
                <w:rFonts w:hint="eastAsia"/>
                <w:sz w:val="22"/>
                <w:lang w:val="en-GB"/>
              </w:rPr>
              <w:t xml:space="preserve">  </w:t>
            </w:r>
            <w:r>
              <w:rPr>
                <w:rFonts w:hint="eastAsia"/>
                <w:sz w:val="22"/>
                <w:lang w:val="en-GB"/>
              </w:rPr>
              <w:t>村</w:t>
            </w:r>
          </w:p>
        </w:tc>
        <w:tc>
          <w:tcPr>
            <w:tcW w:w="0" w:type="pct"/>
            <w:tcBorders>
              <w:top w:val="single" w:sz="6" w:space="0" w:color="auto"/>
              <w:left w:val="single" w:sz="4" w:space="0" w:color="auto"/>
              <w:bottom w:val="single" w:sz="6" w:space="0" w:color="auto"/>
              <w:right w:val="single" w:sz="6" w:space="0" w:color="auto"/>
            </w:tcBorders>
          </w:tcPr>
          <w:p w:rsidR="00000000" w:rsidRDefault="00844A84">
            <w:pPr>
              <w:spacing w:before="40" w:line="240" w:lineRule="auto"/>
              <w:jc w:val="center"/>
              <w:rPr>
                <w:sz w:val="22"/>
                <w:lang w:val="en-GB"/>
              </w:rPr>
            </w:pPr>
            <w:r>
              <w:rPr>
                <w:rFonts w:hint="eastAsia"/>
                <w:sz w:val="22"/>
                <w:lang w:val="en-GB"/>
              </w:rPr>
              <w:t>全部家庭</w:t>
            </w:r>
          </w:p>
        </w:tc>
      </w:tr>
      <w:tr w:rsidR="00000000">
        <w:tblPrEx>
          <w:tblCellMar>
            <w:top w:w="0" w:type="dxa"/>
            <w:bottom w:w="0" w:type="dxa"/>
          </w:tblCellMar>
        </w:tblPrEx>
        <w:trPr>
          <w:trHeight w:val="20"/>
        </w:trPr>
        <w:tc>
          <w:tcPr>
            <w:tcW w:w="2122" w:type="pct"/>
            <w:tcBorders>
              <w:top w:val="single" w:sz="6" w:space="0" w:color="auto"/>
              <w:left w:val="single" w:sz="6" w:space="0" w:color="auto"/>
              <w:bottom w:val="nil"/>
              <w:right w:val="single" w:sz="4" w:space="0" w:color="auto"/>
            </w:tcBorders>
          </w:tcPr>
          <w:p w:rsidR="00000000" w:rsidRDefault="00844A84">
            <w:pPr>
              <w:spacing w:before="40" w:line="240" w:lineRule="auto"/>
              <w:rPr>
                <w:sz w:val="22"/>
                <w:lang w:val="en-GB"/>
              </w:rPr>
            </w:pPr>
            <w:r>
              <w:rPr>
                <w:rFonts w:hint="eastAsia"/>
                <w:sz w:val="22"/>
                <w:lang w:val="en-GB"/>
              </w:rPr>
              <w:t>工资数额</w:t>
            </w:r>
          </w:p>
        </w:tc>
        <w:tc>
          <w:tcPr>
            <w:tcW w:w="959" w:type="pct"/>
            <w:tcBorders>
              <w:top w:val="single" w:sz="6" w:space="0" w:color="auto"/>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0.268</w:t>
            </w:r>
          </w:p>
        </w:tc>
        <w:tc>
          <w:tcPr>
            <w:tcW w:w="959" w:type="pct"/>
            <w:tcBorders>
              <w:top w:val="single" w:sz="6" w:space="0" w:color="auto"/>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0.154</w:t>
            </w:r>
          </w:p>
        </w:tc>
        <w:tc>
          <w:tcPr>
            <w:tcW w:w="959" w:type="pct"/>
            <w:tcBorders>
              <w:top w:val="single" w:sz="6" w:space="0" w:color="auto"/>
              <w:left w:val="single" w:sz="4" w:space="0" w:color="auto"/>
              <w:bottom w:val="nil"/>
              <w:right w:val="single" w:sz="6" w:space="0" w:color="auto"/>
            </w:tcBorders>
          </w:tcPr>
          <w:p w:rsidR="00000000" w:rsidRDefault="00844A84">
            <w:pPr>
              <w:spacing w:before="40" w:line="240" w:lineRule="auto"/>
              <w:ind w:right="510"/>
              <w:jc w:val="right"/>
              <w:rPr>
                <w:sz w:val="22"/>
                <w:lang w:val="en-GB"/>
              </w:rPr>
            </w:pPr>
            <w:r>
              <w:rPr>
                <w:sz w:val="22"/>
                <w:lang w:val="en-GB"/>
              </w:rPr>
              <w:t>0.202</w:t>
            </w:r>
          </w:p>
        </w:tc>
      </w:tr>
      <w:tr w:rsidR="00000000">
        <w:tblPrEx>
          <w:tblCellMar>
            <w:top w:w="0" w:type="dxa"/>
            <w:bottom w:w="0" w:type="dxa"/>
          </w:tblCellMar>
        </w:tblPrEx>
        <w:trPr>
          <w:trHeight w:val="20"/>
        </w:trPr>
        <w:tc>
          <w:tcPr>
            <w:tcW w:w="2122" w:type="pct"/>
            <w:tcBorders>
              <w:top w:val="nil"/>
              <w:left w:val="single" w:sz="6" w:space="0" w:color="auto"/>
              <w:bottom w:val="nil"/>
              <w:right w:val="single" w:sz="4" w:space="0" w:color="auto"/>
            </w:tcBorders>
          </w:tcPr>
          <w:p w:rsidR="00000000" w:rsidRDefault="00844A84">
            <w:pPr>
              <w:spacing w:before="40" w:line="240" w:lineRule="auto"/>
              <w:rPr>
                <w:sz w:val="22"/>
                <w:lang w:val="en-GB"/>
              </w:rPr>
            </w:pPr>
            <w:r>
              <w:rPr>
                <w:rFonts w:hint="eastAsia"/>
                <w:sz w:val="22"/>
                <w:lang w:val="en-GB"/>
              </w:rPr>
              <w:t>养恤金数额</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0.117</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0.211</w:t>
            </w:r>
          </w:p>
        </w:tc>
        <w:tc>
          <w:tcPr>
            <w:tcW w:w="959" w:type="pct"/>
            <w:tcBorders>
              <w:top w:val="nil"/>
              <w:left w:val="single" w:sz="4" w:space="0" w:color="auto"/>
              <w:bottom w:val="nil"/>
              <w:right w:val="single" w:sz="6" w:space="0" w:color="auto"/>
            </w:tcBorders>
          </w:tcPr>
          <w:p w:rsidR="00000000" w:rsidRDefault="00844A84">
            <w:pPr>
              <w:spacing w:before="40" w:line="240" w:lineRule="auto"/>
              <w:ind w:right="510"/>
              <w:jc w:val="right"/>
              <w:rPr>
                <w:sz w:val="22"/>
                <w:lang w:val="en-GB"/>
              </w:rPr>
            </w:pPr>
            <w:r>
              <w:rPr>
                <w:sz w:val="22"/>
                <w:lang w:val="en-GB"/>
              </w:rPr>
              <w:t>0.179</w:t>
            </w:r>
          </w:p>
        </w:tc>
      </w:tr>
      <w:tr w:rsidR="00000000">
        <w:tblPrEx>
          <w:tblCellMar>
            <w:top w:w="0" w:type="dxa"/>
            <w:bottom w:w="0" w:type="dxa"/>
          </w:tblCellMar>
        </w:tblPrEx>
        <w:trPr>
          <w:trHeight w:val="20"/>
        </w:trPr>
        <w:tc>
          <w:tcPr>
            <w:tcW w:w="2122" w:type="pct"/>
            <w:tcBorders>
              <w:top w:val="nil"/>
              <w:left w:val="single" w:sz="6" w:space="0" w:color="auto"/>
              <w:bottom w:val="nil"/>
              <w:right w:val="single" w:sz="4" w:space="0" w:color="auto"/>
            </w:tcBorders>
          </w:tcPr>
          <w:p w:rsidR="00000000" w:rsidRDefault="00844A84">
            <w:pPr>
              <w:spacing w:before="40" w:line="240" w:lineRule="auto"/>
              <w:rPr>
                <w:sz w:val="22"/>
                <w:lang w:val="en-GB"/>
              </w:rPr>
            </w:pPr>
            <w:r>
              <w:rPr>
                <w:rFonts w:hint="eastAsia"/>
                <w:sz w:val="22"/>
                <w:lang w:val="en-GB"/>
              </w:rPr>
              <w:t>实物收入</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0.044</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0.251</w:t>
            </w:r>
          </w:p>
        </w:tc>
        <w:tc>
          <w:tcPr>
            <w:tcW w:w="959" w:type="pct"/>
            <w:tcBorders>
              <w:top w:val="nil"/>
              <w:left w:val="single" w:sz="4" w:space="0" w:color="auto"/>
              <w:bottom w:val="nil"/>
              <w:right w:val="single" w:sz="6" w:space="0" w:color="auto"/>
            </w:tcBorders>
          </w:tcPr>
          <w:p w:rsidR="00000000" w:rsidRDefault="00844A84">
            <w:pPr>
              <w:spacing w:before="40" w:line="240" w:lineRule="auto"/>
              <w:ind w:right="510"/>
              <w:jc w:val="right"/>
              <w:rPr>
                <w:sz w:val="22"/>
                <w:lang w:val="en-GB"/>
              </w:rPr>
            </w:pPr>
            <w:r>
              <w:rPr>
                <w:sz w:val="22"/>
                <w:lang w:val="en-GB"/>
              </w:rPr>
              <w:t>0.180</w:t>
            </w:r>
          </w:p>
        </w:tc>
      </w:tr>
      <w:tr w:rsidR="00000000">
        <w:tblPrEx>
          <w:tblCellMar>
            <w:top w:w="0" w:type="dxa"/>
            <w:bottom w:w="0" w:type="dxa"/>
          </w:tblCellMar>
        </w:tblPrEx>
        <w:trPr>
          <w:trHeight w:val="20"/>
        </w:trPr>
        <w:tc>
          <w:tcPr>
            <w:tcW w:w="2122" w:type="pct"/>
            <w:tcBorders>
              <w:top w:val="nil"/>
              <w:left w:val="single" w:sz="6" w:space="0" w:color="auto"/>
              <w:bottom w:val="nil"/>
              <w:right w:val="single" w:sz="4" w:space="0" w:color="auto"/>
            </w:tcBorders>
          </w:tcPr>
          <w:p w:rsidR="00000000" w:rsidRDefault="00844A84">
            <w:pPr>
              <w:spacing w:before="40" w:line="240" w:lineRule="auto"/>
              <w:rPr>
                <w:sz w:val="22"/>
                <w:lang w:val="en-GB"/>
              </w:rPr>
            </w:pPr>
            <w:r>
              <w:rPr>
                <w:rFonts w:hint="eastAsia"/>
                <w:sz w:val="22"/>
                <w:lang w:val="en-GB"/>
              </w:rPr>
              <w:t>家庭工作人员人数</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0.076</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-0.002</w:t>
            </w:r>
          </w:p>
        </w:tc>
        <w:tc>
          <w:tcPr>
            <w:tcW w:w="959" w:type="pct"/>
            <w:tcBorders>
              <w:top w:val="nil"/>
              <w:left w:val="single" w:sz="4" w:space="0" w:color="auto"/>
              <w:bottom w:val="nil"/>
              <w:right w:val="single" w:sz="6" w:space="0" w:color="auto"/>
            </w:tcBorders>
          </w:tcPr>
          <w:p w:rsidR="00000000" w:rsidRDefault="00844A84">
            <w:pPr>
              <w:spacing w:before="40" w:line="240" w:lineRule="auto"/>
              <w:ind w:right="510"/>
              <w:jc w:val="right"/>
              <w:rPr>
                <w:sz w:val="22"/>
                <w:lang w:val="en-GB"/>
              </w:rPr>
            </w:pPr>
            <w:r>
              <w:rPr>
                <w:sz w:val="22"/>
                <w:lang w:val="en-GB"/>
              </w:rPr>
              <w:t>0.048</w:t>
            </w:r>
          </w:p>
        </w:tc>
      </w:tr>
      <w:tr w:rsidR="00000000">
        <w:tblPrEx>
          <w:tblCellMar>
            <w:top w:w="0" w:type="dxa"/>
            <w:bottom w:w="0" w:type="dxa"/>
          </w:tblCellMar>
        </w:tblPrEx>
        <w:trPr>
          <w:trHeight w:val="20"/>
        </w:trPr>
        <w:tc>
          <w:tcPr>
            <w:tcW w:w="2122" w:type="pct"/>
            <w:tcBorders>
              <w:top w:val="nil"/>
              <w:left w:val="single" w:sz="6" w:space="0" w:color="auto"/>
              <w:bottom w:val="nil"/>
              <w:right w:val="single" w:sz="4" w:space="0" w:color="auto"/>
            </w:tcBorders>
          </w:tcPr>
          <w:p w:rsidR="00000000" w:rsidRDefault="00844A84">
            <w:pPr>
              <w:spacing w:before="40" w:line="240" w:lineRule="auto"/>
              <w:rPr>
                <w:sz w:val="22"/>
                <w:lang w:val="en-GB"/>
              </w:rPr>
            </w:pPr>
            <w:r>
              <w:rPr>
                <w:rFonts w:hint="eastAsia"/>
                <w:sz w:val="22"/>
                <w:lang w:val="en-GB"/>
              </w:rPr>
              <w:t>供养人口人数</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-0.211</w:t>
            </w:r>
          </w:p>
        </w:tc>
        <w:tc>
          <w:tcPr>
            <w:tcW w:w="959" w:type="pct"/>
            <w:tcBorders>
              <w:top w:val="nil"/>
              <w:left w:val="single" w:sz="4" w:space="0" w:color="auto"/>
              <w:bottom w:val="nil"/>
              <w:right w:val="single" w:sz="4" w:space="0" w:color="auto"/>
            </w:tcBorders>
          </w:tcPr>
          <w:p w:rsidR="00000000" w:rsidRDefault="00844A84">
            <w:pPr>
              <w:spacing w:before="40" w:line="240" w:lineRule="auto"/>
              <w:ind w:right="510"/>
              <w:jc w:val="right"/>
              <w:rPr>
                <w:sz w:val="22"/>
                <w:lang w:val="en-GB"/>
              </w:rPr>
            </w:pPr>
            <w:r>
              <w:rPr>
                <w:sz w:val="22"/>
                <w:lang w:val="en-GB"/>
              </w:rPr>
              <w:t>-0.135</w:t>
            </w:r>
          </w:p>
        </w:tc>
        <w:tc>
          <w:tcPr>
            <w:tcW w:w="959" w:type="pct"/>
            <w:tcBorders>
              <w:top w:val="nil"/>
              <w:left w:val="single" w:sz="4" w:space="0" w:color="auto"/>
              <w:bottom w:val="nil"/>
              <w:right w:val="single" w:sz="6" w:space="0" w:color="auto"/>
            </w:tcBorders>
          </w:tcPr>
          <w:p w:rsidR="00000000" w:rsidRDefault="00844A84">
            <w:pPr>
              <w:spacing w:before="40" w:line="240" w:lineRule="auto"/>
              <w:ind w:right="510"/>
              <w:jc w:val="right"/>
              <w:rPr>
                <w:sz w:val="22"/>
                <w:lang w:val="en-GB"/>
              </w:rPr>
            </w:pPr>
            <w:r>
              <w:rPr>
                <w:sz w:val="22"/>
                <w:lang w:val="en-GB"/>
              </w:rPr>
              <w:t>-0.163</w:t>
            </w:r>
          </w:p>
        </w:tc>
      </w:tr>
      <w:tr w:rsidR="00000000">
        <w:tblPrEx>
          <w:tblCellMar>
            <w:top w:w="0" w:type="dxa"/>
            <w:bottom w:w="0" w:type="dxa"/>
          </w:tblCellMar>
        </w:tblPrEx>
        <w:trPr>
          <w:trHeight w:val="20"/>
        </w:trPr>
        <w:tc>
          <w:tcPr>
            <w:tcW w:w="2122" w:type="pct"/>
            <w:tcBorders>
              <w:top w:val="nil"/>
              <w:left w:val="single" w:sz="6" w:space="0" w:color="auto"/>
              <w:bottom w:val="single" w:sz="6" w:space="0" w:color="auto"/>
              <w:right w:val="single" w:sz="4" w:space="0" w:color="auto"/>
            </w:tcBorders>
          </w:tcPr>
          <w:p w:rsidR="00000000" w:rsidRDefault="00844A84">
            <w:pPr>
              <w:spacing w:before="40" w:line="240" w:lineRule="auto"/>
              <w:rPr>
                <w:sz w:val="22"/>
                <w:lang w:val="en-GB"/>
              </w:rPr>
            </w:pPr>
            <w:r>
              <w:rPr>
                <w:rFonts w:hint="eastAsia"/>
                <w:sz w:val="22"/>
                <w:lang w:val="en-GB"/>
              </w:rPr>
              <w:t>物</w:t>
            </w:r>
            <w:r>
              <w:rPr>
                <w:rFonts w:hint="eastAsia"/>
                <w:sz w:val="22"/>
                <w:lang w:val="en-GB"/>
              </w:rPr>
              <w:t xml:space="preserve">  </w:t>
            </w:r>
            <w:r>
              <w:rPr>
                <w:rFonts w:hint="eastAsia"/>
                <w:sz w:val="22"/>
                <w:lang w:val="en-GB"/>
              </w:rPr>
              <w:t>价</w:t>
            </w:r>
          </w:p>
        </w:tc>
        <w:tc>
          <w:tcPr>
            <w:tcW w:w="959" w:type="pct"/>
            <w:tcBorders>
              <w:top w:val="nil"/>
              <w:left w:val="single" w:sz="4" w:space="0" w:color="auto"/>
              <w:bottom w:val="single" w:sz="6" w:space="0" w:color="auto"/>
              <w:right w:val="single" w:sz="4" w:space="0" w:color="auto"/>
            </w:tcBorders>
          </w:tcPr>
          <w:p w:rsidR="00000000" w:rsidRDefault="00844A84">
            <w:pPr>
              <w:spacing w:before="40" w:line="240" w:lineRule="auto"/>
              <w:ind w:right="510"/>
              <w:jc w:val="right"/>
              <w:rPr>
                <w:sz w:val="22"/>
                <w:lang w:val="en-GB"/>
              </w:rPr>
            </w:pPr>
            <w:r>
              <w:rPr>
                <w:sz w:val="22"/>
                <w:lang w:val="en-GB"/>
              </w:rPr>
              <w:t>-0.128</w:t>
            </w:r>
          </w:p>
        </w:tc>
        <w:tc>
          <w:tcPr>
            <w:tcW w:w="959" w:type="pct"/>
            <w:tcBorders>
              <w:top w:val="nil"/>
              <w:left w:val="single" w:sz="4" w:space="0" w:color="auto"/>
              <w:bottom w:val="single" w:sz="6" w:space="0" w:color="auto"/>
              <w:right w:val="single" w:sz="4" w:space="0" w:color="auto"/>
            </w:tcBorders>
          </w:tcPr>
          <w:p w:rsidR="00000000" w:rsidRDefault="00844A84">
            <w:pPr>
              <w:spacing w:before="40" w:line="240" w:lineRule="auto"/>
              <w:ind w:right="510"/>
              <w:jc w:val="right"/>
              <w:rPr>
                <w:sz w:val="22"/>
                <w:lang w:val="en-GB"/>
              </w:rPr>
            </w:pPr>
            <w:r>
              <w:rPr>
                <w:sz w:val="22"/>
                <w:lang w:val="en-GB"/>
              </w:rPr>
              <w:t>-0.016</w:t>
            </w:r>
          </w:p>
        </w:tc>
        <w:tc>
          <w:tcPr>
            <w:tcW w:w="959" w:type="pct"/>
            <w:tcBorders>
              <w:top w:val="nil"/>
              <w:left w:val="single" w:sz="4" w:space="0" w:color="auto"/>
              <w:bottom w:val="single" w:sz="6" w:space="0" w:color="auto"/>
              <w:right w:val="single" w:sz="6" w:space="0" w:color="auto"/>
            </w:tcBorders>
          </w:tcPr>
          <w:p w:rsidR="00000000" w:rsidRDefault="00844A84">
            <w:pPr>
              <w:spacing w:before="40" w:line="240" w:lineRule="auto"/>
              <w:ind w:right="510"/>
              <w:jc w:val="right"/>
              <w:rPr>
                <w:sz w:val="22"/>
                <w:lang w:val="en-GB"/>
              </w:rPr>
            </w:pPr>
            <w:r>
              <w:rPr>
                <w:sz w:val="22"/>
                <w:lang w:val="en-GB"/>
              </w:rPr>
              <w:t>-0.061</w:t>
            </w:r>
          </w:p>
        </w:tc>
      </w:tr>
    </w:tbl>
    <w:p w:rsidR="00000000" w:rsidRDefault="00844A84">
      <w:pPr>
        <w:rPr>
          <w:rFonts w:hint="eastAsia"/>
          <w:snapToGrid/>
          <w:lang w:val="en-GB"/>
        </w:rPr>
      </w:pPr>
    </w:p>
    <w:p w:rsidR="00000000" w:rsidRDefault="00844A84">
      <w:pPr>
        <w:spacing w:after="320"/>
        <w:ind w:firstLine="510"/>
        <w:rPr>
          <w:rFonts w:eastAsia="KaiTi_GB2312"/>
          <w:snapToGrid/>
          <w:spacing w:val="0"/>
          <w:lang w:val="en-GB"/>
        </w:rPr>
      </w:pPr>
      <w:r>
        <w:rPr>
          <w:rFonts w:eastAsia="KaiTi_GB2312" w:hint="eastAsia"/>
          <w:bCs/>
          <w:snapToGrid/>
          <w:spacing w:val="0"/>
          <w:u w:val="single"/>
          <w:lang w:val="en-GB"/>
        </w:rPr>
        <w:t>资料来源</w:t>
      </w:r>
      <w:r>
        <w:rPr>
          <w:rFonts w:eastAsia="KaiTi_GB2312" w:hint="eastAsia"/>
          <w:bCs/>
          <w:snapToGrid/>
          <w:spacing w:val="0"/>
          <w:lang w:val="en-GB"/>
        </w:rPr>
        <w:t>：</w:t>
      </w:r>
      <w:r>
        <w:rPr>
          <w:rFonts w:eastAsia="KaiTi_GB2312" w:hint="eastAsia"/>
          <w:snapToGrid/>
          <w:spacing w:val="0"/>
          <w:lang w:val="en-GB"/>
        </w:rPr>
        <w:t>社会事务部，</w:t>
      </w:r>
      <w:r>
        <w:rPr>
          <w:rFonts w:eastAsia="KaiTi_GB2312"/>
          <w:snapToGrid/>
          <w:spacing w:val="0"/>
          <w:lang w:val="en-GB"/>
        </w:rPr>
        <w:t>2002</w:t>
      </w:r>
      <w:r>
        <w:rPr>
          <w:rFonts w:eastAsia="KaiTi_GB2312" w:hint="eastAsia"/>
          <w:snapToGrid/>
          <w:spacing w:val="0"/>
          <w:lang w:val="en-GB"/>
        </w:rPr>
        <w:t>年。</w:t>
      </w:r>
    </w:p>
    <w:p w:rsidR="00000000" w:rsidRDefault="00844A84">
      <w:pPr>
        <w:pStyle w:val="Heading4"/>
        <w:rPr>
          <w:lang w:val="en-GB"/>
        </w:rPr>
      </w:pPr>
      <w:r>
        <w:rPr>
          <w:rFonts w:hint="eastAsia"/>
          <w:lang w:val="en-GB"/>
        </w:rPr>
        <w:t>塞尔维亚老年人的贫困状况</w:t>
      </w:r>
    </w:p>
    <w:p w:rsidR="00000000" w:rsidRDefault="00844A84">
      <w:pPr>
        <w:pStyle w:val="Heading4"/>
        <w:rPr>
          <w:lang w:val="en-GB"/>
        </w:rPr>
      </w:pPr>
      <w:r>
        <w:rPr>
          <w:rFonts w:hint="eastAsia"/>
          <w:u w:val="none"/>
          <w:lang w:val="en-GB"/>
        </w:rPr>
        <w:t>(</w:t>
      </w:r>
      <w:r>
        <w:rPr>
          <w:u w:val="none"/>
        </w:rPr>
        <w:t>a</w:t>
      </w:r>
      <w:r>
        <w:rPr>
          <w:rFonts w:hint="eastAsia"/>
          <w:u w:val="none"/>
          <w:lang w:val="en-GB"/>
        </w:rPr>
        <w:t xml:space="preserve">)  </w:t>
      </w:r>
      <w:r>
        <w:rPr>
          <w:rFonts w:hint="eastAsia"/>
          <w:lang w:val="en-GB"/>
        </w:rPr>
        <w:t>老年人贫困的性别差异</w:t>
      </w:r>
    </w:p>
    <w:p w:rsidR="00000000" w:rsidRDefault="00844A84">
      <w:pPr>
        <w:ind w:firstLine="510"/>
      </w:pPr>
      <w:r>
        <w:rPr>
          <w:lang w:val="en-GB"/>
        </w:rPr>
        <w:t>252.</w:t>
      </w:r>
      <w:r>
        <w:rPr>
          <w:rFonts w:hint="eastAsia"/>
        </w:rPr>
        <w:t xml:space="preserve">  </w:t>
      </w:r>
      <w:r>
        <w:rPr>
          <w:rFonts w:hint="eastAsia"/>
        </w:rPr>
        <w:t>年龄</w:t>
      </w:r>
      <w:r>
        <w:rPr>
          <w:rFonts w:hint="eastAsia"/>
        </w:rPr>
        <w:t>超过</w:t>
      </w:r>
      <w:r>
        <w:t>65</w:t>
      </w:r>
      <w:r>
        <w:rPr>
          <w:rFonts w:hint="eastAsia"/>
        </w:rPr>
        <w:t>岁者为老年人。老年人的贫困率</w:t>
      </w:r>
      <w:r>
        <w:rPr>
          <w:rFonts w:hint="eastAsia"/>
        </w:rPr>
        <w:t>(</w:t>
      </w:r>
      <w:r>
        <w:t>14.7%</w:t>
      </w:r>
      <w:r>
        <w:rPr>
          <w:rFonts w:hint="eastAsia"/>
        </w:rPr>
        <w:t>)</w:t>
      </w:r>
      <w:r>
        <w:rPr>
          <w:rFonts w:hint="eastAsia"/>
        </w:rPr>
        <w:t>比平均贫困率</w:t>
      </w:r>
      <w:r>
        <w:rPr>
          <w:rFonts w:hint="eastAsia"/>
        </w:rPr>
        <w:t>(</w:t>
      </w:r>
      <w:r>
        <w:t>10.6%</w:t>
      </w:r>
      <w:r>
        <w:rPr>
          <w:rFonts w:hint="eastAsia"/>
        </w:rPr>
        <w:t>)</w:t>
      </w:r>
      <w:r>
        <w:rPr>
          <w:rFonts w:hint="eastAsia"/>
        </w:rPr>
        <w:t>高得多。虽然在整个人口中，男女贫困率没有重大差异，但在老年人中，男女贫困率差异较为显著。确切地讲，女性的贫困率比男性高出一个百分点。</w:t>
      </w:r>
    </w:p>
    <w:p w:rsidR="00000000" w:rsidRDefault="00844A84">
      <w:pPr>
        <w:pStyle w:val="Heading3"/>
        <w:spacing w:after="160"/>
        <w:rPr>
          <w:rFonts w:hint="eastAsia"/>
          <w:u w:val="none"/>
          <w:lang w:val="en-GB"/>
        </w:rPr>
      </w:pPr>
      <w:r>
        <w:rPr>
          <w:rFonts w:hint="eastAsia"/>
          <w:u w:val="none"/>
          <w:lang w:val="en-GB"/>
        </w:rPr>
        <w:t>表</w:t>
      </w:r>
      <w:r>
        <w:rPr>
          <w:rFonts w:hint="eastAsia"/>
          <w:u w:val="none"/>
          <w:lang w:val="en-GB"/>
        </w:rPr>
        <w:t xml:space="preserve">  </w:t>
      </w:r>
      <w:r>
        <w:rPr>
          <w:u w:val="none"/>
          <w:lang w:val="en-GB"/>
        </w:rPr>
        <w:t>9</w:t>
      </w:r>
    </w:p>
    <w:p w:rsidR="00000000" w:rsidRDefault="00844A84">
      <w:pPr>
        <w:pStyle w:val="Heading3"/>
        <w:rPr>
          <w:lang w:val="en-GB"/>
        </w:rPr>
      </w:pPr>
      <w:r>
        <w:rPr>
          <w:rFonts w:hint="eastAsia"/>
          <w:lang w:val="en-GB"/>
        </w:rPr>
        <w:t>老年人贫困率</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13"/>
        <w:gridCol w:w="3194"/>
      </w:tblGrid>
      <w:tr w:rsidR="00000000">
        <w:tblPrEx>
          <w:tblCellMar>
            <w:top w:w="0" w:type="dxa"/>
            <w:bottom w:w="0" w:type="dxa"/>
          </w:tblCellMar>
        </w:tblPrEx>
        <w:trPr>
          <w:jc w:val="center"/>
        </w:trPr>
        <w:tc>
          <w:tcPr>
            <w:tcW w:w="2313" w:type="dxa"/>
            <w:tcBorders>
              <w:top w:val="single" w:sz="6" w:space="0" w:color="auto"/>
              <w:left w:val="single" w:sz="6" w:space="0" w:color="auto"/>
              <w:bottom w:val="single" w:sz="6" w:space="0" w:color="auto"/>
              <w:right w:val="single" w:sz="6" w:space="0" w:color="auto"/>
            </w:tcBorders>
          </w:tcPr>
          <w:p w:rsidR="00000000" w:rsidRDefault="00844A84">
            <w:pPr>
              <w:spacing w:before="120" w:line="288" w:lineRule="auto"/>
              <w:jc w:val="center"/>
              <w:rPr>
                <w:sz w:val="22"/>
                <w:lang w:val="en-GB"/>
              </w:rPr>
            </w:pPr>
            <w:r>
              <w:rPr>
                <w:rFonts w:hint="eastAsia"/>
                <w:sz w:val="22"/>
                <w:lang w:val="en-GB"/>
              </w:rPr>
              <w:t>性</w:t>
            </w:r>
            <w:r>
              <w:rPr>
                <w:rFonts w:hint="eastAsia"/>
                <w:sz w:val="22"/>
                <w:lang w:val="en-GB"/>
              </w:rPr>
              <w:t xml:space="preserve">  </w:t>
            </w:r>
            <w:r>
              <w:rPr>
                <w:rFonts w:hint="eastAsia"/>
                <w:sz w:val="22"/>
                <w:lang w:val="en-GB"/>
              </w:rPr>
              <w:t>别</w:t>
            </w:r>
          </w:p>
        </w:tc>
        <w:tc>
          <w:tcPr>
            <w:tcW w:w="3194" w:type="dxa"/>
            <w:tcBorders>
              <w:top w:val="single" w:sz="6" w:space="0" w:color="auto"/>
              <w:left w:val="single" w:sz="6" w:space="0" w:color="auto"/>
              <w:bottom w:val="single" w:sz="6" w:space="0" w:color="auto"/>
              <w:right w:val="single" w:sz="6" w:space="0" w:color="auto"/>
            </w:tcBorders>
          </w:tcPr>
          <w:p w:rsidR="00000000" w:rsidRDefault="00844A84">
            <w:pPr>
              <w:spacing w:before="120" w:line="288" w:lineRule="auto"/>
              <w:jc w:val="center"/>
              <w:rPr>
                <w:sz w:val="22"/>
                <w:lang w:val="en-GB"/>
              </w:rPr>
            </w:pPr>
            <w:r>
              <w:rPr>
                <w:rFonts w:hint="eastAsia"/>
                <w:sz w:val="22"/>
                <w:lang w:val="en-GB"/>
              </w:rPr>
              <w:t>贫困率</w:t>
            </w:r>
            <w:r>
              <w:rPr>
                <w:sz w:val="22"/>
                <w:lang w:val="en-GB"/>
              </w:rPr>
              <w:t xml:space="preserve"> </w:t>
            </w:r>
            <w:r>
              <w:rPr>
                <w:rFonts w:hint="eastAsia"/>
                <w:sz w:val="22"/>
                <w:lang w:val="en-GB"/>
              </w:rPr>
              <w:t>(</w:t>
            </w:r>
            <w:r>
              <w:rPr>
                <w:sz w:val="22"/>
                <w:lang w:val="en-GB"/>
              </w:rPr>
              <w:t>%</w:t>
            </w:r>
            <w:r>
              <w:rPr>
                <w:rFonts w:hint="eastAsia"/>
                <w:sz w:val="22"/>
                <w:lang w:val="en-GB"/>
              </w:rPr>
              <w:t>)</w:t>
            </w:r>
          </w:p>
        </w:tc>
      </w:tr>
      <w:tr w:rsidR="00000000">
        <w:tblPrEx>
          <w:tblCellMar>
            <w:top w:w="0" w:type="dxa"/>
            <w:bottom w:w="0" w:type="dxa"/>
          </w:tblCellMar>
        </w:tblPrEx>
        <w:trPr>
          <w:jc w:val="center"/>
        </w:trPr>
        <w:tc>
          <w:tcPr>
            <w:tcW w:w="2313" w:type="dxa"/>
            <w:tcBorders>
              <w:top w:val="single" w:sz="6" w:space="0" w:color="auto"/>
              <w:left w:val="single" w:sz="6" w:space="0" w:color="auto"/>
              <w:bottom w:val="nil"/>
              <w:right w:val="single" w:sz="6" w:space="0" w:color="auto"/>
            </w:tcBorders>
          </w:tcPr>
          <w:p w:rsidR="00000000" w:rsidRDefault="00844A84">
            <w:pPr>
              <w:spacing w:before="120" w:line="288" w:lineRule="auto"/>
              <w:jc w:val="center"/>
              <w:rPr>
                <w:sz w:val="22"/>
                <w:lang w:val="en-GB"/>
              </w:rPr>
            </w:pPr>
            <w:r>
              <w:rPr>
                <w:rFonts w:hint="eastAsia"/>
                <w:sz w:val="22"/>
                <w:lang w:val="en-GB"/>
              </w:rPr>
              <w:t>男</w:t>
            </w:r>
            <w:r>
              <w:rPr>
                <w:rFonts w:hint="eastAsia"/>
                <w:sz w:val="22"/>
                <w:lang w:val="en-GB"/>
              </w:rPr>
              <w:t xml:space="preserve"> </w:t>
            </w:r>
            <w:r>
              <w:rPr>
                <w:rFonts w:hint="eastAsia"/>
                <w:sz w:val="22"/>
                <w:lang w:val="en-GB"/>
              </w:rPr>
              <w:t>性</w:t>
            </w:r>
          </w:p>
        </w:tc>
        <w:tc>
          <w:tcPr>
            <w:tcW w:w="3194" w:type="dxa"/>
            <w:tcBorders>
              <w:top w:val="single" w:sz="6" w:space="0" w:color="auto"/>
              <w:left w:val="single" w:sz="6" w:space="0" w:color="auto"/>
              <w:bottom w:val="nil"/>
              <w:right w:val="single" w:sz="6" w:space="0" w:color="auto"/>
            </w:tcBorders>
          </w:tcPr>
          <w:p w:rsidR="00000000" w:rsidRDefault="00844A84">
            <w:pPr>
              <w:spacing w:before="120" w:line="288" w:lineRule="auto"/>
              <w:jc w:val="center"/>
              <w:rPr>
                <w:sz w:val="22"/>
                <w:lang w:val="en-GB"/>
              </w:rPr>
            </w:pPr>
            <w:r>
              <w:rPr>
                <w:sz w:val="22"/>
                <w:lang w:val="en-GB"/>
              </w:rPr>
              <w:t>14.2</w:t>
            </w:r>
          </w:p>
        </w:tc>
      </w:tr>
      <w:tr w:rsidR="00000000">
        <w:tblPrEx>
          <w:tblCellMar>
            <w:top w:w="0" w:type="dxa"/>
            <w:bottom w:w="0" w:type="dxa"/>
          </w:tblCellMar>
        </w:tblPrEx>
        <w:trPr>
          <w:jc w:val="center"/>
        </w:trPr>
        <w:tc>
          <w:tcPr>
            <w:tcW w:w="2313" w:type="dxa"/>
            <w:tcBorders>
              <w:top w:val="nil"/>
              <w:left w:val="single" w:sz="6" w:space="0" w:color="auto"/>
              <w:bottom w:val="single" w:sz="6" w:space="0" w:color="auto"/>
              <w:right w:val="single" w:sz="6" w:space="0" w:color="auto"/>
            </w:tcBorders>
          </w:tcPr>
          <w:p w:rsidR="00000000" w:rsidRDefault="00844A84">
            <w:pPr>
              <w:spacing w:before="120" w:line="288" w:lineRule="auto"/>
              <w:jc w:val="center"/>
              <w:rPr>
                <w:sz w:val="22"/>
                <w:lang w:val="en-GB"/>
              </w:rPr>
            </w:pPr>
            <w:r>
              <w:rPr>
                <w:rFonts w:hint="eastAsia"/>
                <w:sz w:val="22"/>
                <w:lang w:val="en-GB"/>
              </w:rPr>
              <w:t>女</w:t>
            </w:r>
            <w:r>
              <w:rPr>
                <w:rFonts w:hint="eastAsia"/>
                <w:sz w:val="22"/>
                <w:lang w:val="en-GB"/>
              </w:rPr>
              <w:t xml:space="preserve"> </w:t>
            </w:r>
            <w:r>
              <w:rPr>
                <w:rFonts w:hint="eastAsia"/>
                <w:sz w:val="22"/>
                <w:lang w:val="en-GB"/>
              </w:rPr>
              <w:t>性</w:t>
            </w:r>
          </w:p>
        </w:tc>
        <w:tc>
          <w:tcPr>
            <w:tcW w:w="3194" w:type="dxa"/>
            <w:tcBorders>
              <w:top w:val="nil"/>
              <w:left w:val="single" w:sz="6" w:space="0" w:color="auto"/>
              <w:bottom w:val="single" w:sz="6" w:space="0" w:color="auto"/>
              <w:right w:val="single" w:sz="6" w:space="0" w:color="auto"/>
            </w:tcBorders>
          </w:tcPr>
          <w:p w:rsidR="00000000" w:rsidRDefault="00844A84">
            <w:pPr>
              <w:spacing w:before="120" w:line="288" w:lineRule="auto"/>
              <w:jc w:val="center"/>
              <w:rPr>
                <w:sz w:val="22"/>
                <w:lang w:val="en-GB"/>
              </w:rPr>
            </w:pPr>
            <w:r>
              <w:rPr>
                <w:sz w:val="22"/>
                <w:lang w:val="en-GB"/>
              </w:rPr>
              <w:t>15.2</w:t>
            </w:r>
          </w:p>
        </w:tc>
      </w:tr>
      <w:tr w:rsidR="00000000">
        <w:tblPrEx>
          <w:tblCellMar>
            <w:top w:w="0" w:type="dxa"/>
            <w:bottom w:w="0" w:type="dxa"/>
          </w:tblCellMar>
        </w:tblPrEx>
        <w:trPr>
          <w:jc w:val="center"/>
        </w:trPr>
        <w:tc>
          <w:tcPr>
            <w:tcW w:w="2313" w:type="dxa"/>
            <w:tcBorders>
              <w:top w:val="single" w:sz="6" w:space="0" w:color="auto"/>
              <w:left w:val="single" w:sz="6" w:space="0" w:color="auto"/>
              <w:bottom w:val="single" w:sz="6" w:space="0" w:color="auto"/>
              <w:right w:val="single" w:sz="6" w:space="0" w:color="auto"/>
            </w:tcBorders>
          </w:tcPr>
          <w:p w:rsidR="00000000" w:rsidRDefault="00844A84">
            <w:pPr>
              <w:spacing w:before="120" w:line="288" w:lineRule="auto"/>
              <w:jc w:val="center"/>
              <w:rPr>
                <w:sz w:val="22"/>
                <w:lang w:val="en-GB"/>
              </w:rPr>
            </w:pPr>
            <w:r>
              <w:rPr>
                <w:rFonts w:hint="eastAsia"/>
                <w:sz w:val="22"/>
                <w:lang w:val="en-GB"/>
              </w:rPr>
              <w:t>合</w:t>
            </w:r>
            <w:r>
              <w:rPr>
                <w:rFonts w:hint="eastAsia"/>
                <w:sz w:val="22"/>
                <w:lang w:val="en-GB"/>
              </w:rPr>
              <w:t xml:space="preserve"> </w:t>
            </w:r>
            <w:r>
              <w:rPr>
                <w:rFonts w:hint="eastAsia"/>
                <w:sz w:val="22"/>
                <w:lang w:val="en-GB"/>
              </w:rPr>
              <w:t>计</w:t>
            </w:r>
          </w:p>
        </w:tc>
        <w:tc>
          <w:tcPr>
            <w:tcW w:w="3194" w:type="dxa"/>
            <w:tcBorders>
              <w:top w:val="single" w:sz="6" w:space="0" w:color="auto"/>
              <w:left w:val="single" w:sz="6" w:space="0" w:color="auto"/>
              <w:bottom w:val="single" w:sz="6" w:space="0" w:color="auto"/>
              <w:right w:val="single" w:sz="6" w:space="0" w:color="auto"/>
            </w:tcBorders>
          </w:tcPr>
          <w:p w:rsidR="00000000" w:rsidRDefault="00844A84">
            <w:pPr>
              <w:spacing w:before="120" w:line="288" w:lineRule="auto"/>
              <w:jc w:val="center"/>
              <w:rPr>
                <w:sz w:val="22"/>
                <w:lang w:val="en-GB"/>
              </w:rPr>
            </w:pPr>
            <w:r>
              <w:rPr>
                <w:sz w:val="22"/>
                <w:lang w:val="en-GB"/>
              </w:rPr>
              <w:t>14.7</w:t>
            </w:r>
          </w:p>
        </w:tc>
      </w:tr>
    </w:tbl>
    <w:p w:rsidR="00000000" w:rsidRDefault="00844A84">
      <w:pPr>
        <w:spacing w:before="240" w:after="320"/>
        <w:ind w:left="1558" w:firstLine="510"/>
        <w:rPr>
          <w:rFonts w:eastAsia="KaiTi_GB2312"/>
          <w:snapToGrid/>
          <w:spacing w:val="0"/>
          <w:lang w:val="en-GB"/>
        </w:rPr>
      </w:pPr>
      <w:r>
        <w:rPr>
          <w:rFonts w:eastAsia="KaiTi_GB2312" w:hint="eastAsia"/>
          <w:bCs/>
          <w:snapToGrid/>
          <w:spacing w:val="0"/>
          <w:u w:val="single"/>
          <w:lang w:val="en-GB"/>
        </w:rPr>
        <w:t>资料来源</w:t>
      </w:r>
      <w:r>
        <w:rPr>
          <w:rFonts w:eastAsia="KaiTi_GB2312" w:hint="eastAsia"/>
          <w:snapToGrid/>
          <w:spacing w:val="0"/>
          <w:lang w:val="en-GB"/>
        </w:rPr>
        <w:t>：社会事务部，</w:t>
      </w:r>
      <w:r>
        <w:rPr>
          <w:rFonts w:eastAsia="KaiTi_GB2312"/>
          <w:snapToGrid/>
          <w:spacing w:val="0"/>
          <w:lang w:val="en-GB"/>
        </w:rPr>
        <w:t>2002</w:t>
      </w:r>
      <w:r>
        <w:rPr>
          <w:rFonts w:eastAsia="KaiTi_GB2312" w:hint="eastAsia"/>
          <w:snapToGrid/>
          <w:spacing w:val="0"/>
          <w:lang w:val="en-GB"/>
        </w:rPr>
        <w:t>年。</w:t>
      </w:r>
    </w:p>
    <w:p w:rsidR="00000000" w:rsidRDefault="00844A84">
      <w:pPr>
        <w:pStyle w:val="Heading4"/>
        <w:rPr>
          <w:lang w:val="en-GB"/>
        </w:rPr>
      </w:pPr>
      <w:r>
        <w:rPr>
          <w:rFonts w:hint="eastAsia"/>
          <w:u w:val="none"/>
          <w:lang w:val="en-GB"/>
        </w:rPr>
        <w:t>(</w:t>
      </w:r>
      <w:r>
        <w:rPr>
          <w:u w:val="none"/>
        </w:rPr>
        <w:t>b</w:t>
      </w:r>
      <w:r>
        <w:rPr>
          <w:rFonts w:hint="eastAsia"/>
          <w:u w:val="none"/>
          <w:lang w:val="en-GB"/>
        </w:rPr>
        <w:t xml:space="preserve">)  </w:t>
      </w:r>
      <w:r>
        <w:rPr>
          <w:rFonts w:hint="eastAsia"/>
          <w:lang w:val="en-GB"/>
        </w:rPr>
        <w:t>老年人贫困状况的地区差异</w:t>
      </w:r>
    </w:p>
    <w:p w:rsidR="00000000" w:rsidRDefault="00844A84">
      <w:pPr>
        <w:spacing w:after="320"/>
        <w:ind w:firstLine="510"/>
      </w:pPr>
      <w:r>
        <w:rPr>
          <w:lang w:val="en-GB"/>
        </w:rPr>
        <w:t>253.</w:t>
      </w:r>
      <w:r>
        <w:rPr>
          <w:rFonts w:hint="eastAsia"/>
        </w:rPr>
        <w:t xml:space="preserve">  </w:t>
      </w:r>
      <w:r>
        <w:rPr>
          <w:rFonts w:hint="eastAsia"/>
        </w:rPr>
        <w:t>在塞尔维亚东南部，老年人的贫困率非常高</w:t>
      </w:r>
      <w:r>
        <w:rPr>
          <w:rFonts w:hint="eastAsia"/>
        </w:rPr>
        <w:t>(</w:t>
      </w:r>
      <w:r>
        <w:t>26.1%</w:t>
      </w:r>
      <w:r>
        <w:rPr>
          <w:rFonts w:hint="eastAsia"/>
        </w:rPr>
        <w:t>)</w:t>
      </w:r>
      <w:r>
        <w:rPr>
          <w:rFonts w:hint="eastAsia"/>
        </w:rPr>
        <w:t>，而其他地区的贫困率差异低得多。</w:t>
      </w:r>
    </w:p>
    <w:p w:rsidR="00000000" w:rsidRDefault="00844A84">
      <w:pPr>
        <w:pStyle w:val="Heading3"/>
        <w:rPr>
          <w:rFonts w:hint="eastAsia"/>
          <w:u w:val="none"/>
          <w:lang w:val="en-GB"/>
        </w:rPr>
      </w:pPr>
      <w:r>
        <w:rPr>
          <w:rFonts w:hint="eastAsia"/>
          <w:u w:val="none"/>
          <w:lang w:val="en-GB"/>
        </w:rPr>
        <w:t>表</w:t>
      </w:r>
      <w:r>
        <w:rPr>
          <w:rFonts w:hint="eastAsia"/>
          <w:u w:val="none"/>
          <w:lang w:val="en-GB"/>
        </w:rPr>
        <w:t xml:space="preserve">  </w:t>
      </w:r>
      <w:r>
        <w:rPr>
          <w:u w:val="none"/>
          <w:lang w:val="en-GB"/>
        </w:rPr>
        <w:t>10</w:t>
      </w:r>
    </w:p>
    <w:p w:rsidR="00000000" w:rsidRDefault="00844A84">
      <w:pPr>
        <w:pStyle w:val="Heading3"/>
        <w:rPr>
          <w:lang w:val="en-GB"/>
        </w:rPr>
      </w:pPr>
      <w:r>
        <w:rPr>
          <w:rFonts w:hint="eastAsia"/>
          <w:lang w:val="en-GB"/>
        </w:rPr>
        <w:t>贫困的地</w:t>
      </w:r>
      <w:r>
        <w:rPr>
          <w:rFonts w:hint="eastAsia"/>
          <w:lang w:val="en-GB"/>
        </w:rPr>
        <w:t>区差异</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870"/>
        <w:gridCol w:w="5700"/>
      </w:tblGrid>
      <w:tr w:rsidR="00000000">
        <w:tblPrEx>
          <w:tblCellMar>
            <w:top w:w="0" w:type="dxa"/>
            <w:bottom w:w="0" w:type="dxa"/>
          </w:tblCellMar>
        </w:tblPrEx>
        <w:tc>
          <w:tcPr>
            <w:tcW w:w="2022" w:type="pct"/>
            <w:tcBorders>
              <w:top w:val="single" w:sz="6" w:space="0" w:color="auto"/>
              <w:left w:val="single" w:sz="6" w:space="0" w:color="auto"/>
              <w:bottom w:val="single" w:sz="6" w:space="0" w:color="auto"/>
              <w:right w:val="single" w:sz="6" w:space="0" w:color="auto"/>
            </w:tcBorders>
          </w:tcPr>
          <w:p w:rsidR="00000000" w:rsidRDefault="00844A84">
            <w:pPr>
              <w:spacing w:before="120"/>
              <w:jc w:val="center"/>
              <w:rPr>
                <w:sz w:val="22"/>
                <w:lang w:val="en-GB"/>
              </w:rPr>
            </w:pPr>
            <w:r>
              <w:rPr>
                <w:rFonts w:hint="eastAsia"/>
                <w:sz w:val="22"/>
                <w:lang w:val="en-GB"/>
              </w:rPr>
              <w:t>地</w:t>
            </w:r>
            <w:r>
              <w:rPr>
                <w:rFonts w:hint="eastAsia"/>
                <w:sz w:val="22"/>
                <w:lang w:val="en-GB"/>
              </w:rPr>
              <w:t xml:space="preserve">  </w:t>
            </w:r>
            <w:r>
              <w:rPr>
                <w:rFonts w:hint="eastAsia"/>
                <w:sz w:val="22"/>
                <w:lang w:val="en-GB"/>
              </w:rPr>
              <w:t>区</w:t>
            </w:r>
          </w:p>
        </w:tc>
        <w:tc>
          <w:tcPr>
            <w:tcW w:w="2978" w:type="pct"/>
            <w:tcBorders>
              <w:top w:val="single" w:sz="6" w:space="0" w:color="auto"/>
              <w:left w:val="single" w:sz="6" w:space="0" w:color="auto"/>
              <w:bottom w:val="single" w:sz="6" w:space="0" w:color="auto"/>
              <w:right w:val="single" w:sz="6" w:space="0" w:color="auto"/>
            </w:tcBorders>
          </w:tcPr>
          <w:p w:rsidR="00000000" w:rsidRDefault="00844A84">
            <w:pPr>
              <w:spacing w:before="120"/>
              <w:jc w:val="center"/>
              <w:rPr>
                <w:sz w:val="22"/>
                <w:lang w:val="en-GB"/>
              </w:rPr>
            </w:pPr>
            <w:r>
              <w:rPr>
                <w:rFonts w:hint="eastAsia"/>
                <w:sz w:val="22"/>
                <w:lang w:val="en-GB"/>
              </w:rPr>
              <w:t>贫困率</w:t>
            </w:r>
            <w:r>
              <w:rPr>
                <w:rFonts w:hint="eastAsia"/>
                <w:sz w:val="22"/>
                <w:lang w:val="en-GB"/>
              </w:rPr>
              <w:t>(</w:t>
            </w:r>
            <w:r>
              <w:rPr>
                <w:sz w:val="22"/>
              </w:rPr>
              <w:t>%</w:t>
            </w:r>
            <w:r>
              <w:rPr>
                <w:rFonts w:hint="eastAsia"/>
                <w:sz w:val="22"/>
              </w:rPr>
              <w:t>)</w:t>
            </w:r>
          </w:p>
        </w:tc>
      </w:tr>
      <w:tr w:rsidR="00000000">
        <w:tblPrEx>
          <w:tblCellMar>
            <w:top w:w="0" w:type="dxa"/>
            <w:bottom w:w="0" w:type="dxa"/>
          </w:tblCellMar>
        </w:tblPrEx>
        <w:tc>
          <w:tcPr>
            <w:tcW w:w="2022" w:type="pct"/>
            <w:tcBorders>
              <w:top w:val="single" w:sz="6" w:space="0" w:color="auto"/>
              <w:left w:val="single" w:sz="6" w:space="0" w:color="auto"/>
              <w:bottom w:val="nil"/>
              <w:right w:val="single" w:sz="4" w:space="0" w:color="auto"/>
            </w:tcBorders>
          </w:tcPr>
          <w:p w:rsidR="00000000" w:rsidRDefault="00844A84">
            <w:pPr>
              <w:spacing w:before="120" w:line="288" w:lineRule="auto"/>
              <w:ind w:left="397"/>
              <w:rPr>
                <w:sz w:val="22"/>
                <w:lang w:val="en-GB"/>
              </w:rPr>
            </w:pPr>
            <w:r>
              <w:rPr>
                <w:rFonts w:hint="eastAsia"/>
                <w:sz w:val="22"/>
                <w:lang w:val="en-GB"/>
              </w:rPr>
              <w:t>贝尔格莱德</w:t>
            </w:r>
          </w:p>
        </w:tc>
        <w:tc>
          <w:tcPr>
            <w:tcW w:w="2978" w:type="pct"/>
            <w:tcBorders>
              <w:top w:val="single" w:sz="6" w:space="0" w:color="auto"/>
              <w:left w:val="single" w:sz="4" w:space="0" w:color="auto"/>
              <w:bottom w:val="nil"/>
              <w:right w:val="single" w:sz="6" w:space="0" w:color="auto"/>
            </w:tcBorders>
          </w:tcPr>
          <w:p w:rsidR="00000000" w:rsidRDefault="00844A84">
            <w:pPr>
              <w:spacing w:before="120" w:line="288" w:lineRule="auto"/>
              <w:jc w:val="center"/>
              <w:rPr>
                <w:sz w:val="22"/>
                <w:lang w:val="en-GB"/>
              </w:rPr>
            </w:pPr>
            <w:r>
              <w:rPr>
                <w:sz w:val="22"/>
                <w:lang w:val="en-GB"/>
              </w:rPr>
              <w:t>12.2</w:t>
            </w:r>
          </w:p>
        </w:tc>
      </w:tr>
      <w:tr w:rsidR="00000000">
        <w:tblPrEx>
          <w:tblCellMar>
            <w:top w:w="0" w:type="dxa"/>
            <w:bottom w:w="0" w:type="dxa"/>
          </w:tblCellMar>
        </w:tblPrEx>
        <w:tc>
          <w:tcPr>
            <w:tcW w:w="2022" w:type="pct"/>
            <w:tcBorders>
              <w:top w:val="nil"/>
              <w:left w:val="single" w:sz="6" w:space="0" w:color="auto"/>
              <w:bottom w:val="nil"/>
              <w:right w:val="single" w:sz="4" w:space="0" w:color="auto"/>
            </w:tcBorders>
          </w:tcPr>
          <w:p w:rsidR="00000000" w:rsidRDefault="00844A84">
            <w:pPr>
              <w:spacing w:before="120" w:line="288" w:lineRule="auto"/>
              <w:ind w:left="397"/>
              <w:rPr>
                <w:sz w:val="22"/>
                <w:lang w:val="en-GB"/>
              </w:rPr>
            </w:pPr>
            <w:r>
              <w:rPr>
                <w:rFonts w:hint="eastAsia"/>
                <w:sz w:val="22"/>
                <w:lang w:val="en-GB"/>
              </w:rPr>
              <w:t>伏伊伏丁那省</w:t>
            </w:r>
          </w:p>
        </w:tc>
        <w:tc>
          <w:tcPr>
            <w:tcW w:w="2978" w:type="pct"/>
            <w:tcBorders>
              <w:top w:val="nil"/>
              <w:left w:val="single" w:sz="4" w:space="0" w:color="auto"/>
              <w:bottom w:val="nil"/>
              <w:right w:val="single" w:sz="6" w:space="0" w:color="auto"/>
            </w:tcBorders>
          </w:tcPr>
          <w:p w:rsidR="00000000" w:rsidRDefault="00844A84">
            <w:pPr>
              <w:spacing w:before="120" w:line="288" w:lineRule="auto"/>
              <w:jc w:val="center"/>
              <w:rPr>
                <w:sz w:val="22"/>
                <w:lang w:val="en-GB"/>
              </w:rPr>
            </w:pPr>
            <w:r>
              <w:rPr>
                <w:sz w:val="22"/>
                <w:lang w:val="en-GB"/>
              </w:rPr>
              <w:t>13.7</w:t>
            </w:r>
          </w:p>
        </w:tc>
      </w:tr>
      <w:tr w:rsidR="00000000">
        <w:tblPrEx>
          <w:tblCellMar>
            <w:top w:w="0" w:type="dxa"/>
            <w:bottom w:w="0" w:type="dxa"/>
          </w:tblCellMar>
        </w:tblPrEx>
        <w:tc>
          <w:tcPr>
            <w:tcW w:w="2022" w:type="pct"/>
            <w:tcBorders>
              <w:top w:val="nil"/>
              <w:left w:val="single" w:sz="6" w:space="0" w:color="auto"/>
              <w:bottom w:val="nil"/>
              <w:right w:val="single" w:sz="4" w:space="0" w:color="auto"/>
            </w:tcBorders>
          </w:tcPr>
          <w:p w:rsidR="00000000" w:rsidRDefault="00844A84">
            <w:pPr>
              <w:spacing w:before="120" w:line="288" w:lineRule="auto"/>
              <w:ind w:left="397"/>
              <w:rPr>
                <w:sz w:val="22"/>
                <w:lang w:val="en-GB"/>
              </w:rPr>
            </w:pPr>
            <w:r>
              <w:rPr>
                <w:rFonts w:hint="eastAsia"/>
                <w:sz w:val="22"/>
                <w:lang w:val="en-GB"/>
              </w:rPr>
              <w:t>西塞尔维亚</w:t>
            </w:r>
          </w:p>
        </w:tc>
        <w:tc>
          <w:tcPr>
            <w:tcW w:w="2978" w:type="pct"/>
            <w:tcBorders>
              <w:top w:val="nil"/>
              <w:left w:val="single" w:sz="4" w:space="0" w:color="auto"/>
              <w:bottom w:val="nil"/>
              <w:right w:val="single" w:sz="6" w:space="0" w:color="auto"/>
            </w:tcBorders>
          </w:tcPr>
          <w:p w:rsidR="00000000" w:rsidRDefault="00844A84">
            <w:pPr>
              <w:spacing w:before="120" w:line="288" w:lineRule="auto"/>
              <w:jc w:val="center"/>
              <w:rPr>
                <w:sz w:val="22"/>
                <w:lang w:val="en-GB"/>
              </w:rPr>
            </w:pPr>
            <w:r>
              <w:rPr>
                <w:sz w:val="22"/>
                <w:lang w:val="en-GB"/>
              </w:rPr>
              <w:t>11.8</w:t>
            </w:r>
          </w:p>
        </w:tc>
      </w:tr>
      <w:tr w:rsidR="00000000">
        <w:tblPrEx>
          <w:tblCellMar>
            <w:top w:w="0" w:type="dxa"/>
            <w:bottom w:w="0" w:type="dxa"/>
          </w:tblCellMar>
        </w:tblPrEx>
        <w:tc>
          <w:tcPr>
            <w:tcW w:w="2022" w:type="pct"/>
            <w:tcBorders>
              <w:top w:val="nil"/>
              <w:left w:val="single" w:sz="6" w:space="0" w:color="auto"/>
              <w:bottom w:val="nil"/>
              <w:right w:val="single" w:sz="4" w:space="0" w:color="auto"/>
            </w:tcBorders>
          </w:tcPr>
          <w:p w:rsidR="00000000" w:rsidRDefault="00844A84">
            <w:pPr>
              <w:spacing w:before="120" w:line="288" w:lineRule="auto"/>
              <w:ind w:left="397"/>
              <w:rPr>
                <w:sz w:val="22"/>
                <w:lang w:val="en-GB"/>
              </w:rPr>
            </w:pPr>
            <w:r>
              <w:rPr>
                <w:rFonts w:hint="eastAsia"/>
                <w:sz w:val="22"/>
                <w:lang w:val="en-GB"/>
              </w:rPr>
              <w:t>中塞尔维亚</w:t>
            </w:r>
          </w:p>
        </w:tc>
        <w:tc>
          <w:tcPr>
            <w:tcW w:w="2978" w:type="pct"/>
            <w:tcBorders>
              <w:top w:val="nil"/>
              <w:left w:val="single" w:sz="4" w:space="0" w:color="auto"/>
              <w:bottom w:val="nil"/>
              <w:right w:val="single" w:sz="6" w:space="0" w:color="auto"/>
            </w:tcBorders>
          </w:tcPr>
          <w:p w:rsidR="00000000" w:rsidRDefault="00844A84">
            <w:pPr>
              <w:spacing w:before="120" w:line="288" w:lineRule="auto"/>
              <w:jc w:val="center"/>
              <w:rPr>
                <w:sz w:val="22"/>
                <w:lang w:val="en-GB"/>
              </w:rPr>
            </w:pPr>
            <w:r>
              <w:rPr>
                <w:sz w:val="22"/>
                <w:lang w:val="en-GB"/>
              </w:rPr>
              <w:t>13.5</w:t>
            </w:r>
          </w:p>
        </w:tc>
      </w:tr>
      <w:tr w:rsidR="00000000">
        <w:tblPrEx>
          <w:tblCellMar>
            <w:top w:w="0" w:type="dxa"/>
            <w:bottom w:w="0" w:type="dxa"/>
          </w:tblCellMar>
        </w:tblPrEx>
        <w:tc>
          <w:tcPr>
            <w:tcW w:w="2022" w:type="pct"/>
            <w:tcBorders>
              <w:top w:val="nil"/>
              <w:left w:val="single" w:sz="6" w:space="0" w:color="auto"/>
              <w:bottom w:val="nil"/>
              <w:right w:val="single" w:sz="4" w:space="0" w:color="auto"/>
            </w:tcBorders>
          </w:tcPr>
          <w:p w:rsidR="00000000" w:rsidRDefault="00844A84">
            <w:pPr>
              <w:spacing w:before="120" w:line="288" w:lineRule="auto"/>
              <w:ind w:left="397"/>
              <w:rPr>
                <w:sz w:val="22"/>
                <w:lang w:val="en-GB"/>
              </w:rPr>
            </w:pPr>
            <w:r>
              <w:rPr>
                <w:rFonts w:hint="eastAsia"/>
                <w:sz w:val="22"/>
                <w:lang w:val="en-GB"/>
              </w:rPr>
              <w:t>东塞尔维亚</w:t>
            </w:r>
          </w:p>
        </w:tc>
        <w:tc>
          <w:tcPr>
            <w:tcW w:w="2978" w:type="pct"/>
            <w:tcBorders>
              <w:top w:val="nil"/>
              <w:left w:val="single" w:sz="4" w:space="0" w:color="auto"/>
              <w:bottom w:val="nil"/>
              <w:right w:val="single" w:sz="6" w:space="0" w:color="auto"/>
            </w:tcBorders>
          </w:tcPr>
          <w:p w:rsidR="00000000" w:rsidRDefault="00844A84">
            <w:pPr>
              <w:spacing w:before="120" w:line="288" w:lineRule="auto"/>
              <w:jc w:val="center"/>
              <w:rPr>
                <w:sz w:val="22"/>
                <w:lang w:val="en-GB"/>
              </w:rPr>
            </w:pPr>
            <w:r>
              <w:rPr>
                <w:sz w:val="22"/>
                <w:lang w:val="en-GB"/>
              </w:rPr>
              <w:t>11.8</w:t>
            </w:r>
          </w:p>
        </w:tc>
      </w:tr>
      <w:tr w:rsidR="00000000">
        <w:tblPrEx>
          <w:tblCellMar>
            <w:top w:w="0" w:type="dxa"/>
            <w:bottom w:w="0" w:type="dxa"/>
          </w:tblCellMar>
        </w:tblPrEx>
        <w:tc>
          <w:tcPr>
            <w:tcW w:w="2022" w:type="pct"/>
            <w:tcBorders>
              <w:top w:val="nil"/>
              <w:left w:val="single" w:sz="6" w:space="0" w:color="auto"/>
              <w:bottom w:val="single" w:sz="4" w:space="0" w:color="auto"/>
              <w:right w:val="single" w:sz="4" w:space="0" w:color="auto"/>
            </w:tcBorders>
          </w:tcPr>
          <w:p w:rsidR="00000000" w:rsidRDefault="00844A84">
            <w:pPr>
              <w:spacing w:before="120" w:line="288" w:lineRule="auto"/>
              <w:ind w:left="397"/>
              <w:rPr>
                <w:sz w:val="22"/>
                <w:lang w:val="en-GB"/>
              </w:rPr>
            </w:pPr>
            <w:r>
              <w:rPr>
                <w:rFonts w:hint="eastAsia"/>
                <w:sz w:val="22"/>
                <w:lang w:val="en-GB"/>
              </w:rPr>
              <w:t>东南塞尔维亚</w:t>
            </w:r>
          </w:p>
        </w:tc>
        <w:tc>
          <w:tcPr>
            <w:tcW w:w="2978" w:type="pct"/>
            <w:tcBorders>
              <w:top w:val="nil"/>
              <w:left w:val="single" w:sz="4" w:space="0" w:color="auto"/>
              <w:bottom w:val="single" w:sz="4" w:space="0" w:color="auto"/>
              <w:right w:val="single" w:sz="6" w:space="0" w:color="auto"/>
            </w:tcBorders>
          </w:tcPr>
          <w:p w:rsidR="00000000" w:rsidRDefault="00844A84">
            <w:pPr>
              <w:spacing w:before="120" w:line="288" w:lineRule="auto"/>
              <w:jc w:val="center"/>
              <w:rPr>
                <w:sz w:val="22"/>
                <w:lang w:val="en-GB"/>
              </w:rPr>
            </w:pPr>
            <w:r>
              <w:rPr>
                <w:sz w:val="22"/>
                <w:lang w:val="en-GB"/>
              </w:rPr>
              <w:t>26.1</w:t>
            </w:r>
          </w:p>
        </w:tc>
      </w:tr>
      <w:tr w:rsidR="00000000">
        <w:tblPrEx>
          <w:tblCellMar>
            <w:top w:w="0" w:type="dxa"/>
            <w:bottom w:w="0" w:type="dxa"/>
          </w:tblCellMar>
        </w:tblPrEx>
        <w:tc>
          <w:tcPr>
            <w:tcW w:w="2022" w:type="pct"/>
            <w:tcBorders>
              <w:top w:val="single" w:sz="4" w:space="0" w:color="auto"/>
              <w:left w:val="single" w:sz="6" w:space="0" w:color="auto"/>
              <w:bottom w:val="single" w:sz="6" w:space="0" w:color="auto"/>
              <w:right w:val="single" w:sz="4" w:space="0" w:color="auto"/>
            </w:tcBorders>
          </w:tcPr>
          <w:p w:rsidR="00000000" w:rsidRDefault="00844A84">
            <w:pPr>
              <w:spacing w:before="120"/>
              <w:rPr>
                <w:sz w:val="22"/>
                <w:lang w:val="en-GB"/>
              </w:rPr>
            </w:pPr>
            <w:r>
              <w:rPr>
                <w:rFonts w:hint="eastAsia"/>
                <w:sz w:val="22"/>
                <w:lang w:val="en-GB"/>
              </w:rPr>
              <w:t xml:space="preserve">  </w:t>
            </w:r>
            <w:r>
              <w:rPr>
                <w:sz w:val="22"/>
                <w:lang w:val="en-GB"/>
              </w:rPr>
              <w:t xml:space="preserve">   </w:t>
            </w:r>
            <w:r>
              <w:rPr>
                <w:rFonts w:hint="eastAsia"/>
                <w:sz w:val="22"/>
                <w:lang w:val="en-GB"/>
              </w:rPr>
              <w:t>合</w:t>
            </w:r>
            <w:r>
              <w:rPr>
                <w:rFonts w:hint="eastAsia"/>
                <w:sz w:val="22"/>
                <w:lang w:val="en-GB"/>
              </w:rPr>
              <w:t xml:space="preserve">  </w:t>
            </w:r>
            <w:r>
              <w:rPr>
                <w:rFonts w:hint="eastAsia"/>
                <w:sz w:val="22"/>
                <w:lang w:val="en-GB"/>
              </w:rPr>
              <w:t>计</w:t>
            </w:r>
          </w:p>
        </w:tc>
        <w:tc>
          <w:tcPr>
            <w:tcW w:w="2978" w:type="pct"/>
            <w:tcBorders>
              <w:top w:val="single" w:sz="4" w:space="0" w:color="auto"/>
              <w:left w:val="single" w:sz="4" w:space="0" w:color="auto"/>
              <w:bottom w:val="single" w:sz="6" w:space="0" w:color="auto"/>
              <w:right w:val="single" w:sz="6" w:space="0" w:color="auto"/>
            </w:tcBorders>
          </w:tcPr>
          <w:p w:rsidR="00000000" w:rsidRDefault="00844A84">
            <w:pPr>
              <w:spacing w:before="120"/>
              <w:jc w:val="center"/>
              <w:rPr>
                <w:sz w:val="22"/>
                <w:lang w:val="en-GB"/>
              </w:rPr>
            </w:pPr>
            <w:r>
              <w:rPr>
                <w:sz w:val="22"/>
                <w:lang w:val="en-GB"/>
              </w:rPr>
              <w:t>14.7</w:t>
            </w:r>
          </w:p>
        </w:tc>
      </w:tr>
    </w:tbl>
    <w:p w:rsidR="00000000" w:rsidRDefault="00844A84">
      <w:pPr>
        <w:spacing w:before="240" w:after="320"/>
        <w:ind w:left="519"/>
        <w:rPr>
          <w:rFonts w:eastAsia="KaiTi_GB2312"/>
          <w:snapToGrid/>
          <w:spacing w:val="0"/>
          <w:lang w:val="en-GB"/>
        </w:rPr>
      </w:pPr>
      <w:r>
        <w:rPr>
          <w:rFonts w:eastAsia="KaiTi_GB2312" w:hint="eastAsia"/>
          <w:bCs/>
          <w:snapToGrid/>
          <w:spacing w:val="0"/>
          <w:u w:val="single"/>
          <w:lang w:val="en-GB"/>
        </w:rPr>
        <w:t>资料来源</w:t>
      </w:r>
      <w:r>
        <w:rPr>
          <w:rFonts w:eastAsia="KaiTi_GB2312" w:hint="eastAsia"/>
          <w:bCs/>
          <w:snapToGrid/>
          <w:spacing w:val="0"/>
          <w:lang w:val="en-GB"/>
        </w:rPr>
        <w:t>：</w:t>
      </w:r>
      <w:r>
        <w:rPr>
          <w:rFonts w:eastAsia="KaiTi_GB2312" w:hint="eastAsia"/>
          <w:snapToGrid/>
          <w:spacing w:val="0"/>
          <w:lang w:val="en-GB"/>
        </w:rPr>
        <w:t>社会事务部，</w:t>
      </w:r>
      <w:r>
        <w:rPr>
          <w:rFonts w:eastAsia="KaiTi_GB2312"/>
          <w:snapToGrid/>
          <w:spacing w:val="0"/>
          <w:lang w:val="en-GB"/>
        </w:rPr>
        <w:t>2002</w:t>
      </w:r>
      <w:r>
        <w:rPr>
          <w:rFonts w:eastAsia="KaiTi_GB2312" w:hint="eastAsia"/>
          <w:snapToGrid/>
          <w:spacing w:val="0"/>
          <w:lang w:val="en-GB"/>
        </w:rPr>
        <w:t>年。</w:t>
      </w:r>
    </w:p>
    <w:p w:rsidR="00000000" w:rsidRDefault="00844A84">
      <w:pPr>
        <w:pStyle w:val="Heading3"/>
        <w:rPr>
          <w:lang w:val="en-GB"/>
        </w:rPr>
      </w:pPr>
      <w:r>
        <w:rPr>
          <w:rFonts w:hint="eastAsia"/>
          <w:u w:val="none"/>
          <w:lang w:val="en-GB"/>
        </w:rPr>
        <w:t xml:space="preserve">C.  </w:t>
      </w:r>
      <w:r>
        <w:rPr>
          <w:rFonts w:hint="eastAsia"/>
          <w:lang w:val="en-GB"/>
        </w:rPr>
        <w:t>减</w:t>
      </w:r>
      <w:r>
        <w:rPr>
          <w:rFonts w:hint="eastAsia"/>
          <w:lang w:val="en-GB"/>
        </w:rPr>
        <w:t xml:space="preserve"> </w:t>
      </w:r>
      <w:r>
        <w:rPr>
          <w:rFonts w:hint="eastAsia"/>
          <w:lang w:val="en-GB"/>
        </w:rPr>
        <w:t>贫</w:t>
      </w:r>
      <w:r>
        <w:rPr>
          <w:rFonts w:hint="eastAsia"/>
          <w:lang w:val="en-GB"/>
        </w:rPr>
        <w:t xml:space="preserve"> </w:t>
      </w:r>
      <w:r>
        <w:rPr>
          <w:rFonts w:hint="eastAsia"/>
          <w:lang w:val="en-GB"/>
        </w:rPr>
        <w:t>战</w:t>
      </w:r>
      <w:r>
        <w:rPr>
          <w:rFonts w:hint="eastAsia"/>
          <w:lang w:val="en-GB"/>
        </w:rPr>
        <w:t xml:space="preserve"> </w:t>
      </w:r>
      <w:r>
        <w:rPr>
          <w:rFonts w:hint="eastAsia"/>
          <w:lang w:val="en-GB"/>
        </w:rPr>
        <w:t>略</w:t>
      </w:r>
    </w:p>
    <w:p w:rsidR="00000000" w:rsidRDefault="00844A84">
      <w:pPr>
        <w:ind w:firstLine="510"/>
      </w:pPr>
      <w:r>
        <w:rPr>
          <w:lang w:val="en-GB"/>
        </w:rPr>
        <w:t>254.</w:t>
      </w:r>
      <w:r>
        <w:rPr>
          <w:rFonts w:hint="eastAsia"/>
        </w:rPr>
        <w:t xml:space="preserve">  </w:t>
      </w:r>
      <w:r>
        <w:t>2000</w:t>
      </w:r>
      <w:r>
        <w:rPr>
          <w:rFonts w:hint="eastAsia"/>
        </w:rPr>
        <w:t>年国家变革之后，主管当局采取了一系列措施，调查国家的贫困状况。在这一背景下，</w:t>
      </w:r>
      <w:r>
        <w:t>2002</w:t>
      </w:r>
      <w:r>
        <w:rPr>
          <w:rFonts w:hint="eastAsia"/>
        </w:rPr>
        <w:t>年</w:t>
      </w:r>
      <w:r>
        <w:t>6</w:t>
      </w:r>
      <w:r>
        <w:rPr>
          <w:rFonts w:hint="eastAsia"/>
        </w:rPr>
        <w:t>月塞尔维亚共和国社会事务部与塞尔维亚共和国对外经济关系部合作编写了《减贫战略基本框架》，提交给世界银行和国际货币基金组织。</w:t>
      </w:r>
    </w:p>
    <w:p w:rsidR="00000000" w:rsidRDefault="00844A84">
      <w:pPr>
        <w:ind w:firstLine="510"/>
      </w:pPr>
      <w:r>
        <w:rPr>
          <w:lang w:val="en-GB"/>
        </w:rPr>
        <w:t>255</w:t>
      </w:r>
      <w:r>
        <w:rPr>
          <w:lang w:val="en-GB"/>
        </w:rPr>
        <w:t>.</w:t>
      </w:r>
      <w:r>
        <w:rPr>
          <w:rFonts w:hint="eastAsia"/>
        </w:rPr>
        <w:t xml:space="preserve">  </w:t>
      </w:r>
      <w:r>
        <w:rPr>
          <w:rFonts w:hint="eastAsia"/>
        </w:rPr>
        <w:t>塞尔维亚共和国社会事务部承担实施了以下方案和项目，以促进国家变革，并降低方案和项目受益人的贫困程度：</w:t>
      </w:r>
    </w:p>
    <w:p w:rsidR="00000000" w:rsidRDefault="00844A84">
      <w:pPr>
        <w:pStyle w:val="a0"/>
        <w:ind w:left="1550"/>
      </w:pPr>
      <w:r>
        <w:rPr>
          <w:rFonts w:hint="eastAsia"/>
        </w:rPr>
        <w:t>在地方一级发展综合性社会保护；</w:t>
      </w:r>
    </w:p>
    <w:p w:rsidR="00000000" w:rsidRDefault="00844A84">
      <w:pPr>
        <w:pStyle w:val="a0"/>
        <w:ind w:left="1550"/>
      </w:pPr>
      <w:r>
        <w:rPr>
          <w:rFonts w:hint="eastAsia"/>
        </w:rPr>
        <w:t>实施家庭寄宿战略</w:t>
      </w:r>
      <w:r>
        <w:rPr>
          <w:rFonts w:hint="eastAsia"/>
        </w:rPr>
        <w:t>(</w:t>
      </w:r>
      <w:r>
        <w:rPr>
          <w:rFonts w:hint="eastAsia"/>
        </w:rPr>
        <w:t>该项目在贝尔格莱德地区已进入最后实施阶段，而在塞尔维亚地区正在开展宣传性培训</w:t>
      </w:r>
      <w:r>
        <w:rPr>
          <w:rFonts w:hint="eastAsia"/>
        </w:rPr>
        <w:t>)</w:t>
      </w:r>
      <w:r>
        <w:rPr>
          <w:rFonts w:hint="eastAsia"/>
        </w:rPr>
        <w:t>；</w:t>
      </w:r>
    </w:p>
    <w:p w:rsidR="00000000" w:rsidRDefault="00844A84">
      <w:pPr>
        <w:pStyle w:val="a0"/>
        <w:ind w:left="1550"/>
        <w:rPr>
          <w:lang w:val="en-GB"/>
        </w:rPr>
      </w:pPr>
      <w:r>
        <w:rPr>
          <w:rFonts w:hint="eastAsia"/>
        </w:rPr>
        <w:t>改革社会保护机构，为受益人提供食宿；</w:t>
      </w:r>
    </w:p>
    <w:p w:rsidR="00000000" w:rsidRDefault="00844A84">
      <w:pPr>
        <w:pStyle w:val="a0"/>
        <w:ind w:left="1550"/>
        <w:rPr>
          <w:lang w:val="zh-CN"/>
        </w:rPr>
      </w:pPr>
      <w:r>
        <w:rPr>
          <w:rFonts w:hint="eastAsia"/>
          <w:lang w:val="zh-CN"/>
        </w:rPr>
        <w:t>为社会工作中心制定专业工作标准；</w:t>
      </w:r>
    </w:p>
    <w:p w:rsidR="00000000" w:rsidRDefault="00844A84">
      <w:pPr>
        <w:pStyle w:val="a0"/>
        <w:ind w:left="1550"/>
      </w:pPr>
      <w:r>
        <w:rPr>
          <w:rFonts w:hint="eastAsia"/>
        </w:rPr>
        <w:t>发展收养事业，以此作为保护无父母照顾儿童的一种形式；</w:t>
      </w:r>
    </w:p>
    <w:p w:rsidR="00000000" w:rsidRDefault="00844A84">
      <w:pPr>
        <w:pStyle w:val="a0"/>
        <w:ind w:left="1550"/>
      </w:pPr>
      <w:r>
        <w:rPr>
          <w:rFonts w:hint="eastAsia"/>
        </w:rPr>
        <w:t>保护特殊需要儿童的权利；</w:t>
      </w:r>
    </w:p>
    <w:p w:rsidR="00000000" w:rsidRDefault="00844A84">
      <w:pPr>
        <w:pStyle w:val="a0"/>
        <w:ind w:left="1550"/>
        <w:rPr>
          <w:lang w:val="zh-CN"/>
        </w:rPr>
      </w:pPr>
      <w:r>
        <w:rPr>
          <w:rFonts w:hint="eastAsia"/>
          <w:lang w:val="zh-CN"/>
        </w:rPr>
        <w:t>不久将建立社会创新基金，规范所有通过发展伙伴关系提供社会保护服务的行为主体的作用和职责；</w:t>
      </w:r>
    </w:p>
    <w:p w:rsidR="00000000" w:rsidRDefault="00844A84">
      <w:pPr>
        <w:pStyle w:val="a0"/>
        <w:ind w:left="1550"/>
        <w:rPr>
          <w:lang w:val="zh-CN"/>
        </w:rPr>
      </w:pPr>
      <w:r>
        <w:rPr>
          <w:lang w:val="zh-CN"/>
        </w:rPr>
        <w:t>2002</w:t>
      </w:r>
      <w:r>
        <w:rPr>
          <w:rFonts w:hint="eastAsia"/>
          <w:lang w:val="zh-CN"/>
        </w:rPr>
        <w:t>年，对残疾人协会和组织</w:t>
      </w:r>
      <w:r>
        <w:rPr>
          <w:rFonts w:hint="eastAsia"/>
          <w:lang w:val="zh-CN"/>
        </w:rPr>
        <w:t>的融资方式进行了改革，强调为旨在通过公开竞争，发展替代性福利服务形式的项目活动提供资金，并为项目活动制定明确的质量标准。</w:t>
      </w:r>
    </w:p>
    <w:p w:rsidR="00000000" w:rsidRDefault="00844A84">
      <w:pPr>
        <w:pStyle w:val="a0"/>
        <w:ind w:left="1550"/>
        <w:rPr>
          <w:lang w:val="zh-CN"/>
        </w:rPr>
      </w:pPr>
      <w:r>
        <w:rPr>
          <w:rFonts w:hint="eastAsia"/>
          <w:lang w:val="zh-CN"/>
        </w:rPr>
        <w:t>已成立老年人保护工作组，将起草制定《老年人保护战略》的指导原则；</w:t>
      </w:r>
    </w:p>
    <w:p w:rsidR="00000000" w:rsidRDefault="00844A84">
      <w:pPr>
        <w:spacing w:after="320"/>
        <w:ind w:firstLine="510"/>
      </w:pPr>
      <w:r>
        <w:rPr>
          <w:lang w:val="zh-CN"/>
        </w:rPr>
        <w:t>256.</w:t>
      </w:r>
      <w:r>
        <w:rPr>
          <w:rFonts w:hint="eastAsia"/>
        </w:rPr>
        <w:t xml:space="preserve">  </w:t>
      </w:r>
      <w:r>
        <w:rPr>
          <w:rFonts w:hint="eastAsia"/>
        </w:rPr>
        <w:t>社会事务部预算拨款以及儿童基金会、世界银行、开发计划署、联合国项目事务厅、挪威政府和联合王国政府提供的捐助使得以上方案的实施成为可能。</w:t>
      </w:r>
    </w:p>
    <w:p w:rsidR="00000000" w:rsidRDefault="00844A84">
      <w:pPr>
        <w:pStyle w:val="Heading3"/>
        <w:rPr>
          <w:lang w:val="zh-CN"/>
        </w:rPr>
      </w:pPr>
      <w:r>
        <w:rPr>
          <w:rFonts w:hint="eastAsia"/>
          <w:lang w:val="zh-CN"/>
        </w:rPr>
        <w:t>第</w:t>
      </w:r>
      <w:r>
        <w:rPr>
          <w:rFonts w:hint="eastAsia"/>
          <w:lang w:val="zh-CN"/>
        </w:rPr>
        <w:t xml:space="preserve"> </w:t>
      </w:r>
      <w:r>
        <w:rPr>
          <w:rFonts w:hint="eastAsia"/>
          <w:lang w:val="zh-CN"/>
        </w:rPr>
        <w:t>十二</w:t>
      </w:r>
      <w:r>
        <w:rPr>
          <w:rFonts w:hint="eastAsia"/>
          <w:lang w:val="zh-CN"/>
        </w:rPr>
        <w:t xml:space="preserve"> </w:t>
      </w:r>
      <w:r>
        <w:rPr>
          <w:rFonts w:hint="eastAsia"/>
          <w:lang w:val="zh-CN"/>
        </w:rPr>
        <w:t>条</w:t>
      </w:r>
      <w:r>
        <w:rPr>
          <w:rFonts w:hint="eastAsia"/>
          <w:u w:val="none"/>
          <w:lang w:val="zh-CN"/>
        </w:rPr>
        <w:t xml:space="preserve"> </w:t>
      </w:r>
      <w:r>
        <w:rPr>
          <w:rStyle w:val="EndnoteReference"/>
          <w:b w:val="0"/>
          <w:bCs/>
          <w:szCs w:val="22"/>
          <w:u w:val="none"/>
          <w:lang w:val="zh-CN"/>
        </w:rPr>
        <w:endnoteReference w:id="6"/>
      </w:r>
    </w:p>
    <w:p w:rsidR="00000000" w:rsidRDefault="00844A84">
      <w:pPr>
        <w:pStyle w:val="Heading3"/>
        <w:rPr>
          <w:lang w:val="zh-CN"/>
        </w:rPr>
      </w:pPr>
      <w:r>
        <w:rPr>
          <w:u w:val="none"/>
          <w:lang w:val="zh-CN"/>
        </w:rPr>
        <w:t>A</w:t>
      </w:r>
      <w:r>
        <w:rPr>
          <w:u w:val="none"/>
        </w:rPr>
        <w:t xml:space="preserve">. </w:t>
      </w:r>
      <w:r>
        <w:rPr>
          <w:rFonts w:hint="eastAsia"/>
          <w:u w:val="none"/>
        </w:rPr>
        <w:t xml:space="preserve"> </w:t>
      </w:r>
      <w:r>
        <w:rPr>
          <w:rFonts w:hint="eastAsia"/>
          <w:lang w:val="zh-CN"/>
        </w:rPr>
        <w:t>塞尔维亚共和国保健制度</w:t>
      </w:r>
    </w:p>
    <w:p w:rsidR="00000000" w:rsidRDefault="00844A84">
      <w:pPr>
        <w:ind w:firstLine="510"/>
      </w:pPr>
      <w:r>
        <w:rPr>
          <w:lang w:val="zh-CN"/>
        </w:rPr>
        <w:t>257.</w:t>
      </w:r>
      <w:r>
        <w:rPr>
          <w:rFonts w:hint="eastAsia"/>
        </w:rPr>
        <w:t xml:space="preserve">  </w:t>
      </w:r>
      <w:r>
        <w:rPr>
          <w:rFonts w:hint="eastAsia"/>
        </w:rPr>
        <w:t>根据以人均国内总产值</w:t>
      </w:r>
      <w:r>
        <w:rPr>
          <w:rFonts w:hint="eastAsia"/>
        </w:rPr>
        <w:t>(</w:t>
      </w:r>
      <w:r>
        <w:rPr>
          <w:rFonts w:hint="eastAsia"/>
        </w:rPr>
        <w:t>人均国民收入</w:t>
      </w:r>
      <w:r>
        <w:rPr>
          <w:rFonts w:hint="eastAsia"/>
        </w:rPr>
        <w:t>)</w:t>
      </w:r>
      <w:r>
        <w:rPr>
          <w:rFonts w:hint="eastAsia"/>
        </w:rPr>
        <w:t>衡量的经济福利水平，南斯拉夫联盟共和国的保健制度可以认为属于发展中国家类型。</w:t>
      </w:r>
    </w:p>
    <w:p w:rsidR="00000000" w:rsidRDefault="00844A84">
      <w:pPr>
        <w:ind w:firstLine="510"/>
      </w:pPr>
      <w:r>
        <w:rPr>
          <w:lang w:val="zh-CN"/>
        </w:rPr>
        <w:t>258.</w:t>
      </w:r>
      <w:r>
        <w:rPr>
          <w:rFonts w:hint="eastAsia"/>
        </w:rPr>
        <w:t xml:space="preserve">  </w:t>
      </w:r>
      <w:r>
        <w:rPr>
          <w:rFonts w:hint="eastAsia"/>
        </w:rPr>
        <w:t>从管理结构上看，国家的保健制度形式上是多元管理体制；但实际上，保健制度在共和国一级高度集权化，联盟一级的职能很少。</w:t>
      </w:r>
    </w:p>
    <w:p w:rsidR="00000000" w:rsidRDefault="00844A84">
      <w:pPr>
        <w:ind w:firstLine="510"/>
        <w:rPr>
          <w:lang w:val="zh-CN"/>
        </w:rPr>
      </w:pPr>
      <w:r>
        <w:rPr>
          <w:lang w:val="zh-CN"/>
        </w:rPr>
        <w:t>259.</w:t>
      </w:r>
      <w:r>
        <w:rPr>
          <w:rFonts w:hint="eastAsia"/>
          <w:lang w:val="zh-CN"/>
        </w:rPr>
        <w:t xml:space="preserve">  </w:t>
      </w:r>
      <w:r>
        <w:rPr>
          <w:rFonts w:hint="eastAsia"/>
          <w:lang w:val="zh-CN"/>
        </w:rPr>
        <w:t>南斯拉夫联盟共和国卫生基础设施高度发达，有完善的卫生机构网络，人均医务人员数目与欧洲平均水平相当。当然，在卫生基础设施的发展水平上，还存在地区差距和城乡差距。</w:t>
      </w:r>
    </w:p>
    <w:p w:rsidR="00000000" w:rsidRDefault="00844A84">
      <w:pPr>
        <w:spacing w:after="320"/>
        <w:ind w:firstLine="510"/>
        <w:rPr>
          <w:lang w:val="zh-CN"/>
        </w:rPr>
      </w:pPr>
      <w:r>
        <w:rPr>
          <w:lang w:val="zh-CN"/>
        </w:rPr>
        <w:t>260.</w:t>
      </w:r>
      <w:r>
        <w:rPr>
          <w:rFonts w:hint="eastAsia"/>
          <w:lang w:val="zh-CN"/>
        </w:rPr>
        <w:t xml:space="preserve">  </w:t>
      </w:r>
      <w:r>
        <w:rPr>
          <w:rFonts w:hint="eastAsia"/>
          <w:lang w:val="zh-CN"/>
        </w:rPr>
        <w:t>在通过专门的《保健法》</w:t>
      </w:r>
      <w:r>
        <w:rPr>
          <w:rFonts w:hint="eastAsia"/>
          <w:lang w:val="zh-CN"/>
        </w:rPr>
        <w:t>(</w:t>
      </w:r>
      <w:r>
        <w:rPr>
          <w:rFonts w:hint="eastAsia"/>
          <w:lang w:val="zh-CN"/>
        </w:rPr>
        <w:t>《塞尔维亚共和国政府公报》第</w:t>
      </w:r>
      <w:r>
        <w:rPr>
          <w:lang w:val="zh-CN"/>
        </w:rPr>
        <w:t>17/92</w:t>
      </w:r>
      <w:r>
        <w:rPr>
          <w:rFonts w:hint="eastAsia"/>
          <w:lang w:val="zh-CN"/>
        </w:rPr>
        <w:t>号、第</w:t>
      </w:r>
      <w:r>
        <w:rPr>
          <w:lang w:val="zh-CN"/>
        </w:rPr>
        <w:t>26/92</w:t>
      </w:r>
      <w:r>
        <w:rPr>
          <w:rFonts w:hint="eastAsia"/>
          <w:lang w:val="zh-CN"/>
        </w:rPr>
        <w:t>号、第</w:t>
      </w:r>
      <w:r>
        <w:rPr>
          <w:lang w:val="zh-CN"/>
        </w:rPr>
        <w:t>50/92</w:t>
      </w:r>
      <w:r>
        <w:rPr>
          <w:rFonts w:hint="eastAsia"/>
          <w:lang w:val="zh-CN"/>
        </w:rPr>
        <w:t>号、第</w:t>
      </w:r>
      <w:r>
        <w:rPr>
          <w:lang w:val="zh-CN"/>
        </w:rPr>
        <w:t>52/92</w:t>
      </w:r>
      <w:r>
        <w:rPr>
          <w:rFonts w:hint="eastAsia"/>
          <w:lang w:val="zh-CN"/>
        </w:rPr>
        <w:t>号、第</w:t>
      </w:r>
      <w:r>
        <w:rPr>
          <w:lang w:val="zh-CN"/>
        </w:rPr>
        <w:t>25/96</w:t>
      </w:r>
      <w:r>
        <w:rPr>
          <w:rFonts w:hint="eastAsia"/>
          <w:lang w:val="zh-CN"/>
        </w:rPr>
        <w:t>号、第</w:t>
      </w:r>
      <w:r>
        <w:rPr>
          <w:lang w:val="zh-CN"/>
        </w:rPr>
        <w:t>18/2002</w:t>
      </w:r>
      <w:r>
        <w:rPr>
          <w:rFonts w:hint="eastAsia"/>
          <w:lang w:val="zh-CN"/>
        </w:rPr>
        <w:t>号</w:t>
      </w:r>
      <w:r>
        <w:rPr>
          <w:rFonts w:hint="eastAsia"/>
          <w:lang w:val="zh-CN"/>
        </w:rPr>
        <w:t>)</w:t>
      </w:r>
      <w:r>
        <w:rPr>
          <w:rFonts w:hint="eastAsia"/>
          <w:lang w:val="zh-CN"/>
        </w:rPr>
        <w:t>和《健康保险法》</w:t>
      </w:r>
      <w:r>
        <w:rPr>
          <w:rFonts w:hint="eastAsia"/>
          <w:lang w:val="zh-CN"/>
        </w:rPr>
        <w:t>(</w:t>
      </w:r>
      <w:r>
        <w:rPr>
          <w:rFonts w:hint="eastAsia"/>
          <w:lang w:val="zh-CN"/>
        </w:rPr>
        <w:t>《塞尔维亚共和国政府公报》第</w:t>
      </w:r>
      <w:r>
        <w:rPr>
          <w:lang w:val="zh-CN"/>
        </w:rPr>
        <w:t>18</w:t>
      </w:r>
      <w:r>
        <w:rPr>
          <w:lang w:val="zh-CN"/>
        </w:rPr>
        <w:t>/92</w:t>
      </w:r>
      <w:r>
        <w:rPr>
          <w:rFonts w:hint="eastAsia"/>
          <w:lang w:val="zh-CN"/>
        </w:rPr>
        <w:t>号、第</w:t>
      </w:r>
      <w:r>
        <w:rPr>
          <w:lang w:val="zh-CN"/>
        </w:rPr>
        <w:t>26/93</w:t>
      </w:r>
      <w:r>
        <w:rPr>
          <w:rFonts w:hint="eastAsia"/>
          <w:lang w:val="zh-CN"/>
        </w:rPr>
        <w:t>号、第</w:t>
      </w:r>
      <w:r>
        <w:rPr>
          <w:lang w:val="zh-CN"/>
        </w:rPr>
        <w:t>23/96</w:t>
      </w:r>
      <w:r>
        <w:rPr>
          <w:rFonts w:hint="eastAsia"/>
          <w:lang w:val="zh-CN"/>
        </w:rPr>
        <w:t>号、第</w:t>
      </w:r>
      <w:r>
        <w:rPr>
          <w:lang w:val="zh-CN"/>
        </w:rPr>
        <w:t>46/98</w:t>
      </w:r>
      <w:r>
        <w:rPr>
          <w:rFonts w:hint="eastAsia"/>
          <w:lang w:val="zh-CN"/>
        </w:rPr>
        <w:t>号、第</w:t>
      </w:r>
      <w:r>
        <w:rPr>
          <w:lang w:val="zh-CN"/>
        </w:rPr>
        <w:t>54/99</w:t>
      </w:r>
      <w:r>
        <w:rPr>
          <w:rFonts w:hint="eastAsia"/>
          <w:lang w:val="zh-CN"/>
        </w:rPr>
        <w:t>号、第</w:t>
      </w:r>
      <w:r>
        <w:rPr>
          <w:lang w:val="zh-CN"/>
        </w:rPr>
        <w:t>29/2001</w:t>
      </w:r>
      <w:r>
        <w:rPr>
          <w:rFonts w:hint="eastAsia"/>
          <w:lang w:val="zh-CN"/>
        </w:rPr>
        <w:t>号和第</w:t>
      </w:r>
      <w:r>
        <w:rPr>
          <w:lang w:val="zh-CN"/>
        </w:rPr>
        <w:t>18/2002</w:t>
      </w:r>
      <w:r>
        <w:rPr>
          <w:rFonts w:hint="eastAsia"/>
          <w:lang w:val="zh-CN"/>
        </w:rPr>
        <w:t>号</w:t>
      </w:r>
      <w:r>
        <w:rPr>
          <w:rFonts w:hint="eastAsia"/>
          <w:lang w:val="zh-CN"/>
        </w:rPr>
        <w:t>)</w:t>
      </w:r>
      <w:r>
        <w:rPr>
          <w:rFonts w:hint="eastAsia"/>
          <w:lang w:val="zh-CN"/>
        </w:rPr>
        <w:t>之后，塞尔维亚共和国的保健制度在形式上属于所谓的俾斯麦模式，即以强制性健康保险为基础的模式。但实际上塞尔维亚的保健制度并没有按照现代健康保险的原则进行运作。共和国健康保险局的首要职责是征收人民保健所需税款，向公共卫生机构提供资金。</w:t>
      </w:r>
    </w:p>
    <w:p w:rsidR="00000000" w:rsidRDefault="00844A84">
      <w:pPr>
        <w:pStyle w:val="Heading3"/>
      </w:pPr>
      <w:r>
        <w:rPr>
          <w:u w:val="none"/>
        </w:rPr>
        <w:t xml:space="preserve">B. </w:t>
      </w:r>
      <w:r>
        <w:rPr>
          <w:rFonts w:hint="eastAsia"/>
          <w:u w:val="none"/>
        </w:rPr>
        <w:t xml:space="preserve"> </w:t>
      </w:r>
      <w:r>
        <w:rPr>
          <w:rFonts w:hint="eastAsia"/>
        </w:rPr>
        <w:t>保健支出在总国民收入中的份额</w:t>
      </w:r>
    </w:p>
    <w:p w:rsidR="00000000" w:rsidRDefault="00844A84">
      <w:pPr>
        <w:ind w:firstLine="510"/>
      </w:pPr>
      <w:r>
        <w:rPr>
          <w:lang w:val="zh-CN"/>
        </w:rPr>
        <w:t>261.</w:t>
      </w:r>
      <w:r>
        <w:rPr>
          <w:rFonts w:hint="eastAsia"/>
        </w:rPr>
        <w:t xml:space="preserve">  </w:t>
      </w:r>
      <w:r>
        <w:rPr>
          <w:rFonts w:hint="eastAsia"/>
        </w:rPr>
        <w:t>卫生领域以公有制为主体。虽然卫生机构是独立的经济实体，但卫生部门的组织、运营、资金、发展及董事的任免决定均集中在共和</w:t>
      </w:r>
      <w:r>
        <w:rPr>
          <w:rFonts w:hint="eastAsia"/>
        </w:rPr>
        <w:t>国政府一级。地方社区的作用以及卫生机构工作人员的决策权和独立性被降至最低水平，甚至不存在。</w:t>
      </w:r>
    </w:p>
    <w:p w:rsidR="00000000" w:rsidRDefault="00844A84">
      <w:pPr>
        <w:autoSpaceDN w:val="0"/>
        <w:ind w:firstLine="510"/>
      </w:pPr>
      <w:r>
        <w:rPr>
          <w:lang w:val="zh-CN"/>
        </w:rPr>
        <w:t>262.</w:t>
      </w:r>
      <w:r>
        <w:rPr>
          <w:rFonts w:hint="eastAsia"/>
        </w:rPr>
        <w:t xml:space="preserve">  </w:t>
      </w:r>
      <w:r>
        <w:rPr>
          <w:rFonts w:hint="eastAsia"/>
        </w:rPr>
        <w:t>与其他公共服务消费领域一样，卫生部门也要消费一部分公共产品。卫生保健支出作为国家卫生政策最重要的指标之一，在国民收入中所占比例很高，从</w:t>
      </w:r>
      <w:r>
        <w:t>1990</w:t>
      </w:r>
      <w:r>
        <w:rPr>
          <w:rFonts w:hint="eastAsia"/>
        </w:rPr>
        <w:t>年的</w:t>
      </w:r>
      <w:r>
        <w:t>7.4%</w:t>
      </w:r>
      <w:r>
        <w:rPr>
          <w:rFonts w:hint="eastAsia"/>
        </w:rPr>
        <w:t>到</w:t>
      </w:r>
      <w:r>
        <w:t>1997</w:t>
      </w:r>
      <w:r>
        <w:rPr>
          <w:rFonts w:hint="eastAsia"/>
        </w:rPr>
        <w:t>年的</w:t>
      </w:r>
      <w:r>
        <w:t>11.9%</w:t>
      </w:r>
      <w:r>
        <w:rPr>
          <w:rFonts w:hint="eastAsia"/>
        </w:rPr>
        <w:t>，而据估计在恶性通货膨胀发生的年份比例最低。</w:t>
      </w:r>
      <w:r>
        <w:rPr>
          <w:rStyle w:val="EndnoteReference"/>
          <w:szCs w:val="22"/>
        </w:rPr>
        <w:endnoteReference w:id="7"/>
      </w:r>
    </w:p>
    <w:p w:rsidR="00000000" w:rsidRDefault="00844A84">
      <w:pPr>
        <w:ind w:firstLine="510"/>
      </w:pPr>
      <w:r>
        <w:rPr>
          <w:lang w:val="zh-CN"/>
        </w:rPr>
        <w:t>263.</w:t>
      </w:r>
      <w:r>
        <w:rPr>
          <w:rFonts w:hint="eastAsia"/>
        </w:rPr>
        <w:t xml:space="preserve">  </w:t>
      </w:r>
      <w:r>
        <w:rPr>
          <w:rFonts w:hint="eastAsia"/>
        </w:rPr>
        <w:t>在这七年中，公共卫生支出明显增加，上升了将近</w:t>
      </w:r>
      <w:r>
        <w:t>53</w:t>
      </w:r>
      <w:r>
        <w:rPr>
          <w:rFonts w:hint="eastAsia"/>
        </w:rPr>
        <w:t>个指数点，反映了政府维持现有保健制度的倾向，以至于不惜从国家本已拮据的财政收入中大量拨款。</w:t>
      </w:r>
    </w:p>
    <w:p w:rsidR="00000000" w:rsidRDefault="00844A84">
      <w:pPr>
        <w:ind w:firstLine="510"/>
      </w:pPr>
      <w:r>
        <w:rPr>
          <w:lang w:val="zh-CN"/>
        </w:rPr>
        <w:t>264.</w:t>
      </w:r>
      <w:r>
        <w:rPr>
          <w:rFonts w:hint="eastAsia"/>
        </w:rPr>
        <w:t xml:space="preserve">  </w:t>
      </w:r>
      <w:r>
        <w:rPr>
          <w:rFonts w:hint="eastAsia"/>
        </w:rPr>
        <w:t>应当注意，南斯拉夫</w:t>
      </w:r>
      <w:r>
        <w:rPr>
          <w:rFonts w:hint="eastAsia"/>
        </w:rPr>
        <w:t>联盟共和国和塞尔维亚官方统计中反映的卫生保健支出数据仅仅是公共卫生部门的支出，包括健康保险和卫生机构支出。这些支出不包括受益人在私营卫生部门获得医疗服务</w:t>
      </w:r>
      <w:r>
        <w:rPr>
          <w:rFonts w:hint="eastAsia"/>
        </w:rPr>
        <w:t>(</w:t>
      </w:r>
      <w:r>
        <w:rPr>
          <w:rFonts w:hint="eastAsia"/>
        </w:rPr>
        <w:t>主要是牙齿保健和从私人药店购买药品</w:t>
      </w:r>
      <w:r>
        <w:rPr>
          <w:rFonts w:hint="eastAsia"/>
        </w:rPr>
        <w:t>)</w:t>
      </w:r>
      <w:r>
        <w:rPr>
          <w:rFonts w:hint="eastAsia"/>
        </w:rPr>
        <w:t>时所支付的全额费用，也不包括在公共卫生部门取得服务时支付健康保险不负担的全额费用。这些支出还不包括军事医疗服务支出</w:t>
      </w:r>
      <w:r>
        <w:rPr>
          <w:rFonts w:hint="eastAsia"/>
        </w:rPr>
        <w:t>(</w:t>
      </w:r>
      <w:r>
        <w:rPr>
          <w:rFonts w:hint="eastAsia"/>
        </w:rPr>
        <w:t>这些支出来自军事预算</w:t>
      </w:r>
      <w:r>
        <w:rPr>
          <w:rFonts w:hint="eastAsia"/>
        </w:rPr>
        <w:t>)</w:t>
      </w:r>
      <w:r>
        <w:rPr>
          <w:rFonts w:hint="eastAsia"/>
        </w:rPr>
        <w:t>；给卫生部门的人道主义援助和捐赠；在医院治疗时受益人自费购买必要的医疗用品或其他自费支出</w:t>
      </w:r>
      <w:r>
        <w:rPr>
          <w:rFonts w:hint="eastAsia"/>
        </w:rPr>
        <w:t>(</w:t>
      </w:r>
      <w:r>
        <w:rPr>
          <w:rFonts w:hint="eastAsia"/>
        </w:rPr>
        <w:t>这些做法最近几年很普遍</w:t>
      </w:r>
      <w:r>
        <w:rPr>
          <w:rFonts w:hint="eastAsia"/>
        </w:rPr>
        <w:t>)</w:t>
      </w:r>
      <w:r>
        <w:rPr>
          <w:rFonts w:hint="eastAsia"/>
        </w:rPr>
        <w:t>。根据经济学家估计，在</w:t>
      </w:r>
      <w:r>
        <w:t>1990</w:t>
      </w:r>
      <w:r>
        <w:rPr>
          <w:rFonts w:hint="eastAsia"/>
        </w:rPr>
        <w:t>年代早期，这些支出达到国民收入的</w:t>
      </w:r>
      <w:r>
        <w:t>2%</w:t>
      </w:r>
      <w:r>
        <w:rPr>
          <w:rFonts w:hint="eastAsia"/>
        </w:rPr>
        <w:t>。最</w:t>
      </w:r>
      <w:r>
        <w:rPr>
          <w:rFonts w:hint="eastAsia"/>
        </w:rPr>
        <w:t>近几年，随着卫生部门状况的恶化，这些支出又增加了</w:t>
      </w:r>
      <w:r>
        <w:t>4.5%</w:t>
      </w:r>
      <w:r>
        <w:rPr>
          <w:rFonts w:hint="eastAsia"/>
        </w:rPr>
        <w:t>。某些年份的卫生支出还不包括已交付使用但没有付款的药品。</w:t>
      </w:r>
      <w:r>
        <w:t>1996</w:t>
      </w:r>
      <w:r>
        <w:rPr>
          <w:rFonts w:hint="eastAsia"/>
        </w:rPr>
        <w:t>年，未付款药品价值达到</w:t>
      </w:r>
      <w:r>
        <w:t>70</w:t>
      </w:r>
      <w:r>
        <w:rPr>
          <w:rFonts w:hint="eastAsia"/>
        </w:rPr>
        <w:t>亿第纳尔，占国民收入的大约</w:t>
      </w:r>
      <w:r>
        <w:t>1%</w:t>
      </w:r>
      <w:r>
        <w:rPr>
          <w:rFonts w:hint="eastAsia"/>
        </w:rPr>
        <w:t>。这同时也是引起</w:t>
      </w:r>
      <w:r>
        <w:t>1996</w:t>
      </w:r>
      <w:r>
        <w:rPr>
          <w:rFonts w:hint="eastAsia"/>
        </w:rPr>
        <w:t>年底药品和医疗物资短缺的主要原因之一，导致</w:t>
      </w:r>
      <w:r>
        <w:t>1997</w:t>
      </w:r>
      <w:r>
        <w:rPr>
          <w:rFonts w:hint="eastAsia"/>
        </w:rPr>
        <w:t>年塞尔维亚卫生部门的状况严重恶化。</w:t>
      </w:r>
    </w:p>
    <w:p w:rsidR="00000000" w:rsidRDefault="00844A84">
      <w:pPr>
        <w:ind w:firstLine="510"/>
      </w:pPr>
      <w:r>
        <w:rPr>
          <w:lang w:val="zh-CN"/>
        </w:rPr>
        <w:t>265.</w:t>
      </w:r>
      <w:r>
        <w:rPr>
          <w:rFonts w:hint="eastAsia"/>
        </w:rPr>
        <w:t xml:space="preserve">  </w:t>
      </w:r>
      <w:r>
        <w:rPr>
          <w:rFonts w:hint="eastAsia"/>
          <w:lang w:val="zh-CN"/>
        </w:rPr>
        <w:t>由于</w:t>
      </w:r>
      <w:r>
        <w:rPr>
          <w:lang w:val="zh-CN"/>
        </w:rPr>
        <w:t>1993</w:t>
      </w:r>
      <w:r>
        <w:rPr>
          <w:rFonts w:hint="eastAsia"/>
          <w:lang w:val="zh-CN"/>
        </w:rPr>
        <w:t>年恶性通货膨胀率达到几百万倍，所以很难在较长时间内按人均第纳尔监测保健支出的变化情况。自</w:t>
      </w:r>
      <w:r>
        <w:rPr>
          <w:lang w:val="zh-CN"/>
        </w:rPr>
        <w:t>1994</w:t>
      </w:r>
      <w:r>
        <w:rPr>
          <w:rFonts w:hint="eastAsia"/>
          <w:lang w:val="zh-CN"/>
        </w:rPr>
        <w:t>年以来，采取了货币稳定方案。按当前价格计算，人均保健支出从</w:t>
      </w:r>
      <w:r>
        <w:rPr>
          <w:lang w:val="zh-CN"/>
        </w:rPr>
        <w:t>1994</w:t>
      </w:r>
      <w:r>
        <w:rPr>
          <w:rFonts w:hint="eastAsia"/>
          <w:lang w:val="zh-CN"/>
        </w:rPr>
        <w:t>年的</w:t>
      </w:r>
      <w:r>
        <w:rPr>
          <w:lang w:val="zh-CN"/>
        </w:rPr>
        <w:t>156</w:t>
      </w:r>
      <w:r>
        <w:rPr>
          <w:rFonts w:hint="eastAsia"/>
          <w:lang w:val="zh-CN"/>
        </w:rPr>
        <w:t>第纳尔增加到</w:t>
      </w:r>
      <w:r>
        <w:rPr>
          <w:lang w:val="zh-CN"/>
        </w:rPr>
        <w:t>1997</w:t>
      </w:r>
      <w:r>
        <w:rPr>
          <w:rFonts w:hint="eastAsia"/>
          <w:lang w:val="zh-CN"/>
        </w:rPr>
        <w:t>年的</w:t>
      </w:r>
      <w:r>
        <w:rPr>
          <w:lang w:val="zh-CN"/>
        </w:rPr>
        <w:t>836</w:t>
      </w:r>
      <w:r>
        <w:rPr>
          <w:rFonts w:hint="eastAsia"/>
          <w:lang w:val="zh-CN"/>
        </w:rPr>
        <w:t>第纳尔。根据市场</w:t>
      </w:r>
      <w:r>
        <w:rPr>
          <w:rFonts w:hint="eastAsia"/>
          <w:lang w:val="zh-CN"/>
        </w:rPr>
        <w:t>(</w:t>
      </w:r>
      <w:r>
        <w:rPr>
          <w:rFonts w:hint="eastAsia"/>
          <w:lang w:val="zh-CN"/>
        </w:rPr>
        <w:t>黑市</w:t>
      </w:r>
      <w:r>
        <w:rPr>
          <w:rFonts w:hint="eastAsia"/>
          <w:lang w:val="zh-CN"/>
        </w:rPr>
        <w:t>)</w:t>
      </w:r>
      <w:r>
        <w:rPr>
          <w:rFonts w:hint="eastAsia"/>
          <w:lang w:val="zh-CN"/>
        </w:rPr>
        <w:t>汇率，</w:t>
      </w:r>
      <w:r>
        <w:rPr>
          <w:lang w:val="zh-CN"/>
        </w:rPr>
        <w:t>1997</w:t>
      </w:r>
      <w:r>
        <w:rPr>
          <w:rFonts w:hint="eastAsia"/>
          <w:lang w:val="zh-CN"/>
        </w:rPr>
        <w:t>年的支出达到</w:t>
      </w:r>
      <w:r>
        <w:rPr>
          <w:lang w:val="zh-CN"/>
        </w:rPr>
        <w:t>167</w:t>
      </w:r>
      <w:r>
        <w:rPr>
          <w:rFonts w:hint="eastAsia"/>
        </w:rPr>
        <w:t>德国马克</w:t>
      </w:r>
      <w:r>
        <w:rPr>
          <w:rFonts w:hint="eastAsia"/>
        </w:rPr>
        <w:t>(</w:t>
      </w:r>
      <w:r>
        <w:rPr>
          <w:rFonts w:hint="eastAsia"/>
        </w:rPr>
        <w:t>按官方汇率是</w:t>
      </w:r>
      <w:r>
        <w:t>253</w:t>
      </w:r>
      <w:r>
        <w:rPr>
          <w:rFonts w:hint="eastAsia"/>
        </w:rPr>
        <w:t>德国马克</w:t>
      </w:r>
      <w:r>
        <w:rPr>
          <w:rFonts w:hint="eastAsia"/>
        </w:rPr>
        <w:t>)</w:t>
      </w:r>
      <w:r>
        <w:rPr>
          <w:rFonts w:hint="eastAsia"/>
        </w:rPr>
        <w:t>，上升了</w:t>
      </w:r>
      <w:r>
        <w:t>60%</w:t>
      </w:r>
      <w:r>
        <w:rPr>
          <w:rFonts w:hint="eastAsia"/>
        </w:rPr>
        <w:t>。</w:t>
      </w:r>
      <w:r>
        <w:rPr>
          <w:rStyle w:val="EndnoteReference"/>
          <w:szCs w:val="22"/>
        </w:rPr>
        <w:endnoteReference w:id="8"/>
      </w:r>
    </w:p>
    <w:p w:rsidR="00000000" w:rsidRDefault="00844A84">
      <w:pPr>
        <w:spacing w:after="320"/>
        <w:ind w:firstLine="510"/>
      </w:pPr>
      <w:r>
        <w:rPr>
          <w:lang w:val="zh-CN"/>
        </w:rPr>
        <w:t>266.</w:t>
      </w:r>
      <w:r>
        <w:rPr>
          <w:rFonts w:hint="eastAsia"/>
        </w:rPr>
        <w:t xml:space="preserve">  </w:t>
      </w:r>
      <w:r>
        <w:rPr>
          <w:rFonts w:hint="eastAsia"/>
        </w:rPr>
        <w:t>在过去十年中，南斯拉夫联盟共和国在卫生保健部门推行的政策旨在保留所有医疗保健能力和法定利益，希望将来状况好转，卫生部门的资源可以恢复到</w:t>
      </w:r>
      <w:r>
        <w:t>1989/90</w:t>
      </w:r>
      <w:r>
        <w:rPr>
          <w:rFonts w:hint="eastAsia"/>
        </w:rPr>
        <w:t>年的水平。鉴于在此期间所有公共服务的社会经济条件都急剧恶化，卫生保健部门自然也要适应新形势，所以出现卫生服务质量下降、医疗用品和药品短缺、行贿受贿、病人转诊、私人卫生部门挪用国有医院医疗设备的情况。鉴于这一状况，对卫生部门进行实实在在的改</w:t>
      </w:r>
      <w:r>
        <w:rPr>
          <w:rFonts w:hint="eastAsia"/>
        </w:rPr>
        <w:t>革显得尤为重要，因为以前对改革的口头支持并没有真正改变保健系统的资金筹措状况和运作方式。</w:t>
      </w:r>
      <w:r>
        <w:rPr>
          <w:rStyle w:val="EndnoteReference"/>
          <w:szCs w:val="22"/>
        </w:rPr>
        <w:endnoteReference w:id="9"/>
      </w:r>
    </w:p>
    <w:p w:rsidR="00000000" w:rsidRDefault="00844A84">
      <w:pPr>
        <w:pStyle w:val="Heading3"/>
        <w:rPr>
          <w:lang w:val="zh-CN"/>
        </w:rPr>
      </w:pPr>
      <w:r>
        <w:rPr>
          <w:u w:val="none"/>
          <w:lang w:val="zh-CN"/>
        </w:rPr>
        <w:t>C.</w:t>
      </w:r>
      <w:r>
        <w:rPr>
          <w:rFonts w:hint="eastAsia"/>
          <w:u w:val="none"/>
          <w:lang w:val="zh-CN"/>
        </w:rPr>
        <w:t xml:space="preserve">  </w:t>
      </w:r>
      <w:r>
        <w:rPr>
          <w:rFonts w:hint="eastAsia"/>
          <w:lang w:val="zh-CN"/>
        </w:rPr>
        <w:t>改善卫生状况的措施和程序</w:t>
      </w:r>
    </w:p>
    <w:p w:rsidR="00000000" w:rsidRDefault="00844A84">
      <w:pPr>
        <w:ind w:firstLine="510"/>
        <w:rPr>
          <w:lang w:val="zh-CN"/>
        </w:rPr>
      </w:pPr>
      <w:r>
        <w:rPr>
          <w:lang w:val="zh-CN"/>
        </w:rPr>
        <w:t>267.</w:t>
      </w:r>
      <w:r>
        <w:rPr>
          <w:rFonts w:hint="eastAsia"/>
          <w:lang w:val="zh-CN"/>
        </w:rPr>
        <w:t xml:space="preserve">  </w:t>
      </w:r>
      <w:r>
        <w:rPr>
          <w:rFonts w:hint="eastAsia"/>
          <w:lang w:val="zh-CN"/>
        </w:rPr>
        <w:t>为改善卫生状况，预防、控制和及早诊断疾病和其他健康问题而采取的医疗措施和程序包括健康教育、按适当方案和免疫接种日历进行免疫接种、预防性检查等。执行中特别强调适用对象</w:t>
      </w:r>
      <w:r>
        <w:rPr>
          <w:rFonts w:hint="eastAsia"/>
          <w:lang w:val="zh-CN"/>
        </w:rPr>
        <w:t>(</w:t>
      </w:r>
      <w:r>
        <w:rPr>
          <w:rFonts w:hint="eastAsia"/>
          <w:lang w:val="zh-CN"/>
        </w:rPr>
        <w:t>儿童、学生、育龄妇女</w:t>
      </w:r>
      <w:r>
        <w:rPr>
          <w:rFonts w:hint="eastAsia"/>
          <w:lang w:val="zh-CN"/>
        </w:rPr>
        <w:t>)</w:t>
      </w:r>
      <w:r>
        <w:rPr>
          <w:rFonts w:hint="eastAsia"/>
          <w:lang w:val="zh-CN"/>
        </w:rPr>
        <w:t>以及涉及什么健康问题</w:t>
      </w:r>
      <w:r>
        <w:rPr>
          <w:rFonts w:hint="eastAsia"/>
          <w:lang w:val="zh-CN"/>
        </w:rPr>
        <w:t>(</w:t>
      </w:r>
      <w:r>
        <w:rPr>
          <w:rFonts w:hint="eastAsia"/>
          <w:lang w:val="zh-CN"/>
        </w:rPr>
        <w:t>主要是具有重大社会医疗意义的疾病，如恶性疾病、糖尿病、心血管疾病、龋病、牙床疾病等</w:t>
      </w:r>
      <w:r>
        <w:rPr>
          <w:rFonts w:hint="eastAsia"/>
          <w:lang w:val="zh-CN"/>
        </w:rPr>
        <w:t>)</w:t>
      </w:r>
      <w:r>
        <w:rPr>
          <w:rFonts w:hint="eastAsia"/>
          <w:lang w:val="zh-CN"/>
        </w:rPr>
        <w:t>。</w:t>
      </w:r>
    </w:p>
    <w:p w:rsidR="00000000" w:rsidRDefault="00844A84">
      <w:pPr>
        <w:ind w:firstLine="510"/>
        <w:rPr>
          <w:lang w:val="zh-CN"/>
        </w:rPr>
      </w:pPr>
      <w:r>
        <w:rPr>
          <w:lang w:val="zh-CN"/>
        </w:rPr>
        <w:t>268.</w:t>
      </w:r>
      <w:r>
        <w:rPr>
          <w:rFonts w:hint="eastAsia"/>
          <w:lang w:val="zh-CN"/>
        </w:rPr>
        <w:t xml:space="preserve">  </w:t>
      </w:r>
      <w:r>
        <w:rPr>
          <w:rFonts w:hint="eastAsia"/>
          <w:lang w:val="zh-CN"/>
        </w:rPr>
        <w:t>对预防性措施的范围进行了精确的界定。比如，婴儿在一周岁前必须进行</w:t>
      </w:r>
      <w:r>
        <w:rPr>
          <w:rFonts w:hint="eastAsia"/>
          <w:lang w:val="zh-CN"/>
        </w:rPr>
        <w:t>四次系统检查</w:t>
      </w:r>
      <w:r>
        <w:rPr>
          <w:rFonts w:hint="eastAsia"/>
          <w:lang w:val="zh-CN"/>
        </w:rPr>
        <w:t>(</w:t>
      </w:r>
      <w:r>
        <w:rPr>
          <w:rFonts w:hint="eastAsia"/>
          <w:lang w:val="zh-CN"/>
        </w:rPr>
        <w:t>分别在第三个月、第六个月、第九个月和第十二个月进行</w:t>
      </w:r>
      <w:r>
        <w:rPr>
          <w:rFonts w:hint="eastAsia"/>
          <w:lang w:val="zh-CN"/>
        </w:rPr>
        <w:t>)</w:t>
      </w:r>
      <w:r>
        <w:rPr>
          <w:rFonts w:hint="eastAsia"/>
          <w:lang w:val="zh-CN"/>
        </w:rPr>
        <w:t>和三次控制性检查，包括免疫接种前检查。系统检查为标准化检查。从两岁到六岁，每年进行一次预防性检查</w:t>
      </w:r>
      <w:r>
        <w:rPr>
          <w:rFonts w:hint="eastAsia"/>
          <w:lang w:val="zh-CN"/>
        </w:rPr>
        <w:t>(</w:t>
      </w:r>
      <w:r>
        <w:rPr>
          <w:rFonts w:hint="eastAsia"/>
          <w:lang w:val="zh-CN"/>
        </w:rPr>
        <w:t>系统性或常规检查</w:t>
      </w:r>
      <w:r>
        <w:rPr>
          <w:rFonts w:hint="eastAsia"/>
          <w:lang w:val="zh-CN"/>
        </w:rPr>
        <w:t>)</w:t>
      </w:r>
      <w:r>
        <w:rPr>
          <w:rFonts w:hint="eastAsia"/>
          <w:lang w:val="zh-CN"/>
        </w:rPr>
        <w:t>。对中小学生也计划按同样的时间表进行</w:t>
      </w:r>
      <w:r>
        <w:rPr>
          <w:rFonts w:hint="eastAsia"/>
          <w:bCs/>
          <w:lang w:val="zh-CN"/>
        </w:rPr>
        <w:t>保健状况</w:t>
      </w:r>
      <w:r>
        <w:rPr>
          <w:rFonts w:hint="eastAsia"/>
          <w:lang w:val="zh-CN"/>
        </w:rPr>
        <w:t>监测。对大学生的系统检查，在第一和第三学年进行。除了进行以上活动之外，还进行健康教育活动、护理家访、并强制性采取适当的医疗和其他措施。</w:t>
      </w:r>
    </w:p>
    <w:p w:rsidR="00000000" w:rsidRDefault="00844A84">
      <w:pPr>
        <w:ind w:firstLine="510"/>
        <w:rPr>
          <w:lang w:val="zh-CN"/>
        </w:rPr>
      </w:pPr>
      <w:r>
        <w:rPr>
          <w:lang w:val="zh-CN"/>
        </w:rPr>
        <w:t>269.</w:t>
      </w:r>
      <w:r>
        <w:rPr>
          <w:rFonts w:hint="eastAsia"/>
          <w:lang w:val="zh-CN"/>
        </w:rPr>
        <w:t xml:space="preserve">  </w:t>
      </w:r>
      <w:r>
        <w:rPr>
          <w:lang w:val="zh-CN"/>
        </w:rPr>
        <w:t>25</w:t>
      </w:r>
      <w:r>
        <w:rPr>
          <w:rFonts w:hint="eastAsia"/>
          <w:lang w:val="zh-CN"/>
        </w:rPr>
        <w:t>岁以上妇女恶性疾病检查，</w:t>
      </w:r>
      <w:r>
        <w:rPr>
          <w:lang w:val="zh-CN"/>
        </w:rPr>
        <w:t>20</w:t>
      </w:r>
      <w:r>
        <w:rPr>
          <w:rFonts w:hint="eastAsia"/>
          <w:lang w:val="zh-CN"/>
        </w:rPr>
        <w:t>岁以上、</w:t>
      </w:r>
      <w:r>
        <w:rPr>
          <w:lang w:val="zh-CN"/>
        </w:rPr>
        <w:t>35</w:t>
      </w:r>
      <w:r>
        <w:rPr>
          <w:rFonts w:hint="eastAsia"/>
          <w:lang w:val="zh-CN"/>
        </w:rPr>
        <w:t>岁以上或其他年龄段成年人慢性非传染病检查等预防性保健的范围，与上述规定类似。</w:t>
      </w:r>
    </w:p>
    <w:p w:rsidR="00000000" w:rsidRDefault="00844A84">
      <w:pPr>
        <w:ind w:firstLine="510"/>
        <w:rPr>
          <w:lang w:val="zh-CN"/>
        </w:rPr>
      </w:pPr>
      <w:r>
        <w:rPr>
          <w:lang w:val="zh-CN"/>
        </w:rPr>
        <w:t>270.</w:t>
      </w:r>
      <w:r>
        <w:rPr>
          <w:rFonts w:hint="eastAsia"/>
          <w:lang w:val="zh-CN"/>
        </w:rPr>
        <w:t xml:space="preserve">  </w:t>
      </w:r>
      <w:r>
        <w:rPr>
          <w:rFonts w:hint="eastAsia"/>
          <w:lang w:val="zh-CN"/>
        </w:rPr>
        <w:t>通过</w:t>
      </w:r>
      <w:r>
        <w:rPr>
          <w:rFonts w:hint="eastAsia"/>
          <w:lang w:val="zh-CN"/>
        </w:rPr>
        <w:t>以下方式为伤病者提供治疗：</w:t>
      </w:r>
    </w:p>
    <w:p w:rsidR="00000000" w:rsidRDefault="00844A84">
      <w:pPr>
        <w:pStyle w:val="a0"/>
        <w:ind w:left="1550"/>
        <w:rPr>
          <w:lang w:val="zh-CN"/>
        </w:rPr>
      </w:pPr>
      <w:r>
        <w:rPr>
          <w:rFonts w:hint="eastAsia"/>
          <w:lang w:val="zh-CN"/>
        </w:rPr>
        <w:t>在各级医疗机构中提供紧急医疗援助和急症护理；</w:t>
      </w:r>
    </w:p>
    <w:p w:rsidR="00000000" w:rsidRDefault="00844A84">
      <w:pPr>
        <w:pStyle w:val="a0"/>
        <w:ind w:left="1550"/>
        <w:rPr>
          <w:lang w:val="zh-CN"/>
        </w:rPr>
      </w:pPr>
      <w:r>
        <w:rPr>
          <w:rFonts w:hint="eastAsia"/>
          <w:lang w:val="zh-CN"/>
        </w:rPr>
        <w:t>在医务室和家庭提供提供初级检查、诊断和治疗，以及根据特定医生建议，医疗委员会决定或医生会诊结果，转到更高一级进行检查、诊断和治疗。</w:t>
      </w:r>
    </w:p>
    <w:p w:rsidR="00000000" w:rsidRDefault="00844A84">
      <w:pPr>
        <w:ind w:firstLine="510"/>
        <w:rPr>
          <w:lang w:val="zh-CN"/>
        </w:rPr>
      </w:pPr>
      <w:r>
        <w:rPr>
          <w:lang w:val="zh-CN"/>
        </w:rPr>
        <w:t>271.</w:t>
      </w:r>
      <w:r>
        <w:rPr>
          <w:rFonts w:hint="eastAsia"/>
          <w:lang w:val="zh-CN"/>
        </w:rPr>
        <w:t xml:space="preserve">  </w:t>
      </w:r>
      <w:r>
        <w:rPr>
          <w:rFonts w:hint="eastAsia"/>
          <w:lang w:val="zh-CN"/>
        </w:rPr>
        <w:t>以上措施的范围不受限制。牙齿保健的主要内容为：青少年和孕妇口腔和牙齿疾病防治，牙科急诊病人护理，龋病治疗和其他治疗。关于安装假牙的报销问题，有专门条例加以规定。预防性牙齿保健措施的内容和范围由塞尔维亚政府特别方案加以规定。</w:t>
      </w:r>
    </w:p>
    <w:p w:rsidR="00000000" w:rsidRDefault="00844A84">
      <w:pPr>
        <w:ind w:firstLine="510"/>
        <w:rPr>
          <w:lang w:val="zh-CN"/>
        </w:rPr>
      </w:pPr>
      <w:r>
        <w:rPr>
          <w:lang w:val="zh-CN"/>
        </w:rPr>
        <w:t>272.</w:t>
      </w:r>
      <w:r>
        <w:rPr>
          <w:rFonts w:hint="eastAsia"/>
          <w:lang w:val="zh-CN"/>
        </w:rPr>
        <w:t xml:space="preserve">  </w:t>
      </w:r>
      <w:r>
        <w:rPr>
          <w:rFonts w:hint="eastAsia"/>
          <w:lang w:val="zh-CN"/>
        </w:rPr>
        <w:t>共和国卫生保险局还规定，病人在门诊获得医疗康复的权利不受限</w:t>
      </w:r>
      <w:r>
        <w:rPr>
          <w:rFonts w:hint="eastAsia"/>
          <w:lang w:val="zh-CN"/>
        </w:rPr>
        <w:t>制，并有权在专门医疗机构住院治疗</w:t>
      </w:r>
      <w:r>
        <w:rPr>
          <w:lang w:val="zh-CN"/>
        </w:rPr>
        <w:t>30</w:t>
      </w:r>
      <w:r>
        <w:rPr>
          <w:rFonts w:hint="eastAsia"/>
          <w:lang w:val="zh-CN"/>
        </w:rPr>
        <w:t>天</w:t>
      </w:r>
      <w:r>
        <w:rPr>
          <w:rFonts w:hint="eastAsia"/>
          <w:lang w:val="zh-CN"/>
        </w:rPr>
        <w:t>(</w:t>
      </w:r>
      <w:r>
        <w:rPr>
          <w:rFonts w:hint="eastAsia"/>
          <w:lang w:val="zh-CN"/>
        </w:rPr>
        <w:t>最多</w:t>
      </w:r>
      <w:r>
        <w:rPr>
          <w:lang w:val="zh-CN"/>
        </w:rPr>
        <w:t>90</w:t>
      </w:r>
      <w:r>
        <w:rPr>
          <w:rFonts w:hint="eastAsia"/>
          <w:lang w:val="zh-CN"/>
        </w:rPr>
        <w:t>天</w:t>
      </w:r>
      <w:r>
        <w:rPr>
          <w:rFonts w:hint="eastAsia"/>
          <w:lang w:val="zh-CN"/>
        </w:rPr>
        <w:t>)</w:t>
      </w:r>
      <w:r>
        <w:rPr>
          <w:rFonts w:hint="eastAsia"/>
          <w:lang w:val="zh-CN"/>
        </w:rPr>
        <w:t>。以上规定中某些疾病需长期住院治疗，包括在治疗内分泌系统疾病、呼吸系统疾病和血源性疾病时需要利用自然因素。</w:t>
      </w:r>
    </w:p>
    <w:p w:rsidR="00000000" w:rsidRDefault="00844A84">
      <w:pPr>
        <w:ind w:firstLine="510"/>
        <w:rPr>
          <w:lang w:val="zh-CN"/>
        </w:rPr>
      </w:pPr>
      <w:r>
        <w:rPr>
          <w:lang w:val="zh-CN"/>
        </w:rPr>
        <w:t>273.</w:t>
      </w:r>
      <w:r>
        <w:rPr>
          <w:rFonts w:hint="eastAsia"/>
          <w:lang w:val="zh-CN"/>
        </w:rPr>
        <w:t xml:space="preserve">  </w:t>
      </w:r>
      <w:r>
        <w:rPr>
          <w:rFonts w:hint="eastAsia"/>
          <w:lang w:val="zh-CN"/>
        </w:rPr>
        <w:t>《药品目录》对药品、某些医疗用品和材料作出了规定，并限制在一定时间内开药和取药的数量。</w:t>
      </w:r>
    </w:p>
    <w:p w:rsidR="00000000" w:rsidRDefault="00844A84">
      <w:pPr>
        <w:ind w:firstLine="510"/>
        <w:rPr>
          <w:lang w:val="zh-CN"/>
        </w:rPr>
      </w:pPr>
      <w:r>
        <w:rPr>
          <w:lang w:val="zh-CN"/>
        </w:rPr>
        <w:t>274.</w:t>
      </w:r>
      <w:r>
        <w:rPr>
          <w:rFonts w:hint="eastAsia"/>
          <w:lang w:val="zh-CN"/>
        </w:rPr>
        <w:t xml:space="preserve">  </w:t>
      </w:r>
      <w:r>
        <w:rPr>
          <w:rFonts w:hint="eastAsia"/>
          <w:lang w:val="zh-CN"/>
        </w:rPr>
        <w:t>根据身体残疾的严重程度和功能减少情况，被保险人可以得到修复和矫正器械、其他辅助和卫生器具、假牙、视觉、听觉和语言辅助器具等。使用这些辅助器械要符合明确的标准。很多使用者要承担很高比例的采购成本。</w:t>
      </w:r>
    </w:p>
    <w:p w:rsidR="00000000" w:rsidRDefault="00844A84">
      <w:pPr>
        <w:ind w:firstLine="510"/>
        <w:rPr>
          <w:lang w:val="zh-CN"/>
        </w:rPr>
      </w:pPr>
      <w:r>
        <w:rPr>
          <w:lang w:val="zh-CN"/>
        </w:rPr>
        <w:t>275.</w:t>
      </w:r>
      <w:r>
        <w:rPr>
          <w:rFonts w:hint="eastAsia"/>
          <w:lang w:val="zh-CN"/>
        </w:rPr>
        <w:t xml:space="preserve">  </w:t>
      </w:r>
      <w:r>
        <w:rPr>
          <w:rFonts w:hint="eastAsia"/>
          <w:lang w:val="zh-CN"/>
        </w:rPr>
        <w:t>由于许多保健问题在保险条例中没有</w:t>
      </w:r>
      <w:r>
        <w:rPr>
          <w:rFonts w:hint="eastAsia"/>
          <w:lang w:val="zh-CN"/>
        </w:rPr>
        <w:t>明确规定，又由于长期资源短缺，《关于保健内容和范围的决定》列举了卫生部门不得在强制医疗保险范围内提供的无数措施和服务，其中包括个人和组织机构要求进行的各类检查、工人的各种具体</w:t>
      </w:r>
      <w:r>
        <w:rPr>
          <w:rFonts w:hint="eastAsia"/>
          <w:lang w:val="zh-CN"/>
        </w:rPr>
        <w:t>(</w:t>
      </w:r>
      <w:r>
        <w:rPr>
          <w:rFonts w:hint="eastAsia"/>
          <w:lang w:val="zh-CN"/>
        </w:rPr>
        <w:t>预防性</w:t>
      </w:r>
      <w:r>
        <w:rPr>
          <w:rFonts w:hint="eastAsia"/>
          <w:lang w:val="zh-CN"/>
        </w:rPr>
        <w:t>)</w:t>
      </w:r>
      <w:r>
        <w:rPr>
          <w:rFonts w:hint="eastAsia"/>
          <w:lang w:val="zh-CN"/>
        </w:rPr>
        <w:t>保健措施、治疗急性酒精中毒、非因健康理由堕胎、人工受精，以及多种非标准牙科服务等等。</w:t>
      </w:r>
    </w:p>
    <w:p w:rsidR="00000000" w:rsidRDefault="00844A84">
      <w:pPr>
        <w:ind w:firstLine="510"/>
        <w:rPr>
          <w:lang w:val="zh-CN"/>
        </w:rPr>
      </w:pPr>
      <w:r>
        <w:rPr>
          <w:lang w:val="zh-CN"/>
        </w:rPr>
        <w:t>276.</w:t>
      </w:r>
      <w:r>
        <w:rPr>
          <w:rFonts w:hint="eastAsia"/>
          <w:lang w:val="zh-CN"/>
        </w:rPr>
        <w:t xml:space="preserve">  </w:t>
      </w:r>
      <w:r>
        <w:rPr>
          <w:rFonts w:hint="eastAsia"/>
          <w:lang w:val="zh-CN"/>
        </w:rPr>
        <w:t>根据现行立法，关于卫生保健的内容有充分的规定，在涉及重要的健康和社会问题领域</w:t>
      </w:r>
      <w:r>
        <w:rPr>
          <w:rFonts w:hint="eastAsia"/>
          <w:lang w:val="zh-CN"/>
        </w:rPr>
        <w:t>(</w:t>
      </w:r>
      <w:r>
        <w:rPr>
          <w:rFonts w:hint="eastAsia"/>
          <w:lang w:val="zh-CN"/>
        </w:rPr>
        <w:t>妇女、儿童和学生保健，预防传染病和慢性非传染病、预防性牙齿保健等</w:t>
      </w:r>
      <w:r>
        <w:rPr>
          <w:rFonts w:hint="eastAsia"/>
          <w:lang w:val="zh-CN"/>
        </w:rPr>
        <w:t>)</w:t>
      </w:r>
      <w:r>
        <w:rPr>
          <w:rFonts w:hint="eastAsia"/>
          <w:lang w:val="zh-CN"/>
        </w:rPr>
        <w:t>，还有专门方案。卫生保健的内容和范围规定得十分详细，其中包括实施方面的适当指导以及由谁</w:t>
      </w:r>
      <w:r>
        <w:rPr>
          <w:rFonts w:hint="eastAsia"/>
          <w:lang w:val="zh-CN"/>
        </w:rPr>
        <w:t>负责实施哪项活动。但是，人人享有全部保健服务的承诺并没有兑现，在涉及费用高昂的诊断、治疗和康复服务时尤其如此。这也在预料之中，因为即使较为富裕的国家，也不能提供这些服务。</w:t>
      </w:r>
    </w:p>
    <w:p w:rsidR="00000000" w:rsidRDefault="00844A84">
      <w:pPr>
        <w:ind w:firstLine="510"/>
        <w:rPr>
          <w:lang w:val="zh-CN"/>
        </w:rPr>
      </w:pPr>
      <w:r>
        <w:rPr>
          <w:lang w:val="zh-CN"/>
        </w:rPr>
        <w:t>277.</w:t>
      </w:r>
      <w:r>
        <w:rPr>
          <w:rFonts w:hint="eastAsia"/>
          <w:lang w:val="zh-CN"/>
        </w:rPr>
        <w:t xml:space="preserve">  </w:t>
      </w:r>
      <w:r>
        <w:rPr>
          <w:rFonts w:hint="eastAsia"/>
          <w:lang w:val="zh-CN"/>
        </w:rPr>
        <w:t>现在所缺乏的是对某些措施的有效性进行批判性评估，因为这些措施可能无法保证从根本上实现卫生方案的目标。有许多全面检查和诊断测试，经常是没有充足的理由，而且频繁重复进行；不加区分地向上级医疗单位转诊，就是很好的例子。</w:t>
      </w:r>
    </w:p>
    <w:p w:rsidR="00000000" w:rsidRDefault="00844A84">
      <w:pPr>
        <w:spacing w:after="320"/>
        <w:ind w:firstLine="510"/>
        <w:rPr>
          <w:lang w:val="zh-CN"/>
        </w:rPr>
      </w:pPr>
      <w:r>
        <w:rPr>
          <w:lang w:val="zh-CN"/>
        </w:rPr>
        <w:t>2</w:t>
      </w:r>
      <w:r>
        <w:t>7</w:t>
      </w:r>
      <w:r>
        <w:rPr>
          <w:lang w:val="zh-CN"/>
        </w:rPr>
        <w:t>8.</w:t>
      </w:r>
      <w:r>
        <w:rPr>
          <w:rFonts w:hint="eastAsia"/>
          <w:lang w:val="zh-CN"/>
        </w:rPr>
        <w:t xml:space="preserve">  </w:t>
      </w:r>
      <w:r>
        <w:rPr>
          <w:rFonts w:hint="eastAsia"/>
          <w:lang w:val="zh-CN"/>
        </w:rPr>
        <w:t>法律规定公民有自由选择医生进行初级医疗保健的权利和义务。这项规定没有得到一贯实施与本领域资金状况没有关</w:t>
      </w:r>
      <w:r>
        <w:rPr>
          <w:rFonts w:hint="eastAsia"/>
          <w:lang w:val="zh-CN"/>
        </w:rPr>
        <w:t>系。在大城市中心，由于缺乏控制，公民在初级卫生保健中可以自由选择几个医生的服务，任何医生都可以处方。</w:t>
      </w:r>
    </w:p>
    <w:p w:rsidR="00000000" w:rsidRDefault="00844A84">
      <w:pPr>
        <w:pStyle w:val="Heading3"/>
        <w:rPr>
          <w:lang w:val="zh-CN"/>
        </w:rPr>
      </w:pPr>
      <w:r>
        <w:rPr>
          <w:u w:val="none"/>
          <w:lang w:val="zh-CN"/>
        </w:rPr>
        <w:t>D.</w:t>
      </w:r>
      <w:r>
        <w:rPr>
          <w:rFonts w:hint="eastAsia"/>
          <w:u w:val="none"/>
          <w:lang w:val="zh-CN"/>
        </w:rPr>
        <w:t xml:space="preserve">  </w:t>
      </w:r>
      <w:r>
        <w:rPr>
          <w:rFonts w:hint="eastAsia"/>
          <w:lang w:val="zh-CN"/>
        </w:rPr>
        <w:t>塞尔维亚共和国享受医疗保健的人口所占比例</w:t>
      </w:r>
      <w:r>
        <w:rPr>
          <w:lang w:val="zh-CN"/>
        </w:rPr>
        <w:br/>
      </w:r>
      <w:r>
        <w:rPr>
          <w:rFonts w:hint="eastAsia"/>
          <w:u w:val="none"/>
          <w:lang w:val="zh-CN"/>
        </w:rPr>
        <w:t xml:space="preserve">   </w:t>
      </w:r>
      <w:r>
        <w:rPr>
          <w:rFonts w:hint="eastAsia"/>
          <w:lang w:val="zh-CN"/>
        </w:rPr>
        <w:t>以及强制性健康保险服务的内容和范围</w:t>
      </w:r>
    </w:p>
    <w:p w:rsidR="00000000" w:rsidRDefault="00844A84">
      <w:pPr>
        <w:ind w:firstLine="510"/>
      </w:pPr>
      <w:r>
        <w:t>279.</w:t>
      </w:r>
      <w:r>
        <w:rPr>
          <w:rFonts w:hint="eastAsia"/>
        </w:rPr>
        <w:t xml:space="preserve">  </w:t>
      </w:r>
      <w:r>
        <w:rPr>
          <w:rFonts w:hint="eastAsia"/>
        </w:rPr>
        <w:t>根据《塞尔维亚共和国健康保险法》，强制性健康保险覆盖全部就业公民、临时工和打零工者、领取失业救济的失业人员、个体工商户、养老金领受人、手工艺人和农民。除了被保险人之外，被保险人所供养的家属也有权享受健康保险权益。</w:t>
      </w:r>
      <w:r>
        <w:t>1998</w:t>
      </w:r>
      <w:r>
        <w:rPr>
          <w:rFonts w:hint="eastAsia"/>
        </w:rPr>
        <w:t>年</w:t>
      </w:r>
      <w:r>
        <w:t>12</w:t>
      </w:r>
      <w:r>
        <w:rPr>
          <w:rFonts w:hint="eastAsia"/>
        </w:rPr>
        <w:t>月</w:t>
      </w:r>
      <w:r>
        <w:t>31</w:t>
      </w:r>
      <w:r>
        <w:rPr>
          <w:rFonts w:hint="eastAsia"/>
        </w:rPr>
        <w:t>日，塞尔维亚共和国共有</w:t>
      </w:r>
      <w:r>
        <w:t>9,222,542</w:t>
      </w:r>
      <w:r>
        <w:rPr>
          <w:rFonts w:hint="eastAsia"/>
        </w:rPr>
        <w:t>名被保险人。这一数字不包括根据公约</w:t>
      </w:r>
      <w:r>
        <w:rPr>
          <w:rFonts w:hint="eastAsia"/>
        </w:rPr>
        <w:t>获得保险的外国被保险人和没有参加保险的人。社会部门的雇员、农民和养老金领受人，包括其家庭成员，占全部被保险人数的</w:t>
      </w:r>
      <w:r>
        <w:t>93%</w:t>
      </w:r>
      <w:r>
        <w:rPr>
          <w:rFonts w:hint="eastAsia"/>
        </w:rPr>
        <w:t>。</w:t>
      </w:r>
      <w:r>
        <w:rPr>
          <w:rStyle w:val="EndnoteReference"/>
          <w:szCs w:val="22"/>
        </w:rPr>
        <w:endnoteReference w:id="10"/>
      </w:r>
    </w:p>
    <w:p w:rsidR="00000000" w:rsidRDefault="00844A84">
      <w:pPr>
        <w:ind w:firstLine="510"/>
      </w:pPr>
      <w:r>
        <w:t>280.</w:t>
      </w:r>
      <w:r>
        <w:rPr>
          <w:rFonts w:hint="eastAsia"/>
        </w:rPr>
        <w:t xml:space="preserve">  </w:t>
      </w:r>
      <w:r>
        <w:rPr>
          <w:rFonts w:hint="eastAsia"/>
        </w:rPr>
        <w:t>把被保险人数与塞尔维亚共和国</w:t>
      </w:r>
      <w:r>
        <w:t>1991</w:t>
      </w:r>
      <w:r>
        <w:rPr>
          <w:rFonts w:hint="eastAsia"/>
        </w:rPr>
        <w:t>年人口普查数字</w:t>
      </w:r>
      <w:r>
        <w:rPr>
          <w:rFonts w:hint="eastAsia"/>
        </w:rPr>
        <w:t>(</w:t>
      </w:r>
      <w:r>
        <w:t>9,923,000</w:t>
      </w:r>
      <w:r>
        <w:rPr>
          <w:rFonts w:hint="eastAsia"/>
        </w:rPr>
        <w:t>个居民</w:t>
      </w:r>
      <w:r>
        <w:rPr>
          <w:rFonts w:hint="eastAsia"/>
        </w:rPr>
        <w:t>)</w:t>
      </w:r>
      <w:r>
        <w:rPr>
          <w:rFonts w:hint="eastAsia"/>
        </w:rPr>
        <w:t>作比较，可以看出塞尔维亚的健康保险覆盖了</w:t>
      </w:r>
      <w:r>
        <w:t>92.94%</w:t>
      </w:r>
      <w:r>
        <w:rPr>
          <w:rFonts w:hint="eastAsia"/>
        </w:rPr>
        <w:t>的人口。据估计，大约</w:t>
      </w:r>
      <w:r>
        <w:t>7%</w:t>
      </w:r>
      <w:r>
        <w:rPr>
          <w:rFonts w:hint="eastAsia"/>
        </w:rPr>
        <w:t>的人口</w:t>
      </w:r>
      <w:r>
        <w:rPr>
          <w:rFonts w:hint="eastAsia"/>
        </w:rPr>
        <w:t>(</w:t>
      </w:r>
      <w:r>
        <w:rPr>
          <w:rFonts w:hint="eastAsia"/>
        </w:rPr>
        <w:t>主要是失业人员</w:t>
      </w:r>
      <w:r>
        <w:rPr>
          <w:rFonts w:hint="eastAsia"/>
        </w:rPr>
        <w:t>)</w:t>
      </w:r>
      <w:r>
        <w:rPr>
          <w:rFonts w:hint="eastAsia"/>
        </w:rPr>
        <w:t>没有参加强制性健康保险。对于没有参加保险的人口，包括青少年、孕产妇、</w:t>
      </w:r>
      <w:r>
        <w:t>65</w:t>
      </w:r>
      <w:r>
        <w:rPr>
          <w:rFonts w:hint="eastAsia"/>
        </w:rPr>
        <w:t>岁以上的人口、享受福利待遇者和患有严重慢性疾病的人</w:t>
      </w:r>
      <w:r>
        <w:rPr>
          <w:rFonts w:hint="eastAsia"/>
        </w:rPr>
        <w:t>(</w:t>
      </w:r>
      <w:r>
        <w:rPr>
          <w:rFonts w:hint="eastAsia"/>
        </w:rPr>
        <w:t>精神病、糖尿病、慢性肾衰竭、恶性肿瘤患者等</w:t>
      </w:r>
      <w:r>
        <w:rPr>
          <w:rFonts w:hint="eastAsia"/>
        </w:rPr>
        <w:t>)</w:t>
      </w:r>
      <w:r>
        <w:rPr>
          <w:rFonts w:hint="eastAsia"/>
        </w:rPr>
        <w:t>，部分医疗费用由政府承担。这些</w:t>
      </w:r>
      <w:r>
        <w:rPr>
          <w:rFonts w:hint="eastAsia"/>
        </w:rPr>
        <w:t>费用由国家财政支付，国家财政把必要的资金转移到健康保险基金。但是，应当强调，鉴于经济形势十分困难，国家财政出现赤字，最近几年实际上并没有拨付这方面的资金。</w:t>
      </w:r>
    </w:p>
    <w:p w:rsidR="00000000" w:rsidRDefault="00844A84">
      <w:pPr>
        <w:ind w:firstLine="510"/>
      </w:pPr>
      <w:r>
        <w:t>281.</w:t>
      </w:r>
      <w:r>
        <w:rPr>
          <w:rFonts w:hint="eastAsia"/>
        </w:rPr>
        <w:t xml:space="preserve">  </w:t>
      </w:r>
      <w:r>
        <w:rPr>
          <w:rFonts w:hint="eastAsia"/>
        </w:rPr>
        <w:t>根据同一法律，健康保险权益包括：保健、暂时丧失劳动能力期间的工资津贴、延期儿童保育津贴、保健差旅费补助和丧葬费用补助。</w:t>
      </w:r>
    </w:p>
    <w:p w:rsidR="00000000" w:rsidRDefault="00844A84">
      <w:pPr>
        <w:ind w:firstLine="510"/>
      </w:pPr>
      <w:r>
        <w:t>282.</w:t>
      </w:r>
      <w:r>
        <w:rPr>
          <w:rFonts w:hint="eastAsia"/>
        </w:rPr>
        <w:t xml:space="preserve">  </w:t>
      </w:r>
      <w:r>
        <w:rPr>
          <w:rFonts w:hint="eastAsia"/>
        </w:rPr>
        <w:t>根据《健康保险法》，作为被保险人基本权利的保健包括以下内容：</w:t>
      </w:r>
    </w:p>
    <w:p w:rsidR="00000000" w:rsidRDefault="00844A84">
      <w:pPr>
        <w:pStyle w:val="a0"/>
        <w:ind w:left="1550"/>
      </w:pPr>
      <w:r>
        <w:rPr>
          <w:rFonts w:hint="eastAsia"/>
        </w:rPr>
        <w:t>为改善</w:t>
      </w:r>
      <w:r>
        <w:rPr>
          <w:rFonts w:hint="eastAsia"/>
          <w:bCs/>
        </w:rPr>
        <w:t>保健状况</w:t>
      </w:r>
      <w:r>
        <w:rPr>
          <w:rFonts w:hint="eastAsia"/>
        </w:rPr>
        <w:t>、预防和尽早发现疾病和其他健康问题而采取的医疗措施和程序；</w:t>
      </w:r>
    </w:p>
    <w:p w:rsidR="00000000" w:rsidRDefault="00844A84">
      <w:pPr>
        <w:pStyle w:val="a0"/>
        <w:ind w:left="1550"/>
      </w:pPr>
      <w:r>
        <w:rPr>
          <w:rFonts w:hint="eastAsia"/>
        </w:rPr>
        <w:t>伤病者治疗和其他医疗帮助；</w:t>
      </w:r>
    </w:p>
    <w:p w:rsidR="00000000" w:rsidRDefault="00844A84">
      <w:pPr>
        <w:pStyle w:val="a0"/>
        <w:ind w:left="1550"/>
      </w:pPr>
      <w:r>
        <w:rPr>
          <w:rFonts w:hint="eastAsia"/>
        </w:rPr>
        <w:t>口腔和牙齿疾病防治；</w:t>
      </w:r>
    </w:p>
    <w:p w:rsidR="00000000" w:rsidRDefault="00844A84">
      <w:pPr>
        <w:pStyle w:val="a0"/>
        <w:ind w:left="1550"/>
      </w:pPr>
      <w:r>
        <w:rPr>
          <w:rFonts w:hint="eastAsia"/>
        </w:rPr>
        <w:t>在门诊和住院医疗机构进行医</w:t>
      </w:r>
      <w:r>
        <w:rPr>
          <w:rFonts w:hint="eastAsia"/>
        </w:rPr>
        <w:t>疗康复；</w:t>
      </w:r>
    </w:p>
    <w:p w:rsidR="00000000" w:rsidRDefault="00844A84">
      <w:pPr>
        <w:pStyle w:val="a0"/>
        <w:ind w:left="1550"/>
      </w:pPr>
      <w:r>
        <w:rPr>
          <w:rFonts w:hint="eastAsia"/>
        </w:rPr>
        <w:t>得到药品、给药所需的辅助材料和治疗所需的医疗材料；以及</w:t>
      </w:r>
    </w:p>
    <w:p w:rsidR="00000000" w:rsidRDefault="00844A84">
      <w:pPr>
        <w:pStyle w:val="a0"/>
        <w:ind w:left="1550"/>
      </w:pPr>
      <w:r>
        <w:rPr>
          <w:rFonts w:hint="eastAsia"/>
        </w:rPr>
        <w:t>得到修复、矫正和其他辅助器具；辅助性和医疗器材，牙齿矫正辅助器具和牙科材料。</w:t>
      </w:r>
    </w:p>
    <w:p w:rsidR="00000000" w:rsidRDefault="00844A84">
      <w:pPr>
        <w:ind w:firstLine="510"/>
      </w:pPr>
      <w:r>
        <w:t>283.</w:t>
      </w:r>
      <w:r>
        <w:rPr>
          <w:rFonts w:hint="eastAsia"/>
        </w:rPr>
        <w:t xml:space="preserve">  </w:t>
      </w:r>
      <w:r>
        <w:rPr>
          <w:rFonts w:hint="eastAsia"/>
        </w:rPr>
        <w:t>根据法律授权，共和国健康保险局在其条例中更为详细地规定了行使健康保险权的条件和方式。在此应注意，被保险人有义务根据居住地选择个人医生，进行初级卫生保健。与就业有关的预防措施和活动在工作单位开展；与学生有关的预防措施和活动在所在教育机构开展。通常要在指定医生的推荐下，或得到共和国健康保险局医疗委员会的许可，方可转诊到最近的适当上级医疗机构。</w:t>
      </w:r>
    </w:p>
    <w:p w:rsidR="00000000" w:rsidRDefault="00844A84">
      <w:pPr>
        <w:spacing w:after="320"/>
        <w:ind w:firstLine="510"/>
      </w:pPr>
      <w:r>
        <w:t>284.</w:t>
      </w:r>
      <w:r>
        <w:rPr>
          <w:rFonts w:hint="eastAsia"/>
        </w:rPr>
        <w:t xml:space="preserve">  </w:t>
      </w:r>
      <w:r>
        <w:rPr>
          <w:rFonts w:hint="eastAsia"/>
        </w:rPr>
        <w:t>共</w:t>
      </w:r>
      <w:r>
        <w:rPr>
          <w:rFonts w:hint="eastAsia"/>
        </w:rPr>
        <w:t>和国健康保险局董事会的决定对卫生保健措施的范围作了更明确规定。该决定兼顾卫生保健权益的范围和强制健康保险所能提供的资源数量。</w:t>
      </w:r>
    </w:p>
    <w:p w:rsidR="00000000" w:rsidRDefault="00844A84">
      <w:pPr>
        <w:pStyle w:val="Heading3"/>
      </w:pPr>
      <w:r>
        <w:rPr>
          <w:u w:val="none"/>
        </w:rPr>
        <w:t>E.</w:t>
      </w:r>
      <w:r>
        <w:rPr>
          <w:rFonts w:hint="eastAsia"/>
          <w:u w:val="none"/>
        </w:rPr>
        <w:t xml:space="preserve">  </w:t>
      </w:r>
      <w:r>
        <w:rPr>
          <w:rFonts w:hint="eastAsia"/>
        </w:rPr>
        <w:t>塞尔维亚共和国人口的</w:t>
      </w:r>
      <w:r>
        <w:rPr>
          <w:rFonts w:hint="eastAsia"/>
          <w:bCs/>
        </w:rPr>
        <w:t>保健状况</w:t>
      </w:r>
    </w:p>
    <w:p w:rsidR="00000000" w:rsidRDefault="00844A84">
      <w:pPr>
        <w:ind w:firstLine="510"/>
      </w:pPr>
      <w:r>
        <w:t>285.</w:t>
      </w:r>
      <w:r>
        <w:rPr>
          <w:rFonts w:hint="eastAsia"/>
        </w:rPr>
        <w:t xml:space="preserve">  </w:t>
      </w:r>
      <w:r>
        <w:rPr>
          <w:rFonts w:hint="eastAsia"/>
        </w:rPr>
        <w:t>从</w:t>
      </w:r>
      <w:r>
        <w:t>1990</w:t>
      </w:r>
      <w:r>
        <w:rPr>
          <w:rFonts w:hint="eastAsia"/>
        </w:rPr>
        <w:t>年至今，塞尔维亚共和国有大约</w:t>
      </w:r>
      <w:r>
        <w:t>1000</w:t>
      </w:r>
      <w:r>
        <w:rPr>
          <w:rFonts w:hint="eastAsia"/>
        </w:rPr>
        <w:t>万居民的生活发生重大变化，直接影响其</w:t>
      </w:r>
      <w:r>
        <w:rPr>
          <w:rFonts w:hint="eastAsia"/>
          <w:bCs/>
        </w:rPr>
        <w:t>保健状况</w:t>
      </w:r>
      <w:r>
        <w:rPr>
          <w:rFonts w:hint="eastAsia"/>
        </w:rPr>
        <w:t>。纵向调查</w:t>
      </w:r>
      <w:r>
        <w:rPr>
          <w:rFonts w:hint="eastAsia"/>
        </w:rPr>
        <w:t>(</w:t>
      </w:r>
      <w:r>
        <w:rPr>
          <w:rFonts w:hint="eastAsia"/>
        </w:rPr>
        <w:t>所谓环境调查</w:t>
      </w:r>
      <w:r>
        <w:rPr>
          <w:rFonts w:hint="eastAsia"/>
        </w:rPr>
        <w:t>)</w:t>
      </w:r>
      <w:r>
        <w:rPr>
          <w:rFonts w:hint="eastAsia"/>
        </w:rPr>
        <w:t>和对比研究初步显示，生活中的重大事件可以影响疾病发生率和死亡率。国际研究表明，重大事件引起</w:t>
      </w:r>
      <w:r>
        <w:rPr>
          <w:rFonts w:hint="eastAsia"/>
          <w:bCs/>
        </w:rPr>
        <w:t>保健状况</w:t>
      </w:r>
      <w:r>
        <w:rPr>
          <w:rFonts w:hint="eastAsia"/>
        </w:rPr>
        <w:t>变化的周期是，事件发生后</w:t>
      </w:r>
      <w:r>
        <w:t>3</w:t>
      </w:r>
      <w:r>
        <w:rPr>
          <w:rFonts w:hint="eastAsia"/>
        </w:rPr>
        <w:t>年内，疾病爆发增加；事件发生三至五年内，死亡人数增加。研究还表明，生活中重大事件引起的发病和死亡</w:t>
      </w:r>
      <w:r>
        <w:rPr>
          <w:rFonts w:hint="eastAsia"/>
        </w:rPr>
        <w:t>周期越来越短。对塞尔维亚共和国健康指数的分析表明，由于人口遭受一系列重大事件</w:t>
      </w:r>
      <w:r>
        <w:rPr>
          <w:rFonts w:hint="eastAsia"/>
        </w:rPr>
        <w:t>(</w:t>
      </w:r>
      <w:r>
        <w:rPr>
          <w:rFonts w:hint="eastAsia"/>
        </w:rPr>
        <w:t>前南斯拉夫解体和其领土上的战争；国际社会的制裁；恶性通货膨胀危机</w:t>
      </w:r>
      <w:r>
        <w:rPr>
          <w:rFonts w:hint="eastAsia"/>
        </w:rPr>
        <w:t>)</w:t>
      </w:r>
      <w:r>
        <w:rPr>
          <w:rFonts w:hint="eastAsia"/>
        </w:rPr>
        <w:t>的累积影响，这些周期变得更短。</w:t>
      </w:r>
    </w:p>
    <w:p w:rsidR="00000000" w:rsidRDefault="00844A84">
      <w:pPr>
        <w:spacing w:after="320"/>
        <w:ind w:firstLine="510"/>
      </w:pPr>
      <w:r>
        <w:t>286.</w:t>
      </w:r>
      <w:r>
        <w:rPr>
          <w:rFonts w:hint="eastAsia"/>
        </w:rPr>
        <w:t xml:space="preserve">  </w:t>
      </w:r>
      <w:r>
        <w:rPr>
          <w:rFonts w:hint="eastAsia"/>
        </w:rPr>
        <w:t>但是，在监测重大事件对人口健康的影响及对各具体因素的影响进行分解和评估时，都存在许多方法上的问题。首先，在共和国境内关于死因的报告不够可靠。第二，作为计算发病率和死亡率基础的人口数量已发生了变化。发病率和死亡率实际上表明受风险影响的人口生病或死亡的概率。在十年中，塞尔维亚的人口组成发生了巨大的变化，这是由于国内人口主要是青</w:t>
      </w:r>
      <w:r>
        <w:rPr>
          <w:rFonts w:hint="eastAsia"/>
        </w:rPr>
        <w:t>年人向外迁移，以及难民和无家可归者的流入，而后者有不同程度的患病和死亡风险。还应当强调，在监测重大事件对塞尔维亚人口</w:t>
      </w:r>
      <w:r>
        <w:rPr>
          <w:rFonts w:hint="eastAsia"/>
          <w:bCs/>
        </w:rPr>
        <w:t>保健状况</w:t>
      </w:r>
      <w:r>
        <w:rPr>
          <w:rFonts w:hint="eastAsia"/>
        </w:rPr>
        <w:t>的影响时没有足够的资源，也没有进行高质量研究的主观努力。</w:t>
      </w:r>
    </w:p>
    <w:p w:rsidR="00000000" w:rsidRDefault="00844A84">
      <w:pPr>
        <w:pStyle w:val="Heading3"/>
      </w:pPr>
      <w:r>
        <w:rPr>
          <w:u w:val="none"/>
        </w:rPr>
        <w:t xml:space="preserve">F. </w:t>
      </w:r>
      <w:r>
        <w:rPr>
          <w:rFonts w:hint="eastAsia"/>
          <w:u w:val="none"/>
        </w:rPr>
        <w:t xml:space="preserve"> </w:t>
      </w:r>
      <w:r>
        <w:rPr>
          <w:rFonts w:hint="eastAsia"/>
        </w:rPr>
        <w:t>死</w:t>
      </w:r>
      <w:r>
        <w:rPr>
          <w:rFonts w:hint="eastAsia"/>
        </w:rPr>
        <w:t xml:space="preserve"> </w:t>
      </w:r>
      <w:r>
        <w:rPr>
          <w:rFonts w:hint="eastAsia"/>
        </w:rPr>
        <w:t>亡</w:t>
      </w:r>
      <w:r>
        <w:rPr>
          <w:rFonts w:hint="eastAsia"/>
        </w:rPr>
        <w:t xml:space="preserve"> </w:t>
      </w:r>
      <w:r>
        <w:rPr>
          <w:rFonts w:hint="eastAsia"/>
        </w:rPr>
        <w:t>率</w:t>
      </w:r>
    </w:p>
    <w:p w:rsidR="00000000" w:rsidRDefault="00844A84">
      <w:pPr>
        <w:ind w:firstLine="510"/>
      </w:pPr>
      <w:r>
        <w:rPr>
          <w:lang w:val="zh-CN"/>
        </w:rPr>
        <w:t>287.</w:t>
      </w:r>
      <w:r>
        <w:rPr>
          <w:rFonts w:hint="eastAsia"/>
        </w:rPr>
        <w:t xml:space="preserve">  </w:t>
      </w:r>
      <w:r>
        <w:t>1990</w:t>
      </w:r>
      <w:r>
        <w:rPr>
          <w:rFonts w:hint="eastAsia"/>
        </w:rPr>
        <w:t>年代早期，由于一系列重大事件的发生，导致人口</w:t>
      </w:r>
      <w:r>
        <w:rPr>
          <w:rFonts w:hint="eastAsia"/>
          <w:bCs/>
        </w:rPr>
        <w:t>保健状况</w:t>
      </w:r>
      <w:r>
        <w:rPr>
          <w:rFonts w:hint="eastAsia"/>
        </w:rPr>
        <w:t>常规监测和分析的大多数指标无法改善，甚至恶化。根据</w:t>
      </w:r>
      <w:r>
        <w:t>1989/90</w:t>
      </w:r>
      <w:r>
        <w:rPr>
          <w:rFonts w:hint="eastAsia"/>
        </w:rPr>
        <w:t>年至</w:t>
      </w:r>
      <w:r>
        <w:t>1996/97</w:t>
      </w:r>
      <w:r>
        <w:rPr>
          <w:rFonts w:hint="eastAsia"/>
        </w:rPr>
        <w:t>年期间特定年龄实际死亡率</w:t>
      </w:r>
      <w:r>
        <w:rPr>
          <w:rFonts w:hint="eastAsia"/>
        </w:rPr>
        <w:t>(</w:t>
      </w:r>
      <w:r>
        <w:rPr>
          <w:rFonts w:hint="eastAsia"/>
        </w:rPr>
        <w:t>近似死亡率简表</w:t>
      </w:r>
      <w:r>
        <w:rPr>
          <w:rFonts w:hint="eastAsia"/>
        </w:rPr>
        <w:t>)</w:t>
      </w:r>
      <w:r>
        <w:rPr>
          <w:rFonts w:hint="eastAsia"/>
        </w:rPr>
        <w:t>计算得出的出生时预期寿命变化情况，中塞尔维亚男性新生儿预期寿命降低两岁多一点，而伏伊伏丁那省基本未变。同一时期女性</w:t>
      </w:r>
      <w:r>
        <w:rPr>
          <w:rFonts w:hint="eastAsia"/>
        </w:rPr>
        <w:t>新生儿的预期寿命在伏伊伏丁那省下降了</w:t>
      </w:r>
      <w:r>
        <w:t>1.13</w:t>
      </w:r>
      <w:r>
        <w:rPr>
          <w:rFonts w:hint="eastAsia"/>
        </w:rPr>
        <w:t>岁，而在中塞尔维亚基本未变。</w:t>
      </w:r>
      <w:r>
        <w:rPr>
          <w:rStyle w:val="EndnoteReference"/>
          <w:szCs w:val="22"/>
        </w:rPr>
        <w:endnoteReference w:id="11"/>
      </w:r>
    </w:p>
    <w:p w:rsidR="00000000" w:rsidRDefault="00844A84">
      <w:pPr>
        <w:ind w:firstLine="510"/>
      </w:pPr>
      <w:r>
        <w:t>288.</w:t>
      </w:r>
      <w:r>
        <w:rPr>
          <w:rFonts w:hint="eastAsia"/>
        </w:rPr>
        <w:t xml:space="preserve">  </w:t>
      </w:r>
      <w:r>
        <w:t>1990</w:t>
      </w:r>
      <w:r>
        <w:rPr>
          <w:rFonts w:hint="eastAsia"/>
        </w:rPr>
        <w:t>年至</w:t>
      </w:r>
      <w:r>
        <w:t>1997</w:t>
      </w:r>
      <w:r>
        <w:rPr>
          <w:rFonts w:hint="eastAsia"/>
        </w:rPr>
        <w:t>年期间，中塞尔维亚</w:t>
      </w:r>
      <w:r>
        <w:t>22</w:t>
      </w:r>
      <w:r>
        <w:rPr>
          <w:rFonts w:hint="eastAsia"/>
        </w:rPr>
        <w:t>岁至</w:t>
      </w:r>
      <w:r>
        <w:t>44</w:t>
      </w:r>
      <w:r>
        <w:rPr>
          <w:rFonts w:hint="eastAsia"/>
        </w:rPr>
        <w:t>岁的成年人死亡率上升了</w:t>
      </w:r>
      <w:r>
        <w:t>10</w:t>
      </w:r>
      <w:r>
        <w:rPr>
          <w:rFonts w:hint="eastAsia"/>
        </w:rPr>
        <w:t>万分之</w:t>
      </w:r>
      <w:r>
        <w:t>14,</w:t>
      </w:r>
      <w:r>
        <w:rPr>
          <w:rFonts w:hint="eastAsia"/>
        </w:rPr>
        <w:t>伏伊伏丁那省上升了</w:t>
      </w:r>
      <w:r>
        <w:t>10</w:t>
      </w:r>
      <w:r>
        <w:rPr>
          <w:rFonts w:hint="eastAsia"/>
        </w:rPr>
        <w:t>万分之</w:t>
      </w:r>
      <w:r>
        <w:t>10.5</w:t>
      </w:r>
      <w:r>
        <w:rPr>
          <w:rFonts w:hint="eastAsia"/>
        </w:rPr>
        <w:t>。</w:t>
      </w:r>
      <w:r>
        <w:rPr>
          <w:rStyle w:val="EndnoteReference"/>
          <w:szCs w:val="22"/>
        </w:rPr>
        <w:endnoteReference w:id="12"/>
      </w:r>
    </w:p>
    <w:p w:rsidR="00000000" w:rsidRDefault="00844A84">
      <w:pPr>
        <w:ind w:firstLine="510"/>
      </w:pPr>
      <w:r>
        <w:t>289.</w:t>
      </w:r>
      <w:r>
        <w:rPr>
          <w:rFonts w:hint="eastAsia"/>
        </w:rPr>
        <w:t xml:space="preserve">  </w:t>
      </w:r>
      <w:r>
        <w:rPr>
          <w:rFonts w:hint="eastAsia"/>
        </w:rPr>
        <w:t>同一时期，中塞尔维亚</w:t>
      </w:r>
      <w:r>
        <w:t>44</w:t>
      </w:r>
      <w:r>
        <w:rPr>
          <w:rFonts w:hint="eastAsia"/>
        </w:rPr>
        <w:t>岁至</w:t>
      </w:r>
      <w:r>
        <w:t>64</w:t>
      </w:r>
      <w:r>
        <w:rPr>
          <w:rFonts w:hint="eastAsia"/>
        </w:rPr>
        <w:t>岁的成年人死亡率上升更高一点，达到</w:t>
      </w:r>
      <w:r>
        <w:t>10</w:t>
      </w:r>
      <w:r>
        <w:rPr>
          <w:rFonts w:hint="eastAsia"/>
        </w:rPr>
        <w:t>万分之</w:t>
      </w:r>
      <w:r>
        <w:t>20.4,</w:t>
      </w:r>
      <w:r>
        <w:rPr>
          <w:rFonts w:hint="eastAsia"/>
        </w:rPr>
        <w:t>而伏伊伏丁那省甚至上升了</w:t>
      </w:r>
      <w:r>
        <w:t>10</w:t>
      </w:r>
      <w:r>
        <w:rPr>
          <w:rFonts w:hint="eastAsia"/>
        </w:rPr>
        <w:t>万分之</w:t>
      </w:r>
      <w:r>
        <w:t>90.3</w:t>
      </w:r>
      <w:r>
        <w:rPr>
          <w:rFonts w:hint="eastAsia"/>
        </w:rPr>
        <w:t>。因此，在本报告所述期间，在塞尔维亚共和国全国，尤其是伏伊伏丁那省，最脆弱的年龄组是</w:t>
      </w:r>
      <w:r>
        <w:t>44</w:t>
      </w:r>
      <w:r>
        <w:rPr>
          <w:rFonts w:hint="eastAsia"/>
        </w:rPr>
        <w:t>岁至</w:t>
      </w:r>
      <w:r>
        <w:t>64</w:t>
      </w:r>
      <w:r>
        <w:rPr>
          <w:rFonts w:hint="eastAsia"/>
        </w:rPr>
        <w:t>岁的成年组。</w:t>
      </w:r>
      <w:r>
        <w:rPr>
          <w:rStyle w:val="EndnoteReference"/>
          <w:szCs w:val="22"/>
        </w:rPr>
        <w:endnoteReference w:id="13"/>
      </w:r>
    </w:p>
    <w:p w:rsidR="00000000" w:rsidRDefault="00844A84">
      <w:pPr>
        <w:autoSpaceDN w:val="0"/>
        <w:ind w:firstLine="510"/>
      </w:pPr>
      <w:r>
        <w:t>290.</w:t>
      </w:r>
      <w:r>
        <w:rPr>
          <w:rFonts w:hint="eastAsia"/>
        </w:rPr>
        <w:t xml:space="preserve">  </w:t>
      </w:r>
      <w:r>
        <w:rPr>
          <w:rFonts w:hint="eastAsia"/>
        </w:rPr>
        <w:t>值得注意的是，和预期相反，在报</w:t>
      </w:r>
      <w:r>
        <w:rPr>
          <w:rFonts w:hint="eastAsia"/>
        </w:rPr>
        <w:t>告期间</w:t>
      </w:r>
      <w:r>
        <w:rPr>
          <w:rFonts w:hint="eastAsia"/>
        </w:rPr>
        <w:t>(</w:t>
      </w:r>
      <w:r>
        <w:t>1990-1997</w:t>
      </w:r>
      <w:r>
        <w:rPr>
          <w:rFonts w:hint="eastAsia"/>
        </w:rPr>
        <w:t>)</w:t>
      </w:r>
      <w:r>
        <w:rPr>
          <w:rFonts w:hint="eastAsia"/>
        </w:rPr>
        <w:t>，</w:t>
      </w:r>
      <w:r>
        <w:t>65</w:t>
      </w:r>
      <w:r>
        <w:rPr>
          <w:rFonts w:hint="eastAsia"/>
        </w:rPr>
        <w:t>岁以上年龄组的死亡率并没有上升。相反，虽然根据我国情况，这一组别的社会情况特别脆弱，但这一组别的死亡率却有所下降。与</w:t>
      </w:r>
      <w:r>
        <w:t>1990</w:t>
      </w:r>
      <w:r>
        <w:rPr>
          <w:rFonts w:hint="eastAsia"/>
        </w:rPr>
        <w:t>年相比，</w:t>
      </w:r>
      <w:r>
        <w:t>1997</w:t>
      </w:r>
      <w:r>
        <w:rPr>
          <w:rFonts w:hint="eastAsia"/>
        </w:rPr>
        <w:t>年中塞尔维亚地区</w:t>
      </w:r>
      <w:r>
        <w:t>65</w:t>
      </w:r>
      <w:r>
        <w:rPr>
          <w:rFonts w:hint="eastAsia"/>
        </w:rPr>
        <w:t>岁以上人口中每</w:t>
      </w:r>
      <w:r>
        <w:t>10</w:t>
      </w:r>
      <w:r>
        <w:rPr>
          <w:rFonts w:hint="eastAsia"/>
        </w:rPr>
        <w:t>万人死亡人数下降</w:t>
      </w:r>
      <w:r>
        <w:t>693</w:t>
      </w:r>
      <w:r>
        <w:rPr>
          <w:rFonts w:hint="eastAsia"/>
        </w:rPr>
        <w:t>人；而在伏伊伏丁那省，则下降了</w:t>
      </w:r>
      <w:r>
        <w:t>1184</w:t>
      </w:r>
      <w:r>
        <w:rPr>
          <w:rFonts w:hint="eastAsia"/>
        </w:rPr>
        <w:t>人。</w:t>
      </w:r>
      <w:r>
        <w:rPr>
          <w:rStyle w:val="EndnoteReference"/>
          <w:szCs w:val="22"/>
        </w:rPr>
        <w:endnoteReference w:id="14"/>
      </w:r>
    </w:p>
    <w:p w:rsidR="00000000" w:rsidRDefault="00844A84">
      <w:pPr>
        <w:ind w:firstLine="510"/>
      </w:pPr>
      <w:r>
        <w:t>291.</w:t>
      </w:r>
      <w:r>
        <w:rPr>
          <w:rFonts w:hint="eastAsia"/>
        </w:rPr>
        <w:t xml:space="preserve">  </w:t>
      </w:r>
      <w:r>
        <w:rPr>
          <w:rFonts w:hint="eastAsia"/>
        </w:rPr>
        <w:t>正如刚才指出的，按年龄组对死亡率进行的分析表明，</w:t>
      </w:r>
      <w:r>
        <w:t>20</w:t>
      </w:r>
      <w:r>
        <w:rPr>
          <w:rFonts w:hint="eastAsia"/>
        </w:rPr>
        <w:t>岁至</w:t>
      </w:r>
      <w:r>
        <w:t>44</w:t>
      </w:r>
      <w:r>
        <w:rPr>
          <w:rFonts w:hint="eastAsia"/>
        </w:rPr>
        <w:t>岁年龄组死亡率上升，尤其是</w:t>
      </w:r>
      <w:r>
        <w:t>45</w:t>
      </w:r>
      <w:r>
        <w:rPr>
          <w:rFonts w:hint="eastAsia"/>
        </w:rPr>
        <w:t>岁至</w:t>
      </w:r>
      <w:r>
        <w:t>64</w:t>
      </w:r>
      <w:r>
        <w:rPr>
          <w:rFonts w:hint="eastAsia"/>
        </w:rPr>
        <w:t>岁年龄组死亡率上升，是</w:t>
      </w:r>
      <w:r>
        <w:t>1990</w:t>
      </w:r>
      <w:r>
        <w:rPr>
          <w:rFonts w:hint="eastAsia"/>
        </w:rPr>
        <w:t>年至</w:t>
      </w:r>
      <w:r>
        <w:t>1997</w:t>
      </w:r>
      <w:r>
        <w:rPr>
          <w:rFonts w:hint="eastAsia"/>
        </w:rPr>
        <w:t>年中塞尔维亚和伏伊伏丁那省预期寿命减少的主要原因。这种情况符合对中东欧国家</w:t>
      </w:r>
      <w:r>
        <w:rPr>
          <w:rFonts w:hint="eastAsia"/>
          <w:bCs/>
        </w:rPr>
        <w:t>保健状</w:t>
      </w:r>
      <w:r>
        <w:rPr>
          <w:rFonts w:hint="eastAsia"/>
          <w:bCs/>
        </w:rPr>
        <w:t>况</w:t>
      </w:r>
      <w:r>
        <w:rPr>
          <w:rFonts w:hint="eastAsia"/>
        </w:rPr>
        <w:t>分析的结果。</w:t>
      </w:r>
    </w:p>
    <w:p w:rsidR="00000000" w:rsidRDefault="00844A84">
      <w:pPr>
        <w:ind w:firstLine="510"/>
      </w:pPr>
      <w:r>
        <w:t>292.</w:t>
      </w:r>
      <w:r>
        <w:rPr>
          <w:rFonts w:hint="eastAsia"/>
        </w:rPr>
        <w:t xml:space="preserve">  </w:t>
      </w:r>
      <w:r>
        <w:rPr>
          <w:rFonts w:hint="eastAsia"/>
        </w:rPr>
        <w:t>在分析塞尔维亚共和国人口的死亡原因时，应当强调，在这八年期间死亡原因的结构几乎没有变化。</w:t>
      </w:r>
      <w:r>
        <w:t>1997</w:t>
      </w:r>
      <w:r>
        <w:rPr>
          <w:rFonts w:hint="eastAsia"/>
        </w:rPr>
        <w:t>年，有一半的人死于心血管疾病</w:t>
      </w:r>
      <w:r>
        <w:rPr>
          <w:rFonts w:hint="eastAsia"/>
        </w:rPr>
        <w:t>(</w:t>
      </w:r>
      <w:r>
        <w:rPr>
          <w:rFonts w:hint="eastAsia"/>
        </w:rPr>
        <w:t>中塞尔维亚为</w:t>
      </w:r>
      <w:r>
        <w:t>56.4%</w:t>
      </w:r>
      <w:r>
        <w:rPr>
          <w:rFonts w:hint="eastAsia"/>
        </w:rPr>
        <w:t>，伏伊伏丁那省为</w:t>
      </w:r>
      <w:r>
        <w:t>60.2%</w:t>
      </w:r>
      <w:r>
        <w:rPr>
          <w:rFonts w:hint="eastAsia"/>
        </w:rPr>
        <w:t>)</w:t>
      </w:r>
      <w:r>
        <w:rPr>
          <w:rFonts w:hint="eastAsia"/>
        </w:rPr>
        <w:t>，与</w:t>
      </w:r>
      <w:r>
        <w:t>1990</w:t>
      </w:r>
      <w:r>
        <w:rPr>
          <w:rFonts w:hint="eastAsia"/>
        </w:rPr>
        <w:t>年相比，在中塞尔维亚和伏伊伏丁那省，死于心血管疾病的人数上升了一个百分点。恶性疾病名列第二</w:t>
      </w:r>
      <w:r>
        <w:rPr>
          <w:rFonts w:hint="eastAsia"/>
        </w:rPr>
        <w:t>(</w:t>
      </w:r>
      <w:r>
        <w:rPr>
          <w:rFonts w:hint="eastAsia"/>
        </w:rPr>
        <w:t>中塞尔维亚</w:t>
      </w:r>
      <w:r>
        <w:t>17%</w:t>
      </w:r>
      <w:r>
        <w:rPr>
          <w:rFonts w:hint="eastAsia"/>
        </w:rPr>
        <w:t>，伏伊伏丁那省</w:t>
      </w:r>
      <w:r>
        <w:t>18.2%</w:t>
      </w:r>
      <w:r>
        <w:rPr>
          <w:rFonts w:hint="eastAsia"/>
        </w:rPr>
        <w:t>)</w:t>
      </w:r>
      <w:r>
        <w:rPr>
          <w:rFonts w:hint="eastAsia"/>
        </w:rPr>
        <w:t>，与</w:t>
      </w:r>
      <w:r>
        <w:t>1990</w:t>
      </w:r>
      <w:r>
        <w:rPr>
          <w:rFonts w:hint="eastAsia"/>
        </w:rPr>
        <w:t>年相比，总死亡人数在中塞尔维亚略有上升，在伏伊伏丁那省几乎没有变化。名列第三的是未明确定义疾病和病症</w:t>
      </w:r>
      <w:r>
        <w:rPr>
          <w:rFonts w:hint="eastAsia"/>
        </w:rPr>
        <w:t>(</w:t>
      </w:r>
      <w:r>
        <w:rPr>
          <w:rFonts w:hint="eastAsia"/>
        </w:rPr>
        <w:t>症状、征兆、病理、临床和实验室结果</w:t>
      </w:r>
      <w:r>
        <w:rPr>
          <w:rFonts w:hint="eastAsia"/>
        </w:rPr>
        <w:t>)</w:t>
      </w:r>
      <w:r>
        <w:rPr>
          <w:rFonts w:hint="eastAsia"/>
        </w:rPr>
        <w:t>，而死于外伤</w:t>
      </w:r>
      <w:r>
        <w:rPr>
          <w:rFonts w:hint="eastAsia"/>
        </w:rPr>
        <w:t>、严重创伤和外因影响后果的居第四位。</w:t>
      </w:r>
      <w:r>
        <w:rPr>
          <w:rStyle w:val="EndnoteReference"/>
          <w:szCs w:val="22"/>
        </w:rPr>
        <w:endnoteReference w:id="15"/>
      </w:r>
      <w:r>
        <w:rPr>
          <w:rFonts w:hint="eastAsia"/>
        </w:rPr>
        <w:t xml:space="preserve"> </w:t>
      </w:r>
      <w:r>
        <w:rPr>
          <w:rFonts w:hint="eastAsia"/>
        </w:rPr>
        <w:t>死于未明确定义疾病和病症者在中塞尔维亚和伏伊伏丁那省都有上升。在中塞尔维亚和伏伊伏丁那省，因外因死亡的总人数均有下降。</w:t>
      </w:r>
    </w:p>
    <w:p w:rsidR="00000000" w:rsidRDefault="00844A84">
      <w:pPr>
        <w:ind w:firstLine="510"/>
      </w:pPr>
      <w:r>
        <w:t>293.</w:t>
      </w:r>
      <w:r>
        <w:rPr>
          <w:rFonts w:hint="eastAsia"/>
        </w:rPr>
        <w:t xml:space="preserve">  </w:t>
      </w:r>
      <w:r>
        <w:rPr>
          <w:rFonts w:hint="eastAsia"/>
        </w:rPr>
        <w:t>心血管疾病和恶性疾病在死亡结构中比例很高，其原因是存在很多风险因素，包括行为因素</w:t>
      </w:r>
      <w:r>
        <w:rPr>
          <w:rFonts w:hint="eastAsia"/>
        </w:rPr>
        <w:t>(</w:t>
      </w:r>
      <w:r>
        <w:rPr>
          <w:rFonts w:hint="eastAsia"/>
        </w:rPr>
        <w:t>抽烟、酗酒、饮食不当、缺乏锻炼</w:t>
      </w:r>
      <w:r>
        <w:rPr>
          <w:rFonts w:hint="eastAsia"/>
        </w:rPr>
        <w:t>)</w:t>
      </w:r>
      <w:r>
        <w:rPr>
          <w:rFonts w:hint="eastAsia"/>
        </w:rPr>
        <w:t>和外部环境</w:t>
      </w:r>
      <w:r>
        <w:rPr>
          <w:rFonts w:hint="eastAsia"/>
        </w:rPr>
        <w:t>(</w:t>
      </w:r>
      <w:r>
        <w:rPr>
          <w:rFonts w:hint="eastAsia"/>
        </w:rPr>
        <w:t>空气、食品和水污染</w:t>
      </w:r>
      <w:r>
        <w:rPr>
          <w:rFonts w:hint="eastAsia"/>
        </w:rPr>
        <w:t>)</w:t>
      </w:r>
      <w:r>
        <w:rPr>
          <w:rFonts w:hint="eastAsia"/>
        </w:rPr>
        <w:t>。未明确定义疾病和病症排在第三位是由于在塞尔维亚境内对死因的报告不可靠。排在第四位的外部因素是由于工作、交通或家庭缺乏安全。对死亡的外部原因进行分解发现，死亡率最高的是意外死亡，然后是自杀和谋杀</w:t>
      </w:r>
      <w:r>
        <w:rPr>
          <w:rFonts w:hint="eastAsia"/>
        </w:rPr>
        <w:t>。</w:t>
      </w:r>
      <w:r>
        <w:rPr>
          <w:rStyle w:val="EndnoteReference"/>
          <w:szCs w:val="22"/>
        </w:rPr>
        <w:endnoteReference w:id="16"/>
      </w:r>
      <w:r>
        <w:rPr>
          <w:rFonts w:hint="eastAsia"/>
        </w:rPr>
        <w:t xml:space="preserve"> </w:t>
      </w:r>
      <w:r>
        <w:rPr>
          <w:rFonts w:hint="eastAsia"/>
        </w:rPr>
        <w:t>这些原因引起的死亡率在</w:t>
      </w:r>
      <w:r>
        <w:t>1991</w:t>
      </w:r>
      <w:r>
        <w:rPr>
          <w:rFonts w:hint="eastAsia"/>
        </w:rPr>
        <w:t>年和</w:t>
      </w:r>
      <w:r>
        <w:t>1992</w:t>
      </w:r>
      <w:r>
        <w:rPr>
          <w:rFonts w:hint="eastAsia"/>
        </w:rPr>
        <w:t>年前南斯拉夫境内发生冲突时上升。自</w:t>
      </w:r>
      <w:r>
        <w:t>1996</w:t>
      </w:r>
      <w:r>
        <w:rPr>
          <w:rFonts w:hint="eastAsia"/>
        </w:rPr>
        <w:t>年以来，三种原因引起的死亡率均有上升，意外死亡和自杀引起的死亡率上升最快。</w:t>
      </w:r>
    </w:p>
    <w:p w:rsidR="00000000" w:rsidRDefault="00844A84">
      <w:pPr>
        <w:ind w:firstLine="510"/>
      </w:pPr>
      <w:r>
        <w:t>294.</w:t>
      </w:r>
      <w:r>
        <w:rPr>
          <w:rFonts w:hint="eastAsia"/>
        </w:rPr>
        <w:t xml:space="preserve">  </w:t>
      </w:r>
      <w:r>
        <w:rPr>
          <w:rFonts w:hint="eastAsia"/>
        </w:rPr>
        <w:t>对意外死亡者进行性别差异分析表明，报告期间男性死亡率几乎是女性的三倍，</w:t>
      </w:r>
      <w:r>
        <w:t>1991</w:t>
      </w:r>
      <w:r>
        <w:rPr>
          <w:rFonts w:hint="eastAsia"/>
        </w:rPr>
        <w:t>年和</w:t>
      </w:r>
      <w:r>
        <w:t>1992</w:t>
      </w:r>
      <w:r>
        <w:rPr>
          <w:rFonts w:hint="eastAsia"/>
        </w:rPr>
        <w:t>年期间甚至高达四倍。</w:t>
      </w:r>
      <w:r>
        <w:rPr>
          <w:rStyle w:val="EndnoteReference"/>
          <w:szCs w:val="22"/>
        </w:rPr>
        <w:endnoteReference w:id="17"/>
      </w:r>
    </w:p>
    <w:p w:rsidR="00000000" w:rsidRDefault="00844A84">
      <w:pPr>
        <w:spacing w:after="320"/>
        <w:ind w:firstLine="510"/>
      </w:pPr>
      <w:r>
        <w:t>295.</w:t>
      </w:r>
      <w:r>
        <w:rPr>
          <w:rFonts w:hint="eastAsia"/>
        </w:rPr>
        <w:t xml:space="preserve">  </w:t>
      </w:r>
      <w:r>
        <w:rPr>
          <w:rFonts w:hint="eastAsia"/>
        </w:rPr>
        <w:t>根据死亡率统计数据</w:t>
      </w:r>
      <w:r>
        <w:rPr>
          <w:rFonts w:hint="eastAsia"/>
        </w:rPr>
        <w:t>(</w:t>
      </w:r>
      <w:r>
        <w:rPr>
          <w:rFonts w:hint="eastAsia"/>
        </w:rPr>
        <w:t>这是最可靠的数据</w:t>
      </w:r>
      <w:r>
        <w:rPr>
          <w:rFonts w:hint="eastAsia"/>
        </w:rPr>
        <w:t>)</w:t>
      </w:r>
      <w:r>
        <w:rPr>
          <w:rFonts w:hint="eastAsia"/>
        </w:rPr>
        <w:t>对塞尔维亚共和国人口的</w:t>
      </w:r>
      <w:r>
        <w:rPr>
          <w:rFonts w:hint="eastAsia"/>
          <w:bCs/>
        </w:rPr>
        <w:t>保健状况</w:t>
      </w:r>
      <w:r>
        <w:rPr>
          <w:rFonts w:hint="eastAsia"/>
        </w:rPr>
        <w:t>进行分析表明，保健状况恶化是由于劳动适龄人口，尤其是男性死亡率的上升。另一原因是所谓的可预防死亡，即在卫生保健制度下，采取适当措施本可以预防</w:t>
      </w:r>
      <w:r>
        <w:rPr>
          <w:rFonts w:hint="eastAsia"/>
        </w:rPr>
        <w:t>的疾病和死亡。塞尔维亚人口保健状况的变化与中东欧国家转型时期的状况极为相似，但对于我国是否已经进入或在多大程度上进入转型期还有不同看法。</w:t>
      </w:r>
    </w:p>
    <w:p w:rsidR="00000000" w:rsidRDefault="00844A84">
      <w:pPr>
        <w:pStyle w:val="Heading3"/>
      </w:pPr>
      <w:r>
        <w:rPr>
          <w:u w:val="none"/>
        </w:rPr>
        <w:t>G.</w:t>
      </w:r>
      <w:r>
        <w:rPr>
          <w:rFonts w:hint="eastAsia"/>
          <w:u w:val="none"/>
        </w:rPr>
        <w:t xml:space="preserve">  </w:t>
      </w:r>
      <w:r>
        <w:rPr>
          <w:rFonts w:hint="eastAsia"/>
        </w:rPr>
        <w:t>保健状况指标</w:t>
      </w:r>
    </w:p>
    <w:p w:rsidR="00000000" w:rsidRDefault="00844A84">
      <w:pPr>
        <w:pStyle w:val="Heading4"/>
      </w:pPr>
      <w:r>
        <w:rPr>
          <w:rFonts w:hint="eastAsia"/>
        </w:rPr>
        <w:t>婴儿死亡率</w:t>
      </w:r>
    </w:p>
    <w:p w:rsidR="00000000" w:rsidRDefault="00844A84">
      <w:pPr>
        <w:ind w:firstLine="510"/>
      </w:pPr>
      <w:r>
        <w:t>296.</w:t>
      </w:r>
      <w:r>
        <w:rPr>
          <w:rFonts w:hint="eastAsia"/>
        </w:rPr>
        <w:t xml:space="preserve">  </w:t>
      </w:r>
      <w:r>
        <w:rPr>
          <w:rFonts w:hint="eastAsia"/>
        </w:rPr>
        <w:t>男性和女性新生儿出生时的预期寿命差异在中塞尔维亚增加了两岁多，在伏伊伏丁那省下降了大约</w:t>
      </w:r>
      <w:r>
        <w:t>1.5</w:t>
      </w:r>
      <w:r>
        <w:rPr>
          <w:rFonts w:hint="eastAsia"/>
        </w:rPr>
        <w:t>岁。</w:t>
      </w:r>
      <w:r>
        <w:rPr>
          <w:rStyle w:val="EndnoteReference"/>
          <w:szCs w:val="22"/>
        </w:rPr>
        <w:endnoteReference w:id="18"/>
      </w:r>
    </w:p>
    <w:p w:rsidR="00000000" w:rsidRDefault="00844A84">
      <w:pPr>
        <w:ind w:firstLine="510"/>
      </w:pPr>
      <w:r>
        <w:t>297.</w:t>
      </w:r>
      <w:r>
        <w:rPr>
          <w:rFonts w:hint="eastAsia"/>
        </w:rPr>
        <w:t xml:space="preserve">  </w:t>
      </w:r>
      <w:r>
        <w:rPr>
          <w:rFonts w:hint="eastAsia"/>
        </w:rPr>
        <w:t>对八年期间</w:t>
      </w:r>
      <w:r>
        <w:rPr>
          <w:rFonts w:hint="eastAsia"/>
        </w:rPr>
        <w:t>(</w:t>
      </w:r>
      <w:r>
        <w:t>1990-1997</w:t>
      </w:r>
      <w:r>
        <w:rPr>
          <w:rFonts w:hint="eastAsia"/>
        </w:rPr>
        <w:t>)</w:t>
      </w:r>
      <w:r>
        <w:rPr>
          <w:rFonts w:hint="eastAsia"/>
        </w:rPr>
        <w:t>中塞尔维亚和伏伊伏丁那省婴儿出生时预期寿命进行的线性趋势分析显示两个临界期，即</w:t>
      </w:r>
      <w:r>
        <w:t>1992</w:t>
      </w:r>
      <w:r>
        <w:rPr>
          <w:rFonts w:hint="eastAsia"/>
        </w:rPr>
        <w:t>/</w:t>
      </w:r>
      <w:r>
        <w:t>93</w:t>
      </w:r>
      <w:r>
        <w:rPr>
          <w:rFonts w:hint="eastAsia"/>
        </w:rPr>
        <w:t>年和</w:t>
      </w:r>
      <w:r>
        <w:t>1996/97</w:t>
      </w:r>
      <w:r>
        <w:rPr>
          <w:rFonts w:hint="eastAsia"/>
        </w:rPr>
        <w:t>年。在这两个时期，男性新生儿预计寿命下降，而女性新生儿预计寿命不变或稍有下</w:t>
      </w:r>
      <w:r>
        <w:rPr>
          <w:rFonts w:hint="eastAsia"/>
        </w:rPr>
        <w:t>降。</w:t>
      </w:r>
      <w:r>
        <w:rPr>
          <w:rStyle w:val="EndnoteReference"/>
          <w:szCs w:val="22"/>
        </w:rPr>
        <w:endnoteReference w:id="19"/>
      </w:r>
    </w:p>
    <w:p w:rsidR="00000000" w:rsidRDefault="00844A84">
      <w:pPr>
        <w:ind w:firstLine="510"/>
      </w:pPr>
      <w:r>
        <w:t>298.</w:t>
      </w:r>
      <w:r>
        <w:rPr>
          <w:rFonts w:hint="eastAsia"/>
        </w:rPr>
        <w:t xml:space="preserve">  </w:t>
      </w:r>
      <w:r>
        <w:rPr>
          <w:rFonts w:hint="eastAsia"/>
        </w:rPr>
        <w:t>婴儿死亡率作为儿童一周岁前保健状况的敏感指标，继</w:t>
      </w:r>
      <w:r>
        <w:t>1970</w:t>
      </w:r>
      <w:r>
        <w:rPr>
          <w:rFonts w:hint="eastAsia"/>
        </w:rPr>
        <w:t>年代和</w:t>
      </w:r>
      <w:r>
        <w:t>1980</w:t>
      </w:r>
      <w:r>
        <w:rPr>
          <w:rFonts w:hint="eastAsia"/>
        </w:rPr>
        <w:t>年代连续下降之后，在</w:t>
      </w:r>
      <w:r>
        <w:t>1992</w:t>
      </w:r>
      <w:r>
        <w:rPr>
          <w:rFonts w:hint="eastAsia"/>
        </w:rPr>
        <w:t>年开始上升。</w:t>
      </w:r>
      <w:r>
        <w:t>1993</w:t>
      </w:r>
      <w:r>
        <w:rPr>
          <w:rFonts w:hint="eastAsia"/>
        </w:rPr>
        <w:t>年，中塞尔维亚和伏伊伏丁那省婴儿死亡率上升了千分之二。经过短期下降后，</w:t>
      </w:r>
      <w:r>
        <w:t>1996</w:t>
      </w:r>
      <w:r>
        <w:rPr>
          <w:rFonts w:hint="eastAsia"/>
        </w:rPr>
        <w:t>年在塞尔维亚其他地区又开始上升。</w:t>
      </w:r>
      <w:r>
        <w:rPr>
          <w:rStyle w:val="EndnoteReference"/>
          <w:szCs w:val="22"/>
        </w:rPr>
        <w:endnoteReference w:id="20"/>
      </w:r>
    </w:p>
    <w:p w:rsidR="00000000" w:rsidRDefault="00844A84">
      <w:pPr>
        <w:ind w:firstLine="510"/>
      </w:pPr>
      <w:r>
        <w:t>299.</w:t>
      </w:r>
      <w:r>
        <w:rPr>
          <w:rFonts w:hint="eastAsia"/>
        </w:rPr>
        <w:t xml:space="preserve">  </w:t>
      </w:r>
      <w:r>
        <w:rPr>
          <w:rFonts w:hint="eastAsia"/>
        </w:rPr>
        <w:t>至于婴儿死亡率和社会经济发展的关系，婴儿死亡率和人均国内总产值</w:t>
      </w:r>
      <w:r>
        <w:rPr>
          <w:rFonts w:hint="eastAsia"/>
        </w:rPr>
        <w:t>(</w:t>
      </w:r>
      <w:r>
        <w:rPr>
          <w:rFonts w:hint="eastAsia"/>
        </w:rPr>
        <w:t>国民收入</w:t>
      </w:r>
      <w:r>
        <w:rPr>
          <w:rFonts w:hint="eastAsia"/>
        </w:rPr>
        <w:t>)</w:t>
      </w:r>
      <w:r>
        <w:rPr>
          <w:rFonts w:hint="eastAsia"/>
        </w:rPr>
        <w:t>之间的负相关关系很好地回答了这个问题。这一点在国际和国内的研究文献中都有记录。作为人口中的脆弱群体，婴儿死亡率表明社会经济因素是决定保健状况的最重要因素。塞尔维亚共和国</w:t>
      </w:r>
      <w:r>
        <w:t>199</w:t>
      </w:r>
      <w:r>
        <w:t>0</w:t>
      </w:r>
      <w:r>
        <w:rPr>
          <w:rFonts w:hint="eastAsia"/>
        </w:rPr>
        <w:t>年至</w:t>
      </w:r>
      <w:r>
        <w:t>1998</w:t>
      </w:r>
      <w:r>
        <w:rPr>
          <w:rFonts w:hint="eastAsia"/>
        </w:rPr>
        <w:t>年的变化趋势也说明了婴儿死亡率和以不变价格计算的人均国民收入之间的负相关关系。</w:t>
      </w:r>
      <w:r>
        <w:rPr>
          <w:rStyle w:val="EndnoteReference"/>
          <w:szCs w:val="22"/>
        </w:rPr>
        <w:endnoteReference w:id="21"/>
      </w:r>
    </w:p>
    <w:p w:rsidR="00000000" w:rsidRDefault="00844A84">
      <w:pPr>
        <w:ind w:firstLine="510"/>
      </w:pPr>
      <w:r>
        <w:t>300.</w:t>
      </w:r>
      <w:r>
        <w:rPr>
          <w:rFonts w:hint="eastAsia"/>
        </w:rPr>
        <w:t xml:space="preserve">  </w:t>
      </w:r>
      <w:r>
        <w:rPr>
          <w:rFonts w:hint="eastAsia"/>
        </w:rPr>
        <w:t>婴儿死亡率是新生儿时期</w:t>
      </w:r>
      <w:r>
        <w:rPr>
          <w:rFonts w:hint="eastAsia"/>
        </w:rPr>
        <w:t>(</w:t>
      </w:r>
      <w:r>
        <w:rPr>
          <w:rFonts w:hint="eastAsia"/>
        </w:rPr>
        <w:t>出生后</w:t>
      </w:r>
      <w:r>
        <w:t>28</w:t>
      </w:r>
      <w:r>
        <w:rPr>
          <w:rFonts w:hint="eastAsia"/>
        </w:rPr>
        <w:t>天内</w:t>
      </w:r>
      <w:r>
        <w:rPr>
          <w:rFonts w:hint="eastAsia"/>
        </w:rPr>
        <w:t>)</w:t>
      </w:r>
      <w:r>
        <w:rPr>
          <w:rFonts w:hint="eastAsia"/>
        </w:rPr>
        <w:t>死亡风险的一项复杂指标，它随着新生儿保健状况的改善而下降；婴儿死亡率也是衡量后新生儿期死亡风险的一项复杂指标，随着母亲教育程度提高、卫生和营养条件改善、婴儿预防接种的扩大和对婴儿呼吸系统疾病的更好治疗而下降。由于以上两个时期的风险，塞尔维亚共和国婴儿死亡率在</w:t>
      </w:r>
      <w:r>
        <w:t>1993</w:t>
      </w:r>
      <w:r>
        <w:rPr>
          <w:rFonts w:hint="eastAsia"/>
        </w:rPr>
        <w:t>年上升，随后在</w:t>
      </w:r>
      <w:r>
        <w:t>1996</w:t>
      </w:r>
      <w:r>
        <w:rPr>
          <w:rFonts w:hint="eastAsia"/>
        </w:rPr>
        <w:t>年和</w:t>
      </w:r>
      <w:r>
        <w:t>1997</w:t>
      </w:r>
      <w:r>
        <w:rPr>
          <w:rFonts w:hint="eastAsia"/>
        </w:rPr>
        <w:t>年再次上升。</w:t>
      </w:r>
    </w:p>
    <w:p w:rsidR="00000000" w:rsidRDefault="00844A84">
      <w:pPr>
        <w:ind w:firstLine="510"/>
      </w:pPr>
      <w:r>
        <w:t>301.</w:t>
      </w:r>
      <w:r>
        <w:rPr>
          <w:rFonts w:hint="eastAsia"/>
        </w:rPr>
        <w:t xml:space="preserve">  </w:t>
      </w:r>
      <w:r>
        <w:rPr>
          <w:rFonts w:hint="eastAsia"/>
        </w:rPr>
        <w:t>新生儿第一周的死亡率占新生儿死亡率的比</w:t>
      </w:r>
      <w:r>
        <w:rPr>
          <w:rFonts w:hint="eastAsia"/>
        </w:rPr>
        <w:t>例最高。同时，围产期死亡率也很高。围产期死亡率是指在每千名产儿中，死产和产后一周内死亡婴儿合计所占比例。围产期死亡率是内在因素对胎儿健康影响的指标。除此之外，在围产期卫生保健</w:t>
      </w:r>
      <w:r>
        <w:rPr>
          <w:rFonts w:hint="eastAsia"/>
        </w:rPr>
        <w:t>(</w:t>
      </w:r>
      <w:r>
        <w:rPr>
          <w:rFonts w:hint="eastAsia"/>
        </w:rPr>
        <w:t>孕产妇保健</w:t>
      </w:r>
      <w:r>
        <w:rPr>
          <w:rFonts w:hint="eastAsia"/>
        </w:rPr>
        <w:t>)</w:t>
      </w:r>
      <w:r>
        <w:rPr>
          <w:rFonts w:hint="eastAsia"/>
        </w:rPr>
        <w:t>组织良好的国家，几乎所有的产妇都在医疗机构分娩，在南斯拉夫联盟共和国就是如此。在这种情况下，围产期死亡率也是孕产妇保健质量的一个可靠指标，因为这种死亡是在对孕产妇健康进行严密医学监视期间发生的。</w:t>
      </w:r>
    </w:p>
    <w:p w:rsidR="00000000" w:rsidRDefault="00844A84">
      <w:pPr>
        <w:ind w:firstLine="510"/>
      </w:pPr>
      <w:r>
        <w:t>302.</w:t>
      </w:r>
      <w:r>
        <w:rPr>
          <w:rFonts w:hint="eastAsia"/>
        </w:rPr>
        <w:t xml:space="preserve">  </w:t>
      </w:r>
      <w:r>
        <w:rPr>
          <w:rFonts w:hint="eastAsia"/>
        </w:rPr>
        <w:t>在报告期间，中塞尔维亚地区围产期死亡率一直保持在较高水平，几乎没有变化，</w:t>
      </w:r>
      <w:r>
        <w:t>1993</w:t>
      </w:r>
      <w:r>
        <w:rPr>
          <w:rFonts w:hint="eastAsia"/>
        </w:rPr>
        <w:t>年和</w:t>
      </w:r>
      <w:r>
        <w:t>1996</w:t>
      </w:r>
      <w:r>
        <w:rPr>
          <w:rFonts w:hint="eastAsia"/>
        </w:rPr>
        <w:t>年还略有升高。这说明向孕</w:t>
      </w:r>
      <w:r>
        <w:rPr>
          <w:rFonts w:hint="eastAsia"/>
        </w:rPr>
        <w:t>产妇和新生儿提供的卫生保健质量可能在下降。</w:t>
      </w:r>
      <w:r>
        <w:rPr>
          <w:rStyle w:val="EndnoteReference"/>
          <w:szCs w:val="22"/>
        </w:rPr>
        <w:endnoteReference w:id="22"/>
      </w:r>
      <w:r>
        <w:rPr>
          <w:rFonts w:hint="eastAsia"/>
        </w:rPr>
        <w:t xml:space="preserve"> </w:t>
      </w:r>
      <w:r>
        <w:rPr>
          <w:rFonts w:hint="eastAsia"/>
        </w:rPr>
        <w:t>在伏伊伏丁那省，继</w:t>
      </w:r>
      <w:r>
        <w:t>1994</w:t>
      </w:r>
      <w:r>
        <w:rPr>
          <w:rFonts w:hint="eastAsia"/>
        </w:rPr>
        <w:t>年下降之后，</w:t>
      </w:r>
      <w:r>
        <w:t>1996</w:t>
      </w:r>
      <w:r>
        <w:rPr>
          <w:rFonts w:hint="eastAsia"/>
        </w:rPr>
        <w:t>年又开始上升。</w:t>
      </w:r>
    </w:p>
    <w:p w:rsidR="00000000" w:rsidRDefault="00844A84">
      <w:pPr>
        <w:ind w:firstLine="510"/>
      </w:pPr>
      <w:r>
        <w:t>303.</w:t>
      </w:r>
      <w:r>
        <w:rPr>
          <w:rFonts w:hint="eastAsia"/>
        </w:rPr>
        <w:t xml:space="preserve">  </w:t>
      </w:r>
      <w:r>
        <w:t>1995</w:t>
      </w:r>
      <w:r>
        <w:rPr>
          <w:rFonts w:hint="eastAsia"/>
        </w:rPr>
        <w:t>年和</w:t>
      </w:r>
      <w:r>
        <w:t>1996</w:t>
      </w:r>
      <w:r>
        <w:rPr>
          <w:rFonts w:hint="eastAsia"/>
        </w:rPr>
        <w:t>年，中塞尔维亚和伏伊伏丁那省婴儿后围产期死亡率分别大幅上升，说明外部环境</w:t>
      </w:r>
      <w:r>
        <w:rPr>
          <w:rFonts w:hint="eastAsia"/>
        </w:rPr>
        <w:t>(</w:t>
      </w:r>
      <w:r>
        <w:rPr>
          <w:rFonts w:hint="eastAsia"/>
        </w:rPr>
        <w:t>外在因素</w:t>
      </w:r>
      <w:r>
        <w:rPr>
          <w:rFonts w:hint="eastAsia"/>
        </w:rPr>
        <w:t>)</w:t>
      </w:r>
      <w:r>
        <w:rPr>
          <w:rFonts w:hint="eastAsia"/>
        </w:rPr>
        <w:t>对婴儿健康的消极影响。</w:t>
      </w:r>
      <w:r>
        <w:rPr>
          <w:rStyle w:val="EndnoteReference"/>
          <w:szCs w:val="22"/>
        </w:rPr>
        <w:endnoteReference w:id="23"/>
      </w:r>
    </w:p>
    <w:p w:rsidR="00000000" w:rsidRDefault="00844A84">
      <w:pPr>
        <w:ind w:firstLine="510"/>
        <w:rPr>
          <w:color w:val="99CC00"/>
        </w:rPr>
      </w:pPr>
      <w:r>
        <w:t>304.</w:t>
      </w:r>
      <w:r>
        <w:rPr>
          <w:rFonts w:hint="eastAsia"/>
        </w:rPr>
        <w:t xml:space="preserve">  </w:t>
      </w:r>
      <w:r>
        <w:rPr>
          <w:rFonts w:hint="eastAsia"/>
        </w:rPr>
        <w:t>儿童健康不仅在出生后第一年十分脆弱，整个学龄前期间也很脆弱。因此，儿童基金会把五岁以下儿童死亡率作为世界儿童健康的最重要指标，按这一指标给各个国家排序。像婴儿死亡率一样，</w:t>
      </w:r>
      <w:r>
        <w:t>1993</w:t>
      </w:r>
      <w:r>
        <w:rPr>
          <w:rFonts w:hint="eastAsia"/>
        </w:rPr>
        <w:t>年以及</w:t>
      </w:r>
      <w:r>
        <w:t>1996</w:t>
      </w:r>
      <w:r>
        <w:rPr>
          <w:rFonts w:hint="eastAsia"/>
        </w:rPr>
        <w:t>年在中塞尔维亚和伏伊伏丁那省，五岁以下儿童死亡率两次上升。</w:t>
      </w:r>
      <w:r>
        <w:rPr>
          <w:rStyle w:val="EndnoteReference"/>
          <w:szCs w:val="22"/>
        </w:rPr>
        <w:endnoteReference w:id="24"/>
      </w:r>
    </w:p>
    <w:p w:rsidR="00000000" w:rsidRDefault="00844A84">
      <w:pPr>
        <w:autoSpaceDE w:val="0"/>
        <w:autoSpaceDN w:val="0"/>
        <w:ind w:firstLine="510"/>
        <w:rPr>
          <w:szCs w:val="22"/>
        </w:rPr>
      </w:pPr>
      <w:r>
        <w:rPr>
          <w:szCs w:val="22"/>
        </w:rPr>
        <w:t>305.</w:t>
      </w:r>
      <w:r>
        <w:rPr>
          <w:rFonts w:hint="eastAsia"/>
          <w:szCs w:val="22"/>
        </w:rPr>
        <w:t xml:space="preserve">  </w:t>
      </w:r>
      <w:r>
        <w:rPr>
          <w:rFonts w:hint="eastAsia"/>
          <w:szCs w:val="22"/>
        </w:rPr>
        <w:t>孕产妇死亡率反映了母亲在怀孕、分娩和产褥期</w:t>
      </w:r>
      <w:r>
        <w:rPr>
          <w:rFonts w:hint="eastAsia"/>
          <w:szCs w:val="22"/>
        </w:rPr>
        <w:t>(</w:t>
      </w:r>
      <w:r>
        <w:rPr>
          <w:rFonts w:hint="eastAsia"/>
          <w:szCs w:val="22"/>
        </w:rPr>
        <w:t>产后六周</w:t>
      </w:r>
      <w:r>
        <w:rPr>
          <w:rFonts w:hint="eastAsia"/>
          <w:szCs w:val="22"/>
        </w:rPr>
        <w:t>)</w:t>
      </w:r>
      <w:r>
        <w:rPr>
          <w:rFonts w:hint="eastAsia"/>
          <w:szCs w:val="22"/>
        </w:rPr>
        <w:t>的全部风险，它受到生活的社会经济状况、孕前母亲</w:t>
      </w:r>
      <w:r>
        <w:rPr>
          <w:rFonts w:hint="eastAsia"/>
          <w:bCs/>
        </w:rPr>
        <w:t>保健状况</w:t>
      </w:r>
      <w:r>
        <w:rPr>
          <w:rFonts w:hint="eastAsia"/>
          <w:szCs w:val="22"/>
        </w:rPr>
        <w:t>、怀孕和分娩时的并发症、保健服务的提供和利用状况，特别是产前和产后保健的直接影响。像围产期死亡率一样，孕产妇死亡率</w:t>
      </w:r>
      <w:r>
        <w:rPr>
          <w:rFonts w:hint="eastAsia"/>
          <w:szCs w:val="22"/>
        </w:rPr>
        <w:t>(</w:t>
      </w:r>
      <w:r>
        <w:rPr>
          <w:rFonts w:hint="eastAsia"/>
          <w:szCs w:val="22"/>
        </w:rPr>
        <w:t>该死亡率更常用</w:t>
      </w:r>
      <w:r>
        <w:rPr>
          <w:rFonts w:hint="eastAsia"/>
          <w:szCs w:val="22"/>
        </w:rPr>
        <w:t>)</w:t>
      </w:r>
      <w:r>
        <w:rPr>
          <w:rFonts w:hint="eastAsia"/>
          <w:szCs w:val="22"/>
        </w:rPr>
        <w:t>是卫生保健服务质量的良好指标。</w:t>
      </w:r>
    </w:p>
    <w:p w:rsidR="00000000" w:rsidRDefault="00844A84">
      <w:pPr>
        <w:autoSpaceDE w:val="0"/>
        <w:autoSpaceDN w:val="0"/>
        <w:ind w:firstLine="510"/>
        <w:rPr>
          <w:szCs w:val="22"/>
        </w:rPr>
      </w:pPr>
      <w:r>
        <w:rPr>
          <w:szCs w:val="22"/>
        </w:rPr>
        <w:t>306.</w:t>
      </w:r>
      <w:r>
        <w:rPr>
          <w:rFonts w:hint="eastAsia"/>
          <w:szCs w:val="22"/>
        </w:rPr>
        <w:t xml:space="preserve">  </w:t>
      </w:r>
      <w:r>
        <w:rPr>
          <w:rFonts w:hint="eastAsia"/>
          <w:szCs w:val="22"/>
        </w:rPr>
        <w:t>在本报所述的八年期间，中塞尔维亚孕产妇死亡率</w:t>
      </w:r>
      <w:r>
        <w:rPr>
          <w:rFonts w:hint="eastAsia"/>
          <w:szCs w:val="22"/>
        </w:rPr>
        <w:t>(</w:t>
      </w:r>
      <w:r>
        <w:rPr>
          <w:rFonts w:hint="eastAsia"/>
          <w:szCs w:val="22"/>
        </w:rPr>
        <w:t>每</w:t>
      </w:r>
      <w:r>
        <w:rPr>
          <w:szCs w:val="22"/>
        </w:rPr>
        <w:t>10</w:t>
      </w:r>
      <w:r>
        <w:rPr>
          <w:rFonts w:hint="eastAsia"/>
          <w:szCs w:val="22"/>
        </w:rPr>
        <w:t>万活产婴儿中妇女在怀孕或分娩时的死亡人数</w:t>
      </w:r>
      <w:r>
        <w:rPr>
          <w:rFonts w:hint="eastAsia"/>
          <w:szCs w:val="22"/>
        </w:rPr>
        <w:t>)</w:t>
      </w:r>
      <w:r>
        <w:rPr>
          <w:rFonts w:hint="eastAsia"/>
          <w:szCs w:val="22"/>
        </w:rPr>
        <w:t>上升了</w:t>
      </w:r>
      <w:r>
        <w:rPr>
          <w:szCs w:val="22"/>
        </w:rPr>
        <w:t>10</w:t>
      </w:r>
      <w:r>
        <w:rPr>
          <w:rFonts w:hint="eastAsia"/>
          <w:szCs w:val="22"/>
        </w:rPr>
        <w:t>万分之</w:t>
      </w:r>
      <w:r>
        <w:rPr>
          <w:szCs w:val="22"/>
        </w:rPr>
        <w:t>10</w:t>
      </w:r>
      <w:r>
        <w:rPr>
          <w:rFonts w:hint="eastAsia"/>
          <w:szCs w:val="22"/>
        </w:rPr>
        <w:t>。在伏伊伏丁那省也有类似上升，而科索沃和梅托希亚省情况不同，原因是那里未登记所有死亡的人数，还有大</w:t>
      </w:r>
      <w:r>
        <w:rPr>
          <w:rFonts w:hint="eastAsia"/>
          <w:szCs w:val="22"/>
        </w:rPr>
        <w:t>量产妇在医疗机构之外分娩。</w:t>
      </w:r>
      <w:r>
        <w:rPr>
          <w:rStyle w:val="EndnoteReference"/>
          <w:szCs w:val="22"/>
        </w:rPr>
        <w:endnoteReference w:id="25"/>
      </w:r>
    </w:p>
    <w:p w:rsidR="00000000" w:rsidRDefault="00844A84">
      <w:pPr>
        <w:autoSpaceDE w:val="0"/>
        <w:autoSpaceDN w:val="0"/>
        <w:spacing w:after="240"/>
        <w:ind w:firstLine="510"/>
        <w:rPr>
          <w:szCs w:val="22"/>
        </w:rPr>
      </w:pPr>
      <w:r>
        <w:rPr>
          <w:szCs w:val="22"/>
        </w:rPr>
        <w:t>307.</w:t>
      </w:r>
      <w:r>
        <w:rPr>
          <w:rFonts w:hint="eastAsia"/>
          <w:szCs w:val="22"/>
        </w:rPr>
        <w:t xml:space="preserve">  </w:t>
      </w:r>
      <w:r>
        <w:rPr>
          <w:rFonts w:hint="eastAsia"/>
          <w:szCs w:val="22"/>
        </w:rPr>
        <w:t>虽然人口中脆弱群体死亡率上升，例如儿童</w:t>
      </w:r>
      <w:r>
        <w:rPr>
          <w:rFonts w:hint="eastAsia"/>
          <w:szCs w:val="22"/>
        </w:rPr>
        <w:t>(</w:t>
      </w:r>
      <w:r>
        <w:rPr>
          <w:rFonts w:hint="eastAsia"/>
          <w:szCs w:val="22"/>
        </w:rPr>
        <w:t>特别是婴儿</w:t>
      </w:r>
      <w:r>
        <w:rPr>
          <w:rFonts w:hint="eastAsia"/>
          <w:szCs w:val="22"/>
        </w:rPr>
        <w:t>)</w:t>
      </w:r>
      <w:r>
        <w:rPr>
          <w:rFonts w:hint="eastAsia"/>
          <w:szCs w:val="22"/>
        </w:rPr>
        <w:t>、孕产妇和产褥期妇女死亡率上升，是妇女出生时预期寿命减少和没有改善的部分原因，但对妇女预期寿命这一健康指标整体下降产生最大影响的是劳动适龄人口中成年人死亡率上升。</w:t>
      </w:r>
    </w:p>
    <w:p w:rsidR="00000000" w:rsidRDefault="00844A84">
      <w:pPr>
        <w:pStyle w:val="Heading4"/>
      </w:pPr>
      <w:r>
        <w:rPr>
          <w:rFonts w:hint="eastAsia"/>
        </w:rPr>
        <w:t>预期寿命</w:t>
      </w:r>
    </w:p>
    <w:p w:rsidR="00000000" w:rsidRDefault="00844A84">
      <w:pPr>
        <w:autoSpaceDE w:val="0"/>
        <w:autoSpaceDN w:val="0"/>
        <w:spacing w:after="240"/>
        <w:ind w:firstLine="510"/>
        <w:rPr>
          <w:szCs w:val="22"/>
        </w:rPr>
      </w:pPr>
      <w:r>
        <w:rPr>
          <w:szCs w:val="22"/>
        </w:rPr>
        <w:t>308.</w:t>
      </w:r>
      <w:r>
        <w:rPr>
          <w:rFonts w:hint="eastAsia"/>
          <w:szCs w:val="22"/>
        </w:rPr>
        <w:t xml:space="preserve">  </w:t>
      </w:r>
      <w:r>
        <w:rPr>
          <w:rFonts w:hint="eastAsia"/>
          <w:szCs w:val="22"/>
        </w:rPr>
        <w:t>出生时的预期寿命是一项</w:t>
      </w:r>
      <w:r>
        <w:rPr>
          <w:rFonts w:hint="eastAsia"/>
          <w:bCs/>
          <w:szCs w:val="22"/>
        </w:rPr>
        <w:t>保健状况</w:t>
      </w:r>
      <w:r>
        <w:rPr>
          <w:rFonts w:hint="eastAsia"/>
          <w:szCs w:val="22"/>
        </w:rPr>
        <w:t>综合指标，它表明某一性别的新生儿在当前死亡率不变的情况下预计可生活多少年。在</w:t>
      </w:r>
      <w:r>
        <w:rPr>
          <w:szCs w:val="22"/>
        </w:rPr>
        <w:t>1950/51</w:t>
      </w:r>
      <w:r>
        <w:rPr>
          <w:rFonts w:hint="eastAsia"/>
          <w:szCs w:val="22"/>
        </w:rPr>
        <w:t>年至</w:t>
      </w:r>
      <w:r>
        <w:rPr>
          <w:szCs w:val="22"/>
        </w:rPr>
        <w:t>1989/90</w:t>
      </w:r>
      <w:r>
        <w:rPr>
          <w:rFonts w:hint="eastAsia"/>
          <w:szCs w:val="22"/>
        </w:rPr>
        <w:t>年期间，中塞尔维亚男性新生儿预期寿命增加了</w:t>
      </w:r>
      <w:r>
        <w:rPr>
          <w:szCs w:val="22"/>
        </w:rPr>
        <w:t>15.7</w:t>
      </w:r>
      <w:r>
        <w:rPr>
          <w:rFonts w:hint="eastAsia"/>
          <w:szCs w:val="22"/>
        </w:rPr>
        <w:t>岁，女性增加了</w:t>
      </w:r>
      <w:r>
        <w:rPr>
          <w:szCs w:val="22"/>
        </w:rPr>
        <w:t>18.1</w:t>
      </w:r>
      <w:r>
        <w:rPr>
          <w:rFonts w:hint="eastAsia"/>
          <w:szCs w:val="22"/>
        </w:rPr>
        <w:t>岁；在伏伊伏丁那省，男</w:t>
      </w:r>
      <w:r>
        <w:rPr>
          <w:rFonts w:hint="eastAsia"/>
          <w:szCs w:val="22"/>
        </w:rPr>
        <w:t>性增加了</w:t>
      </w:r>
      <w:r>
        <w:rPr>
          <w:szCs w:val="22"/>
        </w:rPr>
        <w:t>15.1</w:t>
      </w:r>
      <w:r>
        <w:rPr>
          <w:rFonts w:hint="eastAsia"/>
          <w:szCs w:val="22"/>
        </w:rPr>
        <w:t>岁，女性增加了</w:t>
      </w:r>
      <w:r>
        <w:rPr>
          <w:szCs w:val="22"/>
        </w:rPr>
        <w:t>19.2</w:t>
      </w:r>
      <w:r>
        <w:rPr>
          <w:rFonts w:hint="eastAsia"/>
          <w:szCs w:val="22"/>
        </w:rPr>
        <w:t>岁。在这</w:t>
      </w:r>
      <w:r>
        <w:rPr>
          <w:szCs w:val="22"/>
        </w:rPr>
        <w:t>40</w:t>
      </w:r>
      <w:r>
        <w:rPr>
          <w:rFonts w:hint="eastAsia"/>
          <w:szCs w:val="22"/>
        </w:rPr>
        <w:t>年期间，婴儿死亡率在中塞尔维亚下降了</w:t>
      </w:r>
      <w:r>
        <w:rPr>
          <w:szCs w:val="22"/>
        </w:rPr>
        <w:t>8.3</w:t>
      </w:r>
      <w:r>
        <w:rPr>
          <w:rFonts w:hint="eastAsia"/>
          <w:szCs w:val="22"/>
        </w:rPr>
        <w:t>倍</w:t>
      </w:r>
      <w:r>
        <w:rPr>
          <w:rFonts w:hint="eastAsia"/>
          <w:szCs w:val="22"/>
        </w:rPr>
        <w:t>(</w:t>
      </w:r>
      <w:r>
        <w:rPr>
          <w:rFonts w:hint="eastAsia"/>
          <w:szCs w:val="22"/>
        </w:rPr>
        <w:t>从千分之</w:t>
      </w:r>
      <w:r>
        <w:rPr>
          <w:szCs w:val="22"/>
        </w:rPr>
        <w:t>101.7</w:t>
      </w:r>
      <w:r>
        <w:rPr>
          <w:rFonts w:hint="eastAsia"/>
          <w:szCs w:val="22"/>
        </w:rPr>
        <w:t>下降为千分之</w:t>
      </w:r>
      <w:r>
        <w:rPr>
          <w:szCs w:val="22"/>
        </w:rPr>
        <w:t>10.2</w:t>
      </w:r>
      <w:r>
        <w:rPr>
          <w:rFonts w:hint="eastAsia"/>
          <w:szCs w:val="22"/>
        </w:rPr>
        <w:t>)</w:t>
      </w:r>
      <w:r>
        <w:rPr>
          <w:rFonts w:hint="eastAsia"/>
          <w:szCs w:val="22"/>
        </w:rPr>
        <w:t>，在伏伊伏丁那省下降了</w:t>
      </w:r>
      <w:r>
        <w:rPr>
          <w:szCs w:val="22"/>
        </w:rPr>
        <w:t>12</w:t>
      </w:r>
      <w:r>
        <w:rPr>
          <w:rFonts w:hint="eastAsia"/>
          <w:szCs w:val="22"/>
        </w:rPr>
        <w:t>倍</w:t>
      </w:r>
      <w:r>
        <w:rPr>
          <w:rFonts w:hint="eastAsia"/>
          <w:szCs w:val="22"/>
        </w:rPr>
        <w:t>(</w:t>
      </w:r>
      <w:r>
        <w:rPr>
          <w:rFonts w:hint="eastAsia"/>
          <w:szCs w:val="22"/>
        </w:rPr>
        <w:t>从千分之</w:t>
      </w:r>
      <w:r>
        <w:rPr>
          <w:szCs w:val="22"/>
        </w:rPr>
        <w:t>143.1</w:t>
      </w:r>
      <w:r>
        <w:rPr>
          <w:rFonts w:hint="eastAsia"/>
          <w:szCs w:val="22"/>
        </w:rPr>
        <w:t>下降为</w:t>
      </w:r>
      <w:r>
        <w:rPr>
          <w:szCs w:val="22"/>
        </w:rPr>
        <w:t>12</w:t>
      </w:r>
      <w:r>
        <w:rPr>
          <w:rFonts w:hint="eastAsia"/>
          <w:szCs w:val="22"/>
        </w:rPr>
        <w:t>)</w:t>
      </w:r>
      <w:r>
        <w:rPr>
          <w:rFonts w:hint="eastAsia"/>
          <w:szCs w:val="22"/>
        </w:rPr>
        <w:t>。</w:t>
      </w:r>
    </w:p>
    <w:p w:rsidR="00000000" w:rsidRDefault="00844A84">
      <w:pPr>
        <w:pStyle w:val="Heading4"/>
      </w:pPr>
      <w:r>
        <w:rPr>
          <w:rFonts w:hint="eastAsia"/>
        </w:rPr>
        <w:t>实施强制免疫接种</w:t>
      </w:r>
    </w:p>
    <w:p w:rsidR="00000000" w:rsidRDefault="00844A84">
      <w:pPr>
        <w:autoSpaceDE w:val="0"/>
        <w:autoSpaceDN w:val="0"/>
        <w:spacing w:after="320"/>
        <w:ind w:firstLine="510"/>
        <w:rPr>
          <w:szCs w:val="22"/>
        </w:rPr>
      </w:pPr>
      <w:r>
        <w:rPr>
          <w:szCs w:val="22"/>
        </w:rPr>
        <w:t>309.</w:t>
      </w:r>
      <w:r>
        <w:rPr>
          <w:rFonts w:hint="eastAsia"/>
          <w:szCs w:val="22"/>
        </w:rPr>
        <w:t xml:space="preserve">  </w:t>
      </w:r>
      <w:r>
        <w:rPr>
          <w:rFonts w:hint="eastAsia"/>
          <w:szCs w:val="22"/>
        </w:rPr>
        <w:t>下表是</w:t>
      </w:r>
      <w:r>
        <w:rPr>
          <w:szCs w:val="22"/>
        </w:rPr>
        <w:t>1992</w:t>
      </w:r>
      <w:r>
        <w:rPr>
          <w:rFonts w:hint="eastAsia"/>
          <w:szCs w:val="22"/>
        </w:rPr>
        <w:t>年至</w:t>
      </w:r>
      <w:r>
        <w:rPr>
          <w:szCs w:val="22"/>
        </w:rPr>
        <w:t>2001</w:t>
      </w:r>
      <w:r>
        <w:rPr>
          <w:rFonts w:hint="eastAsia"/>
          <w:szCs w:val="22"/>
        </w:rPr>
        <w:t>年塞尔维亚共和国伏伊伏丁那省和中塞尔维亚的免疫</w:t>
      </w:r>
      <w:r>
        <w:rPr>
          <w:rFonts w:hint="eastAsia"/>
        </w:rPr>
        <w:t>接种</w:t>
      </w:r>
      <w:r>
        <w:rPr>
          <w:rFonts w:hint="eastAsia"/>
          <w:szCs w:val="22"/>
        </w:rPr>
        <w:t>情况。</w:t>
      </w:r>
    </w:p>
    <w:p w:rsidR="00000000" w:rsidRDefault="00844A84">
      <w:pPr>
        <w:pStyle w:val="Heading3"/>
        <w:rPr>
          <w:rFonts w:hint="eastAsia"/>
          <w:u w:val="none"/>
        </w:rPr>
      </w:pPr>
      <w:r>
        <w:rPr>
          <w:rFonts w:hint="eastAsia"/>
          <w:u w:val="none"/>
        </w:rPr>
        <w:t>表</w:t>
      </w:r>
      <w:r>
        <w:rPr>
          <w:rFonts w:hint="eastAsia"/>
          <w:u w:val="none"/>
        </w:rPr>
        <w:t xml:space="preserve"> </w:t>
      </w:r>
      <w:r>
        <w:rPr>
          <w:u w:val="none"/>
        </w:rPr>
        <w:t>11</w:t>
      </w:r>
    </w:p>
    <w:p w:rsidR="00000000" w:rsidRDefault="00844A84">
      <w:pPr>
        <w:pStyle w:val="Heading3"/>
        <w:rPr>
          <w:rFonts w:hint="eastAsia"/>
          <w:szCs w:val="22"/>
        </w:rPr>
      </w:pPr>
      <w:r>
        <w:rPr>
          <w:rFonts w:hint="eastAsia"/>
        </w:rPr>
        <w:t>塞尔维亚共和国免疫接种覆盖率，</w:t>
      </w:r>
      <w:r>
        <w:t>1992-2001</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840"/>
        <w:gridCol w:w="945"/>
        <w:gridCol w:w="735"/>
        <w:gridCol w:w="945"/>
        <w:gridCol w:w="945"/>
        <w:gridCol w:w="735"/>
        <w:gridCol w:w="945"/>
        <w:gridCol w:w="945"/>
        <w:gridCol w:w="699"/>
        <w:gridCol w:w="981"/>
      </w:tblGrid>
      <w:tr w:rsidR="00000000">
        <w:tblPrEx>
          <w:tblCellMar>
            <w:top w:w="0" w:type="dxa"/>
            <w:bottom w:w="0" w:type="dxa"/>
          </w:tblCellMar>
        </w:tblPrEx>
        <w:trPr>
          <w:cantSplit/>
        </w:trPr>
        <w:tc>
          <w:tcPr>
            <w:tcW w:w="840" w:type="dxa"/>
            <w:vMerge w:val="restart"/>
            <w:tcBorders>
              <w:top w:val="single" w:sz="4" w:space="0" w:color="auto"/>
              <w:left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接种年份</w:t>
            </w:r>
          </w:p>
        </w:tc>
        <w:tc>
          <w:tcPr>
            <w:tcW w:w="8715" w:type="dxa"/>
            <w:gridSpan w:val="10"/>
            <w:tcBorders>
              <w:top w:val="single" w:sz="4" w:space="0" w:color="auto"/>
              <w:left w:val="single" w:sz="4" w:space="0" w:color="auto"/>
              <w:bottom w:val="nil"/>
              <w:right w:val="single" w:sz="4" w:space="0" w:color="auto"/>
            </w:tcBorders>
            <w:vAlign w:val="center"/>
          </w:tcPr>
          <w:p w:rsidR="00000000" w:rsidRDefault="00844A84">
            <w:pPr>
              <w:pStyle w:val="Num-DocParagraph"/>
              <w:spacing w:before="40" w:after="0"/>
              <w:jc w:val="center"/>
              <w:rPr>
                <w:rFonts w:eastAsia="SimSun"/>
                <w:spacing w:val="10"/>
                <w:sz w:val="20"/>
                <w:szCs w:val="22"/>
                <w:lang w:val="en-US" w:eastAsia="zh-CN"/>
              </w:rPr>
            </w:pPr>
            <w:r>
              <w:rPr>
                <w:rFonts w:eastAsia="SimSun" w:hint="eastAsia"/>
                <w:spacing w:val="10"/>
                <w:sz w:val="20"/>
                <w:szCs w:val="22"/>
                <w:lang w:eastAsia="zh-CN"/>
              </w:rPr>
              <w:t>免</w:t>
            </w:r>
            <w:r>
              <w:rPr>
                <w:rFonts w:eastAsia="SimSun" w:hint="eastAsia"/>
                <w:spacing w:val="10"/>
                <w:sz w:val="20"/>
                <w:szCs w:val="22"/>
                <w:lang w:eastAsia="zh-CN"/>
              </w:rPr>
              <w:t xml:space="preserve"> </w:t>
            </w:r>
            <w:r>
              <w:rPr>
                <w:rFonts w:eastAsia="SimSun" w:hint="eastAsia"/>
                <w:spacing w:val="10"/>
                <w:sz w:val="20"/>
                <w:szCs w:val="22"/>
                <w:lang w:eastAsia="zh-CN"/>
              </w:rPr>
              <w:t>疫</w:t>
            </w:r>
            <w:r>
              <w:rPr>
                <w:rFonts w:eastAsia="SimSun" w:hint="eastAsia"/>
                <w:spacing w:val="10"/>
                <w:sz w:val="20"/>
                <w:szCs w:val="22"/>
                <w:lang w:eastAsia="zh-CN"/>
              </w:rPr>
              <w:t xml:space="preserve"> </w:t>
            </w:r>
            <w:r>
              <w:rPr>
                <w:rFonts w:eastAsia="SimSun" w:hint="eastAsia"/>
                <w:spacing w:val="10"/>
                <w:sz w:val="20"/>
                <w:szCs w:val="22"/>
                <w:lang w:eastAsia="zh-CN"/>
              </w:rPr>
              <w:t>类</w:t>
            </w:r>
            <w:r>
              <w:rPr>
                <w:rFonts w:eastAsia="SimSun" w:hint="eastAsia"/>
                <w:spacing w:val="10"/>
                <w:sz w:val="20"/>
                <w:szCs w:val="22"/>
                <w:lang w:eastAsia="zh-CN"/>
              </w:rPr>
              <w:t xml:space="preserve"> </w:t>
            </w:r>
            <w:r>
              <w:rPr>
                <w:rFonts w:eastAsia="SimSun" w:hint="eastAsia"/>
                <w:spacing w:val="10"/>
                <w:sz w:val="20"/>
                <w:szCs w:val="22"/>
                <w:lang w:eastAsia="zh-CN"/>
              </w:rPr>
              <w:t>型</w:t>
            </w:r>
            <w:r>
              <w:rPr>
                <w:rFonts w:eastAsia="SimSun"/>
                <w:spacing w:val="10"/>
                <w:sz w:val="20"/>
                <w:szCs w:val="22"/>
                <w:lang w:val="en-US" w:eastAsia="zh-CN"/>
              </w:rPr>
              <w:t xml:space="preserve"> a</w:t>
            </w:r>
          </w:p>
        </w:tc>
      </w:tr>
      <w:tr w:rsidR="00000000">
        <w:tblPrEx>
          <w:tblCellMar>
            <w:top w:w="0" w:type="dxa"/>
            <w:bottom w:w="0" w:type="dxa"/>
          </w:tblCellMar>
        </w:tblPrEx>
        <w:trPr>
          <w:cantSplit/>
        </w:trPr>
        <w:tc>
          <w:tcPr>
            <w:tcW w:w="840" w:type="dxa"/>
            <w:vMerge/>
            <w:tcBorders>
              <w:left w:val="single" w:sz="4" w:space="0" w:color="auto"/>
              <w:right w:val="single" w:sz="4" w:space="0" w:color="auto"/>
            </w:tcBorders>
            <w:vAlign w:val="center"/>
          </w:tcPr>
          <w:p w:rsidR="00000000" w:rsidRDefault="00844A84">
            <w:pPr>
              <w:pStyle w:val="Num-DocParagraph"/>
              <w:spacing w:before="40" w:after="0"/>
              <w:jc w:val="center"/>
              <w:rPr>
                <w:rFonts w:eastAsia="SimSun" w:hint="eastAsia"/>
                <w:spacing w:val="10"/>
                <w:sz w:val="20"/>
                <w:szCs w:val="22"/>
                <w:lang w:eastAsia="zh-CN"/>
              </w:rPr>
            </w:pPr>
          </w:p>
        </w:tc>
        <w:tc>
          <w:tcPr>
            <w:tcW w:w="2520" w:type="dxa"/>
            <w:gridSpan w:val="3"/>
            <w:tcBorders>
              <w:top w:val="single" w:sz="4" w:space="0" w:color="auto"/>
              <w:left w:val="single" w:sz="4" w:space="0" w:color="auto"/>
              <w:bottom w:val="nil"/>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百白破疫苗</w:t>
            </w:r>
          </w:p>
        </w:tc>
        <w:tc>
          <w:tcPr>
            <w:tcW w:w="2625" w:type="dxa"/>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脊髓灰质炎疫苗</w:t>
            </w:r>
          </w:p>
        </w:tc>
        <w:tc>
          <w:tcPr>
            <w:tcW w:w="2589" w:type="dxa"/>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第二年接种麻腮风疫苗</w:t>
            </w:r>
          </w:p>
        </w:tc>
        <w:tc>
          <w:tcPr>
            <w:tcW w:w="981"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肺结核</w:t>
            </w:r>
          </w:p>
        </w:tc>
      </w:tr>
      <w:tr w:rsidR="00000000">
        <w:tblPrEx>
          <w:tblCellMar>
            <w:top w:w="0" w:type="dxa"/>
            <w:bottom w:w="0" w:type="dxa"/>
          </w:tblCellMar>
        </w:tblPrEx>
        <w:trPr>
          <w:cantSplit/>
        </w:trPr>
        <w:tc>
          <w:tcPr>
            <w:tcW w:w="840" w:type="dxa"/>
            <w:vMerge/>
            <w:tcBorders>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计划人数</w:t>
            </w:r>
          </w:p>
        </w:tc>
        <w:tc>
          <w:tcPr>
            <w:tcW w:w="94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val="en-US" w:eastAsia="zh-CN"/>
              </w:rPr>
              <w:t>接种</w:t>
            </w:r>
            <w:r>
              <w:rPr>
                <w:rFonts w:eastAsia="SimSun"/>
                <w:spacing w:val="10"/>
                <w:sz w:val="20"/>
                <w:szCs w:val="22"/>
                <w:lang w:val="en-US" w:eastAsia="zh-CN"/>
              </w:rPr>
              <w:br/>
            </w:r>
            <w:r>
              <w:rPr>
                <w:rFonts w:eastAsia="SimSun" w:hint="eastAsia"/>
                <w:spacing w:val="10"/>
                <w:sz w:val="20"/>
                <w:szCs w:val="22"/>
                <w:lang w:val="en-US" w:eastAsia="zh-CN"/>
              </w:rPr>
              <w:t>人数</w:t>
            </w:r>
          </w:p>
        </w:tc>
        <w:tc>
          <w:tcPr>
            <w:tcW w:w="73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spacing w:val="10"/>
                <w:sz w:val="20"/>
                <w:szCs w:val="22"/>
                <w:lang w:eastAsia="zh-CN"/>
              </w:rPr>
              <w:t>%</w:t>
            </w:r>
          </w:p>
        </w:tc>
        <w:tc>
          <w:tcPr>
            <w:tcW w:w="94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计划</w:t>
            </w:r>
            <w:r>
              <w:rPr>
                <w:rFonts w:eastAsia="SimSun"/>
                <w:spacing w:val="10"/>
                <w:sz w:val="20"/>
                <w:szCs w:val="22"/>
                <w:lang w:eastAsia="zh-CN"/>
              </w:rPr>
              <w:br/>
            </w:r>
            <w:r>
              <w:rPr>
                <w:rFonts w:eastAsia="SimSun" w:hint="eastAsia"/>
                <w:spacing w:val="10"/>
                <w:sz w:val="20"/>
                <w:szCs w:val="22"/>
                <w:lang w:eastAsia="zh-CN"/>
              </w:rPr>
              <w:t>人数</w:t>
            </w:r>
          </w:p>
        </w:tc>
        <w:tc>
          <w:tcPr>
            <w:tcW w:w="94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接种</w:t>
            </w:r>
            <w:r>
              <w:rPr>
                <w:rFonts w:eastAsia="SimSun"/>
                <w:spacing w:val="10"/>
                <w:sz w:val="20"/>
                <w:szCs w:val="22"/>
                <w:lang w:eastAsia="zh-CN"/>
              </w:rPr>
              <w:br/>
            </w:r>
            <w:r>
              <w:rPr>
                <w:rFonts w:eastAsia="SimSun" w:hint="eastAsia"/>
                <w:spacing w:val="10"/>
                <w:sz w:val="20"/>
                <w:szCs w:val="22"/>
                <w:lang w:eastAsia="zh-CN"/>
              </w:rPr>
              <w:t>人数</w:t>
            </w:r>
          </w:p>
        </w:tc>
        <w:tc>
          <w:tcPr>
            <w:tcW w:w="73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spacing w:val="10"/>
                <w:sz w:val="20"/>
                <w:szCs w:val="22"/>
                <w:lang w:eastAsia="zh-CN"/>
              </w:rPr>
              <w:t>%</w:t>
            </w:r>
          </w:p>
        </w:tc>
        <w:tc>
          <w:tcPr>
            <w:tcW w:w="94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计划</w:t>
            </w:r>
            <w:r>
              <w:rPr>
                <w:rFonts w:eastAsia="SimSun"/>
                <w:spacing w:val="10"/>
                <w:sz w:val="20"/>
                <w:szCs w:val="22"/>
                <w:lang w:eastAsia="zh-CN"/>
              </w:rPr>
              <w:br/>
            </w:r>
            <w:r>
              <w:rPr>
                <w:rFonts w:eastAsia="SimSun" w:hint="eastAsia"/>
                <w:spacing w:val="10"/>
                <w:sz w:val="20"/>
                <w:szCs w:val="22"/>
                <w:lang w:eastAsia="zh-CN"/>
              </w:rPr>
              <w:t>人数</w:t>
            </w:r>
          </w:p>
        </w:tc>
        <w:tc>
          <w:tcPr>
            <w:tcW w:w="94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接种</w:t>
            </w:r>
            <w:r>
              <w:rPr>
                <w:rFonts w:eastAsia="SimSun"/>
                <w:spacing w:val="10"/>
                <w:sz w:val="20"/>
                <w:szCs w:val="22"/>
                <w:lang w:eastAsia="zh-CN"/>
              </w:rPr>
              <w:br/>
            </w:r>
            <w:r>
              <w:rPr>
                <w:rFonts w:eastAsia="SimSun" w:hint="eastAsia"/>
                <w:spacing w:val="10"/>
                <w:sz w:val="20"/>
                <w:szCs w:val="22"/>
                <w:lang w:eastAsia="zh-CN"/>
              </w:rPr>
              <w:t>人数</w:t>
            </w:r>
          </w:p>
        </w:tc>
        <w:tc>
          <w:tcPr>
            <w:tcW w:w="699"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spacing w:val="10"/>
                <w:sz w:val="20"/>
                <w:szCs w:val="22"/>
                <w:lang w:eastAsia="zh-CN"/>
              </w:rPr>
              <w:t>%</w:t>
            </w:r>
          </w:p>
        </w:tc>
        <w:tc>
          <w:tcPr>
            <w:tcW w:w="981"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0"/>
                <w:szCs w:val="22"/>
                <w:lang w:eastAsia="zh-CN"/>
              </w:rPr>
            </w:pPr>
            <w:r>
              <w:rPr>
                <w:rFonts w:eastAsia="SimSun" w:hint="eastAsia"/>
                <w:spacing w:val="10"/>
                <w:sz w:val="20"/>
                <w:szCs w:val="22"/>
                <w:lang w:eastAsia="zh-CN"/>
              </w:rPr>
              <w:t>计划</w:t>
            </w:r>
            <w:r>
              <w:rPr>
                <w:rFonts w:eastAsia="SimSun"/>
                <w:spacing w:val="10"/>
                <w:sz w:val="20"/>
                <w:szCs w:val="22"/>
                <w:lang w:eastAsia="zh-CN"/>
              </w:rPr>
              <w:br/>
            </w:r>
            <w:r>
              <w:rPr>
                <w:rFonts w:eastAsia="SimSun" w:hint="eastAsia"/>
                <w:spacing w:val="10"/>
                <w:sz w:val="20"/>
                <w:szCs w:val="22"/>
                <w:lang w:eastAsia="zh-CN"/>
              </w:rPr>
              <w:t>人数</w:t>
            </w:r>
          </w:p>
        </w:tc>
      </w:tr>
      <w:tr w:rsidR="00000000">
        <w:tblPrEx>
          <w:tblCellMar>
            <w:top w:w="0" w:type="dxa"/>
            <w:bottom w:w="0" w:type="dxa"/>
          </w:tblCellMar>
        </w:tblPrEx>
        <w:tc>
          <w:tcPr>
            <w:tcW w:w="840" w:type="dxa"/>
            <w:tcBorders>
              <w:top w:val="single" w:sz="4" w:space="0" w:color="auto"/>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1992</w:t>
            </w:r>
          </w:p>
        </w:tc>
        <w:tc>
          <w:tcPr>
            <w:tcW w:w="840" w:type="dxa"/>
            <w:tcBorders>
              <w:top w:val="single" w:sz="4" w:space="0" w:color="auto"/>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c>
          <w:tcPr>
            <w:tcW w:w="945" w:type="dxa"/>
            <w:tcBorders>
              <w:top w:val="single" w:sz="4" w:space="0" w:color="auto"/>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140,241</w:t>
            </w:r>
          </w:p>
        </w:tc>
        <w:tc>
          <w:tcPr>
            <w:tcW w:w="735" w:type="dxa"/>
            <w:tcBorders>
              <w:top w:val="single" w:sz="4" w:space="0" w:color="auto"/>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85.5</w:t>
            </w:r>
          </w:p>
        </w:tc>
        <w:tc>
          <w:tcPr>
            <w:tcW w:w="945" w:type="dxa"/>
            <w:tcBorders>
              <w:top w:val="single" w:sz="4" w:space="0" w:color="auto"/>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158,417</w:t>
            </w:r>
          </w:p>
        </w:tc>
        <w:tc>
          <w:tcPr>
            <w:tcW w:w="945" w:type="dxa"/>
            <w:tcBorders>
              <w:top w:val="single" w:sz="4" w:space="0" w:color="auto"/>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133,099</w:t>
            </w:r>
          </w:p>
        </w:tc>
        <w:tc>
          <w:tcPr>
            <w:tcW w:w="735" w:type="dxa"/>
            <w:tcBorders>
              <w:top w:val="single" w:sz="4" w:space="0" w:color="auto"/>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84.0</w:t>
            </w:r>
          </w:p>
        </w:tc>
        <w:tc>
          <w:tcPr>
            <w:tcW w:w="945" w:type="dxa"/>
            <w:tcBorders>
              <w:top w:val="single" w:sz="4" w:space="0" w:color="auto"/>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155,198</w:t>
            </w:r>
          </w:p>
        </w:tc>
        <w:tc>
          <w:tcPr>
            <w:tcW w:w="945" w:type="dxa"/>
            <w:tcBorders>
              <w:top w:val="single" w:sz="4" w:space="0" w:color="auto"/>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126,378</w:t>
            </w:r>
          </w:p>
        </w:tc>
        <w:tc>
          <w:tcPr>
            <w:tcW w:w="699" w:type="dxa"/>
            <w:tcBorders>
              <w:top w:val="single" w:sz="4" w:space="0" w:color="auto"/>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81.4</w:t>
            </w:r>
          </w:p>
        </w:tc>
        <w:tc>
          <w:tcPr>
            <w:tcW w:w="981" w:type="dxa"/>
            <w:tcBorders>
              <w:top w:val="single" w:sz="4" w:space="0" w:color="auto"/>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1993</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132,985</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85.0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171,265</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141,816</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83.0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162,955</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140,019</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86.0</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1994</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217,492</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85.0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265,020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223,481</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84.0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145,643</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118,414</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81.0</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1995</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124,656</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88.8</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144,518</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129,415</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89.5</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135,130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115,692</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85.6</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128,740</w:t>
            </w: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1996</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123,561</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91.2</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138,818</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125,705</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90.5</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133,315</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119,777</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89.8</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1997</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124,633</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94.0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134,639</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126,421</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93.9</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136,609</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125,100</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91.6</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121,940</w:t>
            </w: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1998</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103,164</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89.0</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115,997</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103,009</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88.8</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115,888</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103,190</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89.0</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71,432</w:t>
            </w: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1999</w:t>
            </w:r>
            <w:r>
              <w:rPr>
                <w:rFonts w:eastAsia="KaiTi_GB2312"/>
                <w:szCs w:val="22"/>
                <w:lang w:val="en-US" w:eastAsia="zh-CN"/>
              </w:rPr>
              <w:t xml:space="preserve"> </w:t>
            </w:r>
            <w:r>
              <w:rPr>
                <w:rFonts w:eastAsia="KaiTi_GB2312"/>
                <w:sz w:val="20"/>
                <w:szCs w:val="22"/>
                <w:lang w:val="en-US" w:eastAsia="zh-CN"/>
              </w:rPr>
              <w:t>b</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71,567</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69,538</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97.</w:t>
            </w:r>
            <w:r>
              <w:rPr>
                <w:rFonts w:eastAsia="SimSun"/>
                <w:spacing w:val="10"/>
                <w:sz w:val="20"/>
                <w:szCs w:val="22"/>
                <w:lang w:eastAsia="zh-CN"/>
              </w:rPr>
              <w:t>1</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71,557</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69,724</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97.4</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72,005</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66,485</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92.3</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58,608</w:t>
            </w:r>
          </w:p>
        </w:tc>
      </w:tr>
      <w:tr w:rsidR="00000000">
        <w:tblPrEx>
          <w:tblCellMar>
            <w:top w:w="0" w:type="dxa"/>
            <w:bottom w:w="0" w:type="dxa"/>
          </w:tblCellMar>
        </w:tblPrEx>
        <w:tc>
          <w:tcPr>
            <w:tcW w:w="840" w:type="dxa"/>
            <w:tcBorders>
              <w:top w:val="nil"/>
              <w:left w:val="single" w:sz="4" w:space="0" w:color="auto"/>
              <w:bottom w:val="nil"/>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2000</w:t>
            </w:r>
            <w:r>
              <w:rPr>
                <w:rFonts w:eastAsia="KaiTi_GB2312"/>
                <w:szCs w:val="22"/>
                <w:lang w:val="en-US" w:eastAsia="zh-CN"/>
              </w:rPr>
              <w:t xml:space="preserve"> </w:t>
            </w:r>
            <w:r>
              <w:rPr>
                <w:rFonts w:eastAsia="KaiTi_GB2312"/>
                <w:sz w:val="20"/>
                <w:szCs w:val="22"/>
                <w:lang w:val="en-US" w:eastAsia="zh-CN"/>
              </w:rPr>
              <w:t>b</w:t>
            </w:r>
          </w:p>
        </w:tc>
        <w:tc>
          <w:tcPr>
            <w:tcW w:w="840"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68,044</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65,908</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96.9</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68,046</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65,865</w:t>
            </w:r>
          </w:p>
        </w:tc>
        <w:tc>
          <w:tcPr>
            <w:tcW w:w="735"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96.8</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71,446</w:t>
            </w:r>
          </w:p>
        </w:tc>
        <w:tc>
          <w:tcPr>
            <w:tcW w:w="945"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61,897</w:t>
            </w:r>
          </w:p>
        </w:tc>
        <w:tc>
          <w:tcPr>
            <w:tcW w:w="699" w:type="dxa"/>
            <w:tcBorders>
              <w:top w:val="nil"/>
              <w:left w:val="single" w:sz="4" w:space="0" w:color="auto"/>
              <w:bottom w:val="nil"/>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86.6</w:t>
            </w:r>
          </w:p>
        </w:tc>
        <w:tc>
          <w:tcPr>
            <w:tcW w:w="981" w:type="dxa"/>
            <w:tcBorders>
              <w:top w:val="nil"/>
              <w:left w:val="single" w:sz="4" w:space="0" w:color="auto"/>
              <w:bottom w:val="nil"/>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42,653</w:t>
            </w:r>
          </w:p>
        </w:tc>
      </w:tr>
      <w:tr w:rsidR="00000000">
        <w:tblPrEx>
          <w:tblCellMar>
            <w:top w:w="0" w:type="dxa"/>
            <w:bottom w:w="0" w:type="dxa"/>
          </w:tblCellMar>
        </w:tblPrEx>
        <w:tc>
          <w:tcPr>
            <w:tcW w:w="840" w:type="dxa"/>
            <w:tcBorders>
              <w:top w:val="nil"/>
              <w:left w:val="single" w:sz="4" w:space="0" w:color="auto"/>
              <w:bottom w:val="single" w:sz="4" w:space="0" w:color="auto"/>
              <w:right w:val="single" w:sz="4" w:space="0" w:color="auto"/>
            </w:tcBorders>
          </w:tcPr>
          <w:p w:rsidR="00000000" w:rsidRDefault="00844A84">
            <w:pPr>
              <w:pStyle w:val="Num-DocParagraph"/>
              <w:spacing w:after="0"/>
              <w:rPr>
                <w:rFonts w:eastAsia="SimSun"/>
                <w:spacing w:val="10"/>
                <w:sz w:val="20"/>
                <w:szCs w:val="22"/>
                <w:lang w:eastAsia="zh-CN"/>
              </w:rPr>
            </w:pPr>
            <w:r>
              <w:rPr>
                <w:rFonts w:eastAsia="SimSun"/>
                <w:spacing w:val="10"/>
                <w:sz w:val="20"/>
                <w:szCs w:val="22"/>
                <w:lang w:eastAsia="zh-CN"/>
              </w:rPr>
              <w:t>2001</w:t>
            </w:r>
            <w:r>
              <w:rPr>
                <w:rFonts w:eastAsia="KaiTi_GB2312"/>
                <w:szCs w:val="22"/>
                <w:lang w:val="en-US" w:eastAsia="zh-CN"/>
              </w:rPr>
              <w:t xml:space="preserve"> </w:t>
            </w:r>
            <w:r>
              <w:rPr>
                <w:rFonts w:eastAsia="KaiTi_GB2312"/>
                <w:sz w:val="20"/>
                <w:szCs w:val="22"/>
                <w:lang w:val="en-US" w:eastAsia="zh-CN"/>
              </w:rPr>
              <w:t>b</w:t>
            </w:r>
          </w:p>
        </w:tc>
        <w:tc>
          <w:tcPr>
            <w:tcW w:w="840" w:type="dxa"/>
            <w:tcBorders>
              <w:top w:val="nil"/>
              <w:left w:val="single" w:sz="4" w:space="0" w:color="auto"/>
              <w:bottom w:val="single" w:sz="4" w:space="0" w:color="auto"/>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69,168</w:t>
            </w:r>
          </w:p>
        </w:tc>
        <w:tc>
          <w:tcPr>
            <w:tcW w:w="945" w:type="dxa"/>
            <w:tcBorders>
              <w:top w:val="nil"/>
              <w:left w:val="single" w:sz="4" w:space="0" w:color="auto"/>
              <w:bottom w:val="single" w:sz="4" w:space="0" w:color="auto"/>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67,640</w:t>
            </w:r>
          </w:p>
        </w:tc>
        <w:tc>
          <w:tcPr>
            <w:tcW w:w="735" w:type="dxa"/>
            <w:tcBorders>
              <w:top w:val="nil"/>
              <w:left w:val="single" w:sz="4" w:space="0" w:color="auto"/>
              <w:bottom w:val="single" w:sz="4" w:space="0" w:color="auto"/>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97.8</w:t>
            </w:r>
          </w:p>
        </w:tc>
        <w:tc>
          <w:tcPr>
            <w:tcW w:w="945" w:type="dxa"/>
            <w:tcBorders>
              <w:top w:val="nil"/>
              <w:left w:val="single" w:sz="4" w:space="0" w:color="auto"/>
              <w:bottom w:val="single" w:sz="4" w:space="0" w:color="auto"/>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69,284</w:t>
            </w:r>
          </w:p>
        </w:tc>
        <w:tc>
          <w:tcPr>
            <w:tcW w:w="945" w:type="dxa"/>
            <w:tcBorders>
              <w:top w:val="nil"/>
              <w:left w:val="single" w:sz="4" w:space="0" w:color="auto"/>
              <w:bottom w:val="single" w:sz="4" w:space="0" w:color="auto"/>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67,652</w:t>
            </w:r>
          </w:p>
        </w:tc>
        <w:tc>
          <w:tcPr>
            <w:tcW w:w="735" w:type="dxa"/>
            <w:tcBorders>
              <w:top w:val="nil"/>
              <w:left w:val="single" w:sz="4" w:space="0" w:color="auto"/>
              <w:bottom w:val="single" w:sz="4" w:space="0" w:color="auto"/>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97.6</w:t>
            </w:r>
          </w:p>
        </w:tc>
        <w:tc>
          <w:tcPr>
            <w:tcW w:w="945" w:type="dxa"/>
            <w:tcBorders>
              <w:top w:val="nil"/>
              <w:left w:val="single" w:sz="4" w:space="0" w:color="auto"/>
              <w:bottom w:val="single" w:sz="4" w:space="0" w:color="auto"/>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72,197</w:t>
            </w:r>
          </w:p>
        </w:tc>
        <w:tc>
          <w:tcPr>
            <w:tcW w:w="945" w:type="dxa"/>
            <w:tcBorders>
              <w:top w:val="nil"/>
              <w:left w:val="single" w:sz="4" w:space="0" w:color="auto"/>
              <w:bottom w:val="single" w:sz="4" w:space="0" w:color="auto"/>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69,102</w:t>
            </w:r>
          </w:p>
        </w:tc>
        <w:tc>
          <w:tcPr>
            <w:tcW w:w="699" w:type="dxa"/>
            <w:tcBorders>
              <w:top w:val="nil"/>
              <w:left w:val="single" w:sz="4" w:space="0" w:color="auto"/>
              <w:bottom w:val="single" w:sz="4" w:space="0" w:color="auto"/>
              <w:right w:val="single" w:sz="4" w:space="0" w:color="auto"/>
            </w:tcBorders>
          </w:tcPr>
          <w:p w:rsidR="00000000" w:rsidRDefault="00844A84">
            <w:pPr>
              <w:pStyle w:val="Num-DocParagraph"/>
              <w:spacing w:after="0"/>
              <w:jc w:val="center"/>
              <w:rPr>
                <w:rFonts w:eastAsia="SimSun"/>
                <w:spacing w:val="10"/>
                <w:sz w:val="20"/>
                <w:szCs w:val="22"/>
                <w:lang w:eastAsia="zh-CN"/>
              </w:rPr>
            </w:pPr>
            <w:r>
              <w:rPr>
                <w:rFonts w:eastAsia="SimSun"/>
                <w:spacing w:val="10"/>
                <w:sz w:val="20"/>
                <w:szCs w:val="22"/>
                <w:lang w:eastAsia="zh-CN"/>
              </w:rPr>
              <w:t>95.7</w:t>
            </w:r>
          </w:p>
        </w:tc>
        <w:tc>
          <w:tcPr>
            <w:tcW w:w="981" w:type="dxa"/>
            <w:tcBorders>
              <w:top w:val="nil"/>
              <w:left w:val="single" w:sz="4" w:space="0" w:color="auto"/>
              <w:bottom w:val="single" w:sz="4" w:space="0" w:color="auto"/>
              <w:right w:val="single" w:sz="4" w:space="0" w:color="auto"/>
            </w:tcBorders>
          </w:tcPr>
          <w:p w:rsidR="00000000" w:rsidRDefault="00844A84">
            <w:pPr>
              <w:pStyle w:val="Num-DocParagraph"/>
              <w:spacing w:after="0"/>
              <w:jc w:val="right"/>
              <w:rPr>
                <w:rFonts w:eastAsia="SimSun"/>
                <w:spacing w:val="10"/>
                <w:sz w:val="20"/>
                <w:szCs w:val="22"/>
                <w:lang w:eastAsia="zh-CN"/>
              </w:rPr>
            </w:pPr>
            <w:r>
              <w:rPr>
                <w:rFonts w:eastAsia="SimSun"/>
                <w:spacing w:val="10"/>
                <w:sz w:val="20"/>
                <w:szCs w:val="22"/>
                <w:lang w:eastAsia="zh-CN"/>
              </w:rPr>
              <w:t>54,336</w:t>
            </w:r>
          </w:p>
        </w:tc>
      </w:tr>
    </w:tbl>
    <w:p w:rsidR="00000000" w:rsidRDefault="00844A84">
      <w:pPr>
        <w:pStyle w:val="Num-DocParagraph"/>
        <w:spacing w:before="240" w:after="0" w:line="288" w:lineRule="auto"/>
        <w:ind w:firstLine="510"/>
        <w:rPr>
          <w:rFonts w:eastAsia="SimSun"/>
          <w:spacing w:val="10"/>
          <w:szCs w:val="22"/>
          <w:lang w:eastAsia="zh-CN"/>
        </w:rPr>
      </w:pPr>
      <w:r>
        <w:rPr>
          <w:rFonts w:eastAsia="KaiTi_GB2312"/>
          <w:szCs w:val="22"/>
          <w:lang w:val="en-US" w:eastAsia="zh-CN"/>
        </w:rPr>
        <w:t xml:space="preserve">a  </w:t>
      </w:r>
      <w:r>
        <w:rPr>
          <w:rFonts w:eastAsia="KaiTi_GB2312" w:hint="eastAsia"/>
          <w:szCs w:val="22"/>
          <w:lang w:val="en-US" w:eastAsia="zh-CN"/>
        </w:rPr>
        <w:t xml:space="preserve"> </w:t>
      </w:r>
      <w:r>
        <w:rPr>
          <w:rFonts w:eastAsia="KaiTi_GB2312" w:hint="eastAsia"/>
          <w:szCs w:val="22"/>
          <w:lang w:eastAsia="zh-CN"/>
        </w:rPr>
        <w:t>百白破</w:t>
      </w:r>
      <w:r>
        <w:rPr>
          <w:rFonts w:eastAsia="KaiTi_GB2312" w:hint="eastAsia"/>
          <w:szCs w:val="22"/>
          <w:lang w:val="en-US" w:eastAsia="zh-CN"/>
        </w:rPr>
        <w:t>表示</w:t>
      </w:r>
      <w:r>
        <w:rPr>
          <w:rFonts w:eastAsia="KaiTi_GB2312" w:hint="eastAsia"/>
          <w:szCs w:val="22"/>
          <w:lang w:eastAsia="zh-CN"/>
        </w:rPr>
        <w:t>白喉、破伤风、百日咳；麻腮风</w:t>
      </w:r>
      <w:r>
        <w:rPr>
          <w:rFonts w:eastAsia="KaiTi_GB2312" w:hint="eastAsia"/>
          <w:szCs w:val="22"/>
          <w:lang w:val="en-US" w:eastAsia="zh-CN"/>
        </w:rPr>
        <w:t>表示</w:t>
      </w:r>
      <w:r>
        <w:rPr>
          <w:rFonts w:eastAsia="KaiTi_GB2312" w:hint="eastAsia"/>
          <w:szCs w:val="22"/>
          <w:lang w:eastAsia="zh-CN"/>
        </w:rPr>
        <w:t>麻疹、腮腺炎、风疹。</w:t>
      </w:r>
    </w:p>
    <w:p w:rsidR="00000000" w:rsidRDefault="00844A84">
      <w:pPr>
        <w:pStyle w:val="Num-DocParagraph"/>
        <w:spacing w:after="320" w:line="288" w:lineRule="auto"/>
        <w:ind w:firstLine="510"/>
        <w:rPr>
          <w:rFonts w:eastAsia="KaiTi_GB2312" w:hint="eastAsia"/>
          <w:szCs w:val="22"/>
          <w:lang w:eastAsia="zh-CN"/>
        </w:rPr>
      </w:pPr>
      <w:r>
        <w:rPr>
          <w:rFonts w:eastAsia="KaiTi_GB2312"/>
          <w:szCs w:val="22"/>
          <w:lang w:val="en-US" w:eastAsia="zh-CN"/>
        </w:rPr>
        <w:t xml:space="preserve">b   </w:t>
      </w:r>
      <w:r>
        <w:rPr>
          <w:rFonts w:eastAsia="KaiTi_GB2312" w:hint="eastAsia"/>
          <w:szCs w:val="22"/>
          <w:lang w:eastAsia="zh-CN"/>
        </w:rPr>
        <w:t>不包括科索沃和梅托希亚的数据。</w:t>
      </w:r>
    </w:p>
    <w:p w:rsidR="00000000" w:rsidRDefault="00844A84">
      <w:pPr>
        <w:pStyle w:val="Heading3"/>
        <w:spacing w:after="120"/>
        <w:rPr>
          <w:rFonts w:hint="eastAsia"/>
          <w:u w:val="none"/>
        </w:rPr>
      </w:pPr>
      <w:r>
        <w:br w:type="page"/>
      </w:r>
      <w:r>
        <w:rPr>
          <w:rFonts w:hint="eastAsia"/>
          <w:u w:val="none"/>
        </w:rPr>
        <w:t>表</w:t>
      </w:r>
      <w:r>
        <w:rPr>
          <w:rFonts w:hint="eastAsia"/>
          <w:u w:val="none"/>
        </w:rPr>
        <w:t xml:space="preserve"> </w:t>
      </w:r>
      <w:r>
        <w:rPr>
          <w:u w:val="none"/>
        </w:rPr>
        <w:t>12</w:t>
      </w:r>
    </w:p>
    <w:p w:rsidR="00000000" w:rsidRDefault="00844A84">
      <w:pPr>
        <w:pStyle w:val="Heading3"/>
        <w:spacing w:after="120"/>
      </w:pPr>
      <w:r>
        <w:rPr>
          <w:rFonts w:hint="eastAsia"/>
        </w:rPr>
        <w:t>伏伊伏丁那省免疫接种覆盖率，</w:t>
      </w:r>
      <w:r>
        <w:t>1992</w:t>
      </w:r>
      <w:r>
        <w:rPr>
          <w:rFonts w:hint="eastAsia"/>
        </w:rPr>
        <w:t>－</w:t>
      </w:r>
      <w:r>
        <w:t>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970"/>
        <w:gridCol w:w="999"/>
        <w:gridCol w:w="624"/>
        <w:gridCol w:w="924"/>
        <w:gridCol w:w="944"/>
        <w:gridCol w:w="754"/>
        <w:gridCol w:w="1011"/>
        <w:gridCol w:w="926"/>
        <w:gridCol w:w="632"/>
        <w:gridCol w:w="1060"/>
      </w:tblGrid>
      <w:tr w:rsidR="00000000">
        <w:tblPrEx>
          <w:tblCellMar>
            <w:top w:w="0" w:type="dxa"/>
            <w:bottom w:w="0" w:type="dxa"/>
          </w:tblCellMar>
        </w:tblPrEx>
        <w:trPr>
          <w:cantSplit/>
        </w:trPr>
        <w:tc>
          <w:tcPr>
            <w:tcW w:w="379" w:type="pct"/>
            <w:vMerge w:val="restart"/>
            <w:tcBorders>
              <w:top w:val="single" w:sz="4" w:space="0" w:color="auto"/>
              <w:left w:val="single" w:sz="4" w:space="0" w:color="auto"/>
              <w:right w:val="single" w:sz="4" w:space="0" w:color="auto"/>
            </w:tcBorders>
            <w:vAlign w:val="center"/>
          </w:tcPr>
          <w:p w:rsidR="00000000" w:rsidRDefault="00844A84">
            <w:pPr>
              <w:pStyle w:val="Num-DocParagraph"/>
              <w:spacing w:before="240"/>
              <w:jc w:val="center"/>
              <w:rPr>
                <w:rFonts w:eastAsia="SimSun"/>
                <w:spacing w:val="10"/>
                <w:sz w:val="20"/>
                <w:szCs w:val="22"/>
                <w:lang w:eastAsia="zh-CN"/>
              </w:rPr>
            </w:pPr>
            <w:r>
              <w:rPr>
                <w:rFonts w:eastAsia="SimSun" w:hint="eastAsia"/>
                <w:spacing w:val="10"/>
                <w:sz w:val="20"/>
                <w:szCs w:val="22"/>
                <w:lang w:eastAsia="zh-CN"/>
              </w:rPr>
              <w:t>接种年份</w:t>
            </w:r>
          </w:p>
        </w:tc>
        <w:tc>
          <w:tcPr>
            <w:tcW w:w="4621" w:type="pct"/>
            <w:gridSpan w:val="10"/>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60"/>
              <w:jc w:val="center"/>
              <w:rPr>
                <w:rFonts w:eastAsia="SimSun"/>
                <w:spacing w:val="10"/>
                <w:sz w:val="20"/>
                <w:szCs w:val="22"/>
                <w:lang w:eastAsia="zh-CN"/>
              </w:rPr>
            </w:pPr>
            <w:r>
              <w:rPr>
                <w:rFonts w:eastAsia="SimSun" w:hint="eastAsia"/>
                <w:spacing w:val="10"/>
                <w:sz w:val="20"/>
                <w:szCs w:val="22"/>
                <w:lang w:eastAsia="zh-CN"/>
              </w:rPr>
              <w:t>免</w:t>
            </w:r>
            <w:r>
              <w:rPr>
                <w:rFonts w:eastAsia="SimSun" w:hint="eastAsia"/>
                <w:spacing w:val="10"/>
                <w:sz w:val="20"/>
                <w:szCs w:val="22"/>
                <w:lang w:eastAsia="zh-CN"/>
              </w:rPr>
              <w:t xml:space="preserve"> </w:t>
            </w:r>
            <w:r>
              <w:rPr>
                <w:rFonts w:eastAsia="SimSun" w:hint="eastAsia"/>
                <w:spacing w:val="10"/>
                <w:sz w:val="20"/>
                <w:szCs w:val="22"/>
                <w:lang w:eastAsia="zh-CN"/>
              </w:rPr>
              <w:t>疫</w:t>
            </w:r>
            <w:r>
              <w:rPr>
                <w:rFonts w:eastAsia="SimSun" w:hint="eastAsia"/>
                <w:spacing w:val="10"/>
                <w:sz w:val="20"/>
                <w:szCs w:val="22"/>
                <w:lang w:eastAsia="zh-CN"/>
              </w:rPr>
              <w:t xml:space="preserve"> </w:t>
            </w:r>
            <w:r>
              <w:rPr>
                <w:rFonts w:eastAsia="SimSun" w:hint="eastAsia"/>
                <w:spacing w:val="10"/>
                <w:sz w:val="20"/>
                <w:szCs w:val="22"/>
                <w:lang w:eastAsia="zh-CN"/>
              </w:rPr>
              <w:t>类</w:t>
            </w:r>
            <w:r>
              <w:rPr>
                <w:rFonts w:eastAsia="SimSun" w:hint="eastAsia"/>
                <w:spacing w:val="10"/>
                <w:sz w:val="20"/>
                <w:szCs w:val="22"/>
                <w:lang w:eastAsia="zh-CN"/>
              </w:rPr>
              <w:t xml:space="preserve"> </w:t>
            </w:r>
            <w:r>
              <w:rPr>
                <w:rFonts w:eastAsia="SimSun" w:hint="eastAsia"/>
                <w:spacing w:val="10"/>
                <w:sz w:val="20"/>
                <w:szCs w:val="22"/>
                <w:lang w:eastAsia="zh-CN"/>
              </w:rPr>
              <w:t>型</w:t>
            </w:r>
          </w:p>
        </w:tc>
      </w:tr>
      <w:tr w:rsidR="00000000">
        <w:tblPrEx>
          <w:tblCellMar>
            <w:top w:w="0" w:type="dxa"/>
            <w:bottom w:w="0" w:type="dxa"/>
          </w:tblCellMar>
        </w:tblPrEx>
        <w:trPr>
          <w:cantSplit/>
        </w:trPr>
        <w:tc>
          <w:tcPr>
            <w:tcW w:w="379" w:type="pct"/>
            <w:vMerge/>
            <w:tcBorders>
              <w:left w:val="single" w:sz="4" w:space="0" w:color="auto"/>
              <w:right w:val="single" w:sz="4" w:space="0" w:color="auto"/>
            </w:tcBorders>
            <w:vAlign w:val="center"/>
          </w:tcPr>
          <w:p w:rsidR="00000000" w:rsidRDefault="00844A84">
            <w:pPr>
              <w:pStyle w:val="Num-DocParagraph"/>
              <w:spacing w:before="20"/>
              <w:jc w:val="center"/>
              <w:rPr>
                <w:rFonts w:eastAsia="SimSun" w:hint="eastAsia"/>
                <w:spacing w:val="10"/>
                <w:sz w:val="20"/>
                <w:szCs w:val="22"/>
                <w:lang w:eastAsia="zh-CN"/>
              </w:rPr>
            </w:pPr>
          </w:p>
        </w:tc>
        <w:tc>
          <w:tcPr>
            <w:tcW w:w="1355" w:type="pct"/>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20" w:after="0"/>
              <w:jc w:val="center"/>
              <w:rPr>
                <w:rFonts w:eastAsia="SimSun"/>
                <w:spacing w:val="10"/>
                <w:sz w:val="20"/>
                <w:szCs w:val="22"/>
                <w:lang w:eastAsia="zh-CN"/>
              </w:rPr>
            </w:pPr>
            <w:r>
              <w:rPr>
                <w:rFonts w:eastAsia="SimSun" w:hint="eastAsia"/>
                <w:spacing w:val="10"/>
                <w:sz w:val="20"/>
                <w:szCs w:val="22"/>
                <w:lang w:eastAsia="zh-CN"/>
              </w:rPr>
              <w:t>百白破疫苗</w:t>
            </w:r>
          </w:p>
        </w:tc>
        <w:tc>
          <w:tcPr>
            <w:tcW w:w="1370" w:type="pct"/>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20" w:after="0"/>
              <w:jc w:val="center"/>
              <w:rPr>
                <w:rFonts w:eastAsia="SimSun"/>
                <w:spacing w:val="10"/>
                <w:sz w:val="20"/>
                <w:szCs w:val="22"/>
                <w:lang w:eastAsia="zh-CN"/>
              </w:rPr>
            </w:pPr>
            <w:r>
              <w:rPr>
                <w:rFonts w:eastAsia="SimSun" w:hint="eastAsia"/>
                <w:spacing w:val="10"/>
                <w:sz w:val="20"/>
                <w:szCs w:val="22"/>
                <w:lang w:eastAsia="zh-CN"/>
              </w:rPr>
              <w:t>脊髓灰质炎疫苗</w:t>
            </w:r>
          </w:p>
        </w:tc>
        <w:tc>
          <w:tcPr>
            <w:tcW w:w="1342" w:type="pct"/>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20" w:after="0"/>
              <w:jc w:val="center"/>
              <w:rPr>
                <w:rFonts w:eastAsia="SimSun"/>
                <w:spacing w:val="10"/>
                <w:sz w:val="20"/>
                <w:szCs w:val="22"/>
                <w:lang w:eastAsia="zh-CN"/>
              </w:rPr>
            </w:pPr>
            <w:r>
              <w:rPr>
                <w:rFonts w:eastAsia="SimSun" w:hint="eastAsia"/>
                <w:spacing w:val="10"/>
                <w:sz w:val="20"/>
                <w:szCs w:val="22"/>
                <w:lang w:eastAsia="zh-CN"/>
              </w:rPr>
              <w:t>第二年接种麻腮风疫苗</w:t>
            </w:r>
          </w:p>
        </w:tc>
        <w:tc>
          <w:tcPr>
            <w:tcW w:w="554"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20" w:after="0"/>
              <w:jc w:val="center"/>
              <w:rPr>
                <w:rFonts w:eastAsia="SimSun"/>
                <w:spacing w:val="10"/>
                <w:sz w:val="20"/>
                <w:szCs w:val="22"/>
                <w:lang w:eastAsia="zh-CN"/>
              </w:rPr>
            </w:pPr>
            <w:r>
              <w:rPr>
                <w:rFonts w:eastAsia="SimSun" w:hint="eastAsia"/>
                <w:spacing w:val="10"/>
                <w:sz w:val="20"/>
                <w:szCs w:val="22"/>
                <w:lang w:eastAsia="zh-CN"/>
              </w:rPr>
              <w:t>肺结核</w:t>
            </w:r>
          </w:p>
        </w:tc>
      </w:tr>
      <w:tr w:rsidR="00000000">
        <w:tblPrEx>
          <w:tblCellMar>
            <w:top w:w="0" w:type="dxa"/>
            <w:bottom w:w="0" w:type="dxa"/>
          </w:tblCellMar>
        </w:tblPrEx>
        <w:trPr>
          <w:cantSplit/>
        </w:trPr>
        <w:tc>
          <w:tcPr>
            <w:tcW w:w="379" w:type="pct"/>
            <w:vMerge/>
            <w:tcBorders>
              <w:left w:val="single" w:sz="4" w:space="0" w:color="auto"/>
              <w:bottom w:val="single" w:sz="4" w:space="0" w:color="auto"/>
              <w:right w:val="single" w:sz="4" w:space="0" w:color="auto"/>
            </w:tcBorders>
            <w:vAlign w:val="center"/>
          </w:tcPr>
          <w:p w:rsidR="00000000" w:rsidRDefault="00844A84">
            <w:pPr>
              <w:pStyle w:val="Num-DocParagraph"/>
              <w:spacing w:before="20" w:after="0"/>
              <w:jc w:val="center"/>
              <w:rPr>
                <w:rFonts w:eastAsia="SimSun"/>
                <w:spacing w:val="10"/>
                <w:sz w:val="20"/>
                <w:szCs w:val="22"/>
                <w:lang w:eastAsia="zh-CN"/>
              </w:rPr>
            </w:pPr>
          </w:p>
        </w:tc>
        <w:tc>
          <w:tcPr>
            <w:tcW w:w="507"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rFonts w:hint="eastAsia"/>
                <w:sz w:val="20"/>
              </w:rPr>
              <w:t>计划</w:t>
            </w:r>
            <w:r>
              <w:rPr>
                <w:sz w:val="20"/>
              </w:rPr>
              <w:br/>
            </w:r>
            <w:r>
              <w:rPr>
                <w:rFonts w:hint="eastAsia"/>
                <w:sz w:val="20"/>
              </w:rPr>
              <w:t>人数</w:t>
            </w:r>
          </w:p>
        </w:tc>
        <w:tc>
          <w:tcPr>
            <w:tcW w:w="522"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rFonts w:hint="eastAsia"/>
                <w:sz w:val="20"/>
              </w:rPr>
              <w:t>接种</w:t>
            </w:r>
            <w:r>
              <w:rPr>
                <w:sz w:val="20"/>
              </w:rPr>
              <w:br/>
            </w:r>
            <w:r>
              <w:rPr>
                <w:rFonts w:hint="eastAsia"/>
                <w:sz w:val="20"/>
              </w:rPr>
              <w:t>人数</w:t>
            </w:r>
          </w:p>
        </w:tc>
        <w:tc>
          <w:tcPr>
            <w:tcW w:w="326"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sz w:val="20"/>
              </w:rPr>
              <w:t>%</w:t>
            </w:r>
          </w:p>
        </w:tc>
        <w:tc>
          <w:tcPr>
            <w:tcW w:w="483"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rFonts w:hint="eastAsia"/>
                <w:sz w:val="20"/>
              </w:rPr>
              <w:t>计划</w:t>
            </w:r>
            <w:r>
              <w:rPr>
                <w:sz w:val="20"/>
              </w:rPr>
              <w:br/>
            </w:r>
            <w:r>
              <w:rPr>
                <w:rFonts w:hint="eastAsia"/>
                <w:sz w:val="20"/>
              </w:rPr>
              <w:t>人数</w:t>
            </w:r>
          </w:p>
        </w:tc>
        <w:tc>
          <w:tcPr>
            <w:tcW w:w="493"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rFonts w:hint="eastAsia"/>
                <w:sz w:val="20"/>
              </w:rPr>
              <w:t>接种</w:t>
            </w:r>
            <w:r>
              <w:rPr>
                <w:sz w:val="20"/>
              </w:rPr>
              <w:br/>
            </w:r>
            <w:r>
              <w:rPr>
                <w:rFonts w:hint="eastAsia"/>
                <w:sz w:val="20"/>
              </w:rPr>
              <w:t>人数</w:t>
            </w:r>
          </w:p>
        </w:tc>
        <w:tc>
          <w:tcPr>
            <w:tcW w:w="394"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sz w:val="20"/>
              </w:rPr>
              <w:t>%</w:t>
            </w:r>
          </w:p>
        </w:tc>
        <w:tc>
          <w:tcPr>
            <w:tcW w:w="528"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rFonts w:hint="eastAsia"/>
                <w:sz w:val="20"/>
              </w:rPr>
              <w:t>计划</w:t>
            </w:r>
            <w:r>
              <w:rPr>
                <w:sz w:val="20"/>
              </w:rPr>
              <w:br/>
            </w:r>
            <w:r>
              <w:rPr>
                <w:rFonts w:hint="eastAsia"/>
                <w:sz w:val="20"/>
              </w:rPr>
              <w:t>人数</w:t>
            </w: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rFonts w:hint="eastAsia"/>
                <w:sz w:val="20"/>
              </w:rPr>
              <w:t>接种</w:t>
            </w:r>
            <w:r>
              <w:rPr>
                <w:sz w:val="20"/>
              </w:rPr>
              <w:br/>
            </w:r>
            <w:r>
              <w:rPr>
                <w:rFonts w:hint="eastAsia"/>
                <w:sz w:val="20"/>
              </w:rPr>
              <w:t>人数</w:t>
            </w:r>
          </w:p>
        </w:tc>
        <w:tc>
          <w:tcPr>
            <w:tcW w:w="33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sz w:val="20"/>
              </w:rPr>
              <w:t>%</w:t>
            </w:r>
          </w:p>
        </w:tc>
        <w:tc>
          <w:tcPr>
            <w:tcW w:w="554"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line="240" w:lineRule="auto"/>
              <w:jc w:val="center"/>
              <w:rPr>
                <w:sz w:val="20"/>
              </w:rPr>
            </w:pPr>
            <w:r>
              <w:rPr>
                <w:rFonts w:hint="eastAsia"/>
                <w:sz w:val="20"/>
              </w:rPr>
              <w:t>计划</w:t>
            </w:r>
            <w:r>
              <w:rPr>
                <w:sz w:val="20"/>
              </w:rPr>
              <w:br/>
            </w:r>
            <w:r>
              <w:rPr>
                <w:rFonts w:hint="eastAsia"/>
                <w:sz w:val="20"/>
              </w:rPr>
              <w:t>人数</w:t>
            </w:r>
          </w:p>
        </w:tc>
      </w:tr>
      <w:tr w:rsidR="00000000">
        <w:tblPrEx>
          <w:tblCellMar>
            <w:top w:w="0" w:type="dxa"/>
            <w:bottom w:w="0" w:type="dxa"/>
          </w:tblCellMar>
        </w:tblPrEx>
        <w:tc>
          <w:tcPr>
            <w:tcW w:w="379" w:type="pct"/>
            <w:tcBorders>
              <w:top w:val="single" w:sz="4" w:space="0" w:color="auto"/>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1992</w:t>
            </w:r>
          </w:p>
        </w:tc>
        <w:tc>
          <w:tcPr>
            <w:tcW w:w="507" w:type="pct"/>
            <w:tcBorders>
              <w:top w:val="single" w:sz="4" w:space="0" w:color="auto"/>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25,021</w:t>
            </w:r>
          </w:p>
        </w:tc>
        <w:tc>
          <w:tcPr>
            <w:tcW w:w="522" w:type="pct"/>
            <w:tcBorders>
              <w:top w:val="single" w:sz="4" w:space="0" w:color="auto"/>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24,985</w:t>
            </w:r>
          </w:p>
        </w:tc>
        <w:tc>
          <w:tcPr>
            <w:tcW w:w="326" w:type="pct"/>
            <w:tcBorders>
              <w:top w:val="single" w:sz="4" w:space="0" w:color="auto"/>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99.8</w:t>
            </w:r>
          </w:p>
        </w:tc>
        <w:tc>
          <w:tcPr>
            <w:tcW w:w="483" w:type="pct"/>
            <w:tcBorders>
              <w:top w:val="single" w:sz="4" w:space="0" w:color="auto"/>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25,313</w:t>
            </w:r>
          </w:p>
        </w:tc>
        <w:tc>
          <w:tcPr>
            <w:tcW w:w="493" w:type="pct"/>
            <w:tcBorders>
              <w:top w:val="single" w:sz="4" w:space="0" w:color="auto"/>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24,996</w:t>
            </w:r>
          </w:p>
        </w:tc>
        <w:tc>
          <w:tcPr>
            <w:tcW w:w="394" w:type="pct"/>
            <w:tcBorders>
              <w:top w:val="single" w:sz="4" w:space="0" w:color="auto"/>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98.7</w:t>
            </w:r>
          </w:p>
        </w:tc>
        <w:tc>
          <w:tcPr>
            <w:tcW w:w="528" w:type="pct"/>
            <w:tcBorders>
              <w:top w:val="single" w:sz="4" w:space="0" w:color="auto"/>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21,767</w:t>
            </w:r>
          </w:p>
        </w:tc>
        <w:tc>
          <w:tcPr>
            <w:tcW w:w="484" w:type="pct"/>
            <w:tcBorders>
              <w:top w:val="single" w:sz="4" w:space="0" w:color="auto"/>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20,893</w:t>
            </w:r>
          </w:p>
        </w:tc>
        <w:tc>
          <w:tcPr>
            <w:tcW w:w="330" w:type="pct"/>
            <w:tcBorders>
              <w:top w:val="single" w:sz="4" w:space="0" w:color="auto"/>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95.5</w:t>
            </w:r>
          </w:p>
        </w:tc>
        <w:tc>
          <w:tcPr>
            <w:tcW w:w="554" w:type="pct"/>
            <w:tcBorders>
              <w:top w:val="single" w:sz="4" w:space="0" w:color="auto"/>
              <w:left w:val="single" w:sz="4" w:space="0" w:color="auto"/>
              <w:bottom w:val="nil"/>
              <w:right w:val="single" w:sz="4" w:space="0" w:color="auto"/>
            </w:tcBorders>
          </w:tcPr>
          <w:p w:rsidR="00000000" w:rsidRDefault="00844A84">
            <w:pPr>
              <w:pStyle w:val="Num-DocParagraph"/>
              <w:spacing w:before="20" w:after="0"/>
              <w:jc w:val="right"/>
              <w:rPr>
                <w:rFonts w:eastAsia="SimSun"/>
                <w:spacing w:val="10"/>
                <w:sz w:val="20"/>
                <w:szCs w:val="22"/>
                <w:lang w:eastAsia="zh-CN"/>
              </w:rPr>
            </w:pP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1993</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22,264</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w:t>
            </w:r>
            <w:r>
              <w:rPr>
                <w:rFonts w:eastAsia="SimSun"/>
                <w:spacing w:val="10"/>
                <w:sz w:val="20"/>
                <w:szCs w:val="22"/>
                <w:lang w:eastAsia="zh-CN"/>
              </w:rPr>
              <w:t>358</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96</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22,468</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21,525</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96</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17,491</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16,987</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97</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right"/>
              <w:rPr>
                <w:rFonts w:eastAsia="SimSun"/>
                <w:spacing w:val="10"/>
                <w:sz w:val="20"/>
                <w:szCs w:val="22"/>
                <w:lang w:eastAsia="zh-CN"/>
              </w:rPr>
            </w:pP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1994</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23,944</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22,588</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94</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24,046</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22,780</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94</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21,098</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19,527</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92</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24,292</w:t>
            </w: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1995</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22,240</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21,074</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94.7</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22,341</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21,365</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95.6</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22,142</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21,138</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95.5</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22,896</w:t>
            </w: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1996</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22,220</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21,312</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95.5</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22,458</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21,536</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95.9</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23,297</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22,473</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96.5</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16,057</w:t>
            </w: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1997</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21,3</w:t>
            </w:r>
            <w:r>
              <w:rPr>
                <w:rFonts w:eastAsia="SimSun"/>
                <w:spacing w:val="10"/>
                <w:sz w:val="20"/>
                <w:szCs w:val="22"/>
                <w:lang w:eastAsia="zh-CN"/>
              </w:rPr>
              <w:t>65</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20,558</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96.2</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21,533</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20,769</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96.5</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21,645</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21,158</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97.8</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20,360</w:t>
            </w: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1998</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20,166</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19,467</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96.5</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20,291</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19,553</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96.4</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20,565</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19,821</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96.4</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19,424</w:t>
            </w: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1999</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19,353</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18,841</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97.4</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19,443</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19,016</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97.8</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19,617</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18,525</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94.4</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17,743</w:t>
            </w:r>
          </w:p>
        </w:tc>
      </w:tr>
      <w:tr w:rsidR="00000000">
        <w:tblPrEx>
          <w:tblCellMar>
            <w:top w:w="0" w:type="dxa"/>
            <w:bottom w:w="0" w:type="dxa"/>
          </w:tblCellMar>
        </w:tblPrEx>
        <w:tc>
          <w:tcPr>
            <w:tcW w:w="379"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2000</w:t>
            </w:r>
          </w:p>
        </w:tc>
        <w:tc>
          <w:tcPr>
            <w:tcW w:w="507"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18,626</w:t>
            </w:r>
          </w:p>
        </w:tc>
        <w:tc>
          <w:tcPr>
            <w:tcW w:w="522"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18,157</w:t>
            </w:r>
          </w:p>
        </w:tc>
        <w:tc>
          <w:tcPr>
            <w:tcW w:w="326" w:type="pct"/>
            <w:tcBorders>
              <w:top w:val="nil"/>
              <w:left w:val="single" w:sz="4" w:space="0" w:color="auto"/>
              <w:bottom w:val="nil"/>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97.5</w:t>
            </w:r>
          </w:p>
        </w:tc>
        <w:tc>
          <w:tcPr>
            <w:tcW w:w="48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18,656</w:t>
            </w:r>
          </w:p>
        </w:tc>
        <w:tc>
          <w:tcPr>
            <w:tcW w:w="493"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18,163</w:t>
            </w:r>
          </w:p>
        </w:tc>
        <w:tc>
          <w:tcPr>
            <w:tcW w:w="39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97.4</w:t>
            </w:r>
          </w:p>
        </w:tc>
        <w:tc>
          <w:tcPr>
            <w:tcW w:w="528"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19,030</w:t>
            </w:r>
          </w:p>
        </w:tc>
        <w:tc>
          <w:tcPr>
            <w:tcW w:w="484"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15,62</w:t>
            </w:r>
            <w:r>
              <w:rPr>
                <w:rFonts w:eastAsia="SimSun"/>
                <w:spacing w:val="10"/>
                <w:sz w:val="20"/>
                <w:szCs w:val="22"/>
                <w:lang w:eastAsia="zh-CN"/>
              </w:rPr>
              <w:t>0</w:t>
            </w:r>
          </w:p>
        </w:tc>
        <w:tc>
          <w:tcPr>
            <w:tcW w:w="330" w:type="pct"/>
            <w:tcBorders>
              <w:top w:val="nil"/>
              <w:left w:val="single" w:sz="4" w:space="0" w:color="auto"/>
              <w:bottom w:val="nil"/>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82.1</w:t>
            </w:r>
          </w:p>
        </w:tc>
        <w:tc>
          <w:tcPr>
            <w:tcW w:w="554" w:type="pct"/>
            <w:tcBorders>
              <w:top w:val="nil"/>
              <w:left w:val="single" w:sz="4" w:space="0" w:color="auto"/>
              <w:bottom w:val="nil"/>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18,406</w:t>
            </w:r>
          </w:p>
        </w:tc>
      </w:tr>
      <w:tr w:rsidR="00000000">
        <w:tblPrEx>
          <w:tblCellMar>
            <w:top w:w="0" w:type="dxa"/>
            <w:bottom w:w="0" w:type="dxa"/>
          </w:tblCellMar>
        </w:tblPrEx>
        <w:tc>
          <w:tcPr>
            <w:tcW w:w="379" w:type="pct"/>
            <w:tcBorders>
              <w:top w:val="nil"/>
              <w:left w:val="single" w:sz="4" w:space="0" w:color="auto"/>
              <w:bottom w:val="single" w:sz="4" w:space="0" w:color="auto"/>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2001</w:t>
            </w:r>
          </w:p>
        </w:tc>
        <w:tc>
          <w:tcPr>
            <w:tcW w:w="507" w:type="pct"/>
            <w:tcBorders>
              <w:top w:val="nil"/>
              <w:left w:val="single" w:sz="4" w:space="0" w:color="auto"/>
              <w:bottom w:val="single" w:sz="4" w:space="0" w:color="auto"/>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18,733</w:t>
            </w:r>
          </w:p>
        </w:tc>
        <w:tc>
          <w:tcPr>
            <w:tcW w:w="522" w:type="pct"/>
            <w:tcBorders>
              <w:top w:val="nil"/>
              <w:left w:val="single" w:sz="4" w:space="0" w:color="auto"/>
              <w:bottom w:val="single" w:sz="4" w:space="0" w:color="auto"/>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18,273</w:t>
            </w:r>
          </w:p>
        </w:tc>
        <w:tc>
          <w:tcPr>
            <w:tcW w:w="326" w:type="pct"/>
            <w:tcBorders>
              <w:top w:val="nil"/>
              <w:left w:val="single" w:sz="4" w:space="0" w:color="auto"/>
              <w:bottom w:val="single" w:sz="4" w:space="0" w:color="auto"/>
              <w:right w:val="single" w:sz="4" w:space="0" w:color="auto"/>
            </w:tcBorders>
          </w:tcPr>
          <w:p w:rsidR="00000000" w:rsidRDefault="00844A84">
            <w:pPr>
              <w:pStyle w:val="Num-DocParagraph"/>
              <w:tabs>
                <w:tab w:val="decimal" w:pos="850"/>
              </w:tabs>
              <w:spacing w:before="20" w:after="0"/>
              <w:rPr>
                <w:rFonts w:eastAsia="SimSun"/>
                <w:spacing w:val="10"/>
                <w:sz w:val="20"/>
                <w:szCs w:val="22"/>
                <w:lang w:eastAsia="zh-CN"/>
              </w:rPr>
            </w:pPr>
            <w:r>
              <w:rPr>
                <w:rFonts w:eastAsia="SimSun"/>
                <w:spacing w:val="10"/>
                <w:sz w:val="20"/>
                <w:szCs w:val="22"/>
                <w:lang w:eastAsia="zh-CN"/>
              </w:rPr>
              <w:t>97.5</w:t>
            </w:r>
          </w:p>
        </w:tc>
        <w:tc>
          <w:tcPr>
            <w:tcW w:w="483" w:type="pct"/>
            <w:tcBorders>
              <w:top w:val="nil"/>
              <w:left w:val="single" w:sz="4" w:space="0" w:color="auto"/>
              <w:bottom w:val="single" w:sz="4" w:space="0" w:color="auto"/>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18,784</w:t>
            </w:r>
          </w:p>
        </w:tc>
        <w:tc>
          <w:tcPr>
            <w:tcW w:w="493" w:type="pct"/>
            <w:tcBorders>
              <w:top w:val="nil"/>
              <w:left w:val="single" w:sz="4" w:space="0" w:color="auto"/>
              <w:bottom w:val="single" w:sz="4" w:space="0" w:color="auto"/>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18,324</w:t>
            </w:r>
          </w:p>
        </w:tc>
        <w:tc>
          <w:tcPr>
            <w:tcW w:w="394" w:type="pct"/>
            <w:tcBorders>
              <w:top w:val="nil"/>
              <w:left w:val="single" w:sz="4" w:space="0" w:color="auto"/>
              <w:bottom w:val="single" w:sz="4" w:space="0" w:color="auto"/>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97.6</w:t>
            </w:r>
          </w:p>
        </w:tc>
        <w:tc>
          <w:tcPr>
            <w:tcW w:w="528" w:type="pct"/>
            <w:tcBorders>
              <w:top w:val="nil"/>
              <w:left w:val="single" w:sz="4" w:space="0" w:color="auto"/>
              <w:bottom w:val="single" w:sz="4" w:space="0" w:color="auto"/>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19,426</w:t>
            </w:r>
          </w:p>
        </w:tc>
        <w:tc>
          <w:tcPr>
            <w:tcW w:w="484" w:type="pct"/>
            <w:tcBorders>
              <w:top w:val="nil"/>
              <w:left w:val="single" w:sz="4" w:space="0" w:color="auto"/>
              <w:bottom w:val="single" w:sz="4" w:space="0" w:color="auto"/>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18,840</w:t>
            </w:r>
          </w:p>
        </w:tc>
        <w:tc>
          <w:tcPr>
            <w:tcW w:w="330" w:type="pct"/>
            <w:tcBorders>
              <w:top w:val="nil"/>
              <w:left w:val="single" w:sz="4" w:space="0" w:color="auto"/>
              <w:bottom w:val="single" w:sz="4" w:space="0" w:color="auto"/>
              <w:right w:val="single" w:sz="4" w:space="0" w:color="auto"/>
            </w:tcBorders>
          </w:tcPr>
          <w:p w:rsidR="00000000" w:rsidRDefault="00844A84">
            <w:pPr>
              <w:pStyle w:val="Num-DocParagraph"/>
              <w:spacing w:before="20" w:after="0"/>
              <w:rPr>
                <w:rFonts w:eastAsia="SimSun"/>
                <w:spacing w:val="10"/>
                <w:sz w:val="20"/>
                <w:szCs w:val="22"/>
                <w:lang w:eastAsia="zh-CN"/>
              </w:rPr>
            </w:pPr>
            <w:r>
              <w:rPr>
                <w:rFonts w:eastAsia="SimSun"/>
                <w:spacing w:val="10"/>
                <w:sz w:val="20"/>
                <w:szCs w:val="22"/>
                <w:lang w:eastAsia="zh-CN"/>
              </w:rPr>
              <w:t>97</w:t>
            </w:r>
          </w:p>
        </w:tc>
        <w:tc>
          <w:tcPr>
            <w:tcW w:w="554" w:type="pct"/>
            <w:tcBorders>
              <w:top w:val="nil"/>
              <w:left w:val="single" w:sz="4" w:space="0" w:color="auto"/>
              <w:bottom w:val="single" w:sz="4" w:space="0" w:color="auto"/>
              <w:right w:val="single" w:sz="4" w:space="0" w:color="auto"/>
            </w:tcBorders>
          </w:tcPr>
          <w:p w:rsidR="00000000" w:rsidRDefault="00844A84">
            <w:pPr>
              <w:pStyle w:val="Num-DocParagraph"/>
              <w:spacing w:before="20" w:after="0"/>
              <w:jc w:val="center"/>
              <w:rPr>
                <w:rFonts w:eastAsia="SimSun"/>
                <w:spacing w:val="10"/>
                <w:sz w:val="20"/>
                <w:szCs w:val="22"/>
                <w:lang w:eastAsia="zh-CN"/>
              </w:rPr>
            </w:pPr>
            <w:r>
              <w:rPr>
                <w:rFonts w:eastAsia="SimSun"/>
                <w:spacing w:val="10"/>
                <w:sz w:val="20"/>
                <w:szCs w:val="22"/>
                <w:lang w:eastAsia="zh-CN"/>
              </w:rPr>
              <w:t>18,190</w:t>
            </w:r>
          </w:p>
        </w:tc>
      </w:tr>
    </w:tbl>
    <w:p w:rsidR="00000000" w:rsidRDefault="00844A84">
      <w:pPr>
        <w:rPr>
          <w:rFonts w:hint="eastAsia"/>
        </w:rPr>
      </w:pPr>
    </w:p>
    <w:p w:rsidR="00000000" w:rsidRDefault="00844A84">
      <w:pPr>
        <w:pStyle w:val="Heading3"/>
        <w:spacing w:after="120"/>
        <w:rPr>
          <w:rFonts w:hint="eastAsia"/>
          <w:u w:val="none"/>
        </w:rPr>
      </w:pPr>
      <w:r>
        <w:rPr>
          <w:rFonts w:hint="eastAsia"/>
          <w:u w:val="none"/>
        </w:rPr>
        <w:t>表</w:t>
      </w:r>
      <w:r>
        <w:rPr>
          <w:rFonts w:hint="eastAsia"/>
          <w:u w:val="none"/>
        </w:rPr>
        <w:t xml:space="preserve"> </w:t>
      </w:r>
      <w:r>
        <w:rPr>
          <w:u w:val="none"/>
        </w:rPr>
        <w:t>13</w:t>
      </w:r>
    </w:p>
    <w:p w:rsidR="00000000" w:rsidRDefault="00844A84">
      <w:pPr>
        <w:pStyle w:val="Heading3"/>
        <w:spacing w:after="120"/>
      </w:pPr>
      <w:r>
        <w:rPr>
          <w:rFonts w:hint="eastAsia"/>
        </w:rPr>
        <w:t>中塞尔维亚免疫接种覆盖率，</w:t>
      </w:r>
      <w:r>
        <w:t>1992</w:t>
      </w:r>
      <w:r>
        <w:rPr>
          <w:rFonts w:hint="eastAsia"/>
        </w:rPr>
        <w:t>－</w:t>
      </w:r>
      <w:r>
        <w:t>2001</w:t>
      </w: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7"/>
        <w:gridCol w:w="949"/>
        <w:gridCol w:w="949"/>
        <w:gridCol w:w="975"/>
        <w:gridCol w:w="923"/>
        <w:gridCol w:w="950"/>
        <w:gridCol w:w="962"/>
        <w:gridCol w:w="936"/>
        <w:gridCol w:w="949"/>
        <w:gridCol w:w="950"/>
      </w:tblGrid>
      <w:tr w:rsidR="00000000">
        <w:tblPrEx>
          <w:tblCellMar>
            <w:top w:w="0" w:type="dxa"/>
            <w:bottom w:w="0" w:type="dxa"/>
          </w:tblCellMar>
        </w:tblPrEx>
        <w:trPr>
          <w:cantSplit/>
          <w:jc w:val="center"/>
        </w:trPr>
        <w:tc>
          <w:tcPr>
            <w:tcW w:w="1087" w:type="dxa"/>
            <w:vMerge w:val="restart"/>
            <w:tcBorders>
              <w:top w:val="single" w:sz="4" w:space="0" w:color="auto"/>
              <w:left w:val="single" w:sz="4" w:space="0" w:color="auto"/>
              <w:right w:val="single" w:sz="4" w:space="0" w:color="auto"/>
            </w:tcBorders>
            <w:vAlign w:val="center"/>
          </w:tcPr>
          <w:p w:rsidR="00000000" w:rsidRDefault="00844A84">
            <w:pPr>
              <w:pStyle w:val="a2"/>
              <w:spacing w:before="240"/>
              <w:jc w:val="center"/>
            </w:pPr>
            <w:r>
              <w:rPr>
                <w:rFonts w:hint="eastAsia"/>
              </w:rPr>
              <w:t>接种</w:t>
            </w:r>
            <w:r>
              <w:br/>
            </w:r>
            <w:r>
              <w:rPr>
                <w:rFonts w:hint="eastAsia"/>
              </w:rPr>
              <w:t>年份</w:t>
            </w:r>
          </w:p>
        </w:tc>
        <w:tc>
          <w:tcPr>
            <w:tcW w:w="8543" w:type="dxa"/>
            <w:gridSpan w:val="9"/>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120" w:after="60"/>
              <w:jc w:val="center"/>
              <w:rPr>
                <w:rFonts w:eastAsia="SimSun"/>
                <w:spacing w:val="10"/>
                <w:sz w:val="20"/>
                <w:szCs w:val="22"/>
                <w:lang w:eastAsia="zh-CN"/>
              </w:rPr>
            </w:pPr>
            <w:r>
              <w:rPr>
                <w:rFonts w:eastAsia="SimSun" w:hint="eastAsia"/>
                <w:spacing w:val="10"/>
                <w:sz w:val="20"/>
                <w:szCs w:val="22"/>
                <w:lang w:eastAsia="zh-CN"/>
              </w:rPr>
              <w:t>免</w:t>
            </w:r>
            <w:r>
              <w:rPr>
                <w:rFonts w:eastAsia="SimSun" w:hint="eastAsia"/>
                <w:spacing w:val="10"/>
                <w:sz w:val="20"/>
                <w:szCs w:val="22"/>
                <w:lang w:eastAsia="zh-CN"/>
              </w:rPr>
              <w:t xml:space="preserve"> </w:t>
            </w:r>
            <w:r>
              <w:rPr>
                <w:rFonts w:eastAsia="SimSun" w:hint="eastAsia"/>
                <w:spacing w:val="10"/>
                <w:sz w:val="20"/>
                <w:szCs w:val="22"/>
                <w:lang w:eastAsia="zh-CN"/>
              </w:rPr>
              <w:t>疫</w:t>
            </w:r>
            <w:r>
              <w:rPr>
                <w:rFonts w:eastAsia="SimSun" w:hint="eastAsia"/>
                <w:spacing w:val="10"/>
                <w:sz w:val="20"/>
                <w:szCs w:val="22"/>
                <w:lang w:eastAsia="zh-CN"/>
              </w:rPr>
              <w:t xml:space="preserve"> </w:t>
            </w:r>
            <w:r>
              <w:rPr>
                <w:rFonts w:eastAsia="SimSun" w:hint="eastAsia"/>
                <w:spacing w:val="10"/>
                <w:sz w:val="20"/>
                <w:szCs w:val="22"/>
                <w:lang w:eastAsia="zh-CN"/>
              </w:rPr>
              <w:t>类</w:t>
            </w:r>
            <w:r>
              <w:rPr>
                <w:rFonts w:eastAsia="SimSun" w:hint="eastAsia"/>
                <w:spacing w:val="10"/>
                <w:sz w:val="20"/>
                <w:szCs w:val="22"/>
                <w:lang w:eastAsia="zh-CN"/>
              </w:rPr>
              <w:t xml:space="preserve"> </w:t>
            </w:r>
            <w:r>
              <w:rPr>
                <w:rFonts w:eastAsia="SimSun" w:hint="eastAsia"/>
                <w:spacing w:val="10"/>
                <w:sz w:val="20"/>
                <w:szCs w:val="22"/>
                <w:lang w:eastAsia="zh-CN"/>
              </w:rPr>
              <w:t>型</w:t>
            </w:r>
          </w:p>
        </w:tc>
      </w:tr>
      <w:tr w:rsidR="00000000">
        <w:tblPrEx>
          <w:tblCellMar>
            <w:top w:w="0" w:type="dxa"/>
            <w:bottom w:w="0" w:type="dxa"/>
          </w:tblCellMar>
        </w:tblPrEx>
        <w:trPr>
          <w:cantSplit/>
          <w:jc w:val="center"/>
        </w:trPr>
        <w:tc>
          <w:tcPr>
            <w:tcW w:w="1087" w:type="dxa"/>
            <w:vMerge/>
            <w:tcBorders>
              <w:left w:val="single" w:sz="4" w:space="0" w:color="auto"/>
              <w:right w:val="single" w:sz="4" w:space="0" w:color="auto"/>
            </w:tcBorders>
            <w:vAlign w:val="center"/>
          </w:tcPr>
          <w:p w:rsidR="00000000" w:rsidRDefault="00844A84">
            <w:pPr>
              <w:pStyle w:val="a2"/>
              <w:jc w:val="center"/>
              <w:rPr>
                <w:rFonts w:hint="eastAsia"/>
              </w:rPr>
            </w:pPr>
          </w:p>
        </w:tc>
        <w:tc>
          <w:tcPr>
            <w:tcW w:w="2873" w:type="dxa"/>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百白破疫苗</w:t>
            </w:r>
          </w:p>
        </w:tc>
        <w:tc>
          <w:tcPr>
            <w:tcW w:w="2835" w:type="dxa"/>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脊髓灰质炎疫苗</w:t>
            </w:r>
          </w:p>
        </w:tc>
        <w:tc>
          <w:tcPr>
            <w:tcW w:w="2835" w:type="dxa"/>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第二年接种麻腮风疫苗</w:t>
            </w:r>
          </w:p>
        </w:tc>
      </w:tr>
      <w:tr w:rsidR="00000000">
        <w:tblPrEx>
          <w:tblCellMar>
            <w:top w:w="0" w:type="dxa"/>
            <w:bottom w:w="0" w:type="dxa"/>
          </w:tblCellMar>
        </w:tblPrEx>
        <w:trPr>
          <w:cantSplit/>
          <w:jc w:val="center"/>
        </w:trPr>
        <w:tc>
          <w:tcPr>
            <w:tcW w:w="1087" w:type="dxa"/>
            <w:vMerge/>
            <w:tcBorders>
              <w:left w:val="single" w:sz="4" w:space="0" w:color="auto"/>
              <w:bottom w:val="single" w:sz="4" w:space="0" w:color="auto"/>
              <w:right w:val="single" w:sz="4" w:space="0" w:color="auto"/>
            </w:tcBorders>
            <w:vAlign w:val="center"/>
          </w:tcPr>
          <w:p w:rsidR="00000000" w:rsidRDefault="00844A84">
            <w:pPr>
              <w:pStyle w:val="a2"/>
              <w:jc w:val="center"/>
            </w:pPr>
          </w:p>
        </w:tc>
        <w:tc>
          <w:tcPr>
            <w:tcW w:w="949"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rPr>
                <w:rFonts w:hint="eastAsia"/>
              </w:rPr>
              <w:t>计划</w:t>
            </w:r>
            <w:r>
              <w:br/>
            </w:r>
            <w:r>
              <w:rPr>
                <w:rFonts w:hint="eastAsia"/>
              </w:rPr>
              <w:t>人数</w:t>
            </w:r>
          </w:p>
        </w:tc>
        <w:tc>
          <w:tcPr>
            <w:tcW w:w="949"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rPr>
                <w:rFonts w:hint="eastAsia"/>
              </w:rPr>
              <w:t>接种</w:t>
            </w:r>
            <w:r>
              <w:br/>
            </w:r>
            <w:r>
              <w:rPr>
                <w:rFonts w:hint="eastAsia"/>
              </w:rPr>
              <w:t>人数</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t>%</w:t>
            </w:r>
          </w:p>
        </w:tc>
        <w:tc>
          <w:tcPr>
            <w:tcW w:w="923"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rPr>
                <w:rFonts w:hint="eastAsia"/>
              </w:rPr>
              <w:t>计划</w:t>
            </w:r>
            <w:r>
              <w:br/>
            </w:r>
            <w:r>
              <w:rPr>
                <w:rFonts w:hint="eastAsia"/>
              </w:rPr>
              <w:t>人数</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rPr>
                <w:rFonts w:hint="eastAsia"/>
              </w:rPr>
              <w:t>接种</w:t>
            </w:r>
            <w:r>
              <w:br/>
            </w:r>
            <w:r>
              <w:rPr>
                <w:rFonts w:hint="eastAsia"/>
              </w:rPr>
              <w:t>人数</w:t>
            </w:r>
          </w:p>
        </w:tc>
        <w:tc>
          <w:tcPr>
            <w:tcW w:w="962"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t>%</w:t>
            </w:r>
          </w:p>
        </w:tc>
        <w:tc>
          <w:tcPr>
            <w:tcW w:w="936"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rPr>
                <w:rFonts w:hint="eastAsia"/>
              </w:rPr>
              <w:t>计划</w:t>
            </w:r>
            <w:r>
              <w:br/>
            </w:r>
            <w:r>
              <w:rPr>
                <w:rFonts w:hint="eastAsia"/>
              </w:rPr>
              <w:t>人数</w:t>
            </w:r>
          </w:p>
        </w:tc>
        <w:tc>
          <w:tcPr>
            <w:tcW w:w="949"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rPr>
                <w:rFonts w:hint="eastAsia"/>
              </w:rPr>
              <w:t>接种</w:t>
            </w:r>
            <w:r>
              <w:br/>
            </w:r>
            <w:r>
              <w:rPr>
                <w:rFonts w:hint="eastAsia"/>
              </w:rPr>
              <w:t>人数</w:t>
            </w:r>
          </w:p>
        </w:tc>
        <w:tc>
          <w:tcPr>
            <w:tcW w:w="950" w:type="dxa"/>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line="280" w:lineRule="exact"/>
              <w:jc w:val="center"/>
            </w:pPr>
            <w:r>
              <w:t>%</w:t>
            </w:r>
          </w:p>
        </w:tc>
      </w:tr>
      <w:tr w:rsidR="00000000">
        <w:tblPrEx>
          <w:tblCellMar>
            <w:top w:w="0" w:type="dxa"/>
            <w:bottom w:w="0" w:type="dxa"/>
          </w:tblCellMar>
        </w:tblPrEx>
        <w:trPr>
          <w:jc w:val="center"/>
        </w:trPr>
        <w:tc>
          <w:tcPr>
            <w:tcW w:w="1087" w:type="dxa"/>
            <w:tcBorders>
              <w:top w:val="single" w:sz="4" w:space="0" w:color="auto"/>
              <w:left w:val="single" w:sz="4" w:space="0" w:color="auto"/>
              <w:bottom w:val="nil"/>
              <w:right w:val="single" w:sz="4" w:space="0" w:color="auto"/>
            </w:tcBorders>
          </w:tcPr>
          <w:p w:rsidR="00000000" w:rsidRDefault="00844A84">
            <w:pPr>
              <w:pStyle w:val="a2"/>
              <w:jc w:val="center"/>
            </w:pPr>
            <w:r>
              <w:t>1992</w:t>
            </w:r>
          </w:p>
        </w:tc>
        <w:tc>
          <w:tcPr>
            <w:tcW w:w="949" w:type="dxa"/>
            <w:tcBorders>
              <w:top w:val="single" w:sz="4" w:space="0" w:color="auto"/>
              <w:left w:val="single" w:sz="4" w:space="0" w:color="auto"/>
              <w:bottom w:val="nil"/>
              <w:right w:val="single" w:sz="4" w:space="0" w:color="auto"/>
            </w:tcBorders>
          </w:tcPr>
          <w:p w:rsidR="00000000" w:rsidRDefault="00844A84">
            <w:pPr>
              <w:pStyle w:val="a2"/>
            </w:pPr>
            <w:r>
              <w:t>62,844</w:t>
            </w:r>
          </w:p>
        </w:tc>
        <w:tc>
          <w:tcPr>
            <w:tcW w:w="949" w:type="dxa"/>
            <w:tcBorders>
              <w:top w:val="single" w:sz="4" w:space="0" w:color="auto"/>
              <w:left w:val="single" w:sz="4" w:space="0" w:color="auto"/>
              <w:bottom w:val="nil"/>
              <w:right w:val="single" w:sz="4" w:space="0" w:color="auto"/>
            </w:tcBorders>
          </w:tcPr>
          <w:p w:rsidR="00000000" w:rsidRDefault="00844A84">
            <w:pPr>
              <w:pStyle w:val="a2"/>
              <w:jc w:val="center"/>
            </w:pPr>
            <w:r>
              <w:t>60,225</w:t>
            </w:r>
          </w:p>
        </w:tc>
        <w:tc>
          <w:tcPr>
            <w:tcW w:w="975" w:type="dxa"/>
            <w:tcBorders>
              <w:top w:val="single" w:sz="4" w:space="0" w:color="auto"/>
              <w:left w:val="single" w:sz="4" w:space="0" w:color="auto"/>
              <w:bottom w:val="nil"/>
              <w:right w:val="single" w:sz="4" w:space="0" w:color="auto"/>
            </w:tcBorders>
          </w:tcPr>
          <w:p w:rsidR="00000000" w:rsidRDefault="00844A84">
            <w:pPr>
              <w:pStyle w:val="a2"/>
              <w:jc w:val="center"/>
            </w:pPr>
            <w:r>
              <w:t>96.0</w:t>
            </w:r>
          </w:p>
        </w:tc>
        <w:tc>
          <w:tcPr>
            <w:tcW w:w="923" w:type="dxa"/>
            <w:tcBorders>
              <w:top w:val="single" w:sz="4" w:space="0" w:color="auto"/>
              <w:left w:val="single" w:sz="4" w:space="0" w:color="auto"/>
              <w:bottom w:val="nil"/>
              <w:right w:val="single" w:sz="4" w:space="0" w:color="auto"/>
            </w:tcBorders>
          </w:tcPr>
          <w:p w:rsidR="00000000" w:rsidRDefault="00844A84">
            <w:pPr>
              <w:pStyle w:val="a2"/>
            </w:pPr>
            <w:r>
              <w:t>64,854</w:t>
            </w:r>
          </w:p>
        </w:tc>
        <w:tc>
          <w:tcPr>
            <w:tcW w:w="950" w:type="dxa"/>
            <w:tcBorders>
              <w:top w:val="single" w:sz="4" w:space="0" w:color="auto"/>
              <w:left w:val="single" w:sz="4" w:space="0" w:color="auto"/>
              <w:bottom w:val="nil"/>
              <w:right w:val="single" w:sz="4" w:space="0" w:color="auto"/>
            </w:tcBorders>
          </w:tcPr>
          <w:p w:rsidR="00000000" w:rsidRDefault="00844A84">
            <w:pPr>
              <w:pStyle w:val="a2"/>
            </w:pPr>
            <w:r>
              <w:t>60,947</w:t>
            </w:r>
          </w:p>
        </w:tc>
        <w:tc>
          <w:tcPr>
            <w:tcW w:w="962" w:type="dxa"/>
            <w:tcBorders>
              <w:top w:val="single" w:sz="4" w:space="0" w:color="auto"/>
              <w:left w:val="single" w:sz="4" w:space="0" w:color="auto"/>
              <w:bottom w:val="nil"/>
              <w:right w:val="single" w:sz="4" w:space="0" w:color="auto"/>
            </w:tcBorders>
          </w:tcPr>
          <w:p w:rsidR="00000000" w:rsidRDefault="00844A84">
            <w:pPr>
              <w:pStyle w:val="a2"/>
              <w:jc w:val="center"/>
            </w:pPr>
            <w:r>
              <w:t>94.0</w:t>
            </w:r>
          </w:p>
        </w:tc>
        <w:tc>
          <w:tcPr>
            <w:tcW w:w="936" w:type="dxa"/>
            <w:tcBorders>
              <w:top w:val="single" w:sz="4" w:space="0" w:color="auto"/>
              <w:left w:val="single" w:sz="4" w:space="0" w:color="auto"/>
              <w:bottom w:val="nil"/>
              <w:right w:val="single" w:sz="4" w:space="0" w:color="auto"/>
            </w:tcBorders>
          </w:tcPr>
          <w:p w:rsidR="00000000" w:rsidRDefault="00844A84">
            <w:pPr>
              <w:pStyle w:val="a2"/>
              <w:jc w:val="center"/>
            </w:pPr>
            <w:r>
              <w:t>63,223</w:t>
            </w:r>
          </w:p>
        </w:tc>
        <w:tc>
          <w:tcPr>
            <w:tcW w:w="949" w:type="dxa"/>
            <w:tcBorders>
              <w:top w:val="single" w:sz="4" w:space="0" w:color="auto"/>
              <w:left w:val="single" w:sz="4" w:space="0" w:color="auto"/>
              <w:bottom w:val="nil"/>
              <w:right w:val="single" w:sz="4" w:space="0" w:color="auto"/>
            </w:tcBorders>
          </w:tcPr>
          <w:p w:rsidR="00000000" w:rsidRDefault="00844A84">
            <w:pPr>
              <w:pStyle w:val="a2"/>
              <w:jc w:val="center"/>
            </w:pPr>
            <w:r>
              <w:t>59,495</w:t>
            </w:r>
          </w:p>
        </w:tc>
        <w:tc>
          <w:tcPr>
            <w:tcW w:w="950" w:type="dxa"/>
            <w:tcBorders>
              <w:top w:val="single" w:sz="4" w:space="0" w:color="auto"/>
              <w:left w:val="single" w:sz="4" w:space="0" w:color="auto"/>
              <w:bottom w:val="nil"/>
              <w:right w:val="single" w:sz="4" w:space="0" w:color="auto"/>
            </w:tcBorders>
          </w:tcPr>
          <w:p w:rsidR="00000000" w:rsidRDefault="00844A84">
            <w:pPr>
              <w:pStyle w:val="a2"/>
              <w:jc w:val="center"/>
            </w:pPr>
            <w:r>
              <w:t>9</w:t>
            </w:r>
            <w:r>
              <w:t>4.0</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1993</w:t>
            </w:r>
          </w:p>
        </w:tc>
        <w:tc>
          <w:tcPr>
            <w:tcW w:w="949" w:type="dxa"/>
            <w:tcBorders>
              <w:top w:val="nil"/>
              <w:left w:val="single" w:sz="4" w:space="0" w:color="auto"/>
              <w:bottom w:val="nil"/>
              <w:right w:val="single" w:sz="4" w:space="0" w:color="auto"/>
            </w:tcBorders>
          </w:tcPr>
          <w:p w:rsidR="00000000" w:rsidRDefault="00844A84">
            <w:pPr>
              <w:pStyle w:val="a2"/>
            </w:pPr>
            <w:r>
              <w:t>63,487</w:t>
            </w:r>
          </w:p>
        </w:tc>
        <w:tc>
          <w:tcPr>
            <w:tcW w:w="949" w:type="dxa"/>
            <w:tcBorders>
              <w:top w:val="nil"/>
              <w:left w:val="single" w:sz="4" w:space="0" w:color="auto"/>
              <w:bottom w:val="nil"/>
              <w:right w:val="single" w:sz="4" w:space="0" w:color="auto"/>
            </w:tcBorders>
          </w:tcPr>
          <w:p w:rsidR="00000000" w:rsidRDefault="00844A84">
            <w:pPr>
              <w:pStyle w:val="a2"/>
              <w:jc w:val="center"/>
            </w:pPr>
            <w:r>
              <w:t>60,954</w:t>
            </w:r>
          </w:p>
        </w:tc>
        <w:tc>
          <w:tcPr>
            <w:tcW w:w="975" w:type="dxa"/>
            <w:tcBorders>
              <w:top w:val="nil"/>
              <w:left w:val="single" w:sz="4" w:space="0" w:color="auto"/>
              <w:bottom w:val="nil"/>
              <w:right w:val="single" w:sz="4" w:space="0" w:color="auto"/>
            </w:tcBorders>
          </w:tcPr>
          <w:p w:rsidR="00000000" w:rsidRDefault="00844A84">
            <w:pPr>
              <w:pStyle w:val="a2"/>
              <w:jc w:val="center"/>
            </w:pPr>
            <w:r>
              <w:t>96.0</w:t>
            </w:r>
          </w:p>
        </w:tc>
        <w:tc>
          <w:tcPr>
            <w:tcW w:w="923" w:type="dxa"/>
            <w:tcBorders>
              <w:top w:val="nil"/>
              <w:left w:val="single" w:sz="4" w:space="0" w:color="auto"/>
              <w:bottom w:val="nil"/>
              <w:right w:val="single" w:sz="4" w:space="0" w:color="auto"/>
            </w:tcBorders>
          </w:tcPr>
          <w:p w:rsidR="00000000" w:rsidRDefault="00844A84">
            <w:pPr>
              <w:pStyle w:val="a2"/>
            </w:pPr>
            <w:r>
              <w:t>64,609</w:t>
            </w:r>
          </w:p>
        </w:tc>
        <w:tc>
          <w:tcPr>
            <w:tcW w:w="950" w:type="dxa"/>
            <w:tcBorders>
              <w:top w:val="nil"/>
              <w:left w:val="single" w:sz="4" w:space="0" w:color="auto"/>
              <w:bottom w:val="nil"/>
              <w:right w:val="single" w:sz="4" w:space="0" w:color="auto"/>
            </w:tcBorders>
          </w:tcPr>
          <w:p w:rsidR="00000000" w:rsidRDefault="00844A84">
            <w:pPr>
              <w:pStyle w:val="a2"/>
            </w:pPr>
            <w:r>
              <w:t>61,685</w:t>
            </w:r>
          </w:p>
        </w:tc>
        <w:tc>
          <w:tcPr>
            <w:tcW w:w="962" w:type="dxa"/>
            <w:tcBorders>
              <w:top w:val="nil"/>
              <w:left w:val="single" w:sz="4" w:space="0" w:color="auto"/>
              <w:bottom w:val="nil"/>
              <w:right w:val="single" w:sz="4" w:space="0" w:color="auto"/>
            </w:tcBorders>
          </w:tcPr>
          <w:p w:rsidR="00000000" w:rsidRDefault="00844A84">
            <w:pPr>
              <w:pStyle w:val="a2"/>
              <w:jc w:val="center"/>
            </w:pPr>
            <w:r>
              <w:t>95.0</w:t>
            </w:r>
          </w:p>
        </w:tc>
        <w:tc>
          <w:tcPr>
            <w:tcW w:w="936" w:type="dxa"/>
            <w:tcBorders>
              <w:top w:val="nil"/>
              <w:left w:val="single" w:sz="4" w:space="0" w:color="auto"/>
              <w:bottom w:val="nil"/>
              <w:right w:val="single" w:sz="4" w:space="0" w:color="auto"/>
            </w:tcBorders>
          </w:tcPr>
          <w:p w:rsidR="00000000" w:rsidRDefault="00844A84">
            <w:pPr>
              <w:pStyle w:val="a2"/>
              <w:jc w:val="center"/>
            </w:pPr>
            <w:r>
              <w:t>66,050</w:t>
            </w:r>
          </w:p>
        </w:tc>
        <w:tc>
          <w:tcPr>
            <w:tcW w:w="949" w:type="dxa"/>
            <w:tcBorders>
              <w:top w:val="nil"/>
              <w:left w:val="single" w:sz="4" w:space="0" w:color="auto"/>
              <w:bottom w:val="nil"/>
              <w:right w:val="single" w:sz="4" w:space="0" w:color="auto"/>
            </w:tcBorders>
          </w:tcPr>
          <w:p w:rsidR="00000000" w:rsidRDefault="00844A84">
            <w:pPr>
              <w:pStyle w:val="a2"/>
              <w:jc w:val="center"/>
            </w:pPr>
            <w:r>
              <w:t>63,055</w:t>
            </w:r>
          </w:p>
        </w:tc>
        <w:tc>
          <w:tcPr>
            <w:tcW w:w="950" w:type="dxa"/>
            <w:tcBorders>
              <w:top w:val="nil"/>
              <w:left w:val="single" w:sz="4" w:space="0" w:color="auto"/>
              <w:bottom w:val="nil"/>
              <w:right w:val="single" w:sz="4" w:space="0" w:color="auto"/>
            </w:tcBorders>
          </w:tcPr>
          <w:p w:rsidR="00000000" w:rsidRDefault="00844A84">
            <w:pPr>
              <w:pStyle w:val="a2"/>
              <w:jc w:val="center"/>
            </w:pPr>
            <w:r>
              <w:t>95.0</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1994</w:t>
            </w:r>
          </w:p>
        </w:tc>
        <w:tc>
          <w:tcPr>
            <w:tcW w:w="949" w:type="dxa"/>
            <w:tcBorders>
              <w:top w:val="nil"/>
              <w:left w:val="single" w:sz="4" w:space="0" w:color="auto"/>
              <w:bottom w:val="nil"/>
              <w:right w:val="single" w:sz="4" w:space="0" w:color="auto"/>
            </w:tcBorders>
          </w:tcPr>
          <w:p w:rsidR="00000000" w:rsidRDefault="00844A84">
            <w:pPr>
              <w:pStyle w:val="a2"/>
            </w:pPr>
            <w:r>
              <w:t>69,135</w:t>
            </w:r>
          </w:p>
        </w:tc>
        <w:tc>
          <w:tcPr>
            <w:tcW w:w="949" w:type="dxa"/>
            <w:tcBorders>
              <w:top w:val="nil"/>
              <w:left w:val="single" w:sz="4" w:space="0" w:color="auto"/>
              <w:bottom w:val="nil"/>
              <w:right w:val="single" w:sz="4" w:space="0" w:color="auto"/>
            </w:tcBorders>
          </w:tcPr>
          <w:p w:rsidR="00000000" w:rsidRDefault="00844A84">
            <w:pPr>
              <w:pStyle w:val="a2"/>
              <w:jc w:val="center"/>
            </w:pPr>
            <w:r>
              <w:t>59,915</w:t>
            </w:r>
          </w:p>
        </w:tc>
        <w:tc>
          <w:tcPr>
            <w:tcW w:w="975" w:type="dxa"/>
            <w:tcBorders>
              <w:top w:val="nil"/>
              <w:left w:val="single" w:sz="4" w:space="0" w:color="auto"/>
              <w:bottom w:val="nil"/>
              <w:right w:val="single" w:sz="4" w:space="0" w:color="auto"/>
            </w:tcBorders>
          </w:tcPr>
          <w:p w:rsidR="00000000" w:rsidRDefault="00844A84">
            <w:pPr>
              <w:pStyle w:val="a2"/>
              <w:jc w:val="center"/>
            </w:pPr>
            <w:r>
              <w:t>96.0</w:t>
            </w:r>
          </w:p>
        </w:tc>
        <w:tc>
          <w:tcPr>
            <w:tcW w:w="923" w:type="dxa"/>
            <w:tcBorders>
              <w:top w:val="nil"/>
              <w:left w:val="single" w:sz="4" w:space="0" w:color="auto"/>
              <w:bottom w:val="nil"/>
              <w:right w:val="single" w:sz="4" w:space="0" w:color="auto"/>
            </w:tcBorders>
          </w:tcPr>
          <w:p w:rsidR="00000000" w:rsidRDefault="00844A84">
            <w:pPr>
              <w:pStyle w:val="a2"/>
            </w:pPr>
            <w:r>
              <w:t>62,924</w:t>
            </w:r>
          </w:p>
        </w:tc>
        <w:tc>
          <w:tcPr>
            <w:tcW w:w="950" w:type="dxa"/>
            <w:tcBorders>
              <w:top w:val="nil"/>
              <w:left w:val="single" w:sz="4" w:space="0" w:color="auto"/>
              <w:bottom w:val="nil"/>
              <w:right w:val="single" w:sz="4" w:space="0" w:color="auto"/>
            </w:tcBorders>
          </w:tcPr>
          <w:p w:rsidR="00000000" w:rsidRDefault="00844A84">
            <w:pPr>
              <w:pStyle w:val="a2"/>
            </w:pPr>
            <w:r>
              <w:t>59,951</w:t>
            </w:r>
          </w:p>
        </w:tc>
        <w:tc>
          <w:tcPr>
            <w:tcW w:w="962" w:type="dxa"/>
            <w:tcBorders>
              <w:top w:val="nil"/>
              <w:left w:val="single" w:sz="4" w:space="0" w:color="auto"/>
              <w:bottom w:val="nil"/>
              <w:right w:val="single" w:sz="4" w:space="0" w:color="auto"/>
            </w:tcBorders>
          </w:tcPr>
          <w:p w:rsidR="00000000" w:rsidRDefault="00844A84">
            <w:pPr>
              <w:pStyle w:val="a2"/>
              <w:jc w:val="center"/>
            </w:pPr>
            <w:r>
              <w:t>95.0</w:t>
            </w:r>
          </w:p>
        </w:tc>
        <w:tc>
          <w:tcPr>
            <w:tcW w:w="936" w:type="dxa"/>
            <w:tcBorders>
              <w:top w:val="nil"/>
              <w:left w:val="single" w:sz="4" w:space="0" w:color="auto"/>
              <w:bottom w:val="nil"/>
              <w:right w:val="single" w:sz="4" w:space="0" w:color="auto"/>
            </w:tcBorders>
          </w:tcPr>
          <w:p w:rsidR="00000000" w:rsidRDefault="00844A84">
            <w:pPr>
              <w:pStyle w:val="a2"/>
              <w:jc w:val="center"/>
            </w:pPr>
            <w:r>
              <w:t>60,007</w:t>
            </w:r>
          </w:p>
        </w:tc>
        <w:tc>
          <w:tcPr>
            <w:tcW w:w="949" w:type="dxa"/>
            <w:tcBorders>
              <w:top w:val="nil"/>
              <w:left w:val="single" w:sz="4" w:space="0" w:color="auto"/>
              <w:bottom w:val="nil"/>
              <w:right w:val="single" w:sz="4" w:space="0" w:color="auto"/>
            </w:tcBorders>
          </w:tcPr>
          <w:p w:rsidR="00000000" w:rsidRDefault="00844A84">
            <w:pPr>
              <w:pStyle w:val="a2"/>
              <w:jc w:val="center"/>
            </w:pPr>
            <w:r>
              <w:t>53,591</w:t>
            </w:r>
          </w:p>
        </w:tc>
        <w:tc>
          <w:tcPr>
            <w:tcW w:w="950" w:type="dxa"/>
            <w:tcBorders>
              <w:top w:val="nil"/>
              <w:left w:val="single" w:sz="4" w:space="0" w:color="auto"/>
              <w:bottom w:val="nil"/>
              <w:right w:val="single" w:sz="4" w:space="0" w:color="auto"/>
            </w:tcBorders>
          </w:tcPr>
          <w:p w:rsidR="00000000" w:rsidRDefault="00844A84">
            <w:pPr>
              <w:pStyle w:val="a2"/>
              <w:jc w:val="center"/>
            </w:pPr>
            <w:r>
              <w:t>89.0</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1995</w:t>
            </w:r>
          </w:p>
        </w:tc>
        <w:tc>
          <w:tcPr>
            <w:tcW w:w="949" w:type="dxa"/>
            <w:tcBorders>
              <w:top w:val="nil"/>
              <w:left w:val="single" w:sz="4" w:space="0" w:color="auto"/>
              <w:bottom w:val="nil"/>
              <w:right w:val="single" w:sz="4" w:space="0" w:color="auto"/>
            </w:tcBorders>
          </w:tcPr>
          <w:p w:rsidR="00000000" w:rsidRDefault="00844A84">
            <w:pPr>
              <w:pStyle w:val="a2"/>
            </w:pPr>
            <w:r>
              <w:t>60,009</w:t>
            </w:r>
          </w:p>
        </w:tc>
        <w:tc>
          <w:tcPr>
            <w:tcW w:w="949" w:type="dxa"/>
            <w:tcBorders>
              <w:top w:val="nil"/>
              <w:left w:val="single" w:sz="4" w:space="0" w:color="auto"/>
              <w:bottom w:val="nil"/>
              <w:right w:val="single" w:sz="4" w:space="0" w:color="auto"/>
            </w:tcBorders>
          </w:tcPr>
          <w:p w:rsidR="00000000" w:rsidRDefault="00844A84">
            <w:pPr>
              <w:pStyle w:val="a2"/>
              <w:jc w:val="center"/>
            </w:pPr>
            <w:r>
              <w:t>58,311</w:t>
            </w:r>
          </w:p>
        </w:tc>
        <w:tc>
          <w:tcPr>
            <w:tcW w:w="975" w:type="dxa"/>
            <w:tcBorders>
              <w:top w:val="nil"/>
              <w:left w:val="single" w:sz="4" w:space="0" w:color="auto"/>
              <w:bottom w:val="nil"/>
              <w:right w:val="single" w:sz="4" w:space="0" w:color="auto"/>
            </w:tcBorders>
          </w:tcPr>
          <w:p w:rsidR="00000000" w:rsidRDefault="00844A84">
            <w:pPr>
              <w:pStyle w:val="a2"/>
              <w:jc w:val="center"/>
            </w:pPr>
            <w:r>
              <w:t>97.0</w:t>
            </w:r>
          </w:p>
        </w:tc>
        <w:tc>
          <w:tcPr>
            <w:tcW w:w="923" w:type="dxa"/>
            <w:tcBorders>
              <w:top w:val="nil"/>
              <w:left w:val="single" w:sz="4" w:space="0" w:color="auto"/>
              <w:bottom w:val="nil"/>
              <w:right w:val="single" w:sz="4" w:space="0" w:color="auto"/>
            </w:tcBorders>
          </w:tcPr>
          <w:p w:rsidR="00000000" w:rsidRDefault="00844A84">
            <w:pPr>
              <w:pStyle w:val="a2"/>
            </w:pPr>
            <w:r>
              <w:t>60,315</w:t>
            </w:r>
          </w:p>
        </w:tc>
        <w:tc>
          <w:tcPr>
            <w:tcW w:w="950" w:type="dxa"/>
            <w:tcBorders>
              <w:top w:val="nil"/>
              <w:left w:val="single" w:sz="4" w:space="0" w:color="auto"/>
              <w:bottom w:val="nil"/>
              <w:right w:val="single" w:sz="4" w:space="0" w:color="auto"/>
            </w:tcBorders>
          </w:tcPr>
          <w:p w:rsidR="00000000" w:rsidRDefault="00844A84">
            <w:pPr>
              <w:pStyle w:val="a2"/>
            </w:pPr>
            <w:r>
              <w:t>58,670</w:t>
            </w:r>
          </w:p>
        </w:tc>
        <w:tc>
          <w:tcPr>
            <w:tcW w:w="962" w:type="dxa"/>
            <w:tcBorders>
              <w:top w:val="nil"/>
              <w:left w:val="single" w:sz="4" w:space="0" w:color="auto"/>
              <w:bottom w:val="nil"/>
              <w:right w:val="single" w:sz="4" w:space="0" w:color="auto"/>
            </w:tcBorders>
          </w:tcPr>
          <w:p w:rsidR="00000000" w:rsidRDefault="00844A84">
            <w:pPr>
              <w:pStyle w:val="a2"/>
              <w:jc w:val="center"/>
            </w:pPr>
            <w:r>
              <w:t>97.2</w:t>
            </w:r>
          </w:p>
        </w:tc>
        <w:tc>
          <w:tcPr>
            <w:tcW w:w="936" w:type="dxa"/>
            <w:tcBorders>
              <w:top w:val="nil"/>
              <w:left w:val="single" w:sz="4" w:space="0" w:color="auto"/>
              <w:bottom w:val="nil"/>
              <w:right w:val="single" w:sz="4" w:space="0" w:color="auto"/>
            </w:tcBorders>
          </w:tcPr>
          <w:p w:rsidR="00000000" w:rsidRDefault="00844A84">
            <w:pPr>
              <w:pStyle w:val="a2"/>
              <w:jc w:val="center"/>
            </w:pPr>
            <w:r>
              <w:t>59,146</w:t>
            </w:r>
          </w:p>
        </w:tc>
        <w:tc>
          <w:tcPr>
            <w:tcW w:w="949" w:type="dxa"/>
            <w:tcBorders>
              <w:top w:val="nil"/>
              <w:left w:val="single" w:sz="4" w:space="0" w:color="auto"/>
              <w:bottom w:val="nil"/>
              <w:right w:val="single" w:sz="4" w:space="0" w:color="auto"/>
            </w:tcBorders>
          </w:tcPr>
          <w:p w:rsidR="00000000" w:rsidRDefault="00844A84">
            <w:pPr>
              <w:pStyle w:val="a2"/>
              <w:jc w:val="center"/>
            </w:pPr>
            <w:r>
              <w:t>55,193</w:t>
            </w:r>
          </w:p>
        </w:tc>
        <w:tc>
          <w:tcPr>
            <w:tcW w:w="950" w:type="dxa"/>
            <w:tcBorders>
              <w:top w:val="nil"/>
              <w:left w:val="single" w:sz="4" w:space="0" w:color="auto"/>
              <w:bottom w:val="nil"/>
              <w:right w:val="single" w:sz="4" w:space="0" w:color="auto"/>
            </w:tcBorders>
          </w:tcPr>
          <w:p w:rsidR="00000000" w:rsidRDefault="00844A84">
            <w:pPr>
              <w:pStyle w:val="a2"/>
              <w:jc w:val="center"/>
            </w:pPr>
            <w:r>
              <w:t>93.3</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1996</w:t>
            </w:r>
          </w:p>
        </w:tc>
        <w:tc>
          <w:tcPr>
            <w:tcW w:w="949" w:type="dxa"/>
            <w:tcBorders>
              <w:top w:val="nil"/>
              <w:left w:val="single" w:sz="4" w:space="0" w:color="auto"/>
              <w:bottom w:val="nil"/>
              <w:right w:val="single" w:sz="4" w:space="0" w:color="auto"/>
            </w:tcBorders>
          </w:tcPr>
          <w:p w:rsidR="00000000" w:rsidRDefault="00844A84">
            <w:pPr>
              <w:pStyle w:val="a2"/>
            </w:pPr>
            <w:r>
              <w:t>59,957</w:t>
            </w:r>
          </w:p>
        </w:tc>
        <w:tc>
          <w:tcPr>
            <w:tcW w:w="949" w:type="dxa"/>
            <w:tcBorders>
              <w:top w:val="nil"/>
              <w:left w:val="single" w:sz="4" w:space="0" w:color="auto"/>
              <w:bottom w:val="nil"/>
              <w:right w:val="single" w:sz="4" w:space="0" w:color="auto"/>
            </w:tcBorders>
          </w:tcPr>
          <w:p w:rsidR="00000000" w:rsidRDefault="00844A84">
            <w:pPr>
              <w:pStyle w:val="a2"/>
              <w:jc w:val="center"/>
            </w:pPr>
            <w:r>
              <w:t>58,661</w:t>
            </w:r>
          </w:p>
        </w:tc>
        <w:tc>
          <w:tcPr>
            <w:tcW w:w="975" w:type="dxa"/>
            <w:tcBorders>
              <w:top w:val="nil"/>
              <w:left w:val="single" w:sz="4" w:space="0" w:color="auto"/>
              <w:bottom w:val="nil"/>
              <w:right w:val="single" w:sz="4" w:space="0" w:color="auto"/>
            </w:tcBorders>
          </w:tcPr>
          <w:p w:rsidR="00000000" w:rsidRDefault="00844A84">
            <w:pPr>
              <w:pStyle w:val="a2"/>
              <w:jc w:val="center"/>
            </w:pPr>
            <w:r>
              <w:t>97.8</w:t>
            </w:r>
          </w:p>
        </w:tc>
        <w:tc>
          <w:tcPr>
            <w:tcW w:w="923" w:type="dxa"/>
            <w:tcBorders>
              <w:top w:val="nil"/>
              <w:left w:val="single" w:sz="4" w:space="0" w:color="auto"/>
              <w:bottom w:val="nil"/>
              <w:right w:val="single" w:sz="4" w:space="0" w:color="auto"/>
            </w:tcBorders>
          </w:tcPr>
          <w:p w:rsidR="00000000" w:rsidRDefault="00844A84">
            <w:pPr>
              <w:pStyle w:val="a2"/>
            </w:pPr>
            <w:r>
              <w:t>59,998</w:t>
            </w:r>
          </w:p>
        </w:tc>
        <w:tc>
          <w:tcPr>
            <w:tcW w:w="950" w:type="dxa"/>
            <w:tcBorders>
              <w:top w:val="nil"/>
              <w:left w:val="single" w:sz="4" w:space="0" w:color="auto"/>
              <w:bottom w:val="nil"/>
              <w:right w:val="single" w:sz="4" w:space="0" w:color="auto"/>
            </w:tcBorders>
          </w:tcPr>
          <w:p w:rsidR="00000000" w:rsidRDefault="00844A84">
            <w:pPr>
              <w:pStyle w:val="a2"/>
            </w:pPr>
            <w:r>
              <w:t>58,750</w:t>
            </w:r>
          </w:p>
        </w:tc>
        <w:tc>
          <w:tcPr>
            <w:tcW w:w="962" w:type="dxa"/>
            <w:tcBorders>
              <w:top w:val="nil"/>
              <w:left w:val="single" w:sz="4" w:space="0" w:color="auto"/>
              <w:bottom w:val="nil"/>
              <w:right w:val="single" w:sz="4" w:space="0" w:color="auto"/>
            </w:tcBorders>
          </w:tcPr>
          <w:p w:rsidR="00000000" w:rsidRDefault="00844A84">
            <w:pPr>
              <w:pStyle w:val="a2"/>
              <w:jc w:val="center"/>
            </w:pPr>
            <w:r>
              <w:t>97.9</w:t>
            </w:r>
          </w:p>
        </w:tc>
        <w:tc>
          <w:tcPr>
            <w:tcW w:w="936" w:type="dxa"/>
            <w:tcBorders>
              <w:top w:val="nil"/>
              <w:left w:val="single" w:sz="4" w:space="0" w:color="auto"/>
              <w:bottom w:val="nil"/>
              <w:right w:val="single" w:sz="4" w:space="0" w:color="auto"/>
            </w:tcBorders>
          </w:tcPr>
          <w:p w:rsidR="00000000" w:rsidRDefault="00844A84">
            <w:pPr>
              <w:pStyle w:val="a2"/>
              <w:jc w:val="center"/>
            </w:pPr>
            <w:r>
              <w:t>60,396</w:t>
            </w:r>
          </w:p>
        </w:tc>
        <w:tc>
          <w:tcPr>
            <w:tcW w:w="949" w:type="dxa"/>
            <w:tcBorders>
              <w:top w:val="nil"/>
              <w:left w:val="single" w:sz="4" w:space="0" w:color="auto"/>
              <w:bottom w:val="nil"/>
              <w:right w:val="single" w:sz="4" w:space="0" w:color="auto"/>
            </w:tcBorders>
          </w:tcPr>
          <w:p w:rsidR="00000000" w:rsidRDefault="00844A84">
            <w:pPr>
              <w:pStyle w:val="a2"/>
              <w:jc w:val="center"/>
            </w:pPr>
            <w:r>
              <w:t>58,535</w:t>
            </w:r>
          </w:p>
        </w:tc>
        <w:tc>
          <w:tcPr>
            <w:tcW w:w="950" w:type="dxa"/>
            <w:tcBorders>
              <w:top w:val="nil"/>
              <w:left w:val="single" w:sz="4" w:space="0" w:color="auto"/>
              <w:bottom w:val="nil"/>
              <w:right w:val="single" w:sz="4" w:space="0" w:color="auto"/>
            </w:tcBorders>
          </w:tcPr>
          <w:p w:rsidR="00000000" w:rsidRDefault="00844A84">
            <w:pPr>
              <w:pStyle w:val="a2"/>
              <w:jc w:val="center"/>
            </w:pPr>
            <w:r>
              <w:t>96.9</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1997</w:t>
            </w:r>
          </w:p>
        </w:tc>
        <w:tc>
          <w:tcPr>
            <w:tcW w:w="949" w:type="dxa"/>
            <w:tcBorders>
              <w:top w:val="nil"/>
              <w:left w:val="single" w:sz="4" w:space="0" w:color="auto"/>
              <w:bottom w:val="nil"/>
              <w:right w:val="single" w:sz="4" w:space="0" w:color="auto"/>
            </w:tcBorders>
          </w:tcPr>
          <w:p w:rsidR="00000000" w:rsidRDefault="00844A84">
            <w:pPr>
              <w:pStyle w:val="a2"/>
            </w:pPr>
            <w:r>
              <w:t>57,480</w:t>
            </w:r>
          </w:p>
        </w:tc>
        <w:tc>
          <w:tcPr>
            <w:tcW w:w="949" w:type="dxa"/>
            <w:tcBorders>
              <w:top w:val="nil"/>
              <w:left w:val="single" w:sz="4" w:space="0" w:color="auto"/>
              <w:bottom w:val="nil"/>
              <w:right w:val="single" w:sz="4" w:space="0" w:color="auto"/>
            </w:tcBorders>
          </w:tcPr>
          <w:p w:rsidR="00000000" w:rsidRDefault="00844A84">
            <w:pPr>
              <w:pStyle w:val="a2"/>
              <w:jc w:val="center"/>
            </w:pPr>
            <w:r>
              <w:t>56,053</w:t>
            </w:r>
          </w:p>
        </w:tc>
        <w:tc>
          <w:tcPr>
            <w:tcW w:w="975" w:type="dxa"/>
            <w:tcBorders>
              <w:top w:val="nil"/>
              <w:left w:val="single" w:sz="4" w:space="0" w:color="auto"/>
              <w:bottom w:val="nil"/>
              <w:right w:val="single" w:sz="4" w:space="0" w:color="auto"/>
            </w:tcBorders>
          </w:tcPr>
          <w:p w:rsidR="00000000" w:rsidRDefault="00844A84">
            <w:pPr>
              <w:pStyle w:val="a2"/>
              <w:jc w:val="center"/>
            </w:pPr>
            <w:r>
              <w:t>97.5</w:t>
            </w:r>
          </w:p>
        </w:tc>
        <w:tc>
          <w:tcPr>
            <w:tcW w:w="923" w:type="dxa"/>
            <w:tcBorders>
              <w:top w:val="nil"/>
              <w:left w:val="single" w:sz="4" w:space="0" w:color="auto"/>
              <w:bottom w:val="nil"/>
              <w:right w:val="single" w:sz="4" w:space="0" w:color="auto"/>
            </w:tcBorders>
          </w:tcPr>
          <w:p w:rsidR="00000000" w:rsidRDefault="00844A84">
            <w:pPr>
              <w:pStyle w:val="a2"/>
            </w:pPr>
            <w:r>
              <w:t>57,516</w:t>
            </w:r>
          </w:p>
        </w:tc>
        <w:tc>
          <w:tcPr>
            <w:tcW w:w="950" w:type="dxa"/>
            <w:tcBorders>
              <w:top w:val="nil"/>
              <w:left w:val="single" w:sz="4" w:space="0" w:color="auto"/>
              <w:bottom w:val="nil"/>
              <w:right w:val="single" w:sz="4" w:space="0" w:color="auto"/>
            </w:tcBorders>
          </w:tcPr>
          <w:p w:rsidR="00000000" w:rsidRDefault="00844A84">
            <w:pPr>
              <w:pStyle w:val="a2"/>
            </w:pPr>
            <w:r>
              <w:t>55,991</w:t>
            </w:r>
          </w:p>
        </w:tc>
        <w:tc>
          <w:tcPr>
            <w:tcW w:w="962" w:type="dxa"/>
            <w:tcBorders>
              <w:top w:val="nil"/>
              <w:left w:val="single" w:sz="4" w:space="0" w:color="auto"/>
              <w:bottom w:val="nil"/>
              <w:right w:val="single" w:sz="4" w:space="0" w:color="auto"/>
            </w:tcBorders>
          </w:tcPr>
          <w:p w:rsidR="00000000" w:rsidRDefault="00844A84">
            <w:pPr>
              <w:pStyle w:val="a2"/>
              <w:jc w:val="center"/>
            </w:pPr>
            <w:r>
              <w:t>97.3</w:t>
            </w:r>
          </w:p>
        </w:tc>
        <w:tc>
          <w:tcPr>
            <w:tcW w:w="936" w:type="dxa"/>
            <w:tcBorders>
              <w:top w:val="nil"/>
              <w:left w:val="single" w:sz="4" w:space="0" w:color="auto"/>
              <w:bottom w:val="nil"/>
              <w:right w:val="single" w:sz="4" w:space="0" w:color="auto"/>
            </w:tcBorders>
          </w:tcPr>
          <w:p w:rsidR="00000000" w:rsidRDefault="00844A84">
            <w:pPr>
              <w:pStyle w:val="a2"/>
              <w:jc w:val="center"/>
            </w:pPr>
            <w:r>
              <w:t>58,167</w:t>
            </w:r>
          </w:p>
        </w:tc>
        <w:tc>
          <w:tcPr>
            <w:tcW w:w="949" w:type="dxa"/>
            <w:tcBorders>
              <w:top w:val="nil"/>
              <w:left w:val="single" w:sz="4" w:space="0" w:color="auto"/>
              <w:bottom w:val="nil"/>
              <w:right w:val="single" w:sz="4" w:space="0" w:color="auto"/>
            </w:tcBorders>
          </w:tcPr>
          <w:p w:rsidR="00000000" w:rsidRDefault="00844A84">
            <w:pPr>
              <w:pStyle w:val="a2"/>
              <w:jc w:val="center"/>
            </w:pPr>
            <w:r>
              <w:t>56,325</w:t>
            </w:r>
          </w:p>
        </w:tc>
        <w:tc>
          <w:tcPr>
            <w:tcW w:w="950" w:type="dxa"/>
            <w:tcBorders>
              <w:top w:val="nil"/>
              <w:left w:val="single" w:sz="4" w:space="0" w:color="auto"/>
              <w:bottom w:val="nil"/>
              <w:right w:val="single" w:sz="4" w:space="0" w:color="auto"/>
            </w:tcBorders>
          </w:tcPr>
          <w:p w:rsidR="00000000" w:rsidRDefault="00844A84">
            <w:pPr>
              <w:pStyle w:val="a2"/>
              <w:jc w:val="center"/>
            </w:pPr>
            <w:r>
              <w:t>96.8</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1998</w:t>
            </w:r>
          </w:p>
        </w:tc>
        <w:tc>
          <w:tcPr>
            <w:tcW w:w="949" w:type="dxa"/>
            <w:tcBorders>
              <w:top w:val="nil"/>
              <w:left w:val="single" w:sz="4" w:space="0" w:color="auto"/>
              <w:bottom w:val="nil"/>
              <w:right w:val="single" w:sz="4" w:space="0" w:color="auto"/>
            </w:tcBorders>
          </w:tcPr>
          <w:p w:rsidR="00000000" w:rsidRDefault="00844A84">
            <w:pPr>
              <w:pStyle w:val="a2"/>
            </w:pPr>
            <w:r>
              <w:t>52,879</w:t>
            </w:r>
          </w:p>
        </w:tc>
        <w:tc>
          <w:tcPr>
            <w:tcW w:w="949" w:type="dxa"/>
            <w:tcBorders>
              <w:top w:val="nil"/>
              <w:left w:val="single" w:sz="4" w:space="0" w:color="auto"/>
              <w:bottom w:val="nil"/>
              <w:right w:val="single" w:sz="4" w:space="0" w:color="auto"/>
            </w:tcBorders>
          </w:tcPr>
          <w:p w:rsidR="00000000" w:rsidRDefault="00844A84">
            <w:pPr>
              <w:pStyle w:val="a2"/>
              <w:jc w:val="center"/>
            </w:pPr>
            <w:r>
              <w:t>51,694</w:t>
            </w:r>
          </w:p>
        </w:tc>
        <w:tc>
          <w:tcPr>
            <w:tcW w:w="975" w:type="dxa"/>
            <w:tcBorders>
              <w:top w:val="nil"/>
              <w:left w:val="single" w:sz="4" w:space="0" w:color="auto"/>
              <w:bottom w:val="nil"/>
              <w:right w:val="single" w:sz="4" w:space="0" w:color="auto"/>
            </w:tcBorders>
          </w:tcPr>
          <w:p w:rsidR="00000000" w:rsidRDefault="00844A84">
            <w:pPr>
              <w:pStyle w:val="a2"/>
              <w:jc w:val="center"/>
            </w:pPr>
            <w:r>
              <w:t>97.8</w:t>
            </w:r>
          </w:p>
        </w:tc>
        <w:tc>
          <w:tcPr>
            <w:tcW w:w="923" w:type="dxa"/>
            <w:tcBorders>
              <w:top w:val="nil"/>
              <w:left w:val="single" w:sz="4" w:space="0" w:color="auto"/>
              <w:bottom w:val="nil"/>
              <w:right w:val="single" w:sz="4" w:space="0" w:color="auto"/>
            </w:tcBorders>
          </w:tcPr>
          <w:p w:rsidR="00000000" w:rsidRDefault="00844A84">
            <w:pPr>
              <w:pStyle w:val="a2"/>
            </w:pPr>
            <w:r>
              <w:t>52,889</w:t>
            </w:r>
          </w:p>
        </w:tc>
        <w:tc>
          <w:tcPr>
            <w:tcW w:w="950" w:type="dxa"/>
            <w:tcBorders>
              <w:top w:val="nil"/>
              <w:left w:val="single" w:sz="4" w:space="0" w:color="auto"/>
              <w:bottom w:val="nil"/>
              <w:right w:val="single" w:sz="4" w:space="0" w:color="auto"/>
            </w:tcBorders>
          </w:tcPr>
          <w:p w:rsidR="00000000" w:rsidRDefault="00844A84">
            <w:pPr>
              <w:pStyle w:val="a2"/>
            </w:pPr>
            <w:r>
              <w:t>51,779</w:t>
            </w:r>
          </w:p>
        </w:tc>
        <w:tc>
          <w:tcPr>
            <w:tcW w:w="962" w:type="dxa"/>
            <w:tcBorders>
              <w:top w:val="nil"/>
              <w:left w:val="single" w:sz="4" w:space="0" w:color="auto"/>
              <w:bottom w:val="nil"/>
              <w:right w:val="single" w:sz="4" w:space="0" w:color="auto"/>
            </w:tcBorders>
          </w:tcPr>
          <w:p w:rsidR="00000000" w:rsidRDefault="00844A84">
            <w:pPr>
              <w:pStyle w:val="a2"/>
              <w:jc w:val="center"/>
            </w:pPr>
            <w:r>
              <w:t>97.9</w:t>
            </w:r>
          </w:p>
        </w:tc>
        <w:tc>
          <w:tcPr>
            <w:tcW w:w="936" w:type="dxa"/>
            <w:tcBorders>
              <w:top w:val="nil"/>
              <w:left w:val="single" w:sz="4" w:space="0" w:color="auto"/>
              <w:bottom w:val="nil"/>
              <w:right w:val="single" w:sz="4" w:space="0" w:color="auto"/>
            </w:tcBorders>
          </w:tcPr>
          <w:p w:rsidR="00000000" w:rsidRDefault="00844A84">
            <w:pPr>
              <w:pStyle w:val="a2"/>
              <w:jc w:val="center"/>
            </w:pPr>
            <w:r>
              <w:t>53,961</w:t>
            </w:r>
          </w:p>
        </w:tc>
        <w:tc>
          <w:tcPr>
            <w:tcW w:w="949" w:type="dxa"/>
            <w:tcBorders>
              <w:top w:val="nil"/>
              <w:left w:val="single" w:sz="4" w:space="0" w:color="auto"/>
              <w:bottom w:val="nil"/>
              <w:right w:val="single" w:sz="4" w:space="0" w:color="auto"/>
            </w:tcBorders>
          </w:tcPr>
          <w:p w:rsidR="00000000" w:rsidRDefault="00844A84">
            <w:pPr>
              <w:pStyle w:val="a2"/>
              <w:jc w:val="center"/>
            </w:pPr>
            <w:r>
              <w:t>52,096</w:t>
            </w:r>
          </w:p>
        </w:tc>
        <w:tc>
          <w:tcPr>
            <w:tcW w:w="950" w:type="dxa"/>
            <w:tcBorders>
              <w:top w:val="nil"/>
              <w:left w:val="single" w:sz="4" w:space="0" w:color="auto"/>
              <w:bottom w:val="nil"/>
              <w:right w:val="single" w:sz="4" w:space="0" w:color="auto"/>
            </w:tcBorders>
          </w:tcPr>
          <w:p w:rsidR="00000000" w:rsidRDefault="00844A84">
            <w:pPr>
              <w:pStyle w:val="a2"/>
              <w:jc w:val="center"/>
            </w:pPr>
            <w:r>
              <w:t>96.5</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1999</w:t>
            </w:r>
          </w:p>
        </w:tc>
        <w:tc>
          <w:tcPr>
            <w:tcW w:w="949" w:type="dxa"/>
            <w:tcBorders>
              <w:top w:val="nil"/>
              <w:left w:val="single" w:sz="4" w:space="0" w:color="auto"/>
              <w:bottom w:val="nil"/>
              <w:right w:val="single" w:sz="4" w:space="0" w:color="auto"/>
            </w:tcBorders>
          </w:tcPr>
          <w:p w:rsidR="00000000" w:rsidRDefault="00844A84">
            <w:pPr>
              <w:pStyle w:val="a2"/>
            </w:pPr>
            <w:r>
              <w:t>50,026</w:t>
            </w:r>
          </w:p>
        </w:tc>
        <w:tc>
          <w:tcPr>
            <w:tcW w:w="949" w:type="dxa"/>
            <w:tcBorders>
              <w:top w:val="nil"/>
              <w:left w:val="single" w:sz="4" w:space="0" w:color="auto"/>
              <w:bottom w:val="nil"/>
              <w:right w:val="single" w:sz="4" w:space="0" w:color="auto"/>
            </w:tcBorders>
          </w:tcPr>
          <w:p w:rsidR="00000000" w:rsidRDefault="00844A84">
            <w:pPr>
              <w:pStyle w:val="a2"/>
              <w:jc w:val="center"/>
            </w:pPr>
            <w:r>
              <w:t>48,509</w:t>
            </w:r>
          </w:p>
        </w:tc>
        <w:tc>
          <w:tcPr>
            <w:tcW w:w="975" w:type="dxa"/>
            <w:tcBorders>
              <w:top w:val="nil"/>
              <w:left w:val="single" w:sz="4" w:space="0" w:color="auto"/>
              <w:bottom w:val="nil"/>
              <w:right w:val="single" w:sz="4" w:space="0" w:color="auto"/>
            </w:tcBorders>
          </w:tcPr>
          <w:p w:rsidR="00000000" w:rsidRDefault="00844A84">
            <w:pPr>
              <w:pStyle w:val="a2"/>
              <w:jc w:val="center"/>
            </w:pPr>
            <w:r>
              <w:t>97.0</w:t>
            </w:r>
          </w:p>
        </w:tc>
        <w:tc>
          <w:tcPr>
            <w:tcW w:w="923" w:type="dxa"/>
            <w:tcBorders>
              <w:top w:val="nil"/>
              <w:left w:val="single" w:sz="4" w:space="0" w:color="auto"/>
              <w:bottom w:val="nil"/>
              <w:right w:val="single" w:sz="4" w:space="0" w:color="auto"/>
            </w:tcBorders>
          </w:tcPr>
          <w:p w:rsidR="00000000" w:rsidRDefault="00844A84">
            <w:pPr>
              <w:pStyle w:val="a2"/>
            </w:pPr>
            <w:r>
              <w:t>50,115</w:t>
            </w:r>
          </w:p>
        </w:tc>
        <w:tc>
          <w:tcPr>
            <w:tcW w:w="950" w:type="dxa"/>
            <w:tcBorders>
              <w:top w:val="nil"/>
              <w:left w:val="single" w:sz="4" w:space="0" w:color="auto"/>
              <w:bottom w:val="nil"/>
              <w:right w:val="single" w:sz="4" w:space="0" w:color="auto"/>
            </w:tcBorders>
          </w:tcPr>
          <w:p w:rsidR="00000000" w:rsidRDefault="00844A84">
            <w:pPr>
              <w:pStyle w:val="a2"/>
            </w:pPr>
            <w:r>
              <w:t>48,709</w:t>
            </w:r>
          </w:p>
        </w:tc>
        <w:tc>
          <w:tcPr>
            <w:tcW w:w="962" w:type="dxa"/>
            <w:tcBorders>
              <w:top w:val="nil"/>
              <w:left w:val="single" w:sz="4" w:space="0" w:color="auto"/>
              <w:bottom w:val="nil"/>
              <w:right w:val="single" w:sz="4" w:space="0" w:color="auto"/>
            </w:tcBorders>
          </w:tcPr>
          <w:p w:rsidR="00000000" w:rsidRDefault="00844A84">
            <w:pPr>
              <w:pStyle w:val="a2"/>
              <w:jc w:val="center"/>
            </w:pPr>
            <w:r>
              <w:t>97.2</w:t>
            </w:r>
          </w:p>
        </w:tc>
        <w:tc>
          <w:tcPr>
            <w:tcW w:w="936" w:type="dxa"/>
            <w:tcBorders>
              <w:top w:val="nil"/>
              <w:left w:val="single" w:sz="4" w:space="0" w:color="auto"/>
              <w:bottom w:val="nil"/>
              <w:right w:val="single" w:sz="4" w:space="0" w:color="auto"/>
            </w:tcBorders>
          </w:tcPr>
          <w:p w:rsidR="00000000" w:rsidRDefault="00844A84">
            <w:pPr>
              <w:pStyle w:val="a2"/>
              <w:jc w:val="center"/>
            </w:pPr>
            <w:r>
              <w:t>50,782</w:t>
            </w:r>
          </w:p>
        </w:tc>
        <w:tc>
          <w:tcPr>
            <w:tcW w:w="949" w:type="dxa"/>
            <w:tcBorders>
              <w:top w:val="nil"/>
              <w:left w:val="single" w:sz="4" w:space="0" w:color="auto"/>
              <w:bottom w:val="nil"/>
              <w:right w:val="single" w:sz="4" w:space="0" w:color="auto"/>
            </w:tcBorders>
          </w:tcPr>
          <w:p w:rsidR="00000000" w:rsidRDefault="00844A84">
            <w:pPr>
              <w:pStyle w:val="a2"/>
              <w:jc w:val="center"/>
            </w:pPr>
            <w:r>
              <w:t>46,354</w:t>
            </w:r>
          </w:p>
        </w:tc>
        <w:tc>
          <w:tcPr>
            <w:tcW w:w="950" w:type="dxa"/>
            <w:tcBorders>
              <w:top w:val="nil"/>
              <w:left w:val="single" w:sz="4" w:space="0" w:color="auto"/>
              <w:bottom w:val="nil"/>
              <w:right w:val="single" w:sz="4" w:space="0" w:color="auto"/>
            </w:tcBorders>
          </w:tcPr>
          <w:p w:rsidR="00000000" w:rsidRDefault="00844A84">
            <w:pPr>
              <w:pStyle w:val="a2"/>
              <w:jc w:val="center"/>
            </w:pPr>
            <w:r>
              <w:t>91.3</w:t>
            </w:r>
          </w:p>
        </w:tc>
      </w:tr>
      <w:tr w:rsidR="00000000">
        <w:tblPrEx>
          <w:tblCellMar>
            <w:top w:w="0" w:type="dxa"/>
            <w:bottom w:w="0" w:type="dxa"/>
          </w:tblCellMar>
        </w:tblPrEx>
        <w:trPr>
          <w:jc w:val="center"/>
        </w:trPr>
        <w:tc>
          <w:tcPr>
            <w:tcW w:w="1087" w:type="dxa"/>
            <w:tcBorders>
              <w:top w:val="nil"/>
              <w:left w:val="single" w:sz="4" w:space="0" w:color="auto"/>
              <w:bottom w:val="nil"/>
              <w:right w:val="single" w:sz="4" w:space="0" w:color="auto"/>
            </w:tcBorders>
          </w:tcPr>
          <w:p w:rsidR="00000000" w:rsidRDefault="00844A84">
            <w:pPr>
              <w:pStyle w:val="a2"/>
              <w:jc w:val="center"/>
            </w:pPr>
            <w:r>
              <w:t>2000</w:t>
            </w:r>
          </w:p>
        </w:tc>
        <w:tc>
          <w:tcPr>
            <w:tcW w:w="949" w:type="dxa"/>
            <w:tcBorders>
              <w:top w:val="nil"/>
              <w:left w:val="single" w:sz="4" w:space="0" w:color="auto"/>
              <w:bottom w:val="nil"/>
              <w:right w:val="single" w:sz="4" w:space="0" w:color="auto"/>
            </w:tcBorders>
          </w:tcPr>
          <w:p w:rsidR="00000000" w:rsidRDefault="00844A84">
            <w:pPr>
              <w:pStyle w:val="a2"/>
            </w:pPr>
            <w:r>
              <w:t>49,418</w:t>
            </w:r>
          </w:p>
        </w:tc>
        <w:tc>
          <w:tcPr>
            <w:tcW w:w="949" w:type="dxa"/>
            <w:tcBorders>
              <w:top w:val="nil"/>
              <w:left w:val="single" w:sz="4" w:space="0" w:color="auto"/>
              <w:bottom w:val="nil"/>
              <w:right w:val="single" w:sz="4" w:space="0" w:color="auto"/>
            </w:tcBorders>
          </w:tcPr>
          <w:p w:rsidR="00000000" w:rsidRDefault="00844A84">
            <w:pPr>
              <w:pStyle w:val="a2"/>
              <w:jc w:val="center"/>
            </w:pPr>
            <w:r>
              <w:t>47,751</w:t>
            </w:r>
          </w:p>
        </w:tc>
        <w:tc>
          <w:tcPr>
            <w:tcW w:w="975" w:type="dxa"/>
            <w:tcBorders>
              <w:top w:val="nil"/>
              <w:left w:val="single" w:sz="4" w:space="0" w:color="auto"/>
              <w:bottom w:val="nil"/>
              <w:right w:val="single" w:sz="4" w:space="0" w:color="auto"/>
            </w:tcBorders>
          </w:tcPr>
          <w:p w:rsidR="00000000" w:rsidRDefault="00844A84">
            <w:pPr>
              <w:pStyle w:val="a2"/>
              <w:jc w:val="center"/>
            </w:pPr>
            <w:r>
              <w:t>96.6</w:t>
            </w:r>
          </w:p>
        </w:tc>
        <w:tc>
          <w:tcPr>
            <w:tcW w:w="923" w:type="dxa"/>
            <w:tcBorders>
              <w:top w:val="nil"/>
              <w:left w:val="single" w:sz="4" w:space="0" w:color="auto"/>
              <w:bottom w:val="nil"/>
              <w:right w:val="single" w:sz="4" w:space="0" w:color="auto"/>
            </w:tcBorders>
          </w:tcPr>
          <w:p w:rsidR="00000000" w:rsidRDefault="00844A84">
            <w:pPr>
              <w:pStyle w:val="a2"/>
            </w:pPr>
            <w:r>
              <w:t>49,390</w:t>
            </w:r>
          </w:p>
        </w:tc>
        <w:tc>
          <w:tcPr>
            <w:tcW w:w="950" w:type="dxa"/>
            <w:tcBorders>
              <w:top w:val="nil"/>
              <w:left w:val="single" w:sz="4" w:space="0" w:color="auto"/>
              <w:bottom w:val="nil"/>
              <w:right w:val="single" w:sz="4" w:space="0" w:color="auto"/>
            </w:tcBorders>
          </w:tcPr>
          <w:p w:rsidR="00000000" w:rsidRDefault="00844A84">
            <w:pPr>
              <w:pStyle w:val="a2"/>
            </w:pPr>
            <w:r>
              <w:t>47,702</w:t>
            </w:r>
          </w:p>
        </w:tc>
        <w:tc>
          <w:tcPr>
            <w:tcW w:w="962" w:type="dxa"/>
            <w:tcBorders>
              <w:top w:val="nil"/>
              <w:left w:val="single" w:sz="4" w:space="0" w:color="auto"/>
              <w:bottom w:val="nil"/>
              <w:right w:val="single" w:sz="4" w:space="0" w:color="auto"/>
            </w:tcBorders>
          </w:tcPr>
          <w:p w:rsidR="00000000" w:rsidRDefault="00844A84">
            <w:pPr>
              <w:pStyle w:val="a2"/>
              <w:jc w:val="center"/>
            </w:pPr>
            <w:r>
              <w:t>96.6</w:t>
            </w:r>
          </w:p>
        </w:tc>
        <w:tc>
          <w:tcPr>
            <w:tcW w:w="936" w:type="dxa"/>
            <w:tcBorders>
              <w:top w:val="nil"/>
              <w:left w:val="single" w:sz="4" w:space="0" w:color="auto"/>
              <w:bottom w:val="nil"/>
              <w:right w:val="single" w:sz="4" w:space="0" w:color="auto"/>
            </w:tcBorders>
          </w:tcPr>
          <w:p w:rsidR="00000000" w:rsidRDefault="00844A84">
            <w:pPr>
              <w:pStyle w:val="a2"/>
              <w:jc w:val="center"/>
            </w:pPr>
            <w:r>
              <w:t>52,416</w:t>
            </w:r>
          </w:p>
        </w:tc>
        <w:tc>
          <w:tcPr>
            <w:tcW w:w="949" w:type="dxa"/>
            <w:tcBorders>
              <w:top w:val="nil"/>
              <w:left w:val="single" w:sz="4" w:space="0" w:color="auto"/>
              <w:bottom w:val="nil"/>
              <w:right w:val="single" w:sz="4" w:space="0" w:color="auto"/>
            </w:tcBorders>
          </w:tcPr>
          <w:p w:rsidR="00000000" w:rsidRDefault="00844A84">
            <w:pPr>
              <w:pStyle w:val="a2"/>
              <w:jc w:val="center"/>
            </w:pPr>
            <w:r>
              <w:t>46,277</w:t>
            </w:r>
          </w:p>
        </w:tc>
        <w:tc>
          <w:tcPr>
            <w:tcW w:w="950" w:type="dxa"/>
            <w:tcBorders>
              <w:top w:val="nil"/>
              <w:left w:val="single" w:sz="4" w:space="0" w:color="auto"/>
              <w:bottom w:val="nil"/>
              <w:right w:val="single" w:sz="4" w:space="0" w:color="auto"/>
            </w:tcBorders>
          </w:tcPr>
          <w:p w:rsidR="00000000" w:rsidRDefault="00844A84">
            <w:pPr>
              <w:pStyle w:val="a2"/>
              <w:jc w:val="center"/>
            </w:pPr>
            <w:r>
              <w:t>88.3</w:t>
            </w:r>
          </w:p>
        </w:tc>
      </w:tr>
      <w:tr w:rsidR="00000000">
        <w:tblPrEx>
          <w:tblCellMar>
            <w:top w:w="0" w:type="dxa"/>
            <w:bottom w:w="0" w:type="dxa"/>
          </w:tblCellMar>
        </w:tblPrEx>
        <w:trPr>
          <w:jc w:val="center"/>
        </w:trPr>
        <w:tc>
          <w:tcPr>
            <w:tcW w:w="1087" w:type="dxa"/>
            <w:tcBorders>
              <w:top w:val="nil"/>
              <w:left w:val="single" w:sz="4" w:space="0" w:color="auto"/>
              <w:bottom w:val="single" w:sz="4" w:space="0" w:color="auto"/>
              <w:right w:val="single" w:sz="4" w:space="0" w:color="auto"/>
            </w:tcBorders>
          </w:tcPr>
          <w:p w:rsidR="00000000" w:rsidRDefault="00844A84">
            <w:pPr>
              <w:pStyle w:val="a2"/>
              <w:jc w:val="center"/>
            </w:pPr>
            <w:r>
              <w:t>200</w:t>
            </w:r>
            <w:r>
              <w:t>1</w:t>
            </w:r>
          </w:p>
        </w:tc>
        <w:tc>
          <w:tcPr>
            <w:tcW w:w="949" w:type="dxa"/>
            <w:tcBorders>
              <w:top w:val="nil"/>
              <w:left w:val="single" w:sz="4" w:space="0" w:color="auto"/>
              <w:bottom w:val="single" w:sz="4" w:space="0" w:color="auto"/>
              <w:right w:val="single" w:sz="4" w:space="0" w:color="auto"/>
            </w:tcBorders>
          </w:tcPr>
          <w:p w:rsidR="00000000" w:rsidRDefault="00844A84">
            <w:pPr>
              <w:pStyle w:val="a2"/>
            </w:pPr>
            <w:r>
              <w:t>50,435</w:t>
            </w:r>
          </w:p>
        </w:tc>
        <w:tc>
          <w:tcPr>
            <w:tcW w:w="949" w:type="dxa"/>
            <w:tcBorders>
              <w:top w:val="nil"/>
              <w:left w:val="single" w:sz="4" w:space="0" w:color="auto"/>
              <w:bottom w:val="single" w:sz="4" w:space="0" w:color="auto"/>
              <w:right w:val="single" w:sz="4" w:space="0" w:color="auto"/>
            </w:tcBorders>
          </w:tcPr>
          <w:p w:rsidR="00000000" w:rsidRDefault="00844A84">
            <w:pPr>
              <w:pStyle w:val="a2"/>
              <w:jc w:val="center"/>
            </w:pPr>
            <w:r>
              <w:t>49,367</w:t>
            </w:r>
          </w:p>
        </w:tc>
        <w:tc>
          <w:tcPr>
            <w:tcW w:w="975" w:type="dxa"/>
            <w:tcBorders>
              <w:top w:val="nil"/>
              <w:left w:val="single" w:sz="4" w:space="0" w:color="auto"/>
              <w:bottom w:val="single" w:sz="4" w:space="0" w:color="auto"/>
              <w:right w:val="single" w:sz="4" w:space="0" w:color="auto"/>
            </w:tcBorders>
          </w:tcPr>
          <w:p w:rsidR="00000000" w:rsidRDefault="00844A84">
            <w:pPr>
              <w:pStyle w:val="a2"/>
              <w:jc w:val="center"/>
            </w:pPr>
            <w:r>
              <w:t>97.9</w:t>
            </w:r>
          </w:p>
        </w:tc>
        <w:tc>
          <w:tcPr>
            <w:tcW w:w="923" w:type="dxa"/>
            <w:tcBorders>
              <w:top w:val="nil"/>
              <w:left w:val="single" w:sz="4" w:space="0" w:color="auto"/>
              <w:bottom w:val="single" w:sz="4" w:space="0" w:color="auto"/>
              <w:right w:val="single" w:sz="4" w:space="0" w:color="auto"/>
            </w:tcBorders>
          </w:tcPr>
          <w:p w:rsidR="00000000" w:rsidRDefault="00844A84">
            <w:pPr>
              <w:pStyle w:val="a2"/>
            </w:pPr>
            <w:r>
              <w:t>50,500</w:t>
            </w:r>
          </w:p>
        </w:tc>
        <w:tc>
          <w:tcPr>
            <w:tcW w:w="950" w:type="dxa"/>
            <w:tcBorders>
              <w:top w:val="nil"/>
              <w:left w:val="single" w:sz="4" w:space="0" w:color="auto"/>
              <w:bottom w:val="single" w:sz="4" w:space="0" w:color="auto"/>
              <w:right w:val="single" w:sz="4" w:space="0" w:color="auto"/>
            </w:tcBorders>
          </w:tcPr>
          <w:p w:rsidR="00000000" w:rsidRDefault="00844A84">
            <w:pPr>
              <w:pStyle w:val="a2"/>
            </w:pPr>
            <w:r>
              <w:t>49,328</w:t>
            </w:r>
          </w:p>
        </w:tc>
        <w:tc>
          <w:tcPr>
            <w:tcW w:w="962" w:type="dxa"/>
            <w:tcBorders>
              <w:top w:val="nil"/>
              <w:left w:val="single" w:sz="4" w:space="0" w:color="auto"/>
              <w:bottom w:val="single" w:sz="4" w:space="0" w:color="auto"/>
              <w:right w:val="single" w:sz="4" w:space="0" w:color="auto"/>
            </w:tcBorders>
          </w:tcPr>
          <w:p w:rsidR="00000000" w:rsidRDefault="00844A84">
            <w:pPr>
              <w:pStyle w:val="a2"/>
              <w:jc w:val="center"/>
            </w:pPr>
            <w:r>
              <w:t>97.7</w:t>
            </w:r>
          </w:p>
        </w:tc>
        <w:tc>
          <w:tcPr>
            <w:tcW w:w="936" w:type="dxa"/>
            <w:tcBorders>
              <w:top w:val="nil"/>
              <w:left w:val="single" w:sz="4" w:space="0" w:color="auto"/>
              <w:bottom w:val="single" w:sz="4" w:space="0" w:color="auto"/>
              <w:right w:val="single" w:sz="4" w:space="0" w:color="auto"/>
            </w:tcBorders>
          </w:tcPr>
          <w:p w:rsidR="00000000" w:rsidRDefault="00844A84">
            <w:pPr>
              <w:pStyle w:val="a2"/>
              <w:jc w:val="center"/>
            </w:pPr>
            <w:r>
              <w:t>52,771</w:t>
            </w:r>
          </w:p>
        </w:tc>
        <w:tc>
          <w:tcPr>
            <w:tcW w:w="949" w:type="dxa"/>
            <w:tcBorders>
              <w:top w:val="nil"/>
              <w:left w:val="single" w:sz="4" w:space="0" w:color="auto"/>
              <w:bottom w:val="single" w:sz="4" w:space="0" w:color="auto"/>
              <w:right w:val="single" w:sz="4" w:space="0" w:color="auto"/>
            </w:tcBorders>
          </w:tcPr>
          <w:p w:rsidR="00000000" w:rsidRDefault="00844A84">
            <w:pPr>
              <w:pStyle w:val="a2"/>
              <w:jc w:val="center"/>
            </w:pPr>
            <w:r>
              <w:t>50,262</w:t>
            </w:r>
          </w:p>
        </w:tc>
        <w:tc>
          <w:tcPr>
            <w:tcW w:w="950" w:type="dxa"/>
            <w:tcBorders>
              <w:top w:val="nil"/>
              <w:left w:val="single" w:sz="4" w:space="0" w:color="auto"/>
              <w:bottom w:val="single" w:sz="4" w:space="0" w:color="auto"/>
              <w:right w:val="single" w:sz="4" w:space="0" w:color="auto"/>
            </w:tcBorders>
          </w:tcPr>
          <w:p w:rsidR="00000000" w:rsidRDefault="00844A84">
            <w:pPr>
              <w:pStyle w:val="a2"/>
              <w:jc w:val="center"/>
            </w:pPr>
            <w:r>
              <w:t>95.2</w:t>
            </w:r>
          </w:p>
        </w:tc>
      </w:tr>
    </w:tbl>
    <w:p w:rsidR="00000000" w:rsidRDefault="00844A84">
      <w:pPr>
        <w:rPr>
          <w:rFonts w:hint="eastAsia"/>
        </w:rPr>
      </w:pPr>
    </w:p>
    <w:p w:rsidR="00000000" w:rsidRDefault="00844A84">
      <w:pPr>
        <w:pStyle w:val="Heading4"/>
        <w:rPr>
          <w:rFonts w:hint="eastAsia"/>
        </w:rPr>
      </w:pPr>
      <w:r>
        <w:rPr>
          <w:rFonts w:hint="eastAsia"/>
        </w:rPr>
        <w:t>供水和污水处理</w:t>
      </w:r>
    </w:p>
    <w:p w:rsidR="00000000" w:rsidRDefault="00844A84">
      <w:pPr>
        <w:spacing w:after="320"/>
      </w:pPr>
      <w:r>
        <w:rPr>
          <w:rFonts w:hint="eastAsia"/>
        </w:rPr>
        <w:tab/>
        <w:t xml:space="preserve">310.  </w:t>
      </w:r>
      <w:r>
        <w:rPr>
          <w:rFonts w:hint="eastAsia"/>
        </w:rPr>
        <w:t>在塞尔维亚共和国，大约</w:t>
      </w:r>
      <w:r>
        <w:t>81.8%</w:t>
      </w:r>
      <w:r>
        <w:rPr>
          <w:rFonts w:hint="eastAsia"/>
        </w:rPr>
        <w:t>的家庭室内或院内有城市或村庄供水系统供应的饮用水。在城市，</w:t>
      </w:r>
      <w:r>
        <w:t>98%</w:t>
      </w:r>
      <w:r>
        <w:rPr>
          <w:rFonts w:hint="eastAsia"/>
        </w:rPr>
        <w:t>的家庭有饮用水供应，地区差别很小。在农村地区，只有</w:t>
      </w:r>
      <w:r>
        <w:t>63.3%</w:t>
      </w:r>
      <w:r>
        <w:rPr>
          <w:rFonts w:hint="eastAsia"/>
        </w:rPr>
        <w:t>的家庭有公共供水系统的自来水供应。</w:t>
      </w:r>
    </w:p>
    <w:p w:rsidR="00000000" w:rsidRDefault="00844A84">
      <w:pPr>
        <w:pStyle w:val="Heading3"/>
        <w:spacing w:after="160"/>
        <w:rPr>
          <w:rFonts w:hint="eastAsia"/>
          <w:u w:val="none"/>
        </w:rPr>
      </w:pPr>
      <w:r>
        <w:rPr>
          <w:rFonts w:hint="eastAsia"/>
          <w:u w:val="none"/>
        </w:rPr>
        <w:t>表</w:t>
      </w:r>
      <w:r>
        <w:rPr>
          <w:rFonts w:hint="eastAsia"/>
          <w:u w:val="none"/>
        </w:rPr>
        <w:t xml:space="preserve"> </w:t>
      </w:r>
      <w:r>
        <w:rPr>
          <w:u w:val="none"/>
        </w:rPr>
        <w:t>14</w:t>
      </w:r>
    </w:p>
    <w:p w:rsidR="00000000" w:rsidRDefault="00844A84">
      <w:pPr>
        <w:pStyle w:val="Heading3"/>
        <w:spacing w:after="160"/>
        <w:rPr>
          <w:i/>
          <w:iCs/>
        </w:rPr>
      </w:pPr>
      <w:r>
        <w:rPr>
          <w:rFonts w:hint="eastAsia"/>
        </w:rPr>
        <w:t>卫生条件达标的家庭饮用水供应</w:t>
      </w:r>
      <w:r>
        <w:br/>
      </w:r>
      <w:r>
        <w:rPr>
          <w:rFonts w:hint="eastAsia"/>
          <w:u w:val="none"/>
        </w:rPr>
        <w:t>(</w:t>
      </w:r>
      <w:r>
        <w:rPr>
          <w:rFonts w:hint="eastAsia"/>
          <w:u w:val="none"/>
        </w:rPr>
        <w:t>按居住区类型统计，百分比</w:t>
      </w:r>
      <w:r>
        <w:rPr>
          <w:rFonts w:hint="eastAsia"/>
          <w:u w:val="none"/>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jc w:val="center"/>
        </w:trPr>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after="80"/>
              <w:jc w:val="center"/>
              <w:rPr>
                <w:rFonts w:ascii="Time New Roman" w:eastAsia="SimHei" w:hAnsi="Time New Roman"/>
              </w:rPr>
            </w:pPr>
            <w:r>
              <w:rPr>
                <w:rFonts w:ascii="Time New Roman" w:eastAsia="SimHei" w:hAnsi="Time New Roman" w:hint="eastAsia"/>
              </w:rPr>
              <w:t>地</w:t>
            </w:r>
            <w:r>
              <w:rPr>
                <w:rFonts w:ascii="Time New Roman" w:eastAsia="SimHei" w:hAnsi="Time New Roman" w:hint="eastAsia"/>
              </w:rPr>
              <w:t xml:space="preserve">  </w:t>
            </w:r>
            <w:r>
              <w:rPr>
                <w:rFonts w:ascii="Time New Roman" w:eastAsia="SimHei" w:hAnsi="Time New Roman" w:hint="eastAsia"/>
              </w:rPr>
              <w:t>区</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after="80"/>
              <w:jc w:val="center"/>
              <w:rPr>
                <w:rFonts w:ascii="Time New Roman" w:eastAsia="SimHei" w:hAnsi="Time New Roman"/>
              </w:rPr>
            </w:pPr>
            <w:r>
              <w:rPr>
                <w:rFonts w:ascii="Time New Roman" w:eastAsia="SimHei" w:hAnsi="Time New Roman" w:hint="eastAsia"/>
              </w:rPr>
              <w:t>总</w:t>
            </w:r>
            <w:r>
              <w:rPr>
                <w:rFonts w:ascii="Time New Roman" w:eastAsia="SimHei" w:hAnsi="Time New Roman" w:hint="eastAsia"/>
              </w:rPr>
              <w:t xml:space="preserve">  </w:t>
            </w:r>
            <w:r>
              <w:rPr>
                <w:rFonts w:ascii="Time New Roman" w:eastAsia="SimHei" w:hAnsi="Time New Roman" w:hint="eastAsia"/>
              </w:rPr>
              <w:t>计</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after="80"/>
              <w:jc w:val="center"/>
              <w:rPr>
                <w:rFonts w:ascii="Time New Roman" w:eastAsia="SimHei" w:hAnsi="Time New Roman"/>
              </w:rPr>
            </w:pPr>
            <w:r>
              <w:rPr>
                <w:rFonts w:ascii="Time New Roman" w:eastAsia="SimHei" w:hAnsi="Time New Roman" w:hint="eastAsia"/>
              </w:rPr>
              <w:t>城市居住区</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spacing w:before="40" w:after="80"/>
              <w:jc w:val="center"/>
              <w:rPr>
                <w:rFonts w:ascii="Time New Roman" w:eastAsia="SimHei" w:hAnsi="Time New Roman"/>
              </w:rPr>
            </w:pPr>
            <w:r>
              <w:rPr>
                <w:rFonts w:ascii="Time New Roman" w:eastAsia="SimHei" w:hAnsi="Time New Roman" w:hint="eastAsia"/>
              </w:rPr>
              <w:t>农村居住区</w:t>
            </w:r>
          </w:p>
        </w:tc>
      </w:tr>
      <w:tr w:rsidR="00000000">
        <w:tblPrEx>
          <w:tblCellMar>
            <w:top w:w="0" w:type="dxa"/>
            <w:bottom w:w="0" w:type="dxa"/>
          </w:tblCellMar>
        </w:tblPrEx>
        <w:trPr>
          <w:jc w:val="center"/>
        </w:trPr>
        <w:tc>
          <w:tcPr>
            <w:tcW w:w="1250" w:type="pct"/>
            <w:tcBorders>
              <w:top w:val="single" w:sz="4" w:space="0" w:color="auto"/>
              <w:left w:val="single" w:sz="4" w:space="0" w:color="auto"/>
              <w:bottom w:val="nil"/>
              <w:right w:val="single" w:sz="4" w:space="0" w:color="auto"/>
            </w:tcBorders>
            <w:vAlign w:val="center"/>
          </w:tcPr>
          <w:p w:rsidR="00000000" w:rsidRDefault="00844A84">
            <w:pPr>
              <w:pStyle w:val="a2"/>
              <w:spacing w:before="40" w:after="80"/>
            </w:pPr>
            <w:r>
              <w:rPr>
                <w:rFonts w:hint="eastAsia"/>
              </w:rPr>
              <w:t>中塞尔维亚</w:t>
            </w:r>
          </w:p>
        </w:tc>
        <w:tc>
          <w:tcPr>
            <w:tcW w:w="1250" w:type="pct"/>
            <w:tcBorders>
              <w:top w:val="single" w:sz="4" w:space="0" w:color="auto"/>
              <w:left w:val="single" w:sz="4" w:space="0" w:color="auto"/>
              <w:bottom w:val="nil"/>
              <w:right w:val="single" w:sz="4" w:space="0" w:color="auto"/>
            </w:tcBorders>
            <w:vAlign w:val="center"/>
          </w:tcPr>
          <w:p w:rsidR="00000000" w:rsidRDefault="00844A84">
            <w:pPr>
              <w:pStyle w:val="a2"/>
              <w:spacing w:before="40" w:after="80"/>
              <w:ind w:right="798"/>
              <w:jc w:val="right"/>
            </w:pPr>
            <w:r>
              <w:t>80.7</w:t>
            </w:r>
          </w:p>
        </w:tc>
        <w:tc>
          <w:tcPr>
            <w:tcW w:w="1250" w:type="pct"/>
            <w:tcBorders>
              <w:top w:val="single" w:sz="4" w:space="0" w:color="auto"/>
              <w:left w:val="single" w:sz="4" w:space="0" w:color="auto"/>
              <w:bottom w:val="nil"/>
              <w:right w:val="single" w:sz="4" w:space="0" w:color="auto"/>
            </w:tcBorders>
            <w:vAlign w:val="center"/>
          </w:tcPr>
          <w:p w:rsidR="00000000" w:rsidRDefault="00844A84">
            <w:pPr>
              <w:pStyle w:val="a2"/>
              <w:spacing w:before="40" w:after="80"/>
              <w:ind w:right="798"/>
              <w:jc w:val="right"/>
            </w:pPr>
            <w:r>
              <w:t>99.0</w:t>
            </w:r>
          </w:p>
        </w:tc>
        <w:tc>
          <w:tcPr>
            <w:tcW w:w="1250" w:type="pct"/>
            <w:tcBorders>
              <w:top w:val="single" w:sz="4" w:space="0" w:color="auto"/>
              <w:left w:val="single" w:sz="4" w:space="0" w:color="auto"/>
              <w:bottom w:val="nil"/>
              <w:right w:val="single" w:sz="4" w:space="0" w:color="auto"/>
            </w:tcBorders>
            <w:vAlign w:val="center"/>
          </w:tcPr>
          <w:p w:rsidR="00000000" w:rsidRDefault="00844A84">
            <w:pPr>
              <w:pStyle w:val="a2"/>
              <w:spacing w:before="40" w:after="80"/>
              <w:ind w:right="798"/>
              <w:jc w:val="right"/>
            </w:pPr>
            <w:r>
              <w:t>59.2</w:t>
            </w:r>
          </w:p>
        </w:tc>
      </w:tr>
      <w:tr w:rsidR="00000000">
        <w:tblPrEx>
          <w:tblCellMar>
            <w:top w:w="0" w:type="dxa"/>
            <w:bottom w:w="0" w:type="dxa"/>
          </w:tblCellMar>
        </w:tblPrEx>
        <w:trPr>
          <w:jc w:val="center"/>
        </w:trPr>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pPr>
            <w:r>
              <w:rPr>
                <w:rFonts w:hint="eastAsia"/>
              </w:rPr>
              <w:t>伏伊伏丁</w:t>
            </w:r>
            <w:r>
              <w:rPr>
                <w:rFonts w:hint="eastAsia"/>
              </w:rPr>
              <w:t>那省</w:t>
            </w:r>
          </w:p>
        </w:tc>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ind w:right="798"/>
              <w:jc w:val="right"/>
            </w:pPr>
            <w:r>
              <w:t>92.1</w:t>
            </w:r>
          </w:p>
        </w:tc>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ind w:right="798"/>
              <w:jc w:val="right"/>
            </w:pPr>
            <w:r>
              <w:t>96.1</w:t>
            </w:r>
          </w:p>
        </w:tc>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ind w:right="798"/>
              <w:jc w:val="right"/>
            </w:pPr>
            <w:r>
              <w:t>86.8</w:t>
            </w:r>
          </w:p>
        </w:tc>
      </w:tr>
      <w:tr w:rsidR="00000000">
        <w:tblPrEx>
          <w:tblCellMar>
            <w:top w:w="0" w:type="dxa"/>
            <w:bottom w:w="0" w:type="dxa"/>
          </w:tblCellMar>
        </w:tblPrEx>
        <w:trPr>
          <w:jc w:val="center"/>
        </w:trPr>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pPr>
            <w:r>
              <w:rPr>
                <w:rFonts w:hint="eastAsia"/>
              </w:rPr>
              <w:t>贝尔格莱德地区</w:t>
            </w:r>
          </w:p>
        </w:tc>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ind w:right="798"/>
              <w:jc w:val="right"/>
            </w:pPr>
            <w:r>
              <w:t>95.9</w:t>
            </w:r>
          </w:p>
        </w:tc>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ind w:right="798"/>
              <w:jc w:val="right"/>
            </w:pPr>
            <w:r>
              <w:t>99.5</w:t>
            </w:r>
          </w:p>
        </w:tc>
        <w:tc>
          <w:tcPr>
            <w:tcW w:w="1250" w:type="pct"/>
            <w:tcBorders>
              <w:top w:val="nil"/>
              <w:left w:val="single" w:sz="4" w:space="0" w:color="auto"/>
              <w:bottom w:val="nil"/>
              <w:right w:val="single" w:sz="4" w:space="0" w:color="auto"/>
            </w:tcBorders>
            <w:vAlign w:val="center"/>
          </w:tcPr>
          <w:p w:rsidR="00000000" w:rsidRDefault="00844A84">
            <w:pPr>
              <w:pStyle w:val="a2"/>
              <w:spacing w:before="40" w:after="80"/>
              <w:ind w:right="798"/>
              <w:jc w:val="right"/>
            </w:pPr>
            <w:r>
              <w:t>82.7</w:t>
            </w:r>
          </w:p>
        </w:tc>
      </w:tr>
      <w:tr w:rsidR="00000000">
        <w:tblPrEx>
          <w:tblCellMar>
            <w:top w:w="0" w:type="dxa"/>
            <w:bottom w:w="0" w:type="dxa"/>
          </w:tblCellMar>
        </w:tblPrEx>
        <w:trPr>
          <w:jc w:val="center"/>
        </w:trPr>
        <w:tc>
          <w:tcPr>
            <w:tcW w:w="1250" w:type="pct"/>
            <w:tcBorders>
              <w:top w:val="nil"/>
              <w:left w:val="single" w:sz="4" w:space="0" w:color="auto"/>
              <w:bottom w:val="single" w:sz="4" w:space="0" w:color="auto"/>
              <w:right w:val="single" w:sz="4" w:space="0" w:color="auto"/>
            </w:tcBorders>
            <w:vAlign w:val="center"/>
          </w:tcPr>
          <w:p w:rsidR="00000000" w:rsidRDefault="00844A84">
            <w:pPr>
              <w:pStyle w:val="a2"/>
              <w:spacing w:before="40" w:after="80"/>
            </w:pPr>
            <w:r>
              <w:rPr>
                <w:rFonts w:hint="eastAsia"/>
              </w:rPr>
              <w:t>塞尔维亚</w:t>
            </w:r>
          </w:p>
        </w:tc>
        <w:tc>
          <w:tcPr>
            <w:tcW w:w="1250" w:type="pct"/>
            <w:tcBorders>
              <w:top w:val="nil"/>
              <w:left w:val="single" w:sz="4" w:space="0" w:color="auto"/>
              <w:bottom w:val="single" w:sz="4" w:space="0" w:color="auto"/>
              <w:right w:val="single" w:sz="4" w:space="0" w:color="auto"/>
            </w:tcBorders>
            <w:vAlign w:val="center"/>
          </w:tcPr>
          <w:p w:rsidR="00000000" w:rsidRDefault="00844A84">
            <w:pPr>
              <w:pStyle w:val="a2"/>
              <w:spacing w:before="40" w:after="80"/>
              <w:ind w:right="798"/>
              <w:jc w:val="right"/>
            </w:pPr>
            <w:r>
              <w:t>81.8</w:t>
            </w:r>
          </w:p>
        </w:tc>
        <w:tc>
          <w:tcPr>
            <w:tcW w:w="1250" w:type="pct"/>
            <w:tcBorders>
              <w:top w:val="nil"/>
              <w:left w:val="single" w:sz="4" w:space="0" w:color="auto"/>
              <w:bottom w:val="single" w:sz="4" w:space="0" w:color="auto"/>
              <w:right w:val="single" w:sz="4" w:space="0" w:color="auto"/>
            </w:tcBorders>
            <w:vAlign w:val="center"/>
          </w:tcPr>
          <w:p w:rsidR="00000000" w:rsidRDefault="00844A84">
            <w:pPr>
              <w:pStyle w:val="a2"/>
              <w:spacing w:before="40" w:after="80"/>
              <w:ind w:right="798"/>
              <w:jc w:val="right"/>
            </w:pPr>
            <w:r>
              <w:t>98.0</w:t>
            </w:r>
          </w:p>
        </w:tc>
        <w:tc>
          <w:tcPr>
            <w:tcW w:w="1250" w:type="pct"/>
            <w:tcBorders>
              <w:top w:val="nil"/>
              <w:left w:val="single" w:sz="4" w:space="0" w:color="auto"/>
              <w:bottom w:val="single" w:sz="4" w:space="0" w:color="auto"/>
              <w:right w:val="single" w:sz="4" w:space="0" w:color="auto"/>
            </w:tcBorders>
            <w:vAlign w:val="center"/>
          </w:tcPr>
          <w:p w:rsidR="00000000" w:rsidRDefault="00844A84">
            <w:pPr>
              <w:pStyle w:val="a2"/>
              <w:spacing w:before="40" w:after="80"/>
              <w:ind w:right="798"/>
              <w:jc w:val="right"/>
            </w:pPr>
            <w:r>
              <w:t>63.3</w:t>
            </w:r>
          </w:p>
        </w:tc>
      </w:tr>
    </w:tbl>
    <w:p w:rsidR="00000000" w:rsidRDefault="00844A84">
      <w:pPr>
        <w:pStyle w:val="Num-DocParagraph"/>
        <w:spacing w:before="240" w:line="336" w:lineRule="auto"/>
        <w:ind w:firstLine="510"/>
        <w:rPr>
          <w:rFonts w:eastAsia="KaiTi_GB2312" w:hint="eastAsia"/>
          <w:szCs w:val="22"/>
          <w:lang w:eastAsia="zh-CN"/>
        </w:rPr>
      </w:pPr>
      <w:r>
        <w:rPr>
          <w:rFonts w:eastAsia="KaiTi_GB2312" w:hint="eastAsia"/>
          <w:bCs/>
          <w:szCs w:val="22"/>
          <w:u w:val="single"/>
          <w:lang w:eastAsia="zh-CN"/>
        </w:rPr>
        <w:t>资料来源</w:t>
      </w:r>
      <w:r>
        <w:rPr>
          <w:rFonts w:eastAsia="KaiTi_GB2312" w:hint="eastAsia"/>
          <w:szCs w:val="22"/>
          <w:lang w:eastAsia="zh-CN"/>
        </w:rPr>
        <w:t>：世界儿童问题首脑会议目标实施进展监测</w:t>
      </w:r>
      <w:r>
        <w:rPr>
          <w:rFonts w:hint="eastAsia"/>
          <w:spacing w:val="-50"/>
          <w:lang w:eastAsia="zh-CN"/>
        </w:rPr>
        <w:t>―</w:t>
      </w:r>
      <w:r>
        <w:rPr>
          <w:rFonts w:hint="eastAsia"/>
          <w:lang w:eastAsia="zh-CN"/>
        </w:rPr>
        <w:t>―</w:t>
      </w:r>
      <w:r>
        <w:rPr>
          <w:rFonts w:eastAsia="KaiTi_GB2312" w:hint="eastAsia"/>
          <w:szCs w:val="22"/>
          <w:lang w:eastAsia="zh-CN"/>
        </w:rPr>
        <w:t>南斯拉夫联盟共和国报告，</w:t>
      </w:r>
      <w:r>
        <w:rPr>
          <w:rFonts w:eastAsia="KaiTi_GB2312"/>
          <w:szCs w:val="22"/>
          <w:lang w:eastAsia="zh-CN"/>
        </w:rPr>
        <w:t>1997</w:t>
      </w:r>
      <w:r>
        <w:rPr>
          <w:rFonts w:eastAsia="KaiTi_GB2312" w:hint="eastAsia"/>
          <w:szCs w:val="22"/>
          <w:lang w:eastAsia="zh-CN"/>
        </w:rPr>
        <w:t>。</w:t>
      </w:r>
    </w:p>
    <w:p w:rsidR="00000000" w:rsidRDefault="00844A84"/>
    <w:p w:rsidR="00000000" w:rsidRDefault="00844A84">
      <w:pPr>
        <w:spacing w:after="320"/>
        <w:rPr>
          <w:rFonts w:hint="eastAsia"/>
          <w:spacing w:val="-50"/>
        </w:rPr>
      </w:pPr>
      <w:r>
        <w:rPr>
          <w:rFonts w:hint="eastAsia"/>
        </w:rPr>
        <w:tab/>
        <w:t xml:space="preserve">311.  </w:t>
      </w:r>
      <w:r>
        <w:rPr>
          <w:rFonts w:hint="eastAsia"/>
        </w:rPr>
        <w:t>对卫生安全的正常监测主要包括由城市中央供水系统供水的人口，这部分人占全部人口的</w:t>
      </w:r>
      <w:r>
        <w:t>48</w:t>
      </w:r>
      <w:r>
        <w:rPr>
          <w:rFonts w:hint="eastAsia"/>
        </w:rPr>
        <w:t>%</w:t>
      </w:r>
      <w:r>
        <w:rPr>
          <w:rFonts w:hint="eastAsia"/>
        </w:rPr>
        <w:t>。</w:t>
      </w:r>
    </w:p>
    <w:p w:rsidR="00000000" w:rsidRDefault="00844A84">
      <w:pPr>
        <w:pStyle w:val="Heading3"/>
        <w:rPr>
          <w:rFonts w:hint="eastAsia"/>
          <w:u w:val="none"/>
        </w:rPr>
      </w:pPr>
      <w:r>
        <w:rPr>
          <w:spacing w:val="-50"/>
        </w:rPr>
        <w:br w:type="page"/>
      </w:r>
      <w:r>
        <w:rPr>
          <w:rFonts w:hint="eastAsia"/>
          <w:u w:val="none"/>
        </w:rPr>
        <w:t>表</w:t>
      </w:r>
      <w:r>
        <w:rPr>
          <w:rFonts w:hint="eastAsia"/>
          <w:u w:val="none"/>
        </w:rPr>
        <w:t xml:space="preserve"> </w:t>
      </w:r>
      <w:r>
        <w:rPr>
          <w:u w:val="none"/>
        </w:rPr>
        <w:t>15</w:t>
      </w:r>
    </w:p>
    <w:p w:rsidR="00000000" w:rsidRDefault="00844A84">
      <w:pPr>
        <w:pStyle w:val="Heading3"/>
      </w:pPr>
      <w:r>
        <w:rPr>
          <w:rFonts w:hint="eastAsia"/>
        </w:rPr>
        <w:t>中塞尔维亚城市中央供水系统卫生不达标</w:t>
      </w:r>
      <w:r>
        <w:br/>
      </w:r>
      <w:r>
        <w:rPr>
          <w:rFonts w:hint="eastAsia"/>
        </w:rPr>
        <w:t>饮用水所占百分比，</w:t>
      </w:r>
      <w:r>
        <w:t>1981</w:t>
      </w:r>
      <w:r>
        <w:rPr>
          <w:rFonts w:hint="eastAsia"/>
        </w:rPr>
        <w:t>－</w:t>
      </w:r>
      <w:r>
        <w:t>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
        <w:gridCol w:w="2731"/>
        <w:gridCol w:w="2999"/>
        <w:gridCol w:w="2892"/>
      </w:tblGrid>
      <w:tr w:rsidR="00000000">
        <w:tblPrEx>
          <w:tblCellMar>
            <w:top w:w="0" w:type="dxa"/>
            <w:bottom w:w="0" w:type="dxa"/>
          </w:tblCellMar>
        </w:tblPrEx>
        <w:tc>
          <w:tcPr>
            <w:tcW w:w="495"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年</w:t>
            </w:r>
            <w:r>
              <w:rPr>
                <w:rFonts w:eastAsia="SimSun" w:hint="eastAsia"/>
                <w:spacing w:val="10"/>
                <w:sz w:val="22"/>
                <w:szCs w:val="22"/>
                <w:lang w:eastAsia="zh-CN"/>
              </w:rPr>
              <w:t xml:space="preserve"> </w:t>
            </w:r>
            <w:r>
              <w:rPr>
                <w:rFonts w:eastAsia="SimSun" w:hint="eastAsia"/>
                <w:spacing w:val="10"/>
                <w:sz w:val="22"/>
                <w:szCs w:val="22"/>
                <w:lang w:eastAsia="zh-CN"/>
              </w:rPr>
              <w:t>份</w:t>
            </w:r>
          </w:p>
        </w:tc>
        <w:tc>
          <w:tcPr>
            <w:tcW w:w="1427"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w:t>
            </w:r>
            <w:r>
              <w:rPr>
                <w:rFonts w:eastAsia="SimSun" w:hint="eastAsia"/>
                <w:spacing w:val="10"/>
                <w:sz w:val="22"/>
                <w:szCs w:val="22"/>
                <w:lang w:eastAsia="zh-CN"/>
              </w:rPr>
              <w:t>%</w:t>
            </w:r>
            <w:r>
              <w:rPr>
                <w:rFonts w:eastAsia="SimSun" w:hint="eastAsia"/>
                <w:spacing w:val="10"/>
                <w:sz w:val="22"/>
                <w:szCs w:val="22"/>
                <w:lang w:eastAsia="zh-CN"/>
              </w:rPr>
              <w:t>以上水样微生物超标的供水系统所占百分比</w:t>
            </w:r>
          </w:p>
        </w:tc>
        <w:tc>
          <w:tcPr>
            <w:tcW w:w="1567"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w:t>
            </w:r>
            <w:r>
              <w:rPr>
                <w:rFonts w:eastAsia="SimSun" w:hint="eastAsia"/>
                <w:spacing w:val="10"/>
                <w:sz w:val="22"/>
                <w:szCs w:val="22"/>
                <w:lang w:eastAsia="zh-CN"/>
              </w:rPr>
              <w:t>以上水样理化指标超标的供水系统所占百分比</w:t>
            </w:r>
          </w:p>
        </w:tc>
        <w:tc>
          <w:tcPr>
            <w:tcW w:w="1511"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微生物</w:t>
            </w:r>
            <w:r>
              <w:rPr>
                <w:rFonts w:eastAsia="SimSun" w:hint="eastAsia"/>
                <w:spacing w:val="10"/>
                <w:sz w:val="22"/>
                <w:szCs w:val="22"/>
                <w:lang w:eastAsia="zh-CN"/>
              </w:rPr>
              <w:t>与理化指标均超标的供水系统所占百分比</w:t>
            </w:r>
          </w:p>
        </w:tc>
      </w:tr>
      <w:tr w:rsidR="00000000">
        <w:tblPrEx>
          <w:tblCellMar>
            <w:top w:w="0" w:type="dxa"/>
            <w:bottom w:w="0" w:type="dxa"/>
          </w:tblCellMar>
        </w:tblPrEx>
        <w:tc>
          <w:tcPr>
            <w:tcW w:w="495"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1981</w:t>
            </w:r>
          </w:p>
        </w:tc>
        <w:tc>
          <w:tcPr>
            <w:tcW w:w="1427"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29.59</w:t>
            </w:r>
          </w:p>
        </w:tc>
        <w:tc>
          <w:tcPr>
            <w:tcW w:w="1567"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18.37</w:t>
            </w:r>
          </w:p>
        </w:tc>
        <w:tc>
          <w:tcPr>
            <w:tcW w:w="1511"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9.18</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1982</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46.36</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24.54</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6.36</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1983</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33.96</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28.30</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无数据</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1984</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37.00</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17.00</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11.00</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1985</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36.06</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26.74</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18.60</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1986</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37.50</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19.79</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无数据</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1987</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35.79</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20.00</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15.79</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1988</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33.33</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22.91</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16.67</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1989</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32.69</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30.77</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无数据</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1990</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24.27</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16.50</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无数据</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1991</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w:t>
            </w:r>
            <w:r>
              <w:rPr>
                <w:rFonts w:eastAsia="SimSun"/>
                <w:spacing w:val="10"/>
                <w:sz w:val="22"/>
                <w:szCs w:val="22"/>
                <w:lang w:eastAsia="zh-CN"/>
              </w:rPr>
              <w:t>5.92</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26.21</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14.56</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1992</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42.34</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31.53</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无数据</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1993</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35.13</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28.82</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13.51</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1994</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35.45</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31.81</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16.36</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1995</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35.78</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33.03</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18.35</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1996</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36.52</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31.30</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20.00</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1997</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48.60</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45.76</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29.94</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1998</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38.53</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36.70</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22.93</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1999</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33.33</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32.43</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21.62</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2000</w:t>
            </w:r>
          </w:p>
        </w:tc>
        <w:tc>
          <w:tcPr>
            <w:tcW w:w="142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34.23</w:t>
            </w:r>
          </w:p>
        </w:tc>
        <w:tc>
          <w:tcPr>
            <w:tcW w:w="156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31.53</w:t>
            </w:r>
          </w:p>
        </w:tc>
        <w:tc>
          <w:tcPr>
            <w:tcW w:w="1511"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21.62</w:t>
            </w:r>
          </w:p>
        </w:tc>
      </w:tr>
      <w:tr w:rsidR="00000000">
        <w:tblPrEx>
          <w:tblCellMar>
            <w:top w:w="0" w:type="dxa"/>
            <w:bottom w:w="0" w:type="dxa"/>
          </w:tblCellMar>
        </w:tblPrEx>
        <w:tc>
          <w:tcPr>
            <w:tcW w:w="495"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2001</w:t>
            </w:r>
          </w:p>
        </w:tc>
        <w:tc>
          <w:tcPr>
            <w:tcW w:w="1427"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40.52</w:t>
            </w:r>
          </w:p>
        </w:tc>
        <w:tc>
          <w:tcPr>
            <w:tcW w:w="1567"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30.31</w:t>
            </w:r>
          </w:p>
        </w:tc>
        <w:tc>
          <w:tcPr>
            <w:tcW w:w="1511"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17.24</w:t>
            </w:r>
          </w:p>
        </w:tc>
      </w:tr>
    </w:tbl>
    <w:p w:rsidR="00000000" w:rsidRDefault="00844A84">
      <w:pPr>
        <w:pStyle w:val="Num-DocParagraph"/>
        <w:spacing w:before="240" w:after="320" w:line="336" w:lineRule="auto"/>
        <w:ind w:firstLine="510"/>
        <w:rPr>
          <w:rFonts w:eastAsia="KaiTi_GB2312"/>
          <w:szCs w:val="22"/>
          <w:lang w:eastAsia="zh-CN"/>
        </w:rPr>
      </w:pPr>
      <w:r>
        <w:rPr>
          <w:rFonts w:eastAsia="KaiTi_GB2312" w:hint="eastAsia"/>
          <w:bCs/>
          <w:szCs w:val="22"/>
          <w:u w:val="single"/>
          <w:lang w:eastAsia="zh-CN"/>
        </w:rPr>
        <w:t>资料来源</w:t>
      </w:r>
      <w:r>
        <w:rPr>
          <w:rFonts w:eastAsia="KaiTi_GB2312" w:hint="eastAsia"/>
          <w:bCs/>
          <w:szCs w:val="22"/>
          <w:lang w:eastAsia="zh-CN"/>
        </w:rPr>
        <w:t>：</w:t>
      </w:r>
      <w:r>
        <w:rPr>
          <w:rFonts w:eastAsia="KaiTi_GB2312" w:hint="eastAsia"/>
          <w:szCs w:val="22"/>
          <w:lang w:eastAsia="zh-CN"/>
        </w:rPr>
        <w:t>塞尔维亚卫生保健研究所</w:t>
      </w:r>
    </w:p>
    <w:p w:rsidR="00000000" w:rsidRDefault="00844A84">
      <w:pPr>
        <w:pStyle w:val="Heading3"/>
        <w:spacing w:after="160"/>
        <w:rPr>
          <w:rFonts w:hint="eastAsia"/>
          <w:u w:val="none"/>
        </w:rPr>
      </w:pPr>
      <w:r>
        <w:rPr>
          <w:rFonts w:hint="eastAsia"/>
          <w:u w:val="none"/>
        </w:rPr>
        <w:t>表</w:t>
      </w:r>
      <w:r>
        <w:rPr>
          <w:rFonts w:hint="eastAsia"/>
          <w:u w:val="none"/>
        </w:rPr>
        <w:t xml:space="preserve"> </w:t>
      </w:r>
      <w:r>
        <w:rPr>
          <w:u w:val="none"/>
        </w:rPr>
        <w:t>16</w:t>
      </w:r>
    </w:p>
    <w:p w:rsidR="00000000" w:rsidRDefault="00844A84">
      <w:pPr>
        <w:pStyle w:val="Heading3"/>
        <w:spacing w:after="160"/>
      </w:pPr>
      <w:r>
        <w:rPr>
          <w:rFonts w:hint="eastAsia"/>
        </w:rPr>
        <w:t>伏伊伏丁那省城市中央供水系统卫生不达标饮用水</w:t>
      </w:r>
      <w:r>
        <w:br/>
      </w:r>
      <w:r>
        <w:rPr>
          <w:rFonts w:hint="eastAsia"/>
        </w:rPr>
        <w:t>所占百分比，</w:t>
      </w:r>
      <w:r>
        <w:t>1993</w:t>
      </w:r>
      <w:r>
        <w:rPr>
          <w:rFonts w:hint="eastAsia"/>
        </w:rPr>
        <w:t>－</w:t>
      </w:r>
      <w:r>
        <w:t>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
        <w:gridCol w:w="3152"/>
        <w:gridCol w:w="2863"/>
        <w:gridCol w:w="2607"/>
      </w:tblGrid>
      <w:tr w:rsidR="00000000">
        <w:tblPrEx>
          <w:tblCellMar>
            <w:top w:w="0" w:type="dxa"/>
            <w:bottom w:w="0" w:type="dxa"/>
          </w:tblCellMar>
        </w:tblPrEx>
        <w:tc>
          <w:tcPr>
            <w:tcW w:w="495"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年</w:t>
            </w:r>
            <w:r>
              <w:rPr>
                <w:rFonts w:eastAsia="SimSun" w:hint="eastAsia"/>
                <w:spacing w:val="10"/>
                <w:sz w:val="22"/>
                <w:szCs w:val="22"/>
                <w:lang w:eastAsia="zh-CN"/>
              </w:rPr>
              <w:t xml:space="preserve"> </w:t>
            </w:r>
            <w:r>
              <w:rPr>
                <w:rFonts w:eastAsia="SimSun" w:hint="eastAsia"/>
                <w:spacing w:val="10"/>
                <w:sz w:val="22"/>
                <w:szCs w:val="22"/>
                <w:lang w:eastAsia="zh-CN"/>
              </w:rPr>
              <w:t>份</w:t>
            </w:r>
          </w:p>
        </w:tc>
        <w:tc>
          <w:tcPr>
            <w:tcW w:w="1647"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w:t>
            </w:r>
            <w:r>
              <w:rPr>
                <w:rFonts w:eastAsia="SimSun" w:hint="eastAsia"/>
                <w:spacing w:val="10"/>
                <w:sz w:val="22"/>
                <w:szCs w:val="22"/>
                <w:lang w:eastAsia="zh-CN"/>
              </w:rPr>
              <w:t>%</w:t>
            </w:r>
            <w:r>
              <w:rPr>
                <w:rFonts w:eastAsia="SimSun" w:hint="eastAsia"/>
                <w:spacing w:val="10"/>
                <w:sz w:val="22"/>
                <w:szCs w:val="22"/>
                <w:lang w:eastAsia="zh-CN"/>
              </w:rPr>
              <w:t>以上水样微生物含量超标的供水系统所占百分比</w:t>
            </w:r>
          </w:p>
        </w:tc>
        <w:tc>
          <w:tcPr>
            <w:tcW w:w="1496"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w:t>
            </w:r>
            <w:r>
              <w:rPr>
                <w:rFonts w:eastAsia="SimSun" w:hint="eastAsia"/>
                <w:spacing w:val="10"/>
                <w:sz w:val="22"/>
                <w:szCs w:val="22"/>
                <w:lang w:eastAsia="zh-CN"/>
              </w:rPr>
              <w:t>以上水样理化指标超标的供水系统所占百分比</w:t>
            </w:r>
          </w:p>
        </w:tc>
        <w:tc>
          <w:tcPr>
            <w:tcW w:w="1362"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Num-DocParagraph"/>
              <w:spacing w:before="40" w:after="0"/>
              <w:jc w:val="center"/>
              <w:rPr>
                <w:rFonts w:eastAsia="SimSun"/>
                <w:spacing w:val="10"/>
                <w:sz w:val="22"/>
                <w:szCs w:val="22"/>
                <w:lang w:eastAsia="zh-CN"/>
              </w:rPr>
            </w:pPr>
            <w:r>
              <w:rPr>
                <w:rFonts w:eastAsia="SimSun" w:hint="eastAsia"/>
                <w:spacing w:val="10"/>
                <w:sz w:val="22"/>
                <w:szCs w:val="22"/>
                <w:lang w:eastAsia="zh-CN"/>
              </w:rPr>
              <w:t>两项指标均超标的供水系统所占百分比</w:t>
            </w:r>
          </w:p>
        </w:tc>
      </w:tr>
      <w:tr w:rsidR="00000000">
        <w:tblPrEx>
          <w:tblCellMar>
            <w:top w:w="0" w:type="dxa"/>
            <w:bottom w:w="0" w:type="dxa"/>
          </w:tblCellMar>
        </w:tblPrEx>
        <w:tc>
          <w:tcPr>
            <w:tcW w:w="495"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1993</w:t>
            </w:r>
          </w:p>
        </w:tc>
        <w:tc>
          <w:tcPr>
            <w:tcW w:w="1647"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72.50</w:t>
            </w:r>
          </w:p>
        </w:tc>
        <w:tc>
          <w:tcPr>
            <w:tcW w:w="1496"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62.50</w:t>
            </w:r>
          </w:p>
        </w:tc>
        <w:tc>
          <w:tcPr>
            <w:tcW w:w="1362" w:type="pct"/>
            <w:tcBorders>
              <w:top w:val="single" w:sz="4" w:space="0" w:color="auto"/>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55.00</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1994</w:t>
            </w:r>
          </w:p>
        </w:tc>
        <w:tc>
          <w:tcPr>
            <w:tcW w:w="164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81.08</w:t>
            </w:r>
          </w:p>
        </w:tc>
        <w:tc>
          <w:tcPr>
            <w:tcW w:w="1496"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64.86</w:t>
            </w:r>
          </w:p>
        </w:tc>
        <w:tc>
          <w:tcPr>
            <w:tcW w:w="1362"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54.05</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1995</w:t>
            </w:r>
          </w:p>
        </w:tc>
        <w:tc>
          <w:tcPr>
            <w:tcW w:w="164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83.72</w:t>
            </w:r>
          </w:p>
        </w:tc>
        <w:tc>
          <w:tcPr>
            <w:tcW w:w="1496"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67.44</w:t>
            </w:r>
          </w:p>
        </w:tc>
        <w:tc>
          <w:tcPr>
            <w:tcW w:w="1362"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58.14</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1996</w:t>
            </w:r>
          </w:p>
        </w:tc>
        <w:tc>
          <w:tcPr>
            <w:tcW w:w="164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88.09</w:t>
            </w:r>
          </w:p>
        </w:tc>
        <w:tc>
          <w:tcPr>
            <w:tcW w:w="1496"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73.81</w:t>
            </w:r>
          </w:p>
        </w:tc>
        <w:tc>
          <w:tcPr>
            <w:tcW w:w="1362"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69.05</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1997</w:t>
            </w:r>
          </w:p>
        </w:tc>
        <w:tc>
          <w:tcPr>
            <w:tcW w:w="164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88.09</w:t>
            </w:r>
          </w:p>
        </w:tc>
        <w:tc>
          <w:tcPr>
            <w:tcW w:w="1496"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66.66</w:t>
            </w:r>
          </w:p>
        </w:tc>
        <w:tc>
          <w:tcPr>
            <w:tcW w:w="1362"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61.90</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1998</w:t>
            </w:r>
          </w:p>
        </w:tc>
        <w:tc>
          <w:tcPr>
            <w:tcW w:w="164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83.33</w:t>
            </w:r>
          </w:p>
        </w:tc>
        <w:tc>
          <w:tcPr>
            <w:tcW w:w="1496"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59.52</w:t>
            </w:r>
          </w:p>
        </w:tc>
        <w:tc>
          <w:tcPr>
            <w:tcW w:w="1362"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52.38</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1999</w:t>
            </w:r>
          </w:p>
        </w:tc>
        <w:tc>
          <w:tcPr>
            <w:tcW w:w="164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64.15</w:t>
            </w:r>
          </w:p>
        </w:tc>
        <w:tc>
          <w:tcPr>
            <w:tcW w:w="1496"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49.05</w:t>
            </w:r>
          </w:p>
        </w:tc>
        <w:tc>
          <w:tcPr>
            <w:tcW w:w="1362"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49.05</w:t>
            </w:r>
          </w:p>
        </w:tc>
      </w:tr>
      <w:tr w:rsidR="00000000">
        <w:tblPrEx>
          <w:tblCellMar>
            <w:top w:w="0" w:type="dxa"/>
            <w:bottom w:w="0" w:type="dxa"/>
          </w:tblCellMar>
        </w:tblPrEx>
        <w:tc>
          <w:tcPr>
            <w:tcW w:w="495"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2000</w:t>
            </w:r>
          </w:p>
        </w:tc>
        <w:tc>
          <w:tcPr>
            <w:tcW w:w="1647"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64.15</w:t>
            </w:r>
          </w:p>
        </w:tc>
        <w:tc>
          <w:tcPr>
            <w:tcW w:w="1496"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50.94</w:t>
            </w:r>
          </w:p>
        </w:tc>
        <w:tc>
          <w:tcPr>
            <w:tcW w:w="1362" w:type="pct"/>
            <w:tcBorders>
              <w:top w:val="nil"/>
              <w:left w:val="single" w:sz="4" w:space="0" w:color="auto"/>
              <w:bottom w:val="nil"/>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49.05</w:t>
            </w:r>
          </w:p>
        </w:tc>
      </w:tr>
      <w:tr w:rsidR="00000000">
        <w:tblPrEx>
          <w:tblCellMar>
            <w:top w:w="0" w:type="dxa"/>
            <w:bottom w:w="0" w:type="dxa"/>
          </w:tblCellMar>
        </w:tblPrEx>
        <w:tc>
          <w:tcPr>
            <w:tcW w:w="495"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2001</w:t>
            </w:r>
          </w:p>
        </w:tc>
        <w:tc>
          <w:tcPr>
            <w:tcW w:w="1647"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75.00</w:t>
            </w:r>
          </w:p>
        </w:tc>
        <w:tc>
          <w:tcPr>
            <w:tcW w:w="1496"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75.00</w:t>
            </w:r>
          </w:p>
        </w:tc>
        <w:tc>
          <w:tcPr>
            <w:tcW w:w="1362" w:type="pct"/>
            <w:tcBorders>
              <w:top w:val="nil"/>
              <w:left w:val="single" w:sz="4" w:space="0" w:color="auto"/>
              <w:bottom w:val="single" w:sz="4" w:space="0" w:color="auto"/>
              <w:right w:val="single" w:sz="4" w:space="0" w:color="auto"/>
            </w:tcBorders>
          </w:tcPr>
          <w:p w:rsidR="00000000" w:rsidRDefault="00844A84">
            <w:pPr>
              <w:pStyle w:val="Num-DocParagraph"/>
              <w:spacing w:before="40" w:after="0"/>
              <w:jc w:val="center"/>
              <w:rPr>
                <w:rFonts w:eastAsia="SimSun"/>
                <w:spacing w:val="10"/>
                <w:sz w:val="22"/>
                <w:szCs w:val="22"/>
                <w:lang w:eastAsia="zh-CN"/>
              </w:rPr>
            </w:pPr>
            <w:r>
              <w:rPr>
                <w:rFonts w:eastAsia="SimSun"/>
                <w:spacing w:val="10"/>
                <w:sz w:val="22"/>
                <w:szCs w:val="22"/>
                <w:lang w:eastAsia="zh-CN"/>
              </w:rPr>
              <w:t>66.66</w:t>
            </w:r>
          </w:p>
        </w:tc>
      </w:tr>
    </w:tbl>
    <w:p w:rsidR="00000000" w:rsidRDefault="00844A84">
      <w:pPr>
        <w:pStyle w:val="Num-DocParagraph"/>
        <w:spacing w:before="240" w:after="320" w:line="336" w:lineRule="auto"/>
        <w:ind w:firstLine="510"/>
        <w:rPr>
          <w:rFonts w:eastAsia="KaiTi_GB2312" w:hint="eastAsia"/>
          <w:szCs w:val="22"/>
          <w:lang w:eastAsia="zh-CN"/>
        </w:rPr>
      </w:pPr>
      <w:r>
        <w:rPr>
          <w:rFonts w:eastAsia="KaiTi_GB2312" w:hint="eastAsia"/>
          <w:bCs/>
          <w:szCs w:val="22"/>
          <w:u w:val="single"/>
          <w:lang w:eastAsia="zh-CN"/>
        </w:rPr>
        <w:t>资料来源</w:t>
      </w:r>
      <w:r>
        <w:rPr>
          <w:rFonts w:eastAsia="KaiTi_GB2312" w:hint="eastAsia"/>
          <w:bCs/>
          <w:szCs w:val="22"/>
          <w:lang w:eastAsia="zh-CN"/>
        </w:rPr>
        <w:t>：</w:t>
      </w:r>
      <w:r>
        <w:rPr>
          <w:rFonts w:eastAsia="KaiTi_GB2312" w:hint="eastAsia"/>
          <w:szCs w:val="22"/>
          <w:lang w:eastAsia="zh-CN"/>
        </w:rPr>
        <w:t>塞尔维亚卫生保健研究所</w:t>
      </w:r>
    </w:p>
    <w:p w:rsidR="00000000" w:rsidRDefault="00844A84">
      <w:pPr>
        <w:spacing w:after="320"/>
      </w:pPr>
      <w:r>
        <w:rPr>
          <w:rFonts w:hint="eastAsia"/>
        </w:rPr>
        <w:tab/>
        <w:t xml:space="preserve">312.  </w:t>
      </w:r>
      <w:r>
        <w:rPr>
          <w:rFonts w:hint="eastAsia"/>
        </w:rPr>
        <w:t>在塞尔维亚共和国，大约</w:t>
      </w:r>
      <w:r>
        <w:t>91.6%</w:t>
      </w:r>
      <w:r>
        <w:rPr>
          <w:rFonts w:hint="eastAsia"/>
        </w:rPr>
        <w:t>的城市人口和大约</w:t>
      </w:r>
      <w:r>
        <w:t>48.3%</w:t>
      </w:r>
      <w:r>
        <w:rPr>
          <w:rFonts w:hint="eastAsia"/>
        </w:rPr>
        <w:t>的农村人口使用与污水系统或化粪池相连的室内卫生间。城乡差距较大，在城市地区，</w:t>
      </w:r>
      <w:r>
        <w:t>91.8%</w:t>
      </w:r>
      <w:r>
        <w:rPr>
          <w:rFonts w:hint="eastAsia"/>
        </w:rPr>
        <w:t>的人口卫生条件良好。</w:t>
      </w:r>
    </w:p>
    <w:p w:rsidR="00000000" w:rsidRDefault="00844A84">
      <w:pPr>
        <w:pStyle w:val="Heading3"/>
        <w:spacing w:after="240"/>
        <w:rPr>
          <w:rFonts w:hint="eastAsia"/>
          <w:u w:val="none"/>
        </w:rPr>
      </w:pPr>
      <w:r>
        <w:rPr>
          <w:rFonts w:hint="eastAsia"/>
          <w:u w:val="none"/>
        </w:rPr>
        <w:t>表</w:t>
      </w:r>
      <w:r>
        <w:rPr>
          <w:rFonts w:hint="eastAsia"/>
          <w:u w:val="none"/>
        </w:rPr>
        <w:t xml:space="preserve"> </w:t>
      </w:r>
      <w:r>
        <w:rPr>
          <w:u w:val="none"/>
        </w:rPr>
        <w:t>17</w:t>
      </w:r>
    </w:p>
    <w:p w:rsidR="00000000" w:rsidRDefault="00844A84">
      <w:pPr>
        <w:pStyle w:val="Heading3"/>
        <w:spacing w:after="160"/>
      </w:pPr>
      <w:r>
        <w:rPr>
          <w:rFonts w:hint="eastAsia"/>
        </w:rPr>
        <w:t>卫生条件良好的城乡人口所占百分比</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000000">
        <w:tblPrEx>
          <w:tblCellMar>
            <w:top w:w="0" w:type="dxa"/>
            <w:bottom w:w="0" w:type="dxa"/>
          </w:tblCellMar>
        </w:tblPrEx>
        <w:trPr>
          <w:jc w:val="center"/>
        </w:trPr>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地</w:t>
            </w:r>
            <w:r>
              <w:rPr>
                <w:rFonts w:hint="eastAsia"/>
              </w:rPr>
              <w:t xml:space="preserve">   </w:t>
            </w:r>
            <w:r>
              <w:rPr>
                <w:rFonts w:hint="eastAsia"/>
              </w:rPr>
              <w:t>区</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总</w:t>
            </w:r>
            <w:r>
              <w:rPr>
                <w:rFonts w:hint="eastAsia"/>
              </w:rPr>
              <w:t xml:space="preserve">  </w:t>
            </w:r>
            <w:r>
              <w:rPr>
                <w:rFonts w:hint="eastAsia"/>
              </w:rPr>
              <w:t>计</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城市居住区</w:t>
            </w:r>
          </w:p>
        </w:tc>
        <w:tc>
          <w:tcPr>
            <w:tcW w:w="1250"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农村居住区</w:t>
            </w:r>
          </w:p>
        </w:tc>
      </w:tr>
      <w:tr w:rsidR="00000000">
        <w:tblPrEx>
          <w:tblCellMar>
            <w:top w:w="0" w:type="dxa"/>
            <w:bottom w:w="0" w:type="dxa"/>
          </w:tblCellMar>
        </w:tblPrEx>
        <w:trPr>
          <w:jc w:val="center"/>
        </w:trPr>
        <w:tc>
          <w:tcPr>
            <w:tcW w:w="1250" w:type="pct"/>
            <w:tcBorders>
              <w:top w:val="single" w:sz="4" w:space="0" w:color="auto"/>
              <w:left w:val="single" w:sz="4" w:space="0" w:color="auto"/>
              <w:bottom w:val="nil"/>
              <w:right w:val="single" w:sz="4" w:space="0" w:color="auto"/>
            </w:tcBorders>
            <w:vAlign w:val="center"/>
          </w:tcPr>
          <w:p w:rsidR="00000000" w:rsidRDefault="00844A84">
            <w:pPr>
              <w:pStyle w:val="a2"/>
            </w:pPr>
            <w:r>
              <w:rPr>
                <w:rFonts w:hint="eastAsia"/>
              </w:rPr>
              <w:t>中塞尔维亚</w:t>
            </w:r>
          </w:p>
        </w:tc>
        <w:tc>
          <w:tcPr>
            <w:tcW w:w="1250" w:type="pct"/>
            <w:tcBorders>
              <w:top w:val="single" w:sz="4" w:space="0" w:color="auto"/>
              <w:left w:val="single" w:sz="4" w:space="0" w:color="auto"/>
              <w:bottom w:val="nil"/>
              <w:right w:val="single" w:sz="4" w:space="0" w:color="auto"/>
            </w:tcBorders>
            <w:vAlign w:val="center"/>
          </w:tcPr>
          <w:p w:rsidR="00000000" w:rsidRDefault="00844A84">
            <w:pPr>
              <w:pStyle w:val="a2"/>
              <w:jc w:val="center"/>
            </w:pPr>
            <w:r>
              <w:t>73.2</w:t>
            </w:r>
          </w:p>
        </w:tc>
        <w:tc>
          <w:tcPr>
            <w:tcW w:w="1250" w:type="pct"/>
            <w:tcBorders>
              <w:top w:val="single" w:sz="4" w:space="0" w:color="auto"/>
              <w:left w:val="single" w:sz="4" w:space="0" w:color="auto"/>
              <w:bottom w:val="nil"/>
              <w:right w:val="single" w:sz="4" w:space="0" w:color="auto"/>
            </w:tcBorders>
            <w:vAlign w:val="center"/>
          </w:tcPr>
          <w:p w:rsidR="00000000" w:rsidRDefault="00844A84">
            <w:pPr>
              <w:pStyle w:val="a2"/>
              <w:jc w:val="center"/>
            </w:pPr>
            <w:r>
              <w:t>94.9</w:t>
            </w:r>
          </w:p>
        </w:tc>
        <w:tc>
          <w:tcPr>
            <w:tcW w:w="1250" w:type="pct"/>
            <w:tcBorders>
              <w:top w:val="single" w:sz="4" w:space="0" w:color="auto"/>
              <w:left w:val="single" w:sz="4" w:space="0" w:color="auto"/>
              <w:bottom w:val="nil"/>
              <w:right w:val="single" w:sz="4" w:space="0" w:color="auto"/>
            </w:tcBorders>
            <w:vAlign w:val="center"/>
          </w:tcPr>
          <w:p w:rsidR="00000000" w:rsidRDefault="00844A84">
            <w:pPr>
              <w:pStyle w:val="a2"/>
              <w:jc w:val="center"/>
            </w:pPr>
            <w:r>
              <w:t>51.6</w:t>
            </w:r>
          </w:p>
        </w:tc>
      </w:tr>
      <w:tr w:rsidR="00000000">
        <w:tblPrEx>
          <w:tblCellMar>
            <w:top w:w="0" w:type="dxa"/>
            <w:bottom w:w="0" w:type="dxa"/>
          </w:tblCellMar>
        </w:tblPrEx>
        <w:trPr>
          <w:jc w:val="center"/>
        </w:trPr>
        <w:tc>
          <w:tcPr>
            <w:tcW w:w="1250" w:type="pct"/>
            <w:tcBorders>
              <w:top w:val="nil"/>
              <w:left w:val="single" w:sz="4" w:space="0" w:color="auto"/>
              <w:bottom w:val="nil"/>
              <w:right w:val="single" w:sz="4" w:space="0" w:color="auto"/>
            </w:tcBorders>
            <w:vAlign w:val="center"/>
          </w:tcPr>
          <w:p w:rsidR="00000000" w:rsidRDefault="00844A84">
            <w:pPr>
              <w:pStyle w:val="a2"/>
            </w:pPr>
            <w:r>
              <w:rPr>
                <w:rFonts w:hint="eastAsia"/>
              </w:rPr>
              <w:t>伏伊伏丁那省</w:t>
            </w:r>
          </w:p>
        </w:tc>
        <w:tc>
          <w:tcPr>
            <w:tcW w:w="1250" w:type="pct"/>
            <w:tcBorders>
              <w:top w:val="nil"/>
              <w:left w:val="single" w:sz="4" w:space="0" w:color="auto"/>
              <w:bottom w:val="nil"/>
              <w:right w:val="single" w:sz="4" w:space="0" w:color="auto"/>
            </w:tcBorders>
            <w:vAlign w:val="center"/>
          </w:tcPr>
          <w:p w:rsidR="00000000" w:rsidRDefault="00844A84">
            <w:pPr>
              <w:pStyle w:val="a2"/>
              <w:jc w:val="center"/>
            </w:pPr>
            <w:r>
              <w:t>81.1</w:t>
            </w:r>
          </w:p>
        </w:tc>
        <w:tc>
          <w:tcPr>
            <w:tcW w:w="1250" w:type="pct"/>
            <w:tcBorders>
              <w:top w:val="nil"/>
              <w:left w:val="single" w:sz="4" w:space="0" w:color="auto"/>
              <w:bottom w:val="nil"/>
              <w:right w:val="single" w:sz="4" w:space="0" w:color="auto"/>
            </w:tcBorders>
            <w:vAlign w:val="center"/>
          </w:tcPr>
          <w:p w:rsidR="00000000" w:rsidRDefault="00844A84">
            <w:pPr>
              <w:pStyle w:val="a2"/>
              <w:jc w:val="center"/>
            </w:pPr>
            <w:r>
              <w:t>87.6</w:t>
            </w:r>
          </w:p>
        </w:tc>
        <w:tc>
          <w:tcPr>
            <w:tcW w:w="1250" w:type="pct"/>
            <w:tcBorders>
              <w:top w:val="nil"/>
              <w:left w:val="single" w:sz="4" w:space="0" w:color="auto"/>
              <w:bottom w:val="nil"/>
              <w:right w:val="single" w:sz="4" w:space="0" w:color="auto"/>
            </w:tcBorders>
            <w:vAlign w:val="center"/>
          </w:tcPr>
          <w:p w:rsidR="00000000" w:rsidRDefault="00844A84">
            <w:pPr>
              <w:pStyle w:val="a2"/>
              <w:jc w:val="center"/>
            </w:pPr>
            <w:r>
              <w:t>73.1</w:t>
            </w:r>
          </w:p>
        </w:tc>
      </w:tr>
      <w:tr w:rsidR="00000000">
        <w:tblPrEx>
          <w:tblCellMar>
            <w:top w:w="0" w:type="dxa"/>
            <w:bottom w:w="0" w:type="dxa"/>
          </w:tblCellMar>
        </w:tblPrEx>
        <w:trPr>
          <w:jc w:val="center"/>
        </w:trPr>
        <w:tc>
          <w:tcPr>
            <w:tcW w:w="1250" w:type="pct"/>
            <w:tcBorders>
              <w:top w:val="nil"/>
              <w:left w:val="single" w:sz="4" w:space="0" w:color="auto"/>
              <w:bottom w:val="nil"/>
              <w:right w:val="single" w:sz="4" w:space="0" w:color="auto"/>
            </w:tcBorders>
            <w:vAlign w:val="center"/>
          </w:tcPr>
          <w:p w:rsidR="00000000" w:rsidRDefault="00844A84">
            <w:pPr>
              <w:pStyle w:val="a2"/>
            </w:pPr>
            <w:r>
              <w:rPr>
                <w:rFonts w:hint="eastAsia"/>
              </w:rPr>
              <w:t>贝尔格莱德地区</w:t>
            </w:r>
          </w:p>
        </w:tc>
        <w:tc>
          <w:tcPr>
            <w:tcW w:w="1250" w:type="pct"/>
            <w:tcBorders>
              <w:top w:val="nil"/>
              <w:left w:val="single" w:sz="4" w:space="0" w:color="auto"/>
              <w:bottom w:val="nil"/>
              <w:right w:val="single" w:sz="4" w:space="0" w:color="auto"/>
            </w:tcBorders>
            <w:vAlign w:val="center"/>
          </w:tcPr>
          <w:p w:rsidR="00000000" w:rsidRDefault="00844A84">
            <w:pPr>
              <w:pStyle w:val="a2"/>
              <w:jc w:val="center"/>
            </w:pPr>
            <w:r>
              <w:t>92.7</w:t>
            </w:r>
          </w:p>
        </w:tc>
        <w:tc>
          <w:tcPr>
            <w:tcW w:w="1250" w:type="pct"/>
            <w:tcBorders>
              <w:top w:val="nil"/>
              <w:left w:val="single" w:sz="4" w:space="0" w:color="auto"/>
              <w:bottom w:val="nil"/>
              <w:right w:val="single" w:sz="4" w:space="0" w:color="auto"/>
            </w:tcBorders>
            <w:vAlign w:val="center"/>
          </w:tcPr>
          <w:p w:rsidR="00000000" w:rsidRDefault="00844A84">
            <w:pPr>
              <w:pStyle w:val="a2"/>
              <w:jc w:val="center"/>
            </w:pPr>
            <w:r>
              <w:t>97.4</w:t>
            </w:r>
          </w:p>
        </w:tc>
        <w:tc>
          <w:tcPr>
            <w:tcW w:w="1250" w:type="pct"/>
            <w:tcBorders>
              <w:top w:val="nil"/>
              <w:left w:val="single" w:sz="4" w:space="0" w:color="auto"/>
              <w:bottom w:val="nil"/>
              <w:right w:val="single" w:sz="4" w:space="0" w:color="auto"/>
            </w:tcBorders>
            <w:vAlign w:val="center"/>
          </w:tcPr>
          <w:p w:rsidR="00000000" w:rsidRDefault="00844A84">
            <w:pPr>
              <w:pStyle w:val="a2"/>
              <w:jc w:val="center"/>
            </w:pPr>
            <w:r>
              <w:t>77.0</w:t>
            </w:r>
          </w:p>
        </w:tc>
      </w:tr>
      <w:tr w:rsidR="00000000">
        <w:tblPrEx>
          <w:tblCellMar>
            <w:top w:w="0" w:type="dxa"/>
            <w:bottom w:w="0" w:type="dxa"/>
          </w:tblCellMar>
        </w:tblPrEx>
        <w:trPr>
          <w:jc w:val="center"/>
        </w:trPr>
        <w:tc>
          <w:tcPr>
            <w:tcW w:w="1250" w:type="pct"/>
            <w:tcBorders>
              <w:top w:val="nil"/>
              <w:left w:val="single" w:sz="4" w:space="0" w:color="auto"/>
              <w:bottom w:val="single" w:sz="4" w:space="0" w:color="auto"/>
              <w:right w:val="single" w:sz="4" w:space="0" w:color="auto"/>
            </w:tcBorders>
            <w:vAlign w:val="center"/>
          </w:tcPr>
          <w:p w:rsidR="00000000" w:rsidRDefault="00844A84">
            <w:pPr>
              <w:pStyle w:val="a2"/>
            </w:pPr>
            <w:r>
              <w:rPr>
                <w:rFonts w:hint="eastAsia"/>
              </w:rPr>
              <w:t>塞尔维亚</w:t>
            </w:r>
          </w:p>
        </w:tc>
        <w:tc>
          <w:tcPr>
            <w:tcW w:w="1250" w:type="pct"/>
            <w:tcBorders>
              <w:top w:val="nil"/>
              <w:left w:val="single" w:sz="4" w:space="0" w:color="auto"/>
              <w:bottom w:val="single" w:sz="4" w:space="0" w:color="auto"/>
              <w:right w:val="single" w:sz="4" w:space="0" w:color="auto"/>
            </w:tcBorders>
            <w:vAlign w:val="center"/>
          </w:tcPr>
          <w:p w:rsidR="00000000" w:rsidRDefault="00844A84">
            <w:pPr>
              <w:pStyle w:val="a2"/>
              <w:jc w:val="center"/>
            </w:pPr>
            <w:r>
              <w:t>68.5</w:t>
            </w:r>
          </w:p>
        </w:tc>
        <w:tc>
          <w:tcPr>
            <w:tcW w:w="1250" w:type="pct"/>
            <w:tcBorders>
              <w:top w:val="nil"/>
              <w:left w:val="single" w:sz="4" w:space="0" w:color="auto"/>
              <w:bottom w:val="single" w:sz="4" w:space="0" w:color="auto"/>
              <w:right w:val="single" w:sz="4" w:space="0" w:color="auto"/>
            </w:tcBorders>
            <w:vAlign w:val="center"/>
          </w:tcPr>
          <w:p w:rsidR="00000000" w:rsidRDefault="00844A84">
            <w:pPr>
              <w:pStyle w:val="a2"/>
              <w:jc w:val="center"/>
            </w:pPr>
            <w:r>
              <w:t>91.6</w:t>
            </w:r>
          </w:p>
        </w:tc>
        <w:tc>
          <w:tcPr>
            <w:tcW w:w="1250" w:type="pct"/>
            <w:tcBorders>
              <w:top w:val="nil"/>
              <w:left w:val="single" w:sz="4" w:space="0" w:color="auto"/>
              <w:bottom w:val="single" w:sz="4" w:space="0" w:color="auto"/>
              <w:right w:val="single" w:sz="4" w:space="0" w:color="auto"/>
            </w:tcBorders>
            <w:vAlign w:val="center"/>
          </w:tcPr>
          <w:p w:rsidR="00000000" w:rsidRDefault="00844A84">
            <w:pPr>
              <w:pStyle w:val="a2"/>
              <w:jc w:val="center"/>
            </w:pPr>
            <w:r>
              <w:t>48.3</w:t>
            </w:r>
          </w:p>
        </w:tc>
      </w:tr>
    </w:tbl>
    <w:p w:rsidR="00000000" w:rsidRDefault="00844A84">
      <w:pPr>
        <w:rPr>
          <w:rFonts w:eastAsia="KaiTi_GB2312" w:hint="eastAsia"/>
          <w:snapToGrid/>
          <w:spacing w:val="0"/>
          <w:u w:val="single"/>
        </w:rPr>
      </w:pPr>
    </w:p>
    <w:p w:rsidR="00000000" w:rsidRDefault="00844A84">
      <w:pPr>
        <w:rPr>
          <w:rFonts w:eastAsia="KaiTi_GB2312" w:hint="eastAsia"/>
          <w:snapToGrid/>
          <w:spacing w:val="0"/>
        </w:rPr>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：世界儿童问题首脑会议目标实施进展监测</w:t>
      </w:r>
      <w:r>
        <w:rPr>
          <w:rFonts w:hint="eastAsia"/>
          <w:spacing w:val="-50"/>
        </w:rPr>
        <w:t>―</w:t>
      </w:r>
      <w:r>
        <w:rPr>
          <w:rFonts w:hint="eastAsia"/>
        </w:rPr>
        <w:t>―</w:t>
      </w:r>
      <w:r>
        <w:rPr>
          <w:rFonts w:eastAsia="KaiTi_GB2312" w:hint="eastAsia"/>
          <w:snapToGrid/>
          <w:spacing w:val="0"/>
        </w:rPr>
        <w:t>南斯拉夫联盟共和国报告，</w:t>
      </w:r>
      <w:r>
        <w:rPr>
          <w:rFonts w:eastAsia="KaiTi_GB2312"/>
          <w:snapToGrid/>
          <w:spacing w:val="0"/>
        </w:rPr>
        <w:t>1997</w:t>
      </w:r>
      <w:r>
        <w:rPr>
          <w:rFonts w:eastAsia="KaiTi_GB2312" w:hint="eastAsia"/>
          <w:snapToGrid/>
          <w:spacing w:val="0"/>
        </w:rPr>
        <w:t>。――</w:t>
      </w:r>
    </w:p>
    <w:p w:rsidR="00000000" w:rsidRDefault="00844A84">
      <w:pPr>
        <w:rPr>
          <w:rFonts w:hint="eastAsia"/>
        </w:rPr>
      </w:pPr>
      <w:r>
        <w:rPr>
          <w:rFonts w:hint="eastAsia"/>
        </w:rPr>
        <w:tab/>
        <w:t xml:space="preserve">313.  </w:t>
      </w:r>
      <w:r>
        <w:rPr>
          <w:rFonts w:hint="eastAsia"/>
        </w:rPr>
        <w:t>在塞尔维亚地区，关于污水排放的数量和质量没有组织搜集完整的数据。</w:t>
      </w:r>
    </w:p>
    <w:p w:rsidR="00000000" w:rsidRDefault="00844A84">
      <w:r>
        <w:rPr>
          <w:rFonts w:hint="eastAsia"/>
        </w:rPr>
        <w:tab/>
        <w:t xml:space="preserve">314.  </w:t>
      </w:r>
      <w:r>
        <w:rPr>
          <w:rFonts w:hint="eastAsia"/>
        </w:rPr>
        <w:t>在塞尔维亚地区，关于固体废弃物的数量和质量，没有组织搜集完整的数据。大多数情况下，城市居住区有城市垃圾堆放处。而农村的情况各不相同，大多数情况下不令人满意。没有大规模</w:t>
      </w:r>
      <w:r>
        <w:rPr>
          <w:rFonts w:hint="eastAsia"/>
        </w:rPr>
        <w:t>地组织废物的回收利用。</w:t>
      </w:r>
    </w:p>
    <w:p w:rsidR="00000000" w:rsidRDefault="00844A84">
      <w:r>
        <w:rPr>
          <w:rFonts w:hint="eastAsia"/>
        </w:rPr>
        <w:tab/>
        <w:t xml:space="preserve">315.  </w:t>
      </w:r>
      <w:r>
        <w:rPr>
          <w:rFonts w:hint="eastAsia"/>
        </w:rPr>
        <w:t>从</w:t>
      </w:r>
      <w:r>
        <w:t>1990</w:t>
      </w:r>
      <w:r>
        <w:rPr>
          <w:rFonts w:hint="eastAsia"/>
        </w:rPr>
        <w:t>年开始，塞尔维亚共和国环境保护部开始组织活动，搜集关于固体废弃物数量和质量的数据，并研究其处理方法。</w:t>
      </w:r>
    </w:p>
    <w:p w:rsidR="00000000" w:rsidRDefault="00844A84">
      <w:pPr>
        <w:spacing w:after="320"/>
      </w:pPr>
      <w:r>
        <w:rPr>
          <w:rFonts w:hint="eastAsia"/>
        </w:rPr>
        <w:tab/>
        <w:t xml:space="preserve">316.  </w:t>
      </w:r>
      <w:r>
        <w:rPr>
          <w:rFonts w:hint="eastAsia"/>
        </w:rPr>
        <w:t>根据现有数据，在塞尔维亚共和国地区，每年产生的固体废弃物达</w:t>
      </w:r>
      <w:r>
        <w:t>3,245,307</w:t>
      </w:r>
      <w:r>
        <w:rPr>
          <w:rFonts w:hint="eastAsia"/>
        </w:rPr>
        <w:t>吨，其中包括中塞尔维亚的</w:t>
      </w:r>
      <w:r>
        <w:t>1,916,939</w:t>
      </w:r>
      <w:r>
        <w:rPr>
          <w:rFonts w:hint="eastAsia"/>
        </w:rPr>
        <w:t>吨和伏伊伏丁那省的</w:t>
      </w:r>
      <w:r>
        <w:t>664,583</w:t>
      </w:r>
      <w:r>
        <w:rPr>
          <w:rFonts w:hint="eastAsia"/>
        </w:rPr>
        <w:t>吨。在这些废弃物中，得到有组织处理的有</w:t>
      </w:r>
      <w:r>
        <w:t>2,009,765</w:t>
      </w:r>
      <w:r>
        <w:rPr>
          <w:rFonts w:hint="eastAsia"/>
        </w:rPr>
        <w:t>吨，其中包括中塞尔维亚的</w:t>
      </w:r>
      <w:r>
        <w:t>1,195,091</w:t>
      </w:r>
      <w:r>
        <w:rPr>
          <w:rFonts w:hint="eastAsia"/>
        </w:rPr>
        <w:t>吨和伏伊伏丁那省的</w:t>
      </w:r>
      <w:r>
        <w:t xml:space="preserve"> 444,249</w:t>
      </w:r>
      <w:r>
        <w:rPr>
          <w:rFonts w:hint="eastAsia"/>
        </w:rPr>
        <w:t>吨。</w:t>
      </w:r>
    </w:p>
    <w:p w:rsidR="00000000" w:rsidRDefault="00844A84">
      <w:pPr>
        <w:pStyle w:val="Heading3"/>
        <w:rPr>
          <w:rFonts w:hint="eastAsia"/>
          <w:u w:val="none"/>
        </w:rPr>
      </w:pPr>
      <w:r>
        <w:rPr>
          <w:rFonts w:hint="eastAsia"/>
          <w:u w:val="none"/>
        </w:rPr>
        <w:t>表</w:t>
      </w:r>
      <w:r>
        <w:rPr>
          <w:rFonts w:hint="eastAsia"/>
          <w:u w:val="none"/>
        </w:rPr>
        <w:t xml:space="preserve"> </w:t>
      </w:r>
      <w:r>
        <w:rPr>
          <w:u w:val="none"/>
        </w:rPr>
        <w:t>18</w:t>
      </w:r>
    </w:p>
    <w:p w:rsidR="00000000" w:rsidRDefault="00844A84">
      <w:pPr>
        <w:pStyle w:val="Heading3"/>
      </w:pPr>
      <w:r>
        <w:rPr>
          <w:rFonts w:hint="eastAsia"/>
        </w:rPr>
        <w:t>塞尔维亚地区堆放废弃物数量</w:t>
      </w:r>
    </w:p>
    <w:tbl>
      <w:tblPr>
        <w:tblW w:w="5043" w:type="pct"/>
        <w:tblInd w:w="-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903"/>
        <w:gridCol w:w="1147"/>
        <w:gridCol w:w="1154"/>
        <w:gridCol w:w="1262"/>
        <w:gridCol w:w="1154"/>
        <w:gridCol w:w="1154"/>
        <w:gridCol w:w="1261"/>
      </w:tblGrid>
      <w:tr w:rsidR="00000000">
        <w:tblPrEx>
          <w:tblCellMar>
            <w:top w:w="0" w:type="dxa"/>
            <w:bottom w:w="0" w:type="dxa"/>
          </w:tblCellMar>
        </w:tblPrEx>
        <w:trPr>
          <w:cantSplit/>
        </w:trPr>
        <w:tc>
          <w:tcPr>
            <w:tcW w:w="838" w:type="pct"/>
            <w:vMerge w:val="restart"/>
            <w:tcBorders>
              <w:top w:val="single" w:sz="4" w:space="0" w:color="auto"/>
              <w:left w:val="single" w:sz="4" w:space="0" w:color="auto"/>
              <w:right w:val="single" w:sz="4" w:space="0" w:color="auto"/>
            </w:tcBorders>
            <w:vAlign w:val="center"/>
          </w:tcPr>
          <w:p w:rsidR="00000000" w:rsidRDefault="00844A84">
            <w:pPr>
              <w:pStyle w:val="a2"/>
              <w:spacing w:before="200"/>
              <w:jc w:val="center"/>
            </w:pPr>
            <w:r>
              <w:rPr>
                <w:rFonts w:hint="eastAsia"/>
              </w:rPr>
              <w:t>地</w:t>
            </w:r>
            <w:r>
              <w:rPr>
                <w:rFonts w:hint="eastAsia"/>
              </w:rPr>
              <w:t xml:space="preserve">  </w:t>
            </w:r>
            <w:r>
              <w:rPr>
                <w:rFonts w:hint="eastAsia"/>
              </w:rPr>
              <w:t>区</w:t>
            </w:r>
          </w:p>
        </w:tc>
        <w:tc>
          <w:tcPr>
            <w:tcW w:w="2314" w:type="pct"/>
            <w:gridSpan w:val="4"/>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人口</w:t>
            </w:r>
            <w:r>
              <w:rPr>
                <w:rFonts w:hint="eastAsia"/>
              </w:rPr>
              <w:t>(</w:t>
            </w:r>
            <w:r>
              <w:t>199</w:t>
            </w:r>
            <w:r>
              <w:t>1</w:t>
            </w:r>
            <w:r>
              <w:rPr>
                <w:rFonts w:hint="eastAsia"/>
              </w:rPr>
              <w:t>年普查数据</w:t>
            </w:r>
            <w:r>
              <w:rPr>
                <w:rFonts w:hint="eastAsia"/>
              </w:rPr>
              <w:t>)</w:t>
            </w:r>
          </w:p>
        </w:tc>
        <w:tc>
          <w:tcPr>
            <w:tcW w:w="1849" w:type="pct"/>
            <w:gridSpan w:val="3"/>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有组织的废物处理所覆盖的人口</w:t>
            </w:r>
          </w:p>
        </w:tc>
      </w:tr>
      <w:tr w:rsidR="00000000">
        <w:tblPrEx>
          <w:tblCellMar>
            <w:top w:w="0" w:type="dxa"/>
            <w:bottom w:w="0" w:type="dxa"/>
          </w:tblCellMar>
        </w:tblPrEx>
        <w:trPr>
          <w:cantSplit/>
        </w:trPr>
        <w:tc>
          <w:tcPr>
            <w:tcW w:w="838" w:type="pct"/>
            <w:vMerge/>
            <w:tcBorders>
              <w:left w:val="single" w:sz="4" w:space="0" w:color="auto"/>
              <w:bottom w:val="single" w:sz="4" w:space="0" w:color="auto"/>
              <w:right w:val="single" w:sz="4" w:space="0" w:color="auto"/>
            </w:tcBorders>
            <w:vAlign w:val="center"/>
          </w:tcPr>
          <w:p w:rsidR="00000000" w:rsidRDefault="00844A84">
            <w:pPr>
              <w:pStyle w:val="a2"/>
            </w:pPr>
          </w:p>
        </w:tc>
        <w:tc>
          <w:tcPr>
            <w:tcW w:w="468"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spacing w:val="6"/>
              </w:rPr>
              <w:t>居住区</w:t>
            </w:r>
            <w:r>
              <w:rPr>
                <w:rFonts w:hint="eastAsia"/>
              </w:rPr>
              <w:t>数</w:t>
            </w:r>
            <w:r>
              <w:rPr>
                <w:rFonts w:hint="eastAsia"/>
              </w:rPr>
              <w:t xml:space="preserve"> </w:t>
            </w:r>
            <w:r>
              <w:rPr>
                <w:rFonts w:hint="eastAsia"/>
              </w:rPr>
              <w:t>量</w:t>
            </w:r>
          </w:p>
        </w:tc>
        <w:tc>
          <w:tcPr>
            <w:tcW w:w="594"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人</w:t>
            </w:r>
            <w:r>
              <w:rPr>
                <w:rFonts w:hint="eastAsia"/>
              </w:rPr>
              <w:t xml:space="preserve">  </w:t>
            </w:r>
            <w:r>
              <w:rPr>
                <w:rFonts w:hint="eastAsia"/>
              </w:rPr>
              <w:t>口</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吨</w:t>
            </w:r>
            <w:r>
              <w:t>/</w:t>
            </w:r>
            <w:r>
              <w:rPr>
                <w:rFonts w:hint="eastAsia"/>
              </w:rPr>
              <w:t>年</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立方米</w:t>
            </w:r>
            <w:r>
              <w:t>/</w:t>
            </w:r>
            <w:r>
              <w:rPr>
                <w:rFonts w:hint="eastAsia"/>
              </w:rPr>
              <w:t>年</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人</w:t>
            </w:r>
            <w:r>
              <w:rPr>
                <w:rFonts w:hint="eastAsia"/>
              </w:rPr>
              <w:t xml:space="preserve">  </w:t>
            </w:r>
            <w:r>
              <w:rPr>
                <w:rFonts w:hint="eastAsia"/>
              </w:rPr>
              <w:t>口</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吨</w:t>
            </w:r>
            <w:r>
              <w:t>/</w:t>
            </w:r>
            <w:r>
              <w:rPr>
                <w:rFonts w:hint="eastAsia"/>
              </w:rPr>
              <w:t>年</w:t>
            </w:r>
          </w:p>
        </w:tc>
        <w:tc>
          <w:tcPr>
            <w:tcW w:w="653" w:type="pct"/>
            <w:tcBorders>
              <w:top w:val="single" w:sz="4" w:space="0" w:color="auto"/>
              <w:left w:val="single" w:sz="4" w:space="0" w:color="auto"/>
              <w:bottom w:val="single" w:sz="4" w:space="0" w:color="auto"/>
              <w:right w:val="single" w:sz="4" w:space="0" w:color="auto"/>
            </w:tcBorders>
            <w:vAlign w:val="center"/>
          </w:tcPr>
          <w:p w:rsidR="00000000" w:rsidRDefault="00844A84">
            <w:pPr>
              <w:pStyle w:val="a2"/>
              <w:jc w:val="center"/>
            </w:pPr>
            <w:r>
              <w:rPr>
                <w:rFonts w:hint="eastAsia"/>
              </w:rPr>
              <w:t>立方米</w:t>
            </w:r>
            <w:r>
              <w:t>/</w:t>
            </w:r>
            <w:r>
              <w:rPr>
                <w:rFonts w:hint="eastAsia"/>
              </w:rPr>
              <w:t>年</w:t>
            </w:r>
          </w:p>
        </w:tc>
      </w:tr>
      <w:tr w:rsidR="00000000">
        <w:tblPrEx>
          <w:tblCellMar>
            <w:top w:w="0" w:type="dxa"/>
            <w:bottom w:w="0" w:type="dxa"/>
          </w:tblCellMar>
        </w:tblPrEx>
        <w:tc>
          <w:tcPr>
            <w:tcW w:w="838" w:type="pct"/>
            <w:tcBorders>
              <w:top w:val="single" w:sz="4" w:space="0" w:color="auto"/>
              <w:left w:val="single" w:sz="4" w:space="0" w:color="auto"/>
              <w:bottom w:val="nil"/>
              <w:right w:val="single" w:sz="4" w:space="0" w:color="auto"/>
            </w:tcBorders>
          </w:tcPr>
          <w:p w:rsidR="00000000" w:rsidRDefault="00844A84">
            <w:pPr>
              <w:pStyle w:val="a2"/>
            </w:pPr>
            <w:r>
              <w:rPr>
                <w:rFonts w:hint="eastAsia"/>
              </w:rPr>
              <w:t>中塞尔维亚</w:t>
            </w:r>
          </w:p>
        </w:tc>
        <w:tc>
          <w:tcPr>
            <w:tcW w:w="468" w:type="pct"/>
            <w:tcBorders>
              <w:top w:val="single" w:sz="4" w:space="0" w:color="auto"/>
              <w:left w:val="single" w:sz="4" w:space="0" w:color="auto"/>
              <w:bottom w:val="nil"/>
              <w:right w:val="single" w:sz="4" w:space="0" w:color="auto"/>
            </w:tcBorders>
          </w:tcPr>
          <w:p w:rsidR="00000000" w:rsidRDefault="00844A84">
            <w:pPr>
              <w:pStyle w:val="a2"/>
              <w:ind w:right="113"/>
              <w:jc w:val="right"/>
            </w:pPr>
            <w:r>
              <w:t>4,211</w:t>
            </w:r>
          </w:p>
        </w:tc>
        <w:tc>
          <w:tcPr>
            <w:tcW w:w="594" w:type="pct"/>
            <w:tcBorders>
              <w:top w:val="single" w:sz="4" w:space="0" w:color="auto"/>
              <w:left w:val="single" w:sz="4" w:space="0" w:color="auto"/>
              <w:bottom w:val="nil"/>
              <w:right w:val="single" w:sz="4" w:space="0" w:color="auto"/>
            </w:tcBorders>
          </w:tcPr>
          <w:p w:rsidR="00000000" w:rsidRDefault="00844A84">
            <w:pPr>
              <w:pStyle w:val="a2"/>
              <w:jc w:val="right"/>
            </w:pPr>
            <w:r>
              <w:t>5,808,906</w:t>
            </w:r>
          </w:p>
        </w:tc>
        <w:tc>
          <w:tcPr>
            <w:tcW w:w="598" w:type="pct"/>
            <w:tcBorders>
              <w:top w:val="single" w:sz="4" w:space="0" w:color="auto"/>
              <w:left w:val="single" w:sz="4" w:space="0" w:color="auto"/>
              <w:bottom w:val="nil"/>
              <w:right w:val="single" w:sz="4" w:space="0" w:color="auto"/>
            </w:tcBorders>
          </w:tcPr>
          <w:p w:rsidR="00000000" w:rsidRDefault="00844A84">
            <w:pPr>
              <w:pStyle w:val="a2"/>
              <w:jc w:val="right"/>
            </w:pPr>
            <w:r>
              <w:t>1,916,939</w:t>
            </w:r>
          </w:p>
        </w:tc>
        <w:tc>
          <w:tcPr>
            <w:tcW w:w="653" w:type="pct"/>
            <w:tcBorders>
              <w:top w:val="single" w:sz="4" w:space="0" w:color="auto"/>
              <w:left w:val="single" w:sz="4" w:space="0" w:color="auto"/>
              <w:bottom w:val="nil"/>
              <w:right w:val="single" w:sz="4" w:space="0" w:color="auto"/>
            </w:tcBorders>
          </w:tcPr>
          <w:p w:rsidR="00000000" w:rsidRDefault="00844A84">
            <w:pPr>
              <w:pStyle w:val="a2"/>
              <w:jc w:val="right"/>
            </w:pPr>
            <w:r>
              <w:t>12,779,593</w:t>
            </w:r>
          </w:p>
        </w:tc>
        <w:tc>
          <w:tcPr>
            <w:tcW w:w="598" w:type="pct"/>
            <w:tcBorders>
              <w:top w:val="single" w:sz="4" w:space="0" w:color="auto"/>
              <w:left w:val="single" w:sz="4" w:space="0" w:color="auto"/>
              <w:bottom w:val="nil"/>
              <w:right w:val="single" w:sz="4" w:space="0" w:color="auto"/>
            </w:tcBorders>
          </w:tcPr>
          <w:p w:rsidR="00000000" w:rsidRDefault="00844A84">
            <w:pPr>
              <w:pStyle w:val="a2"/>
              <w:jc w:val="right"/>
            </w:pPr>
            <w:r>
              <w:t>3,621,487</w:t>
            </w:r>
          </w:p>
        </w:tc>
        <w:tc>
          <w:tcPr>
            <w:tcW w:w="598" w:type="pct"/>
            <w:tcBorders>
              <w:top w:val="single" w:sz="4" w:space="0" w:color="auto"/>
              <w:left w:val="single" w:sz="4" w:space="0" w:color="auto"/>
              <w:bottom w:val="nil"/>
              <w:right w:val="single" w:sz="4" w:space="0" w:color="auto"/>
            </w:tcBorders>
          </w:tcPr>
          <w:p w:rsidR="00000000" w:rsidRDefault="00844A84">
            <w:pPr>
              <w:pStyle w:val="a2"/>
              <w:jc w:val="right"/>
            </w:pPr>
            <w:r>
              <w:t>1,195,091</w:t>
            </w:r>
          </w:p>
        </w:tc>
        <w:tc>
          <w:tcPr>
            <w:tcW w:w="653" w:type="pct"/>
            <w:tcBorders>
              <w:top w:val="single" w:sz="4" w:space="0" w:color="auto"/>
              <w:left w:val="single" w:sz="4" w:space="0" w:color="auto"/>
              <w:bottom w:val="nil"/>
              <w:right w:val="single" w:sz="4" w:space="0" w:color="auto"/>
            </w:tcBorders>
          </w:tcPr>
          <w:p w:rsidR="00000000" w:rsidRDefault="00844A84">
            <w:pPr>
              <w:pStyle w:val="a2"/>
              <w:jc w:val="right"/>
            </w:pPr>
            <w:r>
              <w:t>7,967,271</w:t>
            </w:r>
          </w:p>
        </w:tc>
      </w:tr>
      <w:tr w:rsidR="00000000">
        <w:tblPrEx>
          <w:tblCellMar>
            <w:top w:w="0" w:type="dxa"/>
            <w:bottom w:w="0" w:type="dxa"/>
          </w:tblCellMar>
        </w:tblPrEx>
        <w:tc>
          <w:tcPr>
            <w:tcW w:w="838" w:type="pct"/>
            <w:tcBorders>
              <w:top w:val="nil"/>
              <w:left w:val="single" w:sz="4" w:space="0" w:color="auto"/>
              <w:bottom w:val="nil"/>
              <w:right w:val="single" w:sz="4" w:space="0" w:color="auto"/>
            </w:tcBorders>
          </w:tcPr>
          <w:p w:rsidR="00000000" w:rsidRDefault="00844A84">
            <w:pPr>
              <w:pStyle w:val="a2"/>
            </w:pPr>
            <w:r>
              <w:rPr>
                <w:rFonts w:hint="eastAsia"/>
              </w:rPr>
              <w:t>伏伊伏丁那省</w:t>
            </w:r>
          </w:p>
        </w:tc>
        <w:tc>
          <w:tcPr>
            <w:tcW w:w="468" w:type="pct"/>
            <w:tcBorders>
              <w:top w:val="nil"/>
              <w:left w:val="single" w:sz="4" w:space="0" w:color="auto"/>
              <w:bottom w:val="nil"/>
              <w:right w:val="single" w:sz="4" w:space="0" w:color="auto"/>
            </w:tcBorders>
          </w:tcPr>
          <w:p w:rsidR="00000000" w:rsidRDefault="00844A84">
            <w:pPr>
              <w:pStyle w:val="a2"/>
              <w:ind w:right="113"/>
              <w:jc w:val="right"/>
            </w:pPr>
            <w:r>
              <w:t>464</w:t>
            </w:r>
          </w:p>
        </w:tc>
        <w:tc>
          <w:tcPr>
            <w:tcW w:w="594" w:type="pct"/>
            <w:tcBorders>
              <w:top w:val="nil"/>
              <w:left w:val="single" w:sz="4" w:space="0" w:color="auto"/>
              <w:bottom w:val="nil"/>
              <w:right w:val="single" w:sz="4" w:space="0" w:color="auto"/>
            </w:tcBorders>
          </w:tcPr>
          <w:p w:rsidR="00000000" w:rsidRDefault="00844A84">
            <w:pPr>
              <w:pStyle w:val="a2"/>
              <w:jc w:val="right"/>
            </w:pPr>
            <w:r>
              <w:t>2,013,889</w:t>
            </w:r>
          </w:p>
        </w:tc>
        <w:tc>
          <w:tcPr>
            <w:tcW w:w="598" w:type="pct"/>
            <w:tcBorders>
              <w:top w:val="nil"/>
              <w:left w:val="single" w:sz="4" w:space="0" w:color="auto"/>
              <w:bottom w:val="nil"/>
              <w:right w:val="single" w:sz="4" w:space="0" w:color="auto"/>
            </w:tcBorders>
          </w:tcPr>
          <w:p w:rsidR="00000000" w:rsidRDefault="00844A84">
            <w:pPr>
              <w:pStyle w:val="a2"/>
              <w:jc w:val="right"/>
            </w:pPr>
            <w:r>
              <w:t>664,583</w:t>
            </w:r>
          </w:p>
        </w:tc>
        <w:tc>
          <w:tcPr>
            <w:tcW w:w="653" w:type="pct"/>
            <w:tcBorders>
              <w:top w:val="nil"/>
              <w:left w:val="single" w:sz="4" w:space="0" w:color="auto"/>
              <w:bottom w:val="nil"/>
              <w:right w:val="single" w:sz="4" w:space="0" w:color="auto"/>
            </w:tcBorders>
          </w:tcPr>
          <w:p w:rsidR="00000000" w:rsidRDefault="00844A84">
            <w:pPr>
              <w:pStyle w:val="a2"/>
              <w:jc w:val="right"/>
            </w:pPr>
            <w:r>
              <w:t>4,430,556</w:t>
            </w:r>
          </w:p>
        </w:tc>
        <w:tc>
          <w:tcPr>
            <w:tcW w:w="598" w:type="pct"/>
            <w:tcBorders>
              <w:top w:val="nil"/>
              <w:left w:val="single" w:sz="4" w:space="0" w:color="auto"/>
              <w:bottom w:val="nil"/>
              <w:right w:val="single" w:sz="4" w:space="0" w:color="auto"/>
            </w:tcBorders>
          </w:tcPr>
          <w:p w:rsidR="00000000" w:rsidRDefault="00844A84">
            <w:pPr>
              <w:pStyle w:val="a2"/>
              <w:jc w:val="right"/>
            </w:pPr>
            <w:r>
              <w:t>1,346,210</w:t>
            </w:r>
          </w:p>
        </w:tc>
        <w:tc>
          <w:tcPr>
            <w:tcW w:w="598" w:type="pct"/>
            <w:tcBorders>
              <w:top w:val="nil"/>
              <w:left w:val="single" w:sz="4" w:space="0" w:color="auto"/>
              <w:bottom w:val="nil"/>
              <w:right w:val="single" w:sz="4" w:space="0" w:color="auto"/>
            </w:tcBorders>
          </w:tcPr>
          <w:p w:rsidR="00000000" w:rsidRDefault="00844A84">
            <w:pPr>
              <w:pStyle w:val="a2"/>
              <w:jc w:val="right"/>
            </w:pPr>
            <w:r>
              <w:t>444,249</w:t>
            </w:r>
          </w:p>
        </w:tc>
        <w:tc>
          <w:tcPr>
            <w:tcW w:w="653" w:type="pct"/>
            <w:tcBorders>
              <w:top w:val="nil"/>
              <w:left w:val="single" w:sz="4" w:space="0" w:color="auto"/>
              <w:bottom w:val="nil"/>
              <w:right w:val="single" w:sz="4" w:space="0" w:color="auto"/>
            </w:tcBorders>
          </w:tcPr>
          <w:p w:rsidR="00000000" w:rsidRDefault="00844A84">
            <w:pPr>
              <w:pStyle w:val="a2"/>
              <w:jc w:val="right"/>
            </w:pPr>
            <w:r>
              <w:t>2,961,662</w:t>
            </w:r>
          </w:p>
        </w:tc>
      </w:tr>
      <w:tr w:rsidR="00000000">
        <w:tblPrEx>
          <w:tblCellMar>
            <w:top w:w="0" w:type="dxa"/>
            <w:bottom w:w="0" w:type="dxa"/>
          </w:tblCellMar>
        </w:tblPrEx>
        <w:tc>
          <w:tcPr>
            <w:tcW w:w="838" w:type="pct"/>
            <w:tcBorders>
              <w:top w:val="nil"/>
              <w:left w:val="single" w:sz="4" w:space="0" w:color="auto"/>
              <w:bottom w:val="single" w:sz="4" w:space="0" w:color="auto"/>
              <w:right w:val="single" w:sz="4" w:space="0" w:color="auto"/>
            </w:tcBorders>
          </w:tcPr>
          <w:p w:rsidR="00000000" w:rsidRDefault="00844A84">
            <w:pPr>
              <w:pStyle w:val="a2"/>
            </w:pPr>
            <w:r>
              <w:rPr>
                <w:rFonts w:hint="eastAsia"/>
              </w:rPr>
              <w:t>塞尔维亚合计</w:t>
            </w:r>
          </w:p>
        </w:tc>
        <w:tc>
          <w:tcPr>
            <w:tcW w:w="468" w:type="pct"/>
            <w:tcBorders>
              <w:top w:val="nil"/>
              <w:left w:val="single" w:sz="4" w:space="0" w:color="auto"/>
              <w:bottom w:val="single" w:sz="4" w:space="0" w:color="auto"/>
              <w:right w:val="single" w:sz="4" w:space="0" w:color="auto"/>
            </w:tcBorders>
          </w:tcPr>
          <w:p w:rsidR="00000000" w:rsidRDefault="00844A84">
            <w:pPr>
              <w:pStyle w:val="a2"/>
              <w:ind w:right="113"/>
              <w:jc w:val="right"/>
            </w:pPr>
            <w:r>
              <w:t>5,455</w:t>
            </w:r>
          </w:p>
        </w:tc>
        <w:tc>
          <w:tcPr>
            <w:tcW w:w="594" w:type="pct"/>
            <w:tcBorders>
              <w:top w:val="nil"/>
              <w:left w:val="single" w:sz="4" w:space="0" w:color="auto"/>
              <w:bottom w:val="single" w:sz="4" w:space="0" w:color="auto"/>
              <w:right w:val="single" w:sz="4" w:space="0" w:color="auto"/>
            </w:tcBorders>
          </w:tcPr>
          <w:p w:rsidR="00000000" w:rsidRDefault="00844A84">
            <w:pPr>
              <w:pStyle w:val="a2"/>
              <w:jc w:val="right"/>
            </w:pPr>
            <w:r>
              <w:t>9,834,266</w:t>
            </w:r>
          </w:p>
        </w:tc>
        <w:tc>
          <w:tcPr>
            <w:tcW w:w="598" w:type="pct"/>
            <w:tcBorders>
              <w:top w:val="nil"/>
              <w:left w:val="single" w:sz="4" w:space="0" w:color="auto"/>
              <w:bottom w:val="single" w:sz="4" w:space="0" w:color="auto"/>
              <w:right w:val="single" w:sz="4" w:space="0" w:color="auto"/>
            </w:tcBorders>
          </w:tcPr>
          <w:p w:rsidR="00000000" w:rsidRDefault="00844A84">
            <w:pPr>
              <w:pStyle w:val="a2"/>
              <w:jc w:val="right"/>
            </w:pPr>
            <w:r>
              <w:t>3,245,307</w:t>
            </w:r>
          </w:p>
        </w:tc>
        <w:tc>
          <w:tcPr>
            <w:tcW w:w="653" w:type="pct"/>
            <w:tcBorders>
              <w:top w:val="nil"/>
              <w:left w:val="single" w:sz="4" w:space="0" w:color="auto"/>
              <w:bottom w:val="single" w:sz="4" w:space="0" w:color="auto"/>
              <w:right w:val="single" w:sz="4" w:space="0" w:color="auto"/>
            </w:tcBorders>
          </w:tcPr>
          <w:p w:rsidR="00000000" w:rsidRDefault="00844A84">
            <w:pPr>
              <w:pStyle w:val="a2"/>
              <w:jc w:val="right"/>
            </w:pPr>
            <w:r>
              <w:t>21,635,385</w:t>
            </w:r>
          </w:p>
        </w:tc>
        <w:tc>
          <w:tcPr>
            <w:tcW w:w="598" w:type="pct"/>
            <w:tcBorders>
              <w:top w:val="nil"/>
              <w:left w:val="single" w:sz="4" w:space="0" w:color="auto"/>
              <w:bottom w:val="single" w:sz="4" w:space="0" w:color="auto"/>
              <w:right w:val="single" w:sz="4" w:space="0" w:color="auto"/>
            </w:tcBorders>
          </w:tcPr>
          <w:p w:rsidR="00000000" w:rsidRDefault="00844A84">
            <w:pPr>
              <w:pStyle w:val="a2"/>
              <w:jc w:val="right"/>
            </w:pPr>
            <w:r>
              <w:t>7,090,1</w:t>
            </w:r>
            <w:r>
              <w:t>97</w:t>
            </w:r>
          </w:p>
        </w:tc>
        <w:tc>
          <w:tcPr>
            <w:tcW w:w="598" w:type="pct"/>
            <w:tcBorders>
              <w:top w:val="nil"/>
              <w:left w:val="single" w:sz="4" w:space="0" w:color="auto"/>
              <w:bottom w:val="single" w:sz="4" w:space="0" w:color="auto"/>
              <w:right w:val="single" w:sz="4" w:space="0" w:color="auto"/>
            </w:tcBorders>
          </w:tcPr>
          <w:p w:rsidR="00000000" w:rsidRDefault="00844A84">
            <w:pPr>
              <w:pStyle w:val="a2"/>
              <w:jc w:val="right"/>
            </w:pPr>
            <w:r>
              <w:t>2,009,765</w:t>
            </w:r>
          </w:p>
        </w:tc>
        <w:tc>
          <w:tcPr>
            <w:tcW w:w="653" w:type="pct"/>
            <w:tcBorders>
              <w:top w:val="nil"/>
              <w:left w:val="single" w:sz="4" w:space="0" w:color="auto"/>
              <w:bottom w:val="single" w:sz="4" w:space="0" w:color="auto"/>
              <w:right w:val="single" w:sz="4" w:space="0" w:color="auto"/>
            </w:tcBorders>
          </w:tcPr>
          <w:p w:rsidR="00000000" w:rsidRDefault="00844A84">
            <w:pPr>
              <w:pStyle w:val="a2"/>
              <w:jc w:val="right"/>
            </w:pPr>
            <w:r>
              <w:t>13,398,433</w:t>
            </w:r>
          </w:p>
        </w:tc>
      </w:tr>
    </w:tbl>
    <w:p w:rsidR="00000000" w:rsidRDefault="00844A84">
      <w:pPr>
        <w:pStyle w:val="Num-DocParagraph"/>
        <w:spacing w:before="240" w:after="320" w:line="336" w:lineRule="auto"/>
        <w:ind w:firstLine="510"/>
        <w:rPr>
          <w:rFonts w:eastAsia="KaiTi_GB2312"/>
          <w:bCs/>
          <w:szCs w:val="22"/>
          <w:lang w:eastAsia="zh-CN"/>
        </w:rPr>
      </w:pPr>
      <w:r>
        <w:rPr>
          <w:rFonts w:eastAsia="KaiTi_GB2312" w:hint="eastAsia"/>
          <w:bCs/>
          <w:szCs w:val="22"/>
          <w:u w:val="single"/>
          <w:lang w:eastAsia="zh-CN"/>
        </w:rPr>
        <w:t>资料来源</w:t>
      </w:r>
      <w:r>
        <w:rPr>
          <w:rFonts w:eastAsia="KaiTi_GB2312" w:hint="eastAsia"/>
          <w:bCs/>
          <w:szCs w:val="22"/>
          <w:lang w:eastAsia="zh-CN"/>
        </w:rPr>
        <w:t>：塞尔维亚共和国环境保护部检查司。</w:t>
      </w:r>
    </w:p>
    <w:p w:rsidR="00000000" w:rsidRDefault="00844A84">
      <w:pPr>
        <w:pStyle w:val="Heading3"/>
        <w:rPr>
          <w:lang w:val="zh-CN"/>
        </w:rPr>
      </w:pPr>
      <w:r>
        <w:rPr>
          <w:u w:val="none"/>
        </w:rPr>
        <w:t>H</w:t>
      </w:r>
      <w:r>
        <w:rPr>
          <w:u w:val="none"/>
          <w:lang w:val="zh-CN"/>
        </w:rPr>
        <w:t>.</w:t>
      </w:r>
      <w:r>
        <w:rPr>
          <w:rFonts w:hint="eastAsia"/>
          <w:u w:val="none"/>
          <w:lang w:val="zh-CN"/>
        </w:rPr>
        <w:t xml:space="preserve">  </w:t>
      </w:r>
      <w:r>
        <w:rPr>
          <w:rFonts w:hint="eastAsia"/>
          <w:lang w:val="zh-CN"/>
        </w:rPr>
        <w:t>塞尔维亚政府和卫生部为改善</w:t>
      </w:r>
      <w:r>
        <w:rPr>
          <w:rFonts w:hint="eastAsia"/>
          <w:bCs/>
          <w:lang w:val="zh-CN"/>
        </w:rPr>
        <w:t>健康状况</w:t>
      </w:r>
      <w:r>
        <w:rPr>
          <w:rFonts w:hint="eastAsia"/>
          <w:lang w:val="zh-CN"/>
        </w:rPr>
        <w:t>和</w:t>
      </w:r>
      <w:r>
        <w:rPr>
          <w:lang w:val="zh-CN"/>
        </w:rPr>
        <w:br/>
      </w:r>
      <w:r>
        <w:rPr>
          <w:rFonts w:hint="eastAsia"/>
          <w:u w:val="none"/>
          <w:lang w:val="zh-CN"/>
        </w:rPr>
        <w:t xml:space="preserve">    </w:t>
      </w:r>
      <w:r>
        <w:rPr>
          <w:rFonts w:hint="eastAsia"/>
          <w:lang w:val="zh-CN"/>
        </w:rPr>
        <w:t>健康保险制度所采取的措施和开展的活动</w:t>
      </w:r>
    </w:p>
    <w:p w:rsidR="00000000" w:rsidRDefault="00844A84">
      <w:pPr>
        <w:autoSpaceDE w:val="0"/>
        <w:autoSpaceDN w:val="0"/>
        <w:ind w:firstLine="510"/>
        <w:rPr>
          <w:szCs w:val="22"/>
          <w:lang w:val="zh-CN"/>
        </w:rPr>
      </w:pPr>
      <w:r>
        <w:rPr>
          <w:szCs w:val="22"/>
          <w:lang w:val="zh-CN"/>
        </w:rPr>
        <w:t>317.</w:t>
      </w:r>
      <w:r>
        <w:rPr>
          <w:rFonts w:hint="eastAsia"/>
          <w:szCs w:val="22"/>
          <w:lang w:val="zh-CN"/>
        </w:rPr>
        <w:t xml:space="preserve">  </w:t>
      </w:r>
      <w:r>
        <w:rPr>
          <w:rFonts w:hint="eastAsia"/>
          <w:szCs w:val="22"/>
          <w:lang w:val="zh-CN"/>
        </w:rPr>
        <w:t>在</w:t>
      </w:r>
      <w:r>
        <w:rPr>
          <w:szCs w:val="22"/>
          <w:lang w:val="zh-CN"/>
        </w:rPr>
        <w:t>2001</w:t>
      </w:r>
      <w:r>
        <w:rPr>
          <w:rFonts w:hint="eastAsia"/>
          <w:szCs w:val="22"/>
          <w:lang w:val="zh-CN"/>
        </w:rPr>
        <w:t>年全年至</w:t>
      </w:r>
      <w:r>
        <w:rPr>
          <w:szCs w:val="22"/>
          <w:lang w:val="zh-CN"/>
        </w:rPr>
        <w:t>2002</w:t>
      </w:r>
      <w:r>
        <w:rPr>
          <w:rFonts w:hint="eastAsia"/>
          <w:szCs w:val="22"/>
          <w:lang w:val="zh-CN"/>
        </w:rPr>
        <w:t>年</w:t>
      </w:r>
      <w:r>
        <w:rPr>
          <w:szCs w:val="22"/>
          <w:lang w:val="zh-CN"/>
        </w:rPr>
        <w:t>11</w:t>
      </w:r>
      <w:r>
        <w:rPr>
          <w:rFonts w:hint="eastAsia"/>
          <w:szCs w:val="22"/>
          <w:lang w:val="zh-CN"/>
        </w:rPr>
        <w:t>月</w:t>
      </w:r>
      <w:r>
        <w:rPr>
          <w:szCs w:val="22"/>
          <w:lang w:val="zh-CN"/>
        </w:rPr>
        <w:t>23</w:t>
      </w:r>
      <w:r>
        <w:rPr>
          <w:rFonts w:hint="eastAsia"/>
          <w:szCs w:val="22"/>
          <w:lang w:val="zh-CN"/>
        </w:rPr>
        <w:t>日之前，塞尔维亚卫生部独立或与塞尔维亚共和国政府、共和国健康保险局及专家组和转诊卫生机构共同组织和开展了以下活动：</w:t>
      </w:r>
    </w:p>
    <w:p w:rsidR="00000000" w:rsidRDefault="00844A84">
      <w:pPr>
        <w:numPr>
          <w:ilvl w:val="0"/>
          <w:numId w:val="400"/>
        </w:numPr>
        <w:tabs>
          <w:tab w:val="clear" w:pos="2041"/>
        </w:tabs>
        <w:ind w:left="1531"/>
        <w:rPr>
          <w:szCs w:val="22"/>
        </w:rPr>
      </w:pPr>
      <w:r>
        <w:rPr>
          <w:rFonts w:hint="eastAsia"/>
          <w:szCs w:val="22"/>
        </w:rPr>
        <w:t>修订《健康保险法》，使之符合有关经济法律；</w:t>
      </w:r>
    </w:p>
    <w:p w:rsidR="00000000" w:rsidRDefault="00844A84">
      <w:pPr>
        <w:numPr>
          <w:ilvl w:val="0"/>
          <w:numId w:val="400"/>
        </w:numPr>
        <w:tabs>
          <w:tab w:val="clear" w:pos="2041"/>
        </w:tabs>
        <w:ind w:left="1531"/>
        <w:rPr>
          <w:szCs w:val="22"/>
        </w:rPr>
      </w:pPr>
      <w:r>
        <w:rPr>
          <w:rFonts w:hint="eastAsia"/>
          <w:szCs w:val="22"/>
        </w:rPr>
        <w:t>完成制定《医疗用品法》和《医疗协会法》；</w:t>
      </w:r>
    </w:p>
    <w:p w:rsidR="00000000" w:rsidRDefault="00844A84">
      <w:pPr>
        <w:numPr>
          <w:ilvl w:val="0"/>
          <w:numId w:val="400"/>
        </w:numPr>
        <w:tabs>
          <w:tab w:val="clear" w:pos="2041"/>
        </w:tabs>
        <w:ind w:left="1531"/>
        <w:rPr>
          <w:szCs w:val="22"/>
        </w:rPr>
      </w:pPr>
      <w:r>
        <w:rPr>
          <w:rFonts w:hint="eastAsia"/>
          <w:szCs w:val="22"/>
        </w:rPr>
        <w:t>塞尔维亚共和国政府已编写并通过塞尔维亚健康政策白皮书</w:t>
      </w:r>
      <w:r>
        <w:rPr>
          <w:rFonts w:hint="eastAsia"/>
          <w:szCs w:val="22"/>
        </w:rPr>
        <w:t>(</w:t>
      </w:r>
      <w:r>
        <w:rPr>
          <w:rFonts w:hint="eastAsia"/>
          <w:szCs w:val="22"/>
        </w:rPr>
        <w:t>在此基础上，深化卫生</w:t>
      </w:r>
      <w:r>
        <w:rPr>
          <w:rFonts w:hint="eastAsia"/>
          <w:szCs w:val="22"/>
        </w:rPr>
        <w:t>体制改革，制定卫生和健康保险领域的新法规</w:t>
      </w:r>
      <w:r>
        <w:rPr>
          <w:rFonts w:hint="eastAsia"/>
          <w:szCs w:val="22"/>
        </w:rPr>
        <w:t>)</w:t>
      </w:r>
      <w:r>
        <w:rPr>
          <w:rFonts w:hint="eastAsia"/>
          <w:szCs w:val="22"/>
        </w:rPr>
        <w:t>；</w:t>
      </w:r>
    </w:p>
    <w:p w:rsidR="00000000" w:rsidRDefault="00844A84">
      <w:pPr>
        <w:numPr>
          <w:ilvl w:val="0"/>
          <w:numId w:val="400"/>
        </w:numPr>
        <w:tabs>
          <w:tab w:val="clear" w:pos="2041"/>
        </w:tabs>
        <w:ind w:left="1531"/>
        <w:rPr>
          <w:szCs w:val="22"/>
        </w:rPr>
      </w:pPr>
      <w:r>
        <w:rPr>
          <w:rFonts w:hint="eastAsia"/>
          <w:szCs w:val="22"/>
        </w:rPr>
        <w:t>起草了《保健法》、《健康保险法》以及《医疗医药协会法》的新文本，并作为工作文本提交卫生保健机构、共和国健康保险局及其分支机构和其他有关方面征求意见。以上法律文本的定稿未能按时完成，因为这些法律取决于其他领域法律的制定和通过，尤其是《地方自治法》、《自治省特定权限界定法》；</w:t>
      </w:r>
    </w:p>
    <w:p w:rsidR="00000000" w:rsidRDefault="00844A84">
      <w:pPr>
        <w:numPr>
          <w:ilvl w:val="0"/>
          <w:numId w:val="400"/>
        </w:numPr>
        <w:tabs>
          <w:tab w:val="clear" w:pos="2041"/>
        </w:tabs>
        <w:ind w:left="1531"/>
        <w:rPr>
          <w:szCs w:val="22"/>
        </w:rPr>
      </w:pPr>
      <w:r>
        <w:rPr>
          <w:rFonts w:hint="eastAsia"/>
          <w:szCs w:val="22"/>
        </w:rPr>
        <w:t>在起草以上法律的同时，起草或完成起草以下需要塞尔维亚政府批准或通过的条例：《卫生机构网络计划条例》、《关于健康保险受益人个人分担保健费用的决定》；《关于健康保险报销药品目录的决定》；《关于保健</w:t>
      </w:r>
      <w:r>
        <w:rPr>
          <w:rFonts w:hint="eastAsia"/>
          <w:szCs w:val="22"/>
        </w:rPr>
        <w:t>权益标准和范围的决定》。</w:t>
      </w:r>
    </w:p>
    <w:p w:rsidR="00000000" w:rsidRDefault="00844A84">
      <w:pPr>
        <w:numPr>
          <w:ilvl w:val="0"/>
          <w:numId w:val="400"/>
        </w:numPr>
        <w:tabs>
          <w:tab w:val="clear" w:pos="2041"/>
        </w:tabs>
        <w:ind w:left="1531"/>
        <w:rPr>
          <w:szCs w:val="22"/>
          <w:lang w:val="zh-CN"/>
        </w:rPr>
      </w:pPr>
      <w:r>
        <w:rPr>
          <w:rFonts w:hint="eastAsia"/>
          <w:szCs w:val="22"/>
        </w:rPr>
        <w:t>已独立或与卫生部、共和国健康保险局合作通过以下条例：《关于公有卫生机构联合采购药品的规定》、《关于确定强制健康保险缴费基数的决定》；《关于强制健康保险费率的决定》；《〈关于支持申请签发卫生达标证书的证据的规定〉修订条例》；《关于在当事人请求下进行检查监督过程中产生费用的计算方式和计算成本的规定》；</w:t>
      </w:r>
      <w:r>
        <w:rPr>
          <w:rFonts w:hint="eastAsia"/>
          <w:szCs w:val="22"/>
          <w:lang w:val="zh-CN"/>
        </w:rPr>
        <w:t>《关于获得食品卫生和个人卫生基础知识的方式的规定》；《卫生部门单位集体协议的变更》</w:t>
      </w:r>
      <w:r>
        <w:rPr>
          <w:rFonts w:hint="eastAsia"/>
          <w:szCs w:val="22"/>
          <w:lang w:val="zh-CN"/>
        </w:rPr>
        <w:t>(</w:t>
      </w:r>
      <w:r>
        <w:rPr>
          <w:rFonts w:hint="eastAsia"/>
          <w:szCs w:val="22"/>
          <w:lang w:val="zh-CN"/>
        </w:rPr>
        <w:t>该文件允许提高工资</w:t>
      </w:r>
      <w:r>
        <w:rPr>
          <w:szCs w:val="22"/>
          <w:lang w:val="zh-CN"/>
        </w:rPr>
        <w:t>20%</w:t>
      </w:r>
      <w:r>
        <w:rPr>
          <w:rFonts w:hint="eastAsia"/>
          <w:szCs w:val="22"/>
          <w:lang w:val="zh-CN"/>
        </w:rPr>
        <w:t>)</w:t>
      </w:r>
      <w:r>
        <w:rPr>
          <w:rFonts w:hint="eastAsia"/>
          <w:szCs w:val="22"/>
          <w:lang w:val="zh-CN"/>
        </w:rPr>
        <w:t>；《关于</w:t>
      </w:r>
      <w:r>
        <w:rPr>
          <w:szCs w:val="22"/>
          <w:lang w:val="zh-CN"/>
        </w:rPr>
        <w:t>2001</w:t>
      </w:r>
      <w:r>
        <w:rPr>
          <w:rFonts w:hint="eastAsia"/>
          <w:szCs w:val="22"/>
          <w:lang w:val="zh-CN"/>
        </w:rPr>
        <w:t>年共和国健康保险局、卫生保健机构和卫生部门其他服务提供者之间签</w:t>
      </w:r>
      <w:r>
        <w:rPr>
          <w:rFonts w:hint="eastAsia"/>
          <w:szCs w:val="22"/>
          <w:lang w:val="zh-CN"/>
        </w:rPr>
        <w:t>订卫生保健合同的标准的规定》。</w:t>
      </w:r>
    </w:p>
    <w:p w:rsidR="00000000" w:rsidRDefault="00844A84">
      <w:pPr>
        <w:numPr>
          <w:ilvl w:val="0"/>
          <w:numId w:val="400"/>
        </w:numPr>
        <w:tabs>
          <w:tab w:val="clear" w:pos="2041"/>
        </w:tabs>
        <w:ind w:left="1531"/>
        <w:rPr>
          <w:szCs w:val="22"/>
        </w:rPr>
      </w:pPr>
      <w:r>
        <w:rPr>
          <w:rFonts w:hint="eastAsia"/>
          <w:szCs w:val="22"/>
        </w:rPr>
        <w:t>建立了五个国家级专家组，分别</w:t>
      </w:r>
      <w:r>
        <w:rPr>
          <w:rFonts w:hint="eastAsia"/>
          <w:szCs w:val="22"/>
          <w:lang w:val="zh-CN"/>
        </w:rPr>
        <w:t>负责</w:t>
      </w:r>
      <w:r>
        <w:rPr>
          <w:rFonts w:hint="eastAsia"/>
          <w:szCs w:val="22"/>
        </w:rPr>
        <w:t>牙科、公共卫生、精神健康、肺结核和制定塞尔维亚共和国国民健康账户。</w:t>
      </w:r>
    </w:p>
    <w:p w:rsidR="00000000" w:rsidRDefault="00844A84">
      <w:pPr>
        <w:numPr>
          <w:ilvl w:val="0"/>
          <w:numId w:val="400"/>
        </w:numPr>
        <w:tabs>
          <w:tab w:val="clear" w:pos="2041"/>
        </w:tabs>
        <w:ind w:left="1531"/>
        <w:rPr>
          <w:szCs w:val="22"/>
          <w:lang w:val="zh-CN"/>
        </w:rPr>
      </w:pPr>
      <w:r>
        <w:rPr>
          <w:rFonts w:hint="eastAsia"/>
          <w:szCs w:val="22"/>
          <w:lang w:val="zh-CN"/>
        </w:rPr>
        <w:t>已为世界银行技术援助确定了工作范围，包括改革健康保险、为保健提供资金；发展健康信息系统；公共卫生；保健系统人力资源开发。</w:t>
      </w:r>
    </w:p>
    <w:p w:rsidR="00000000" w:rsidRDefault="00844A84">
      <w:pPr>
        <w:numPr>
          <w:ilvl w:val="0"/>
          <w:numId w:val="400"/>
        </w:numPr>
        <w:tabs>
          <w:tab w:val="clear" w:pos="2041"/>
        </w:tabs>
        <w:spacing w:after="320"/>
        <w:ind w:left="1531"/>
        <w:rPr>
          <w:szCs w:val="22"/>
        </w:rPr>
      </w:pPr>
      <w:r>
        <w:rPr>
          <w:rFonts w:hint="eastAsia"/>
          <w:szCs w:val="22"/>
        </w:rPr>
        <w:t>编写了题为《保健系统发展前景》的文件；对医疗服务进行了分析；对贝尔格莱德五家定点保健机构进行了题为“用户对医院保健满意度”的调查研究；编写了卫生部禁烟运动行动纲领；起草了《〈关于健康保险受益人个人分担保健费用的决定〉的修正案》；与世界卫生组织、意大利国际慈善</w:t>
      </w:r>
      <w:r>
        <w:rPr>
          <w:rFonts w:hint="eastAsia"/>
          <w:szCs w:val="22"/>
        </w:rPr>
        <w:t>社和南斯拉夫国际慈善社共同举办了塞尔维亚共和国精神健康服务改革研讨会；与联合王国国际开发部合作举办了关于建立国民健康账户的研讨会；已按微软软件的计划、许可授权和使用的规定，完成卫生部许可使用软件的一切必要工作；已启动塞尔维亚卫生保健机构软件使用许可程序；已开始筹备建立塞尔维亚共和国卫生部网站。</w:t>
      </w:r>
    </w:p>
    <w:p w:rsidR="00000000" w:rsidRDefault="00844A84">
      <w:pPr>
        <w:pStyle w:val="Heading3"/>
      </w:pPr>
      <w:r>
        <w:rPr>
          <w:u w:val="none"/>
        </w:rPr>
        <w:t>I.</w:t>
      </w:r>
      <w:r>
        <w:rPr>
          <w:rFonts w:hint="eastAsia"/>
          <w:u w:val="none"/>
        </w:rPr>
        <w:t xml:space="preserve">  </w:t>
      </w:r>
      <w:r>
        <w:rPr>
          <w:rFonts w:hint="eastAsia"/>
        </w:rPr>
        <w:t>卫生部门的国际援助与合作</w:t>
      </w:r>
    </w:p>
    <w:p w:rsidR="00000000" w:rsidRDefault="00844A84">
      <w:pPr>
        <w:autoSpaceDE w:val="0"/>
        <w:autoSpaceDN w:val="0"/>
        <w:ind w:firstLine="510"/>
        <w:rPr>
          <w:szCs w:val="22"/>
        </w:rPr>
      </w:pPr>
      <w:r>
        <w:rPr>
          <w:szCs w:val="22"/>
          <w:lang w:val="zh-CN"/>
        </w:rPr>
        <w:t>318.</w:t>
      </w:r>
      <w:r>
        <w:rPr>
          <w:rFonts w:hint="eastAsia"/>
          <w:szCs w:val="22"/>
        </w:rPr>
        <w:t xml:space="preserve">  </w:t>
      </w:r>
      <w:r>
        <w:rPr>
          <w:rFonts w:hint="eastAsia"/>
          <w:szCs w:val="22"/>
        </w:rPr>
        <w:t>塞尔维亚共和国卫生部正在筹备一个价值</w:t>
      </w:r>
      <w:r>
        <w:rPr>
          <w:szCs w:val="22"/>
        </w:rPr>
        <w:t>1650</w:t>
      </w:r>
      <w:r>
        <w:rPr>
          <w:rFonts w:hint="eastAsia"/>
          <w:szCs w:val="22"/>
        </w:rPr>
        <w:t>万美元的世界银行贷款项目</w:t>
      </w:r>
      <w:r>
        <w:rPr>
          <w:rFonts w:hint="eastAsia"/>
          <w:szCs w:val="22"/>
        </w:rPr>
        <w:t>(</w:t>
      </w:r>
      <w:r>
        <w:rPr>
          <w:rFonts w:hint="eastAsia"/>
          <w:szCs w:val="22"/>
        </w:rPr>
        <w:t>二级卫生保健改革，</w:t>
      </w:r>
      <w:r>
        <w:rPr>
          <w:szCs w:val="22"/>
        </w:rPr>
        <w:t>2003-2007</w:t>
      </w:r>
      <w:r>
        <w:rPr>
          <w:rFonts w:hint="eastAsia"/>
          <w:szCs w:val="22"/>
        </w:rPr>
        <w:t>)</w:t>
      </w:r>
      <w:r>
        <w:rPr>
          <w:rFonts w:hint="eastAsia"/>
          <w:szCs w:val="22"/>
        </w:rPr>
        <w:t>。为筹备这一贷款项目，卫生部将聘请顾问。顾问费将从</w:t>
      </w:r>
      <w:r>
        <w:rPr>
          <w:szCs w:val="22"/>
        </w:rPr>
        <w:t>SPEAG</w:t>
      </w:r>
      <w:r>
        <w:rPr>
          <w:rFonts w:hint="eastAsia"/>
          <w:szCs w:val="22"/>
        </w:rPr>
        <w:t>和</w:t>
      </w:r>
      <w:r>
        <w:rPr>
          <w:rFonts w:hint="eastAsia"/>
          <w:szCs w:val="22"/>
        </w:rPr>
        <w:t>世界银行政策与人力资源开发基金提供的贷款筹备赠款中支付。</w:t>
      </w:r>
    </w:p>
    <w:p w:rsidR="00000000" w:rsidRDefault="00844A84">
      <w:pPr>
        <w:autoSpaceDE w:val="0"/>
        <w:autoSpaceDN w:val="0"/>
        <w:ind w:firstLine="510"/>
        <w:rPr>
          <w:szCs w:val="22"/>
        </w:rPr>
      </w:pPr>
      <w:r>
        <w:rPr>
          <w:szCs w:val="22"/>
        </w:rPr>
        <w:t>319.</w:t>
      </w:r>
      <w:r>
        <w:rPr>
          <w:rFonts w:hint="eastAsia"/>
          <w:szCs w:val="22"/>
        </w:rPr>
        <w:t xml:space="preserve">  </w:t>
      </w:r>
      <w:r>
        <w:rPr>
          <w:rFonts w:hint="eastAsia"/>
          <w:szCs w:val="22"/>
        </w:rPr>
        <w:t>为筹备贷款，卫生部已建立了四人项目管理小组。该小组已编写必要文件，用于塞尔维亚政府和世界银行关于贷款条件的谈判。世界银行自费聘请了两位顾问，在</w:t>
      </w:r>
      <w:r>
        <w:rPr>
          <w:szCs w:val="22"/>
        </w:rPr>
        <w:t>12</w:t>
      </w:r>
      <w:r>
        <w:rPr>
          <w:rFonts w:hint="eastAsia"/>
          <w:szCs w:val="22"/>
        </w:rPr>
        <w:t>月份协助准备贷款必须的文件。</w:t>
      </w:r>
    </w:p>
    <w:p w:rsidR="00000000" w:rsidRDefault="00844A84">
      <w:pPr>
        <w:autoSpaceDE w:val="0"/>
        <w:autoSpaceDN w:val="0"/>
        <w:ind w:firstLine="510"/>
        <w:rPr>
          <w:szCs w:val="22"/>
        </w:rPr>
      </w:pPr>
      <w:r>
        <w:rPr>
          <w:szCs w:val="22"/>
          <w:lang w:val="zh-CN"/>
        </w:rPr>
        <w:t>320.</w:t>
      </w:r>
      <w:r>
        <w:rPr>
          <w:rFonts w:hint="eastAsia"/>
          <w:szCs w:val="22"/>
          <w:lang w:val="zh-CN"/>
        </w:rPr>
        <w:t xml:space="preserve">  </w:t>
      </w:r>
      <w:r>
        <w:rPr>
          <w:rFonts w:hint="eastAsia"/>
          <w:szCs w:val="22"/>
          <w:lang w:val="zh-CN"/>
        </w:rPr>
        <w:t>塞尔维亚卫生部和共和国健康保险局属于“结构调整贷款”资金的受益人。这些资金用于改革保健系统并为之提供资金</w:t>
      </w:r>
      <w:r>
        <w:rPr>
          <w:rFonts w:hint="eastAsia"/>
          <w:szCs w:val="22"/>
          <w:lang w:val="zh-CN"/>
        </w:rPr>
        <w:t>(</w:t>
      </w:r>
      <w:r>
        <w:rPr>
          <w:rFonts w:hint="eastAsia"/>
          <w:szCs w:val="22"/>
          <w:lang w:val="zh-CN"/>
        </w:rPr>
        <w:t>制定基本药品目录、药品法、个人参与法等</w:t>
      </w:r>
      <w:r>
        <w:rPr>
          <w:rFonts w:hint="eastAsia"/>
          <w:szCs w:val="22"/>
          <w:lang w:val="zh-CN"/>
        </w:rPr>
        <w:t>)</w:t>
      </w:r>
      <w:r>
        <w:rPr>
          <w:rFonts w:hint="eastAsia"/>
          <w:szCs w:val="22"/>
          <w:lang w:val="zh-CN"/>
        </w:rPr>
        <w:t>、收缴卫生保健缴费</w:t>
      </w:r>
      <w:r>
        <w:rPr>
          <w:rFonts w:hint="eastAsia"/>
          <w:szCs w:val="22"/>
          <w:lang w:val="zh-CN"/>
        </w:rPr>
        <w:t>(</w:t>
      </w:r>
      <w:r>
        <w:rPr>
          <w:rFonts w:hint="eastAsia"/>
          <w:szCs w:val="22"/>
          <w:lang w:val="zh-CN"/>
        </w:rPr>
        <w:t>用于健康保险基本服务、其他服务的开发</w:t>
      </w:r>
      <w:r>
        <w:rPr>
          <w:szCs w:val="22"/>
        </w:rPr>
        <w:t>)</w:t>
      </w:r>
      <w:r>
        <w:rPr>
          <w:rFonts w:hint="eastAsia"/>
          <w:szCs w:val="22"/>
        </w:rPr>
        <w:t>、编写卫生保健制度总体规划和人事规划。</w:t>
      </w:r>
    </w:p>
    <w:p w:rsidR="00000000" w:rsidRDefault="00844A84">
      <w:pPr>
        <w:autoSpaceDE w:val="0"/>
        <w:autoSpaceDN w:val="0"/>
        <w:ind w:firstLine="510"/>
        <w:rPr>
          <w:szCs w:val="22"/>
          <w:lang w:val="zh-CN"/>
        </w:rPr>
      </w:pPr>
      <w:r>
        <w:rPr>
          <w:szCs w:val="22"/>
          <w:lang w:val="zh-CN"/>
        </w:rPr>
        <w:t>321.</w:t>
      </w:r>
      <w:r>
        <w:rPr>
          <w:rFonts w:hint="eastAsia"/>
          <w:szCs w:val="22"/>
          <w:lang w:val="zh-CN"/>
        </w:rPr>
        <w:t xml:space="preserve"> </w:t>
      </w:r>
      <w:r>
        <w:rPr>
          <w:rFonts w:hint="eastAsia"/>
          <w:szCs w:val="22"/>
          <w:lang w:val="zh-CN"/>
        </w:rPr>
        <w:t xml:space="preserve"> </w:t>
      </w:r>
      <w:r>
        <w:rPr>
          <w:szCs w:val="22"/>
          <w:lang w:val="zh-CN"/>
        </w:rPr>
        <w:t>2002</w:t>
      </w:r>
      <w:r>
        <w:rPr>
          <w:rFonts w:hint="eastAsia"/>
          <w:szCs w:val="22"/>
          <w:lang w:val="zh-CN"/>
        </w:rPr>
        <w:t>年，与世界卫生组织签订了第一个两年期国别协议。卫生部一个代表团访问了卫生组织总部</w:t>
      </w:r>
      <w:r>
        <w:rPr>
          <w:rFonts w:hint="eastAsia"/>
          <w:szCs w:val="22"/>
        </w:rPr>
        <w:t>，</w:t>
      </w:r>
      <w:r>
        <w:rPr>
          <w:rFonts w:hint="eastAsia"/>
          <w:szCs w:val="22"/>
          <w:lang w:val="zh-CN"/>
        </w:rPr>
        <w:t>并与卫生组织总干事会面。卫生组织将于</w:t>
      </w:r>
      <w:r>
        <w:rPr>
          <w:szCs w:val="22"/>
          <w:lang w:val="zh-CN"/>
        </w:rPr>
        <w:t>2003</w:t>
      </w:r>
      <w:r>
        <w:rPr>
          <w:rFonts w:hint="eastAsia"/>
          <w:szCs w:val="22"/>
          <w:lang w:val="zh-CN"/>
        </w:rPr>
        <w:t>年上半年正式访问贝尔格莱德。</w:t>
      </w:r>
    </w:p>
    <w:p w:rsidR="00000000" w:rsidRDefault="00844A84">
      <w:pPr>
        <w:autoSpaceDE w:val="0"/>
        <w:autoSpaceDN w:val="0"/>
        <w:ind w:firstLine="510"/>
        <w:rPr>
          <w:szCs w:val="22"/>
        </w:rPr>
      </w:pPr>
      <w:r>
        <w:rPr>
          <w:szCs w:val="22"/>
          <w:lang w:val="zh-CN"/>
        </w:rPr>
        <w:t>322.</w:t>
      </w:r>
      <w:r>
        <w:rPr>
          <w:rFonts w:hint="eastAsia"/>
          <w:szCs w:val="22"/>
        </w:rPr>
        <w:t xml:space="preserve">  </w:t>
      </w:r>
      <w:r>
        <w:rPr>
          <w:rFonts w:hint="eastAsia"/>
          <w:szCs w:val="22"/>
        </w:rPr>
        <w:t>已编写题为“医务人员青春期保健工作指导方案”。卫生部在世界卫生组织的技术合作下组织召开了一次管理研讨班。</w:t>
      </w:r>
    </w:p>
    <w:p w:rsidR="00000000" w:rsidRDefault="00844A84">
      <w:pPr>
        <w:autoSpaceDE w:val="0"/>
        <w:autoSpaceDN w:val="0"/>
        <w:ind w:firstLine="510"/>
        <w:rPr>
          <w:szCs w:val="22"/>
        </w:rPr>
      </w:pPr>
      <w:r>
        <w:rPr>
          <w:szCs w:val="22"/>
          <w:lang w:val="zh-CN"/>
        </w:rPr>
        <w:t>323.</w:t>
      </w:r>
      <w:r>
        <w:rPr>
          <w:rFonts w:hint="eastAsia"/>
          <w:szCs w:val="22"/>
        </w:rPr>
        <w:t xml:space="preserve">  </w:t>
      </w:r>
      <w:r>
        <w:rPr>
          <w:rFonts w:hint="eastAsia"/>
          <w:szCs w:val="22"/>
        </w:rPr>
        <w:t>获得批准的第一批价值</w:t>
      </w:r>
      <w:r>
        <w:rPr>
          <w:szCs w:val="22"/>
        </w:rPr>
        <w:t>2,698,795</w:t>
      </w:r>
      <w:r>
        <w:rPr>
          <w:rFonts w:hint="eastAsia"/>
          <w:szCs w:val="22"/>
        </w:rPr>
        <w:t>美元的中国人道主义援助物资已抵达弗尔沙茨的</w:t>
      </w:r>
      <w:r>
        <w:rPr>
          <w:rFonts w:hint="eastAsia"/>
        </w:rPr>
        <w:t>海慕法姆</w:t>
      </w:r>
      <w:r>
        <w:rPr>
          <w:rFonts w:hint="eastAsia"/>
          <w:szCs w:val="22"/>
        </w:rPr>
        <w:t>保税仓库。这批物资包括以下设备：</w:t>
      </w:r>
      <w:r>
        <w:rPr>
          <w:szCs w:val="22"/>
        </w:rPr>
        <w:t>4</w:t>
      </w:r>
      <w:r>
        <w:rPr>
          <w:rFonts w:hint="eastAsia"/>
          <w:szCs w:val="22"/>
        </w:rPr>
        <w:t>台</w:t>
      </w:r>
      <w:r>
        <w:rPr>
          <w:szCs w:val="22"/>
        </w:rPr>
        <w:t>CT</w:t>
      </w:r>
      <w:r>
        <w:rPr>
          <w:rFonts w:hint="eastAsia"/>
          <w:szCs w:val="22"/>
        </w:rPr>
        <w:t>扫描仪，</w:t>
      </w:r>
      <w:r>
        <w:rPr>
          <w:szCs w:val="22"/>
        </w:rPr>
        <w:t>60</w:t>
      </w:r>
      <w:r>
        <w:rPr>
          <w:rFonts w:hint="eastAsia"/>
          <w:szCs w:val="22"/>
        </w:rPr>
        <w:t>台超声波设备和</w:t>
      </w:r>
      <w:r>
        <w:rPr>
          <w:szCs w:val="22"/>
        </w:rPr>
        <w:t>130</w:t>
      </w:r>
      <w:r>
        <w:rPr>
          <w:rFonts w:hint="eastAsia"/>
          <w:szCs w:val="22"/>
        </w:rPr>
        <w:t>台个人电脑。第二批援助物资包括医疗用品和医药原料，预计将</w:t>
      </w:r>
      <w:r>
        <w:rPr>
          <w:rFonts w:hint="eastAsia"/>
          <w:szCs w:val="22"/>
        </w:rPr>
        <w:t>于</w:t>
      </w:r>
      <w:r>
        <w:rPr>
          <w:szCs w:val="22"/>
        </w:rPr>
        <w:t>2002</w:t>
      </w:r>
      <w:r>
        <w:rPr>
          <w:rFonts w:hint="eastAsia"/>
          <w:szCs w:val="22"/>
        </w:rPr>
        <w:t>年</w:t>
      </w:r>
      <w:r>
        <w:rPr>
          <w:szCs w:val="22"/>
        </w:rPr>
        <w:t>12</w:t>
      </w:r>
      <w:r>
        <w:rPr>
          <w:rFonts w:hint="eastAsia"/>
          <w:szCs w:val="22"/>
        </w:rPr>
        <w:t>月抵达。卫生部国际合作和项目管理司与卫生监察局已拟定出一份塞尔维亚共和国各卫生保健机构优先需要的设备清单，并据此制定出设备分配清单。计划于</w:t>
      </w:r>
      <w:r>
        <w:rPr>
          <w:szCs w:val="22"/>
        </w:rPr>
        <w:t>2003</w:t>
      </w:r>
      <w:r>
        <w:rPr>
          <w:rFonts w:hint="eastAsia"/>
          <w:szCs w:val="22"/>
        </w:rPr>
        <w:t>年</w:t>
      </w:r>
      <w:r>
        <w:rPr>
          <w:szCs w:val="22"/>
        </w:rPr>
        <w:t>1</w:t>
      </w:r>
      <w:r>
        <w:rPr>
          <w:rFonts w:hint="eastAsia"/>
          <w:szCs w:val="22"/>
        </w:rPr>
        <w:t>月中方官员抵达后分配援助物资。现已提出申请，要求提供价值</w:t>
      </w:r>
      <w:r>
        <w:rPr>
          <w:szCs w:val="22"/>
        </w:rPr>
        <w:t>300</w:t>
      </w:r>
      <w:r>
        <w:rPr>
          <w:rFonts w:hint="eastAsia"/>
          <w:szCs w:val="22"/>
        </w:rPr>
        <w:t>万美元左右的第三批援助。将利用资源，根据优先需求清单采购</w:t>
      </w:r>
      <w:r>
        <w:rPr>
          <w:szCs w:val="22"/>
        </w:rPr>
        <w:t>CT</w:t>
      </w:r>
      <w:r>
        <w:rPr>
          <w:rFonts w:hint="eastAsia"/>
          <w:szCs w:val="22"/>
        </w:rPr>
        <w:t>设备。</w:t>
      </w:r>
    </w:p>
    <w:p w:rsidR="00000000" w:rsidRDefault="00844A84">
      <w:pPr>
        <w:autoSpaceDE w:val="0"/>
        <w:autoSpaceDN w:val="0"/>
        <w:ind w:firstLine="510"/>
        <w:rPr>
          <w:szCs w:val="22"/>
          <w:lang w:val="zh-CN"/>
        </w:rPr>
      </w:pPr>
      <w:r>
        <w:rPr>
          <w:szCs w:val="22"/>
          <w:lang w:val="zh-CN"/>
        </w:rPr>
        <w:t>324.</w:t>
      </w:r>
      <w:r>
        <w:rPr>
          <w:rFonts w:hint="eastAsia"/>
          <w:szCs w:val="22"/>
          <w:lang w:val="zh-CN"/>
        </w:rPr>
        <w:t xml:space="preserve">  </w:t>
      </w:r>
      <w:r>
        <w:rPr>
          <w:rFonts w:hint="eastAsia"/>
          <w:szCs w:val="22"/>
          <w:lang w:val="zh-CN"/>
        </w:rPr>
        <w:t>日本政府已批准金额为</w:t>
      </w:r>
      <w:r>
        <w:rPr>
          <w:szCs w:val="22"/>
          <w:lang w:val="zh-CN"/>
        </w:rPr>
        <w:t>1,000</w:t>
      </w:r>
      <w:r>
        <w:rPr>
          <w:rFonts w:hint="eastAsia"/>
          <w:szCs w:val="22"/>
          <w:lang w:val="zh-CN"/>
        </w:rPr>
        <w:t>万美元的赠款。这笔赠款将用于为贝尔格莱德的塞尔维亚门诊中心、诺维萨德门诊中心、尼什门诊中心和克拉古耶瓦茨门诊和医院中心采购设备。</w:t>
      </w:r>
      <w:r>
        <w:rPr>
          <w:szCs w:val="22"/>
          <w:lang w:val="zh-CN"/>
        </w:rPr>
        <w:t>2002</w:t>
      </w:r>
      <w:r>
        <w:rPr>
          <w:rFonts w:hint="eastAsia"/>
          <w:szCs w:val="22"/>
          <w:lang w:val="zh-CN"/>
        </w:rPr>
        <w:t>年</w:t>
      </w:r>
      <w:r>
        <w:rPr>
          <w:szCs w:val="22"/>
          <w:lang w:val="zh-CN"/>
        </w:rPr>
        <w:t>12</w:t>
      </w:r>
      <w:r>
        <w:rPr>
          <w:rFonts w:hint="eastAsia"/>
          <w:szCs w:val="22"/>
          <w:lang w:val="zh-CN"/>
        </w:rPr>
        <w:t>月，已根据轻重缓急最后确定设备清</w:t>
      </w:r>
      <w:r>
        <w:rPr>
          <w:rFonts w:hint="eastAsia"/>
          <w:szCs w:val="22"/>
          <w:lang w:val="zh-CN"/>
        </w:rPr>
        <w:t>单，这意味着已完成赠款进程的四分之三。</w:t>
      </w:r>
    </w:p>
    <w:p w:rsidR="00000000" w:rsidRDefault="00844A84">
      <w:pPr>
        <w:autoSpaceDE w:val="0"/>
        <w:autoSpaceDN w:val="0"/>
        <w:ind w:firstLine="510"/>
        <w:rPr>
          <w:szCs w:val="22"/>
          <w:lang w:val="zh-CN"/>
        </w:rPr>
      </w:pPr>
      <w:r>
        <w:rPr>
          <w:szCs w:val="22"/>
          <w:lang w:val="zh-CN"/>
        </w:rPr>
        <w:t>325.</w:t>
      </w:r>
      <w:r>
        <w:rPr>
          <w:rFonts w:hint="eastAsia"/>
          <w:szCs w:val="22"/>
          <w:lang w:val="zh-CN"/>
        </w:rPr>
        <w:t xml:space="preserve">  </w:t>
      </w:r>
      <w:r>
        <w:rPr>
          <w:rFonts w:hint="eastAsia"/>
          <w:szCs w:val="22"/>
          <w:lang w:val="zh-CN"/>
        </w:rPr>
        <w:t>与国际红十字会合作，在克拉列沃门诊部实施了基本卫生保健服务试点项目。该项目估计价值为</w:t>
      </w:r>
      <w:r>
        <w:rPr>
          <w:szCs w:val="22"/>
          <w:lang w:val="zh-CN"/>
        </w:rPr>
        <w:t>265</w:t>
      </w:r>
      <w:r>
        <w:rPr>
          <w:rFonts w:hint="eastAsia"/>
          <w:szCs w:val="22"/>
          <w:lang w:val="zh-CN"/>
        </w:rPr>
        <w:t>万美元。同时也启动了主要针对无家可归者的综合卫生保健服务。</w:t>
      </w:r>
    </w:p>
    <w:p w:rsidR="00000000" w:rsidRDefault="00844A84">
      <w:pPr>
        <w:autoSpaceDE w:val="0"/>
        <w:autoSpaceDN w:val="0"/>
        <w:ind w:firstLine="510"/>
        <w:rPr>
          <w:szCs w:val="22"/>
          <w:lang w:val="zh-CN"/>
        </w:rPr>
      </w:pPr>
      <w:r>
        <w:rPr>
          <w:szCs w:val="22"/>
          <w:lang w:val="zh-CN"/>
        </w:rPr>
        <w:t>326.</w:t>
      </w:r>
      <w:r>
        <w:rPr>
          <w:rFonts w:hint="eastAsia"/>
          <w:szCs w:val="22"/>
          <w:lang w:val="zh-CN"/>
        </w:rPr>
        <w:t xml:space="preserve">  </w:t>
      </w:r>
      <w:r>
        <w:rPr>
          <w:rFonts w:hint="eastAsia"/>
          <w:szCs w:val="22"/>
          <w:lang w:val="zh-CN"/>
        </w:rPr>
        <w:t>卫生部国际合作和项目管理司与欧洲重建机构合作，继续进行</w:t>
      </w:r>
      <w:r>
        <w:rPr>
          <w:szCs w:val="22"/>
          <w:lang w:val="zh-CN"/>
        </w:rPr>
        <w:t>2001</w:t>
      </w:r>
      <w:r>
        <w:rPr>
          <w:rFonts w:hint="eastAsia"/>
          <w:szCs w:val="22"/>
          <w:lang w:val="zh-CN"/>
        </w:rPr>
        <w:t>年开始的各个项目：支持制药部门发展，为公有药店、门诊部和医院采购和分配药品、医疗用品和试剂</w:t>
      </w:r>
      <w:r>
        <w:rPr>
          <w:rFonts w:hint="eastAsia"/>
          <w:szCs w:val="22"/>
          <w:lang w:val="zh-CN"/>
        </w:rPr>
        <w:t>(</w:t>
      </w:r>
      <w:r>
        <w:rPr>
          <w:rFonts w:hint="eastAsia"/>
          <w:szCs w:val="22"/>
          <w:lang w:val="zh-CN"/>
        </w:rPr>
        <w:t>按优先需求清单</w:t>
      </w:r>
      <w:r>
        <w:rPr>
          <w:rFonts w:hint="eastAsia"/>
          <w:szCs w:val="22"/>
          <w:lang w:val="zh-CN"/>
        </w:rPr>
        <w:t>)</w:t>
      </w:r>
      <w:r>
        <w:rPr>
          <w:rFonts w:hint="eastAsia"/>
          <w:szCs w:val="22"/>
          <w:lang w:val="zh-CN"/>
        </w:rPr>
        <w:t>；向制药部门监管框架提供支持；参照专业考试要求制定诊断和治疗程序，为规范合理处方提供技术援助；规范制药产业；维护医院和门诊部设备</w:t>
      </w:r>
      <w:r>
        <w:rPr>
          <w:rFonts w:hint="eastAsia"/>
          <w:szCs w:val="22"/>
          <w:lang w:val="zh-CN"/>
        </w:rPr>
        <w:t>；评估塞尔维亚卫生保健机构的需求。上述项目总预算为</w:t>
      </w:r>
      <w:r>
        <w:rPr>
          <w:szCs w:val="22"/>
          <w:lang w:val="zh-CN"/>
        </w:rPr>
        <w:t>3170</w:t>
      </w:r>
      <w:r>
        <w:rPr>
          <w:rFonts w:hint="eastAsia"/>
          <w:szCs w:val="22"/>
          <w:lang w:val="zh-CN"/>
        </w:rPr>
        <w:t>万欧元</w:t>
      </w:r>
      <w:r>
        <w:rPr>
          <w:rFonts w:hint="eastAsia"/>
          <w:szCs w:val="22"/>
          <w:lang w:val="zh-CN"/>
        </w:rPr>
        <w:t>(</w:t>
      </w:r>
      <w:r>
        <w:rPr>
          <w:szCs w:val="22"/>
          <w:lang w:val="zh-CN"/>
        </w:rPr>
        <w:t>2001</w:t>
      </w:r>
      <w:r>
        <w:rPr>
          <w:rFonts w:hint="eastAsia"/>
          <w:szCs w:val="22"/>
          <w:lang w:val="zh-CN"/>
        </w:rPr>
        <w:t>年</w:t>
      </w:r>
      <w:r>
        <w:rPr>
          <w:szCs w:val="22"/>
          <w:lang w:val="zh-CN"/>
        </w:rPr>
        <w:t>2670</w:t>
      </w:r>
      <w:r>
        <w:rPr>
          <w:rFonts w:hint="eastAsia"/>
          <w:szCs w:val="22"/>
          <w:lang w:val="zh-CN"/>
        </w:rPr>
        <w:t>万欧元，</w:t>
      </w:r>
      <w:r>
        <w:rPr>
          <w:szCs w:val="22"/>
          <w:lang w:val="zh-CN"/>
        </w:rPr>
        <w:t>2002</w:t>
      </w:r>
      <w:r>
        <w:rPr>
          <w:rFonts w:hint="eastAsia"/>
          <w:szCs w:val="22"/>
          <w:lang w:val="zh-CN"/>
        </w:rPr>
        <w:t>年</w:t>
      </w:r>
      <w:r>
        <w:rPr>
          <w:szCs w:val="22"/>
          <w:lang w:val="zh-CN"/>
        </w:rPr>
        <w:t>500</w:t>
      </w:r>
      <w:r>
        <w:rPr>
          <w:rFonts w:hint="eastAsia"/>
          <w:szCs w:val="22"/>
          <w:lang w:val="zh-CN"/>
        </w:rPr>
        <w:t>万欧元</w:t>
      </w:r>
      <w:r>
        <w:rPr>
          <w:rFonts w:hint="eastAsia"/>
          <w:szCs w:val="22"/>
          <w:lang w:val="zh-CN"/>
        </w:rPr>
        <w:t>)</w:t>
      </w:r>
      <w:r>
        <w:rPr>
          <w:rFonts w:hint="eastAsia"/>
          <w:szCs w:val="22"/>
          <w:lang w:val="zh-CN"/>
        </w:rPr>
        <w:t>。</w:t>
      </w:r>
    </w:p>
    <w:p w:rsidR="00000000" w:rsidRDefault="00844A84">
      <w:pPr>
        <w:autoSpaceDE w:val="0"/>
        <w:autoSpaceDN w:val="0"/>
        <w:ind w:firstLine="510"/>
        <w:rPr>
          <w:szCs w:val="22"/>
        </w:rPr>
      </w:pPr>
      <w:r>
        <w:rPr>
          <w:szCs w:val="22"/>
          <w:lang w:val="zh-CN"/>
        </w:rPr>
        <w:t>327.</w:t>
      </w:r>
      <w:r>
        <w:rPr>
          <w:rFonts w:hint="eastAsia"/>
          <w:szCs w:val="22"/>
          <w:lang w:val="zh-CN"/>
        </w:rPr>
        <w:t xml:space="preserve">  </w:t>
      </w:r>
      <w:r>
        <w:rPr>
          <w:rFonts w:hint="eastAsia"/>
          <w:szCs w:val="22"/>
          <w:lang w:val="zh-CN"/>
        </w:rPr>
        <w:t>已根据优先需求清单购买和分配了新设备，包括</w:t>
      </w:r>
      <w:r>
        <w:rPr>
          <w:szCs w:val="22"/>
          <w:lang w:val="zh-CN"/>
        </w:rPr>
        <w:t>X</w:t>
      </w:r>
      <w:r>
        <w:rPr>
          <w:rFonts w:hint="eastAsia"/>
          <w:szCs w:val="22"/>
          <w:lang w:val="zh-CN"/>
        </w:rPr>
        <w:t>光设备</w:t>
      </w:r>
      <w:r>
        <w:rPr>
          <w:rFonts w:hint="eastAsia"/>
          <w:szCs w:val="22"/>
          <w:lang w:val="zh-CN"/>
        </w:rPr>
        <w:t>(</w:t>
      </w:r>
      <w:r>
        <w:rPr>
          <w:szCs w:val="22"/>
          <w:lang w:val="zh-CN"/>
        </w:rPr>
        <w:t>400</w:t>
      </w:r>
      <w:r>
        <w:rPr>
          <w:rFonts w:hint="eastAsia"/>
          <w:szCs w:val="22"/>
          <w:lang w:val="zh-CN"/>
        </w:rPr>
        <w:t>万欧元</w:t>
      </w:r>
      <w:r>
        <w:rPr>
          <w:rFonts w:hint="eastAsia"/>
          <w:szCs w:val="22"/>
          <w:lang w:val="zh-CN"/>
        </w:rPr>
        <w:t>)</w:t>
      </w:r>
      <w:r>
        <w:rPr>
          <w:rFonts w:hint="eastAsia"/>
          <w:szCs w:val="22"/>
          <w:lang w:val="zh-CN"/>
        </w:rPr>
        <w:t>，主要是</w:t>
      </w:r>
      <w:r>
        <w:rPr>
          <w:szCs w:val="22"/>
          <w:lang w:val="zh-CN"/>
        </w:rPr>
        <w:t>X</w:t>
      </w:r>
      <w:r>
        <w:rPr>
          <w:rFonts w:hint="eastAsia"/>
          <w:szCs w:val="22"/>
          <w:lang w:val="zh-CN"/>
        </w:rPr>
        <w:t>光机</w:t>
      </w:r>
      <w:r>
        <w:rPr>
          <w:rFonts w:hint="eastAsia"/>
          <w:szCs w:val="22"/>
          <w:lang w:val="zh-CN"/>
        </w:rPr>
        <w:t>(</w:t>
      </w:r>
      <w:r>
        <w:rPr>
          <w:szCs w:val="22"/>
          <w:lang w:val="zh-CN"/>
        </w:rPr>
        <w:t>54</w:t>
      </w:r>
      <w:r>
        <w:rPr>
          <w:rFonts w:hint="eastAsia"/>
          <w:szCs w:val="22"/>
          <w:lang w:val="zh-CN"/>
        </w:rPr>
        <w:t>)</w:t>
      </w:r>
      <w:r>
        <w:rPr>
          <w:rFonts w:hint="eastAsia"/>
          <w:szCs w:val="22"/>
          <w:lang w:val="zh-CN"/>
        </w:rPr>
        <w:t>和胶片冲洗机</w:t>
      </w:r>
      <w:r>
        <w:rPr>
          <w:rFonts w:hint="eastAsia"/>
          <w:szCs w:val="22"/>
          <w:lang w:val="zh-CN"/>
        </w:rPr>
        <w:t>(</w:t>
      </w:r>
      <w:r>
        <w:rPr>
          <w:szCs w:val="22"/>
          <w:lang w:val="zh-CN"/>
        </w:rPr>
        <w:t>25</w:t>
      </w:r>
      <w:r>
        <w:rPr>
          <w:rFonts w:hint="eastAsia"/>
          <w:szCs w:val="22"/>
          <w:lang w:val="zh-CN"/>
        </w:rPr>
        <w:t>)</w:t>
      </w:r>
      <w:r>
        <w:rPr>
          <w:rFonts w:hint="eastAsia"/>
          <w:szCs w:val="22"/>
          <w:lang w:val="zh-CN"/>
        </w:rPr>
        <w:t>；外科设备和特护单元</w:t>
      </w:r>
      <w:r>
        <w:rPr>
          <w:rFonts w:hint="eastAsia"/>
          <w:szCs w:val="22"/>
          <w:lang w:val="zh-CN"/>
        </w:rPr>
        <w:t>(</w:t>
      </w:r>
      <w:r>
        <w:rPr>
          <w:szCs w:val="22"/>
          <w:lang w:val="zh-CN"/>
        </w:rPr>
        <w:t>650</w:t>
      </w:r>
      <w:r>
        <w:rPr>
          <w:rFonts w:hint="eastAsia"/>
          <w:szCs w:val="22"/>
          <w:lang w:val="zh-CN"/>
        </w:rPr>
        <w:t>万欧元</w:t>
      </w:r>
      <w:r>
        <w:rPr>
          <w:rFonts w:hint="eastAsia"/>
          <w:szCs w:val="22"/>
          <w:lang w:val="zh-CN"/>
        </w:rPr>
        <w:t>)</w:t>
      </w:r>
      <w:r>
        <w:rPr>
          <w:rFonts w:hint="eastAsia"/>
          <w:szCs w:val="22"/>
          <w:lang w:val="zh-CN"/>
        </w:rPr>
        <w:t>，包括麻醉设备</w:t>
      </w:r>
      <w:r>
        <w:rPr>
          <w:rFonts w:hint="eastAsia"/>
          <w:szCs w:val="22"/>
          <w:lang w:val="zh-CN"/>
        </w:rPr>
        <w:t>(</w:t>
      </w:r>
      <w:r>
        <w:rPr>
          <w:szCs w:val="22"/>
          <w:lang w:val="zh-CN"/>
        </w:rPr>
        <w:t>70</w:t>
      </w:r>
      <w:r>
        <w:rPr>
          <w:rFonts w:hint="eastAsia"/>
          <w:szCs w:val="22"/>
          <w:lang w:val="zh-CN"/>
        </w:rPr>
        <w:t>)</w:t>
      </w:r>
      <w:r>
        <w:rPr>
          <w:rFonts w:hint="eastAsia"/>
          <w:szCs w:val="22"/>
        </w:rPr>
        <w:t>，吸痰器</w:t>
      </w:r>
      <w:r>
        <w:rPr>
          <w:szCs w:val="22"/>
        </w:rPr>
        <w:t xml:space="preserve"> (400)</w:t>
      </w:r>
      <w:r>
        <w:rPr>
          <w:rFonts w:hint="eastAsia"/>
          <w:szCs w:val="22"/>
        </w:rPr>
        <w:t>，监护仪</w:t>
      </w:r>
      <w:r>
        <w:rPr>
          <w:szCs w:val="22"/>
        </w:rPr>
        <w:t xml:space="preserve"> (200)</w:t>
      </w:r>
      <w:r>
        <w:rPr>
          <w:rFonts w:hint="eastAsia"/>
          <w:szCs w:val="22"/>
        </w:rPr>
        <w:t>，</w:t>
      </w:r>
      <w:r>
        <w:rPr>
          <w:rFonts w:hint="eastAsia"/>
          <w:color w:val="000000"/>
          <w:szCs w:val="22"/>
        </w:rPr>
        <w:t>注射泵</w:t>
      </w:r>
      <w:r>
        <w:rPr>
          <w:szCs w:val="22"/>
        </w:rPr>
        <w:t xml:space="preserve"> (150)</w:t>
      </w:r>
      <w:r>
        <w:rPr>
          <w:rFonts w:hint="eastAsia"/>
          <w:szCs w:val="22"/>
        </w:rPr>
        <w:t>，电烙器</w:t>
      </w:r>
      <w:r>
        <w:rPr>
          <w:szCs w:val="22"/>
        </w:rPr>
        <w:t xml:space="preserve"> (60)</w:t>
      </w:r>
      <w:r>
        <w:rPr>
          <w:rFonts w:hint="eastAsia"/>
          <w:szCs w:val="22"/>
        </w:rPr>
        <w:t>，外科手术台</w:t>
      </w:r>
      <w:r>
        <w:rPr>
          <w:szCs w:val="22"/>
        </w:rPr>
        <w:t xml:space="preserve"> (20) </w:t>
      </w:r>
      <w:r>
        <w:rPr>
          <w:rFonts w:hint="eastAsia"/>
          <w:szCs w:val="22"/>
        </w:rPr>
        <w:t>附手术灯</w:t>
      </w:r>
      <w:r>
        <w:rPr>
          <w:szCs w:val="22"/>
        </w:rPr>
        <w:t>(20)</w:t>
      </w:r>
      <w:r>
        <w:rPr>
          <w:rFonts w:hint="eastAsia"/>
          <w:szCs w:val="22"/>
        </w:rPr>
        <w:t>，呼吸器</w:t>
      </w:r>
      <w:r>
        <w:rPr>
          <w:szCs w:val="22"/>
        </w:rPr>
        <w:t>(40)</w:t>
      </w:r>
      <w:r>
        <w:rPr>
          <w:rFonts w:hint="eastAsia"/>
          <w:szCs w:val="22"/>
        </w:rPr>
        <w:t>，消毒器</w:t>
      </w:r>
      <w:r>
        <w:rPr>
          <w:szCs w:val="22"/>
        </w:rPr>
        <w:t>(20)</w:t>
      </w:r>
      <w:r>
        <w:rPr>
          <w:rFonts w:hint="eastAsia"/>
          <w:szCs w:val="22"/>
        </w:rPr>
        <w:t>，去纤颤器</w:t>
      </w:r>
      <w:r>
        <w:rPr>
          <w:szCs w:val="22"/>
        </w:rPr>
        <w:t xml:space="preserve"> (20)</w:t>
      </w:r>
      <w:r>
        <w:rPr>
          <w:szCs w:val="22"/>
        </w:rPr>
        <w:t>；</w:t>
      </w:r>
      <w:r>
        <w:rPr>
          <w:rFonts w:hint="eastAsia"/>
          <w:szCs w:val="22"/>
        </w:rPr>
        <w:t>已招标购买实验室设备。已支出</w:t>
      </w:r>
      <w:r>
        <w:rPr>
          <w:szCs w:val="22"/>
        </w:rPr>
        <w:t>175</w:t>
      </w:r>
      <w:r>
        <w:rPr>
          <w:rFonts w:hint="eastAsia"/>
          <w:szCs w:val="22"/>
        </w:rPr>
        <w:t>万欧元修</w:t>
      </w:r>
      <w:r>
        <w:rPr>
          <w:rFonts w:hint="eastAsia"/>
          <w:szCs w:val="22"/>
        </w:rPr>
        <w:t>理陈旧设备</w:t>
      </w:r>
      <w:r>
        <w:rPr>
          <w:rFonts w:hint="eastAsia"/>
          <w:szCs w:val="22"/>
        </w:rPr>
        <w:t>(</w:t>
      </w:r>
      <w:r>
        <w:rPr>
          <w:rFonts w:hint="eastAsia"/>
          <w:szCs w:val="22"/>
        </w:rPr>
        <w:t>麻醉设备、消毒器、</w:t>
      </w:r>
      <w:r>
        <w:rPr>
          <w:szCs w:val="22"/>
        </w:rPr>
        <w:t>X</w:t>
      </w:r>
      <w:r>
        <w:rPr>
          <w:rFonts w:hint="eastAsia"/>
          <w:szCs w:val="22"/>
        </w:rPr>
        <w:t>光机、扫描仪、内诊镜</w:t>
      </w:r>
      <w:r>
        <w:rPr>
          <w:rFonts w:hint="eastAsia"/>
          <w:szCs w:val="22"/>
        </w:rPr>
        <w:t>)</w:t>
      </w:r>
      <w:r>
        <w:rPr>
          <w:rFonts w:hint="eastAsia"/>
          <w:szCs w:val="22"/>
        </w:rPr>
        <w:t>。</w:t>
      </w:r>
    </w:p>
    <w:p w:rsidR="00000000" w:rsidRDefault="00844A84">
      <w:pPr>
        <w:autoSpaceDE w:val="0"/>
        <w:autoSpaceDN w:val="0"/>
        <w:ind w:firstLine="510"/>
        <w:rPr>
          <w:szCs w:val="22"/>
          <w:lang w:val="zh-CN"/>
        </w:rPr>
      </w:pPr>
      <w:r>
        <w:rPr>
          <w:szCs w:val="22"/>
          <w:lang w:val="zh-CN"/>
        </w:rPr>
        <w:t>328.</w:t>
      </w:r>
      <w:r>
        <w:rPr>
          <w:rFonts w:hint="eastAsia"/>
          <w:szCs w:val="22"/>
          <w:lang w:val="zh-CN"/>
        </w:rPr>
        <w:t xml:space="preserve">  </w:t>
      </w:r>
      <w:r>
        <w:rPr>
          <w:rFonts w:hint="eastAsia"/>
          <w:szCs w:val="22"/>
          <w:lang w:val="zh-CN"/>
        </w:rPr>
        <w:t>与</w:t>
      </w:r>
      <w:r>
        <w:rPr>
          <w:szCs w:val="22"/>
          <w:lang w:val="zh-CN"/>
        </w:rPr>
        <w:t>EPOS</w:t>
      </w:r>
      <w:r>
        <w:rPr>
          <w:rFonts w:hint="eastAsia"/>
          <w:szCs w:val="22"/>
          <w:lang w:val="zh-CN"/>
        </w:rPr>
        <w:t>公司合作编写有关哮喘、胸痛、肿瘤学、糖尿病等的《最佳实践指南》丛书，并向执业医生推出。</w:t>
      </w:r>
    </w:p>
    <w:p w:rsidR="00000000" w:rsidRDefault="00844A84">
      <w:pPr>
        <w:autoSpaceDE w:val="0"/>
        <w:autoSpaceDN w:val="0"/>
        <w:ind w:firstLine="510"/>
        <w:rPr>
          <w:szCs w:val="22"/>
          <w:lang w:val="zh-CN"/>
        </w:rPr>
      </w:pPr>
      <w:r>
        <w:rPr>
          <w:szCs w:val="22"/>
          <w:lang w:val="zh-CN"/>
        </w:rPr>
        <w:t>329.</w:t>
      </w:r>
      <w:r>
        <w:rPr>
          <w:rFonts w:hint="eastAsia"/>
          <w:szCs w:val="22"/>
          <w:lang w:val="zh-CN"/>
        </w:rPr>
        <w:t xml:space="preserve">  </w:t>
      </w:r>
      <w:r>
        <w:rPr>
          <w:rFonts w:hint="eastAsia"/>
          <w:szCs w:val="22"/>
          <w:lang w:val="zh-CN"/>
        </w:rPr>
        <w:t>塞尔维亚共和国卫生部在欧洲重建机构的协助下，制定了《药品法》并提交塞尔维亚共和国政府通过。除此之外，还发起了恢复输血服务项目。</w:t>
      </w:r>
    </w:p>
    <w:p w:rsidR="00000000" w:rsidRDefault="00844A84">
      <w:pPr>
        <w:autoSpaceDE w:val="0"/>
        <w:autoSpaceDN w:val="0"/>
        <w:ind w:firstLine="510"/>
        <w:rPr>
          <w:szCs w:val="22"/>
        </w:rPr>
      </w:pPr>
      <w:r>
        <w:rPr>
          <w:szCs w:val="22"/>
        </w:rPr>
        <w:t>3</w:t>
      </w:r>
      <w:r>
        <w:rPr>
          <w:szCs w:val="22"/>
          <w:lang w:val="zh-CN"/>
        </w:rPr>
        <w:t>30.</w:t>
      </w:r>
      <w:r>
        <w:rPr>
          <w:rFonts w:hint="eastAsia"/>
          <w:szCs w:val="22"/>
        </w:rPr>
        <w:t xml:space="preserve">  </w:t>
      </w:r>
      <w:r>
        <w:rPr>
          <w:rFonts w:hint="eastAsia"/>
          <w:szCs w:val="22"/>
          <w:lang w:val="zh-CN"/>
        </w:rPr>
        <w:t>与挪威政府合作，启动了价值</w:t>
      </w:r>
      <w:r>
        <w:rPr>
          <w:szCs w:val="22"/>
          <w:lang w:val="zh-CN"/>
        </w:rPr>
        <w:t>220</w:t>
      </w:r>
      <w:r>
        <w:rPr>
          <w:rFonts w:hint="eastAsia"/>
          <w:szCs w:val="22"/>
          <w:lang w:val="zh-CN"/>
        </w:rPr>
        <w:t>万欧元的两个项目。这两个项目旨在重建克拉古耶瓦茨、瓦列沃、</w:t>
      </w:r>
      <w:r>
        <w:rPr>
          <w:rFonts w:hint="eastAsia"/>
          <w:color w:val="000000"/>
          <w:szCs w:val="22"/>
        </w:rPr>
        <w:t>兹雷尼亚宁</w:t>
      </w:r>
      <w:r>
        <w:rPr>
          <w:rFonts w:hint="eastAsia"/>
          <w:szCs w:val="22"/>
        </w:rPr>
        <w:t>和</w:t>
      </w:r>
      <w:r>
        <w:rPr>
          <w:rFonts w:hint="eastAsia"/>
          <w:color w:val="000000"/>
          <w:szCs w:val="22"/>
        </w:rPr>
        <w:t>扎耶查尔的</w:t>
      </w:r>
      <w:r>
        <w:rPr>
          <w:rFonts w:hint="eastAsia"/>
          <w:szCs w:val="22"/>
        </w:rPr>
        <w:t>医疗急救系统，并为之购买设备，计划于</w:t>
      </w:r>
      <w:r>
        <w:rPr>
          <w:szCs w:val="22"/>
        </w:rPr>
        <w:t>2003</w:t>
      </w:r>
      <w:r>
        <w:rPr>
          <w:rFonts w:hint="eastAsia"/>
          <w:szCs w:val="22"/>
        </w:rPr>
        <w:t>年</w:t>
      </w:r>
      <w:r>
        <w:rPr>
          <w:szCs w:val="22"/>
        </w:rPr>
        <w:t>1</w:t>
      </w:r>
      <w:r>
        <w:rPr>
          <w:rFonts w:hint="eastAsia"/>
          <w:szCs w:val="22"/>
        </w:rPr>
        <w:t>月或</w:t>
      </w:r>
      <w:r>
        <w:rPr>
          <w:szCs w:val="22"/>
        </w:rPr>
        <w:t>2</w:t>
      </w:r>
      <w:r>
        <w:rPr>
          <w:rFonts w:hint="eastAsia"/>
          <w:szCs w:val="22"/>
        </w:rPr>
        <w:t>月完成。卫生部和挪威政府共</w:t>
      </w:r>
      <w:r>
        <w:rPr>
          <w:rFonts w:hint="eastAsia"/>
          <w:szCs w:val="22"/>
        </w:rPr>
        <w:t>同启动了贝尔格莱德医药研究院信息系统的开发工程。目前，挪威政府预计将正式批准软件购买标书的技术部分。本项目预计</w:t>
      </w:r>
      <w:r>
        <w:rPr>
          <w:szCs w:val="22"/>
        </w:rPr>
        <w:t>2003</w:t>
      </w:r>
      <w:r>
        <w:rPr>
          <w:rFonts w:hint="eastAsia"/>
          <w:szCs w:val="22"/>
        </w:rPr>
        <w:t>年完成。</w:t>
      </w:r>
    </w:p>
    <w:p w:rsidR="00000000" w:rsidRDefault="00844A84">
      <w:pPr>
        <w:autoSpaceDE w:val="0"/>
        <w:autoSpaceDN w:val="0"/>
        <w:ind w:firstLine="510"/>
        <w:rPr>
          <w:szCs w:val="22"/>
        </w:rPr>
      </w:pPr>
      <w:r>
        <w:rPr>
          <w:szCs w:val="22"/>
        </w:rPr>
        <w:t>331.</w:t>
      </w:r>
      <w:r>
        <w:rPr>
          <w:rFonts w:hint="eastAsia"/>
          <w:szCs w:val="22"/>
        </w:rPr>
        <w:t xml:space="preserve">  </w:t>
      </w:r>
      <w:r>
        <w:rPr>
          <w:rFonts w:hint="eastAsia"/>
          <w:szCs w:val="22"/>
        </w:rPr>
        <w:t>已根据《希腊计划》提交申请，发展和重建</w:t>
      </w:r>
      <w:r>
        <w:rPr>
          <w:szCs w:val="22"/>
        </w:rPr>
        <w:t>E-10</w:t>
      </w:r>
      <w:r>
        <w:rPr>
          <w:rFonts w:hint="eastAsia"/>
          <w:szCs w:val="22"/>
        </w:rPr>
        <w:t>走廊沿线紧急医疗服务项目，总金额</w:t>
      </w:r>
      <w:r>
        <w:rPr>
          <w:szCs w:val="22"/>
        </w:rPr>
        <w:t>1,000</w:t>
      </w:r>
      <w:r>
        <w:rPr>
          <w:rFonts w:hint="eastAsia"/>
          <w:szCs w:val="22"/>
        </w:rPr>
        <w:t>万欧元</w:t>
      </w:r>
      <w:r>
        <w:rPr>
          <w:rFonts w:hint="eastAsia"/>
          <w:szCs w:val="22"/>
        </w:rPr>
        <w:t>(</w:t>
      </w:r>
      <w:r>
        <w:rPr>
          <w:rFonts w:hint="eastAsia"/>
          <w:szCs w:val="22"/>
        </w:rPr>
        <w:t>其中</w:t>
      </w:r>
      <w:r>
        <w:rPr>
          <w:szCs w:val="22"/>
        </w:rPr>
        <w:t>800</w:t>
      </w:r>
      <w:r>
        <w:rPr>
          <w:rFonts w:hint="eastAsia"/>
          <w:szCs w:val="22"/>
        </w:rPr>
        <w:t>万欧元由希腊政府提供，</w:t>
      </w:r>
      <w:r>
        <w:rPr>
          <w:szCs w:val="22"/>
        </w:rPr>
        <w:t>200</w:t>
      </w:r>
      <w:r>
        <w:rPr>
          <w:rFonts w:hint="eastAsia"/>
          <w:szCs w:val="22"/>
        </w:rPr>
        <w:t>万欧元来自财政拨款和其他捐助者</w:t>
      </w:r>
      <w:r>
        <w:rPr>
          <w:rFonts w:hint="eastAsia"/>
          <w:szCs w:val="22"/>
        </w:rPr>
        <w:t>)</w:t>
      </w:r>
      <w:r>
        <w:rPr>
          <w:rFonts w:hint="eastAsia"/>
          <w:szCs w:val="22"/>
        </w:rPr>
        <w:t>。已根据《希腊计划》申请使用剩余资金，开展价值为</w:t>
      </w:r>
      <w:r>
        <w:rPr>
          <w:szCs w:val="22"/>
        </w:rPr>
        <w:t>200</w:t>
      </w:r>
      <w:r>
        <w:rPr>
          <w:rFonts w:hint="eastAsia"/>
          <w:szCs w:val="22"/>
        </w:rPr>
        <w:t>万欧元的医疗废物管理项目，并可与环境和自然资源部联合进行项目管理。</w:t>
      </w:r>
    </w:p>
    <w:p w:rsidR="00000000" w:rsidRDefault="00844A84">
      <w:pPr>
        <w:autoSpaceDE w:val="0"/>
        <w:autoSpaceDN w:val="0"/>
        <w:spacing w:after="320"/>
        <w:ind w:firstLine="510"/>
        <w:rPr>
          <w:szCs w:val="22"/>
          <w:lang w:val="zh-CN"/>
        </w:rPr>
      </w:pPr>
      <w:r>
        <w:rPr>
          <w:szCs w:val="22"/>
          <w:lang w:val="zh-CN"/>
        </w:rPr>
        <w:t>332.</w:t>
      </w:r>
      <w:r>
        <w:rPr>
          <w:rFonts w:hint="eastAsia"/>
          <w:szCs w:val="22"/>
        </w:rPr>
        <w:t xml:space="preserve">  </w:t>
      </w:r>
      <w:r>
        <w:rPr>
          <w:rFonts w:hint="eastAsia"/>
          <w:szCs w:val="22"/>
        </w:rPr>
        <w:t>欧洲联盟委员会人道主义事务处</w:t>
      </w:r>
      <w:r>
        <w:rPr>
          <w:szCs w:val="22"/>
        </w:rPr>
        <w:t>(</w:t>
      </w:r>
      <w:r>
        <w:rPr>
          <w:rFonts w:hint="eastAsia"/>
          <w:szCs w:val="22"/>
        </w:rPr>
        <w:t>欧盟人道处</w:t>
      </w:r>
      <w:r>
        <w:rPr>
          <w:szCs w:val="22"/>
        </w:rPr>
        <w:t>)</w:t>
      </w:r>
      <w:r>
        <w:rPr>
          <w:rFonts w:hint="eastAsia"/>
          <w:szCs w:val="22"/>
        </w:rPr>
        <w:t>及其合作伙伴在征得塞尔维亚共和</w:t>
      </w:r>
      <w:r>
        <w:rPr>
          <w:rFonts w:hint="eastAsia"/>
          <w:szCs w:val="22"/>
        </w:rPr>
        <w:t>国卫生部同意后，参与购买医疗设备</w:t>
      </w:r>
      <w:r>
        <w:rPr>
          <w:rFonts w:hint="eastAsia"/>
          <w:szCs w:val="22"/>
        </w:rPr>
        <w:t>(</w:t>
      </w:r>
      <w:r>
        <w:rPr>
          <w:rFonts w:hint="eastAsia"/>
          <w:szCs w:val="22"/>
        </w:rPr>
        <w:t>阴道镜、带设备的巡诊医疗袋、离心机、生化分析仪、消毒器</w:t>
      </w:r>
      <w:r>
        <w:rPr>
          <w:rFonts w:hint="eastAsia"/>
          <w:szCs w:val="22"/>
        </w:rPr>
        <w:t>)</w:t>
      </w:r>
      <w:r>
        <w:rPr>
          <w:rFonts w:hint="eastAsia"/>
          <w:szCs w:val="22"/>
        </w:rPr>
        <w:t>、购买初级卫生保健巡诊车辆、重建医疗机构建筑物、向康复中心和保健室提供援助、向残疾人和有特殊需求的人提供援助。总预算为</w:t>
      </w:r>
      <w:r>
        <w:rPr>
          <w:szCs w:val="22"/>
        </w:rPr>
        <w:t>650</w:t>
      </w:r>
      <w:r>
        <w:rPr>
          <w:rFonts w:hint="eastAsia"/>
          <w:szCs w:val="22"/>
        </w:rPr>
        <w:t>万欧元，并已根据优先需求清单全部发放。</w:t>
      </w:r>
    </w:p>
    <w:p w:rsidR="00000000" w:rsidRDefault="00844A84">
      <w:pPr>
        <w:pStyle w:val="Heading3"/>
        <w:rPr>
          <w:rFonts w:hint="eastAsia"/>
          <w:kern w:val="0"/>
        </w:rPr>
      </w:pPr>
      <w:r>
        <w:rPr>
          <w:rFonts w:hint="eastAsia"/>
          <w:kern w:val="0"/>
        </w:rPr>
        <w:t>第</w:t>
      </w:r>
      <w:r>
        <w:rPr>
          <w:rFonts w:hint="eastAsia"/>
          <w:kern w:val="0"/>
        </w:rPr>
        <w:t xml:space="preserve"> </w:t>
      </w:r>
      <w:r>
        <w:rPr>
          <w:rFonts w:hint="eastAsia"/>
          <w:kern w:val="0"/>
        </w:rPr>
        <w:t>十三</w:t>
      </w:r>
      <w:r>
        <w:rPr>
          <w:rFonts w:hint="eastAsia"/>
          <w:kern w:val="0"/>
        </w:rPr>
        <w:t xml:space="preserve"> </w:t>
      </w:r>
      <w:r>
        <w:rPr>
          <w:rFonts w:hint="eastAsia"/>
          <w:kern w:val="0"/>
        </w:rPr>
        <w:t>条</w:t>
      </w:r>
    </w:p>
    <w:p w:rsidR="00000000" w:rsidRDefault="00844A84">
      <w:pPr>
        <w:pStyle w:val="Heading3"/>
        <w:rPr>
          <w:rFonts w:hint="eastAsia"/>
          <w:kern w:val="0"/>
        </w:rPr>
      </w:pPr>
      <w:r>
        <w:rPr>
          <w:rFonts w:hint="eastAsia"/>
          <w:kern w:val="0"/>
          <w:u w:val="none"/>
        </w:rPr>
        <w:t xml:space="preserve">A.  </w:t>
      </w:r>
      <w:r>
        <w:rPr>
          <w:rFonts w:hint="eastAsia"/>
          <w:kern w:val="0"/>
        </w:rPr>
        <w:t>人人享有平等接受教育的权利</w:t>
      </w:r>
    </w:p>
    <w:p w:rsidR="00000000" w:rsidRDefault="00844A84">
      <w:pPr>
        <w:rPr>
          <w:rFonts w:hint="eastAsia"/>
          <w:snapToGrid/>
        </w:rPr>
      </w:pPr>
      <w:r>
        <w:rPr>
          <w:rFonts w:hint="eastAsia"/>
          <w:snapToGrid/>
        </w:rPr>
        <w:tab/>
      </w:r>
      <w:r>
        <w:rPr>
          <w:snapToGrid/>
        </w:rPr>
        <w:t>333.</w:t>
      </w:r>
      <w:r>
        <w:rPr>
          <w:rFonts w:hint="eastAsia"/>
          <w:snapToGrid/>
        </w:rPr>
        <w:t xml:space="preserve">  </w:t>
      </w:r>
      <w:r>
        <w:rPr>
          <w:rFonts w:hint="eastAsia"/>
          <w:snapToGrid/>
        </w:rPr>
        <w:t>《南斯拉夫联盟共和国宪法》保障人人享有平等接受教育的权利</w:t>
      </w:r>
      <w:r>
        <w:rPr>
          <w:rFonts w:hint="eastAsia"/>
          <w:snapToGrid/>
        </w:rPr>
        <w:t>(</w:t>
      </w:r>
      <w:r>
        <w:rPr>
          <w:rFonts w:hint="eastAsia"/>
          <w:snapToGrid/>
        </w:rPr>
        <w:t>《宪章》第</w:t>
      </w:r>
      <w:r>
        <w:rPr>
          <w:rFonts w:hint="eastAsia"/>
          <w:snapToGrid/>
        </w:rPr>
        <w:t>62</w:t>
      </w:r>
      <w:r>
        <w:rPr>
          <w:rFonts w:hint="eastAsia"/>
          <w:snapToGrid/>
        </w:rPr>
        <w:t>条</w:t>
      </w:r>
      <w:r>
        <w:rPr>
          <w:rFonts w:hint="eastAsia"/>
          <w:snapToGrid/>
        </w:rPr>
        <w:t>)</w:t>
      </w:r>
      <w:r>
        <w:rPr>
          <w:rFonts w:hint="eastAsia"/>
          <w:snapToGrid/>
        </w:rPr>
        <w:t>。</w:t>
      </w:r>
    </w:p>
    <w:p w:rsidR="00000000" w:rsidRDefault="00844A84">
      <w:pPr>
        <w:rPr>
          <w:rFonts w:hint="eastAsia"/>
          <w:snapToGrid/>
        </w:rPr>
      </w:pPr>
      <w:r>
        <w:rPr>
          <w:rFonts w:hint="eastAsia"/>
          <w:snapToGrid/>
        </w:rPr>
        <w:tab/>
      </w:r>
      <w:r>
        <w:rPr>
          <w:snapToGrid/>
        </w:rPr>
        <w:t>334.</w:t>
      </w:r>
      <w:r>
        <w:rPr>
          <w:rFonts w:hint="eastAsia"/>
          <w:snapToGrid/>
        </w:rPr>
        <w:t xml:space="preserve">  </w:t>
      </w:r>
      <w:r>
        <w:rPr>
          <w:rFonts w:hint="eastAsia"/>
          <w:snapToGrid/>
        </w:rPr>
        <w:t>《人权和少数群体权利及公民自由宪章》也保障这一权利，并规定提供初等义务教育，各成员国有义务确保提供免</w:t>
      </w:r>
      <w:r>
        <w:rPr>
          <w:rFonts w:hint="eastAsia"/>
          <w:snapToGrid/>
        </w:rPr>
        <w:t>费初等教育。此外《宪章》还规定，由各成员国的法律规范创办中小学和大学的事宜</w:t>
      </w:r>
      <w:r>
        <w:rPr>
          <w:rFonts w:hint="eastAsia"/>
          <w:snapToGrid/>
        </w:rPr>
        <w:t>(</w:t>
      </w:r>
      <w:r>
        <w:rPr>
          <w:rFonts w:hint="eastAsia"/>
          <w:snapToGrid/>
        </w:rPr>
        <w:t>第</w:t>
      </w:r>
      <w:r>
        <w:rPr>
          <w:rFonts w:hint="eastAsia"/>
          <w:snapToGrid/>
        </w:rPr>
        <w:t>43</w:t>
      </w:r>
      <w:r>
        <w:rPr>
          <w:rFonts w:hint="eastAsia"/>
          <w:snapToGrid/>
        </w:rPr>
        <w:t>条</w:t>
      </w:r>
      <w:r>
        <w:rPr>
          <w:rFonts w:hint="eastAsia"/>
          <w:snapToGrid/>
        </w:rPr>
        <w:t>)</w:t>
      </w:r>
      <w:r>
        <w:rPr>
          <w:rFonts w:hint="eastAsia"/>
          <w:snapToGrid/>
        </w:rPr>
        <w:t>。</w:t>
      </w:r>
    </w:p>
    <w:p w:rsidR="00000000" w:rsidRDefault="00844A84">
      <w:pPr>
        <w:spacing w:after="320"/>
        <w:rPr>
          <w:rFonts w:hint="eastAsia"/>
          <w:snapToGrid/>
        </w:rPr>
      </w:pPr>
      <w:r>
        <w:rPr>
          <w:rFonts w:hint="eastAsia"/>
          <w:snapToGrid/>
        </w:rPr>
        <w:tab/>
      </w:r>
      <w:r>
        <w:rPr>
          <w:snapToGrid/>
        </w:rPr>
        <w:t>335.</w:t>
      </w:r>
      <w:r>
        <w:rPr>
          <w:rFonts w:hint="eastAsia"/>
          <w:snapToGrid/>
        </w:rPr>
        <w:t xml:space="preserve">  </w:t>
      </w:r>
      <w:r>
        <w:rPr>
          <w:rFonts w:hint="eastAsia"/>
          <w:snapToGrid/>
        </w:rPr>
        <w:t>《塞尔维亚共和国宪法》认识到，人人都享有在正规教育系统免费接受中等、大专和大学教育的权利。</w:t>
      </w:r>
    </w:p>
    <w:p w:rsidR="00000000" w:rsidRDefault="00844A84">
      <w:pPr>
        <w:pStyle w:val="Heading3"/>
        <w:rPr>
          <w:rFonts w:hint="eastAsia"/>
        </w:rPr>
      </w:pPr>
      <w:r>
        <w:rPr>
          <w:rFonts w:hint="eastAsia"/>
          <w:u w:val="none"/>
        </w:rPr>
        <w:t xml:space="preserve">B.  </w:t>
      </w:r>
      <w:r>
        <w:rPr>
          <w:rFonts w:hint="eastAsia"/>
        </w:rPr>
        <w:t>初等教育</w:t>
      </w:r>
      <w:r>
        <w:rPr>
          <w:rFonts w:hint="eastAsia"/>
          <w:spacing w:val="-50"/>
        </w:rPr>
        <w:t>―</w:t>
      </w:r>
      <w:r>
        <w:rPr>
          <w:rFonts w:hint="eastAsia"/>
        </w:rPr>
        <w:t>―人人都可接受免费义务教育</w:t>
      </w:r>
    </w:p>
    <w:p w:rsidR="00000000" w:rsidRDefault="00844A84">
      <w:pPr>
        <w:rPr>
          <w:rFonts w:hint="eastAsia"/>
          <w:snapToGrid/>
        </w:rPr>
      </w:pPr>
      <w:r>
        <w:rPr>
          <w:rFonts w:hint="eastAsia"/>
          <w:snapToGrid/>
        </w:rPr>
        <w:tab/>
      </w:r>
      <w:r>
        <w:rPr>
          <w:snapToGrid/>
        </w:rPr>
        <w:t>336.</w:t>
      </w:r>
      <w:r>
        <w:rPr>
          <w:rFonts w:hint="eastAsia"/>
          <w:snapToGrid/>
        </w:rPr>
        <w:t xml:space="preserve">  </w:t>
      </w:r>
      <w:r>
        <w:rPr>
          <w:rFonts w:hint="eastAsia"/>
          <w:snapToGrid/>
        </w:rPr>
        <w:t>《初等教育法》</w:t>
      </w:r>
      <w:r>
        <w:rPr>
          <w:rFonts w:hint="eastAsia"/>
          <w:snapToGrid/>
        </w:rPr>
        <w:t>(</w:t>
      </w:r>
      <w:r>
        <w:rPr>
          <w:rFonts w:hint="eastAsia"/>
          <w:snapToGrid/>
        </w:rPr>
        <w:t>《塞尔维亚共和国公报》第</w:t>
      </w:r>
      <w:r>
        <w:rPr>
          <w:rFonts w:hint="eastAsia"/>
          <w:snapToGrid/>
        </w:rPr>
        <w:t>12/50/92/06</w:t>
      </w:r>
      <w:r>
        <w:rPr>
          <w:rFonts w:hint="eastAsia"/>
          <w:snapToGrid/>
        </w:rPr>
        <w:t>号</w:t>
      </w:r>
      <w:r>
        <w:rPr>
          <w:rFonts w:hint="eastAsia"/>
          <w:snapToGrid/>
        </w:rPr>
        <w:t>)</w:t>
      </w:r>
      <w:r>
        <w:rPr>
          <w:rFonts w:hint="eastAsia"/>
          <w:snapToGrid/>
        </w:rPr>
        <w:t>规定，学龄</w:t>
      </w:r>
      <w:r>
        <w:rPr>
          <w:rFonts w:hint="eastAsia"/>
          <w:snapToGrid/>
        </w:rPr>
        <w:t>(7</w:t>
      </w:r>
      <w:r>
        <w:rPr>
          <w:rFonts w:hint="eastAsia"/>
          <w:snapToGrid/>
        </w:rPr>
        <w:t>至</w:t>
      </w:r>
      <w:r>
        <w:rPr>
          <w:rFonts w:hint="eastAsia"/>
          <w:snapToGrid/>
        </w:rPr>
        <w:t>14</w:t>
      </w:r>
      <w:r>
        <w:rPr>
          <w:rFonts w:hint="eastAsia"/>
          <w:snapToGrid/>
        </w:rPr>
        <w:t>岁</w:t>
      </w:r>
      <w:r>
        <w:rPr>
          <w:rFonts w:hint="eastAsia"/>
          <w:snapToGrid/>
        </w:rPr>
        <w:t>)</w:t>
      </w:r>
      <w:r>
        <w:rPr>
          <w:rFonts w:hint="eastAsia"/>
          <w:snapToGrid/>
        </w:rPr>
        <w:t>儿童均须接受初等义务教育。小学的教学和教育通过为期八年的课程和教学大纲完成</w:t>
      </w:r>
      <w:r>
        <w:rPr>
          <w:rFonts w:hint="eastAsia"/>
          <w:snapToGrid/>
        </w:rPr>
        <w:t>(</w:t>
      </w:r>
      <w:r>
        <w:rPr>
          <w:rFonts w:hint="eastAsia"/>
          <w:snapToGrid/>
        </w:rPr>
        <w:t>上述法令第</w:t>
      </w:r>
      <w:r>
        <w:rPr>
          <w:rFonts w:hint="eastAsia"/>
          <w:snapToGrid/>
        </w:rPr>
        <w:t>1</w:t>
      </w:r>
      <w:r>
        <w:rPr>
          <w:rFonts w:hint="eastAsia"/>
          <w:snapToGrid/>
        </w:rPr>
        <w:t>条</w:t>
      </w:r>
      <w:r>
        <w:rPr>
          <w:rFonts w:hint="eastAsia"/>
          <w:snapToGrid/>
        </w:rPr>
        <w:t>)</w:t>
      </w:r>
      <w:r>
        <w:rPr>
          <w:rFonts w:hint="eastAsia"/>
          <w:snapToGrid/>
        </w:rPr>
        <w:t>。在初等教育方面，公民可行使以下权利：接受八年初等教育的权利；接受初等教育</w:t>
      </w:r>
      <w:r>
        <w:rPr>
          <w:rFonts w:hint="eastAsia"/>
          <w:snapToGrid/>
        </w:rPr>
        <w:t>和成人教育的权利；塞尔维亚共和国公民子女享有接受初等音乐和芭蕾舞教育以及补充初等教育的权利</w:t>
      </w:r>
      <w:r>
        <w:rPr>
          <w:rFonts w:hint="eastAsia"/>
          <w:snapToGrid/>
        </w:rPr>
        <w:t>(</w:t>
      </w:r>
      <w:r>
        <w:rPr>
          <w:rFonts w:hint="eastAsia"/>
          <w:snapToGrid/>
        </w:rPr>
        <w:t>第</w:t>
      </w:r>
      <w:r>
        <w:rPr>
          <w:rFonts w:hint="eastAsia"/>
          <w:snapToGrid/>
        </w:rPr>
        <w:t>8</w:t>
      </w:r>
      <w:r>
        <w:rPr>
          <w:rFonts w:hint="eastAsia"/>
          <w:snapToGrid/>
        </w:rPr>
        <w:t>条</w:t>
      </w:r>
      <w:r>
        <w:rPr>
          <w:rFonts w:hint="eastAsia"/>
          <w:snapToGrid/>
        </w:rPr>
        <w:t>)</w:t>
      </w:r>
      <w:r>
        <w:rPr>
          <w:rFonts w:hint="eastAsia"/>
          <w:snapToGrid/>
        </w:rPr>
        <w:t>。</w:t>
      </w:r>
    </w:p>
    <w:p w:rsidR="00000000" w:rsidRDefault="00844A84">
      <w:pPr>
        <w:rPr>
          <w:rFonts w:hint="eastAsia"/>
          <w:snapToGrid/>
        </w:rPr>
      </w:pPr>
      <w:r>
        <w:rPr>
          <w:rFonts w:hint="eastAsia"/>
          <w:snapToGrid/>
        </w:rPr>
        <w:tab/>
      </w:r>
      <w:r>
        <w:rPr>
          <w:snapToGrid/>
        </w:rPr>
        <w:t>337.</w:t>
      </w:r>
      <w:r>
        <w:rPr>
          <w:rFonts w:hint="eastAsia"/>
          <w:snapToGrid/>
        </w:rPr>
        <w:t xml:space="preserve">  </w:t>
      </w:r>
      <w:r>
        <w:rPr>
          <w:rFonts w:hint="eastAsia"/>
          <w:snapToGrid/>
        </w:rPr>
        <w:t>《初等教育法》规定，小学学龄儿童均须上学，因为初等教育是免费教育。法令第</w:t>
      </w:r>
      <w:r>
        <w:rPr>
          <w:rFonts w:hint="eastAsia"/>
          <w:snapToGrid/>
        </w:rPr>
        <w:t>40</w:t>
      </w:r>
      <w:r>
        <w:rPr>
          <w:rFonts w:hint="eastAsia"/>
          <w:snapToGrid/>
        </w:rPr>
        <w:t>条规定，家长、养父和养母或监护人应负责使子女进一年级就学，负责他们正常上学并履行对学童所要求的其他义务。</w:t>
      </w:r>
      <w:r>
        <w:rPr>
          <w:rStyle w:val="EndnoteReference"/>
          <w:snapToGrid/>
        </w:rPr>
        <w:endnoteReference w:id="26"/>
      </w:r>
    </w:p>
    <w:p w:rsidR="00000000" w:rsidRDefault="00844A84">
      <w:pPr>
        <w:rPr>
          <w:rFonts w:hint="eastAsia"/>
          <w:snapToGrid/>
        </w:rPr>
      </w:pPr>
      <w:r>
        <w:rPr>
          <w:rFonts w:hint="eastAsia"/>
          <w:snapToGrid/>
        </w:rPr>
        <w:tab/>
      </w:r>
      <w:r>
        <w:rPr>
          <w:snapToGrid/>
        </w:rPr>
        <w:t>338.</w:t>
      </w:r>
      <w:r>
        <w:rPr>
          <w:rFonts w:hint="eastAsia"/>
          <w:snapToGrid/>
        </w:rPr>
        <w:t xml:space="preserve">  </w:t>
      </w:r>
      <w:r>
        <w:rPr>
          <w:rFonts w:hint="eastAsia"/>
          <w:snapToGrid/>
        </w:rPr>
        <w:t>官方统计数字是有关人人接受初等义务教育有关法律和条例的指数之一，这些指数表明有关法律已得到切实实施。根据这些统计数据，前两个学年</w:t>
      </w:r>
      <w:r>
        <w:rPr>
          <w:rFonts w:hint="eastAsia"/>
          <w:snapToGrid/>
        </w:rPr>
        <w:t>(</w:t>
      </w:r>
      <w:r>
        <w:rPr>
          <w:snapToGrid/>
        </w:rPr>
        <w:t>1999</w:t>
      </w:r>
      <w:r>
        <w:rPr>
          <w:rFonts w:hint="eastAsia"/>
          <w:snapToGrid/>
        </w:rPr>
        <w:t>-</w:t>
      </w:r>
      <w:r>
        <w:rPr>
          <w:snapToGrid/>
        </w:rPr>
        <w:t>2000</w:t>
      </w:r>
      <w:r>
        <w:rPr>
          <w:rFonts w:hint="eastAsia"/>
          <w:snapToGrid/>
        </w:rPr>
        <w:t>和</w:t>
      </w:r>
      <w:r>
        <w:rPr>
          <w:rFonts w:hint="eastAsia"/>
          <w:snapToGrid/>
        </w:rPr>
        <w:t>2000-</w:t>
      </w:r>
      <w:r>
        <w:rPr>
          <w:snapToGrid/>
        </w:rPr>
        <w:t>2001</w:t>
      </w:r>
      <w:r>
        <w:rPr>
          <w:rFonts w:hint="eastAsia"/>
          <w:snapToGrid/>
        </w:rPr>
        <w:t>)</w:t>
      </w:r>
      <w:r>
        <w:rPr>
          <w:rFonts w:hint="eastAsia"/>
          <w:snapToGrid/>
        </w:rPr>
        <w:t>内，</w:t>
      </w:r>
      <w:r>
        <w:rPr>
          <w:rFonts w:hint="eastAsia"/>
          <w:snapToGrid/>
        </w:rPr>
        <w:t>98%</w:t>
      </w:r>
      <w:r>
        <w:rPr>
          <w:rFonts w:hint="eastAsia"/>
          <w:snapToGrid/>
        </w:rPr>
        <w:t>以上的小学学龄儿</w:t>
      </w:r>
      <w:r>
        <w:rPr>
          <w:rFonts w:hint="eastAsia"/>
          <w:snapToGrid/>
        </w:rPr>
        <w:t>童接受了义务初等教育。辍学率约为</w:t>
      </w:r>
      <w:r>
        <w:rPr>
          <w:rFonts w:hint="eastAsia"/>
          <w:snapToGrid/>
        </w:rPr>
        <w:t>1%</w:t>
      </w:r>
      <w:r>
        <w:rPr>
          <w:rFonts w:hint="eastAsia"/>
          <w:snapToGrid/>
        </w:rPr>
        <w:t>，顺利完成初等教育的比例超过</w:t>
      </w:r>
      <w:r>
        <w:rPr>
          <w:rFonts w:hint="eastAsia"/>
          <w:snapToGrid/>
        </w:rPr>
        <w:t>98%</w:t>
      </w:r>
      <w:r>
        <w:rPr>
          <w:rFonts w:hint="eastAsia"/>
          <w:snapToGrid/>
        </w:rPr>
        <w:t>。</w:t>
      </w:r>
      <w:r>
        <w:rPr>
          <w:rStyle w:val="EndnoteReference"/>
          <w:snapToGrid/>
        </w:rPr>
        <w:endnoteReference w:id="27"/>
      </w:r>
      <w:r>
        <w:rPr>
          <w:rFonts w:hint="eastAsia"/>
          <w:snapToGrid/>
        </w:rPr>
        <w:t xml:space="preserve"> </w:t>
      </w:r>
      <w:r>
        <w:rPr>
          <w:rFonts w:hint="eastAsia"/>
          <w:snapToGrid/>
        </w:rPr>
        <w:t>同样以官方调查为依据的其他各项指数表明，光凭完成初等教育的儿童的百分比</w:t>
      </w:r>
      <w:r>
        <w:rPr>
          <w:rFonts w:hint="eastAsia"/>
          <w:snapToGrid/>
        </w:rPr>
        <w:t>(</w:t>
      </w:r>
      <w:r>
        <w:rPr>
          <w:rFonts w:hint="eastAsia"/>
          <w:snapToGrid/>
        </w:rPr>
        <w:t>或数字</w:t>
      </w:r>
      <w:r>
        <w:rPr>
          <w:rFonts w:hint="eastAsia"/>
          <w:snapToGrid/>
        </w:rPr>
        <w:t>)</w:t>
      </w:r>
      <w:r>
        <w:rPr>
          <w:rFonts w:hint="eastAsia"/>
          <w:snapToGrid/>
        </w:rPr>
        <w:t>，并不一定能深入了解是否所有的儿童都完成了八年义务教育。</w:t>
      </w:r>
    </w:p>
    <w:p w:rsidR="00000000" w:rsidRDefault="00844A84">
      <w:pPr>
        <w:rPr>
          <w:rFonts w:hint="eastAsia"/>
          <w:snapToGrid/>
        </w:rPr>
      </w:pPr>
      <w:r>
        <w:rPr>
          <w:rFonts w:hint="eastAsia"/>
          <w:snapToGrid/>
        </w:rPr>
        <w:tab/>
      </w:r>
      <w:r>
        <w:rPr>
          <w:snapToGrid/>
        </w:rPr>
        <w:t>339.</w:t>
      </w:r>
      <w:r>
        <w:rPr>
          <w:rFonts w:hint="eastAsia"/>
          <w:snapToGrid/>
        </w:rPr>
        <w:t xml:space="preserve">  </w:t>
      </w:r>
      <w:r>
        <w:rPr>
          <w:rFonts w:hint="eastAsia"/>
          <w:snapToGrid/>
        </w:rPr>
        <w:t>儿童基金会代表以及各共和国教育部对</w:t>
      </w:r>
      <w:r>
        <w:rPr>
          <w:snapToGrid/>
        </w:rPr>
        <w:t>1990</w:t>
      </w:r>
      <w:r>
        <w:rPr>
          <w:rFonts w:hint="eastAsia"/>
          <w:snapToGrid/>
        </w:rPr>
        <w:t>-2000</w:t>
      </w:r>
      <w:r>
        <w:rPr>
          <w:rFonts w:hint="eastAsia"/>
          <w:snapToGrid/>
        </w:rPr>
        <w:t>年南斯拉夫联盟共和国境内初等教育系统的分析</w:t>
      </w:r>
      <w:r>
        <w:rPr>
          <w:rStyle w:val="EndnoteReference"/>
          <w:snapToGrid/>
        </w:rPr>
        <w:endnoteReference w:id="28"/>
      </w:r>
      <w:r>
        <w:rPr>
          <w:snapToGrid/>
        </w:rPr>
        <w:t xml:space="preserve"> </w:t>
      </w:r>
      <w:r>
        <w:rPr>
          <w:rFonts w:hint="eastAsia"/>
          <w:snapToGrid/>
        </w:rPr>
        <w:t>表明，完成初等教育的情况并不平衡。小学学童的某些群体</w:t>
      </w:r>
      <w:r>
        <w:rPr>
          <w:rFonts w:hint="eastAsia"/>
          <w:snapToGrid/>
        </w:rPr>
        <w:t>(</w:t>
      </w:r>
      <w:r>
        <w:rPr>
          <w:rFonts w:hint="eastAsia"/>
          <w:snapToGrid/>
        </w:rPr>
        <w:t>尤其是罗姆族儿童和其他少数族裔儿童、边远农村地区的儿童、有特殊需求的儿童、人数日增的难民儿童和流离失所儿童</w:t>
      </w:r>
      <w:r>
        <w:rPr>
          <w:rFonts w:hint="eastAsia"/>
          <w:snapToGrid/>
        </w:rPr>
        <w:t>)</w:t>
      </w:r>
      <w:r>
        <w:rPr>
          <w:rFonts w:hint="eastAsia"/>
          <w:snapToGrid/>
        </w:rPr>
        <w:t>在读完八年级之前就提前离</w:t>
      </w:r>
      <w:r>
        <w:rPr>
          <w:rFonts w:hint="eastAsia"/>
          <w:snapToGrid/>
        </w:rPr>
        <w:t>开小学。</w:t>
      </w:r>
    </w:p>
    <w:p w:rsidR="00000000" w:rsidRDefault="00844A84">
      <w:pPr>
        <w:rPr>
          <w:rFonts w:hint="eastAsia"/>
          <w:snapToGrid/>
        </w:rPr>
      </w:pPr>
      <w:r>
        <w:rPr>
          <w:rFonts w:hint="eastAsia"/>
          <w:snapToGrid/>
        </w:rPr>
        <w:tab/>
      </w:r>
      <w:r>
        <w:rPr>
          <w:snapToGrid/>
        </w:rPr>
        <w:t>340.</w:t>
      </w:r>
      <w:r>
        <w:rPr>
          <w:rFonts w:hint="eastAsia"/>
          <w:snapToGrid/>
        </w:rPr>
        <w:t xml:space="preserve">  </w:t>
      </w:r>
      <w:r>
        <w:rPr>
          <w:rFonts w:hint="eastAsia"/>
          <w:snapToGrid/>
        </w:rPr>
        <w:t>调查结果表明，过去十年期间，上述各类儿童遇到了种种严重问题，难以融入初等教育系统。罗姆族和瓦拉几族是未能行使接受初等义务教育权利的最大群体。这两个群体多数在念高年级时就提前离开学校。</w:t>
      </w:r>
      <w:r>
        <w:rPr>
          <w:rStyle w:val="EndnoteReference"/>
          <w:snapToGrid/>
        </w:rPr>
        <w:endnoteReference w:id="29"/>
      </w:r>
      <w:r>
        <w:rPr>
          <w:rFonts w:hint="eastAsia"/>
          <w:snapToGrid/>
        </w:rPr>
        <w:t xml:space="preserve"> </w:t>
      </w:r>
    </w:p>
    <w:p w:rsidR="00000000" w:rsidRDefault="00844A84">
      <w:pPr>
        <w:rPr>
          <w:rFonts w:hint="eastAsia"/>
          <w:snapToGrid/>
        </w:rPr>
      </w:pPr>
      <w:r>
        <w:rPr>
          <w:rFonts w:hint="eastAsia"/>
          <w:snapToGrid/>
        </w:rPr>
        <w:tab/>
      </w:r>
      <w:r>
        <w:rPr>
          <w:snapToGrid/>
        </w:rPr>
        <w:t>341.</w:t>
      </w:r>
      <w:r>
        <w:rPr>
          <w:rFonts w:hint="eastAsia"/>
          <w:snapToGrid/>
        </w:rPr>
        <w:t xml:space="preserve">  </w:t>
      </w:r>
      <w:r>
        <w:rPr>
          <w:rFonts w:hint="eastAsia"/>
          <w:snapToGrid/>
        </w:rPr>
        <w:t>有特殊需求的儿童遇到了十分严重的教育问题，难以融入正规学校，这些问题包括没有适当的程序用以诊断各种健康缺陷，以及缺乏训练有素的教学人员，尤其是缺乏在正规学校教育有特殊需求儿童的人员。难民儿童和国内流离失所儿童也难以融入教育系统。边远农村地区的儿童往往在只读完小学四年级后就离校，因为他们</w:t>
      </w:r>
      <w:r>
        <w:rPr>
          <w:rFonts w:hint="eastAsia"/>
          <w:snapToGrid/>
        </w:rPr>
        <w:t>的社区只有不完全的</w:t>
      </w:r>
      <w:r>
        <w:rPr>
          <w:rFonts w:hint="eastAsia"/>
          <w:snapToGrid/>
        </w:rPr>
        <w:t>(</w:t>
      </w:r>
      <w:r>
        <w:rPr>
          <w:rFonts w:hint="eastAsia"/>
          <w:snapToGrid/>
        </w:rPr>
        <w:t>四年制</w:t>
      </w:r>
      <w:r>
        <w:rPr>
          <w:rFonts w:hint="eastAsia"/>
          <w:snapToGrid/>
        </w:rPr>
        <w:t>)</w:t>
      </w:r>
      <w:r>
        <w:rPr>
          <w:rFonts w:hint="eastAsia"/>
          <w:snapToGrid/>
        </w:rPr>
        <w:t>小学，也没有交通工具可到达最近的完全</w:t>
      </w:r>
      <w:r>
        <w:rPr>
          <w:rFonts w:hint="eastAsia"/>
          <w:snapToGrid/>
        </w:rPr>
        <w:t>(</w:t>
      </w:r>
      <w:r>
        <w:rPr>
          <w:rFonts w:hint="eastAsia"/>
          <w:snapToGrid/>
        </w:rPr>
        <w:t>八年制</w:t>
      </w:r>
      <w:r>
        <w:rPr>
          <w:rFonts w:hint="eastAsia"/>
          <w:snapToGrid/>
        </w:rPr>
        <w:t>)</w:t>
      </w:r>
      <w:r>
        <w:rPr>
          <w:rFonts w:hint="eastAsia"/>
          <w:snapToGrid/>
        </w:rPr>
        <w:t>小学就读。</w:t>
      </w:r>
    </w:p>
    <w:p w:rsidR="00000000" w:rsidRDefault="00844A84">
      <w:pPr>
        <w:spacing w:after="320"/>
        <w:rPr>
          <w:rFonts w:hint="eastAsia"/>
          <w:snapToGrid/>
        </w:rPr>
      </w:pPr>
      <w:r>
        <w:rPr>
          <w:rFonts w:hint="eastAsia"/>
          <w:snapToGrid/>
        </w:rPr>
        <w:tab/>
      </w:r>
      <w:r>
        <w:rPr>
          <w:snapToGrid/>
        </w:rPr>
        <w:t>342.</w:t>
      </w:r>
      <w:r>
        <w:rPr>
          <w:rFonts w:hint="eastAsia"/>
          <w:snapToGrid/>
        </w:rPr>
        <w:t xml:space="preserve">  </w:t>
      </w:r>
      <w:r>
        <w:rPr>
          <w:rFonts w:hint="eastAsia"/>
          <w:snapToGrid/>
        </w:rPr>
        <w:t>为了充分实施有关平等接受教育以及所有小学学龄儿童均完成初等义务教育的法律和条例，塞尔维亚共和国教育和体育部在已发起的改革塞尔维亚教育系统的框架内，开始采取一系列短期和长期措施，例如收集和分析有关各种目标群体和地区的重要资料；审查小学网络结构，增加人人接受教育的机会；制定措施，保障学校校舍和教学工作的质量；保障学生学业成绩</w:t>
      </w:r>
      <w:r>
        <w:rPr>
          <w:rFonts w:hint="eastAsia"/>
          <w:snapToGrid/>
        </w:rPr>
        <w:t>(</w:t>
      </w:r>
      <w:r>
        <w:rPr>
          <w:rFonts w:hint="eastAsia"/>
          <w:snapToGrid/>
        </w:rPr>
        <w:t>学分</w:t>
      </w:r>
      <w:r>
        <w:rPr>
          <w:rFonts w:hint="eastAsia"/>
          <w:snapToGrid/>
        </w:rPr>
        <w:t>)</w:t>
      </w:r>
      <w:r>
        <w:rPr>
          <w:rFonts w:hint="eastAsia"/>
          <w:snapToGrid/>
        </w:rPr>
        <w:t>和核查机制的质量；采取优惠照顾措施；制定有关残疾儿童就学和教育的新法律准则；在中央</w:t>
      </w:r>
      <w:r>
        <w:rPr>
          <w:rFonts w:hint="eastAsia"/>
          <w:snapToGrid/>
        </w:rPr>
        <w:t>、区域、市镇和地方各级调集一切可动用的资源，消除现有差别。</w:t>
      </w:r>
    </w:p>
    <w:p w:rsidR="00000000" w:rsidRDefault="00844A84">
      <w:pPr>
        <w:pStyle w:val="Heading3"/>
        <w:rPr>
          <w:rFonts w:hint="eastAsia"/>
        </w:rPr>
      </w:pPr>
      <w:r>
        <w:rPr>
          <w:rFonts w:hint="eastAsia"/>
          <w:u w:val="none"/>
        </w:rPr>
        <w:t xml:space="preserve">C.  </w:t>
      </w:r>
      <w:r>
        <w:rPr>
          <w:rFonts w:hint="eastAsia"/>
        </w:rPr>
        <w:t>中等教育</w:t>
      </w:r>
      <w:r>
        <w:rPr>
          <w:rFonts w:hint="eastAsia"/>
          <w:spacing w:val="-50"/>
        </w:rPr>
        <w:t>―</w:t>
      </w:r>
      <w:r>
        <w:rPr>
          <w:rFonts w:hint="eastAsia"/>
        </w:rPr>
        <w:t>―普遍提供人人都有机会接受教育的权利</w:t>
      </w:r>
    </w:p>
    <w:p w:rsidR="00000000" w:rsidRDefault="00844A84">
      <w:pPr>
        <w:rPr>
          <w:rFonts w:hint="eastAsia"/>
          <w:snapToGrid/>
        </w:rPr>
      </w:pPr>
      <w:r>
        <w:rPr>
          <w:rFonts w:hint="eastAsia"/>
          <w:snapToGrid/>
        </w:rPr>
        <w:tab/>
      </w:r>
      <w:r>
        <w:rPr>
          <w:snapToGrid/>
        </w:rPr>
        <w:t>343.</w:t>
      </w:r>
      <w:r>
        <w:rPr>
          <w:rFonts w:hint="eastAsia"/>
          <w:snapToGrid/>
        </w:rPr>
        <w:t xml:space="preserve">  </w:t>
      </w:r>
      <w:r>
        <w:rPr>
          <w:snapToGrid/>
        </w:rPr>
        <w:t>《</w:t>
      </w:r>
      <w:r>
        <w:rPr>
          <w:rFonts w:hint="eastAsia"/>
          <w:snapToGrid/>
        </w:rPr>
        <w:t>中等教育法》</w:t>
      </w:r>
      <w:r>
        <w:rPr>
          <w:rFonts w:hint="eastAsia"/>
          <w:snapToGrid/>
        </w:rPr>
        <w:t>(</w:t>
      </w:r>
      <w:r>
        <w:rPr>
          <w:rFonts w:hint="eastAsia"/>
          <w:snapToGrid/>
        </w:rPr>
        <w:t>《塞尔维亚共和国公报》第</w:t>
      </w:r>
      <w:r>
        <w:rPr>
          <w:rFonts w:hint="eastAsia"/>
          <w:snapToGrid/>
        </w:rPr>
        <w:t>12/50/92/05)</w:t>
      </w:r>
      <w:r>
        <w:rPr>
          <w:rFonts w:hint="eastAsia"/>
          <w:snapToGrid/>
        </w:rPr>
        <w:t>规定，中等学校包括中学、文法学校或综合学校</w:t>
      </w:r>
      <w:r>
        <w:rPr>
          <w:rFonts w:hint="eastAsia"/>
          <w:snapToGrid/>
        </w:rPr>
        <w:t>(</w:t>
      </w:r>
      <w:r>
        <w:rPr>
          <w:rFonts w:hint="eastAsia"/>
          <w:snapToGrid/>
        </w:rPr>
        <w:t>学制四年</w:t>
      </w:r>
      <w:r>
        <w:rPr>
          <w:rFonts w:hint="eastAsia"/>
          <w:snapToGrid/>
        </w:rPr>
        <w:t>)</w:t>
      </w:r>
      <w:r>
        <w:rPr>
          <w:rFonts w:hint="eastAsia"/>
          <w:snapToGrid/>
        </w:rPr>
        <w:t>，这些学校的学生在校中接受就读大学或学院所必要的一般教育；艺术学校</w:t>
      </w:r>
      <w:r>
        <w:rPr>
          <w:rFonts w:hint="eastAsia"/>
          <w:snapToGrid/>
        </w:rPr>
        <w:t>(</w:t>
      </w:r>
      <w:r>
        <w:rPr>
          <w:rFonts w:hint="eastAsia"/>
          <w:snapToGrid/>
        </w:rPr>
        <w:t>学制四年</w:t>
      </w:r>
      <w:r>
        <w:rPr>
          <w:rFonts w:hint="eastAsia"/>
          <w:snapToGrid/>
        </w:rPr>
        <w:t>)</w:t>
      </w:r>
      <w:r>
        <w:rPr>
          <w:rFonts w:hint="eastAsia"/>
          <w:snapToGrid/>
        </w:rPr>
        <w:t>，这种学校提供的一般教育可作为就业或深造的基础；技术学校或职业学校</w:t>
      </w:r>
      <w:r>
        <w:rPr>
          <w:rFonts w:hint="eastAsia"/>
          <w:snapToGrid/>
        </w:rPr>
        <w:t>(</w:t>
      </w:r>
      <w:r>
        <w:rPr>
          <w:rFonts w:hint="eastAsia"/>
          <w:snapToGrid/>
        </w:rPr>
        <w:t>学制二、三或四年</w:t>
      </w:r>
      <w:r>
        <w:rPr>
          <w:rFonts w:hint="eastAsia"/>
          <w:snapToGrid/>
        </w:rPr>
        <w:t>)</w:t>
      </w:r>
      <w:r>
        <w:rPr>
          <w:rFonts w:hint="eastAsia"/>
          <w:snapToGrid/>
        </w:rPr>
        <w:t>，学生在这些学校中接受专业训练和一般教育。上述法令包括培训手工艺人技术的中等专科学校</w:t>
      </w:r>
      <w:r>
        <w:rPr>
          <w:rFonts w:hint="eastAsia"/>
          <w:snapToGrid/>
        </w:rPr>
        <w:t>(</w:t>
      </w:r>
      <w:r>
        <w:rPr>
          <w:rFonts w:hint="eastAsia"/>
          <w:snapToGrid/>
        </w:rPr>
        <w:t>法令第</w:t>
      </w:r>
      <w:r>
        <w:rPr>
          <w:rFonts w:hint="eastAsia"/>
          <w:snapToGrid/>
        </w:rPr>
        <w:t>3</w:t>
      </w:r>
      <w:r>
        <w:rPr>
          <w:rFonts w:hint="eastAsia"/>
          <w:snapToGrid/>
        </w:rPr>
        <w:t>条</w:t>
      </w:r>
      <w:r>
        <w:rPr>
          <w:rFonts w:hint="eastAsia"/>
          <w:snapToGrid/>
        </w:rPr>
        <w:t>)</w:t>
      </w:r>
      <w:r>
        <w:rPr>
          <w:rFonts w:hint="eastAsia"/>
          <w:snapToGrid/>
        </w:rPr>
        <w:t>。</w:t>
      </w:r>
    </w:p>
    <w:p w:rsidR="00000000" w:rsidRDefault="00844A84">
      <w:pPr>
        <w:rPr>
          <w:rFonts w:hint="eastAsia"/>
          <w:snapToGrid/>
        </w:rPr>
      </w:pPr>
      <w:r>
        <w:rPr>
          <w:rFonts w:hint="eastAsia"/>
          <w:snapToGrid/>
        </w:rPr>
        <w:tab/>
      </w:r>
      <w:r>
        <w:rPr>
          <w:snapToGrid/>
        </w:rPr>
        <w:t>344.</w:t>
      </w:r>
      <w:r>
        <w:rPr>
          <w:rFonts w:hint="eastAsia"/>
          <w:snapToGrid/>
        </w:rPr>
        <w:t xml:space="preserve">  </w:t>
      </w:r>
      <w:r>
        <w:rPr>
          <w:rFonts w:hint="eastAsia"/>
          <w:snapToGrid/>
        </w:rPr>
        <w:t>在中等教育方面，公民有以下权利：有权接受三或四年的全日制中等教育；技能特殊、有天赋和天才的学生有权接受全日制中等教育；全日制残障学生有权接受中等教育和专业培训；全日制学生有权以少数族裔语言接受中等教育或接受双语教育；全日制学生有权接受为期两年的技术培训或职业培训；优等学生有权接受平行的中等教育；有权在寄宿学校进行教育。</w:t>
      </w:r>
    </w:p>
    <w:p w:rsidR="00000000" w:rsidRDefault="00844A84">
      <w:pPr>
        <w:rPr>
          <w:rFonts w:hint="eastAsia"/>
          <w:snapToGrid/>
        </w:rPr>
      </w:pPr>
      <w:r>
        <w:rPr>
          <w:rFonts w:hint="eastAsia"/>
          <w:snapToGrid/>
        </w:rPr>
        <w:tab/>
      </w:r>
      <w:r>
        <w:rPr>
          <w:snapToGrid/>
        </w:rPr>
        <w:t>345.</w:t>
      </w:r>
      <w:r>
        <w:rPr>
          <w:rFonts w:hint="eastAsia"/>
          <w:snapToGrid/>
        </w:rPr>
        <w:t xml:space="preserve">  </w:t>
      </w:r>
      <w:r>
        <w:rPr>
          <w:rFonts w:hint="eastAsia"/>
          <w:snapToGrid/>
          <w:spacing w:val="6"/>
        </w:rPr>
        <w:t>完成全部小学教育的人可报名就读中学</w:t>
      </w:r>
      <w:r>
        <w:rPr>
          <w:rFonts w:hint="eastAsia"/>
          <w:snapToGrid/>
          <w:spacing w:val="6"/>
        </w:rPr>
        <w:t>(</w:t>
      </w:r>
      <w:r>
        <w:rPr>
          <w:rFonts w:hint="eastAsia"/>
          <w:snapToGrid/>
          <w:spacing w:val="6"/>
        </w:rPr>
        <w:t>法令第</w:t>
      </w:r>
      <w:r>
        <w:rPr>
          <w:rFonts w:hint="eastAsia"/>
          <w:snapToGrid/>
          <w:spacing w:val="6"/>
        </w:rPr>
        <w:t>38</w:t>
      </w:r>
      <w:r>
        <w:rPr>
          <w:rFonts w:hint="eastAsia"/>
          <w:snapToGrid/>
          <w:spacing w:val="6"/>
        </w:rPr>
        <w:t>条</w:t>
      </w:r>
      <w:r>
        <w:rPr>
          <w:rFonts w:hint="eastAsia"/>
          <w:snapToGrid/>
          <w:spacing w:val="6"/>
        </w:rPr>
        <w:t>)</w:t>
      </w:r>
      <w:r>
        <w:rPr>
          <w:rFonts w:hint="eastAsia"/>
          <w:snapToGrid/>
          <w:spacing w:val="6"/>
        </w:rPr>
        <w:t>。该项法令第</w:t>
      </w:r>
      <w:r>
        <w:rPr>
          <w:rFonts w:hint="eastAsia"/>
          <w:snapToGrid/>
          <w:spacing w:val="6"/>
        </w:rPr>
        <w:t>38</w:t>
      </w:r>
      <w:r>
        <w:rPr>
          <w:snapToGrid/>
        </w:rPr>
        <w:t>-</w:t>
      </w:r>
      <w:r>
        <w:rPr>
          <w:rFonts w:hint="eastAsia"/>
          <w:snapToGrid/>
        </w:rPr>
        <w:t>42</w:t>
      </w:r>
      <w:r>
        <w:rPr>
          <w:rFonts w:hint="eastAsia"/>
          <w:snapToGrid/>
        </w:rPr>
        <w:t>条规定了申请在选定中学就学的考生的条件和标准。</w:t>
      </w:r>
      <w:r>
        <w:rPr>
          <w:rStyle w:val="EndnoteReference"/>
          <w:snapToGrid/>
        </w:rPr>
        <w:endnoteReference w:id="30"/>
      </w:r>
      <w:r>
        <w:rPr>
          <w:rFonts w:hint="eastAsia"/>
          <w:snapToGrid/>
        </w:rPr>
        <w:t xml:space="preserve"> </w:t>
      </w:r>
    </w:p>
    <w:p w:rsidR="00000000" w:rsidRDefault="00844A84">
      <w:pPr>
        <w:rPr>
          <w:rFonts w:hint="eastAsia"/>
          <w:snapToGrid/>
        </w:rPr>
      </w:pPr>
      <w:r>
        <w:rPr>
          <w:rFonts w:hint="eastAsia"/>
          <w:snapToGrid/>
        </w:rPr>
        <w:tab/>
      </w:r>
      <w:r>
        <w:rPr>
          <w:snapToGrid/>
        </w:rPr>
        <w:t>346.</w:t>
      </w:r>
      <w:r>
        <w:rPr>
          <w:rFonts w:hint="eastAsia"/>
          <w:snapToGrid/>
        </w:rPr>
        <w:t xml:space="preserve">  </w:t>
      </w:r>
      <w:r>
        <w:rPr>
          <w:rFonts w:hint="eastAsia"/>
          <w:snapToGrid/>
        </w:rPr>
        <w:t>《塞尔维亚共和国宪法》</w:t>
      </w:r>
      <w:r>
        <w:rPr>
          <w:rFonts w:hint="eastAsia"/>
          <w:snapToGrid/>
        </w:rPr>
        <w:t>保障所有全时制中学在校生有权接受免费中等教育。非全时制学生不享有这项权利。</w:t>
      </w:r>
    </w:p>
    <w:p w:rsidR="00000000" w:rsidRDefault="00844A84">
      <w:pPr>
        <w:autoSpaceDE w:val="0"/>
        <w:autoSpaceDN w:val="0"/>
        <w:rPr>
          <w:rFonts w:hint="eastAsia"/>
          <w:snapToGrid/>
        </w:rPr>
      </w:pPr>
      <w:r>
        <w:rPr>
          <w:rFonts w:hint="eastAsia"/>
          <w:snapToGrid/>
        </w:rPr>
        <w:tab/>
      </w:r>
      <w:r>
        <w:rPr>
          <w:snapToGrid/>
        </w:rPr>
        <w:t>347.</w:t>
      </w:r>
      <w:r>
        <w:rPr>
          <w:rFonts w:hint="eastAsia"/>
          <w:snapToGrid/>
        </w:rPr>
        <w:t xml:space="preserve">  </w:t>
      </w:r>
      <w:r>
        <w:rPr>
          <w:rFonts w:hint="eastAsia"/>
          <w:snapToGrid/>
        </w:rPr>
        <w:t>中等学校的网络结构得到了发展，以便吸收大多数到达小学毕业年龄的儿童入学，因为完成全部小学教育的人多数将继续进入中等学校学习。较近的调查表明，小学生中有</w:t>
      </w:r>
      <w:r>
        <w:rPr>
          <w:rFonts w:hint="eastAsia"/>
          <w:snapToGrid/>
        </w:rPr>
        <w:t>88.3%</w:t>
      </w:r>
      <w:r>
        <w:rPr>
          <w:rFonts w:hint="eastAsia"/>
          <w:snapToGrid/>
        </w:rPr>
        <w:t>的人希望继续在中等学校学习，</w:t>
      </w:r>
      <w:r>
        <w:rPr>
          <w:rFonts w:hint="eastAsia"/>
          <w:snapToGrid/>
        </w:rPr>
        <w:t>10.2%</w:t>
      </w:r>
      <w:r>
        <w:rPr>
          <w:rFonts w:hint="eastAsia"/>
          <w:snapToGrid/>
        </w:rPr>
        <w:t>的人尚未决定，</w:t>
      </w:r>
      <w:r>
        <w:rPr>
          <w:rFonts w:hint="eastAsia"/>
          <w:snapToGrid/>
        </w:rPr>
        <w:t>1.2%</w:t>
      </w:r>
      <w:r>
        <w:rPr>
          <w:rFonts w:hint="eastAsia"/>
          <w:snapToGrid/>
        </w:rPr>
        <w:t>的人则打算不再上学。官方统计数字还显示，小学毕业生中有</w:t>
      </w:r>
      <w:r>
        <w:rPr>
          <w:rFonts w:hint="eastAsia"/>
          <w:snapToGrid/>
        </w:rPr>
        <w:t>83%</w:t>
      </w:r>
      <w:r>
        <w:rPr>
          <w:rFonts w:hint="eastAsia"/>
          <w:snapToGrid/>
        </w:rPr>
        <w:t>至</w:t>
      </w:r>
      <w:r>
        <w:rPr>
          <w:rFonts w:hint="eastAsia"/>
          <w:snapToGrid/>
        </w:rPr>
        <w:t>87%</w:t>
      </w:r>
      <w:r>
        <w:rPr>
          <w:rFonts w:hint="eastAsia"/>
          <w:snapToGrid/>
        </w:rPr>
        <w:t>的人争取进入中等学校。其中将近四分之一的人在中学</w:t>
      </w:r>
      <w:r>
        <w:rPr>
          <w:rFonts w:hint="eastAsia"/>
          <w:snapToGrid/>
        </w:rPr>
        <w:t>(</w:t>
      </w:r>
      <w:r>
        <w:rPr>
          <w:rFonts w:hint="eastAsia"/>
          <w:snapToGrid/>
        </w:rPr>
        <w:t>文法学校或综合学校</w:t>
      </w:r>
      <w:r>
        <w:rPr>
          <w:rFonts w:hint="eastAsia"/>
          <w:snapToGrid/>
        </w:rPr>
        <w:t>)</w:t>
      </w:r>
      <w:r>
        <w:rPr>
          <w:rFonts w:hint="eastAsia"/>
          <w:snapToGrid/>
        </w:rPr>
        <w:t>就学，四分之三的人在中等技术学校或职业学校就学。</w:t>
      </w:r>
      <w:r>
        <w:rPr>
          <w:rStyle w:val="EndnoteReference"/>
          <w:snapToGrid/>
        </w:rPr>
        <w:endnoteReference w:id="31"/>
      </w:r>
      <w:r>
        <w:rPr>
          <w:rFonts w:hint="eastAsia"/>
          <w:snapToGrid/>
        </w:rPr>
        <w:t xml:space="preserve"> </w:t>
      </w:r>
      <w:r>
        <w:rPr>
          <w:rFonts w:hint="eastAsia"/>
          <w:snapToGrid/>
        </w:rPr>
        <w:t>贝尔格莱德大</w:t>
      </w:r>
      <w:r>
        <w:rPr>
          <w:rFonts w:hint="eastAsia"/>
          <w:snapToGrid/>
        </w:rPr>
        <w:t>学经济学院研究中心的研究结果表明，在所有的中等学校中，</w:t>
      </w:r>
      <w:r>
        <w:rPr>
          <w:rFonts w:hint="eastAsia"/>
          <w:snapToGrid/>
        </w:rPr>
        <w:t>64.10%</w:t>
      </w:r>
      <w:r>
        <w:rPr>
          <w:rFonts w:hint="eastAsia"/>
          <w:snapToGrid/>
        </w:rPr>
        <w:t>为技术学校和职业学校，</w:t>
      </w:r>
      <w:r>
        <w:rPr>
          <w:rFonts w:hint="eastAsia"/>
          <w:snapToGrid/>
        </w:rPr>
        <w:t>24.62</w:t>
      </w:r>
      <w:r>
        <w:rPr>
          <w:snapToGrid/>
        </w:rPr>
        <w:t>%</w:t>
      </w:r>
      <w:r>
        <w:rPr>
          <w:rFonts w:hint="eastAsia"/>
          <w:snapToGrid/>
        </w:rPr>
        <w:t>为中学</w:t>
      </w:r>
      <w:r>
        <w:rPr>
          <w:rFonts w:hint="eastAsia"/>
          <w:snapToGrid/>
        </w:rPr>
        <w:t>(</w:t>
      </w:r>
      <w:r>
        <w:rPr>
          <w:rFonts w:hint="eastAsia"/>
          <w:snapToGrid/>
        </w:rPr>
        <w:t>文法学校</w:t>
      </w:r>
      <w:r>
        <w:rPr>
          <w:rFonts w:hint="eastAsia"/>
          <w:snapToGrid/>
        </w:rPr>
        <w:t>)</w:t>
      </w:r>
      <w:r>
        <w:rPr>
          <w:rFonts w:hint="eastAsia"/>
          <w:snapToGrid/>
        </w:rPr>
        <w:t>，</w:t>
      </w:r>
      <w:r>
        <w:rPr>
          <w:snapToGrid/>
        </w:rPr>
        <w:t>5.83%</w:t>
      </w:r>
      <w:r>
        <w:rPr>
          <w:rFonts w:hint="eastAsia"/>
          <w:snapToGrid/>
        </w:rPr>
        <w:t>为艺术学校，</w:t>
      </w:r>
      <w:r>
        <w:rPr>
          <w:snapToGrid/>
        </w:rPr>
        <w:t>5.45%</w:t>
      </w:r>
      <w:r>
        <w:rPr>
          <w:rFonts w:hint="eastAsia"/>
          <w:snapToGrid/>
        </w:rPr>
        <w:t>为特殊学校</w:t>
      </w:r>
      <w:r>
        <w:rPr>
          <w:rFonts w:hint="eastAsia"/>
          <w:snapToGrid/>
        </w:rPr>
        <w:t>(</w:t>
      </w:r>
      <w:r>
        <w:rPr>
          <w:rFonts w:hint="eastAsia"/>
          <w:snapToGrid/>
        </w:rPr>
        <w:t>为特殊需求儿童开设的学校</w:t>
      </w:r>
      <w:r>
        <w:rPr>
          <w:rFonts w:hint="eastAsia"/>
          <w:snapToGrid/>
        </w:rPr>
        <w:t>)</w:t>
      </w:r>
      <w:r>
        <w:rPr>
          <w:rFonts w:hint="eastAsia"/>
          <w:snapToGrid/>
        </w:rPr>
        <w:t>。</w:t>
      </w:r>
      <w:r>
        <w:rPr>
          <w:rFonts w:hint="eastAsia"/>
          <w:snapToGrid/>
        </w:rPr>
        <w:t>2001</w:t>
      </w:r>
      <w:r>
        <w:rPr>
          <w:rFonts w:hint="eastAsia"/>
          <w:snapToGrid/>
        </w:rPr>
        <w:t>年，塞尔维亚中等学校非全日制学生占学生总数的</w:t>
      </w:r>
      <w:r>
        <w:rPr>
          <w:rFonts w:hint="eastAsia"/>
          <w:snapToGrid/>
        </w:rPr>
        <w:t>2.61%</w:t>
      </w:r>
      <w:r>
        <w:rPr>
          <w:rFonts w:hint="eastAsia"/>
          <w:snapToGrid/>
        </w:rPr>
        <w:t>。这一比例在各校之</w:t>
      </w:r>
      <w:r>
        <w:rPr>
          <w:rFonts w:hint="eastAsia"/>
          <w:snapToGrid/>
          <w:spacing w:val="6"/>
        </w:rPr>
        <w:t>间及各地区之间各不相同。非全时制学生的比例以中学最低，仅为</w:t>
      </w:r>
      <w:r>
        <w:rPr>
          <w:snapToGrid/>
          <w:spacing w:val="6"/>
        </w:rPr>
        <w:t>0.32%</w:t>
      </w:r>
      <w:r>
        <w:rPr>
          <w:rFonts w:hint="eastAsia"/>
          <w:snapToGrid/>
          <w:spacing w:val="6"/>
        </w:rPr>
        <w:t>，艺术学校最高，为</w:t>
      </w:r>
      <w:r>
        <w:rPr>
          <w:snapToGrid/>
          <w:spacing w:val="6"/>
        </w:rPr>
        <w:t>4.14%</w:t>
      </w:r>
      <w:r>
        <w:rPr>
          <w:rFonts w:hint="eastAsia"/>
          <w:snapToGrid/>
          <w:spacing w:val="6"/>
        </w:rPr>
        <w:t>。中等技术学校和职业学校的非全日制学生则占学生总数</w:t>
      </w:r>
      <w:r>
        <w:rPr>
          <w:rFonts w:hint="eastAsia"/>
          <w:snapToGrid/>
        </w:rPr>
        <w:t>的</w:t>
      </w:r>
      <w:r>
        <w:rPr>
          <w:snapToGrid/>
        </w:rPr>
        <w:t>3.35%</w:t>
      </w:r>
      <w:r>
        <w:rPr>
          <w:rFonts w:hint="eastAsia"/>
          <w:snapToGrid/>
        </w:rPr>
        <w:t>。</w:t>
      </w:r>
      <w:r>
        <w:rPr>
          <w:rStyle w:val="EndnoteReference"/>
          <w:snapToGrid/>
        </w:rPr>
        <w:endnoteReference w:id="32"/>
      </w:r>
      <w:r>
        <w:rPr>
          <w:rFonts w:hint="eastAsia"/>
          <w:snapToGrid/>
        </w:rPr>
        <w:t xml:space="preserve"> </w:t>
      </w:r>
      <w:r>
        <w:rPr>
          <w:rFonts w:hint="eastAsia"/>
          <w:snapToGrid/>
        </w:rPr>
        <w:t>列举的中等学校非全日制学生的比例表明，由共和国支付教育费用的中学生人数远远高</w:t>
      </w:r>
      <w:r>
        <w:rPr>
          <w:rFonts w:hint="eastAsia"/>
          <w:snapToGrid/>
        </w:rPr>
        <w:t>于自费生。</w:t>
      </w:r>
    </w:p>
    <w:p w:rsidR="00000000" w:rsidRDefault="00844A84">
      <w:pPr>
        <w:spacing w:line="334" w:lineRule="auto"/>
        <w:rPr>
          <w:rFonts w:hint="eastAsia"/>
          <w:snapToGrid/>
        </w:rPr>
      </w:pPr>
      <w:r>
        <w:rPr>
          <w:rFonts w:hint="eastAsia"/>
          <w:snapToGrid/>
        </w:rPr>
        <w:tab/>
      </w:r>
      <w:r>
        <w:rPr>
          <w:snapToGrid/>
        </w:rPr>
        <w:t>348.</w:t>
      </w:r>
      <w:r>
        <w:rPr>
          <w:rFonts w:hint="eastAsia"/>
          <w:snapToGrid/>
        </w:rPr>
        <w:t xml:space="preserve">  </w:t>
      </w:r>
      <w:r>
        <w:rPr>
          <w:rFonts w:hint="eastAsia"/>
          <w:snapToGrid/>
        </w:rPr>
        <w:t>发达的中等教育系统和网络结构是一种指数，可表明已切实执行了有关向所有希望升学的人提供平等中等教育机会的法律条例。但其他指数则强调必须修订这些条例，以符合现有的社会要求。对中等学校的选择取决于学生的决定，也取决于招生的实际可能性，因此希望在选定的某所学校就学的学生人数，可能超过该校能招收的人数。这种情况在招生期间会不时产生一些问题。</w:t>
      </w:r>
    </w:p>
    <w:p w:rsidR="00000000" w:rsidRDefault="00844A84">
      <w:pPr>
        <w:spacing w:line="334" w:lineRule="auto"/>
        <w:rPr>
          <w:rFonts w:hint="eastAsia"/>
          <w:snapToGrid/>
        </w:rPr>
      </w:pPr>
      <w:r>
        <w:rPr>
          <w:rFonts w:hint="eastAsia"/>
          <w:snapToGrid/>
        </w:rPr>
        <w:tab/>
      </w:r>
      <w:r>
        <w:rPr>
          <w:snapToGrid/>
        </w:rPr>
        <w:t>349.</w:t>
      </w:r>
      <w:r>
        <w:rPr>
          <w:rFonts w:hint="eastAsia"/>
          <w:snapToGrid/>
        </w:rPr>
        <w:t xml:space="preserve">  </w:t>
      </w:r>
      <w:r>
        <w:rPr>
          <w:rFonts w:hint="eastAsia"/>
          <w:snapToGrid/>
        </w:rPr>
        <w:t>塞尔维亚共和国教育和体育部中等教育专家组的调查结果表明，尽管学生对中等技术学校和职业学校极感兴趣</w:t>
      </w:r>
      <w:r>
        <w:rPr>
          <w:rFonts w:hint="eastAsia"/>
          <w:snapToGrid/>
        </w:rPr>
        <w:t>(</w:t>
      </w:r>
      <w:r>
        <w:rPr>
          <w:rFonts w:hint="eastAsia"/>
          <w:snapToGrid/>
        </w:rPr>
        <w:t>中等学校学生总数中有近</w:t>
      </w:r>
      <w:r>
        <w:rPr>
          <w:snapToGrid/>
        </w:rPr>
        <w:t>75%</w:t>
      </w:r>
      <w:r>
        <w:rPr>
          <w:rFonts w:hint="eastAsia"/>
          <w:snapToGrid/>
        </w:rPr>
        <w:t>在技术学校或</w:t>
      </w:r>
      <w:r>
        <w:rPr>
          <w:rFonts w:hint="eastAsia"/>
          <w:snapToGrid/>
        </w:rPr>
        <w:t>职业学校就学</w:t>
      </w:r>
      <w:r>
        <w:rPr>
          <w:rFonts w:hint="eastAsia"/>
          <w:snapToGrid/>
        </w:rPr>
        <w:t>)</w:t>
      </w:r>
      <w:r>
        <w:rPr>
          <w:rFonts w:hint="eastAsia"/>
          <w:snapToGrid/>
        </w:rPr>
        <w:t>，但多数小学毕业生依然希望继续在中学</w:t>
      </w:r>
      <w:r>
        <w:rPr>
          <w:rFonts w:hint="eastAsia"/>
          <w:snapToGrid/>
        </w:rPr>
        <w:t>(</w:t>
      </w:r>
      <w:r>
        <w:rPr>
          <w:rFonts w:hint="eastAsia"/>
          <w:snapToGrid/>
        </w:rPr>
        <w:t>文法学校或综合学校</w:t>
      </w:r>
      <w:r>
        <w:rPr>
          <w:rFonts w:hint="eastAsia"/>
          <w:snapToGrid/>
        </w:rPr>
        <w:t>)</w:t>
      </w:r>
      <w:r>
        <w:rPr>
          <w:rFonts w:hint="eastAsia"/>
          <w:snapToGrid/>
        </w:rPr>
        <w:t>就读，而不是进入技术或职业学校。这意味着这种比例失调现象是中学招生名额有限的结果。近年来，中等技术或职业学校的毕业生有</w:t>
      </w:r>
      <w:r>
        <w:rPr>
          <w:rFonts w:hint="eastAsia"/>
          <w:snapToGrid/>
        </w:rPr>
        <w:t>90%</w:t>
      </w:r>
      <w:r>
        <w:rPr>
          <w:rFonts w:hint="eastAsia"/>
          <w:snapToGrid/>
        </w:rPr>
        <w:t>在等待了一至五年后才找到工作，这种事实使这一问题变得更为复杂。</w:t>
      </w:r>
    </w:p>
    <w:p w:rsidR="00000000" w:rsidRDefault="00844A84">
      <w:pPr>
        <w:spacing w:line="334" w:lineRule="auto"/>
        <w:rPr>
          <w:rFonts w:hint="eastAsia"/>
          <w:snapToGrid/>
        </w:rPr>
      </w:pPr>
      <w:r>
        <w:rPr>
          <w:rFonts w:hint="eastAsia"/>
          <w:snapToGrid/>
        </w:rPr>
        <w:tab/>
      </w:r>
      <w:r>
        <w:rPr>
          <w:snapToGrid/>
        </w:rPr>
        <w:t>350.</w:t>
      </w:r>
      <w:r>
        <w:rPr>
          <w:rFonts w:hint="eastAsia"/>
          <w:snapToGrid/>
        </w:rPr>
        <w:t xml:space="preserve">  </w:t>
      </w:r>
      <w:r>
        <w:rPr>
          <w:rFonts w:hint="eastAsia"/>
          <w:snapToGrid/>
        </w:rPr>
        <w:t>同样的数据说明了为什么有大量青年人在大学就学</w:t>
      </w:r>
      <w:r>
        <w:rPr>
          <w:rFonts w:hint="eastAsia"/>
          <w:snapToGrid/>
        </w:rPr>
        <w:t>(1997</w:t>
      </w:r>
      <w:r>
        <w:rPr>
          <w:rFonts w:hint="eastAsia"/>
          <w:snapToGrid/>
        </w:rPr>
        <w:t>年为</w:t>
      </w:r>
      <w:r>
        <w:rPr>
          <w:rFonts w:hint="eastAsia"/>
          <w:snapToGrid/>
        </w:rPr>
        <w:t>142,000</w:t>
      </w:r>
      <w:r>
        <w:rPr>
          <w:rFonts w:hint="eastAsia"/>
          <w:snapToGrid/>
        </w:rPr>
        <w:t>人，</w:t>
      </w:r>
      <w:r>
        <w:rPr>
          <w:rFonts w:hint="eastAsia"/>
          <w:snapToGrid/>
        </w:rPr>
        <w:t>2000</w:t>
      </w:r>
      <w:r>
        <w:rPr>
          <w:rFonts w:hint="eastAsia"/>
          <w:snapToGrid/>
        </w:rPr>
        <w:t>年为</w:t>
      </w:r>
      <w:r>
        <w:rPr>
          <w:snapToGrid/>
        </w:rPr>
        <w:t>20</w:t>
      </w:r>
      <w:r>
        <w:rPr>
          <w:rFonts w:hint="eastAsia"/>
          <w:snapToGrid/>
        </w:rPr>
        <w:t>万人</w:t>
      </w:r>
      <w:r>
        <w:rPr>
          <w:rFonts w:hint="eastAsia"/>
          <w:snapToGrid/>
        </w:rPr>
        <w:t>)</w:t>
      </w:r>
      <w:r>
        <w:rPr>
          <w:rFonts w:hint="eastAsia"/>
          <w:snapToGrid/>
        </w:rPr>
        <w:t>。除上述问题外，对中等技术和职业学校所教的某些技能的需求与经济和社会要求两者之间并不平衡。在三年制中等学校中，学生很想学到的是个人服务、贸易</w:t>
      </w:r>
      <w:r>
        <w:rPr>
          <w:rFonts w:hint="eastAsia"/>
          <w:snapToGrid/>
        </w:rPr>
        <w:t>、餐饮业和行政管理方面所要求的技能，而生产</w:t>
      </w:r>
      <w:r>
        <w:rPr>
          <w:rFonts w:hint="eastAsia"/>
          <w:snapToGrid/>
        </w:rPr>
        <w:t>(</w:t>
      </w:r>
      <w:r>
        <w:rPr>
          <w:rFonts w:hint="eastAsia"/>
          <w:snapToGrid/>
        </w:rPr>
        <w:t>机械工程、金属工作、采矿等</w:t>
      </w:r>
      <w:r>
        <w:rPr>
          <w:rFonts w:hint="eastAsia"/>
          <w:snapToGrid/>
        </w:rPr>
        <w:t>)</w:t>
      </w:r>
      <w:r>
        <w:rPr>
          <w:rFonts w:hint="eastAsia"/>
          <w:snapToGrid/>
        </w:rPr>
        <w:t>所需的技能，在希望上中等学校的青年人盼望获得的技能中所占地位并非很高。对培养医疗或商业服务、贸易和旅游业人才的四年制中等学校毕业生的需求量，为这些学校能培养人数的两倍。</w:t>
      </w:r>
    </w:p>
    <w:p w:rsidR="00000000" w:rsidRDefault="00844A84">
      <w:pPr>
        <w:spacing w:line="334" w:lineRule="auto"/>
        <w:rPr>
          <w:rFonts w:hint="eastAsia"/>
          <w:snapToGrid/>
        </w:rPr>
      </w:pPr>
      <w:r>
        <w:rPr>
          <w:rFonts w:hint="eastAsia"/>
          <w:snapToGrid/>
        </w:rPr>
        <w:tab/>
      </w:r>
      <w:r>
        <w:rPr>
          <w:snapToGrid/>
        </w:rPr>
        <w:t>351.</w:t>
      </w:r>
      <w:r>
        <w:rPr>
          <w:rFonts w:hint="eastAsia"/>
          <w:snapToGrid/>
        </w:rPr>
        <w:t xml:space="preserve">  </w:t>
      </w:r>
      <w:r>
        <w:rPr>
          <w:rFonts w:hint="eastAsia"/>
          <w:snapToGrid/>
        </w:rPr>
        <w:t>上述数据表明了一个事实：法律迄今只是从社会和文化方面孤立地对学校及其职能作了规定。法律只强调了课程、教员、校长和学生等方面，而完全没有涉及教育体系其他的重要行为者</w:t>
      </w:r>
      <w:r>
        <w:rPr>
          <w:rFonts w:hint="eastAsia"/>
          <w:snapToGrid/>
        </w:rPr>
        <w:t>(</w:t>
      </w:r>
      <w:r>
        <w:rPr>
          <w:rFonts w:hint="eastAsia"/>
          <w:snapToGrid/>
        </w:rPr>
        <w:t>家长、公众、当地社区、公营和私营企业、当地媒介</w:t>
      </w:r>
      <w:r>
        <w:rPr>
          <w:rFonts w:hint="eastAsia"/>
          <w:snapToGrid/>
        </w:rPr>
        <w:t>)</w:t>
      </w:r>
      <w:r>
        <w:rPr>
          <w:rFonts w:hint="eastAsia"/>
          <w:snapToGrid/>
        </w:rPr>
        <w:t>。法律几乎没有重视总体教育进程的执行情况和最</w:t>
      </w:r>
      <w:r>
        <w:rPr>
          <w:rFonts w:hint="eastAsia"/>
          <w:snapToGrid/>
        </w:rPr>
        <w:t>终成果。</w:t>
      </w:r>
    </w:p>
    <w:p w:rsidR="00000000" w:rsidRDefault="00844A84">
      <w:pPr>
        <w:spacing w:after="320" w:line="334" w:lineRule="auto"/>
        <w:rPr>
          <w:snapToGrid/>
        </w:rPr>
      </w:pPr>
      <w:r>
        <w:rPr>
          <w:rFonts w:hint="eastAsia"/>
          <w:snapToGrid/>
        </w:rPr>
        <w:tab/>
      </w:r>
      <w:r>
        <w:rPr>
          <w:snapToGrid/>
        </w:rPr>
        <w:t>352.</w:t>
      </w:r>
      <w:r>
        <w:rPr>
          <w:rFonts w:hint="eastAsia"/>
          <w:snapToGrid/>
        </w:rPr>
        <w:t xml:space="preserve">  </w:t>
      </w:r>
      <w:r>
        <w:rPr>
          <w:snapToGrid/>
        </w:rPr>
        <w:t>塞尔维亚共和国教育和体育部在改革中等学校方面的第一步是审查各项教育法，使之适应</w:t>
      </w:r>
      <w:r>
        <w:rPr>
          <w:rFonts w:hint="eastAsia"/>
          <w:snapToGrid/>
        </w:rPr>
        <w:t>已经</w:t>
      </w:r>
      <w:r>
        <w:rPr>
          <w:snapToGrid/>
        </w:rPr>
        <w:t>变化的经济、社会和政治</w:t>
      </w:r>
      <w:r>
        <w:rPr>
          <w:rFonts w:hint="eastAsia"/>
          <w:snapToGrid/>
        </w:rPr>
        <w:t>状况</w:t>
      </w:r>
      <w:r>
        <w:rPr>
          <w:snapToGrid/>
        </w:rPr>
        <w:t>。为此，该部通过了《关于修订中等教育法的法律》</w:t>
      </w:r>
      <w:r>
        <w:rPr>
          <w:snapToGrid/>
        </w:rPr>
        <w:t>(</w:t>
      </w:r>
      <w:r>
        <w:rPr>
          <w:snapToGrid/>
        </w:rPr>
        <w:t>《塞尔维亚共和国公报》，第</w:t>
      </w:r>
      <w:r>
        <w:rPr>
          <w:snapToGrid/>
        </w:rPr>
        <w:t>23/</w:t>
      </w:r>
      <w:r>
        <w:rPr>
          <w:rFonts w:hint="eastAsia"/>
          <w:snapToGrid/>
        </w:rPr>
        <w:t>2002</w:t>
      </w:r>
      <w:r>
        <w:rPr>
          <w:rFonts w:hint="eastAsia"/>
          <w:snapToGrid/>
        </w:rPr>
        <w:t>号</w:t>
      </w:r>
      <w:r>
        <w:rPr>
          <w:rFonts w:hint="eastAsia"/>
          <w:snapToGrid/>
        </w:rPr>
        <w:t>)</w:t>
      </w:r>
      <w:r>
        <w:rPr>
          <w:rFonts w:hint="eastAsia"/>
          <w:snapToGrid/>
        </w:rPr>
        <w:t>。</w:t>
      </w:r>
      <w:r>
        <w:rPr>
          <w:snapToGrid/>
        </w:rPr>
        <w:t>该项新法律旨在使学校成为一种民主机构，用以促进民主教育和环境；使教育实现对社会和经济发展至关重要的现代教育目标，尤其是获得独立的学习技能、批判</w:t>
      </w:r>
      <w:r>
        <w:rPr>
          <w:rFonts w:hint="eastAsia"/>
          <w:snapToGrid/>
        </w:rPr>
        <w:t>性</w:t>
      </w:r>
      <w:r>
        <w:rPr>
          <w:snapToGrid/>
        </w:rPr>
        <w:t>思维以及在所有领域</w:t>
      </w:r>
      <w:r>
        <w:rPr>
          <w:rFonts w:hint="eastAsia"/>
          <w:snapToGrid/>
        </w:rPr>
        <w:t>中合作</w:t>
      </w:r>
      <w:r>
        <w:rPr>
          <w:snapToGrid/>
        </w:rPr>
        <w:t>解决问题的能力；并且</w:t>
      </w:r>
      <w:r>
        <w:rPr>
          <w:rFonts w:hint="eastAsia"/>
          <w:snapToGrid/>
        </w:rPr>
        <w:t>使</w:t>
      </w:r>
      <w:r>
        <w:rPr>
          <w:snapToGrid/>
        </w:rPr>
        <w:t>中等职业教育以及成人教育</w:t>
      </w:r>
      <w:r>
        <w:rPr>
          <w:rFonts w:hint="eastAsia"/>
          <w:snapToGrid/>
        </w:rPr>
        <w:t>与</w:t>
      </w:r>
      <w:r>
        <w:rPr>
          <w:snapToGrid/>
        </w:rPr>
        <w:t>今后的经济需求相联系。实现这些目标</w:t>
      </w:r>
      <w:r>
        <w:rPr>
          <w:rFonts w:hint="eastAsia"/>
          <w:snapToGrid/>
        </w:rPr>
        <w:t>后</w:t>
      </w:r>
      <w:r>
        <w:rPr>
          <w:snapToGrid/>
        </w:rPr>
        <w:t>，所有打算在小学</w:t>
      </w:r>
      <w:r>
        <w:rPr>
          <w:rFonts w:hint="eastAsia"/>
          <w:snapToGrid/>
        </w:rPr>
        <w:t>毕业</w:t>
      </w:r>
      <w:r>
        <w:rPr>
          <w:snapToGrid/>
        </w:rPr>
        <w:t>后继续接受教育</w:t>
      </w:r>
      <w:r>
        <w:rPr>
          <w:snapToGrid/>
        </w:rPr>
        <w:t>的人都能普遍获得</w:t>
      </w:r>
      <w:r>
        <w:rPr>
          <w:rFonts w:hint="eastAsia"/>
          <w:snapToGrid/>
        </w:rPr>
        <w:t>接受</w:t>
      </w:r>
      <w:r>
        <w:rPr>
          <w:snapToGrid/>
        </w:rPr>
        <w:t>中等教育的机会。</w:t>
      </w:r>
    </w:p>
    <w:p w:rsidR="00000000" w:rsidRDefault="00844A84">
      <w:pPr>
        <w:pStyle w:val="Heading3"/>
        <w:rPr>
          <w:rFonts w:hint="eastAsia"/>
        </w:rPr>
      </w:pPr>
      <w:r>
        <w:rPr>
          <w:rFonts w:hint="eastAsia"/>
          <w:u w:val="none"/>
        </w:rPr>
        <w:t xml:space="preserve">D.  </w:t>
      </w:r>
      <w:r>
        <w:rPr>
          <w:rFonts w:hint="eastAsia"/>
        </w:rPr>
        <w:t>人人享有接受高等教育的平等机会</w:t>
      </w:r>
    </w:p>
    <w:p w:rsidR="00000000" w:rsidRDefault="00844A84">
      <w:pPr>
        <w:rPr>
          <w:rFonts w:hint="eastAsia"/>
          <w:snapToGrid/>
        </w:rPr>
      </w:pPr>
      <w:r>
        <w:rPr>
          <w:rFonts w:hint="eastAsia"/>
          <w:snapToGrid/>
        </w:rPr>
        <w:tab/>
      </w:r>
      <w:r>
        <w:rPr>
          <w:snapToGrid/>
        </w:rPr>
        <w:t>353.</w:t>
      </w:r>
      <w:r>
        <w:rPr>
          <w:rFonts w:hint="eastAsia"/>
          <w:snapToGrid/>
        </w:rPr>
        <w:t xml:space="preserve">  </w:t>
      </w:r>
      <w:r>
        <w:rPr>
          <w:snapToGrid/>
        </w:rPr>
        <w:t>公民在高等教育</w:t>
      </w:r>
      <w:r>
        <w:rPr>
          <w:rFonts w:hint="eastAsia"/>
          <w:snapToGrid/>
        </w:rPr>
        <w:t>方面</w:t>
      </w:r>
      <w:r>
        <w:rPr>
          <w:snapToGrid/>
        </w:rPr>
        <w:t>的权利包括</w:t>
      </w:r>
      <w:r>
        <w:rPr>
          <w:rFonts w:hint="eastAsia"/>
          <w:snapToGrid/>
        </w:rPr>
        <w:t>在大专或学院</w:t>
      </w:r>
      <w:r>
        <w:rPr>
          <w:snapToGrid/>
        </w:rPr>
        <w:t>和大学</w:t>
      </w:r>
      <w:r>
        <w:rPr>
          <w:snapToGrid/>
        </w:rPr>
        <w:t>(</w:t>
      </w:r>
      <w:r>
        <w:rPr>
          <w:snapToGrid/>
        </w:rPr>
        <w:t>各院系</w:t>
      </w:r>
      <w:r>
        <w:rPr>
          <w:snapToGrid/>
        </w:rPr>
        <w:t>)</w:t>
      </w:r>
      <w:r>
        <w:rPr>
          <w:snapToGrid/>
        </w:rPr>
        <w:t>接受教育。</w:t>
      </w:r>
      <w:r>
        <w:rPr>
          <w:rFonts w:hint="eastAsia"/>
          <w:snapToGrid/>
        </w:rPr>
        <w:t>大专</w:t>
      </w:r>
      <w:r>
        <w:rPr>
          <w:snapToGrid/>
        </w:rPr>
        <w:t>学制两</w:t>
      </w:r>
      <w:r>
        <w:rPr>
          <w:rFonts w:hint="eastAsia"/>
          <w:snapToGrid/>
        </w:rPr>
        <w:t>至三年，开设为从事专门化专业或技术工作所需的理论和实践技能课程。大专学生有机会参加专业工作并参加专门化培训方案。这些学校在毕业时授予的学位被视为完整的学位。但有些院系接受大专毕业生，让他们作为大二或大三学生修课。《大学法》</w:t>
      </w:r>
      <w:r>
        <w:rPr>
          <w:rFonts w:hint="eastAsia"/>
          <w:snapToGrid/>
        </w:rPr>
        <w:t>(</w:t>
      </w:r>
      <w:r>
        <w:rPr>
          <w:rFonts w:hint="eastAsia"/>
          <w:snapToGrid/>
        </w:rPr>
        <w:t>《塞尔维亚共和国公报》，第</w:t>
      </w:r>
      <w:r>
        <w:rPr>
          <w:snapToGrid/>
        </w:rPr>
        <w:t>21</w:t>
      </w:r>
      <w:r>
        <w:rPr>
          <w:rFonts w:hint="eastAsia"/>
          <w:snapToGrid/>
        </w:rPr>
        <w:t>/02</w:t>
      </w:r>
      <w:r>
        <w:rPr>
          <w:rFonts w:hint="eastAsia"/>
          <w:snapToGrid/>
        </w:rPr>
        <w:t>号</w:t>
      </w:r>
      <w:r>
        <w:rPr>
          <w:rFonts w:hint="eastAsia"/>
          <w:snapToGrid/>
        </w:rPr>
        <w:t>)</w:t>
      </w:r>
      <w:r>
        <w:rPr>
          <w:rFonts w:hint="eastAsia"/>
          <w:snapToGrid/>
        </w:rPr>
        <w:t>规定，院系学习可以是基本研究、专门研究、硕士和博士学位研究</w:t>
      </w:r>
      <w:r>
        <w:rPr>
          <w:rFonts w:hint="eastAsia"/>
          <w:snapToGrid/>
        </w:rPr>
        <w:t>(</w:t>
      </w:r>
      <w:r>
        <w:rPr>
          <w:rFonts w:hint="eastAsia"/>
          <w:snapToGrid/>
        </w:rPr>
        <w:t>法令第</w:t>
      </w:r>
      <w:r>
        <w:rPr>
          <w:snapToGrid/>
        </w:rPr>
        <w:t>17</w:t>
      </w:r>
      <w:r>
        <w:rPr>
          <w:snapToGrid/>
        </w:rPr>
        <w:t>条</w:t>
      </w:r>
      <w:r>
        <w:rPr>
          <w:snapToGrid/>
        </w:rPr>
        <w:t>)</w:t>
      </w:r>
      <w:r>
        <w:rPr>
          <w:snapToGrid/>
        </w:rPr>
        <w:t>。基本</w:t>
      </w:r>
      <w:r>
        <w:rPr>
          <w:snapToGrid/>
        </w:rPr>
        <w:t>研究为期</w:t>
      </w:r>
      <w:r>
        <w:rPr>
          <w:snapToGrid/>
        </w:rPr>
        <w:t>3</w:t>
      </w:r>
      <w:r>
        <w:rPr>
          <w:rFonts w:hint="eastAsia"/>
          <w:snapToGrid/>
        </w:rPr>
        <w:t>至</w:t>
      </w:r>
      <w:r>
        <w:rPr>
          <w:snapToGrid/>
        </w:rPr>
        <w:t>6</w:t>
      </w:r>
      <w:r>
        <w:rPr>
          <w:rFonts w:hint="eastAsia"/>
          <w:snapToGrid/>
        </w:rPr>
        <w:t>学年</w:t>
      </w:r>
      <w:r>
        <w:rPr>
          <w:snapToGrid/>
        </w:rPr>
        <w:t>。学生在完成基本研究后，可继续</w:t>
      </w:r>
      <w:r>
        <w:rPr>
          <w:rFonts w:hint="eastAsia"/>
          <w:snapToGrid/>
        </w:rPr>
        <w:t>修习</w:t>
      </w:r>
      <w:r>
        <w:rPr>
          <w:snapToGrid/>
        </w:rPr>
        <w:t>专门课程</w:t>
      </w:r>
      <w:r>
        <w:rPr>
          <w:snapToGrid/>
        </w:rPr>
        <w:t>(</w:t>
      </w:r>
      <w:r>
        <w:rPr>
          <w:snapToGrid/>
        </w:rPr>
        <w:t>一至两</w:t>
      </w:r>
      <w:r>
        <w:rPr>
          <w:rFonts w:hint="eastAsia"/>
          <w:snapToGrid/>
        </w:rPr>
        <w:t>学年</w:t>
      </w:r>
      <w:r>
        <w:rPr>
          <w:snapToGrid/>
        </w:rPr>
        <w:t>)</w:t>
      </w:r>
      <w:r>
        <w:rPr>
          <w:snapToGrid/>
        </w:rPr>
        <w:t>、硕士学位课程</w:t>
      </w:r>
      <w:r>
        <w:rPr>
          <w:snapToGrid/>
        </w:rPr>
        <w:t>(</w:t>
      </w:r>
      <w:r>
        <w:rPr>
          <w:snapToGrid/>
        </w:rPr>
        <w:t>两至三</w:t>
      </w:r>
      <w:r>
        <w:rPr>
          <w:rFonts w:hint="eastAsia"/>
          <w:snapToGrid/>
        </w:rPr>
        <w:t>学年</w:t>
      </w:r>
      <w:r>
        <w:rPr>
          <w:snapToGrid/>
        </w:rPr>
        <w:t>)</w:t>
      </w:r>
      <w:r>
        <w:rPr>
          <w:snapToGrid/>
        </w:rPr>
        <w:t>或博士学位课程</w:t>
      </w:r>
      <w:r>
        <w:rPr>
          <w:snapToGrid/>
        </w:rPr>
        <w:t>(</w:t>
      </w:r>
      <w:r>
        <w:rPr>
          <w:snapToGrid/>
        </w:rPr>
        <w:t>三</w:t>
      </w:r>
      <w:r>
        <w:rPr>
          <w:rFonts w:hint="eastAsia"/>
          <w:snapToGrid/>
        </w:rPr>
        <w:t>学年</w:t>
      </w:r>
      <w:r>
        <w:rPr>
          <w:snapToGrid/>
        </w:rPr>
        <w:t>)</w:t>
      </w:r>
      <w:r>
        <w:rPr>
          <w:snapToGrid/>
        </w:rPr>
        <w:t>。</w:t>
      </w:r>
    </w:p>
    <w:p w:rsidR="00000000" w:rsidRDefault="00844A84">
      <w:pPr>
        <w:rPr>
          <w:snapToGrid/>
        </w:rPr>
      </w:pPr>
      <w:r>
        <w:rPr>
          <w:rFonts w:hint="eastAsia"/>
          <w:snapToGrid/>
        </w:rPr>
        <w:tab/>
        <w:t xml:space="preserve">354.  </w:t>
      </w:r>
      <w:r>
        <w:rPr>
          <w:rFonts w:hint="eastAsia"/>
          <w:snapToGrid/>
        </w:rPr>
        <w:t>大学各院系或大学文学院或艺术学院规章规定，大学新生入学前必须完成四年中等教育。只有中学毕业生，才能按照大学文学院或艺术学院规章规定的条件，参加大学文学院或艺术学院的入学考试</w:t>
      </w:r>
      <w:r>
        <w:rPr>
          <w:rFonts w:hint="eastAsia"/>
          <w:snapToGrid/>
        </w:rPr>
        <w:t>(</w:t>
      </w:r>
      <w:r>
        <w:rPr>
          <w:rFonts w:hint="eastAsia"/>
          <w:snapToGrid/>
        </w:rPr>
        <w:t>法令第</w:t>
      </w:r>
      <w:r>
        <w:rPr>
          <w:snapToGrid/>
        </w:rPr>
        <w:t>28</w:t>
      </w:r>
      <w:r>
        <w:rPr>
          <w:snapToGrid/>
        </w:rPr>
        <w:t>条</w:t>
      </w:r>
      <w:r>
        <w:rPr>
          <w:rFonts w:hint="eastAsia"/>
          <w:snapToGrid/>
        </w:rPr>
        <w:t>》</w:t>
      </w:r>
      <w:r>
        <w:rPr>
          <w:snapToGrid/>
        </w:rPr>
        <w:t>。政府在征求大学的意见后</w:t>
      </w:r>
      <w:r>
        <w:rPr>
          <w:rFonts w:hint="eastAsia"/>
          <w:snapToGrid/>
        </w:rPr>
        <w:t>，</w:t>
      </w:r>
      <w:r>
        <w:rPr>
          <w:snapToGrid/>
        </w:rPr>
        <w:t>确定</w:t>
      </w:r>
      <w:r>
        <w:rPr>
          <w:rFonts w:hint="eastAsia"/>
          <w:snapToGrid/>
        </w:rPr>
        <w:t>可</w:t>
      </w:r>
      <w:r>
        <w:rPr>
          <w:snapToGrid/>
        </w:rPr>
        <w:t>就读一年基本课程、硕士学位或博士学位课程</w:t>
      </w:r>
      <w:r>
        <w:rPr>
          <w:rFonts w:hint="eastAsia"/>
          <w:snapToGrid/>
        </w:rPr>
        <w:t>的公费</w:t>
      </w:r>
      <w:r>
        <w:rPr>
          <w:snapToGrid/>
        </w:rPr>
        <w:t>生名额，</w:t>
      </w:r>
      <w:r>
        <w:rPr>
          <w:rFonts w:hint="eastAsia"/>
          <w:snapToGrid/>
        </w:rPr>
        <w:t>以及国立大学</w:t>
      </w:r>
      <w:r>
        <w:rPr>
          <w:snapToGrid/>
        </w:rPr>
        <w:t>自费生名额</w:t>
      </w:r>
      <w:r>
        <w:rPr>
          <w:snapToGrid/>
        </w:rPr>
        <w:t>(</w:t>
      </w:r>
      <w:r>
        <w:rPr>
          <w:snapToGrid/>
        </w:rPr>
        <w:t>法令第</w:t>
      </w:r>
      <w:r>
        <w:rPr>
          <w:snapToGrid/>
        </w:rPr>
        <w:t>32</w:t>
      </w:r>
      <w:r>
        <w:rPr>
          <w:snapToGrid/>
        </w:rPr>
        <w:t>条</w:t>
      </w:r>
      <w:r>
        <w:rPr>
          <w:snapToGrid/>
        </w:rPr>
        <w:t>)</w:t>
      </w:r>
      <w:r>
        <w:rPr>
          <w:snapToGrid/>
        </w:rPr>
        <w:t>。</w:t>
      </w:r>
      <w:r>
        <w:rPr>
          <w:rStyle w:val="EndnoteReference"/>
          <w:snapToGrid/>
        </w:rPr>
        <w:endnoteReference w:id="33"/>
      </w:r>
    </w:p>
    <w:p w:rsidR="00000000" w:rsidRDefault="00844A84">
      <w:pPr>
        <w:rPr>
          <w:snapToGrid/>
        </w:rPr>
      </w:pPr>
      <w:r>
        <w:rPr>
          <w:rFonts w:hint="eastAsia"/>
          <w:snapToGrid/>
        </w:rPr>
        <w:tab/>
      </w:r>
      <w:r>
        <w:rPr>
          <w:snapToGrid/>
        </w:rPr>
        <w:t>355.</w:t>
      </w:r>
      <w:r>
        <w:rPr>
          <w:rFonts w:hint="eastAsia"/>
          <w:snapToGrid/>
        </w:rPr>
        <w:t xml:space="preserve">  </w:t>
      </w:r>
      <w:r>
        <w:rPr>
          <w:snapToGrid/>
        </w:rPr>
        <w:t>允许公费生在大学期间不同</w:t>
      </w:r>
      <w:r>
        <w:rPr>
          <w:rFonts w:hint="eastAsia"/>
          <w:snapToGrid/>
        </w:rPr>
        <w:t>的</w:t>
      </w:r>
      <w:r>
        <w:rPr>
          <w:snapToGrid/>
        </w:rPr>
        <w:t>两年内</w:t>
      </w:r>
      <w:r>
        <w:rPr>
          <w:rFonts w:hint="eastAsia"/>
          <w:snapToGrid/>
        </w:rPr>
        <w:t>功课</w:t>
      </w:r>
      <w:r>
        <w:rPr>
          <w:snapToGrid/>
        </w:rPr>
        <w:t>不及格。如</w:t>
      </w:r>
      <w:r>
        <w:rPr>
          <w:rFonts w:hint="eastAsia"/>
          <w:snapToGrid/>
        </w:rPr>
        <w:t>留级</w:t>
      </w:r>
      <w:r>
        <w:rPr>
          <w:snapToGrid/>
        </w:rPr>
        <w:t>后</w:t>
      </w:r>
      <w:r>
        <w:rPr>
          <w:rFonts w:hint="eastAsia"/>
          <w:snapToGrid/>
        </w:rPr>
        <w:t>仍达</w:t>
      </w:r>
      <w:r>
        <w:rPr>
          <w:snapToGrid/>
        </w:rPr>
        <w:t>不到升级或就读</w:t>
      </w:r>
      <w:r>
        <w:rPr>
          <w:rFonts w:hint="eastAsia"/>
          <w:snapToGrid/>
        </w:rPr>
        <w:t>上一级</w:t>
      </w:r>
      <w:r>
        <w:rPr>
          <w:snapToGrid/>
        </w:rPr>
        <w:t>课程的注册要求，该学生</w:t>
      </w:r>
      <w:r>
        <w:rPr>
          <w:rFonts w:hint="eastAsia"/>
          <w:snapToGrid/>
        </w:rPr>
        <w:t>可</w:t>
      </w:r>
      <w:r>
        <w:rPr>
          <w:snapToGrid/>
        </w:rPr>
        <w:t>注册自费</w:t>
      </w:r>
      <w:r>
        <w:rPr>
          <w:rFonts w:hint="eastAsia"/>
          <w:snapToGrid/>
        </w:rPr>
        <w:t>读完</w:t>
      </w:r>
      <w:r>
        <w:rPr>
          <w:snapToGrid/>
        </w:rPr>
        <w:t>大学。如该生在</w:t>
      </w:r>
      <w:r>
        <w:rPr>
          <w:rFonts w:hint="eastAsia"/>
          <w:snapToGrid/>
        </w:rPr>
        <w:t>一</w:t>
      </w:r>
      <w:r>
        <w:rPr>
          <w:snapToGrid/>
        </w:rPr>
        <w:t>学年内</w:t>
      </w:r>
      <w:r>
        <w:rPr>
          <w:rFonts w:hint="eastAsia"/>
          <w:snapToGrid/>
        </w:rPr>
        <w:t>达到</w:t>
      </w:r>
      <w:r>
        <w:rPr>
          <w:snapToGrid/>
        </w:rPr>
        <w:t>就读上一级课程的注册要求，</w:t>
      </w:r>
      <w:r>
        <w:rPr>
          <w:rFonts w:hint="eastAsia"/>
          <w:snapToGrid/>
        </w:rPr>
        <w:t>则</w:t>
      </w:r>
      <w:r>
        <w:rPr>
          <w:snapToGrid/>
        </w:rPr>
        <w:t>有权使用公费生的名额继续学习</w:t>
      </w:r>
      <w:r>
        <w:rPr>
          <w:snapToGrid/>
        </w:rPr>
        <w:t>(</w:t>
      </w:r>
      <w:r>
        <w:rPr>
          <w:snapToGrid/>
        </w:rPr>
        <w:t>法令第</w:t>
      </w:r>
      <w:r>
        <w:rPr>
          <w:snapToGrid/>
        </w:rPr>
        <w:t>43</w:t>
      </w:r>
      <w:r>
        <w:rPr>
          <w:snapToGrid/>
        </w:rPr>
        <w:t>条</w:t>
      </w:r>
      <w:r>
        <w:rPr>
          <w:rFonts w:hint="eastAsia"/>
          <w:snapToGrid/>
        </w:rPr>
        <w:t>)</w:t>
      </w:r>
      <w:r>
        <w:rPr>
          <w:snapToGrid/>
        </w:rPr>
        <w:t>。平等</w:t>
      </w:r>
      <w:r>
        <w:rPr>
          <w:rFonts w:hint="eastAsia"/>
          <w:snapToGrid/>
        </w:rPr>
        <w:t>接受公立</w:t>
      </w:r>
      <w:r>
        <w:rPr>
          <w:snapToGrid/>
        </w:rPr>
        <w:t>大学教育的机会，是鼓励希望</w:t>
      </w:r>
      <w:r>
        <w:rPr>
          <w:rFonts w:hint="eastAsia"/>
          <w:snapToGrid/>
        </w:rPr>
        <w:t>进</w:t>
      </w:r>
      <w:r>
        <w:rPr>
          <w:snapToGrid/>
        </w:rPr>
        <w:t>大学的中学毕业生在中学取得更好的成绩。</w:t>
      </w:r>
    </w:p>
    <w:p w:rsidR="00000000" w:rsidRDefault="00844A84">
      <w:pPr>
        <w:autoSpaceDE w:val="0"/>
        <w:autoSpaceDN w:val="0"/>
        <w:ind w:firstLine="510"/>
        <w:rPr>
          <w:rFonts w:hint="eastAsia"/>
          <w:snapToGrid/>
        </w:rPr>
      </w:pPr>
      <w:r>
        <w:rPr>
          <w:snapToGrid/>
        </w:rPr>
        <w:t>356.</w:t>
      </w:r>
      <w:r>
        <w:rPr>
          <w:rFonts w:hint="eastAsia"/>
          <w:snapToGrid/>
        </w:rPr>
        <w:t xml:space="preserve">  </w:t>
      </w:r>
      <w:r>
        <w:rPr>
          <w:snapToGrid/>
        </w:rPr>
        <w:t>塞尔维亚共和国教育和体育部发展</w:t>
      </w:r>
      <w:r>
        <w:rPr>
          <w:rFonts w:hint="eastAsia"/>
          <w:snapToGrid/>
        </w:rPr>
        <w:t>大专</w:t>
      </w:r>
      <w:r>
        <w:rPr>
          <w:snapToGrid/>
        </w:rPr>
        <w:t>和大学教育司提供的数据表明，</w:t>
      </w:r>
      <w:r>
        <w:rPr>
          <w:rFonts w:hint="eastAsia"/>
          <w:snapToGrid/>
        </w:rPr>
        <w:t>就读</w:t>
      </w:r>
      <w:r>
        <w:rPr>
          <w:snapToGrid/>
        </w:rPr>
        <w:t>基本研究课程的全日制学生招生总名额近</w:t>
      </w:r>
      <w:r>
        <w:rPr>
          <w:snapToGrid/>
        </w:rPr>
        <w:t>33,000</w:t>
      </w:r>
      <w:r>
        <w:rPr>
          <w:snapToGrid/>
        </w:rPr>
        <w:t>人；其中</w:t>
      </w:r>
      <w:r>
        <w:rPr>
          <w:rFonts w:hint="eastAsia"/>
          <w:snapToGrid/>
        </w:rPr>
        <w:t>一半</w:t>
      </w:r>
      <w:r>
        <w:rPr>
          <w:snapToGrid/>
        </w:rPr>
        <w:t>为公费生。每年约有</w:t>
      </w:r>
      <w:r>
        <w:rPr>
          <w:snapToGrid/>
        </w:rPr>
        <w:t>12,000</w:t>
      </w:r>
      <w:r>
        <w:rPr>
          <w:snapToGrid/>
        </w:rPr>
        <w:t>名学生获得</w:t>
      </w:r>
      <w:r>
        <w:rPr>
          <w:rFonts w:hint="eastAsia"/>
          <w:snapToGrid/>
        </w:rPr>
        <w:t>初级</w:t>
      </w:r>
      <w:r>
        <w:rPr>
          <w:snapToGrid/>
        </w:rPr>
        <w:t>学位。大学新生主要</w:t>
      </w:r>
      <w:r>
        <w:rPr>
          <w:rFonts w:hint="eastAsia"/>
          <w:snapToGrid/>
        </w:rPr>
        <w:t>选修</w:t>
      </w:r>
      <w:r>
        <w:rPr>
          <w:snapToGrid/>
        </w:rPr>
        <w:t>社会研究</w:t>
      </w:r>
      <w:r>
        <w:rPr>
          <w:snapToGrid/>
        </w:rPr>
        <w:t>(30%)</w:t>
      </w:r>
      <w:r>
        <w:rPr>
          <w:snapToGrid/>
        </w:rPr>
        <w:t>、技术研究</w:t>
      </w:r>
      <w:r>
        <w:rPr>
          <w:snapToGrid/>
          <w:spacing w:val="6"/>
        </w:rPr>
        <w:t>(24%)</w:t>
      </w:r>
      <w:r>
        <w:rPr>
          <w:snapToGrid/>
          <w:spacing w:val="6"/>
        </w:rPr>
        <w:t>、</w:t>
      </w:r>
      <w:r>
        <w:rPr>
          <w:rFonts w:hint="eastAsia"/>
          <w:snapToGrid/>
          <w:spacing w:val="6"/>
        </w:rPr>
        <w:t>人文学科</w:t>
      </w:r>
      <w:r>
        <w:rPr>
          <w:rFonts w:hint="eastAsia"/>
          <w:snapToGrid/>
          <w:spacing w:val="6"/>
        </w:rPr>
        <w:t>(</w:t>
      </w:r>
      <w:r>
        <w:rPr>
          <w:snapToGrid/>
          <w:spacing w:val="6"/>
        </w:rPr>
        <w:t>1</w:t>
      </w:r>
      <w:r>
        <w:rPr>
          <w:snapToGrid/>
          <w:spacing w:val="6"/>
        </w:rPr>
        <w:t>6%)</w:t>
      </w:r>
      <w:r>
        <w:rPr>
          <w:snapToGrid/>
          <w:spacing w:val="6"/>
        </w:rPr>
        <w:t>、医学</w:t>
      </w:r>
      <w:r>
        <w:rPr>
          <w:snapToGrid/>
          <w:spacing w:val="6"/>
        </w:rPr>
        <w:t>(12%)</w:t>
      </w:r>
      <w:r>
        <w:rPr>
          <w:snapToGrid/>
          <w:spacing w:val="6"/>
        </w:rPr>
        <w:t>、自然科学</w:t>
      </w:r>
      <w:r>
        <w:rPr>
          <w:snapToGrid/>
          <w:spacing w:val="6"/>
        </w:rPr>
        <w:t>(9%</w:t>
      </w:r>
      <w:r>
        <w:rPr>
          <w:rFonts w:hint="eastAsia"/>
          <w:snapToGrid/>
          <w:spacing w:val="6"/>
        </w:rPr>
        <w:t>)</w:t>
      </w:r>
      <w:r>
        <w:rPr>
          <w:rFonts w:hint="eastAsia"/>
          <w:snapToGrid/>
          <w:spacing w:val="6"/>
        </w:rPr>
        <w:t>、</w:t>
      </w:r>
      <w:r>
        <w:rPr>
          <w:snapToGrid/>
          <w:spacing w:val="6"/>
        </w:rPr>
        <w:t>生物技术</w:t>
      </w:r>
      <w:r>
        <w:rPr>
          <w:snapToGrid/>
          <w:spacing w:val="6"/>
        </w:rPr>
        <w:t>(7%)</w:t>
      </w:r>
      <w:r>
        <w:rPr>
          <w:snapToGrid/>
          <w:spacing w:val="6"/>
        </w:rPr>
        <w:t>以及文科</w:t>
      </w:r>
      <w:r>
        <w:rPr>
          <w:snapToGrid/>
          <w:spacing w:val="6"/>
        </w:rPr>
        <w:t>(2%)</w:t>
      </w:r>
      <w:r>
        <w:rPr>
          <w:snapToGrid/>
          <w:spacing w:val="6"/>
        </w:rPr>
        <w:t>。</w:t>
      </w:r>
      <w:r>
        <w:rPr>
          <w:rStyle w:val="EndnoteReference"/>
          <w:snapToGrid/>
        </w:rPr>
        <w:endnoteReference w:id="34"/>
      </w:r>
      <w:r>
        <w:rPr>
          <w:rFonts w:hint="eastAsia"/>
          <w:snapToGrid/>
        </w:rPr>
        <w:t xml:space="preserve"> </w:t>
      </w:r>
    </w:p>
    <w:p w:rsidR="00000000" w:rsidRDefault="00844A84">
      <w:pPr>
        <w:ind w:firstLine="510"/>
        <w:rPr>
          <w:rFonts w:hint="eastAsia"/>
          <w:snapToGrid/>
        </w:rPr>
      </w:pPr>
      <w:r>
        <w:rPr>
          <w:snapToGrid/>
        </w:rPr>
        <w:t>357.</w:t>
      </w:r>
      <w:r>
        <w:rPr>
          <w:rFonts w:hint="eastAsia"/>
          <w:snapToGrid/>
        </w:rPr>
        <w:t xml:space="preserve">  </w:t>
      </w:r>
      <w:r>
        <w:rPr>
          <w:rFonts w:hint="eastAsia"/>
          <w:snapToGrid/>
        </w:rPr>
        <w:t>学术</w:t>
      </w:r>
      <w:r>
        <w:rPr>
          <w:snapToGrid/>
        </w:rPr>
        <w:t>自由</w:t>
      </w:r>
      <w:r>
        <w:rPr>
          <w:rFonts w:hint="eastAsia"/>
          <w:snapToGrid/>
        </w:rPr>
        <w:t>和大学自治的权利是大学教育卓有成效的关键。但过去十年内完全没有赋予这些权利。是否创办大学或大专的问题，在很大程度上是出于政治考虑。教育机构没有任何自治权。从国家教育政策到教育机构的立案等所有一系列重要决定都由塞尔维亚政府通过教育部作出，但教育部本身并不具备切实执行这些任务的能力。在这些教育机构一旦成立之后，就永远无法对之作出真正的学术评估。</w:t>
      </w:r>
    </w:p>
    <w:p w:rsidR="00000000" w:rsidRDefault="00844A84">
      <w:pPr>
        <w:ind w:firstLine="510"/>
        <w:rPr>
          <w:rFonts w:hint="eastAsia"/>
          <w:snapToGrid/>
        </w:rPr>
      </w:pPr>
      <w:r>
        <w:rPr>
          <w:snapToGrid/>
        </w:rPr>
        <w:t>358.</w:t>
      </w:r>
      <w:r>
        <w:rPr>
          <w:rFonts w:hint="eastAsia"/>
          <w:snapToGrid/>
        </w:rPr>
        <w:t xml:space="preserve">  </w:t>
      </w:r>
      <w:r>
        <w:rPr>
          <w:rFonts w:hint="eastAsia"/>
          <w:snapToGrid/>
        </w:rPr>
        <w:t>塞尔维亚共和国教育部是唯一负责法律监督的机构，这种监督</w:t>
      </w:r>
      <w:r>
        <w:rPr>
          <w:rFonts w:hint="eastAsia"/>
          <w:snapToGrid/>
        </w:rPr>
        <w:t>包括核实是否已严格遵守规定的政府机构程序。由于没有更好的机构评估系统，只能根据以前的学生在世界著名大学学习时的学业记录对之作出评估。</w:t>
      </w:r>
    </w:p>
    <w:p w:rsidR="00000000" w:rsidRDefault="00844A84">
      <w:pPr>
        <w:ind w:firstLine="510"/>
        <w:rPr>
          <w:rFonts w:hint="eastAsia"/>
          <w:snapToGrid/>
        </w:rPr>
      </w:pPr>
      <w:r>
        <w:rPr>
          <w:snapToGrid/>
        </w:rPr>
        <w:t>359.</w:t>
      </w:r>
      <w:r>
        <w:rPr>
          <w:rFonts w:hint="eastAsia"/>
          <w:snapToGrid/>
        </w:rPr>
        <w:t xml:space="preserve">  </w:t>
      </w:r>
      <w:r>
        <w:rPr>
          <w:rFonts w:hint="eastAsia"/>
          <w:snapToGrid/>
        </w:rPr>
        <w:t>于是，每所学校都已开始修订教学大纲，增加更多的科目。例如，大学学位研究甚至包括了世界各地所有大学研究生院开设的各种完整的研究生课程。学生别无选择，只得设法对付。由于看到大学学位极有价值，他们必须首先平均奋斗</w:t>
      </w:r>
      <w:r>
        <w:rPr>
          <w:rFonts w:hint="eastAsia"/>
          <w:snapToGrid/>
        </w:rPr>
        <w:t>7</w:t>
      </w:r>
      <w:r>
        <w:rPr>
          <w:rFonts w:hint="eastAsia"/>
          <w:snapToGrid/>
        </w:rPr>
        <w:t>至</w:t>
      </w:r>
      <w:r>
        <w:rPr>
          <w:rFonts w:hint="eastAsia"/>
          <w:snapToGrid/>
        </w:rPr>
        <w:t>8</w:t>
      </w:r>
      <w:r>
        <w:rPr>
          <w:rFonts w:hint="eastAsia"/>
          <w:snapToGrid/>
        </w:rPr>
        <w:t>年获得学士学位。取得学位的人以优等生身份毕业。另一方面，注册后学生即使修完了两至三年的课程，并通过了</w:t>
      </w:r>
      <w:r>
        <w:rPr>
          <w:rFonts w:hint="eastAsia"/>
          <w:snapToGrid/>
        </w:rPr>
        <w:t>20</w:t>
      </w:r>
      <w:r>
        <w:rPr>
          <w:rFonts w:hint="eastAsia"/>
          <w:snapToGrid/>
        </w:rPr>
        <w:t>多次考试，他们之中仍有</w:t>
      </w:r>
      <w:r>
        <w:rPr>
          <w:rFonts w:hint="eastAsia"/>
          <w:snapToGrid/>
        </w:rPr>
        <w:t>60%</w:t>
      </w:r>
      <w:r>
        <w:rPr>
          <w:rFonts w:hint="eastAsia"/>
          <w:snapToGrid/>
        </w:rPr>
        <w:t>以上得不到学位。不用说</w:t>
      </w:r>
      <w:r>
        <w:rPr>
          <w:rFonts w:hint="eastAsia"/>
          <w:snapToGrid/>
        </w:rPr>
        <w:t>，从大专毕业较为容易。一些大专尽管教授相当良好的实际知识和技能，但通常被视为二流学校。</w:t>
      </w:r>
      <w:r>
        <w:rPr>
          <w:rStyle w:val="EndnoteReference"/>
          <w:snapToGrid/>
        </w:rPr>
        <w:endnoteReference w:id="35"/>
      </w:r>
    </w:p>
    <w:p w:rsidR="00000000" w:rsidRDefault="00844A84">
      <w:pPr>
        <w:ind w:firstLine="510"/>
        <w:rPr>
          <w:snapToGrid/>
        </w:rPr>
      </w:pPr>
      <w:r>
        <w:rPr>
          <w:snapToGrid/>
        </w:rPr>
        <w:t>360.</w:t>
      </w:r>
      <w:r>
        <w:rPr>
          <w:rFonts w:hint="eastAsia"/>
          <w:snapToGrid/>
        </w:rPr>
        <w:t xml:space="preserve">  </w:t>
      </w:r>
      <w:r>
        <w:rPr>
          <w:rFonts w:hint="eastAsia"/>
          <w:snapToGrid/>
        </w:rPr>
        <w:t>关于开办私立大学和私立高等院校的程序和立案的法律条例含糊不清，从而也造成了问题。在这方面，“法律侧重于提出一整套形式上的要求，例如有适当的校舍、技术设备和适量教师。塞尔维亚教育部正式受命负责确定程序细节的任务，但从未予以执行。因此可得出的结论是，只有经济不景气，才能防止私立学校蓬勃发展的现象”。</w:t>
      </w:r>
      <w:r>
        <w:rPr>
          <w:rStyle w:val="EndnoteReference"/>
          <w:snapToGrid/>
        </w:rPr>
        <w:endnoteReference w:id="36"/>
      </w:r>
    </w:p>
    <w:p w:rsidR="00000000" w:rsidRDefault="00844A84">
      <w:pPr>
        <w:spacing w:after="320"/>
        <w:ind w:firstLine="510"/>
        <w:rPr>
          <w:rFonts w:hint="eastAsia"/>
          <w:snapToGrid/>
        </w:rPr>
      </w:pPr>
      <w:r>
        <w:rPr>
          <w:snapToGrid/>
        </w:rPr>
        <w:t>361.</w:t>
      </w:r>
      <w:r>
        <w:rPr>
          <w:rFonts w:hint="eastAsia"/>
          <w:snapToGrid/>
        </w:rPr>
        <w:t xml:space="preserve">  </w:t>
      </w:r>
      <w:r>
        <w:rPr>
          <w:snapToGrid/>
        </w:rPr>
        <w:t>高等教育</w:t>
      </w:r>
      <w:r>
        <w:rPr>
          <w:rFonts w:hint="eastAsia"/>
          <w:snapToGrid/>
        </w:rPr>
        <w:t>部门改革的目标之一是建立现代化的高等教育系统，使之符合《波洛尼亚宣言》和《里斯本宣言》，该</w:t>
      </w:r>
      <w:r>
        <w:rPr>
          <w:rFonts w:hint="eastAsia"/>
          <w:snapToGrid/>
        </w:rPr>
        <w:t>两项文书规定了统一的欧洲教育制度，包括维持特有的民族、文化和语言特性。朝这一方向迈出的第一步是通过一项新的《大学法》</w:t>
      </w:r>
      <w:r>
        <w:rPr>
          <w:rFonts w:hint="eastAsia"/>
          <w:snapToGrid/>
        </w:rPr>
        <w:t>(</w:t>
      </w:r>
      <w:r>
        <w:rPr>
          <w:rFonts w:hint="eastAsia"/>
          <w:snapToGrid/>
        </w:rPr>
        <w:t>《塞尔维亚共和国公报》第</w:t>
      </w:r>
      <w:r>
        <w:rPr>
          <w:rFonts w:hint="eastAsia"/>
          <w:snapToGrid/>
        </w:rPr>
        <w:t>21/2002</w:t>
      </w:r>
      <w:r>
        <w:rPr>
          <w:rFonts w:hint="eastAsia"/>
          <w:snapToGrid/>
        </w:rPr>
        <w:t>号</w:t>
      </w:r>
      <w:r>
        <w:rPr>
          <w:rFonts w:hint="eastAsia"/>
          <w:snapToGrid/>
        </w:rPr>
        <w:t>)</w:t>
      </w:r>
      <w:r>
        <w:rPr>
          <w:rFonts w:hint="eastAsia"/>
          <w:snapToGrid/>
        </w:rPr>
        <w:t>。人们希望，这项法律将确保创造各种基本条件，建立要求大学拥有自治地位的卓有成效的高等教育系统；减少辍学人数，并缩短过长的研究期限；建立各种机制，检查教学大纲和教学质量；讲授的科目应该实用，能考虑到国家需求和市场需要；使学生成为教育进程的伙伴。有关管理和专门机构的组成和选举的法律条例应重申大学及其院系享有自治权。学生通过学生会在管理学校和院系方面有重要</w:t>
      </w:r>
      <w:r>
        <w:rPr>
          <w:rFonts w:hint="eastAsia"/>
          <w:snapToGrid/>
        </w:rPr>
        <w:t>的发言权</w:t>
      </w:r>
      <w:r>
        <w:rPr>
          <w:rFonts w:hint="eastAsia"/>
          <w:snapToGrid/>
        </w:rPr>
        <w:t>(</w:t>
      </w:r>
      <w:r>
        <w:rPr>
          <w:rFonts w:hint="eastAsia"/>
          <w:snapToGrid/>
        </w:rPr>
        <w:t>法令第</w:t>
      </w:r>
      <w:r>
        <w:rPr>
          <w:rFonts w:hint="eastAsia"/>
          <w:snapToGrid/>
        </w:rPr>
        <w:t>64</w:t>
      </w:r>
      <w:r>
        <w:rPr>
          <w:rFonts w:hint="eastAsia"/>
          <w:snapToGrid/>
        </w:rPr>
        <w:t>条</w:t>
      </w:r>
      <w:r>
        <w:rPr>
          <w:rFonts w:hint="eastAsia"/>
          <w:snapToGrid/>
        </w:rPr>
        <w:t>)</w:t>
      </w:r>
      <w:r>
        <w:rPr>
          <w:rFonts w:hint="eastAsia"/>
          <w:snapToGrid/>
        </w:rPr>
        <w:t>。</w:t>
      </w:r>
    </w:p>
    <w:p w:rsidR="00000000" w:rsidRDefault="00844A84">
      <w:pPr>
        <w:pStyle w:val="Heading3"/>
        <w:rPr>
          <w:rFonts w:hint="eastAsia"/>
        </w:rPr>
      </w:pPr>
      <w:r>
        <w:rPr>
          <w:rFonts w:hint="eastAsia"/>
          <w:u w:val="none"/>
        </w:rPr>
        <w:t xml:space="preserve">E.  </w:t>
      </w:r>
      <w:r>
        <w:rPr>
          <w:rFonts w:hint="eastAsia"/>
        </w:rPr>
        <w:t>向没有接受或完成全部初等</w:t>
      </w:r>
      <w:r>
        <w:br/>
      </w:r>
      <w:r>
        <w:rPr>
          <w:rFonts w:hint="eastAsia"/>
        </w:rPr>
        <w:t>教育的人提供基本教育</w:t>
      </w:r>
    </w:p>
    <w:p w:rsidR="00000000" w:rsidRDefault="00844A84">
      <w:pPr>
        <w:ind w:firstLine="510"/>
        <w:rPr>
          <w:rFonts w:hint="eastAsia"/>
          <w:snapToGrid/>
        </w:rPr>
      </w:pPr>
      <w:r>
        <w:rPr>
          <w:rFonts w:hint="eastAsia"/>
          <w:snapToGrid/>
        </w:rPr>
        <w:t xml:space="preserve">362.  </w:t>
      </w:r>
      <w:r>
        <w:rPr>
          <w:rFonts w:hint="eastAsia"/>
          <w:snapToGrid/>
        </w:rPr>
        <w:t>《塞尔维亚共和国初等教育法》规定，未全日在小学就读但年满</w:t>
      </w:r>
      <w:r>
        <w:rPr>
          <w:rFonts w:hint="eastAsia"/>
          <w:snapToGrid/>
        </w:rPr>
        <w:t>15</w:t>
      </w:r>
      <w:r>
        <w:rPr>
          <w:rFonts w:hint="eastAsia"/>
          <w:snapToGrid/>
        </w:rPr>
        <w:t>岁的人以及成年人得按照该法令接受初等教育。这种教育采用适合成年人的课程和教学大纲</w:t>
      </w:r>
      <w:r>
        <w:rPr>
          <w:rFonts w:hint="eastAsia"/>
          <w:snapToGrid/>
        </w:rPr>
        <w:t>(</w:t>
      </w:r>
      <w:r>
        <w:rPr>
          <w:rFonts w:hint="eastAsia"/>
          <w:snapToGrid/>
        </w:rPr>
        <w:t>法令第</w:t>
      </w:r>
      <w:r>
        <w:rPr>
          <w:rFonts w:hint="eastAsia"/>
          <w:snapToGrid/>
        </w:rPr>
        <w:t>94</w:t>
      </w:r>
      <w:r>
        <w:rPr>
          <w:rFonts w:hint="eastAsia"/>
          <w:snapToGrid/>
        </w:rPr>
        <w:t>条</w:t>
      </w:r>
      <w:r>
        <w:rPr>
          <w:rFonts w:hint="eastAsia"/>
          <w:snapToGrid/>
        </w:rPr>
        <w:t>)</w:t>
      </w:r>
      <w:r>
        <w:rPr>
          <w:rFonts w:hint="eastAsia"/>
          <w:snapToGrid/>
        </w:rPr>
        <w:t>。这种教育分为一至四个年级，学制</w:t>
      </w:r>
      <w:r>
        <w:rPr>
          <w:rFonts w:hint="eastAsia"/>
          <w:snapToGrid/>
        </w:rPr>
        <w:t>4</w:t>
      </w:r>
      <w:r>
        <w:rPr>
          <w:rFonts w:hint="eastAsia"/>
          <w:snapToGrid/>
        </w:rPr>
        <w:t>年。成人初等教育机构的规章规定了招生和考试注册办法。上课和考试费用由学生按有关学校的标准法令缴付</w:t>
      </w:r>
      <w:r>
        <w:rPr>
          <w:rFonts w:hint="eastAsia"/>
          <w:snapToGrid/>
        </w:rPr>
        <w:t>(</w:t>
      </w:r>
      <w:r>
        <w:rPr>
          <w:rFonts w:hint="eastAsia"/>
          <w:snapToGrid/>
        </w:rPr>
        <w:t>第</w:t>
      </w:r>
      <w:r>
        <w:rPr>
          <w:rFonts w:hint="eastAsia"/>
          <w:snapToGrid/>
        </w:rPr>
        <w:t>96</w:t>
      </w:r>
      <w:r>
        <w:rPr>
          <w:rFonts w:hint="eastAsia"/>
          <w:snapToGrid/>
        </w:rPr>
        <w:t>条</w:t>
      </w:r>
      <w:r>
        <w:rPr>
          <w:rFonts w:hint="eastAsia"/>
          <w:snapToGrid/>
        </w:rPr>
        <w:t>)</w:t>
      </w:r>
      <w:r>
        <w:rPr>
          <w:rFonts w:hint="eastAsia"/>
          <w:snapToGrid/>
        </w:rPr>
        <w:t>。</w:t>
      </w:r>
    </w:p>
    <w:p w:rsidR="00000000" w:rsidRDefault="00844A84">
      <w:pPr>
        <w:ind w:firstLine="510"/>
        <w:rPr>
          <w:rFonts w:hint="eastAsia"/>
          <w:snapToGrid/>
        </w:rPr>
      </w:pPr>
      <w:r>
        <w:rPr>
          <w:snapToGrid/>
        </w:rPr>
        <w:t>363.</w:t>
      </w:r>
      <w:r>
        <w:rPr>
          <w:rFonts w:hint="eastAsia"/>
          <w:snapToGrid/>
        </w:rPr>
        <w:t xml:space="preserve">  </w:t>
      </w:r>
      <w:r>
        <w:rPr>
          <w:snapToGrid/>
        </w:rPr>
        <w:t>就业中心在登记失业人</w:t>
      </w:r>
      <w:r>
        <w:rPr>
          <w:rFonts w:hint="eastAsia"/>
          <w:snapToGrid/>
        </w:rPr>
        <w:t>员时</w:t>
      </w:r>
      <w:r>
        <w:rPr>
          <w:snapToGrid/>
        </w:rPr>
        <w:t>发起并开展</w:t>
      </w:r>
      <w:r>
        <w:rPr>
          <w:rFonts w:hint="eastAsia"/>
          <w:snapToGrid/>
        </w:rPr>
        <w:t>识字</w:t>
      </w:r>
      <w:r>
        <w:rPr>
          <w:snapToGrid/>
        </w:rPr>
        <w:t>运动</w:t>
      </w:r>
      <w:r>
        <w:rPr>
          <w:rFonts w:hint="eastAsia"/>
          <w:snapToGrid/>
        </w:rPr>
        <w:t>。</w:t>
      </w:r>
      <w:r>
        <w:rPr>
          <w:snapToGrid/>
        </w:rPr>
        <w:t>如果没有初等教育</w:t>
      </w:r>
      <w:r>
        <w:rPr>
          <w:rFonts w:hint="eastAsia"/>
          <w:snapToGrid/>
        </w:rPr>
        <w:t>文凭</w:t>
      </w:r>
      <w:r>
        <w:rPr>
          <w:snapToGrid/>
        </w:rPr>
        <w:t>，就连</w:t>
      </w:r>
      <w:r>
        <w:rPr>
          <w:rFonts w:hint="eastAsia"/>
          <w:snapToGrid/>
        </w:rPr>
        <w:t>只要求</w:t>
      </w:r>
      <w:r>
        <w:rPr>
          <w:snapToGrid/>
        </w:rPr>
        <w:t>最基本</w:t>
      </w:r>
      <w:r>
        <w:rPr>
          <w:rFonts w:hint="eastAsia"/>
          <w:snapToGrid/>
        </w:rPr>
        <w:t>技能</w:t>
      </w:r>
      <w:r>
        <w:rPr>
          <w:snapToGrid/>
        </w:rPr>
        <w:t>的工作也无法找到</w:t>
      </w:r>
      <w:r>
        <w:rPr>
          <w:snapToGrid/>
        </w:rPr>
        <w:t>，因此</w:t>
      </w:r>
      <w:r>
        <w:rPr>
          <w:rFonts w:hint="eastAsia"/>
          <w:snapToGrid/>
        </w:rPr>
        <w:t>已</w:t>
      </w:r>
      <w:r>
        <w:rPr>
          <w:snapToGrid/>
        </w:rPr>
        <w:t>采取特别措施，</w:t>
      </w:r>
      <w:r>
        <w:rPr>
          <w:rFonts w:hint="eastAsia"/>
          <w:snapToGrid/>
        </w:rPr>
        <w:t>使年龄已超过上全日制</w:t>
      </w:r>
      <w:r>
        <w:rPr>
          <w:snapToGrid/>
        </w:rPr>
        <w:t>小学的人或没有读完</w:t>
      </w:r>
      <w:r>
        <w:rPr>
          <w:rFonts w:hint="eastAsia"/>
          <w:snapToGrid/>
        </w:rPr>
        <w:t>小学</w:t>
      </w:r>
      <w:r>
        <w:rPr>
          <w:snapToGrid/>
        </w:rPr>
        <w:t>全部课程的人找到工作。</w:t>
      </w:r>
    </w:p>
    <w:p w:rsidR="00000000" w:rsidRDefault="00844A84">
      <w:pPr>
        <w:ind w:firstLine="510"/>
        <w:rPr>
          <w:rFonts w:hint="eastAsia"/>
          <w:snapToGrid/>
        </w:rPr>
      </w:pPr>
      <w:r>
        <w:rPr>
          <w:snapToGrid/>
        </w:rPr>
        <w:t>364.</w:t>
      </w:r>
      <w:r>
        <w:rPr>
          <w:rFonts w:hint="eastAsia"/>
          <w:snapToGrid/>
        </w:rPr>
        <w:t xml:space="preserve">  </w:t>
      </w:r>
      <w:r>
        <w:rPr>
          <w:snapToGrid/>
        </w:rPr>
        <w:t>塞尔维亚共和国教育和体育部专家小组分析了有关成人教育的状况，并认为相关的条例没有规定</w:t>
      </w:r>
      <w:r>
        <w:rPr>
          <w:rFonts w:hint="eastAsia"/>
          <w:snapToGrid/>
        </w:rPr>
        <w:t>实现</w:t>
      </w:r>
      <w:r>
        <w:rPr>
          <w:snapToGrid/>
        </w:rPr>
        <w:t>成人接受教育的权利以及接受优质教育的权利。他们认为，</w:t>
      </w:r>
      <w:r>
        <w:rPr>
          <w:rFonts w:hint="eastAsia"/>
          <w:snapToGrid/>
        </w:rPr>
        <w:t>“</w:t>
      </w:r>
      <w:r>
        <w:rPr>
          <w:snapToGrid/>
        </w:rPr>
        <w:t>向成年人提供成人初等教育的学校使用适合正规小学的课程和教学大纲。这些大纲</w:t>
      </w:r>
      <w:r>
        <w:rPr>
          <w:rFonts w:hint="eastAsia"/>
          <w:snapToGrid/>
        </w:rPr>
        <w:t>任意削减课程</w:t>
      </w:r>
      <w:r>
        <w:rPr>
          <w:snapToGrid/>
        </w:rPr>
        <w:t>，而不考虑到</w:t>
      </w:r>
      <w:r>
        <w:rPr>
          <w:rFonts w:hint="eastAsia"/>
          <w:snapToGrid/>
        </w:rPr>
        <w:t>成人教育</w:t>
      </w:r>
      <w:r>
        <w:rPr>
          <w:snapToGrid/>
        </w:rPr>
        <w:t>标准。这些班级</w:t>
      </w:r>
      <w:r>
        <w:rPr>
          <w:rFonts w:hint="eastAsia"/>
          <w:snapToGrid/>
        </w:rPr>
        <w:t>的形式</w:t>
      </w:r>
      <w:r>
        <w:rPr>
          <w:snapToGrid/>
        </w:rPr>
        <w:t>不符合学生需求</w:t>
      </w:r>
      <w:r>
        <w:rPr>
          <w:snapToGrid/>
        </w:rPr>
        <w:t>(</w:t>
      </w:r>
      <w:r>
        <w:rPr>
          <w:snapToGrid/>
        </w:rPr>
        <w:t>例如</w:t>
      </w:r>
      <w:r>
        <w:rPr>
          <w:rFonts w:hint="eastAsia"/>
          <w:snapToGrid/>
        </w:rPr>
        <w:t>没有</w:t>
      </w:r>
      <w:r>
        <w:rPr>
          <w:snapToGrid/>
        </w:rPr>
        <w:t>为存在学习问题的儿童开设辅导</w:t>
      </w:r>
      <w:r>
        <w:rPr>
          <w:rFonts w:hint="eastAsia"/>
          <w:snapToGrid/>
        </w:rPr>
        <w:t>班和</w:t>
      </w:r>
      <w:r>
        <w:rPr>
          <w:snapToGrid/>
        </w:rPr>
        <w:t>指导班</w:t>
      </w:r>
      <w:r>
        <w:rPr>
          <w:snapToGrid/>
        </w:rPr>
        <w:t>)</w:t>
      </w:r>
      <w:r>
        <w:rPr>
          <w:snapToGrid/>
        </w:rPr>
        <w:t>。课本和阅读材料不适合这些目的。教师也不具备在这些班级上课的资格</w:t>
      </w:r>
      <w:r>
        <w:rPr>
          <w:rFonts w:hint="eastAsia"/>
          <w:snapToGrid/>
        </w:rPr>
        <w:t>。没有对这类学校及</w:t>
      </w:r>
      <w:r>
        <w:rPr>
          <w:rFonts w:hint="eastAsia"/>
          <w:snapToGrid/>
        </w:rPr>
        <w:t>其管理人员规定任何组织标准。中学则不开设这种班级，只是最终安排举行成人考试</w:t>
      </w:r>
      <w:r>
        <w:rPr>
          <w:rFonts w:hint="eastAsia"/>
          <w:snapToGrid/>
        </w:rPr>
        <w:t>(</w:t>
      </w:r>
      <w:r>
        <w:rPr>
          <w:rFonts w:hint="eastAsia"/>
          <w:snapToGrid/>
        </w:rPr>
        <w:t>将成人视为非全日制学生的组成部分</w:t>
      </w:r>
      <w:r>
        <w:rPr>
          <w:rFonts w:hint="eastAsia"/>
          <w:snapToGrid/>
        </w:rPr>
        <w:t>)</w:t>
      </w:r>
      <w:r>
        <w:rPr>
          <w:rStyle w:val="EndnoteReference"/>
          <w:snapToGrid/>
        </w:rPr>
        <w:endnoteReference w:id="37"/>
      </w:r>
      <w:r>
        <w:rPr>
          <w:rFonts w:hint="eastAsia"/>
          <w:snapToGrid/>
        </w:rPr>
        <w:t>。中等教育没有开设这种班级，其原因是工作没有弹性安排，没有合适的方案，也没有为此目训练有素的教学人员。大学的情况也类似。</w:t>
      </w:r>
    </w:p>
    <w:p w:rsidR="00000000" w:rsidRDefault="00844A84">
      <w:pPr>
        <w:spacing w:after="320"/>
        <w:ind w:firstLine="510"/>
        <w:rPr>
          <w:snapToGrid/>
        </w:rPr>
      </w:pPr>
      <w:r>
        <w:rPr>
          <w:snapToGrid/>
        </w:rPr>
        <w:t>365.</w:t>
      </w:r>
      <w:r>
        <w:rPr>
          <w:rFonts w:hint="eastAsia"/>
          <w:snapToGrid/>
        </w:rPr>
        <w:t xml:space="preserve">  </w:t>
      </w:r>
      <w:r>
        <w:rPr>
          <w:rFonts w:hint="eastAsia"/>
          <w:snapToGrid/>
        </w:rPr>
        <w:t>《</w:t>
      </w:r>
      <w:r>
        <w:rPr>
          <w:snapToGrid/>
        </w:rPr>
        <w:t>欧洲联盟白皮书</w:t>
      </w:r>
      <w:r>
        <w:rPr>
          <w:rFonts w:hint="eastAsia"/>
          <w:snapToGrid/>
        </w:rPr>
        <w:t>》</w:t>
      </w:r>
      <w:r>
        <w:rPr>
          <w:snapToGrid/>
        </w:rPr>
        <w:t>指出，成人教育</w:t>
      </w:r>
      <w:r>
        <w:rPr>
          <w:rFonts w:hint="eastAsia"/>
          <w:snapToGrid/>
        </w:rPr>
        <w:t>是</w:t>
      </w:r>
      <w:r>
        <w:rPr>
          <w:snapToGrid/>
        </w:rPr>
        <w:t>促进</w:t>
      </w:r>
      <w:r>
        <w:rPr>
          <w:rFonts w:hint="eastAsia"/>
          <w:snapToGrid/>
        </w:rPr>
        <w:t>实现</w:t>
      </w:r>
      <w:r>
        <w:rPr>
          <w:snapToGrid/>
        </w:rPr>
        <w:t>现代欧洲基本原则的一项关键内容：协调社会经济融合与个人发展。为克服现有问题，</w:t>
      </w:r>
      <w:r>
        <w:rPr>
          <w:rFonts w:hint="eastAsia"/>
          <w:snapToGrid/>
        </w:rPr>
        <w:t>使</w:t>
      </w:r>
      <w:r>
        <w:rPr>
          <w:snapToGrid/>
        </w:rPr>
        <w:t>高等教育成为更重要的社会因素，塞尔维亚共和国教育和体育部已在教育改革框架内</w:t>
      </w:r>
      <w:r>
        <w:rPr>
          <w:rFonts w:hint="eastAsia"/>
          <w:snapToGrid/>
        </w:rPr>
        <w:t>采取</w:t>
      </w:r>
      <w:r>
        <w:rPr>
          <w:snapToGrid/>
        </w:rPr>
        <w:t>了某些行动。这些行动是：颁布有关成人教育的法律</w:t>
      </w:r>
      <w:r>
        <w:rPr>
          <w:rFonts w:hint="eastAsia"/>
          <w:snapToGrid/>
        </w:rPr>
        <w:t>；</w:t>
      </w:r>
      <w:r>
        <w:rPr>
          <w:snapToGrid/>
        </w:rPr>
        <w:t>建立成人教育制度</w:t>
      </w:r>
      <w:r>
        <w:rPr>
          <w:rFonts w:hint="eastAsia"/>
          <w:snapToGrid/>
        </w:rPr>
        <w:t>，</w:t>
      </w:r>
      <w:r>
        <w:rPr>
          <w:snapToGrid/>
        </w:rPr>
        <w:t>确</w:t>
      </w:r>
      <w:r>
        <w:rPr>
          <w:snapToGrid/>
        </w:rPr>
        <w:t>定成人教育组织和机构的活动条件、要求和标准</w:t>
      </w:r>
      <w:r>
        <w:rPr>
          <w:rFonts w:hint="eastAsia"/>
          <w:snapToGrid/>
        </w:rPr>
        <w:t>；</w:t>
      </w:r>
      <w:r>
        <w:rPr>
          <w:snapToGrid/>
        </w:rPr>
        <w:t>制定</w:t>
      </w:r>
      <w:r>
        <w:rPr>
          <w:rFonts w:hint="eastAsia"/>
          <w:snapToGrid/>
        </w:rPr>
        <w:t>公认</w:t>
      </w:r>
      <w:r>
        <w:rPr>
          <w:snapToGrid/>
        </w:rPr>
        <w:t>专业教育方案编写方法；发展成人教育机构和学校数据库</w:t>
      </w:r>
      <w:r>
        <w:rPr>
          <w:rFonts w:hint="eastAsia"/>
          <w:snapToGrid/>
        </w:rPr>
        <w:t>；</w:t>
      </w:r>
      <w:r>
        <w:rPr>
          <w:snapToGrid/>
        </w:rPr>
        <w:t>制定改进人口教育结构的短期和长期战略</w:t>
      </w:r>
      <w:r>
        <w:rPr>
          <w:rFonts w:hint="eastAsia"/>
          <w:snapToGrid/>
        </w:rPr>
        <w:t>；</w:t>
      </w:r>
      <w:r>
        <w:rPr>
          <w:snapToGrid/>
        </w:rPr>
        <w:t>发展公司</w:t>
      </w:r>
      <w:r>
        <w:rPr>
          <w:rFonts w:hint="eastAsia"/>
          <w:snapToGrid/>
        </w:rPr>
        <w:t>示范</w:t>
      </w:r>
      <w:r>
        <w:rPr>
          <w:snapToGrid/>
        </w:rPr>
        <w:t>教育和培训服务</w:t>
      </w:r>
      <w:r>
        <w:rPr>
          <w:rFonts w:hint="eastAsia"/>
          <w:snapToGrid/>
        </w:rPr>
        <w:t>；</w:t>
      </w:r>
      <w:r>
        <w:rPr>
          <w:snapToGrid/>
        </w:rPr>
        <w:t>改进塞尔维亚共和国教育和体育部成人教育</w:t>
      </w:r>
      <w:r>
        <w:rPr>
          <w:rFonts w:hint="eastAsia"/>
          <w:snapToGrid/>
        </w:rPr>
        <w:t>股</w:t>
      </w:r>
      <w:r>
        <w:rPr>
          <w:snapToGrid/>
        </w:rPr>
        <w:t>的工作；设立资助成人教育的公共基金。</w:t>
      </w:r>
    </w:p>
    <w:p w:rsidR="00000000" w:rsidRDefault="00844A84">
      <w:pPr>
        <w:pStyle w:val="Heading3"/>
        <w:rPr>
          <w:rFonts w:hint="eastAsia"/>
        </w:rPr>
      </w:pPr>
      <w:r>
        <w:rPr>
          <w:rFonts w:hint="eastAsia"/>
          <w:u w:val="none"/>
        </w:rPr>
        <w:t xml:space="preserve">F.  </w:t>
      </w:r>
      <w:r>
        <w:rPr>
          <w:rFonts w:hint="eastAsia"/>
        </w:rPr>
        <w:t>教育制度：教育领域状况统计指标</w:t>
      </w:r>
    </w:p>
    <w:p w:rsidR="00000000" w:rsidRDefault="00844A84">
      <w:pPr>
        <w:pStyle w:val="Heading3"/>
        <w:rPr>
          <w:rFonts w:hint="eastAsia"/>
        </w:rPr>
      </w:pPr>
      <w:r>
        <w:rPr>
          <w:u w:val="none"/>
        </w:rPr>
        <w:t>1.</w:t>
      </w:r>
      <w:r>
        <w:rPr>
          <w:rFonts w:hint="eastAsia"/>
          <w:u w:val="none"/>
        </w:rPr>
        <w:t xml:space="preserve">  </w:t>
      </w:r>
      <w:r>
        <w:t>正规教育</w:t>
      </w:r>
    </w:p>
    <w:p w:rsidR="00000000" w:rsidRDefault="00844A84">
      <w:pPr>
        <w:pStyle w:val="Heading4"/>
        <w:rPr>
          <w:rFonts w:hint="eastAsia"/>
        </w:rPr>
      </w:pPr>
      <w:r>
        <w:rPr>
          <w:rFonts w:hint="eastAsia"/>
        </w:rPr>
        <w:t>学前培养和教育</w:t>
      </w:r>
    </w:p>
    <w:p w:rsidR="00000000" w:rsidRDefault="00844A84">
      <w:pPr>
        <w:ind w:firstLine="510"/>
        <w:rPr>
          <w:snapToGrid/>
        </w:rPr>
      </w:pPr>
      <w:r>
        <w:rPr>
          <w:snapToGrid/>
        </w:rPr>
        <w:t>366.</w:t>
      </w:r>
      <w:r>
        <w:rPr>
          <w:rFonts w:hint="eastAsia"/>
          <w:snapToGrid/>
        </w:rPr>
        <w:t xml:space="preserve">  </w:t>
      </w:r>
      <w:r>
        <w:rPr>
          <w:snapToGrid/>
        </w:rPr>
        <w:t>有三个部门或部委共同负责学前培养和教育：塞尔维亚共和国教育和体育部、社会事务部</w:t>
      </w:r>
      <w:r>
        <w:rPr>
          <w:rFonts w:hint="eastAsia"/>
          <w:snapToGrid/>
        </w:rPr>
        <w:t>和</w:t>
      </w:r>
      <w:r>
        <w:rPr>
          <w:snapToGrid/>
        </w:rPr>
        <w:t>卫生部。学前教育和培养</w:t>
      </w:r>
      <w:r>
        <w:rPr>
          <w:rFonts w:hint="eastAsia"/>
          <w:snapToGrid/>
        </w:rPr>
        <w:t>工作</w:t>
      </w:r>
      <w:r>
        <w:rPr>
          <w:snapToGrid/>
        </w:rPr>
        <w:t>在幼儿园、托儿所和日托中心进行。</w:t>
      </w:r>
    </w:p>
    <w:p w:rsidR="00000000" w:rsidRDefault="00844A84">
      <w:pPr>
        <w:spacing w:after="320"/>
        <w:ind w:firstLine="510"/>
        <w:rPr>
          <w:snapToGrid/>
        </w:rPr>
      </w:pPr>
      <w:r>
        <w:rPr>
          <w:snapToGrid/>
        </w:rPr>
        <w:t>367.</w:t>
      </w:r>
      <w:r>
        <w:rPr>
          <w:rFonts w:hint="eastAsia"/>
          <w:snapToGrid/>
        </w:rPr>
        <w:t xml:space="preserve">  </w:t>
      </w:r>
      <w:r>
        <w:rPr>
          <w:rFonts w:hint="eastAsia"/>
          <w:snapToGrid/>
        </w:rPr>
        <w:t>教育和体育部提供的数据表明</w:t>
      </w:r>
      <w:r>
        <w:rPr>
          <w:rFonts w:hint="eastAsia"/>
          <w:snapToGrid/>
        </w:rPr>
        <w:t>，为一至七岁儿童提供的方案和服务涉及</w:t>
      </w:r>
      <w:r>
        <w:rPr>
          <w:rFonts w:hint="eastAsia"/>
          <w:snapToGrid/>
        </w:rPr>
        <w:t>32</w:t>
      </w:r>
      <w:r>
        <w:rPr>
          <w:snapToGrid/>
        </w:rPr>
        <w:t>%</w:t>
      </w:r>
      <w:r>
        <w:rPr>
          <w:snapToGrid/>
        </w:rPr>
        <w:t>以上的儿童，</w:t>
      </w:r>
      <w:r>
        <w:rPr>
          <w:rFonts w:hint="eastAsia"/>
          <w:snapToGrid/>
        </w:rPr>
        <w:t>在</w:t>
      </w:r>
      <w:r>
        <w:rPr>
          <w:snapToGrid/>
        </w:rPr>
        <w:t>欧洲</w:t>
      </w:r>
      <w:r>
        <w:rPr>
          <w:rFonts w:hint="eastAsia"/>
          <w:snapToGrid/>
        </w:rPr>
        <w:t>为</w:t>
      </w:r>
      <w:r>
        <w:rPr>
          <w:snapToGrid/>
        </w:rPr>
        <w:t>最低</w:t>
      </w:r>
      <w:r>
        <w:rPr>
          <w:rFonts w:hint="eastAsia"/>
          <w:snapToGrid/>
        </w:rPr>
        <w:t>的百</w:t>
      </w:r>
      <w:r>
        <w:rPr>
          <w:snapToGrid/>
        </w:rPr>
        <w:t>分比。</w:t>
      </w:r>
      <w:r>
        <w:rPr>
          <w:rStyle w:val="EndnoteReference"/>
          <w:snapToGrid/>
        </w:rPr>
        <w:endnoteReference w:id="38"/>
      </w:r>
      <w:r>
        <w:rPr>
          <w:rFonts w:hint="eastAsia"/>
          <w:snapToGrid/>
        </w:rPr>
        <w:t xml:space="preserve"> </w:t>
      </w:r>
      <w:r>
        <w:rPr>
          <w:rFonts w:hint="eastAsia"/>
          <w:snapToGrid/>
        </w:rPr>
        <w:t>为了使这种教育和培养水平达到欧洲标准，教育部已确定进行以下改革：由教育部专门负责学前教育和培养工作，将现有的学前教育形式改变为“分散、多样化和相互挂钩的系统，确定优质照料，培养和教育学前儿童的标准，并使家长有选择和参与的权利。”</w:t>
      </w:r>
      <w:r>
        <w:rPr>
          <w:rStyle w:val="EndnoteReference"/>
          <w:snapToGrid/>
        </w:rPr>
        <w:endnoteReference w:id="39"/>
      </w:r>
    </w:p>
    <w:p w:rsidR="00000000" w:rsidRDefault="00844A84">
      <w:pPr>
        <w:pStyle w:val="Heading4"/>
        <w:rPr>
          <w:rFonts w:hint="eastAsia"/>
        </w:rPr>
      </w:pPr>
      <w:r>
        <w:rPr>
          <w:rFonts w:hint="eastAsia"/>
        </w:rPr>
        <w:t>初等教育</w:t>
      </w:r>
    </w:p>
    <w:p w:rsidR="00000000" w:rsidRDefault="00844A84">
      <w:pPr>
        <w:ind w:firstLine="510"/>
        <w:rPr>
          <w:rFonts w:hint="eastAsia"/>
          <w:snapToGrid/>
        </w:rPr>
      </w:pPr>
      <w:r>
        <w:rPr>
          <w:snapToGrid/>
        </w:rPr>
        <w:t>368.</w:t>
      </w:r>
      <w:r>
        <w:rPr>
          <w:rFonts w:hint="eastAsia"/>
          <w:snapToGrid/>
        </w:rPr>
        <w:t xml:space="preserve">  </w:t>
      </w:r>
      <w:r>
        <w:rPr>
          <w:rFonts w:hint="eastAsia"/>
          <w:snapToGrid/>
        </w:rPr>
        <w:t>初等教育的目的是接受普通教育，实现个性协调发展，为今后的人生和接受普通教育及专业教育做好准备</w:t>
      </w:r>
      <w:r>
        <w:rPr>
          <w:rFonts w:hint="eastAsia"/>
          <w:snapToGrid/>
        </w:rPr>
        <w:t>(</w:t>
      </w:r>
      <w:r>
        <w:rPr>
          <w:rFonts w:hint="eastAsia"/>
          <w:snapToGrid/>
        </w:rPr>
        <w:t>第</w:t>
      </w:r>
      <w:r>
        <w:rPr>
          <w:rFonts w:hint="eastAsia"/>
          <w:snapToGrid/>
        </w:rPr>
        <w:t>2</w:t>
      </w:r>
      <w:r>
        <w:rPr>
          <w:rFonts w:hint="eastAsia"/>
          <w:snapToGrid/>
        </w:rPr>
        <w:t>条</w:t>
      </w:r>
      <w:r>
        <w:rPr>
          <w:rFonts w:hint="eastAsia"/>
          <w:snapToGrid/>
        </w:rPr>
        <w:t>)</w:t>
      </w:r>
      <w:r>
        <w:rPr>
          <w:rFonts w:hint="eastAsia"/>
          <w:snapToGrid/>
        </w:rPr>
        <w:t>。《初等教育法》规定，在日历年当年年底前年满七岁的健康儿童得进入一年级就读</w:t>
      </w:r>
      <w:r>
        <w:rPr>
          <w:rFonts w:hint="eastAsia"/>
          <w:snapToGrid/>
        </w:rPr>
        <w:t>(</w:t>
      </w:r>
      <w:r>
        <w:rPr>
          <w:rFonts w:hint="eastAsia"/>
          <w:snapToGrid/>
        </w:rPr>
        <w:t>法令第</w:t>
      </w:r>
      <w:r>
        <w:rPr>
          <w:rFonts w:hint="eastAsia"/>
          <w:snapToGrid/>
        </w:rPr>
        <w:t>39</w:t>
      </w:r>
      <w:r>
        <w:rPr>
          <w:rFonts w:hint="eastAsia"/>
          <w:snapToGrid/>
        </w:rPr>
        <w:t>条</w:t>
      </w:r>
      <w:r>
        <w:rPr>
          <w:rFonts w:hint="eastAsia"/>
          <w:snapToGrid/>
        </w:rPr>
        <w:t>)</w:t>
      </w:r>
      <w:r>
        <w:rPr>
          <w:rFonts w:hint="eastAsia"/>
          <w:snapToGrid/>
        </w:rPr>
        <w:t>。</w:t>
      </w:r>
    </w:p>
    <w:p w:rsidR="00000000" w:rsidRDefault="00844A84">
      <w:pPr>
        <w:ind w:firstLine="510"/>
        <w:rPr>
          <w:rFonts w:hint="eastAsia"/>
          <w:snapToGrid/>
        </w:rPr>
      </w:pPr>
      <w:r>
        <w:rPr>
          <w:snapToGrid/>
        </w:rPr>
        <w:t>369.</w:t>
      </w:r>
      <w:r>
        <w:rPr>
          <w:rFonts w:hint="eastAsia"/>
          <w:snapToGrid/>
        </w:rPr>
        <w:t xml:space="preserve">  </w:t>
      </w:r>
      <w:r>
        <w:rPr>
          <w:rFonts w:hint="eastAsia"/>
          <w:snapToGrid/>
        </w:rPr>
        <w:t>自</w:t>
      </w:r>
      <w:r>
        <w:rPr>
          <w:rFonts w:hint="eastAsia"/>
          <w:snapToGrid/>
        </w:rPr>
        <w:t>1991/</w:t>
      </w:r>
      <w:r>
        <w:rPr>
          <w:snapToGrid/>
        </w:rPr>
        <w:t>1992</w:t>
      </w:r>
      <w:r>
        <w:rPr>
          <w:rFonts w:hint="eastAsia"/>
          <w:snapToGrid/>
        </w:rPr>
        <w:t>至</w:t>
      </w:r>
      <w:r>
        <w:rPr>
          <w:rFonts w:hint="eastAsia"/>
          <w:snapToGrid/>
        </w:rPr>
        <w:t>2000/</w:t>
      </w:r>
      <w:r>
        <w:rPr>
          <w:snapToGrid/>
        </w:rPr>
        <w:t>2001</w:t>
      </w:r>
      <w:r>
        <w:rPr>
          <w:rFonts w:hint="eastAsia"/>
          <w:snapToGrid/>
        </w:rPr>
        <w:t>学年以来，接受初等教育的儿童人数出现下降趋势。</w:t>
      </w:r>
      <w:r>
        <w:rPr>
          <w:rFonts w:hint="eastAsia"/>
          <w:snapToGrid/>
        </w:rPr>
        <w:t>2000/2001</w:t>
      </w:r>
      <w:r>
        <w:rPr>
          <w:rFonts w:hint="eastAsia"/>
          <w:snapToGrid/>
        </w:rPr>
        <w:t>学年，接受正规初等教育的学童人数比</w:t>
      </w:r>
      <w:r>
        <w:rPr>
          <w:rFonts w:hint="eastAsia"/>
          <w:snapToGrid/>
        </w:rPr>
        <w:t>1991/1992</w:t>
      </w:r>
      <w:r>
        <w:rPr>
          <w:rFonts w:hint="eastAsia"/>
          <w:snapToGrid/>
        </w:rPr>
        <w:t>学年减少</w:t>
      </w:r>
      <w:r>
        <w:rPr>
          <w:snapToGrid/>
        </w:rPr>
        <w:t>149,975</w:t>
      </w:r>
      <w:r>
        <w:rPr>
          <w:rFonts w:hint="eastAsia"/>
          <w:snapToGrid/>
        </w:rPr>
        <w:t>人。</w:t>
      </w:r>
      <w:r>
        <w:rPr>
          <w:rStyle w:val="EndnoteReference"/>
          <w:snapToGrid/>
        </w:rPr>
        <w:endnoteReference w:id="40"/>
      </w:r>
      <w:r>
        <w:rPr>
          <w:rFonts w:hint="eastAsia"/>
          <w:snapToGrid/>
        </w:rPr>
        <w:t xml:space="preserve"> </w:t>
      </w:r>
      <w:r>
        <w:rPr>
          <w:rFonts w:hint="eastAsia"/>
          <w:snapToGrid/>
        </w:rPr>
        <w:t>小学学生人数减少的原因是塞尔维亚出生率下降。官方数字表明，</w:t>
      </w:r>
      <w:r>
        <w:rPr>
          <w:rFonts w:hint="eastAsia"/>
          <w:snapToGrid/>
          <w:spacing w:val="6"/>
        </w:rPr>
        <w:t>塞尔维亚的出生率从</w:t>
      </w:r>
      <w:r>
        <w:rPr>
          <w:rFonts w:hint="eastAsia"/>
          <w:snapToGrid/>
          <w:spacing w:val="6"/>
        </w:rPr>
        <w:t>1990</w:t>
      </w:r>
      <w:r>
        <w:rPr>
          <w:rFonts w:hint="eastAsia"/>
          <w:snapToGrid/>
          <w:spacing w:val="6"/>
        </w:rPr>
        <w:t>年的</w:t>
      </w:r>
      <w:r>
        <w:rPr>
          <w:rFonts w:hint="eastAsia"/>
          <w:snapToGrid/>
          <w:spacing w:val="6"/>
        </w:rPr>
        <w:t>2.1%</w:t>
      </w:r>
      <w:r>
        <w:rPr>
          <w:rFonts w:hint="eastAsia"/>
          <w:snapToGrid/>
          <w:spacing w:val="6"/>
        </w:rPr>
        <w:t>下降到</w:t>
      </w:r>
      <w:r>
        <w:rPr>
          <w:rFonts w:hint="eastAsia"/>
          <w:snapToGrid/>
          <w:spacing w:val="6"/>
        </w:rPr>
        <w:t>1998</w:t>
      </w:r>
      <w:r>
        <w:rPr>
          <w:rFonts w:hint="eastAsia"/>
          <w:snapToGrid/>
          <w:spacing w:val="6"/>
        </w:rPr>
        <w:t>年的</w:t>
      </w:r>
      <w:r>
        <w:rPr>
          <w:rFonts w:hint="eastAsia"/>
          <w:snapToGrid/>
          <w:spacing w:val="6"/>
        </w:rPr>
        <w:t>1.48%</w:t>
      </w:r>
      <w:r>
        <w:rPr>
          <w:rFonts w:hint="eastAsia"/>
          <w:snapToGrid/>
          <w:spacing w:val="6"/>
        </w:rPr>
        <w:t>。仅在本报告所述十年期间</w:t>
      </w:r>
      <w:r>
        <w:rPr>
          <w:rFonts w:hint="eastAsia"/>
          <w:snapToGrid/>
          <w:spacing w:val="6"/>
        </w:rPr>
        <w:t>(1991-</w:t>
      </w:r>
      <w:r>
        <w:rPr>
          <w:snapToGrid/>
          <w:spacing w:val="6"/>
        </w:rPr>
        <w:t>2001</w:t>
      </w:r>
      <w:r>
        <w:rPr>
          <w:rFonts w:hint="eastAsia"/>
          <w:snapToGrid/>
          <w:spacing w:val="6"/>
        </w:rPr>
        <w:t>)</w:t>
      </w:r>
      <w:r>
        <w:rPr>
          <w:rFonts w:hint="eastAsia"/>
          <w:snapToGrid/>
          <w:spacing w:val="6"/>
        </w:rPr>
        <w:t>，据活产数估计应进入一年级就读的人数减少</w:t>
      </w:r>
      <w:r>
        <w:rPr>
          <w:rFonts w:hint="eastAsia"/>
          <w:snapToGrid/>
          <w:spacing w:val="6"/>
        </w:rPr>
        <w:t>200,0</w:t>
      </w:r>
      <w:r>
        <w:rPr>
          <w:snapToGrid/>
          <w:spacing w:val="6"/>
        </w:rPr>
        <w:t>00</w:t>
      </w:r>
      <w:r>
        <w:rPr>
          <w:rFonts w:hint="eastAsia"/>
          <w:snapToGrid/>
          <w:spacing w:val="6"/>
        </w:rPr>
        <w:t>人以上。</w:t>
      </w:r>
      <w:r>
        <w:rPr>
          <w:rStyle w:val="EndnoteReference"/>
          <w:snapToGrid/>
        </w:rPr>
        <w:endnoteReference w:id="41"/>
      </w:r>
      <w:r>
        <w:rPr>
          <w:rFonts w:hint="eastAsia"/>
          <w:snapToGrid/>
        </w:rPr>
        <w:t xml:space="preserve"> </w:t>
      </w:r>
      <w:r>
        <w:rPr>
          <w:rFonts w:hint="eastAsia"/>
          <w:snapToGrid/>
        </w:rPr>
        <w:t>另一方面，大量难民儿童和国内流离失所儿童的流入，则减轻了出生</w:t>
      </w:r>
      <w:r>
        <w:rPr>
          <w:rFonts w:hint="eastAsia"/>
          <w:snapToGrid/>
        </w:rPr>
        <w:t>率下降的影响。</w:t>
      </w:r>
      <w:r>
        <w:rPr>
          <w:rFonts w:hint="eastAsia"/>
          <w:snapToGrid/>
        </w:rPr>
        <w:t>1998/1999</w:t>
      </w:r>
      <w:r>
        <w:rPr>
          <w:rFonts w:hint="eastAsia"/>
          <w:snapToGrid/>
        </w:rPr>
        <w:t>年，塞尔维亚境内约有</w:t>
      </w:r>
      <w:r>
        <w:rPr>
          <w:rFonts w:hint="eastAsia"/>
          <w:snapToGrid/>
        </w:rPr>
        <w:t>4</w:t>
      </w:r>
      <w:r>
        <w:rPr>
          <w:rFonts w:hint="eastAsia"/>
          <w:snapToGrid/>
        </w:rPr>
        <w:t>万名这类儿童。</w:t>
      </w:r>
    </w:p>
    <w:p w:rsidR="00000000" w:rsidRDefault="00844A84">
      <w:pPr>
        <w:ind w:firstLine="510"/>
        <w:rPr>
          <w:snapToGrid/>
        </w:rPr>
      </w:pPr>
      <w:r>
        <w:rPr>
          <w:snapToGrid/>
        </w:rPr>
        <w:t>370.</w:t>
      </w:r>
      <w:r>
        <w:rPr>
          <w:rFonts w:hint="eastAsia"/>
          <w:snapToGrid/>
        </w:rPr>
        <w:t xml:space="preserve">  </w:t>
      </w:r>
      <w:r>
        <w:rPr>
          <w:rFonts w:hint="eastAsia"/>
          <w:snapToGrid/>
        </w:rPr>
        <w:t>小学生性别不完全平衡。本报告所述期间</w:t>
      </w:r>
      <w:r>
        <w:rPr>
          <w:rFonts w:hint="eastAsia"/>
          <w:snapToGrid/>
        </w:rPr>
        <w:t>(1992-2001</w:t>
      </w:r>
      <w:r>
        <w:rPr>
          <w:rFonts w:hint="eastAsia"/>
          <w:snapToGrid/>
        </w:rPr>
        <w:t>年</w:t>
      </w:r>
      <w:r>
        <w:rPr>
          <w:rFonts w:hint="eastAsia"/>
          <w:snapToGrid/>
        </w:rPr>
        <w:t>)</w:t>
      </w:r>
      <w:r>
        <w:rPr>
          <w:rFonts w:hint="eastAsia"/>
          <w:snapToGrid/>
        </w:rPr>
        <w:t>，男生约比女生多</w:t>
      </w:r>
      <w:r>
        <w:rPr>
          <w:rFonts w:hint="eastAsia"/>
          <w:snapToGrid/>
        </w:rPr>
        <w:t>2%</w:t>
      </w:r>
      <w:r>
        <w:rPr>
          <w:rFonts w:hint="eastAsia"/>
          <w:snapToGrid/>
        </w:rPr>
        <w:t>。接受初等教育的男生和女生分别约为</w:t>
      </w:r>
      <w:r>
        <w:rPr>
          <w:rFonts w:hint="eastAsia"/>
          <w:snapToGrid/>
        </w:rPr>
        <w:t>52%</w:t>
      </w:r>
      <w:r>
        <w:rPr>
          <w:rFonts w:hint="eastAsia"/>
          <w:snapToGrid/>
        </w:rPr>
        <w:t>和</w:t>
      </w:r>
      <w:r>
        <w:rPr>
          <w:rFonts w:hint="eastAsia"/>
          <w:snapToGrid/>
        </w:rPr>
        <w:t>48%</w:t>
      </w:r>
      <w:r>
        <w:rPr>
          <w:rFonts w:hint="eastAsia"/>
          <w:snapToGrid/>
        </w:rPr>
        <w:t>：</w:t>
      </w:r>
      <w:r>
        <w:rPr>
          <w:rStyle w:val="EndnoteReference"/>
          <w:snapToGrid/>
        </w:rPr>
        <w:endnoteReference w:id="42"/>
      </w:r>
      <w:r>
        <w:rPr>
          <w:rFonts w:hint="eastAsia"/>
          <w:snapToGrid/>
        </w:rPr>
        <w:t xml:space="preserve"> </w:t>
      </w:r>
      <w:r>
        <w:rPr>
          <w:rFonts w:hint="eastAsia"/>
          <w:snapToGrid/>
        </w:rPr>
        <w:t>儿童基金会的分</w:t>
      </w:r>
      <w:r>
        <w:rPr>
          <w:rFonts w:hint="eastAsia"/>
          <w:snapToGrid/>
          <w:spacing w:val="8"/>
        </w:rPr>
        <w:t>析显示小学生的性别差别：男生比女生多</w:t>
      </w:r>
      <w:r>
        <w:rPr>
          <w:rFonts w:hint="eastAsia"/>
          <w:snapToGrid/>
          <w:spacing w:val="8"/>
        </w:rPr>
        <w:t>5.3%</w:t>
      </w:r>
      <w:r>
        <w:rPr>
          <w:rFonts w:hint="eastAsia"/>
          <w:snapToGrid/>
          <w:spacing w:val="8"/>
        </w:rPr>
        <w:t>。这是女生辍学率高于男生所致。</w:t>
      </w:r>
      <w:r>
        <w:rPr>
          <w:rStyle w:val="EndnoteReference"/>
          <w:snapToGrid/>
        </w:rPr>
        <w:endnoteReference w:id="43"/>
      </w:r>
    </w:p>
    <w:p w:rsidR="00000000" w:rsidRDefault="00844A84">
      <w:pPr>
        <w:spacing w:after="320"/>
        <w:ind w:firstLine="510"/>
        <w:rPr>
          <w:snapToGrid/>
        </w:rPr>
      </w:pPr>
      <w:r>
        <w:rPr>
          <w:snapToGrid/>
        </w:rPr>
        <w:t>371.</w:t>
      </w:r>
      <w:r>
        <w:rPr>
          <w:rFonts w:hint="eastAsia"/>
          <w:snapToGrid/>
        </w:rPr>
        <w:t xml:space="preserve">  </w:t>
      </w:r>
      <w:r>
        <w:rPr>
          <w:rFonts w:hint="eastAsia"/>
          <w:snapToGrid/>
        </w:rPr>
        <w:t>在</w:t>
      </w:r>
      <w:r>
        <w:rPr>
          <w:snapToGrid/>
        </w:rPr>
        <w:t>一至八年级读完</w:t>
      </w:r>
      <w:r>
        <w:rPr>
          <w:rFonts w:hint="eastAsia"/>
          <w:snapToGrid/>
        </w:rPr>
        <w:t>每</w:t>
      </w:r>
      <w:r>
        <w:rPr>
          <w:snapToGrid/>
        </w:rPr>
        <w:t>个年级的学生人数比例，通常以五年级</w:t>
      </w:r>
      <w:r>
        <w:rPr>
          <w:rFonts w:hint="eastAsia"/>
          <w:snapToGrid/>
        </w:rPr>
        <w:t>为</w:t>
      </w:r>
      <w:r>
        <w:rPr>
          <w:snapToGrid/>
        </w:rPr>
        <w:t>最低。</w:t>
      </w:r>
      <w:r>
        <w:rPr>
          <w:rStyle w:val="EndnoteReference"/>
          <w:snapToGrid/>
        </w:rPr>
        <w:endnoteReference w:id="44"/>
      </w:r>
      <w:r>
        <w:rPr>
          <w:rFonts w:hint="eastAsia"/>
          <w:snapToGrid/>
        </w:rPr>
        <w:t xml:space="preserve"> </w:t>
      </w:r>
      <w:r>
        <w:rPr>
          <w:rFonts w:hint="eastAsia"/>
          <w:snapToGrid/>
        </w:rPr>
        <w:t>辍学生多数在五年级离校。儿童基金会的调查表明，读完四年级后辍学的学童大都来自不发达农村地区，因为那里只有不完全的四年制小学，学童</w:t>
      </w:r>
      <w:r>
        <w:rPr>
          <w:rFonts w:hint="eastAsia"/>
          <w:snapToGrid/>
        </w:rPr>
        <w:t>因缺乏适当的交通工具，难以进入主要的小学继续求学。读完四年级之后，这些儿童别无选择，只能前往主要的学校上学。事实上，读完四年级后，多数儿童就不再上学。只有</w:t>
      </w:r>
      <w:r>
        <w:rPr>
          <w:rFonts w:hint="eastAsia"/>
          <w:snapToGrid/>
        </w:rPr>
        <w:t>13%</w:t>
      </w:r>
      <w:r>
        <w:rPr>
          <w:rFonts w:hint="eastAsia"/>
          <w:snapToGrid/>
        </w:rPr>
        <w:t>的学童享有免费乘坐公共汽车上学的权利。其他儿童则要自付全额票价或补助票价。没有任何学校自备校车。由于没有公共交通工具或道路，</w:t>
      </w:r>
      <w:r>
        <w:rPr>
          <w:rFonts w:hint="eastAsia"/>
          <w:snapToGrid/>
        </w:rPr>
        <w:t>23,000</w:t>
      </w:r>
      <w:r>
        <w:rPr>
          <w:rFonts w:hint="eastAsia"/>
          <w:snapToGrid/>
        </w:rPr>
        <w:t>多名儿童无法利用任何交通工具。他们每天须步行</w:t>
      </w:r>
      <w:r>
        <w:rPr>
          <w:rFonts w:hint="eastAsia"/>
          <w:snapToGrid/>
        </w:rPr>
        <w:t>4</w:t>
      </w:r>
      <w:r>
        <w:rPr>
          <w:rFonts w:hint="eastAsia"/>
          <w:snapToGrid/>
        </w:rPr>
        <w:t>至</w:t>
      </w:r>
      <w:r>
        <w:rPr>
          <w:rFonts w:hint="eastAsia"/>
          <w:snapToGrid/>
        </w:rPr>
        <w:t>15</w:t>
      </w:r>
      <w:r>
        <w:rPr>
          <w:rFonts w:hint="eastAsia"/>
          <w:snapToGrid/>
        </w:rPr>
        <w:t>公里才能到校。</w:t>
      </w:r>
      <w:r>
        <w:rPr>
          <w:rStyle w:val="EndnoteReference"/>
          <w:snapToGrid/>
        </w:rPr>
        <w:endnoteReference w:id="45"/>
      </w:r>
      <w:r>
        <w:rPr>
          <w:rFonts w:hint="eastAsia"/>
          <w:snapToGrid/>
        </w:rPr>
        <w:t xml:space="preserve"> </w:t>
      </w:r>
      <w:r>
        <w:rPr>
          <w:rFonts w:hint="eastAsia"/>
          <w:snapToGrid/>
        </w:rPr>
        <w:t>除了这类学童外，国内流离失所儿童</w:t>
      </w:r>
      <w:r>
        <w:rPr>
          <w:rStyle w:val="EndnoteReference"/>
          <w:snapToGrid/>
        </w:rPr>
        <w:endnoteReference w:id="46"/>
      </w:r>
      <w:r>
        <w:rPr>
          <w:snapToGrid/>
        </w:rPr>
        <w:t xml:space="preserve"> </w:t>
      </w:r>
      <w:r>
        <w:rPr>
          <w:rFonts w:hint="eastAsia"/>
          <w:snapToGrid/>
        </w:rPr>
        <w:t>以及诸如罗姆族和瓦拉几族等族裔群体儿童的辍学率也很显著。</w:t>
      </w:r>
    </w:p>
    <w:p w:rsidR="00000000" w:rsidRDefault="00844A84">
      <w:pPr>
        <w:pStyle w:val="Heading3"/>
      </w:pPr>
      <w:r>
        <w:rPr>
          <w:rFonts w:hint="eastAsia"/>
          <w:u w:val="none"/>
        </w:rPr>
        <w:t>表</w:t>
      </w:r>
      <w:r>
        <w:rPr>
          <w:rFonts w:hint="eastAsia"/>
          <w:u w:val="none"/>
        </w:rPr>
        <w:t>19</w:t>
      </w:r>
      <w:r>
        <w:rPr>
          <w:u w:val="none"/>
        </w:rPr>
        <w:br/>
      </w:r>
      <w:r>
        <w:rPr>
          <w:rFonts w:hint="eastAsia"/>
        </w:rPr>
        <w:t>接受正规初等教育的学生人数</w:t>
      </w:r>
      <w:r>
        <w:rPr>
          <w:u w:val="none"/>
        </w:rPr>
        <w:t xml:space="preserve"> </w:t>
      </w:r>
      <w:r>
        <w:rPr>
          <w:rFonts w:hint="eastAsia"/>
          <w:sz w:val="28"/>
          <w:u w:val="none"/>
          <w:vertAlign w:val="superscript"/>
        </w:rPr>
        <w:t>a b</w:t>
      </w:r>
      <w:r>
        <w:br/>
        <w:t>1991</w:t>
      </w:r>
      <w:r>
        <w:t>/2001</w:t>
      </w:r>
      <w:r>
        <w:t>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97"/>
        <w:gridCol w:w="2701"/>
        <w:gridCol w:w="1937"/>
        <w:gridCol w:w="1937"/>
        <w:gridCol w:w="1938"/>
      </w:tblGrid>
      <w:tr w:rsidR="00000000">
        <w:tblPrEx>
          <w:tblCellMar>
            <w:top w:w="0" w:type="dxa"/>
            <w:bottom w:w="0" w:type="dxa"/>
          </w:tblCellMar>
        </w:tblPrEx>
        <w:trPr>
          <w:cantSplit/>
        </w:trPr>
        <w:tc>
          <w:tcPr>
            <w:tcW w:w="5535" w:type="dxa"/>
            <w:gridSpan w:val="3"/>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学生总人数</w:t>
            </w:r>
          </w:p>
        </w:tc>
        <w:tc>
          <w:tcPr>
            <w:tcW w:w="3875" w:type="dxa"/>
            <w:gridSpan w:val="2"/>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男女学生人数</w:t>
            </w:r>
          </w:p>
        </w:tc>
      </w:tr>
      <w:tr w:rsidR="00000000">
        <w:tblPrEx>
          <w:tblCellMar>
            <w:top w:w="0" w:type="dxa"/>
            <w:bottom w:w="0" w:type="dxa"/>
          </w:tblCellMar>
        </w:tblPrEx>
        <w:tc>
          <w:tcPr>
            <w:tcW w:w="897" w:type="dxa"/>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全</w:t>
            </w:r>
            <w:r>
              <w:rPr>
                <w:rFonts w:ascii="Time New Roman" w:eastAsia="SimHei" w:hAnsi="Time New Roman" w:hint="eastAsia"/>
                <w:snapToGrid/>
              </w:rPr>
              <w:t xml:space="preserve">  </w:t>
            </w:r>
            <w:r>
              <w:rPr>
                <w:rFonts w:ascii="Time New Roman" w:eastAsia="SimHei" w:hAnsi="Time New Roman" w:hint="eastAsia"/>
                <w:snapToGrid/>
              </w:rPr>
              <w:t>年</w:t>
            </w:r>
          </w:p>
        </w:tc>
        <w:tc>
          <w:tcPr>
            <w:tcW w:w="2701" w:type="dxa"/>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共</w:t>
            </w:r>
            <w:r>
              <w:rPr>
                <w:rFonts w:ascii="Time New Roman" w:eastAsia="SimHei" w:hAnsi="Time New Roman" w:hint="eastAsia"/>
                <w:snapToGrid/>
              </w:rPr>
              <w:t xml:space="preserve">  </w:t>
            </w:r>
            <w:r>
              <w:rPr>
                <w:rFonts w:ascii="Time New Roman" w:eastAsia="SimHei" w:hAnsi="Time New Roman" w:hint="eastAsia"/>
                <w:snapToGrid/>
              </w:rPr>
              <w:t>计</w:t>
            </w:r>
          </w:p>
        </w:tc>
        <w:tc>
          <w:tcPr>
            <w:tcW w:w="1937" w:type="dxa"/>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学</w:t>
            </w:r>
            <w:r>
              <w:rPr>
                <w:rFonts w:ascii="Time New Roman" w:eastAsia="SimHei" w:hAnsi="Time New Roman" w:hint="eastAsia"/>
                <w:snapToGrid/>
              </w:rPr>
              <w:t xml:space="preserve"> </w:t>
            </w:r>
            <w:r>
              <w:rPr>
                <w:rFonts w:ascii="Time New Roman" w:eastAsia="SimHei" w:hAnsi="Time New Roman" w:hint="eastAsia"/>
                <w:snapToGrid/>
              </w:rPr>
              <w:t>生</w:t>
            </w:r>
            <w:r>
              <w:rPr>
                <w:rFonts w:ascii="Time New Roman" w:eastAsia="SimHei" w:hAnsi="Time New Roman" w:hint="eastAsia"/>
                <w:snapToGrid/>
              </w:rPr>
              <w:t xml:space="preserve"> </w:t>
            </w:r>
            <w:r>
              <w:rPr>
                <w:rFonts w:ascii="Time New Roman" w:eastAsia="SimHei" w:hAnsi="Time New Roman" w:hint="eastAsia"/>
                <w:snapToGrid/>
              </w:rPr>
              <w:t>人</w:t>
            </w:r>
            <w:r>
              <w:rPr>
                <w:rFonts w:ascii="Time New Roman" w:eastAsia="SimHei" w:hAnsi="Time New Roman" w:hint="eastAsia"/>
                <w:snapToGrid/>
              </w:rPr>
              <w:t xml:space="preserve"> </w:t>
            </w:r>
            <w:r>
              <w:rPr>
                <w:rFonts w:ascii="Time New Roman" w:eastAsia="SimHei" w:hAnsi="Time New Roman" w:hint="eastAsia"/>
                <w:snapToGrid/>
              </w:rPr>
              <w:t>数</w:t>
            </w:r>
          </w:p>
        </w:tc>
        <w:tc>
          <w:tcPr>
            <w:tcW w:w="1937" w:type="dxa"/>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生</w:t>
            </w:r>
          </w:p>
        </w:tc>
        <w:tc>
          <w:tcPr>
            <w:tcW w:w="1938" w:type="dxa"/>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女</w:t>
            </w:r>
            <w:r>
              <w:rPr>
                <w:rFonts w:ascii="Time New Roman" w:eastAsia="SimHei" w:hAnsi="Time New Roman" w:hint="eastAsia"/>
                <w:snapToGrid/>
              </w:rPr>
              <w:t xml:space="preserve">  </w:t>
            </w:r>
            <w:r>
              <w:rPr>
                <w:rFonts w:ascii="Time New Roman" w:eastAsia="SimHei" w:hAnsi="Time New Roman" w:hint="eastAsia"/>
                <w:snapToGrid/>
              </w:rPr>
              <w:t>生</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1991/92</w:t>
            </w:r>
          </w:p>
        </w:tc>
        <w:tc>
          <w:tcPr>
            <w:tcW w:w="2701" w:type="dxa"/>
            <w:tcBorders>
              <w:bottom w:val="nil"/>
            </w:tcBorders>
          </w:tcPr>
          <w:p w:rsidR="00000000" w:rsidRDefault="00844A84">
            <w:pPr>
              <w:pStyle w:val="a2"/>
              <w:spacing w:line="240" w:lineRule="exact"/>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856,847</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441,055</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415,792</w:t>
            </w:r>
          </w:p>
        </w:tc>
      </w:tr>
      <w:tr w:rsidR="00000000">
        <w:tblPrEx>
          <w:tblCellMar>
            <w:top w:w="0" w:type="dxa"/>
            <w:bottom w:w="0" w:type="dxa"/>
          </w:tblCellMar>
        </w:tblPrEx>
        <w:trPr>
          <w:trHeight w:val="211"/>
        </w:trPr>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51.47</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48.53</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1992/93</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854,546</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439,464</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415,082</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51.43</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48.573</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1993/94</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832,861</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426,821</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406,040</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51.25</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48.75</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1994/95</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822,037</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421,280</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400</w:t>
            </w:r>
            <w:r>
              <w:rPr>
                <w:spacing w:val="0"/>
                <w:sz w:val="21"/>
              </w:rPr>
              <w:t>,757</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51.25</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48.75</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1995/96</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834,242</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428,080</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406,162</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51.31</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48.69</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1996/97</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816,043</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418,112</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397,931</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51.24</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48.76</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1997/98</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799,913</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410,785</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389,128</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51.35</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48.65</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1998/99</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740,084</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378,919</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361,165</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w:t>
            </w:r>
            <w:r>
              <w:rPr>
                <w:spacing w:val="0"/>
                <w:sz w:val="21"/>
              </w:rPr>
              <w:t>.20</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48.80</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1999/00</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716,578</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362,374</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354,204</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jc w:val="center"/>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50.57</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49.43</w:t>
            </w:r>
          </w:p>
        </w:tc>
      </w:tr>
      <w:tr w:rsidR="00000000">
        <w:tblPrEx>
          <w:tblCellMar>
            <w:top w:w="0" w:type="dxa"/>
            <w:bottom w:w="0" w:type="dxa"/>
          </w:tblCellMar>
        </w:tblPrEx>
        <w:tc>
          <w:tcPr>
            <w:tcW w:w="897" w:type="dxa"/>
            <w:tcBorders>
              <w:bottom w:val="nil"/>
            </w:tcBorders>
          </w:tcPr>
          <w:p w:rsidR="00000000" w:rsidRDefault="00844A84">
            <w:pPr>
              <w:pStyle w:val="a2"/>
              <w:spacing w:line="240" w:lineRule="exact"/>
              <w:jc w:val="center"/>
              <w:rPr>
                <w:rFonts w:hint="eastAsia"/>
                <w:snapToGrid/>
              </w:rPr>
            </w:pPr>
            <w:r>
              <w:rPr>
                <w:rFonts w:hint="eastAsia"/>
                <w:snapToGrid/>
              </w:rPr>
              <w:t>2000/01</w:t>
            </w:r>
          </w:p>
        </w:tc>
        <w:tc>
          <w:tcPr>
            <w:tcW w:w="2701" w:type="dxa"/>
            <w:tcBorders>
              <w:bottom w:val="nil"/>
            </w:tcBorders>
          </w:tcPr>
          <w:p w:rsidR="00000000" w:rsidRDefault="00844A84">
            <w:pPr>
              <w:pStyle w:val="a2"/>
              <w:spacing w:line="240" w:lineRule="exact"/>
              <w:jc w:val="center"/>
              <w:rPr>
                <w:rFonts w:hint="eastAsia"/>
                <w:snapToGrid/>
              </w:rPr>
            </w:pP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706,872</w:t>
            </w:r>
          </w:p>
        </w:tc>
        <w:tc>
          <w:tcPr>
            <w:tcW w:w="1937" w:type="dxa"/>
            <w:tcBorders>
              <w:bottom w:val="nil"/>
            </w:tcBorders>
          </w:tcPr>
          <w:p w:rsidR="00000000" w:rsidRDefault="00844A84">
            <w:pPr>
              <w:tabs>
                <w:tab w:val="decimal" w:pos="1127"/>
              </w:tabs>
              <w:spacing w:line="240" w:lineRule="exact"/>
              <w:rPr>
                <w:spacing w:val="0"/>
                <w:sz w:val="21"/>
              </w:rPr>
            </w:pPr>
            <w:r>
              <w:rPr>
                <w:spacing w:val="0"/>
                <w:sz w:val="21"/>
              </w:rPr>
              <w:t>362,133</w:t>
            </w:r>
          </w:p>
        </w:tc>
        <w:tc>
          <w:tcPr>
            <w:tcW w:w="1938" w:type="dxa"/>
            <w:tcBorders>
              <w:bottom w:val="nil"/>
            </w:tcBorders>
          </w:tcPr>
          <w:p w:rsidR="00000000" w:rsidRDefault="00844A84">
            <w:pPr>
              <w:tabs>
                <w:tab w:val="decimal" w:pos="1127"/>
              </w:tabs>
              <w:spacing w:line="240" w:lineRule="exact"/>
              <w:rPr>
                <w:spacing w:val="0"/>
                <w:sz w:val="21"/>
              </w:rPr>
            </w:pPr>
            <w:r>
              <w:rPr>
                <w:spacing w:val="0"/>
                <w:sz w:val="21"/>
              </w:rPr>
              <w:t>344,739</w:t>
            </w:r>
          </w:p>
        </w:tc>
      </w:tr>
      <w:tr w:rsidR="00000000">
        <w:tblPrEx>
          <w:tblCellMar>
            <w:top w:w="0" w:type="dxa"/>
            <w:bottom w:w="0" w:type="dxa"/>
          </w:tblCellMar>
        </w:tblPrEx>
        <w:tc>
          <w:tcPr>
            <w:tcW w:w="897" w:type="dxa"/>
            <w:tcBorders>
              <w:top w:val="nil"/>
            </w:tcBorders>
          </w:tcPr>
          <w:p w:rsidR="00000000" w:rsidRDefault="00844A84">
            <w:pPr>
              <w:pStyle w:val="a2"/>
              <w:spacing w:line="240" w:lineRule="exact"/>
              <w:rPr>
                <w:rFonts w:hint="eastAsia"/>
                <w:snapToGrid/>
              </w:rPr>
            </w:pPr>
          </w:p>
        </w:tc>
        <w:tc>
          <w:tcPr>
            <w:tcW w:w="2701" w:type="dxa"/>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100.00</w:t>
            </w:r>
          </w:p>
        </w:tc>
        <w:tc>
          <w:tcPr>
            <w:tcW w:w="1937" w:type="dxa"/>
            <w:tcBorders>
              <w:top w:val="nil"/>
            </w:tcBorders>
          </w:tcPr>
          <w:p w:rsidR="00000000" w:rsidRDefault="00844A84">
            <w:pPr>
              <w:tabs>
                <w:tab w:val="decimal" w:pos="1127"/>
              </w:tabs>
              <w:spacing w:line="240" w:lineRule="exact"/>
              <w:rPr>
                <w:spacing w:val="0"/>
                <w:sz w:val="21"/>
              </w:rPr>
            </w:pPr>
            <w:r>
              <w:rPr>
                <w:spacing w:val="0"/>
                <w:sz w:val="21"/>
              </w:rPr>
              <w:t>51.23</w:t>
            </w:r>
          </w:p>
        </w:tc>
        <w:tc>
          <w:tcPr>
            <w:tcW w:w="1938" w:type="dxa"/>
            <w:tcBorders>
              <w:top w:val="nil"/>
            </w:tcBorders>
          </w:tcPr>
          <w:p w:rsidR="00000000" w:rsidRDefault="00844A84">
            <w:pPr>
              <w:tabs>
                <w:tab w:val="decimal" w:pos="1127"/>
              </w:tabs>
              <w:spacing w:line="240" w:lineRule="exact"/>
              <w:rPr>
                <w:spacing w:val="0"/>
                <w:sz w:val="21"/>
              </w:rPr>
            </w:pPr>
            <w:r>
              <w:rPr>
                <w:spacing w:val="0"/>
                <w:sz w:val="21"/>
              </w:rPr>
              <w:t>48.77</w:t>
            </w:r>
          </w:p>
        </w:tc>
      </w:tr>
    </w:tbl>
    <w:p w:rsidR="00000000" w:rsidRDefault="00844A84">
      <w:pPr>
        <w:spacing w:before="180" w:line="240" w:lineRule="auto"/>
        <w:ind w:left="1678" w:hanging="1168"/>
        <w:rPr>
          <w:rFonts w:eastAsia="KaiTi_GB2312" w:hint="eastAsia"/>
          <w:snapToGrid/>
          <w:spacing w:val="0"/>
          <w:sz w:val="22"/>
        </w:rPr>
      </w:pPr>
      <w:r>
        <w:rPr>
          <w:rFonts w:eastAsia="KaiTi_GB2312" w:hint="eastAsia"/>
          <w:snapToGrid/>
          <w:spacing w:val="0"/>
          <w:sz w:val="22"/>
          <w:u w:val="single"/>
        </w:rPr>
        <w:t>资料来源</w:t>
      </w:r>
      <w:r>
        <w:rPr>
          <w:rFonts w:eastAsia="KaiTi_GB2312" w:hint="eastAsia"/>
          <w:snapToGrid/>
          <w:spacing w:val="0"/>
          <w:sz w:val="22"/>
        </w:rPr>
        <w:t>：</w:t>
      </w:r>
      <w:r>
        <w:rPr>
          <w:rFonts w:eastAsia="KaiTi_GB2312"/>
          <w:snapToGrid/>
          <w:spacing w:val="0"/>
          <w:sz w:val="22"/>
        </w:rPr>
        <w:tab/>
      </w:r>
      <w:r>
        <w:rPr>
          <w:rFonts w:eastAsia="KaiTi_GB2312" w:hint="eastAsia"/>
          <w:snapToGrid/>
          <w:spacing w:val="0"/>
          <w:sz w:val="22"/>
        </w:rPr>
        <w:t>共和国统计局《统计年鉴》</w:t>
      </w:r>
    </w:p>
    <w:p w:rsidR="00000000" w:rsidRDefault="00844A84">
      <w:pPr>
        <w:spacing w:line="240" w:lineRule="auto"/>
        <w:ind w:left="1785" w:hanging="525"/>
        <w:rPr>
          <w:rFonts w:eastAsia="KaiTi_GB2312" w:hint="eastAsia"/>
          <w:snapToGrid/>
          <w:spacing w:val="0"/>
          <w:sz w:val="22"/>
        </w:rPr>
      </w:pPr>
      <w:r>
        <w:rPr>
          <w:rFonts w:eastAsia="KaiTi_GB2312" w:hint="eastAsia"/>
          <w:snapToGrid/>
          <w:spacing w:val="0"/>
          <w:sz w:val="22"/>
        </w:rPr>
        <w:t>a</w:t>
      </w:r>
      <w:r>
        <w:rPr>
          <w:rFonts w:eastAsia="KaiTi_GB2312"/>
          <w:snapToGrid/>
          <w:spacing w:val="0"/>
          <w:sz w:val="22"/>
        </w:rPr>
        <w:tab/>
      </w:r>
      <w:r>
        <w:rPr>
          <w:rFonts w:eastAsia="KaiTi_GB2312" w:hint="eastAsia"/>
          <w:snapToGrid/>
          <w:spacing w:val="0"/>
          <w:sz w:val="22"/>
        </w:rPr>
        <w:t>2000/01</w:t>
      </w:r>
      <w:r>
        <w:rPr>
          <w:rFonts w:eastAsia="KaiTi_GB2312" w:hint="eastAsia"/>
          <w:snapToGrid/>
          <w:spacing w:val="0"/>
          <w:sz w:val="22"/>
        </w:rPr>
        <w:t>学年小学生人数比</w:t>
      </w:r>
      <w:r>
        <w:rPr>
          <w:rFonts w:eastAsia="KaiTi_GB2312" w:hint="eastAsia"/>
          <w:snapToGrid/>
          <w:spacing w:val="0"/>
          <w:sz w:val="22"/>
        </w:rPr>
        <w:t>1991/92</w:t>
      </w:r>
      <w:r>
        <w:rPr>
          <w:rFonts w:eastAsia="KaiTi_GB2312" w:hint="eastAsia"/>
          <w:snapToGrid/>
          <w:spacing w:val="0"/>
          <w:sz w:val="22"/>
        </w:rPr>
        <w:t>学年减少</w:t>
      </w:r>
      <w:r>
        <w:rPr>
          <w:rFonts w:eastAsia="KaiTi_GB2312" w:hint="eastAsia"/>
          <w:snapToGrid/>
          <w:spacing w:val="0"/>
          <w:sz w:val="22"/>
        </w:rPr>
        <w:t>149,</w:t>
      </w:r>
      <w:r>
        <w:rPr>
          <w:rFonts w:eastAsia="KaiTi_GB2312"/>
          <w:snapToGrid/>
          <w:spacing w:val="0"/>
          <w:sz w:val="22"/>
        </w:rPr>
        <w:t>975</w:t>
      </w:r>
      <w:r>
        <w:rPr>
          <w:rFonts w:eastAsia="KaiTi_GB2312" w:hint="eastAsia"/>
          <w:snapToGrid/>
          <w:spacing w:val="0"/>
          <w:sz w:val="22"/>
        </w:rPr>
        <w:t>人。小学生人数减少的原因是出生率下降。</w:t>
      </w:r>
    </w:p>
    <w:p w:rsidR="00000000" w:rsidRDefault="00844A84">
      <w:pPr>
        <w:spacing w:after="320" w:line="240" w:lineRule="auto"/>
        <w:ind w:left="1680" w:hanging="420"/>
        <w:rPr>
          <w:rFonts w:hint="eastAsia"/>
          <w:snapToGrid/>
        </w:rPr>
      </w:pPr>
      <w:r>
        <w:rPr>
          <w:rFonts w:eastAsia="KaiTi_GB2312" w:hint="eastAsia"/>
          <w:snapToGrid/>
          <w:spacing w:val="0"/>
          <w:sz w:val="22"/>
        </w:rPr>
        <w:t>b</w:t>
      </w:r>
      <w:r>
        <w:rPr>
          <w:rFonts w:eastAsia="KaiTi_GB2312" w:hint="eastAsia"/>
          <w:snapToGrid/>
          <w:spacing w:val="0"/>
          <w:sz w:val="22"/>
        </w:rPr>
        <w:tab/>
      </w:r>
      <w:r>
        <w:rPr>
          <w:rFonts w:eastAsia="KaiTi_GB2312" w:hint="eastAsia"/>
          <w:snapToGrid/>
          <w:spacing w:val="0"/>
          <w:sz w:val="22"/>
        </w:rPr>
        <w:t>本数据仅涉及正规小学学童，不包括有关特殊教育和成人教育学校学生的数据。</w:t>
      </w:r>
    </w:p>
    <w:p w:rsidR="00000000" w:rsidRDefault="00844A84">
      <w:pPr>
        <w:pStyle w:val="Heading4"/>
        <w:rPr>
          <w:rFonts w:hint="eastAsia"/>
        </w:rPr>
      </w:pPr>
      <w:r>
        <w:rPr>
          <w:rFonts w:hint="eastAsia"/>
        </w:rPr>
        <w:t>中等教育</w:t>
      </w:r>
    </w:p>
    <w:p w:rsidR="00000000" w:rsidRDefault="00844A84">
      <w:pPr>
        <w:ind w:firstLine="510"/>
        <w:rPr>
          <w:rFonts w:hint="eastAsia"/>
          <w:snapToGrid/>
        </w:rPr>
      </w:pPr>
      <w:r>
        <w:rPr>
          <w:snapToGrid/>
        </w:rPr>
        <w:t>37</w:t>
      </w:r>
      <w:r>
        <w:rPr>
          <w:rFonts w:hint="eastAsia"/>
          <w:snapToGrid/>
        </w:rPr>
        <w:t xml:space="preserve">2.  </w:t>
      </w:r>
      <w:r>
        <w:rPr>
          <w:rFonts w:hint="eastAsia"/>
          <w:snapToGrid/>
        </w:rPr>
        <w:t>完成</w:t>
      </w:r>
      <w:r>
        <w:rPr>
          <w:rFonts w:hint="eastAsia"/>
          <w:snapToGrid/>
        </w:rPr>
        <w:t>8</w:t>
      </w:r>
      <w:r>
        <w:rPr>
          <w:rFonts w:hint="eastAsia"/>
          <w:snapToGrid/>
        </w:rPr>
        <w:t>个</w:t>
      </w:r>
      <w:r>
        <w:rPr>
          <w:rFonts w:hint="eastAsia"/>
          <w:snapToGrid/>
        </w:rPr>
        <w:t>年级初等教育的学生都可接受普通中等教育</w:t>
      </w:r>
      <w:r>
        <w:rPr>
          <w:rFonts w:hint="eastAsia"/>
          <w:snapToGrid/>
        </w:rPr>
        <w:t>(</w:t>
      </w:r>
      <w:r>
        <w:rPr>
          <w:rFonts w:hint="eastAsia"/>
          <w:snapToGrid/>
        </w:rPr>
        <w:t>《中等教育法》</w:t>
      </w:r>
      <w:r>
        <w:rPr>
          <w:rFonts w:hint="eastAsia"/>
          <w:snapToGrid/>
        </w:rPr>
        <w:t>(</w:t>
      </w:r>
      <w:r>
        <w:rPr>
          <w:rFonts w:hint="eastAsia"/>
          <w:snapToGrid/>
        </w:rPr>
        <w:t>第</w:t>
      </w:r>
      <w:r>
        <w:rPr>
          <w:rFonts w:hint="eastAsia"/>
          <w:snapToGrid/>
        </w:rPr>
        <w:t>38</w:t>
      </w:r>
      <w:r>
        <w:rPr>
          <w:rFonts w:hint="eastAsia"/>
          <w:snapToGrid/>
        </w:rPr>
        <w:t>条</w:t>
      </w:r>
      <w:r>
        <w:rPr>
          <w:rFonts w:hint="eastAsia"/>
          <w:snapToGrid/>
        </w:rPr>
        <w:t>)</w:t>
      </w:r>
      <w:r>
        <w:rPr>
          <w:rFonts w:hint="eastAsia"/>
          <w:snapToGrid/>
        </w:rPr>
        <w:t>。关于注册问题，如果考生小学成绩良好，也通过了入学考试，则可注册进中学就读。</w:t>
      </w:r>
    </w:p>
    <w:p w:rsidR="00000000" w:rsidRDefault="00844A84">
      <w:pPr>
        <w:ind w:firstLine="510"/>
        <w:rPr>
          <w:rFonts w:hint="eastAsia"/>
          <w:snapToGrid/>
        </w:rPr>
      </w:pPr>
      <w:r>
        <w:rPr>
          <w:snapToGrid/>
        </w:rPr>
        <w:t>373.</w:t>
      </w:r>
      <w:r>
        <w:rPr>
          <w:rFonts w:hint="eastAsia"/>
          <w:snapToGrid/>
        </w:rPr>
        <w:t xml:space="preserve">  </w:t>
      </w:r>
      <w:r>
        <w:rPr>
          <w:rFonts w:hint="eastAsia"/>
          <w:snapToGrid/>
        </w:rPr>
        <w:t>小学生人数的减少尚未影响中学生人数的趋势。</w:t>
      </w:r>
      <w:r>
        <w:rPr>
          <w:rStyle w:val="EndnoteReference"/>
          <w:snapToGrid/>
        </w:rPr>
        <w:endnoteReference w:id="47"/>
      </w:r>
      <w:r>
        <w:rPr>
          <w:rFonts w:hint="eastAsia"/>
          <w:snapToGrid/>
        </w:rPr>
        <w:t xml:space="preserve"> </w:t>
      </w:r>
      <w:r>
        <w:rPr>
          <w:rFonts w:hint="eastAsia"/>
          <w:snapToGrid/>
        </w:rPr>
        <w:t>贝尔格莱德大学经济学院研究中心的研究</w:t>
      </w:r>
      <w:r>
        <w:rPr>
          <w:rFonts w:hint="eastAsia"/>
          <w:snapToGrid/>
        </w:rPr>
        <w:t xml:space="preserve"> </w:t>
      </w:r>
      <w:r>
        <w:rPr>
          <w:rStyle w:val="EndnoteReference"/>
          <w:snapToGrid/>
        </w:rPr>
        <w:endnoteReference w:id="48"/>
      </w:r>
      <w:r>
        <w:rPr>
          <w:rFonts w:hint="eastAsia"/>
          <w:snapToGrid/>
        </w:rPr>
        <w:t xml:space="preserve"> </w:t>
      </w:r>
      <w:r>
        <w:rPr>
          <w:rFonts w:hint="eastAsia"/>
          <w:snapToGrid/>
        </w:rPr>
        <w:t>指出，小学生人数的减少对中等教育的影响必然会在今后五年显示出来。</w:t>
      </w:r>
    </w:p>
    <w:p w:rsidR="00000000" w:rsidRDefault="00844A84">
      <w:pPr>
        <w:spacing w:after="320"/>
        <w:ind w:firstLine="510"/>
        <w:rPr>
          <w:rFonts w:hint="eastAsia"/>
          <w:snapToGrid/>
        </w:rPr>
      </w:pPr>
      <w:r>
        <w:rPr>
          <w:snapToGrid/>
        </w:rPr>
        <w:t>374.</w:t>
      </w:r>
      <w:r>
        <w:rPr>
          <w:rFonts w:hint="eastAsia"/>
          <w:snapToGrid/>
        </w:rPr>
        <w:t xml:space="preserve">  </w:t>
      </w:r>
      <w:r>
        <w:rPr>
          <w:rFonts w:hint="eastAsia"/>
          <w:snapToGrid/>
        </w:rPr>
        <w:t>中等学校男女学生比例平衡。本报告所述期间，接受中等教育的学生中，女生占</w:t>
      </w:r>
      <w:r>
        <w:rPr>
          <w:rFonts w:hint="eastAsia"/>
          <w:snapToGrid/>
        </w:rPr>
        <w:t>51%</w:t>
      </w:r>
      <w:r>
        <w:rPr>
          <w:rFonts w:hint="eastAsia"/>
          <w:snapToGrid/>
        </w:rPr>
        <w:t>，男生占</w:t>
      </w:r>
      <w:r>
        <w:rPr>
          <w:rFonts w:hint="eastAsia"/>
          <w:snapToGrid/>
        </w:rPr>
        <w:t>49%</w:t>
      </w:r>
      <w:r>
        <w:rPr>
          <w:rFonts w:hint="eastAsia"/>
          <w:snapToGrid/>
        </w:rPr>
        <w:t>。</w:t>
      </w:r>
      <w:r>
        <w:rPr>
          <w:rStyle w:val="EndnoteReference"/>
          <w:snapToGrid/>
        </w:rPr>
        <w:endnoteReference w:id="49"/>
      </w:r>
    </w:p>
    <w:p w:rsidR="00000000" w:rsidRDefault="00844A84">
      <w:pPr>
        <w:pStyle w:val="Heading3"/>
        <w:rPr>
          <w:rFonts w:hint="eastAsia"/>
        </w:rPr>
      </w:pPr>
      <w:r>
        <w:rPr>
          <w:rFonts w:hint="eastAsia"/>
          <w:u w:val="none"/>
        </w:rPr>
        <w:t>表</w:t>
      </w:r>
      <w:r>
        <w:rPr>
          <w:rFonts w:hint="eastAsia"/>
          <w:u w:val="none"/>
        </w:rPr>
        <w:t>20</w:t>
      </w:r>
      <w:r>
        <w:rPr>
          <w:u w:val="none"/>
        </w:rPr>
        <w:br/>
      </w:r>
      <w:r>
        <w:rPr>
          <w:rFonts w:hint="eastAsia"/>
        </w:rPr>
        <w:t>接受正规中等教育的学生人数</w:t>
      </w:r>
      <w:r>
        <w:rPr>
          <w:rFonts w:hint="eastAsia"/>
          <w:u w:val="none"/>
        </w:rPr>
        <w:t xml:space="preserve"> </w:t>
      </w:r>
      <w:r>
        <w:rPr>
          <w:rFonts w:hint="eastAsia"/>
          <w:sz w:val="28"/>
          <w:u w:val="none"/>
          <w:vertAlign w:val="superscript"/>
        </w:rPr>
        <w:t>a</w:t>
      </w:r>
      <w:r>
        <w:br/>
        <w:t>1991/2001</w:t>
      </w:r>
      <w: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2179"/>
        <w:gridCol w:w="2179"/>
        <w:gridCol w:w="1882"/>
        <w:gridCol w:w="1882"/>
      </w:tblGrid>
      <w:tr w:rsidR="00000000">
        <w:tblPrEx>
          <w:tblCellMar>
            <w:top w:w="0" w:type="dxa"/>
            <w:bottom w:w="0" w:type="dxa"/>
          </w:tblCellMar>
        </w:tblPrEx>
        <w:trPr>
          <w:cantSplit/>
        </w:trPr>
        <w:tc>
          <w:tcPr>
            <w:tcW w:w="3000" w:type="pct"/>
            <w:gridSpan w:val="3"/>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学</w:t>
            </w:r>
            <w:r>
              <w:rPr>
                <w:rFonts w:ascii="Time New Roman" w:eastAsia="SimHei" w:hAnsi="Time New Roman" w:hint="eastAsia"/>
                <w:snapToGrid/>
              </w:rPr>
              <w:t xml:space="preserve"> </w:t>
            </w:r>
            <w:r>
              <w:rPr>
                <w:rFonts w:ascii="Time New Roman" w:eastAsia="SimHei" w:hAnsi="Time New Roman" w:hint="eastAsia"/>
                <w:snapToGrid/>
              </w:rPr>
              <w:t>生</w:t>
            </w:r>
            <w:r>
              <w:rPr>
                <w:rFonts w:ascii="Time New Roman" w:eastAsia="SimHei" w:hAnsi="Time New Roman" w:hint="eastAsia"/>
                <w:snapToGrid/>
              </w:rPr>
              <w:t xml:space="preserve"> </w:t>
            </w:r>
            <w:r>
              <w:rPr>
                <w:rFonts w:ascii="Time New Roman" w:eastAsia="SimHei" w:hAnsi="Time New Roman" w:hint="eastAsia"/>
                <w:snapToGrid/>
              </w:rPr>
              <w:t>总</w:t>
            </w:r>
            <w:r>
              <w:rPr>
                <w:rFonts w:ascii="Time New Roman" w:eastAsia="SimHei" w:hAnsi="Time New Roman" w:hint="eastAsia"/>
                <w:snapToGrid/>
              </w:rPr>
              <w:t xml:space="preserve"> </w:t>
            </w:r>
            <w:r>
              <w:rPr>
                <w:rFonts w:ascii="Time New Roman" w:eastAsia="SimHei" w:hAnsi="Time New Roman" w:hint="eastAsia"/>
                <w:snapToGrid/>
              </w:rPr>
              <w:t>人</w:t>
            </w:r>
            <w:r>
              <w:rPr>
                <w:rFonts w:ascii="Time New Roman" w:eastAsia="SimHei" w:hAnsi="Time New Roman" w:hint="eastAsia"/>
                <w:snapToGrid/>
              </w:rPr>
              <w:t xml:space="preserve"> </w:t>
            </w:r>
            <w:r>
              <w:rPr>
                <w:rFonts w:ascii="Time New Roman" w:eastAsia="SimHei" w:hAnsi="Time New Roman" w:hint="eastAsia"/>
                <w:snapToGrid/>
              </w:rPr>
              <w:t>数</w:t>
            </w:r>
          </w:p>
        </w:tc>
        <w:tc>
          <w:tcPr>
            <w:tcW w:w="2000" w:type="pct"/>
            <w:gridSpan w:val="2"/>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女</w:t>
            </w:r>
            <w:r>
              <w:rPr>
                <w:rFonts w:ascii="Time New Roman" w:eastAsia="SimHei" w:hAnsi="Time New Roman" w:hint="eastAsia"/>
                <w:snapToGrid/>
              </w:rPr>
              <w:t xml:space="preserve"> </w:t>
            </w:r>
            <w:r>
              <w:rPr>
                <w:rFonts w:ascii="Time New Roman" w:eastAsia="SimHei" w:hAnsi="Time New Roman" w:hint="eastAsia"/>
                <w:snapToGrid/>
              </w:rPr>
              <w:t>学</w:t>
            </w:r>
            <w:r>
              <w:rPr>
                <w:rFonts w:ascii="Time New Roman" w:eastAsia="SimHei" w:hAnsi="Time New Roman" w:hint="eastAsia"/>
                <w:snapToGrid/>
              </w:rPr>
              <w:t xml:space="preserve"> </w:t>
            </w:r>
            <w:r>
              <w:rPr>
                <w:rFonts w:ascii="Time New Roman" w:eastAsia="SimHei" w:hAnsi="Time New Roman" w:hint="eastAsia"/>
                <w:snapToGrid/>
              </w:rPr>
              <w:t>生</w:t>
            </w:r>
            <w:r>
              <w:rPr>
                <w:rFonts w:ascii="Time New Roman" w:eastAsia="SimHei" w:hAnsi="Time New Roman" w:hint="eastAsia"/>
                <w:snapToGrid/>
              </w:rPr>
              <w:t xml:space="preserve"> </w:t>
            </w:r>
            <w:r>
              <w:rPr>
                <w:rFonts w:ascii="Time New Roman" w:eastAsia="SimHei" w:hAnsi="Time New Roman" w:hint="eastAsia"/>
                <w:snapToGrid/>
              </w:rPr>
              <w:t>人</w:t>
            </w:r>
            <w:r>
              <w:rPr>
                <w:rFonts w:ascii="Time New Roman" w:eastAsia="SimHei" w:hAnsi="Time New Roman" w:hint="eastAsia"/>
                <w:snapToGrid/>
              </w:rPr>
              <w:t xml:space="preserve"> </w:t>
            </w:r>
            <w:r>
              <w:rPr>
                <w:rFonts w:ascii="Time New Roman" w:eastAsia="SimHei" w:hAnsi="Time New Roman" w:hint="eastAsia"/>
                <w:snapToGrid/>
              </w:rPr>
              <w:t>数</w:t>
            </w:r>
          </w:p>
        </w:tc>
      </w:tr>
      <w:tr w:rsidR="00000000">
        <w:tblPrEx>
          <w:tblCellMar>
            <w:top w:w="0" w:type="dxa"/>
            <w:bottom w:w="0" w:type="dxa"/>
          </w:tblCellMar>
        </w:tblPrEx>
        <w:tc>
          <w:tcPr>
            <w:tcW w:w="684" w:type="pct"/>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全</w:t>
            </w:r>
            <w:r>
              <w:rPr>
                <w:rFonts w:ascii="Time New Roman" w:eastAsia="SimHei" w:hAnsi="Time New Roman" w:hint="eastAsia"/>
                <w:snapToGrid/>
              </w:rPr>
              <w:t xml:space="preserve">  </w:t>
            </w:r>
            <w:r>
              <w:rPr>
                <w:rFonts w:ascii="Time New Roman" w:eastAsia="SimHei" w:hAnsi="Time New Roman" w:hint="eastAsia"/>
                <w:snapToGrid/>
              </w:rPr>
              <w:t>年</w:t>
            </w:r>
          </w:p>
        </w:tc>
        <w:tc>
          <w:tcPr>
            <w:tcW w:w="1158" w:type="pct"/>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共</w:t>
            </w:r>
            <w:r>
              <w:rPr>
                <w:rFonts w:ascii="Time New Roman" w:eastAsia="SimHei" w:hAnsi="Time New Roman" w:hint="eastAsia"/>
                <w:snapToGrid/>
              </w:rPr>
              <w:t xml:space="preserve">  </w:t>
            </w:r>
            <w:r>
              <w:rPr>
                <w:rFonts w:ascii="Time New Roman" w:eastAsia="SimHei" w:hAnsi="Time New Roman" w:hint="eastAsia"/>
                <w:snapToGrid/>
              </w:rPr>
              <w:t>计</w:t>
            </w:r>
          </w:p>
        </w:tc>
        <w:tc>
          <w:tcPr>
            <w:tcW w:w="1158" w:type="pct"/>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学</w:t>
            </w:r>
            <w:r>
              <w:rPr>
                <w:rFonts w:ascii="Time New Roman" w:eastAsia="SimHei" w:hAnsi="Time New Roman" w:hint="eastAsia"/>
                <w:snapToGrid/>
              </w:rPr>
              <w:t xml:space="preserve"> </w:t>
            </w:r>
            <w:r>
              <w:rPr>
                <w:rFonts w:ascii="Time New Roman" w:eastAsia="SimHei" w:hAnsi="Time New Roman" w:hint="eastAsia"/>
                <w:snapToGrid/>
              </w:rPr>
              <w:t>生</w:t>
            </w:r>
            <w:r>
              <w:rPr>
                <w:rFonts w:ascii="Time New Roman" w:eastAsia="SimHei" w:hAnsi="Time New Roman" w:hint="eastAsia"/>
                <w:snapToGrid/>
              </w:rPr>
              <w:t xml:space="preserve"> </w:t>
            </w:r>
            <w:r>
              <w:rPr>
                <w:rFonts w:ascii="Time New Roman" w:eastAsia="SimHei" w:hAnsi="Time New Roman" w:hint="eastAsia"/>
                <w:snapToGrid/>
              </w:rPr>
              <w:t>人数</w:t>
            </w:r>
          </w:p>
        </w:tc>
        <w:tc>
          <w:tcPr>
            <w:tcW w:w="1000" w:type="pct"/>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生</w:t>
            </w:r>
          </w:p>
        </w:tc>
        <w:tc>
          <w:tcPr>
            <w:tcW w:w="1000" w:type="pct"/>
          </w:tcPr>
          <w:p w:rsidR="00000000" w:rsidRDefault="00844A84">
            <w:pPr>
              <w:pStyle w:val="a2"/>
              <w:spacing w:before="60" w:after="40" w:line="240" w:lineRule="exact"/>
              <w:jc w:val="center"/>
              <w:rPr>
                <w:rFonts w:ascii="Time New Roman" w:eastAsia="SimHei" w:hAnsi="Time New Roman" w:hint="eastAsia"/>
                <w:snapToGrid/>
              </w:rPr>
            </w:pPr>
            <w:r>
              <w:rPr>
                <w:rFonts w:ascii="Time New Roman" w:eastAsia="SimHei" w:hAnsi="Time New Roman" w:hint="eastAsia"/>
                <w:snapToGrid/>
              </w:rPr>
              <w:t>女</w:t>
            </w:r>
            <w:r>
              <w:rPr>
                <w:rFonts w:ascii="Time New Roman" w:eastAsia="SimHei" w:hAnsi="Time New Roman" w:hint="eastAsia"/>
                <w:snapToGrid/>
              </w:rPr>
              <w:t xml:space="preserve">  </w:t>
            </w:r>
            <w:r>
              <w:rPr>
                <w:rFonts w:ascii="Time New Roman" w:eastAsia="SimHei" w:hAnsi="Time New Roman" w:hint="eastAsia"/>
                <w:snapToGrid/>
              </w:rPr>
              <w:t>生</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1991/92</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309,739</w:t>
            </w:r>
          </w:p>
        </w:tc>
        <w:tc>
          <w:tcPr>
            <w:tcW w:w="1000" w:type="pct"/>
            <w:tcBorders>
              <w:bottom w:val="nil"/>
            </w:tcBorders>
          </w:tcPr>
          <w:p w:rsidR="00000000" w:rsidRDefault="00844A84">
            <w:pPr>
              <w:pStyle w:val="a2"/>
              <w:tabs>
                <w:tab w:val="decimal" w:pos="1276"/>
              </w:tabs>
              <w:spacing w:line="240" w:lineRule="exact"/>
            </w:pPr>
            <w:r>
              <w:t>152,988</w:t>
            </w:r>
          </w:p>
        </w:tc>
        <w:tc>
          <w:tcPr>
            <w:tcW w:w="1000" w:type="pct"/>
            <w:tcBorders>
              <w:bottom w:val="nil"/>
            </w:tcBorders>
          </w:tcPr>
          <w:p w:rsidR="00000000" w:rsidRDefault="00844A84">
            <w:pPr>
              <w:pStyle w:val="a2"/>
              <w:tabs>
                <w:tab w:val="decimal" w:pos="1276"/>
              </w:tabs>
              <w:spacing w:line="240" w:lineRule="exact"/>
            </w:pPr>
            <w:r>
              <w:t>156,751</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100.00</w:t>
            </w:r>
          </w:p>
        </w:tc>
        <w:tc>
          <w:tcPr>
            <w:tcW w:w="1000" w:type="pct"/>
            <w:tcBorders>
              <w:top w:val="nil"/>
            </w:tcBorders>
          </w:tcPr>
          <w:p w:rsidR="00000000" w:rsidRDefault="00844A84">
            <w:pPr>
              <w:pStyle w:val="a2"/>
              <w:tabs>
                <w:tab w:val="decimal" w:pos="1276"/>
              </w:tabs>
              <w:spacing w:line="240" w:lineRule="exact"/>
            </w:pPr>
            <w:r>
              <w:t>49.39</w:t>
            </w:r>
          </w:p>
        </w:tc>
        <w:tc>
          <w:tcPr>
            <w:tcW w:w="1000" w:type="pct"/>
            <w:tcBorders>
              <w:top w:val="nil"/>
            </w:tcBorders>
          </w:tcPr>
          <w:p w:rsidR="00000000" w:rsidRDefault="00844A84">
            <w:pPr>
              <w:pStyle w:val="a2"/>
              <w:tabs>
                <w:tab w:val="decimal" w:pos="1276"/>
              </w:tabs>
              <w:spacing w:line="240" w:lineRule="exact"/>
            </w:pPr>
            <w:r>
              <w:t>50.61</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1992/93</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314,526</w:t>
            </w:r>
          </w:p>
        </w:tc>
        <w:tc>
          <w:tcPr>
            <w:tcW w:w="1000" w:type="pct"/>
            <w:tcBorders>
              <w:bottom w:val="nil"/>
            </w:tcBorders>
          </w:tcPr>
          <w:p w:rsidR="00000000" w:rsidRDefault="00844A84">
            <w:pPr>
              <w:pStyle w:val="a2"/>
              <w:tabs>
                <w:tab w:val="decimal" w:pos="1276"/>
              </w:tabs>
              <w:spacing w:line="240" w:lineRule="exact"/>
            </w:pPr>
            <w:r>
              <w:t>155,609</w:t>
            </w:r>
          </w:p>
        </w:tc>
        <w:tc>
          <w:tcPr>
            <w:tcW w:w="1000" w:type="pct"/>
            <w:tcBorders>
              <w:bottom w:val="nil"/>
            </w:tcBorders>
          </w:tcPr>
          <w:p w:rsidR="00000000" w:rsidRDefault="00844A84">
            <w:pPr>
              <w:pStyle w:val="a2"/>
              <w:tabs>
                <w:tab w:val="decimal" w:pos="1276"/>
              </w:tabs>
              <w:spacing w:line="240" w:lineRule="exact"/>
            </w:pPr>
            <w:r>
              <w:t>158,917</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100.00</w:t>
            </w:r>
          </w:p>
        </w:tc>
        <w:tc>
          <w:tcPr>
            <w:tcW w:w="1000" w:type="pct"/>
            <w:tcBorders>
              <w:top w:val="nil"/>
            </w:tcBorders>
          </w:tcPr>
          <w:p w:rsidR="00000000" w:rsidRDefault="00844A84">
            <w:pPr>
              <w:pStyle w:val="a2"/>
              <w:tabs>
                <w:tab w:val="decimal" w:pos="1276"/>
              </w:tabs>
              <w:spacing w:line="240" w:lineRule="exact"/>
            </w:pPr>
            <w:r>
              <w:t>49.47</w:t>
            </w:r>
          </w:p>
        </w:tc>
        <w:tc>
          <w:tcPr>
            <w:tcW w:w="1000" w:type="pct"/>
            <w:tcBorders>
              <w:top w:val="nil"/>
            </w:tcBorders>
          </w:tcPr>
          <w:p w:rsidR="00000000" w:rsidRDefault="00844A84">
            <w:pPr>
              <w:pStyle w:val="a2"/>
              <w:tabs>
                <w:tab w:val="decimal" w:pos="1276"/>
              </w:tabs>
              <w:spacing w:line="240" w:lineRule="exact"/>
            </w:pPr>
            <w:r>
              <w:t>50.53</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1993/94</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308,823</w:t>
            </w:r>
          </w:p>
        </w:tc>
        <w:tc>
          <w:tcPr>
            <w:tcW w:w="1000" w:type="pct"/>
            <w:tcBorders>
              <w:bottom w:val="nil"/>
            </w:tcBorders>
          </w:tcPr>
          <w:p w:rsidR="00000000" w:rsidRDefault="00844A84">
            <w:pPr>
              <w:pStyle w:val="a2"/>
              <w:tabs>
                <w:tab w:val="decimal" w:pos="1276"/>
              </w:tabs>
              <w:spacing w:line="240" w:lineRule="exact"/>
            </w:pPr>
            <w:r>
              <w:t>152,768</w:t>
            </w:r>
          </w:p>
        </w:tc>
        <w:tc>
          <w:tcPr>
            <w:tcW w:w="1000" w:type="pct"/>
            <w:tcBorders>
              <w:bottom w:val="nil"/>
            </w:tcBorders>
          </w:tcPr>
          <w:p w:rsidR="00000000" w:rsidRDefault="00844A84">
            <w:pPr>
              <w:pStyle w:val="a2"/>
              <w:tabs>
                <w:tab w:val="decimal" w:pos="1276"/>
              </w:tabs>
              <w:spacing w:line="240" w:lineRule="exact"/>
            </w:pPr>
            <w:r>
              <w:t>156,055</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100.00</w:t>
            </w:r>
          </w:p>
        </w:tc>
        <w:tc>
          <w:tcPr>
            <w:tcW w:w="1000" w:type="pct"/>
            <w:tcBorders>
              <w:top w:val="nil"/>
            </w:tcBorders>
          </w:tcPr>
          <w:p w:rsidR="00000000" w:rsidRDefault="00844A84">
            <w:pPr>
              <w:pStyle w:val="a2"/>
              <w:tabs>
                <w:tab w:val="decimal" w:pos="1276"/>
              </w:tabs>
              <w:spacing w:line="240" w:lineRule="exact"/>
            </w:pPr>
            <w:r>
              <w:t>49.47</w:t>
            </w:r>
          </w:p>
        </w:tc>
        <w:tc>
          <w:tcPr>
            <w:tcW w:w="1000" w:type="pct"/>
            <w:tcBorders>
              <w:top w:val="nil"/>
            </w:tcBorders>
          </w:tcPr>
          <w:p w:rsidR="00000000" w:rsidRDefault="00844A84">
            <w:pPr>
              <w:pStyle w:val="a2"/>
              <w:tabs>
                <w:tab w:val="decimal" w:pos="1276"/>
              </w:tabs>
              <w:spacing w:line="240" w:lineRule="exact"/>
            </w:pPr>
            <w:r>
              <w:t>50.53</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1994/95</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312,217</w:t>
            </w:r>
          </w:p>
        </w:tc>
        <w:tc>
          <w:tcPr>
            <w:tcW w:w="1000" w:type="pct"/>
            <w:tcBorders>
              <w:bottom w:val="nil"/>
            </w:tcBorders>
          </w:tcPr>
          <w:p w:rsidR="00000000" w:rsidRDefault="00844A84">
            <w:pPr>
              <w:pStyle w:val="a2"/>
              <w:tabs>
                <w:tab w:val="decimal" w:pos="1276"/>
              </w:tabs>
              <w:spacing w:line="240" w:lineRule="exact"/>
            </w:pPr>
            <w:r>
              <w:t>154,841</w:t>
            </w:r>
          </w:p>
        </w:tc>
        <w:tc>
          <w:tcPr>
            <w:tcW w:w="1000" w:type="pct"/>
            <w:tcBorders>
              <w:bottom w:val="nil"/>
            </w:tcBorders>
          </w:tcPr>
          <w:p w:rsidR="00000000" w:rsidRDefault="00844A84">
            <w:pPr>
              <w:pStyle w:val="a2"/>
              <w:tabs>
                <w:tab w:val="decimal" w:pos="1276"/>
              </w:tabs>
              <w:spacing w:line="240" w:lineRule="exact"/>
            </w:pPr>
            <w:r>
              <w:t>157,376</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w:t>
            </w:r>
            <w:r>
              <w:t>0</w:t>
            </w:r>
          </w:p>
        </w:tc>
        <w:tc>
          <w:tcPr>
            <w:tcW w:w="1000" w:type="pct"/>
            <w:tcBorders>
              <w:top w:val="nil"/>
            </w:tcBorders>
          </w:tcPr>
          <w:p w:rsidR="00000000" w:rsidRDefault="00844A84">
            <w:pPr>
              <w:pStyle w:val="a2"/>
              <w:tabs>
                <w:tab w:val="decimal" w:pos="1276"/>
              </w:tabs>
              <w:spacing w:line="240" w:lineRule="exact"/>
            </w:pPr>
            <w:r>
              <w:t>49.59</w:t>
            </w:r>
          </w:p>
        </w:tc>
        <w:tc>
          <w:tcPr>
            <w:tcW w:w="1000" w:type="pct"/>
            <w:tcBorders>
              <w:top w:val="nil"/>
            </w:tcBorders>
          </w:tcPr>
          <w:p w:rsidR="00000000" w:rsidRDefault="00844A84">
            <w:pPr>
              <w:pStyle w:val="a2"/>
              <w:tabs>
                <w:tab w:val="decimal" w:pos="1276"/>
              </w:tabs>
              <w:spacing w:line="240" w:lineRule="exact"/>
            </w:pPr>
            <w:r>
              <w:t>50.41</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1995/96</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326,096</w:t>
            </w:r>
          </w:p>
        </w:tc>
        <w:tc>
          <w:tcPr>
            <w:tcW w:w="1000" w:type="pct"/>
            <w:tcBorders>
              <w:bottom w:val="nil"/>
            </w:tcBorders>
          </w:tcPr>
          <w:p w:rsidR="00000000" w:rsidRDefault="00844A84">
            <w:pPr>
              <w:pStyle w:val="a2"/>
              <w:tabs>
                <w:tab w:val="decimal" w:pos="1276"/>
              </w:tabs>
              <w:spacing w:line="240" w:lineRule="exact"/>
            </w:pPr>
            <w:r>
              <w:t>160,870</w:t>
            </w:r>
          </w:p>
        </w:tc>
        <w:tc>
          <w:tcPr>
            <w:tcW w:w="1000" w:type="pct"/>
            <w:tcBorders>
              <w:bottom w:val="nil"/>
            </w:tcBorders>
          </w:tcPr>
          <w:p w:rsidR="00000000" w:rsidRDefault="00844A84">
            <w:pPr>
              <w:pStyle w:val="a2"/>
              <w:tabs>
                <w:tab w:val="decimal" w:pos="1276"/>
              </w:tabs>
              <w:spacing w:line="240" w:lineRule="exact"/>
            </w:pPr>
            <w:r>
              <w:t>165,226</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100.00</w:t>
            </w:r>
          </w:p>
        </w:tc>
        <w:tc>
          <w:tcPr>
            <w:tcW w:w="1000" w:type="pct"/>
            <w:tcBorders>
              <w:top w:val="nil"/>
            </w:tcBorders>
          </w:tcPr>
          <w:p w:rsidR="00000000" w:rsidRDefault="00844A84">
            <w:pPr>
              <w:pStyle w:val="a2"/>
              <w:tabs>
                <w:tab w:val="decimal" w:pos="1276"/>
              </w:tabs>
              <w:spacing w:line="240" w:lineRule="exact"/>
            </w:pPr>
            <w:r>
              <w:t>49.33</w:t>
            </w:r>
          </w:p>
        </w:tc>
        <w:tc>
          <w:tcPr>
            <w:tcW w:w="1000" w:type="pct"/>
            <w:tcBorders>
              <w:top w:val="nil"/>
            </w:tcBorders>
          </w:tcPr>
          <w:p w:rsidR="00000000" w:rsidRDefault="00844A84">
            <w:pPr>
              <w:pStyle w:val="a2"/>
              <w:tabs>
                <w:tab w:val="decimal" w:pos="1276"/>
              </w:tabs>
              <w:spacing w:line="240" w:lineRule="exact"/>
            </w:pPr>
            <w:r>
              <w:t>50.67</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1996/97</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324,422</w:t>
            </w:r>
          </w:p>
        </w:tc>
        <w:tc>
          <w:tcPr>
            <w:tcW w:w="1000" w:type="pct"/>
            <w:tcBorders>
              <w:bottom w:val="nil"/>
            </w:tcBorders>
          </w:tcPr>
          <w:p w:rsidR="00000000" w:rsidRDefault="00844A84">
            <w:pPr>
              <w:pStyle w:val="a2"/>
              <w:tabs>
                <w:tab w:val="decimal" w:pos="1276"/>
              </w:tabs>
              <w:spacing w:line="240" w:lineRule="exact"/>
            </w:pPr>
            <w:r>
              <w:t>160,291</w:t>
            </w:r>
          </w:p>
        </w:tc>
        <w:tc>
          <w:tcPr>
            <w:tcW w:w="1000" w:type="pct"/>
            <w:tcBorders>
              <w:bottom w:val="nil"/>
            </w:tcBorders>
          </w:tcPr>
          <w:p w:rsidR="00000000" w:rsidRDefault="00844A84">
            <w:pPr>
              <w:pStyle w:val="a2"/>
              <w:tabs>
                <w:tab w:val="decimal" w:pos="1276"/>
              </w:tabs>
              <w:spacing w:line="240" w:lineRule="exact"/>
            </w:pPr>
            <w:r>
              <w:t>164,131</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100.00</w:t>
            </w:r>
          </w:p>
        </w:tc>
        <w:tc>
          <w:tcPr>
            <w:tcW w:w="1000" w:type="pct"/>
            <w:tcBorders>
              <w:top w:val="nil"/>
            </w:tcBorders>
          </w:tcPr>
          <w:p w:rsidR="00000000" w:rsidRDefault="00844A84">
            <w:pPr>
              <w:pStyle w:val="a2"/>
              <w:tabs>
                <w:tab w:val="decimal" w:pos="1276"/>
              </w:tabs>
              <w:spacing w:line="240" w:lineRule="exact"/>
            </w:pPr>
            <w:r>
              <w:t>49.41</w:t>
            </w:r>
          </w:p>
        </w:tc>
        <w:tc>
          <w:tcPr>
            <w:tcW w:w="1000" w:type="pct"/>
            <w:tcBorders>
              <w:top w:val="nil"/>
            </w:tcBorders>
          </w:tcPr>
          <w:p w:rsidR="00000000" w:rsidRDefault="00844A84">
            <w:pPr>
              <w:pStyle w:val="a2"/>
              <w:tabs>
                <w:tab w:val="decimal" w:pos="1276"/>
              </w:tabs>
              <w:spacing w:line="240" w:lineRule="exact"/>
            </w:pPr>
            <w:r>
              <w:t>50.59</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1997/98</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327,401</w:t>
            </w:r>
          </w:p>
        </w:tc>
        <w:tc>
          <w:tcPr>
            <w:tcW w:w="1000" w:type="pct"/>
            <w:tcBorders>
              <w:bottom w:val="nil"/>
            </w:tcBorders>
          </w:tcPr>
          <w:p w:rsidR="00000000" w:rsidRDefault="00844A84">
            <w:pPr>
              <w:pStyle w:val="a2"/>
              <w:tabs>
                <w:tab w:val="decimal" w:pos="1276"/>
              </w:tabs>
              <w:spacing w:line="240" w:lineRule="exact"/>
            </w:pPr>
            <w:r>
              <w:t>162,953</w:t>
            </w:r>
          </w:p>
        </w:tc>
        <w:tc>
          <w:tcPr>
            <w:tcW w:w="1000" w:type="pct"/>
            <w:tcBorders>
              <w:bottom w:val="nil"/>
            </w:tcBorders>
          </w:tcPr>
          <w:p w:rsidR="00000000" w:rsidRDefault="00844A84">
            <w:pPr>
              <w:pStyle w:val="a2"/>
              <w:tabs>
                <w:tab w:val="decimal" w:pos="1276"/>
              </w:tabs>
              <w:spacing w:line="240" w:lineRule="exact"/>
            </w:pPr>
            <w:r>
              <w:t>164,448</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100.00</w:t>
            </w:r>
          </w:p>
        </w:tc>
        <w:tc>
          <w:tcPr>
            <w:tcW w:w="1000" w:type="pct"/>
            <w:tcBorders>
              <w:top w:val="nil"/>
            </w:tcBorders>
          </w:tcPr>
          <w:p w:rsidR="00000000" w:rsidRDefault="00844A84">
            <w:pPr>
              <w:pStyle w:val="a2"/>
              <w:tabs>
                <w:tab w:val="decimal" w:pos="1276"/>
              </w:tabs>
              <w:spacing w:line="240" w:lineRule="exact"/>
            </w:pPr>
            <w:r>
              <w:t>49.77</w:t>
            </w:r>
          </w:p>
        </w:tc>
        <w:tc>
          <w:tcPr>
            <w:tcW w:w="1000" w:type="pct"/>
            <w:tcBorders>
              <w:top w:val="nil"/>
            </w:tcBorders>
          </w:tcPr>
          <w:p w:rsidR="00000000" w:rsidRDefault="00844A84">
            <w:pPr>
              <w:pStyle w:val="a2"/>
              <w:tabs>
                <w:tab w:val="decimal" w:pos="1276"/>
              </w:tabs>
              <w:spacing w:line="240" w:lineRule="exact"/>
            </w:pPr>
            <w:r>
              <w:t>50.23</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1998/99</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316,187</w:t>
            </w:r>
          </w:p>
        </w:tc>
        <w:tc>
          <w:tcPr>
            <w:tcW w:w="1000" w:type="pct"/>
            <w:tcBorders>
              <w:bottom w:val="nil"/>
            </w:tcBorders>
          </w:tcPr>
          <w:p w:rsidR="00000000" w:rsidRDefault="00844A84">
            <w:pPr>
              <w:pStyle w:val="a2"/>
              <w:tabs>
                <w:tab w:val="decimal" w:pos="1276"/>
              </w:tabs>
              <w:spacing w:line="240" w:lineRule="exact"/>
            </w:pPr>
            <w:r>
              <w:t>155,703</w:t>
            </w:r>
          </w:p>
        </w:tc>
        <w:tc>
          <w:tcPr>
            <w:tcW w:w="1000" w:type="pct"/>
            <w:tcBorders>
              <w:bottom w:val="nil"/>
            </w:tcBorders>
          </w:tcPr>
          <w:p w:rsidR="00000000" w:rsidRDefault="00844A84">
            <w:pPr>
              <w:pStyle w:val="a2"/>
              <w:tabs>
                <w:tab w:val="decimal" w:pos="1276"/>
              </w:tabs>
              <w:spacing w:line="240" w:lineRule="exact"/>
            </w:pPr>
            <w:r>
              <w:t>160,484</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100.00</w:t>
            </w:r>
          </w:p>
        </w:tc>
        <w:tc>
          <w:tcPr>
            <w:tcW w:w="1000" w:type="pct"/>
            <w:tcBorders>
              <w:top w:val="nil"/>
            </w:tcBorders>
          </w:tcPr>
          <w:p w:rsidR="00000000" w:rsidRDefault="00844A84">
            <w:pPr>
              <w:pStyle w:val="a2"/>
              <w:tabs>
                <w:tab w:val="decimal" w:pos="1276"/>
              </w:tabs>
              <w:spacing w:line="240" w:lineRule="exact"/>
            </w:pPr>
            <w:r>
              <w:t>49.24</w:t>
            </w:r>
          </w:p>
        </w:tc>
        <w:tc>
          <w:tcPr>
            <w:tcW w:w="1000" w:type="pct"/>
            <w:tcBorders>
              <w:top w:val="nil"/>
            </w:tcBorders>
          </w:tcPr>
          <w:p w:rsidR="00000000" w:rsidRDefault="00844A84">
            <w:pPr>
              <w:pStyle w:val="a2"/>
              <w:tabs>
                <w:tab w:val="decimal" w:pos="1276"/>
              </w:tabs>
              <w:spacing w:line="240" w:lineRule="exact"/>
            </w:pPr>
            <w:r>
              <w:t>50.76</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1999/</w:t>
            </w:r>
            <w:r>
              <w:rPr>
                <w:rFonts w:hint="eastAsia"/>
                <w:snapToGrid/>
              </w:rPr>
              <w:t>00</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322,555</w:t>
            </w:r>
          </w:p>
        </w:tc>
        <w:tc>
          <w:tcPr>
            <w:tcW w:w="1000" w:type="pct"/>
            <w:tcBorders>
              <w:bottom w:val="nil"/>
            </w:tcBorders>
          </w:tcPr>
          <w:p w:rsidR="00000000" w:rsidRDefault="00844A84">
            <w:pPr>
              <w:pStyle w:val="a2"/>
              <w:tabs>
                <w:tab w:val="decimal" w:pos="1276"/>
              </w:tabs>
              <w:spacing w:line="240" w:lineRule="exact"/>
            </w:pPr>
            <w:r>
              <w:t>159,215</w:t>
            </w:r>
          </w:p>
        </w:tc>
        <w:tc>
          <w:tcPr>
            <w:tcW w:w="1000" w:type="pct"/>
            <w:tcBorders>
              <w:bottom w:val="nil"/>
            </w:tcBorders>
          </w:tcPr>
          <w:p w:rsidR="00000000" w:rsidRDefault="00844A84">
            <w:pPr>
              <w:pStyle w:val="a2"/>
              <w:tabs>
                <w:tab w:val="decimal" w:pos="1276"/>
              </w:tabs>
              <w:spacing w:line="240" w:lineRule="exact"/>
            </w:pPr>
            <w:r>
              <w:t>163,340</w:t>
            </w:r>
          </w:p>
        </w:tc>
      </w:tr>
      <w:tr w:rsidR="00000000">
        <w:tblPrEx>
          <w:tblCellMar>
            <w:top w:w="0" w:type="dxa"/>
            <w:bottom w:w="0" w:type="dxa"/>
          </w:tblCellMar>
        </w:tblPrEx>
        <w:tc>
          <w:tcPr>
            <w:tcW w:w="684" w:type="pct"/>
            <w:tcBorders>
              <w:top w:val="nil"/>
            </w:tcBorders>
          </w:tcPr>
          <w:p w:rsidR="00000000" w:rsidRDefault="00844A84">
            <w:pPr>
              <w:pStyle w:val="a2"/>
              <w:spacing w:line="240" w:lineRule="exact"/>
              <w:jc w:val="center"/>
              <w:rPr>
                <w:rFonts w:hint="eastAsia"/>
                <w:snapToGrid/>
              </w:rPr>
            </w:pPr>
          </w:p>
        </w:tc>
        <w:tc>
          <w:tcPr>
            <w:tcW w:w="1158" w:type="pct"/>
            <w:tcBorders>
              <w:top w:val="nil"/>
            </w:tcBorders>
          </w:tcPr>
          <w:p w:rsidR="00000000" w:rsidRDefault="00844A84">
            <w:pPr>
              <w:pStyle w:val="a2"/>
              <w:spacing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line="240" w:lineRule="exact"/>
            </w:pPr>
            <w:r>
              <w:t>322.55</w:t>
            </w:r>
          </w:p>
        </w:tc>
        <w:tc>
          <w:tcPr>
            <w:tcW w:w="1000" w:type="pct"/>
            <w:tcBorders>
              <w:top w:val="nil"/>
            </w:tcBorders>
          </w:tcPr>
          <w:p w:rsidR="00000000" w:rsidRDefault="00844A84">
            <w:pPr>
              <w:pStyle w:val="a2"/>
              <w:tabs>
                <w:tab w:val="decimal" w:pos="1276"/>
              </w:tabs>
              <w:spacing w:line="240" w:lineRule="exact"/>
            </w:pPr>
            <w:r>
              <w:t>159.215</w:t>
            </w:r>
          </w:p>
        </w:tc>
        <w:tc>
          <w:tcPr>
            <w:tcW w:w="1000" w:type="pct"/>
            <w:tcBorders>
              <w:top w:val="nil"/>
            </w:tcBorders>
          </w:tcPr>
          <w:p w:rsidR="00000000" w:rsidRDefault="00844A84">
            <w:pPr>
              <w:pStyle w:val="a2"/>
              <w:tabs>
                <w:tab w:val="decimal" w:pos="1276"/>
              </w:tabs>
              <w:spacing w:line="240" w:lineRule="exact"/>
            </w:pPr>
            <w:r>
              <w:t>163.340</w:t>
            </w:r>
          </w:p>
        </w:tc>
      </w:tr>
      <w:tr w:rsidR="00000000">
        <w:tblPrEx>
          <w:tblCellMar>
            <w:top w:w="0" w:type="dxa"/>
            <w:bottom w:w="0" w:type="dxa"/>
          </w:tblCellMar>
        </w:tblPrEx>
        <w:tc>
          <w:tcPr>
            <w:tcW w:w="684" w:type="pct"/>
            <w:tcBorders>
              <w:bottom w:val="nil"/>
            </w:tcBorders>
          </w:tcPr>
          <w:p w:rsidR="00000000" w:rsidRDefault="00844A84">
            <w:pPr>
              <w:pStyle w:val="a2"/>
              <w:spacing w:line="240" w:lineRule="exact"/>
              <w:jc w:val="center"/>
              <w:rPr>
                <w:rFonts w:hint="eastAsia"/>
                <w:snapToGrid/>
              </w:rPr>
            </w:pPr>
            <w:r>
              <w:rPr>
                <w:rFonts w:hint="eastAsia"/>
                <w:snapToGrid/>
              </w:rPr>
              <w:t>2000/01</w:t>
            </w:r>
          </w:p>
        </w:tc>
        <w:tc>
          <w:tcPr>
            <w:tcW w:w="1158" w:type="pct"/>
            <w:tcBorders>
              <w:bottom w:val="nil"/>
            </w:tcBorders>
          </w:tcPr>
          <w:p w:rsidR="00000000" w:rsidRDefault="00844A84">
            <w:pPr>
              <w:pStyle w:val="a2"/>
              <w:spacing w:line="240" w:lineRule="exact"/>
              <w:jc w:val="center"/>
              <w:rPr>
                <w:rFonts w:hint="eastAsia"/>
                <w:snapToGrid/>
              </w:rPr>
            </w:pPr>
          </w:p>
        </w:tc>
        <w:tc>
          <w:tcPr>
            <w:tcW w:w="1158" w:type="pct"/>
            <w:tcBorders>
              <w:bottom w:val="nil"/>
            </w:tcBorders>
          </w:tcPr>
          <w:p w:rsidR="00000000" w:rsidRDefault="00844A84">
            <w:pPr>
              <w:pStyle w:val="a2"/>
              <w:tabs>
                <w:tab w:val="decimal" w:pos="1276"/>
              </w:tabs>
              <w:spacing w:line="240" w:lineRule="exact"/>
            </w:pPr>
            <w:r>
              <w:t>315,589</w:t>
            </w:r>
          </w:p>
        </w:tc>
        <w:tc>
          <w:tcPr>
            <w:tcW w:w="1000" w:type="pct"/>
            <w:tcBorders>
              <w:bottom w:val="nil"/>
            </w:tcBorders>
          </w:tcPr>
          <w:p w:rsidR="00000000" w:rsidRDefault="00844A84">
            <w:pPr>
              <w:pStyle w:val="a2"/>
              <w:tabs>
                <w:tab w:val="decimal" w:pos="1276"/>
              </w:tabs>
              <w:spacing w:line="240" w:lineRule="exact"/>
            </w:pPr>
            <w:r>
              <w:t>154,783</w:t>
            </w:r>
          </w:p>
        </w:tc>
        <w:tc>
          <w:tcPr>
            <w:tcW w:w="1000" w:type="pct"/>
            <w:tcBorders>
              <w:bottom w:val="nil"/>
            </w:tcBorders>
          </w:tcPr>
          <w:p w:rsidR="00000000" w:rsidRDefault="00844A84">
            <w:pPr>
              <w:pStyle w:val="a2"/>
              <w:tabs>
                <w:tab w:val="decimal" w:pos="1276"/>
              </w:tabs>
              <w:spacing w:line="240" w:lineRule="exact"/>
            </w:pPr>
            <w:r>
              <w:t>160,806</w:t>
            </w:r>
          </w:p>
        </w:tc>
      </w:tr>
      <w:tr w:rsidR="00000000">
        <w:tblPrEx>
          <w:tblCellMar>
            <w:top w:w="0" w:type="dxa"/>
            <w:bottom w:w="0" w:type="dxa"/>
          </w:tblCellMar>
        </w:tblPrEx>
        <w:tc>
          <w:tcPr>
            <w:tcW w:w="684" w:type="pct"/>
            <w:tcBorders>
              <w:top w:val="nil"/>
            </w:tcBorders>
          </w:tcPr>
          <w:p w:rsidR="00000000" w:rsidRDefault="00844A84">
            <w:pPr>
              <w:pStyle w:val="a2"/>
              <w:spacing w:after="80" w:line="240" w:lineRule="exact"/>
              <w:jc w:val="center"/>
              <w:rPr>
                <w:rFonts w:hint="eastAsia"/>
                <w:snapToGrid/>
              </w:rPr>
            </w:pPr>
          </w:p>
        </w:tc>
        <w:tc>
          <w:tcPr>
            <w:tcW w:w="1158" w:type="pct"/>
            <w:tcBorders>
              <w:top w:val="nil"/>
            </w:tcBorders>
          </w:tcPr>
          <w:p w:rsidR="00000000" w:rsidRDefault="00844A84">
            <w:pPr>
              <w:pStyle w:val="a2"/>
              <w:spacing w:after="80" w:line="240" w:lineRule="exact"/>
              <w:jc w:val="center"/>
              <w:rPr>
                <w:rFonts w:hint="eastAsia"/>
                <w:snapToGrid/>
              </w:rPr>
            </w:pPr>
            <w:r>
              <w:rPr>
                <w:rFonts w:hint="eastAsia"/>
                <w:snapToGrid/>
              </w:rPr>
              <w:t>百分比</w:t>
            </w:r>
          </w:p>
        </w:tc>
        <w:tc>
          <w:tcPr>
            <w:tcW w:w="1158" w:type="pct"/>
            <w:tcBorders>
              <w:top w:val="nil"/>
            </w:tcBorders>
          </w:tcPr>
          <w:p w:rsidR="00000000" w:rsidRDefault="00844A84">
            <w:pPr>
              <w:pStyle w:val="a2"/>
              <w:tabs>
                <w:tab w:val="decimal" w:pos="1276"/>
              </w:tabs>
              <w:spacing w:after="80" w:line="240" w:lineRule="exact"/>
            </w:pPr>
            <w:r>
              <w:t>100.00</w:t>
            </w:r>
          </w:p>
        </w:tc>
        <w:tc>
          <w:tcPr>
            <w:tcW w:w="1000" w:type="pct"/>
            <w:tcBorders>
              <w:top w:val="nil"/>
            </w:tcBorders>
          </w:tcPr>
          <w:p w:rsidR="00000000" w:rsidRDefault="00844A84">
            <w:pPr>
              <w:pStyle w:val="a2"/>
              <w:tabs>
                <w:tab w:val="decimal" w:pos="1276"/>
              </w:tabs>
              <w:spacing w:after="80" w:line="240" w:lineRule="exact"/>
            </w:pPr>
            <w:r>
              <w:t>49.05</w:t>
            </w:r>
          </w:p>
        </w:tc>
        <w:tc>
          <w:tcPr>
            <w:tcW w:w="1000" w:type="pct"/>
            <w:tcBorders>
              <w:top w:val="nil"/>
            </w:tcBorders>
          </w:tcPr>
          <w:p w:rsidR="00000000" w:rsidRDefault="00844A84">
            <w:pPr>
              <w:pStyle w:val="a2"/>
              <w:tabs>
                <w:tab w:val="decimal" w:pos="1276"/>
              </w:tabs>
              <w:spacing w:after="80" w:line="240" w:lineRule="exact"/>
            </w:pPr>
            <w:r>
              <w:t>50.95</w:t>
            </w:r>
          </w:p>
        </w:tc>
      </w:tr>
    </w:tbl>
    <w:p w:rsidR="00000000" w:rsidRDefault="00844A84">
      <w:pPr>
        <w:spacing w:before="180" w:line="288" w:lineRule="auto"/>
        <w:ind w:left="1785" w:hanging="1275"/>
        <w:rPr>
          <w:rFonts w:eastAsia="KaiTi_GB2312" w:hint="eastAsia"/>
          <w:snapToGrid/>
          <w:spacing w:val="0"/>
          <w:sz w:val="22"/>
        </w:rPr>
      </w:pPr>
      <w:r>
        <w:rPr>
          <w:rFonts w:eastAsia="KaiTi_GB2312" w:hint="eastAsia"/>
          <w:snapToGrid/>
          <w:spacing w:val="0"/>
          <w:u w:val="single"/>
        </w:rPr>
        <w:t>资</w:t>
      </w:r>
      <w:r>
        <w:rPr>
          <w:rFonts w:eastAsia="KaiTi_GB2312" w:hint="eastAsia"/>
          <w:snapToGrid/>
          <w:spacing w:val="0"/>
          <w:sz w:val="22"/>
          <w:u w:val="single"/>
        </w:rPr>
        <w:t>料来源</w:t>
      </w:r>
      <w:r>
        <w:rPr>
          <w:rFonts w:eastAsia="KaiTi_GB2312" w:hint="eastAsia"/>
          <w:snapToGrid/>
          <w:spacing w:val="0"/>
          <w:sz w:val="22"/>
        </w:rPr>
        <w:t>：</w:t>
      </w:r>
      <w:r>
        <w:rPr>
          <w:rFonts w:eastAsia="KaiTi_GB2312" w:hint="eastAsia"/>
          <w:snapToGrid/>
          <w:spacing w:val="0"/>
          <w:sz w:val="22"/>
        </w:rPr>
        <w:tab/>
      </w:r>
      <w:r>
        <w:rPr>
          <w:rFonts w:eastAsia="KaiTi_GB2312" w:hint="eastAsia"/>
          <w:snapToGrid/>
          <w:spacing w:val="0"/>
          <w:sz w:val="22"/>
        </w:rPr>
        <w:t>共和国统计局《统计年鉴》</w:t>
      </w:r>
    </w:p>
    <w:p w:rsidR="00000000" w:rsidRDefault="00844A84">
      <w:pPr>
        <w:spacing w:after="320" w:line="288" w:lineRule="auto"/>
        <w:ind w:left="1785" w:hanging="525"/>
        <w:rPr>
          <w:rFonts w:eastAsia="KaiTi_GB2312" w:hint="eastAsia"/>
          <w:snapToGrid/>
          <w:spacing w:val="0"/>
          <w:sz w:val="22"/>
        </w:rPr>
      </w:pPr>
      <w:r>
        <w:rPr>
          <w:rFonts w:eastAsia="KaiTi_GB2312" w:hint="eastAsia"/>
          <w:snapToGrid/>
          <w:spacing w:val="0"/>
          <w:sz w:val="22"/>
        </w:rPr>
        <w:t>a</w:t>
      </w:r>
      <w:r>
        <w:rPr>
          <w:rFonts w:eastAsia="KaiTi_GB2312" w:hint="eastAsia"/>
          <w:snapToGrid/>
          <w:spacing w:val="0"/>
          <w:sz w:val="22"/>
        </w:rPr>
        <w:tab/>
      </w:r>
      <w:r>
        <w:rPr>
          <w:rFonts w:eastAsia="KaiTi_GB2312" w:hint="eastAsia"/>
          <w:snapToGrid/>
          <w:spacing w:val="0"/>
          <w:sz w:val="22"/>
        </w:rPr>
        <w:t>正规中等学校学生人数，不包括特殊中等学校成人学生。</w:t>
      </w:r>
    </w:p>
    <w:p w:rsidR="00000000" w:rsidRDefault="00844A84">
      <w:pPr>
        <w:pStyle w:val="Heading4"/>
        <w:spacing w:after="320"/>
        <w:rPr>
          <w:rFonts w:hint="eastAsia"/>
        </w:rPr>
      </w:pPr>
      <w:r>
        <w:rPr>
          <w:rFonts w:hint="eastAsia"/>
        </w:rPr>
        <w:t>大专和大学教育</w:t>
      </w:r>
    </w:p>
    <w:p w:rsidR="00000000" w:rsidRDefault="00844A84">
      <w:pPr>
        <w:rPr>
          <w:rFonts w:hint="eastAsia"/>
          <w:snapToGrid/>
          <w:spacing w:val="14"/>
        </w:rPr>
      </w:pPr>
      <w:r>
        <w:rPr>
          <w:snapToGrid/>
        </w:rPr>
        <w:tab/>
        <w:t>375.</w:t>
      </w:r>
      <w:r>
        <w:rPr>
          <w:rFonts w:hint="eastAsia"/>
          <w:snapToGrid/>
        </w:rPr>
        <w:t xml:space="preserve">  </w:t>
      </w:r>
      <w:r>
        <w:rPr>
          <w:rFonts w:hint="eastAsia"/>
          <w:snapToGrid/>
          <w:spacing w:val="14"/>
        </w:rPr>
        <w:t>有关大专和大学教育的数据表明，过去十年学生人数明显增加。与初等和中等学校不同，大学生人数大量增加。该十年后五年</w:t>
      </w:r>
      <w:r>
        <w:rPr>
          <w:rFonts w:hint="eastAsia"/>
          <w:snapToGrid/>
          <w:spacing w:val="14"/>
        </w:rPr>
        <w:t>(1995/96</w:t>
      </w:r>
      <w:r>
        <w:rPr>
          <w:rFonts w:hint="eastAsia"/>
          <w:snapToGrid/>
          <w:spacing w:val="14"/>
        </w:rPr>
        <w:t>至</w:t>
      </w:r>
      <w:r>
        <w:rPr>
          <w:rFonts w:hint="eastAsia"/>
          <w:snapToGrid/>
          <w:spacing w:val="14"/>
        </w:rPr>
        <w:t>1999/2000</w:t>
      </w:r>
      <w:r>
        <w:rPr>
          <w:rFonts w:hint="eastAsia"/>
          <w:snapToGrid/>
          <w:spacing w:val="14"/>
        </w:rPr>
        <w:t>学年</w:t>
      </w:r>
      <w:r>
        <w:rPr>
          <w:rFonts w:hint="eastAsia"/>
          <w:snapToGrid/>
          <w:spacing w:val="14"/>
        </w:rPr>
        <w:t>)</w:t>
      </w:r>
      <w:r>
        <w:rPr>
          <w:rFonts w:hint="eastAsia"/>
          <w:snapToGrid/>
          <w:spacing w:val="14"/>
        </w:rPr>
        <w:t>尤</w:t>
      </w:r>
      <w:r>
        <w:rPr>
          <w:rFonts w:hint="eastAsia"/>
          <w:snapToGrid/>
          <w:spacing w:val="14"/>
        </w:rPr>
        <w:t>其明显。</w:t>
      </w:r>
      <w:r>
        <w:rPr>
          <w:rFonts w:hint="eastAsia"/>
          <w:snapToGrid/>
          <w:spacing w:val="14"/>
        </w:rPr>
        <w:t>1995/96</w:t>
      </w:r>
      <w:r>
        <w:rPr>
          <w:rFonts w:hint="eastAsia"/>
          <w:snapToGrid/>
          <w:spacing w:val="14"/>
        </w:rPr>
        <w:t>学年，大学生人数比</w:t>
      </w:r>
      <w:r>
        <w:rPr>
          <w:rFonts w:hint="eastAsia"/>
          <w:snapToGrid/>
          <w:spacing w:val="14"/>
        </w:rPr>
        <w:t>1992/93</w:t>
      </w:r>
      <w:r>
        <w:rPr>
          <w:rFonts w:hint="eastAsia"/>
          <w:snapToGrid/>
          <w:spacing w:val="14"/>
        </w:rPr>
        <w:t>学年急剧增加。</w:t>
      </w:r>
      <w:r>
        <w:rPr>
          <w:rFonts w:hint="eastAsia"/>
          <w:snapToGrid/>
          <w:spacing w:val="14"/>
        </w:rPr>
        <w:t>1999/2000</w:t>
      </w:r>
      <w:r>
        <w:rPr>
          <w:rFonts w:hint="eastAsia"/>
          <w:snapToGrid/>
          <w:spacing w:val="14"/>
        </w:rPr>
        <w:t>学年增加最为显著。</w:t>
      </w:r>
      <w:r>
        <w:rPr>
          <w:rStyle w:val="EndnoteReference"/>
          <w:snapToGrid/>
          <w:spacing w:val="14"/>
        </w:rPr>
        <w:endnoteReference w:id="50"/>
      </w:r>
      <w:r>
        <w:rPr>
          <w:rFonts w:hint="eastAsia"/>
          <w:snapToGrid/>
          <w:spacing w:val="14"/>
        </w:rPr>
        <w:t xml:space="preserve"> </w:t>
      </w:r>
      <w:r>
        <w:rPr>
          <w:rFonts w:hint="eastAsia"/>
          <w:snapToGrid/>
          <w:spacing w:val="14"/>
        </w:rPr>
        <w:t>将</w:t>
      </w:r>
      <w:r>
        <w:rPr>
          <w:rFonts w:hint="eastAsia"/>
          <w:snapToGrid/>
          <w:spacing w:val="14"/>
        </w:rPr>
        <w:t>1992/93</w:t>
      </w:r>
      <w:r>
        <w:rPr>
          <w:rFonts w:hint="eastAsia"/>
          <w:snapToGrid/>
          <w:spacing w:val="14"/>
        </w:rPr>
        <w:t>学年本科生和研究生的人数</w:t>
      </w:r>
      <w:r>
        <w:rPr>
          <w:rFonts w:hint="eastAsia"/>
          <w:snapToGrid/>
          <w:spacing w:val="14"/>
        </w:rPr>
        <w:t>(</w:t>
      </w:r>
      <w:r>
        <w:rPr>
          <w:rFonts w:hint="eastAsia"/>
          <w:snapToGrid/>
          <w:spacing w:val="14"/>
        </w:rPr>
        <w:t>分别为</w:t>
      </w:r>
      <w:r>
        <w:rPr>
          <w:snapToGrid/>
          <w:spacing w:val="14"/>
        </w:rPr>
        <w:t>136,241</w:t>
      </w:r>
      <w:r>
        <w:rPr>
          <w:rFonts w:hint="eastAsia"/>
          <w:snapToGrid/>
          <w:spacing w:val="14"/>
        </w:rPr>
        <w:t>人和</w:t>
      </w:r>
      <w:r>
        <w:rPr>
          <w:snapToGrid/>
          <w:spacing w:val="14"/>
        </w:rPr>
        <w:t>16,636</w:t>
      </w:r>
      <w:r>
        <w:rPr>
          <w:rFonts w:hint="eastAsia"/>
          <w:snapToGrid/>
          <w:spacing w:val="14"/>
        </w:rPr>
        <w:t>人</w:t>
      </w:r>
      <w:r>
        <w:rPr>
          <w:rFonts w:hint="eastAsia"/>
          <w:snapToGrid/>
          <w:spacing w:val="14"/>
        </w:rPr>
        <w:t>)</w:t>
      </w:r>
      <w:r>
        <w:rPr>
          <w:rFonts w:hint="eastAsia"/>
          <w:snapToGrid/>
          <w:spacing w:val="14"/>
        </w:rPr>
        <w:t>与</w:t>
      </w:r>
      <w:r>
        <w:rPr>
          <w:rFonts w:hint="eastAsia"/>
          <w:snapToGrid/>
          <w:spacing w:val="14"/>
        </w:rPr>
        <w:t>1999/2000</w:t>
      </w:r>
      <w:r>
        <w:rPr>
          <w:rFonts w:hint="eastAsia"/>
          <w:snapToGrid/>
          <w:spacing w:val="14"/>
        </w:rPr>
        <w:t>学年</w:t>
      </w:r>
      <w:r>
        <w:rPr>
          <w:rFonts w:hint="eastAsia"/>
          <w:snapToGrid/>
          <w:spacing w:val="14"/>
        </w:rPr>
        <w:t>(</w:t>
      </w:r>
      <w:r>
        <w:rPr>
          <w:rFonts w:hint="eastAsia"/>
          <w:snapToGrid/>
          <w:spacing w:val="14"/>
        </w:rPr>
        <w:t>分别为</w:t>
      </w:r>
      <w:r>
        <w:rPr>
          <w:rFonts w:hint="eastAsia"/>
          <w:snapToGrid/>
          <w:spacing w:val="14"/>
        </w:rPr>
        <w:t>217,787</w:t>
      </w:r>
      <w:r>
        <w:rPr>
          <w:rFonts w:hint="eastAsia"/>
          <w:snapToGrid/>
          <w:spacing w:val="14"/>
        </w:rPr>
        <w:t>和</w:t>
      </w:r>
      <w:r>
        <w:rPr>
          <w:rFonts w:hint="eastAsia"/>
          <w:snapToGrid/>
          <w:spacing w:val="14"/>
        </w:rPr>
        <w:t>16,226</w:t>
      </w:r>
      <w:r>
        <w:rPr>
          <w:rFonts w:hint="eastAsia"/>
          <w:snapToGrid/>
          <w:spacing w:val="14"/>
        </w:rPr>
        <w:t>人</w:t>
      </w:r>
      <w:r>
        <w:rPr>
          <w:rFonts w:hint="eastAsia"/>
          <w:snapToGrid/>
          <w:spacing w:val="14"/>
        </w:rPr>
        <w:t>)</w:t>
      </w:r>
      <w:r>
        <w:rPr>
          <w:rFonts w:hint="eastAsia"/>
          <w:snapToGrid/>
          <w:spacing w:val="14"/>
        </w:rPr>
        <w:t>相比，可看出大专生和大学生人数虽然明显增加，但并未表明南斯拉夫联盟共和国目前的教育状况卓有成效。</w:t>
      </w:r>
    </w:p>
    <w:p w:rsidR="00000000" w:rsidRDefault="00844A84">
      <w:pPr>
        <w:ind w:firstLine="510"/>
        <w:rPr>
          <w:rFonts w:hint="eastAsia"/>
          <w:snapToGrid/>
        </w:rPr>
      </w:pPr>
      <w:r>
        <w:rPr>
          <w:snapToGrid/>
        </w:rPr>
        <w:t>376.</w:t>
      </w:r>
      <w:r>
        <w:rPr>
          <w:rFonts w:hint="eastAsia"/>
          <w:snapToGrid/>
        </w:rPr>
        <w:t xml:space="preserve">  </w:t>
      </w:r>
      <w:r>
        <w:rPr>
          <w:rFonts w:hint="eastAsia"/>
          <w:snapToGrid/>
        </w:rPr>
        <w:t>造成大专和大学教育这种情况的重要原因之一，是工作机会奇缺，完成中等教育的学生缺乏就业机会。这种状况迫使许多中等学校毕业生进入大学或大专求学，并产生了</w:t>
      </w:r>
      <w:r>
        <w:rPr>
          <w:rFonts w:hint="eastAsia"/>
          <w:snapToGrid/>
        </w:rPr>
        <w:t>一种现象：一些大学生的确是在学习知识和培养技能，另一些则在消磨时光，同时兼职赚钱。有些则是虽然注册在案但并未就读的学生。</w:t>
      </w:r>
      <w:r>
        <w:rPr>
          <w:rStyle w:val="EndnoteReference"/>
          <w:snapToGrid/>
        </w:rPr>
        <w:endnoteReference w:id="51"/>
      </w:r>
      <w:r>
        <w:rPr>
          <w:rFonts w:hint="eastAsia"/>
          <w:snapToGrid/>
        </w:rPr>
        <w:t xml:space="preserve"> </w:t>
      </w:r>
      <w:r>
        <w:rPr>
          <w:rFonts w:hint="eastAsia"/>
          <w:snapToGrid/>
        </w:rPr>
        <w:t>新近颁布了有关教育的法律，使这种状况有所改变，这表现在</w:t>
      </w:r>
      <w:r>
        <w:rPr>
          <w:rFonts w:hint="eastAsia"/>
          <w:snapToGrid/>
        </w:rPr>
        <w:t>2000/2001</w:t>
      </w:r>
      <w:r>
        <w:rPr>
          <w:rFonts w:hint="eastAsia"/>
          <w:snapToGrid/>
        </w:rPr>
        <w:t>学年的学生人数方面。大学生总人数比</w:t>
      </w:r>
      <w:r>
        <w:rPr>
          <w:rFonts w:hint="eastAsia"/>
          <w:snapToGrid/>
        </w:rPr>
        <w:t>2000</w:t>
      </w:r>
      <w:r>
        <w:rPr>
          <w:rFonts w:hint="eastAsia"/>
          <w:snapToGrid/>
        </w:rPr>
        <w:t>年减少</w:t>
      </w:r>
      <w:r>
        <w:rPr>
          <w:snapToGrid/>
        </w:rPr>
        <w:t>10.83%</w:t>
      </w:r>
      <w:r>
        <w:rPr>
          <w:rFonts w:hint="eastAsia"/>
          <w:snapToGrid/>
        </w:rPr>
        <w:t>(</w:t>
      </w:r>
      <w:r>
        <w:rPr>
          <w:rFonts w:hint="eastAsia"/>
          <w:snapToGrid/>
        </w:rPr>
        <w:t>从</w:t>
      </w:r>
      <w:r>
        <w:rPr>
          <w:rFonts w:hint="eastAsia"/>
          <w:snapToGrid/>
        </w:rPr>
        <w:t>1999/2000</w:t>
      </w:r>
      <w:r>
        <w:rPr>
          <w:rFonts w:hint="eastAsia"/>
          <w:snapToGrid/>
        </w:rPr>
        <w:t>学年的</w:t>
      </w:r>
      <w:r>
        <w:rPr>
          <w:rFonts w:hint="eastAsia"/>
          <w:snapToGrid/>
        </w:rPr>
        <w:t>217,787</w:t>
      </w:r>
      <w:r>
        <w:rPr>
          <w:rFonts w:hint="eastAsia"/>
          <w:snapToGrid/>
        </w:rPr>
        <w:t>人，减少到</w:t>
      </w:r>
      <w:r>
        <w:rPr>
          <w:rFonts w:hint="eastAsia"/>
          <w:snapToGrid/>
        </w:rPr>
        <w:t>2000/2001</w:t>
      </w:r>
      <w:r>
        <w:rPr>
          <w:rFonts w:hint="eastAsia"/>
          <w:snapToGrid/>
        </w:rPr>
        <w:t>学年的</w:t>
      </w:r>
      <w:r>
        <w:rPr>
          <w:snapToGrid/>
        </w:rPr>
        <w:t>194,198</w:t>
      </w:r>
      <w:r>
        <w:rPr>
          <w:rFonts w:hint="eastAsia"/>
          <w:snapToGrid/>
        </w:rPr>
        <w:t>人</w:t>
      </w:r>
      <w:r>
        <w:rPr>
          <w:rFonts w:hint="eastAsia"/>
          <w:snapToGrid/>
        </w:rPr>
        <w:t>)</w:t>
      </w:r>
      <w:r>
        <w:rPr>
          <w:rFonts w:hint="eastAsia"/>
          <w:snapToGrid/>
        </w:rPr>
        <w:t>。</w:t>
      </w:r>
    </w:p>
    <w:p w:rsidR="00000000" w:rsidRDefault="00844A84">
      <w:pPr>
        <w:spacing w:after="320"/>
        <w:ind w:firstLine="510"/>
        <w:rPr>
          <w:rFonts w:hint="eastAsia"/>
          <w:snapToGrid/>
        </w:rPr>
      </w:pPr>
      <w:r>
        <w:rPr>
          <w:snapToGrid/>
        </w:rPr>
        <w:t>377.</w:t>
      </w:r>
      <w:r>
        <w:rPr>
          <w:rFonts w:hint="eastAsia"/>
          <w:snapToGrid/>
        </w:rPr>
        <w:t xml:space="preserve">  </w:t>
      </w:r>
      <w:r>
        <w:rPr>
          <w:rFonts w:hint="eastAsia"/>
          <w:snapToGrid/>
          <w:spacing w:val="14"/>
        </w:rPr>
        <w:t>性别统计数字表明，接受大专或大学教育的全日制学生约有</w:t>
      </w:r>
      <w:r>
        <w:rPr>
          <w:snapToGrid/>
          <w:spacing w:val="14"/>
        </w:rPr>
        <w:t>53%</w:t>
      </w:r>
      <w:r>
        <w:rPr>
          <w:rFonts w:hint="eastAsia"/>
          <w:snapToGrid/>
          <w:spacing w:val="14"/>
        </w:rPr>
        <w:t>为女生，</w:t>
      </w:r>
      <w:r>
        <w:rPr>
          <w:rFonts w:hint="eastAsia"/>
          <w:snapToGrid/>
          <w:spacing w:val="14"/>
        </w:rPr>
        <w:t>47%</w:t>
      </w:r>
      <w:r>
        <w:rPr>
          <w:rFonts w:hint="eastAsia"/>
          <w:snapToGrid/>
          <w:spacing w:val="14"/>
        </w:rPr>
        <w:t>为男生；获得文学士学位或理学士学位的学生约</w:t>
      </w:r>
      <w:r>
        <w:rPr>
          <w:rFonts w:hint="eastAsia"/>
          <w:snapToGrid/>
          <w:spacing w:val="14"/>
        </w:rPr>
        <w:t>57%</w:t>
      </w:r>
      <w:r>
        <w:rPr>
          <w:rFonts w:hint="eastAsia"/>
          <w:snapToGrid/>
          <w:spacing w:val="14"/>
        </w:rPr>
        <w:t>为女生，</w:t>
      </w:r>
      <w:r>
        <w:rPr>
          <w:rFonts w:hint="eastAsia"/>
          <w:snapToGrid/>
          <w:spacing w:val="14"/>
        </w:rPr>
        <w:t>43%</w:t>
      </w:r>
      <w:r>
        <w:rPr>
          <w:rFonts w:hint="eastAsia"/>
          <w:snapToGrid/>
          <w:spacing w:val="14"/>
        </w:rPr>
        <w:t>为男生。</w:t>
      </w:r>
    </w:p>
    <w:p w:rsidR="00000000" w:rsidRDefault="00844A84">
      <w:pPr>
        <w:pStyle w:val="Heading3"/>
        <w:rPr>
          <w:rFonts w:hint="eastAsia"/>
        </w:rPr>
      </w:pPr>
      <w:r>
        <w:rPr>
          <w:u w:val="none"/>
        </w:rPr>
        <w:br w:type="page"/>
      </w:r>
      <w:r>
        <w:rPr>
          <w:rFonts w:hint="eastAsia"/>
          <w:u w:val="none"/>
        </w:rPr>
        <w:t>表</w:t>
      </w:r>
      <w:r>
        <w:rPr>
          <w:rFonts w:hint="eastAsia"/>
          <w:u w:val="none"/>
        </w:rPr>
        <w:t>21</w:t>
      </w:r>
      <w:r>
        <w:rPr>
          <w:u w:val="none"/>
        </w:rPr>
        <w:br/>
      </w:r>
      <w:r>
        <w:rPr>
          <w:rFonts w:hint="eastAsia"/>
        </w:rPr>
        <w:t>按性别开列的高等学校学生人数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67"/>
        <w:gridCol w:w="884"/>
        <w:gridCol w:w="884"/>
        <w:gridCol w:w="884"/>
        <w:gridCol w:w="884"/>
        <w:gridCol w:w="884"/>
        <w:gridCol w:w="884"/>
        <w:gridCol w:w="587"/>
        <w:gridCol w:w="884"/>
        <w:gridCol w:w="884"/>
        <w:gridCol w:w="884"/>
      </w:tblGrid>
      <w:tr w:rsidR="00000000">
        <w:tblPrEx>
          <w:tblCellMar>
            <w:top w:w="0" w:type="dxa"/>
            <w:bottom w:w="0" w:type="dxa"/>
          </w:tblCellMar>
        </w:tblPrEx>
        <w:trPr>
          <w:cantSplit/>
        </w:trPr>
        <w:tc>
          <w:tcPr>
            <w:tcW w:w="474" w:type="pct"/>
            <w:tcBorders>
              <w:bottom w:val="nil"/>
            </w:tcBorders>
          </w:tcPr>
          <w:p w:rsidR="00000000" w:rsidRDefault="00844A84">
            <w:pPr>
              <w:pStyle w:val="a2"/>
              <w:jc w:val="center"/>
              <w:rPr>
                <w:rFonts w:ascii="Time New Roman" w:eastAsia="SimHei" w:hAnsi="Time New Roman" w:hint="eastAsia"/>
                <w:snapToGrid/>
                <w:sz w:val="18"/>
              </w:rPr>
            </w:pPr>
            <w:r>
              <w:rPr>
                <w:rFonts w:ascii="Time New Roman" w:eastAsia="SimHei" w:hAnsi="Time New Roman" w:hint="eastAsia"/>
                <w:snapToGrid/>
                <w:sz w:val="18"/>
              </w:rPr>
              <w:t>学</w:t>
            </w:r>
            <w:r>
              <w:rPr>
                <w:rFonts w:ascii="Time New Roman" w:eastAsia="SimHei" w:hAnsi="Time New Roman" w:hint="eastAsia"/>
                <w:snapToGrid/>
                <w:sz w:val="18"/>
              </w:rPr>
              <w:t xml:space="preserve">  </w:t>
            </w:r>
            <w:r>
              <w:rPr>
                <w:rFonts w:ascii="Time New Roman" w:eastAsia="SimHei" w:hAnsi="Time New Roman" w:hint="eastAsia"/>
                <w:snapToGrid/>
                <w:sz w:val="18"/>
              </w:rPr>
              <w:t>年</w:t>
            </w:r>
          </w:p>
        </w:tc>
        <w:tc>
          <w:tcPr>
            <w:tcW w:w="1400" w:type="pct"/>
            <w:gridSpan w:val="3"/>
          </w:tcPr>
          <w:p w:rsidR="00000000" w:rsidRDefault="00844A84">
            <w:pPr>
              <w:pStyle w:val="a2"/>
              <w:jc w:val="center"/>
              <w:rPr>
                <w:rFonts w:ascii="Time New Roman" w:eastAsia="SimHei" w:hAnsi="Time New Roman" w:hint="eastAsia"/>
                <w:snapToGrid/>
                <w:sz w:val="18"/>
              </w:rPr>
            </w:pPr>
            <w:r>
              <w:rPr>
                <w:rFonts w:ascii="Time New Roman" w:eastAsia="SimHei" w:hAnsi="Time New Roman" w:hint="eastAsia"/>
                <w:snapToGrid/>
                <w:sz w:val="18"/>
              </w:rPr>
              <w:t>高等教育学生人数</w:t>
            </w:r>
          </w:p>
        </w:tc>
        <w:tc>
          <w:tcPr>
            <w:tcW w:w="1400" w:type="pct"/>
            <w:gridSpan w:val="3"/>
          </w:tcPr>
          <w:p w:rsidR="00000000" w:rsidRDefault="00844A84">
            <w:pPr>
              <w:pStyle w:val="a2"/>
              <w:jc w:val="center"/>
              <w:rPr>
                <w:rFonts w:ascii="Time New Roman" w:eastAsia="SimHei" w:hAnsi="Time New Roman" w:hint="eastAsia"/>
                <w:snapToGrid/>
                <w:sz w:val="18"/>
              </w:rPr>
            </w:pPr>
            <w:r>
              <w:rPr>
                <w:rFonts w:ascii="Time New Roman" w:eastAsia="SimHei" w:hAnsi="Time New Roman" w:hint="eastAsia"/>
                <w:snapToGrid/>
                <w:sz w:val="18"/>
              </w:rPr>
              <w:t>全日制学生人数</w:t>
            </w:r>
          </w:p>
        </w:tc>
        <w:tc>
          <w:tcPr>
            <w:tcW w:w="325" w:type="pct"/>
            <w:tcBorders>
              <w:bottom w:val="nil"/>
            </w:tcBorders>
          </w:tcPr>
          <w:p w:rsidR="00000000" w:rsidRDefault="00844A84">
            <w:pPr>
              <w:pStyle w:val="a2"/>
              <w:jc w:val="center"/>
              <w:rPr>
                <w:rFonts w:ascii="Time New Roman" w:eastAsia="SimHei" w:hAnsi="Time New Roman" w:hint="eastAsia"/>
                <w:snapToGrid/>
                <w:sz w:val="18"/>
              </w:rPr>
            </w:pPr>
            <w:r>
              <w:rPr>
                <w:rFonts w:ascii="Time New Roman" w:eastAsia="SimHei" w:hAnsi="Time New Roman" w:hint="eastAsia"/>
                <w:snapToGrid/>
                <w:sz w:val="18"/>
              </w:rPr>
              <w:t>学</w:t>
            </w:r>
            <w:r>
              <w:rPr>
                <w:rFonts w:ascii="Time New Roman" w:eastAsia="SimHei" w:hAnsi="Time New Roman" w:hint="eastAsia"/>
                <w:snapToGrid/>
                <w:sz w:val="18"/>
              </w:rPr>
              <w:t xml:space="preserve"> </w:t>
            </w:r>
            <w:r>
              <w:rPr>
                <w:rFonts w:ascii="Time New Roman" w:eastAsia="SimHei" w:hAnsi="Time New Roman" w:hint="eastAsia"/>
                <w:snapToGrid/>
                <w:sz w:val="18"/>
              </w:rPr>
              <w:t>年</w:t>
            </w:r>
          </w:p>
        </w:tc>
        <w:tc>
          <w:tcPr>
            <w:tcW w:w="1400" w:type="pct"/>
            <w:gridSpan w:val="3"/>
            <w:tcBorders>
              <w:bottom w:val="nil"/>
            </w:tcBorders>
          </w:tcPr>
          <w:p w:rsidR="00000000" w:rsidRDefault="00844A84">
            <w:pPr>
              <w:pStyle w:val="a2"/>
              <w:jc w:val="center"/>
              <w:rPr>
                <w:rFonts w:ascii="Time New Roman" w:eastAsia="SimHei" w:hAnsi="Time New Roman" w:hint="eastAsia"/>
                <w:snapToGrid/>
                <w:sz w:val="18"/>
              </w:rPr>
            </w:pPr>
            <w:r>
              <w:rPr>
                <w:rFonts w:ascii="Time New Roman" w:eastAsia="SimHei" w:hAnsi="Time New Roman" w:hint="eastAsia"/>
                <w:snapToGrid/>
                <w:sz w:val="18"/>
              </w:rPr>
              <w:t>毕业生人数</w:t>
            </w:r>
          </w:p>
        </w:tc>
      </w:tr>
      <w:tr w:rsidR="00000000">
        <w:tblPrEx>
          <w:tblCellMar>
            <w:top w:w="0" w:type="dxa"/>
            <w:bottom w:w="0" w:type="dxa"/>
          </w:tblCellMar>
        </w:tblPrEx>
        <w:trPr>
          <w:cantSplit/>
        </w:trPr>
        <w:tc>
          <w:tcPr>
            <w:tcW w:w="474" w:type="pct"/>
            <w:tcBorders>
              <w:top w:val="nil"/>
            </w:tcBorders>
          </w:tcPr>
          <w:p w:rsidR="00000000" w:rsidRDefault="00844A84">
            <w:pPr>
              <w:pStyle w:val="a2"/>
              <w:jc w:val="center"/>
              <w:rPr>
                <w:rFonts w:ascii="Time New Roman" w:eastAsia="SimHei" w:hAnsi="Time New Roman" w:hint="eastAsia"/>
                <w:snapToGrid/>
                <w:sz w:val="18"/>
              </w:rPr>
            </w:pPr>
          </w:p>
        </w:tc>
        <w:tc>
          <w:tcPr>
            <w:tcW w:w="1400" w:type="pct"/>
            <w:gridSpan w:val="3"/>
          </w:tcPr>
          <w:p w:rsidR="00000000" w:rsidRDefault="00844A84">
            <w:pPr>
              <w:pStyle w:val="a2"/>
              <w:jc w:val="center"/>
              <w:rPr>
                <w:rFonts w:ascii="Time New Roman" w:eastAsia="SimHei" w:hAnsi="Time New Roman" w:hint="eastAsia"/>
                <w:snapToGrid/>
                <w:sz w:val="18"/>
              </w:rPr>
            </w:pPr>
            <w:r>
              <w:rPr>
                <w:rFonts w:ascii="Time New Roman" w:eastAsia="SimHei" w:hAnsi="Time New Roman" w:hint="eastAsia"/>
                <w:snapToGrid/>
                <w:sz w:val="18"/>
              </w:rPr>
              <w:t>学生人数共计</w:t>
            </w:r>
          </w:p>
        </w:tc>
        <w:tc>
          <w:tcPr>
            <w:tcW w:w="1400" w:type="pct"/>
            <w:gridSpan w:val="3"/>
          </w:tcPr>
          <w:p w:rsidR="00000000" w:rsidRDefault="00844A84">
            <w:pPr>
              <w:pStyle w:val="a2"/>
              <w:jc w:val="center"/>
              <w:rPr>
                <w:rFonts w:ascii="Time New Roman" w:eastAsia="SimHei" w:hAnsi="Time New Roman" w:hint="eastAsia"/>
                <w:snapToGrid/>
                <w:sz w:val="18"/>
              </w:rPr>
            </w:pPr>
            <w:r>
              <w:rPr>
                <w:rFonts w:ascii="Time New Roman" w:eastAsia="SimHei" w:hAnsi="Time New Roman" w:hint="eastAsia"/>
                <w:snapToGrid/>
                <w:sz w:val="18"/>
              </w:rPr>
              <w:t>全日制学生人数</w:t>
            </w:r>
          </w:p>
        </w:tc>
        <w:tc>
          <w:tcPr>
            <w:tcW w:w="325" w:type="pct"/>
            <w:tcBorders>
              <w:top w:val="nil"/>
              <w:bottom w:val="single" w:sz="4" w:space="0" w:color="auto"/>
            </w:tcBorders>
          </w:tcPr>
          <w:p w:rsidR="00000000" w:rsidRDefault="00844A84">
            <w:pPr>
              <w:pStyle w:val="a2"/>
              <w:jc w:val="center"/>
              <w:rPr>
                <w:rFonts w:ascii="Time New Roman" w:eastAsia="SimHei" w:hAnsi="Time New Roman" w:hint="eastAsia"/>
                <w:snapToGrid/>
                <w:sz w:val="18"/>
              </w:rPr>
            </w:pPr>
          </w:p>
        </w:tc>
        <w:tc>
          <w:tcPr>
            <w:tcW w:w="1400" w:type="pct"/>
            <w:gridSpan w:val="3"/>
            <w:tcBorders>
              <w:top w:val="nil"/>
            </w:tcBorders>
          </w:tcPr>
          <w:p w:rsidR="00000000" w:rsidRDefault="00844A84">
            <w:pPr>
              <w:pStyle w:val="a2"/>
              <w:jc w:val="left"/>
              <w:rPr>
                <w:rFonts w:ascii="Time New Roman" w:eastAsia="SimHei" w:hAnsi="Time New Roman" w:hint="eastAsia"/>
                <w:snapToGrid/>
                <w:sz w:val="18"/>
              </w:rPr>
            </w:pPr>
          </w:p>
        </w:tc>
      </w:tr>
      <w:tr w:rsidR="00000000">
        <w:tblPrEx>
          <w:tblCellMar>
            <w:top w:w="0" w:type="dxa"/>
            <w:bottom w:w="0" w:type="dxa"/>
          </w:tblCellMar>
        </w:tblPrEx>
        <w:tc>
          <w:tcPr>
            <w:tcW w:w="474" w:type="pct"/>
          </w:tcPr>
          <w:p w:rsidR="00000000" w:rsidRDefault="00844A84">
            <w:pPr>
              <w:pStyle w:val="a2"/>
              <w:jc w:val="center"/>
              <w:rPr>
                <w:rFonts w:hint="eastAsia"/>
                <w:snapToGrid/>
                <w:sz w:val="18"/>
              </w:rPr>
            </w:pPr>
            <w:r>
              <w:rPr>
                <w:rFonts w:hint="eastAsia"/>
                <w:snapToGrid/>
                <w:sz w:val="18"/>
              </w:rPr>
              <w:t>百分比</w:t>
            </w:r>
          </w:p>
        </w:tc>
        <w:tc>
          <w:tcPr>
            <w:tcW w:w="467" w:type="pct"/>
          </w:tcPr>
          <w:p w:rsidR="00000000" w:rsidRDefault="00844A84">
            <w:pPr>
              <w:pStyle w:val="a2"/>
              <w:jc w:val="center"/>
              <w:rPr>
                <w:rFonts w:hint="eastAsia"/>
                <w:snapToGrid/>
                <w:sz w:val="18"/>
              </w:rPr>
            </w:pPr>
            <w:r>
              <w:rPr>
                <w:rFonts w:hint="eastAsia"/>
                <w:snapToGrid/>
                <w:sz w:val="18"/>
              </w:rPr>
              <w:t>共</w:t>
            </w:r>
            <w:r>
              <w:rPr>
                <w:rFonts w:hint="eastAsia"/>
                <w:snapToGrid/>
                <w:sz w:val="18"/>
              </w:rPr>
              <w:t xml:space="preserve">  </w:t>
            </w:r>
            <w:r>
              <w:rPr>
                <w:rFonts w:hint="eastAsia"/>
                <w:snapToGrid/>
                <w:sz w:val="18"/>
              </w:rPr>
              <w:t>计</w:t>
            </w:r>
          </w:p>
        </w:tc>
        <w:tc>
          <w:tcPr>
            <w:tcW w:w="467" w:type="pct"/>
          </w:tcPr>
          <w:p w:rsidR="00000000" w:rsidRDefault="00844A84">
            <w:pPr>
              <w:pStyle w:val="a2"/>
              <w:jc w:val="center"/>
              <w:rPr>
                <w:rFonts w:hint="eastAsia"/>
                <w:snapToGrid/>
                <w:sz w:val="18"/>
              </w:rPr>
            </w:pPr>
            <w:r>
              <w:rPr>
                <w:rFonts w:hint="eastAsia"/>
                <w:snapToGrid/>
                <w:sz w:val="18"/>
              </w:rPr>
              <w:t>男</w:t>
            </w:r>
            <w:r>
              <w:rPr>
                <w:rFonts w:hint="eastAsia"/>
                <w:snapToGrid/>
                <w:sz w:val="18"/>
              </w:rPr>
              <w:t xml:space="preserve">  </w:t>
            </w:r>
            <w:r>
              <w:rPr>
                <w:rFonts w:hint="eastAsia"/>
                <w:snapToGrid/>
                <w:sz w:val="18"/>
              </w:rPr>
              <w:t>生</w:t>
            </w:r>
          </w:p>
        </w:tc>
        <w:tc>
          <w:tcPr>
            <w:tcW w:w="467" w:type="pct"/>
          </w:tcPr>
          <w:p w:rsidR="00000000" w:rsidRDefault="00844A84">
            <w:pPr>
              <w:pStyle w:val="a2"/>
              <w:jc w:val="center"/>
              <w:rPr>
                <w:rFonts w:hint="eastAsia"/>
                <w:snapToGrid/>
                <w:sz w:val="18"/>
              </w:rPr>
            </w:pPr>
            <w:r>
              <w:rPr>
                <w:rFonts w:hint="eastAsia"/>
                <w:snapToGrid/>
                <w:sz w:val="18"/>
              </w:rPr>
              <w:t>女</w:t>
            </w:r>
            <w:r>
              <w:rPr>
                <w:rFonts w:hint="eastAsia"/>
                <w:snapToGrid/>
                <w:sz w:val="18"/>
              </w:rPr>
              <w:t xml:space="preserve">  </w:t>
            </w:r>
            <w:r>
              <w:rPr>
                <w:rFonts w:hint="eastAsia"/>
                <w:snapToGrid/>
                <w:sz w:val="18"/>
              </w:rPr>
              <w:t>生</w:t>
            </w:r>
          </w:p>
        </w:tc>
        <w:tc>
          <w:tcPr>
            <w:tcW w:w="467" w:type="pct"/>
          </w:tcPr>
          <w:p w:rsidR="00000000" w:rsidRDefault="00844A84">
            <w:pPr>
              <w:pStyle w:val="a2"/>
              <w:jc w:val="center"/>
              <w:rPr>
                <w:rFonts w:hint="eastAsia"/>
                <w:snapToGrid/>
                <w:sz w:val="18"/>
              </w:rPr>
            </w:pPr>
            <w:r>
              <w:rPr>
                <w:rFonts w:hint="eastAsia"/>
                <w:snapToGrid/>
                <w:sz w:val="18"/>
              </w:rPr>
              <w:t>共</w:t>
            </w:r>
            <w:r>
              <w:rPr>
                <w:rFonts w:hint="eastAsia"/>
                <w:snapToGrid/>
                <w:sz w:val="18"/>
              </w:rPr>
              <w:t xml:space="preserve">  </w:t>
            </w:r>
            <w:r>
              <w:rPr>
                <w:rFonts w:hint="eastAsia"/>
                <w:snapToGrid/>
                <w:sz w:val="18"/>
              </w:rPr>
              <w:t>计</w:t>
            </w:r>
          </w:p>
        </w:tc>
        <w:tc>
          <w:tcPr>
            <w:tcW w:w="467" w:type="pct"/>
          </w:tcPr>
          <w:p w:rsidR="00000000" w:rsidRDefault="00844A84">
            <w:pPr>
              <w:pStyle w:val="a2"/>
              <w:jc w:val="center"/>
              <w:rPr>
                <w:rFonts w:hint="eastAsia"/>
                <w:snapToGrid/>
                <w:sz w:val="18"/>
              </w:rPr>
            </w:pPr>
            <w:r>
              <w:rPr>
                <w:rFonts w:hint="eastAsia"/>
                <w:snapToGrid/>
                <w:sz w:val="18"/>
              </w:rPr>
              <w:t>男</w:t>
            </w:r>
            <w:r>
              <w:rPr>
                <w:rFonts w:hint="eastAsia"/>
                <w:snapToGrid/>
                <w:sz w:val="18"/>
              </w:rPr>
              <w:t xml:space="preserve">  </w:t>
            </w:r>
            <w:r>
              <w:rPr>
                <w:rFonts w:hint="eastAsia"/>
                <w:snapToGrid/>
                <w:sz w:val="18"/>
              </w:rPr>
              <w:t>生</w:t>
            </w:r>
          </w:p>
        </w:tc>
        <w:tc>
          <w:tcPr>
            <w:tcW w:w="467" w:type="pct"/>
          </w:tcPr>
          <w:p w:rsidR="00000000" w:rsidRDefault="00844A84">
            <w:pPr>
              <w:pStyle w:val="a2"/>
              <w:jc w:val="center"/>
              <w:rPr>
                <w:rFonts w:hint="eastAsia"/>
                <w:snapToGrid/>
                <w:sz w:val="18"/>
              </w:rPr>
            </w:pPr>
            <w:r>
              <w:rPr>
                <w:rFonts w:hint="eastAsia"/>
                <w:snapToGrid/>
                <w:sz w:val="18"/>
              </w:rPr>
              <w:t>女</w:t>
            </w:r>
            <w:r>
              <w:rPr>
                <w:rFonts w:hint="eastAsia"/>
                <w:snapToGrid/>
                <w:sz w:val="18"/>
              </w:rPr>
              <w:t xml:space="preserve">  </w:t>
            </w:r>
            <w:r>
              <w:rPr>
                <w:rFonts w:hint="eastAsia"/>
                <w:snapToGrid/>
                <w:sz w:val="18"/>
              </w:rPr>
              <w:t>生</w:t>
            </w:r>
          </w:p>
        </w:tc>
        <w:tc>
          <w:tcPr>
            <w:tcW w:w="325" w:type="pct"/>
            <w:tcBorders>
              <w:top w:val="single" w:sz="4" w:space="0" w:color="auto"/>
              <w:bottom w:val="single" w:sz="4" w:space="0" w:color="auto"/>
            </w:tcBorders>
          </w:tcPr>
          <w:p w:rsidR="00000000" w:rsidRDefault="00844A84">
            <w:pPr>
              <w:pStyle w:val="a2"/>
              <w:jc w:val="center"/>
              <w:rPr>
                <w:rFonts w:hint="eastAsia"/>
                <w:snapToGrid/>
                <w:sz w:val="18"/>
              </w:rPr>
            </w:pPr>
          </w:p>
        </w:tc>
        <w:tc>
          <w:tcPr>
            <w:tcW w:w="467" w:type="pct"/>
          </w:tcPr>
          <w:p w:rsidR="00000000" w:rsidRDefault="00844A84">
            <w:pPr>
              <w:pStyle w:val="a2"/>
              <w:jc w:val="center"/>
              <w:rPr>
                <w:rFonts w:hint="eastAsia"/>
                <w:snapToGrid/>
                <w:sz w:val="18"/>
              </w:rPr>
            </w:pPr>
            <w:r>
              <w:rPr>
                <w:rFonts w:hint="eastAsia"/>
                <w:snapToGrid/>
                <w:sz w:val="18"/>
              </w:rPr>
              <w:t>共</w:t>
            </w:r>
            <w:r>
              <w:rPr>
                <w:rFonts w:hint="eastAsia"/>
                <w:snapToGrid/>
                <w:sz w:val="18"/>
              </w:rPr>
              <w:t xml:space="preserve">  </w:t>
            </w:r>
            <w:r>
              <w:rPr>
                <w:rFonts w:hint="eastAsia"/>
                <w:snapToGrid/>
                <w:sz w:val="18"/>
              </w:rPr>
              <w:t>计</w:t>
            </w:r>
          </w:p>
        </w:tc>
        <w:tc>
          <w:tcPr>
            <w:tcW w:w="467" w:type="pct"/>
          </w:tcPr>
          <w:p w:rsidR="00000000" w:rsidRDefault="00844A84">
            <w:pPr>
              <w:pStyle w:val="a2"/>
              <w:jc w:val="center"/>
              <w:rPr>
                <w:rFonts w:hint="eastAsia"/>
                <w:snapToGrid/>
                <w:sz w:val="18"/>
              </w:rPr>
            </w:pPr>
            <w:r>
              <w:rPr>
                <w:rFonts w:hint="eastAsia"/>
                <w:snapToGrid/>
                <w:sz w:val="18"/>
              </w:rPr>
              <w:t>男</w:t>
            </w:r>
            <w:r>
              <w:rPr>
                <w:rFonts w:hint="eastAsia"/>
                <w:snapToGrid/>
                <w:sz w:val="18"/>
              </w:rPr>
              <w:t xml:space="preserve">  </w:t>
            </w:r>
            <w:r>
              <w:rPr>
                <w:rFonts w:hint="eastAsia"/>
                <w:snapToGrid/>
                <w:sz w:val="18"/>
              </w:rPr>
              <w:t>生</w:t>
            </w:r>
          </w:p>
        </w:tc>
        <w:tc>
          <w:tcPr>
            <w:tcW w:w="467" w:type="pct"/>
          </w:tcPr>
          <w:p w:rsidR="00000000" w:rsidRDefault="00844A84">
            <w:pPr>
              <w:pStyle w:val="a2"/>
              <w:jc w:val="center"/>
              <w:rPr>
                <w:rFonts w:hint="eastAsia"/>
                <w:snapToGrid/>
                <w:sz w:val="18"/>
              </w:rPr>
            </w:pPr>
            <w:r>
              <w:rPr>
                <w:rFonts w:hint="eastAsia"/>
                <w:snapToGrid/>
                <w:sz w:val="18"/>
              </w:rPr>
              <w:t>女</w:t>
            </w:r>
            <w:r>
              <w:rPr>
                <w:rFonts w:hint="eastAsia"/>
                <w:snapToGrid/>
                <w:sz w:val="18"/>
              </w:rPr>
              <w:t xml:space="preserve">  </w:t>
            </w:r>
            <w:r>
              <w:rPr>
                <w:rFonts w:hint="eastAsia"/>
                <w:snapToGrid/>
                <w:sz w:val="18"/>
              </w:rPr>
              <w:t>生</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1991/92</w:t>
            </w:r>
          </w:p>
        </w:tc>
        <w:tc>
          <w:tcPr>
            <w:tcW w:w="467" w:type="pct"/>
            <w:tcBorders>
              <w:bottom w:val="nil"/>
            </w:tcBorders>
          </w:tcPr>
          <w:p w:rsidR="00000000" w:rsidRDefault="00844A84">
            <w:pPr>
              <w:pStyle w:val="a2"/>
              <w:tabs>
                <w:tab w:val="decimal" w:pos="572"/>
              </w:tabs>
              <w:rPr>
                <w:sz w:val="18"/>
              </w:rPr>
            </w:pPr>
            <w:r>
              <w:rPr>
                <w:sz w:val="18"/>
              </w:rPr>
              <w:t>127,046</w:t>
            </w:r>
          </w:p>
        </w:tc>
        <w:tc>
          <w:tcPr>
            <w:tcW w:w="467" w:type="pct"/>
            <w:tcBorders>
              <w:bottom w:val="nil"/>
            </w:tcBorders>
          </w:tcPr>
          <w:p w:rsidR="00000000" w:rsidRDefault="00844A84">
            <w:pPr>
              <w:pStyle w:val="a2"/>
              <w:tabs>
                <w:tab w:val="decimal" w:pos="572"/>
              </w:tabs>
              <w:rPr>
                <w:sz w:val="18"/>
              </w:rPr>
            </w:pPr>
            <w:r>
              <w:rPr>
                <w:sz w:val="18"/>
              </w:rPr>
              <w:t>60,422</w:t>
            </w:r>
          </w:p>
        </w:tc>
        <w:tc>
          <w:tcPr>
            <w:tcW w:w="467" w:type="pct"/>
            <w:tcBorders>
              <w:top w:val="single" w:sz="4" w:space="0" w:color="auto"/>
              <w:bottom w:val="nil"/>
            </w:tcBorders>
          </w:tcPr>
          <w:p w:rsidR="00000000" w:rsidRDefault="00844A84">
            <w:pPr>
              <w:pStyle w:val="a2"/>
              <w:tabs>
                <w:tab w:val="decimal" w:pos="572"/>
              </w:tabs>
              <w:rPr>
                <w:sz w:val="18"/>
              </w:rPr>
            </w:pPr>
            <w:r>
              <w:rPr>
                <w:sz w:val="18"/>
              </w:rPr>
              <w:t>66,624</w:t>
            </w:r>
          </w:p>
        </w:tc>
        <w:tc>
          <w:tcPr>
            <w:tcW w:w="467" w:type="pct"/>
            <w:tcBorders>
              <w:top w:val="single" w:sz="4" w:space="0" w:color="auto"/>
              <w:bottom w:val="nil"/>
            </w:tcBorders>
          </w:tcPr>
          <w:p w:rsidR="00000000" w:rsidRDefault="00844A84">
            <w:pPr>
              <w:pStyle w:val="a2"/>
              <w:tabs>
                <w:tab w:val="decimal" w:pos="572"/>
              </w:tabs>
              <w:rPr>
                <w:sz w:val="18"/>
              </w:rPr>
            </w:pPr>
            <w:r>
              <w:rPr>
                <w:sz w:val="18"/>
              </w:rPr>
              <w:t>99,219</w:t>
            </w:r>
          </w:p>
        </w:tc>
        <w:tc>
          <w:tcPr>
            <w:tcW w:w="467" w:type="pct"/>
            <w:tcBorders>
              <w:top w:val="single" w:sz="4" w:space="0" w:color="auto"/>
              <w:bottom w:val="nil"/>
            </w:tcBorders>
          </w:tcPr>
          <w:p w:rsidR="00000000" w:rsidRDefault="00844A84">
            <w:pPr>
              <w:pStyle w:val="a2"/>
              <w:tabs>
                <w:tab w:val="decimal" w:pos="572"/>
              </w:tabs>
              <w:rPr>
                <w:sz w:val="18"/>
              </w:rPr>
            </w:pPr>
            <w:r>
              <w:rPr>
                <w:sz w:val="18"/>
              </w:rPr>
              <w:t>48,399</w:t>
            </w:r>
          </w:p>
        </w:tc>
        <w:tc>
          <w:tcPr>
            <w:tcW w:w="467" w:type="pct"/>
            <w:tcBorders>
              <w:top w:val="single" w:sz="4" w:space="0" w:color="auto"/>
              <w:bottom w:val="nil"/>
            </w:tcBorders>
          </w:tcPr>
          <w:p w:rsidR="00000000" w:rsidRDefault="00844A84">
            <w:pPr>
              <w:pStyle w:val="a2"/>
              <w:tabs>
                <w:tab w:val="decimal" w:pos="572"/>
              </w:tabs>
              <w:rPr>
                <w:sz w:val="18"/>
              </w:rPr>
            </w:pPr>
            <w:r>
              <w:rPr>
                <w:sz w:val="18"/>
              </w:rPr>
              <w:t>50,820</w:t>
            </w:r>
          </w:p>
        </w:tc>
        <w:tc>
          <w:tcPr>
            <w:tcW w:w="325" w:type="pct"/>
            <w:tcBorders>
              <w:top w:val="single" w:sz="4" w:space="0" w:color="auto"/>
              <w:bottom w:val="nil"/>
            </w:tcBorders>
          </w:tcPr>
          <w:p w:rsidR="00000000" w:rsidRDefault="00844A84">
            <w:pPr>
              <w:pStyle w:val="a2"/>
              <w:tabs>
                <w:tab w:val="decimal" w:pos="501"/>
              </w:tabs>
              <w:jc w:val="center"/>
              <w:rPr>
                <w:sz w:val="18"/>
              </w:rPr>
            </w:pPr>
            <w:r>
              <w:rPr>
                <w:sz w:val="18"/>
              </w:rPr>
              <w:t>1992</w:t>
            </w:r>
          </w:p>
        </w:tc>
        <w:tc>
          <w:tcPr>
            <w:tcW w:w="467" w:type="pct"/>
            <w:tcBorders>
              <w:bottom w:val="nil"/>
            </w:tcBorders>
          </w:tcPr>
          <w:p w:rsidR="00000000" w:rsidRDefault="00844A84">
            <w:pPr>
              <w:pStyle w:val="a2"/>
              <w:tabs>
                <w:tab w:val="decimal" w:pos="572"/>
              </w:tabs>
              <w:jc w:val="left"/>
              <w:rPr>
                <w:sz w:val="18"/>
              </w:rPr>
            </w:pPr>
            <w:r>
              <w:rPr>
                <w:sz w:val="18"/>
              </w:rPr>
              <w:t>16,636</w:t>
            </w:r>
          </w:p>
        </w:tc>
        <w:tc>
          <w:tcPr>
            <w:tcW w:w="467" w:type="pct"/>
            <w:tcBorders>
              <w:bottom w:val="nil"/>
            </w:tcBorders>
          </w:tcPr>
          <w:p w:rsidR="00000000" w:rsidRDefault="00844A84">
            <w:pPr>
              <w:pStyle w:val="a2"/>
              <w:tabs>
                <w:tab w:val="decimal" w:pos="572"/>
              </w:tabs>
              <w:jc w:val="left"/>
              <w:rPr>
                <w:sz w:val="18"/>
              </w:rPr>
            </w:pPr>
            <w:r>
              <w:rPr>
                <w:sz w:val="18"/>
              </w:rPr>
              <w:t>7,087</w:t>
            </w:r>
          </w:p>
        </w:tc>
        <w:tc>
          <w:tcPr>
            <w:tcW w:w="467" w:type="pct"/>
            <w:tcBorders>
              <w:bottom w:val="nil"/>
            </w:tcBorders>
          </w:tcPr>
          <w:p w:rsidR="00000000" w:rsidRDefault="00844A84">
            <w:pPr>
              <w:pStyle w:val="a2"/>
              <w:tabs>
                <w:tab w:val="decimal" w:pos="572"/>
              </w:tabs>
              <w:jc w:val="left"/>
              <w:rPr>
                <w:sz w:val="18"/>
              </w:rPr>
            </w:pPr>
            <w:r>
              <w:rPr>
                <w:sz w:val="18"/>
              </w:rPr>
              <w:t>9,549</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47.56</w:t>
            </w:r>
          </w:p>
        </w:tc>
        <w:tc>
          <w:tcPr>
            <w:tcW w:w="467" w:type="pct"/>
            <w:tcBorders>
              <w:top w:val="nil"/>
            </w:tcBorders>
          </w:tcPr>
          <w:p w:rsidR="00000000" w:rsidRDefault="00844A84">
            <w:pPr>
              <w:pStyle w:val="a2"/>
              <w:tabs>
                <w:tab w:val="decimal" w:pos="572"/>
              </w:tabs>
              <w:rPr>
                <w:sz w:val="18"/>
              </w:rPr>
            </w:pPr>
            <w:r>
              <w:rPr>
                <w:sz w:val="18"/>
              </w:rPr>
              <w:t>52.44</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48.78</w:t>
            </w:r>
          </w:p>
        </w:tc>
        <w:tc>
          <w:tcPr>
            <w:tcW w:w="467" w:type="pct"/>
            <w:tcBorders>
              <w:top w:val="nil"/>
            </w:tcBorders>
          </w:tcPr>
          <w:p w:rsidR="00000000" w:rsidRDefault="00844A84">
            <w:pPr>
              <w:pStyle w:val="a2"/>
              <w:tabs>
                <w:tab w:val="decimal" w:pos="572"/>
              </w:tabs>
              <w:rPr>
                <w:sz w:val="18"/>
              </w:rPr>
            </w:pPr>
            <w:r>
              <w:rPr>
                <w:sz w:val="18"/>
              </w:rPr>
              <w:t>51.22</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42.60</w:t>
            </w:r>
          </w:p>
        </w:tc>
        <w:tc>
          <w:tcPr>
            <w:tcW w:w="467" w:type="pct"/>
            <w:tcBorders>
              <w:top w:val="nil"/>
            </w:tcBorders>
          </w:tcPr>
          <w:p w:rsidR="00000000" w:rsidRDefault="00844A84">
            <w:pPr>
              <w:pStyle w:val="a2"/>
              <w:tabs>
                <w:tab w:val="decimal" w:pos="572"/>
              </w:tabs>
              <w:jc w:val="left"/>
              <w:rPr>
                <w:sz w:val="18"/>
              </w:rPr>
            </w:pPr>
            <w:r>
              <w:rPr>
                <w:sz w:val="18"/>
              </w:rPr>
              <w:t>57</w:t>
            </w:r>
            <w:r>
              <w:rPr>
                <w:sz w:val="18"/>
              </w:rPr>
              <w:t>.40</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1992/93</w:t>
            </w:r>
          </w:p>
        </w:tc>
        <w:tc>
          <w:tcPr>
            <w:tcW w:w="467" w:type="pct"/>
            <w:tcBorders>
              <w:bottom w:val="nil"/>
            </w:tcBorders>
          </w:tcPr>
          <w:p w:rsidR="00000000" w:rsidRDefault="00844A84">
            <w:pPr>
              <w:pStyle w:val="a2"/>
              <w:tabs>
                <w:tab w:val="decimal" w:pos="572"/>
              </w:tabs>
              <w:rPr>
                <w:sz w:val="18"/>
              </w:rPr>
            </w:pPr>
            <w:r>
              <w:rPr>
                <w:sz w:val="18"/>
              </w:rPr>
              <w:t>136,241</w:t>
            </w:r>
          </w:p>
        </w:tc>
        <w:tc>
          <w:tcPr>
            <w:tcW w:w="467" w:type="pct"/>
            <w:tcBorders>
              <w:bottom w:val="nil"/>
            </w:tcBorders>
          </w:tcPr>
          <w:p w:rsidR="00000000" w:rsidRDefault="00844A84">
            <w:pPr>
              <w:pStyle w:val="a2"/>
              <w:tabs>
                <w:tab w:val="decimal" w:pos="572"/>
              </w:tabs>
              <w:rPr>
                <w:sz w:val="18"/>
              </w:rPr>
            </w:pPr>
            <w:r>
              <w:rPr>
                <w:sz w:val="18"/>
              </w:rPr>
              <w:t>63,769</w:t>
            </w:r>
          </w:p>
        </w:tc>
        <w:tc>
          <w:tcPr>
            <w:tcW w:w="467" w:type="pct"/>
            <w:tcBorders>
              <w:bottom w:val="nil"/>
            </w:tcBorders>
            <w:vAlign w:val="center"/>
          </w:tcPr>
          <w:p w:rsidR="00000000" w:rsidRDefault="00844A84">
            <w:pPr>
              <w:pStyle w:val="a2"/>
              <w:tabs>
                <w:tab w:val="decimal" w:pos="572"/>
              </w:tabs>
              <w:rPr>
                <w:sz w:val="18"/>
              </w:rPr>
            </w:pPr>
            <w:r>
              <w:rPr>
                <w:sz w:val="18"/>
              </w:rPr>
              <w:t>72,472</w:t>
            </w:r>
          </w:p>
        </w:tc>
        <w:tc>
          <w:tcPr>
            <w:tcW w:w="467" w:type="pct"/>
            <w:tcBorders>
              <w:bottom w:val="nil"/>
            </w:tcBorders>
          </w:tcPr>
          <w:p w:rsidR="00000000" w:rsidRDefault="00844A84">
            <w:pPr>
              <w:pStyle w:val="a2"/>
              <w:tabs>
                <w:tab w:val="decimal" w:pos="572"/>
              </w:tabs>
              <w:rPr>
                <w:sz w:val="18"/>
              </w:rPr>
            </w:pPr>
            <w:r>
              <w:rPr>
                <w:sz w:val="18"/>
              </w:rPr>
              <w:t>104,732</w:t>
            </w:r>
          </w:p>
        </w:tc>
        <w:tc>
          <w:tcPr>
            <w:tcW w:w="467" w:type="pct"/>
            <w:tcBorders>
              <w:bottom w:val="nil"/>
            </w:tcBorders>
          </w:tcPr>
          <w:p w:rsidR="00000000" w:rsidRDefault="00844A84">
            <w:pPr>
              <w:pStyle w:val="a2"/>
              <w:tabs>
                <w:tab w:val="decimal" w:pos="572"/>
              </w:tabs>
              <w:rPr>
                <w:sz w:val="18"/>
              </w:rPr>
            </w:pPr>
            <w:r>
              <w:rPr>
                <w:sz w:val="18"/>
              </w:rPr>
              <w:t>50,391</w:t>
            </w:r>
          </w:p>
        </w:tc>
        <w:tc>
          <w:tcPr>
            <w:tcW w:w="467" w:type="pct"/>
            <w:tcBorders>
              <w:bottom w:val="nil"/>
            </w:tcBorders>
          </w:tcPr>
          <w:p w:rsidR="00000000" w:rsidRDefault="00844A84">
            <w:pPr>
              <w:pStyle w:val="a2"/>
              <w:tabs>
                <w:tab w:val="decimal" w:pos="572"/>
              </w:tabs>
              <w:rPr>
                <w:sz w:val="18"/>
              </w:rPr>
            </w:pPr>
            <w:r>
              <w:rPr>
                <w:sz w:val="18"/>
              </w:rPr>
              <w:t>54,341</w:t>
            </w:r>
          </w:p>
        </w:tc>
        <w:tc>
          <w:tcPr>
            <w:tcW w:w="325" w:type="pct"/>
            <w:tcBorders>
              <w:bottom w:val="nil"/>
            </w:tcBorders>
          </w:tcPr>
          <w:p w:rsidR="00000000" w:rsidRDefault="00844A84">
            <w:pPr>
              <w:pStyle w:val="a2"/>
              <w:tabs>
                <w:tab w:val="decimal" w:pos="501"/>
              </w:tabs>
              <w:jc w:val="center"/>
              <w:rPr>
                <w:sz w:val="18"/>
              </w:rPr>
            </w:pPr>
            <w:r>
              <w:rPr>
                <w:sz w:val="18"/>
              </w:rPr>
              <w:t>1993</w:t>
            </w:r>
          </w:p>
        </w:tc>
        <w:tc>
          <w:tcPr>
            <w:tcW w:w="467" w:type="pct"/>
            <w:tcBorders>
              <w:bottom w:val="nil"/>
            </w:tcBorders>
          </w:tcPr>
          <w:p w:rsidR="00000000" w:rsidRDefault="00844A84">
            <w:pPr>
              <w:pStyle w:val="a2"/>
              <w:tabs>
                <w:tab w:val="decimal" w:pos="572"/>
              </w:tabs>
              <w:jc w:val="left"/>
              <w:rPr>
                <w:sz w:val="18"/>
              </w:rPr>
            </w:pPr>
            <w:r>
              <w:rPr>
                <w:sz w:val="18"/>
              </w:rPr>
              <w:t>15,149</w:t>
            </w:r>
          </w:p>
        </w:tc>
        <w:tc>
          <w:tcPr>
            <w:tcW w:w="467" w:type="pct"/>
            <w:tcBorders>
              <w:bottom w:val="nil"/>
            </w:tcBorders>
          </w:tcPr>
          <w:p w:rsidR="00000000" w:rsidRDefault="00844A84">
            <w:pPr>
              <w:pStyle w:val="a2"/>
              <w:tabs>
                <w:tab w:val="decimal" w:pos="572"/>
              </w:tabs>
              <w:jc w:val="left"/>
              <w:rPr>
                <w:sz w:val="18"/>
              </w:rPr>
            </w:pPr>
            <w:r>
              <w:rPr>
                <w:sz w:val="18"/>
              </w:rPr>
              <w:t>6,543</w:t>
            </w:r>
          </w:p>
        </w:tc>
        <w:tc>
          <w:tcPr>
            <w:tcW w:w="467" w:type="pct"/>
            <w:tcBorders>
              <w:bottom w:val="nil"/>
            </w:tcBorders>
          </w:tcPr>
          <w:p w:rsidR="00000000" w:rsidRDefault="00844A84">
            <w:pPr>
              <w:pStyle w:val="a2"/>
              <w:tabs>
                <w:tab w:val="decimal" w:pos="572"/>
              </w:tabs>
              <w:jc w:val="left"/>
              <w:rPr>
                <w:sz w:val="18"/>
              </w:rPr>
            </w:pPr>
            <w:r>
              <w:rPr>
                <w:sz w:val="18"/>
              </w:rPr>
              <w:t>8,606</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45.67</w:t>
            </w:r>
          </w:p>
        </w:tc>
        <w:tc>
          <w:tcPr>
            <w:tcW w:w="467" w:type="pct"/>
            <w:tcBorders>
              <w:top w:val="nil"/>
            </w:tcBorders>
          </w:tcPr>
          <w:p w:rsidR="00000000" w:rsidRDefault="00844A84">
            <w:pPr>
              <w:pStyle w:val="a2"/>
              <w:tabs>
                <w:tab w:val="decimal" w:pos="572"/>
              </w:tabs>
              <w:rPr>
                <w:sz w:val="18"/>
              </w:rPr>
            </w:pPr>
            <w:r>
              <w:rPr>
                <w:sz w:val="18"/>
              </w:rPr>
              <w:t>54.33</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46.53</w:t>
            </w:r>
          </w:p>
        </w:tc>
        <w:tc>
          <w:tcPr>
            <w:tcW w:w="467" w:type="pct"/>
            <w:tcBorders>
              <w:top w:val="nil"/>
            </w:tcBorders>
          </w:tcPr>
          <w:p w:rsidR="00000000" w:rsidRDefault="00844A84">
            <w:pPr>
              <w:pStyle w:val="a2"/>
              <w:tabs>
                <w:tab w:val="decimal" w:pos="572"/>
              </w:tabs>
              <w:rPr>
                <w:sz w:val="18"/>
              </w:rPr>
            </w:pPr>
            <w:r>
              <w:rPr>
                <w:sz w:val="18"/>
              </w:rPr>
              <w:t>53.47</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43.10</w:t>
            </w:r>
          </w:p>
        </w:tc>
        <w:tc>
          <w:tcPr>
            <w:tcW w:w="467" w:type="pct"/>
            <w:tcBorders>
              <w:top w:val="nil"/>
            </w:tcBorders>
          </w:tcPr>
          <w:p w:rsidR="00000000" w:rsidRDefault="00844A84">
            <w:pPr>
              <w:pStyle w:val="a2"/>
              <w:tabs>
                <w:tab w:val="decimal" w:pos="572"/>
              </w:tabs>
              <w:jc w:val="left"/>
              <w:rPr>
                <w:sz w:val="18"/>
              </w:rPr>
            </w:pPr>
            <w:r>
              <w:rPr>
                <w:sz w:val="18"/>
              </w:rPr>
              <w:t>56.90</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1993/94</w:t>
            </w:r>
          </w:p>
        </w:tc>
        <w:tc>
          <w:tcPr>
            <w:tcW w:w="467" w:type="pct"/>
            <w:tcBorders>
              <w:bottom w:val="nil"/>
            </w:tcBorders>
          </w:tcPr>
          <w:p w:rsidR="00000000" w:rsidRDefault="00844A84">
            <w:pPr>
              <w:pStyle w:val="a2"/>
              <w:tabs>
                <w:tab w:val="decimal" w:pos="572"/>
              </w:tabs>
              <w:rPr>
                <w:sz w:val="18"/>
              </w:rPr>
            </w:pPr>
            <w:r>
              <w:rPr>
                <w:sz w:val="18"/>
              </w:rPr>
              <w:t>134,909</w:t>
            </w:r>
          </w:p>
        </w:tc>
        <w:tc>
          <w:tcPr>
            <w:tcW w:w="467" w:type="pct"/>
            <w:tcBorders>
              <w:bottom w:val="nil"/>
            </w:tcBorders>
          </w:tcPr>
          <w:p w:rsidR="00000000" w:rsidRDefault="00844A84">
            <w:pPr>
              <w:pStyle w:val="a2"/>
              <w:tabs>
                <w:tab w:val="decimal" w:pos="572"/>
              </w:tabs>
              <w:rPr>
                <w:sz w:val="18"/>
              </w:rPr>
            </w:pPr>
            <w:r>
              <w:rPr>
                <w:sz w:val="18"/>
              </w:rPr>
              <w:t>61,607</w:t>
            </w:r>
          </w:p>
        </w:tc>
        <w:tc>
          <w:tcPr>
            <w:tcW w:w="467" w:type="pct"/>
            <w:tcBorders>
              <w:bottom w:val="nil"/>
            </w:tcBorders>
          </w:tcPr>
          <w:p w:rsidR="00000000" w:rsidRDefault="00844A84">
            <w:pPr>
              <w:pStyle w:val="a2"/>
              <w:tabs>
                <w:tab w:val="decimal" w:pos="572"/>
              </w:tabs>
              <w:rPr>
                <w:sz w:val="18"/>
              </w:rPr>
            </w:pPr>
            <w:r>
              <w:rPr>
                <w:sz w:val="18"/>
              </w:rPr>
              <w:t>73,302</w:t>
            </w:r>
          </w:p>
        </w:tc>
        <w:tc>
          <w:tcPr>
            <w:tcW w:w="467" w:type="pct"/>
            <w:tcBorders>
              <w:bottom w:val="nil"/>
            </w:tcBorders>
          </w:tcPr>
          <w:p w:rsidR="00000000" w:rsidRDefault="00844A84">
            <w:pPr>
              <w:pStyle w:val="a2"/>
              <w:tabs>
                <w:tab w:val="decimal" w:pos="572"/>
              </w:tabs>
              <w:rPr>
                <w:sz w:val="18"/>
              </w:rPr>
            </w:pPr>
            <w:r>
              <w:rPr>
                <w:sz w:val="18"/>
              </w:rPr>
              <w:t>98,898</w:t>
            </w:r>
          </w:p>
        </w:tc>
        <w:tc>
          <w:tcPr>
            <w:tcW w:w="467" w:type="pct"/>
            <w:tcBorders>
              <w:bottom w:val="nil"/>
            </w:tcBorders>
          </w:tcPr>
          <w:p w:rsidR="00000000" w:rsidRDefault="00844A84">
            <w:pPr>
              <w:pStyle w:val="a2"/>
              <w:tabs>
                <w:tab w:val="decimal" w:pos="572"/>
              </w:tabs>
              <w:rPr>
                <w:sz w:val="18"/>
              </w:rPr>
            </w:pPr>
            <w:r>
              <w:rPr>
                <w:sz w:val="18"/>
              </w:rPr>
              <w:t>46,022</w:t>
            </w:r>
          </w:p>
        </w:tc>
        <w:tc>
          <w:tcPr>
            <w:tcW w:w="467" w:type="pct"/>
            <w:tcBorders>
              <w:bottom w:val="nil"/>
            </w:tcBorders>
          </w:tcPr>
          <w:p w:rsidR="00000000" w:rsidRDefault="00844A84">
            <w:pPr>
              <w:pStyle w:val="a2"/>
              <w:tabs>
                <w:tab w:val="decimal" w:pos="572"/>
              </w:tabs>
              <w:rPr>
                <w:sz w:val="18"/>
              </w:rPr>
            </w:pPr>
            <w:r>
              <w:rPr>
                <w:sz w:val="18"/>
              </w:rPr>
              <w:t>52,876</w:t>
            </w:r>
          </w:p>
        </w:tc>
        <w:tc>
          <w:tcPr>
            <w:tcW w:w="325" w:type="pct"/>
            <w:tcBorders>
              <w:bottom w:val="nil"/>
            </w:tcBorders>
          </w:tcPr>
          <w:p w:rsidR="00000000" w:rsidRDefault="00844A84">
            <w:pPr>
              <w:pStyle w:val="a2"/>
              <w:tabs>
                <w:tab w:val="decimal" w:pos="501"/>
              </w:tabs>
              <w:jc w:val="center"/>
              <w:rPr>
                <w:sz w:val="18"/>
              </w:rPr>
            </w:pPr>
            <w:r>
              <w:rPr>
                <w:sz w:val="18"/>
              </w:rPr>
              <w:t>1994</w:t>
            </w:r>
          </w:p>
        </w:tc>
        <w:tc>
          <w:tcPr>
            <w:tcW w:w="467" w:type="pct"/>
            <w:tcBorders>
              <w:bottom w:val="nil"/>
            </w:tcBorders>
          </w:tcPr>
          <w:p w:rsidR="00000000" w:rsidRDefault="00844A84">
            <w:pPr>
              <w:pStyle w:val="a2"/>
              <w:tabs>
                <w:tab w:val="decimal" w:pos="572"/>
              </w:tabs>
              <w:jc w:val="left"/>
              <w:rPr>
                <w:sz w:val="18"/>
              </w:rPr>
            </w:pPr>
            <w:r>
              <w:rPr>
                <w:sz w:val="18"/>
              </w:rPr>
              <w:t>15,380</w:t>
            </w:r>
          </w:p>
        </w:tc>
        <w:tc>
          <w:tcPr>
            <w:tcW w:w="467" w:type="pct"/>
            <w:tcBorders>
              <w:bottom w:val="nil"/>
            </w:tcBorders>
          </w:tcPr>
          <w:p w:rsidR="00000000" w:rsidRDefault="00844A84">
            <w:pPr>
              <w:pStyle w:val="a2"/>
              <w:tabs>
                <w:tab w:val="decimal" w:pos="572"/>
              </w:tabs>
              <w:jc w:val="left"/>
              <w:rPr>
                <w:sz w:val="18"/>
              </w:rPr>
            </w:pPr>
            <w:r>
              <w:rPr>
                <w:sz w:val="18"/>
              </w:rPr>
              <w:t>6,629</w:t>
            </w:r>
          </w:p>
        </w:tc>
        <w:tc>
          <w:tcPr>
            <w:tcW w:w="467" w:type="pct"/>
            <w:tcBorders>
              <w:bottom w:val="nil"/>
            </w:tcBorders>
          </w:tcPr>
          <w:p w:rsidR="00000000" w:rsidRDefault="00844A84">
            <w:pPr>
              <w:pStyle w:val="a2"/>
              <w:tabs>
                <w:tab w:val="decimal" w:pos="572"/>
              </w:tabs>
              <w:jc w:val="left"/>
              <w:rPr>
                <w:sz w:val="18"/>
              </w:rPr>
            </w:pPr>
            <w:r>
              <w:rPr>
                <w:sz w:val="18"/>
              </w:rPr>
              <w:t>8,751</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45.67</w:t>
            </w:r>
          </w:p>
        </w:tc>
        <w:tc>
          <w:tcPr>
            <w:tcW w:w="467" w:type="pct"/>
            <w:tcBorders>
              <w:top w:val="nil"/>
            </w:tcBorders>
          </w:tcPr>
          <w:p w:rsidR="00000000" w:rsidRDefault="00844A84">
            <w:pPr>
              <w:pStyle w:val="a2"/>
              <w:tabs>
                <w:tab w:val="decimal" w:pos="572"/>
              </w:tabs>
              <w:rPr>
                <w:sz w:val="18"/>
              </w:rPr>
            </w:pPr>
            <w:r>
              <w:rPr>
                <w:sz w:val="18"/>
              </w:rPr>
              <w:t>54.33</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46.53</w:t>
            </w:r>
          </w:p>
        </w:tc>
        <w:tc>
          <w:tcPr>
            <w:tcW w:w="467" w:type="pct"/>
            <w:tcBorders>
              <w:top w:val="nil"/>
            </w:tcBorders>
          </w:tcPr>
          <w:p w:rsidR="00000000" w:rsidRDefault="00844A84">
            <w:pPr>
              <w:pStyle w:val="a2"/>
              <w:tabs>
                <w:tab w:val="decimal" w:pos="572"/>
              </w:tabs>
              <w:rPr>
                <w:sz w:val="18"/>
              </w:rPr>
            </w:pPr>
            <w:r>
              <w:rPr>
                <w:sz w:val="18"/>
              </w:rPr>
              <w:t>53.47</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43.10</w:t>
            </w:r>
          </w:p>
        </w:tc>
        <w:tc>
          <w:tcPr>
            <w:tcW w:w="467" w:type="pct"/>
            <w:tcBorders>
              <w:top w:val="nil"/>
            </w:tcBorders>
          </w:tcPr>
          <w:p w:rsidR="00000000" w:rsidRDefault="00844A84">
            <w:pPr>
              <w:pStyle w:val="a2"/>
              <w:tabs>
                <w:tab w:val="decimal" w:pos="572"/>
              </w:tabs>
              <w:jc w:val="left"/>
              <w:rPr>
                <w:sz w:val="18"/>
              </w:rPr>
            </w:pPr>
            <w:r>
              <w:rPr>
                <w:sz w:val="18"/>
              </w:rPr>
              <w:t>56.90</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1994/95</w:t>
            </w:r>
          </w:p>
        </w:tc>
        <w:tc>
          <w:tcPr>
            <w:tcW w:w="467" w:type="pct"/>
            <w:tcBorders>
              <w:bottom w:val="nil"/>
            </w:tcBorders>
          </w:tcPr>
          <w:p w:rsidR="00000000" w:rsidRDefault="00844A84">
            <w:pPr>
              <w:pStyle w:val="a2"/>
              <w:tabs>
                <w:tab w:val="decimal" w:pos="572"/>
              </w:tabs>
              <w:rPr>
                <w:sz w:val="18"/>
              </w:rPr>
            </w:pPr>
            <w:r>
              <w:rPr>
                <w:sz w:val="18"/>
              </w:rPr>
              <w:t>137,467</w:t>
            </w:r>
          </w:p>
        </w:tc>
        <w:tc>
          <w:tcPr>
            <w:tcW w:w="467" w:type="pct"/>
            <w:tcBorders>
              <w:bottom w:val="nil"/>
            </w:tcBorders>
          </w:tcPr>
          <w:p w:rsidR="00000000" w:rsidRDefault="00844A84">
            <w:pPr>
              <w:pStyle w:val="a2"/>
              <w:tabs>
                <w:tab w:val="decimal" w:pos="572"/>
              </w:tabs>
              <w:rPr>
                <w:sz w:val="18"/>
              </w:rPr>
            </w:pPr>
            <w:r>
              <w:rPr>
                <w:sz w:val="18"/>
              </w:rPr>
              <w:t>63,001</w:t>
            </w:r>
          </w:p>
        </w:tc>
        <w:tc>
          <w:tcPr>
            <w:tcW w:w="467" w:type="pct"/>
            <w:tcBorders>
              <w:bottom w:val="nil"/>
            </w:tcBorders>
          </w:tcPr>
          <w:p w:rsidR="00000000" w:rsidRDefault="00844A84">
            <w:pPr>
              <w:pStyle w:val="a2"/>
              <w:tabs>
                <w:tab w:val="decimal" w:pos="572"/>
              </w:tabs>
              <w:rPr>
                <w:sz w:val="18"/>
              </w:rPr>
            </w:pPr>
            <w:r>
              <w:rPr>
                <w:sz w:val="18"/>
              </w:rPr>
              <w:t>74,466</w:t>
            </w:r>
          </w:p>
        </w:tc>
        <w:tc>
          <w:tcPr>
            <w:tcW w:w="467" w:type="pct"/>
            <w:tcBorders>
              <w:bottom w:val="nil"/>
            </w:tcBorders>
          </w:tcPr>
          <w:p w:rsidR="00000000" w:rsidRDefault="00844A84">
            <w:pPr>
              <w:pStyle w:val="a2"/>
              <w:tabs>
                <w:tab w:val="decimal" w:pos="572"/>
              </w:tabs>
              <w:rPr>
                <w:sz w:val="18"/>
              </w:rPr>
            </w:pPr>
            <w:r>
              <w:rPr>
                <w:sz w:val="18"/>
              </w:rPr>
              <w:t>98,607</w:t>
            </w:r>
          </w:p>
        </w:tc>
        <w:tc>
          <w:tcPr>
            <w:tcW w:w="467" w:type="pct"/>
            <w:tcBorders>
              <w:bottom w:val="nil"/>
            </w:tcBorders>
          </w:tcPr>
          <w:p w:rsidR="00000000" w:rsidRDefault="00844A84">
            <w:pPr>
              <w:pStyle w:val="a2"/>
              <w:tabs>
                <w:tab w:val="decimal" w:pos="572"/>
              </w:tabs>
              <w:rPr>
                <w:sz w:val="18"/>
              </w:rPr>
            </w:pPr>
            <w:r>
              <w:rPr>
                <w:sz w:val="18"/>
              </w:rPr>
              <w:t>46,440</w:t>
            </w:r>
          </w:p>
        </w:tc>
        <w:tc>
          <w:tcPr>
            <w:tcW w:w="467" w:type="pct"/>
            <w:tcBorders>
              <w:bottom w:val="nil"/>
            </w:tcBorders>
          </w:tcPr>
          <w:p w:rsidR="00000000" w:rsidRDefault="00844A84">
            <w:pPr>
              <w:pStyle w:val="a2"/>
              <w:tabs>
                <w:tab w:val="decimal" w:pos="572"/>
              </w:tabs>
              <w:rPr>
                <w:sz w:val="18"/>
              </w:rPr>
            </w:pPr>
            <w:r>
              <w:rPr>
                <w:sz w:val="18"/>
              </w:rPr>
              <w:t>52,167</w:t>
            </w:r>
          </w:p>
        </w:tc>
        <w:tc>
          <w:tcPr>
            <w:tcW w:w="325" w:type="pct"/>
            <w:tcBorders>
              <w:bottom w:val="nil"/>
            </w:tcBorders>
          </w:tcPr>
          <w:p w:rsidR="00000000" w:rsidRDefault="00844A84">
            <w:pPr>
              <w:pStyle w:val="a2"/>
              <w:tabs>
                <w:tab w:val="decimal" w:pos="501"/>
              </w:tabs>
              <w:jc w:val="center"/>
              <w:rPr>
                <w:sz w:val="18"/>
              </w:rPr>
            </w:pPr>
            <w:r>
              <w:rPr>
                <w:sz w:val="18"/>
              </w:rPr>
              <w:t>1995</w:t>
            </w:r>
          </w:p>
        </w:tc>
        <w:tc>
          <w:tcPr>
            <w:tcW w:w="467" w:type="pct"/>
            <w:tcBorders>
              <w:bottom w:val="nil"/>
            </w:tcBorders>
          </w:tcPr>
          <w:p w:rsidR="00000000" w:rsidRDefault="00844A84">
            <w:pPr>
              <w:pStyle w:val="a2"/>
              <w:tabs>
                <w:tab w:val="decimal" w:pos="572"/>
              </w:tabs>
              <w:jc w:val="left"/>
              <w:rPr>
                <w:sz w:val="18"/>
              </w:rPr>
            </w:pPr>
            <w:r>
              <w:rPr>
                <w:sz w:val="18"/>
              </w:rPr>
              <w:t>16,324</w:t>
            </w:r>
          </w:p>
        </w:tc>
        <w:tc>
          <w:tcPr>
            <w:tcW w:w="467" w:type="pct"/>
            <w:tcBorders>
              <w:bottom w:val="nil"/>
            </w:tcBorders>
          </w:tcPr>
          <w:p w:rsidR="00000000" w:rsidRDefault="00844A84">
            <w:pPr>
              <w:pStyle w:val="a2"/>
              <w:tabs>
                <w:tab w:val="decimal" w:pos="572"/>
              </w:tabs>
              <w:jc w:val="left"/>
              <w:rPr>
                <w:sz w:val="18"/>
              </w:rPr>
            </w:pPr>
            <w:r>
              <w:rPr>
                <w:sz w:val="18"/>
              </w:rPr>
              <w:t>7,003</w:t>
            </w:r>
          </w:p>
        </w:tc>
        <w:tc>
          <w:tcPr>
            <w:tcW w:w="467" w:type="pct"/>
            <w:tcBorders>
              <w:bottom w:val="nil"/>
            </w:tcBorders>
          </w:tcPr>
          <w:p w:rsidR="00000000" w:rsidRDefault="00844A84">
            <w:pPr>
              <w:pStyle w:val="a2"/>
              <w:tabs>
                <w:tab w:val="decimal" w:pos="572"/>
              </w:tabs>
              <w:jc w:val="left"/>
              <w:rPr>
                <w:sz w:val="18"/>
              </w:rPr>
            </w:pPr>
            <w:r>
              <w:rPr>
                <w:sz w:val="18"/>
              </w:rPr>
              <w:t>9,321</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45.83</w:t>
            </w:r>
          </w:p>
        </w:tc>
        <w:tc>
          <w:tcPr>
            <w:tcW w:w="467" w:type="pct"/>
            <w:tcBorders>
              <w:top w:val="nil"/>
            </w:tcBorders>
          </w:tcPr>
          <w:p w:rsidR="00000000" w:rsidRDefault="00844A84">
            <w:pPr>
              <w:pStyle w:val="a2"/>
              <w:tabs>
                <w:tab w:val="decimal" w:pos="572"/>
              </w:tabs>
              <w:rPr>
                <w:sz w:val="18"/>
              </w:rPr>
            </w:pPr>
            <w:r>
              <w:rPr>
                <w:sz w:val="18"/>
              </w:rPr>
              <w:t>54.17</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47.10</w:t>
            </w:r>
          </w:p>
        </w:tc>
        <w:tc>
          <w:tcPr>
            <w:tcW w:w="467" w:type="pct"/>
            <w:tcBorders>
              <w:top w:val="nil"/>
            </w:tcBorders>
          </w:tcPr>
          <w:p w:rsidR="00000000" w:rsidRDefault="00844A84">
            <w:pPr>
              <w:pStyle w:val="a2"/>
              <w:tabs>
                <w:tab w:val="decimal" w:pos="572"/>
              </w:tabs>
              <w:rPr>
                <w:sz w:val="18"/>
              </w:rPr>
            </w:pPr>
            <w:r>
              <w:rPr>
                <w:sz w:val="18"/>
              </w:rPr>
              <w:t>52.90</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42.90</w:t>
            </w:r>
          </w:p>
        </w:tc>
        <w:tc>
          <w:tcPr>
            <w:tcW w:w="467" w:type="pct"/>
            <w:tcBorders>
              <w:top w:val="nil"/>
            </w:tcBorders>
          </w:tcPr>
          <w:p w:rsidR="00000000" w:rsidRDefault="00844A84">
            <w:pPr>
              <w:pStyle w:val="a2"/>
              <w:tabs>
                <w:tab w:val="decimal" w:pos="572"/>
              </w:tabs>
              <w:jc w:val="left"/>
              <w:rPr>
                <w:sz w:val="18"/>
              </w:rPr>
            </w:pPr>
            <w:r>
              <w:rPr>
                <w:sz w:val="18"/>
              </w:rPr>
              <w:t>57.10</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1995/96</w:t>
            </w:r>
          </w:p>
        </w:tc>
        <w:tc>
          <w:tcPr>
            <w:tcW w:w="467" w:type="pct"/>
            <w:tcBorders>
              <w:bottom w:val="nil"/>
            </w:tcBorders>
          </w:tcPr>
          <w:p w:rsidR="00000000" w:rsidRDefault="00844A84">
            <w:pPr>
              <w:pStyle w:val="a2"/>
              <w:tabs>
                <w:tab w:val="decimal" w:pos="572"/>
              </w:tabs>
              <w:rPr>
                <w:sz w:val="18"/>
              </w:rPr>
            </w:pPr>
            <w:r>
              <w:rPr>
                <w:sz w:val="18"/>
              </w:rPr>
              <w:t>152,709</w:t>
            </w:r>
          </w:p>
        </w:tc>
        <w:tc>
          <w:tcPr>
            <w:tcW w:w="467" w:type="pct"/>
            <w:tcBorders>
              <w:bottom w:val="nil"/>
            </w:tcBorders>
          </w:tcPr>
          <w:p w:rsidR="00000000" w:rsidRDefault="00844A84">
            <w:pPr>
              <w:pStyle w:val="a2"/>
              <w:tabs>
                <w:tab w:val="decimal" w:pos="572"/>
              </w:tabs>
              <w:rPr>
                <w:sz w:val="18"/>
              </w:rPr>
            </w:pPr>
            <w:r>
              <w:rPr>
                <w:sz w:val="18"/>
              </w:rPr>
              <w:t>71,436</w:t>
            </w:r>
          </w:p>
        </w:tc>
        <w:tc>
          <w:tcPr>
            <w:tcW w:w="467" w:type="pct"/>
            <w:tcBorders>
              <w:bottom w:val="nil"/>
            </w:tcBorders>
          </w:tcPr>
          <w:p w:rsidR="00000000" w:rsidRDefault="00844A84">
            <w:pPr>
              <w:pStyle w:val="a2"/>
              <w:tabs>
                <w:tab w:val="decimal" w:pos="572"/>
              </w:tabs>
              <w:rPr>
                <w:sz w:val="18"/>
              </w:rPr>
            </w:pPr>
            <w:r>
              <w:rPr>
                <w:sz w:val="18"/>
              </w:rPr>
              <w:t>81,273</w:t>
            </w:r>
          </w:p>
        </w:tc>
        <w:tc>
          <w:tcPr>
            <w:tcW w:w="467" w:type="pct"/>
            <w:tcBorders>
              <w:bottom w:val="nil"/>
            </w:tcBorders>
          </w:tcPr>
          <w:p w:rsidR="00000000" w:rsidRDefault="00844A84">
            <w:pPr>
              <w:pStyle w:val="a2"/>
              <w:tabs>
                <w:tab w:val="decimal" w:pos="572"/>
              </w:tabs>
              <w:rPr>
                <w:sz w:val="18"/>
              </w:rPr>
            </w:pPr>
            <w:r>
              <w:rPr>
                <w:sz w:val="18"/>
              </w:rPr>
              <w:t>101,512</w:t>
            </w:r>
          </w:p>
        </w:tc>
        <w:tc>
          <w:tcPr>
            <w:tcW w:w="467" w:type="pct"/>
            <w:tcBorders>
              <w:bottom w:val="nil"/>
            </w:tcBorders>
          </w:tcPr>
          <w:p w:rsidR="00000000" w:rsidRDefault="00844A84">
            <w:pPr>
              <w:pStyle w:val="a2"/>
              <w:tabs>
                <w:tab w:val="decimal" w:pos="572"/>
              </w:tabs>
              <w:rPr>
                <w:sz w:val="18"/>
              </w:rPr>
            </w:pPr>
            <w:r>
              <w:rPr>
                <w:sz w:val="18"/>
              </w:rPr>
              <w:t>48,863</w:t>
            </w:r>
          </w:p>
        </w:tc>
        <w:tc>
          <w:tcPr>
            <w:tcW w:w="467" w:type="pct"/>
            <w:tcBorders>
              <w:bottom w:val="nil"/>
            </w:tcBorders>
          </w:tcPr>
          <w:p w:rsidR="00000000" w:rsidRDefault="00844A84">
            <w:pPr>
              <w:pStyle w:val="a2"/>
              <w:tabs>
                <w:tab w:val="decimal" w:pos="572"/>
              </w:tabs>
              <w:rPr>
                <w:sz w:val="18"/>
              </w:rPr>
            </w:pPr>
            <w:r>
              <w:rPr>
                <w:sz w:val="18"/>
              </w:rPr>
              <w:t>52,649</w:t>
            </w:r>
          </w:p>
        </w:tc>
        <w:tc>
          <w:tcPr>
            <w:tcW w:w="325" w:type="pct"/>
            <w:tcBorders>
              <w:bottom w:val="nil"/>
            </w:tcBorders>
          </w:tcPr>
          <w:p w:rsidR="00000000" w:rsidRDefault="00844A84">
            <w:pPr>
              <w:pStyle w:val="a2"/>
              <w:tabs>
                <w:tab w:val="decimal" w:pos="501"/>
              </w:tabs>
              <w:jc w:val="center"/>
              <w:rPr>
                <w:sz w:val="18"/>
              </w:rPr>
            </w:pPr>
            <w:r>
              <w:rPr>
                <w:sz w:val="18"/>
              </w:rPr>
              <w:t>1996</w:t>
            </w:r>
          </w:p>
        </w:tc>
        <w:tc>
          <w:tcPr>
            <w:tcW w:w="467" w:type="pct"/>
            <w:tcBorders>
              <w:bottom w:val="nil"/>
            </w:tcBorders>
          </w:tcPr>
          <w:p w:rsidR="00000000" w:rsidRDefault="00844A84">
            <w:pPr>
              <w:pStyle w:val="a2"/>
              <w:tabs>
                <w:tab w:val="decimal" w:pos="572"/>
              </w:tabs>
              <w:jc w:val="left"/>
              <w:rPr>
                <w:sz w:val="18"/>
              </w:rPr>
            </w:pPr>
            <w:r>
              <w:rPr>
                <w:sz w:val="18"/>
              </w:rPr>
              <w:t>16,629</w:t>
            </w:r>
          </w:p>
        </w:tc>
        <w:tc>
          <w:tcPr>
            <w:tcW w:w="467" w:type="pct"/>
            <w:tcBorders>
              <w:bottom w:val="nil"/>
            </w:tcBorders>
          </w:tcPr>
          <w:p w:rsidR="00000000" w:rsidRDefault="00844A84">
            <w:pPr>
              <w:pStyle w:val="a2"/>
              <w:tabs>
                <w:tab w:val="decimal" w:pos="572"/>
              </w:tabs>
              <w:jc w:val="left"/>
              <w:rPr>
                <w:sz w:val="18"/>
              </w:rPr>
            </w:pPr>
            <w:r>
              <w:rPr>
                <w:sz w:val="18"/>
              </w:rPr>
              <w:t>7,279</w:t>
            </w:r>
          </w:p>
        </w:tc>
        <w:tc>
          <w:tcPr>
            <w:tcW w:w="467" w:type="pct"/>
            <w:tcBorders>
              <w:bottom w:val="nil"/>
            </w:tcBorders>
          </w:tcPr>
          <w:p w:rsidR="00000000" w:rsidRDefault="00844A84">
            <w:pPr>
              <w:pStyle w:val="a2"/>
              <w:tabs>
                <w:tab w:val="decimal" w:pos="572"/>
              </w:tabs>
              <w:jc w:val="left"/>
              <w:rPr>
                <w:sz w:val="18"/>
              </w:rPr>
            </w:pPr>
            <w:r>
              <w:rPr>
                <w:sz w:val="18"/>
              </w:rPr>
              <w:t>9,350</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w:t>
            </w:r>
            <w:r>
              <w:rPr>
                <w:sz w:val="18"/>
              </w:rPr>
              <w:t>6.78</w:t>
            </w:r>
          </w:p>
        </w:tc>
        <w:tc>
          <w:tcPr>
            <w:tcW w:w="467" w:type="pct"/>
            <w:tcBorders>
              <w:top w:val="nil"/>
            </w:tcBorders>
          </w:tcPr>
          <w:p w:rsidR="00000000" w:rsidRDefault="00844A84">
            <w:pPr>
              <w:pStyle w:val="a2"/>
              <w:tabs>
                <w:tab w:val="decimal" w:pos="572"/>
              </w:tabs>
              <w:rPr>
                <w:sz w:val="18"/>
              </w:rPr>
            </w:pPr>
            <w:r>
              <w:rPr>
                <w:sz w:val="18"/>
              </w:rPr>
              <w:t>53.22</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48.14</w:t>
            </w:r>
          </w:p>
        </w:tc>
        <w:tc>
          <w:tcPr>
            <w:tcW w:w="467" w:type="pct"/>
            <w:tcBorders>
              <w:top w:val="nil"/>
            </w:tcBorders>
          </w:tcPr>
          <w:p w:rsidR="00000000" w:rsidRDefault="00844A84">
            <w:pPr>
              <w:pStyle w:val="a2"/>
              <w:tabs>
                <w:tab w:val="decimal" w:pos="572"/>
              </w:tabs>
              <w:rPr>
                <w:sz w:val="18"/>
              </w:rPr>
            </w:pPr>
            <w:r>
              <w:rPr>
                <w:sz w:val="18"/>
              </w:rPr>
              <w:t>51.86</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43.77</w:t>
            </w:r>
          </w:p>
        </w:tc>
        <w:tc>
          <w:tcPr>
            <w:tcW w:w="467" w:type="pct"/>
            <w:tcBorders>
              <w:top w:val="nil"/>
            </w:tcBorders>
          </w:tcPr>
          <w:p w:rsidR="00000000" w:rsidRDefault="00844A84">
            <w:pPr>
              <w:pStyle w:val="a2"/>
              <w:tabs>
                <w:tab w:val="decimal" w:pos="572"/>
              </w:tabs>
              <w:jc w:val="left"/>
              <w:rPr>
                <w:sz w:val="18"/>
              </w:rPr>
            </w:pPr>
            <w:r>
              <w:rPr>
                <w:sz w:val="18"/>
              </w:rPr>
              <w:t>56.23</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1996/97</w:t>
            </w:r>
          </w:p>
        </w:tc>
        <w:tc>
          <w:tcPr>
            <w:tcW w:w="467" w:type="pct"/>
            <w:tcBorders>
              <w:bottom w:val="nil"/>
            </w:tcBorders>
          </w:tcPr>
          <w:p w:rsidR="00000000" w:rsidRDefault="00844A84">
            <w:pPr>
              <w:pStyle w:val="a2"/>
              <w:tabs>
                <w:tab w:val="decimal" w:pos="572"/>
              </w:tabs>
              <w:rPr>
                <w:sz w:val="18"/>
              </w:rPr>
            </w:pPr>
            <w:r>
              <w:rPr>
                <w:sz w:val="18"/>
              </w:rPr>
              <w:t>165,593</w:t>
            </w:r>
          </w:p>
        </w:tc>
        <w:tc>
          <w:tcPr>
            <w:tcW w:w="467" w:type="pct"/>
            <w:tcBorders>
              <w:bottom w:val="nil"/>
            </w:tcBorders>
          </w:tcPr>
          <w:p w:rsidR="00000000" w:rsidRDefault="00844A84">
            <w:pPr>
              <w:pStyle w:val="a2"/>
              <w:tabs>
                <w:tab w:val="decimal" w:pos="572"/>
              </w:tabs>
              <w:rPr>
                <w:sz w:val="18"/>
              </w:rPr>
            </w:pPr>
            <w:r>
              <w:rPr>
                <w:sz w:val="18"/>
              </w:rPr>
              <w:t>76,453</w:t>
            </w:r>
          </w:p>
        </w:tc>
        <w:tc>
          <w:tcPr>
            <w:tcW w:w="467" w:type="pct"/>
            <w:tcBorders>
              <w:bottom w:val="nil"/>
            </w:tcBorders>
          </w:tcPr>
          <w:p w:rsidR="00000000" w:rsidRDefault="00844A84">
            <w:pPr>
              <w:pStyle w:val="a2"/>
              <w:tabs>
                <w:tab w:val="decimal" w:pos="572"/>
              </w:tabs>
              <w:rPr>
                <w:sz w:val="18"/>
              </w:rPr>
            </w:pPr>
            <w:r>
              <w:rPr>
                <w:sz w:val="18"/>
              </w:rPr>
              <w:t>89,140</w:t>
            </w:r>
          </w:p>
        </w:tc>
        <w:tc>
          <w:tcPr>
            <w:tcW w:w="467" w:type="pct"/>
            <w:tcBorders>
              <w:bottom w:val="nil"/>
            </w:tcBorders>
          </w:tcPr>
          <w:p w:rsidR="00000000" w:rsidRDefault="00844A84">
            <w:pPr>
              <w:pStyle w:val="a2"/>
              <w:tabs>
                <w:tab w:val="decimal" w:pos="572"/>
              </w:tabs>
              <w:rPr>
                <w:sz w:val="18"/>
              </w:rPr>
            </w:pPr>
            <w:r>
              <w:rPr>
                <w:sz w:val="18"/>
              </w:rPr>
              <w:t>101,144</w:t>
            </w:r>
          </w:p>
        </w:tc>
        <w:tc>
          <w:tcPr>
            <w:tcW w:w="467" w:type="pct"/>
            <w:tcBorders>
              <w:bottom w:val="nil"/>
            </w:tcBorders>
          </w:tcPr>
          <w:p w:rsidR="00000000" w:rsidRDefault="00844A84">
            <w:pPr>
              <w:pStyle w:val="a2"/>
              <w:tabs>
                <w:tab w:val="decimal" w:pos="572"/>
              </w:tabs>
              <w:rPr>
                <w:sz w:val="18"/>
              </w:rPr>
            </w:pPr>
            <w:r>
              <w:rPr>
                <w:sz w:val="18"/>
              </w:rPr>
              <w:t>47,762</w:t>
            </w:r>
          </w:p>
        </w:tc>
        <w:tc>
          <w:tcPr>
            <w:tcW w:w="467" w:type="pct"/>
            <w:tcBorders>
              <w:bottom w:val="nil"/>
            </w:tcBorders>
          </w:tcPr>
          <w:p w:rsidR="00000000" w:rsidRDefault="00844A84">
            <w:pPr>
              <w:pStyle w:val="a2"/>
              <w:tabs>
                <w:tab w:val="decimal" w:pos="572"/>
              </w:tabs>
              <w:rPr>
                <w:sz w:val="18"/>
              </w:rPr>
            </w:pPr>
            <w:r>
              <w:rPr>
                <w:sz w:val="18"/>
              </w:rPr>
              <w:t>53,382</w:t>
            </w:r>
          </w:p>
        </w:tc>
        <w:tc>
          <w:tcPr>
            <w:tcW w:w="325" w:type="pct"/>
            <w:tcBorders>
              <w:bottom w:val="nil"/>
            </w:tcBorders>
          </w:tcPr>
          <w:p w:rsidR="00000000" w:rsidRDefault="00844A84">
            <w:pPr>
              <w:pStyle w:val="a2"/>
              <w:tabs>
                <w:tab w:val="decimal" w:pos="501"/>
              </w:tabs>
              <w:jc w:val="center"/>
              <w:rPr>
                <w:sz w:val="18"/>
              </w:rPr>
            </w:pPr>
            <w:r>
              <w:rPr>
                <w:sz w:val="18"/>
              </w:rPr>
              <w:t>1997</w:t>
            </w:r>
          </w:p>
        </w:tc>
        <w:tc>
          <w:tcPr>
            <w:tcW w:w="467" w:type="pct"/>
            <w:tcBorders>
              <w:bottom w:val="nil"/>
            </w:tcBorders>
          </w:tcPr>
          <w:p w:rsidR="00000000" w:rsidRDefault="00844A84">
            <w:pPr>
              <w:pStyle w:val="a2"/>
              <w:tabs>
                <w:tab w:val="decimal" w:pos="572"/>
              </w:tabs>
              <w:jc w:val="left"/>
              <w:rPr>
                <w:sz w:val="18"/>
              </w:rPr>
            </w:pPr>
            <w:r>
              <w:rPr>
                <w:sz w:val="18"/>
              </w:rPr>
              <w:t>15,100</w:t>
            </w:r>
          </w:p>
        </w:tc>
        <w:tc>
          <w:tcPr>
            <w:tcW w:w="467" w:type="pct"/>
            <w:tcBorders>
              <w:bottom w:val="nil"/>
            </w:tcBorders>
          </w:tcPr>
          <w:p w:rsidR="00000000" w:rsidRDefault="00844A84">
            <w:pPr>
              <w:pStyle w:val="a2"/>
              <w:tabs>
                <w:tab w:val="decimal" w:pos="572"/>
              </w:tabs>
              <w:jc w:val="left"/>
              <w:rPr>
                <w:sz w:val="18"/>
              </w:rPr>
            </w:pPr>
            <w:r>
              <w:rPr>
                <w:sz w:val="18"/>
              </w:rPr>
              <w:t>6,635</w:t>
            </w:r>
          </w:p>
        </w:tc>
        <w:tc>
          <w:tcPr>
            <w:tcW w:w="467" w:type="pct"/>
            <w:tcBorders>
              <w:bottom w:val="nil"/>
            </w:tcBorders>
          </w:tcPr>
          <w:p w:rsidR="00000000" w:rsidRDefault="00844A84">
            <w:pPr>
              <w:pStyle w:val="a2"/>
              <w:tabs>
                <w:tab w:val="decimal" w:pos="572"/>
              </w:tabs>
              <w:jc w:val="left"/>
              <w:rPr>
                <w:sz w:val="18"/>
              </w:rPr>
            </w:pPr>
            <w:r>
              <w:rPr>
                <w:sz w:val="18"/>
              </w:rPr>
              <w:t>8,465</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46.17</w:t>
            </w:r>
          </w:p>
        </w:tc>
        <w:tc>
          <w:tcPr>
            <w:tcW w:w="467" w:type="pct"/>
            <w:tcBorders>
              <w:top w:val="nil"/>
            </w:tcBorders>
          </w:tcPr>
          <w:p w:rsidR="00000000" w:rsidRDefault="00844A84">
            <w:pPr>
              <w:pStyle w:val="a2"/>
              <w:tabs>
                <w:tab w:val="decimal" w:pos="572"/>
              </w:tabs>
              <w:rPr>
                <w:sz w:val="18"/>
              </w:rPr>
            </w:pPr>
            <w:r>
              <w:rPr>
                <w:sz w:val="18"/>
              </w:rPr>
              <w:t>53.83</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47.22</w:t>
            </w:r>
          </w:p>
        </w:tc>
        <w:tc>
          <w:tcPr>
            <w:tcW w:w="467" w:type="pct"/>
            <w:tcBorders>
              <w:top w:val="nil"/>
            </w:tcBorders>
          </w:tcPr>
          <w:p w:rsidR="00000000" w:rsidRDefault="00844A84">
            <w:pPr>
              <w:pStyle w:val="a2"/>
              <w:tabs>
                <w:tab w:val="decimal" w:pos="572"/>
              </w:tabs>
              <w:rPr>
                <w:sz w:val="18"/>
              </w:rPr>
            </w:pPr>
            <w:r>
              <w:rPr>
                <w:sz w:val="18"/>
              </w:rPr>
              <w:t>52.78</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43.94</w:t>
            </w:r>
          </w:p>
        </w:tc>
        <w:tc>
          <w:tcPr>
            <w:tcW w:w="467" w:type="pct"/>
            <w:tcBorders>
              <w:top w:val="nil"/>
            </w:tcBorders>
          </w:tcPr>
          <w:p w:rsidR="00000000" w:rsidRDefault="00844A84">
            <w:pPr>
              <w:pStyle w:val="a2"/>
              <w:tabs>
                <w:tab w:val="decimal" w:pos="572"/>
              </w:tabs>
              <w:jc w:val="left"/>
              <w:rPr>
                <w:sz w:val="18"/>
              </w:rPr>
            </w:pPr>
            <w:r>
              <w:rPr>
                <w:sz w:val="18"/>
              </w:rPr>
              <w:t>56.06</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1997/98</w:t>
            </w:r>
          </w:p>
        </w:tc>
        <w:tc>
          <w:tcPr>
            <w:tcW w:w="467" w:type="pct"/>
            <w:tcBorders>
              <w:bottom w:val="nil"/>
            </w:tcBorders>
          </w:tcPr>
          <w:p w:rsidR="00000000" w:rsidRDefault="00844A84">
            <w:pPr>
              <w:pStyle w:val="a2"/>
              <w:tabs>
                <w:tab w:val="decimal" w:pos="572"/>
              </w:tabs>
              <w:rPr>
                <w:sz w:val="18"/>
              </w:rPr>
            </w:pPr>
            <w:r>
              <w:rPr>
                <w:sz w:val="18"/>
              </w:rPr>
              <w:t>182,209</w:t>
            </w:r>
          </w:p>
        </w:tc>
        <w:tc>
          <w:tcPr>
            <w:tcW w:w="467" w:type="pct"/>
            <w:tcBorders>
              <w:bottom w:val="nil"/>
            </w:tcBorders>
          </w:tcPr>
          <w:p w:rsidR="00000000" w:rsidRDefault="00844A84">
            <w:pPr>
              <w:pStyle w:val="a2"/>
              <w:tabs>
                <w:tab w:val="decimal" w:pos="572"/>
              </w:tabs>
              <w:rPr>
                <w:sz w:val="18"/>
              </w:rPr>
            </w:pPr>
            <w:r>
              <w:rPr>
                <w:sz w:val="18"/>
              </w:rPr>
              <w:t>84,036</w:t>
            </w:r>
          </w:p>
        </w:tc>
        <w:tc>
          <w:tcPr>
            <w:tcW w:w="467" w:type="pct"/>
            <w:tcBorders>
              <w:bottom w:val="nil"/>
            </w:tcBorders>
          </w:tcPr>
          <w:p w:rsidR="00000000" w:rsidRDefault="00844A84">
            <w:pPr>
              <w:pStyle w:val="a2"/>
              <w:tabs>
                <w:tab w:val="decimal" w:pos="572"/>
              </w:tabs>
              <w:rPr>
                <w:sz w:val="18"/>
              </w:rPr>
            </w:pPr>
            <w:r>
              <w:rPr>
                <w:sz w:val="18"/>
              </w:rPr>
              <w:t>98,173</w:t>
            </w:r>
          </w:p>
        </w:tc>
        <w:tc>
          <w:tcPr>
            <w:tcW w:w="467" w:type="pct"/>
            <w:tcBorders>
              <w:bottom w:val="nil"/>
            </w:tcBorders>
          </w:tcPr>
          <w:p w:rsidR="00000000" w:rsidRDefault="00844A84">
            <w:pPr>
              <w:pStyle w:val="a2"/>
              <w:tabs>
                <w:tab w:val="decimal" w:pos="572"/>
              </w:tabs>
              <w:rPr>
                <w:sz w:val="18"/>
              </w:rPr>
            </w:pPr>
            <w:r>
              <w:rPr>
                <w:sz w:val="18"/>
              </w:rPr>
              <w:t>105,537</w:t>
            </w:r>
          </w:p>
        </w:tc>
        <w:tc>
          <w:tcPr>
            <w:tcW w:w="467" w:type="pct"/>
            <w:tcBorders>
              <w:bottom w:val="nil"/>
            </w:tcBorders>
          </w:tcPr>
          <w:p w:rsidR="00000000" w:rsidRDefault="00844A84">
            <w:pPr>
              <w:pStyle w:val="a2"/>
              <w:tabs>
                <w:tab w:val="decimal" w:pos="572"/>
              </w:tabs>
              <w:rPr>
                <w:sz w:val="18"/>
              </w:rPr>
            </w:pPr>
            <w:r>
              <w:rPr>
                <w:sz w:val="18"/>
              </w:rPr>
              <w:t>49,429</w:t>
            </w:r>
          </w:p>
        </w:tc>
        <w:tc>
          <w:tcPr>
            <w:tcW w:w="467" w:type="pct"/>
            <w:tcBorders>
              <w:bottom w:val="nil"/>
            </w:tcBorders>
          </w:tcPr>
          <w:p w:rsidR="00000000" w:rsidRDefault="00844A84">
            <w:pPr>
              <w:pStyle w:val="a2"/>
              <w:tabs>
                <w:tab w:val="decimal" w:pos="572"/>
              </w:tabs>
              <w:rPr>
                <w:sz w:val="18"/>
              </w:rPr>
            </w:pPr>
            <w:r>
              <w:rPr>
                <w:sz w:val="18"/>
              </w:rPr>
              <w:t>56,108</w:t>
            </w:r>
          </w:p>
        </w:tc>
        <w:tc>
          <w:tcPr>
            <w:tcW w:w="325" w:type="pct"/>
            <w:tcBorders>
              <w:bottom w:val="nil"/>
            </w:tcBorders>
          </w:tcPr>
          <w:p w:rsidR="00000000" w:rsidRDefault="00844A84">
            <w:pPr>
              <w:pStyle w:val="a2"/>
              <w:tabs>
                <w:tab w:val="decimal" w:pos="501"/>
              </w:tabs>
              <w:jc w:val="center"/>
              <w:rPr>
                <w:sz w:val="18"/>
              </w:rPr>
            </w:pPr>
            <w:r>
              <w:rPr>
                <w:sz w:val="18"/>
              </w:rPr>
              <w:t>1998</w:t>
            </w:r>
          </w:p>
        </w:tc>
        <w:tc>
          <w:tcPr>
            <w:tcW w:w="467" w:type="pct"/>
            <w:tcBorders>
              <w:bottom w:val="nil"/>
            </w:tcBorders>
          </w:tcPr>
          <w:p w:rsidR="00000000" w:rsidRDefault="00844A84">
            <w:pPr>
              <w:pStyle w:val="a2"/>
              <w:tabs>
                <w:tab w:val="decimal" w:pos="572"/>
              </w:tabs>
              <w:jc w:val="left"/>
              <w:rPr>
                <w:sz w:val="18"/>
              </w:rPr>
            </w:pPr>
            <w:r>
              <w:rPr>
                <w:sz w:val="18"/>
              </w:rPr>
              <w:t>16,573</w:t>
            </w:r>
          </w:p>
        </w:tc>
        <w:tc>
          <w:tcPr>
            <w:tcW w:w="467" w:type="pct"/>
            <w:tcBorders>
              <w:bottom w:val="nil"/>
            </w:tcBorders>
          </w:tcPr>
          <w:p w:rsidR="00000000" w:rsidRDefault="00844A84">
            <w:pPr>
              <w:pStyle w:val="a2"/>
              <w:tabs>
                <w:tab w:val="decimal" w:pos="572"/>
              </w:tabs>
              <w:jc w:val="left"/>
              <w:rPr>
                <w:sz w:val="18"/>
              </w:rPr>
            </w:pPr>
            <w:r>
              <w:rPr>
                <w:sz w:val="18"/>
              </w:rPr>
              <w:t>6</w:t>
            </w:r>
            <w:r>
              <w:rPr>
                <w:sz w:val="18"/>
              </w:rPr>
              <w:t>,762</w:t>
            </w:r>
          </w:p>
        </w:tc>
        <w:tc>
          <w:tcPr>
            <w:tcW w:w="467" w:type="pct"/>
            <w:tcBorders>
              <w:bottom w:val="nil"/>
            </w:tcBorders>
          </w:tcPr>
          <w:p w:rsidR="00000000" w:rsidRDefault="00844A84">
            <w:pPr>
              <w:pStyle w:val="a2"/>
              <w:tabs>
                <w:tab w:val="decimal" w:pos="572"/>
              </w:tabs>
              <w:jc w:val="left"/>
              <w:rPr>
                <w:sz w:val="18"/>
              </w:rPr>
            </w:pPr>
            <w:r>
              <w:rPr>
                <w:sz w:val="18"/>
              </w:rPr>
              <w:t>9,811</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46.12</w:t>
            </w:r>
          </w:p>
        </w:tc>
        <w:tc>
          <w:tcPr>
            <w:tcW w:w="467" w:type="pct"/>
            <w:tcBorders>
              <w:top w:val="nil"/>
            </w:tcBorders>
          </w:tcPr>
          <w:p w:rsidR="00000000" w:rsidRDefault="00844A84">
            <w:pPr>
              <w:pStyle w:val="a2"/>
              <w:tabs>
                <w:tab w:val="decimal" w:pos="572"/>
              </w:tabs>
              <w:rPr>
                <w:sz w:val="18"/>
              </w:rPr>
            </w:pPr>
            <w:r>
              <w:rPr>
                <w:sz w:val="18"/>
              </w:rPr>
              <w:t>53.88</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46.84</w:t>
            </w:r>
          </w:p>
        </w:tc>
        <w:tc>
          <w:tcPr>
            <w:tcW w:w="467" w:type="pct"/>
            <w:tcBorders>
              <w:top w:val="nil"/>
            </w:tcBorders>
          </w:tcPr>
          <w:p w:rsidR="00000000" w:rsidRDefault="00844A84">
            <w:pPr>
              <w:pStyle w:val="a2"/>
              <w:tabs>
                <w:tab w:val="decimal" w:pos="572"/>
              </w:tabs>
              <w:rPr>
                <w:sz w:val="18"/>
              </w:rPr>
            </w:pPr>
            <w:r>
              <w:rPr>
                <w:sz w:val="18"/>
              </w:rPr>
              <w:t>53.16</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40.80</w:t>
            </w:r>
          </w:p>
        </w:tc>
        <w:tc>
          <w:tcPr>
            <w:tcW w:w="467" w:type="pct"/>
            <w:tcBorders>
              <w:top w:val="nil"/>
            </w:tcBorders>
          </w:tcPr>
          <w:p w:rsidR="00000000" w:rsidRDefault="00844A84">
            <w:pPr>
              <w:pStyle w:val="a2"/>
              <w:tabs>
                <w:tab w:val="decimal" w:pos="572"/>
              </w:tabs>
              <w:jc w:val="left"/>
              <w:rPr>
                <w:sz w:val="18"/>
              </w:rPr>
            </w:pPr>
            <w:r>
              <w:rPr>
                <w:sz w:val="18"/>
              </w:rPr>
              <w:t>59.20</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1998/99</w:t>
            </w:r>
          </w:p>
        </w:tc>
        <w:tc>
          <w:tcPr>
            <w:tcW w:w="467" w:type="pct"/>
            <w:tcBorders>
              <w:bottom w:val="nil"/>
            </w:tcBorders>
          </w:tcPr>
          <w:p w:rsidR="00000000" w:rsidRDefault="00844A84">
            <w:pPr>
              <w:pStyle w:val="a2"/>
              <w:tabs>
                <w:tab w:val="decimal" w:pos="572"/>
              </w:tabs>
              <w:rPr>
                <w:sz w:val="18"/>
              </w:rPr>
            </w:pPr>
            <w:r>
              <w:rPr>
                <w:sz w:val="18"/>
              </w:rPr>
              <w:t>197,202</w:t>
            </w:r>
          </w:p>
        </w:tc>
        <w:tc>
          <w:tcPr>
            <w:tcW w:w="467" w:type="pct"/>
            <w:tcBorders>
              <w:bottom w:val="nil"/>
            </w:tcBorders>
          </w:tcPr>
          <w:p w:rsidR="00000000" w:rsidRDefault="00844A84">
            <w:pPr>
              <w:pStyle w:val="a2"/>
              <w:tabs>
                <w:tab w:val="decimal" w:pos="572"/>
              </w:tabs>
              <w:rPr>
                <w:sz w:val="18"/>
              </w:rPr>
            </w:pPr>
            <w:r>
              <w:rPr>
                <w:sz w:val="18"/>
              </w:rPr>
              <w:t>92,365</w:t>
            </w:r>
          </w:p>
        </w:tc>
        <w:tc>
          <w:tcPr>
            <w:tcW w:w="467" w:type="pct"/>
            <w:tcBorders>
              <w:bottom w:val="nil"/>
            </w:tcBorders>
          </w:tcPr>
          <w:p w:rsidR="00000000" w:rsidRDefault="00844A84">
            <w:pPr>
              <w:pStyle w:val="a2"/>
              <w:tabs>
                <w:tab w:val="decimal" w:pos="572"/>
              </w:tabs>
              <w:rPr>
                <w:sz w:val="18"/>
              </w:rPr>
            </w:pPr>
            <w:r>
              <w:rPr>
                <w:sz w:val="18"/>
              </w:rPr>
              <w:t>104,837</w:t>
            </w:r>
          </w:p>
        </w:tc>
        <w:tc>
          <w:tcPr>
            <w:tcW w:w="467" w:type="pct"/>
            <w:tcBorders>
              <w:bottom w:val="nil"/>
            </w:tcBorders>
          </w:tcPr>
          <w:p w:rsidR="00000000" w:rsidRDefault="00844A84">
            <w:pPr>
              <w:pStyle w:val="a2"/>
              <w:tabs>
                <w:tab w:val="decimal" w:pos="572"/>
              </w:tabs>
              <w:rPr>
                <w:sz w:val="18"/>
              </w:rPr>
            </w:pPr>
            <w:r>
              <w:rPr>
                <w:sz w:val="18"/>
              </w:rPr>
              <w:t>107,444</w:t>
            </w:r>
          </w:p>
        </w:tc>
        <w:tc>
          <w:tcPr>
            <w:tcW w:w="467" w:type="pct"/>
            <w:tcBorders>
              <w:bottom w:val="nil"/>
            </w:tcBorders>
          </w:tcPr>
          <w:p w:rsidR="00000000" w:rsidRDefault="00844A84">
            <w:pPr>
              <w:pStyle w:val="a2"/>
              <w:tabs>
                <w:tab w:val="decimal" w:pos="572"/>
              </w:tabs>
              <w:rPr>
                <w:sz w:val="18"/>
              </w:rPr>
            </w:pPr>
            <w:r>
              <w:rPr>
                <w:sz w:val="18"/>
              </w:rPr>
              <w:t>50,839</w:t>
            </w:r>
          </w:p>
        </w:tc>
        <w:tc>
          <w:tcPr>
            <w:tcW w:w="467" w:type="pct"/>
            <w:tcBorders>
              <w:bottom w:val="nil"/>
            </w:tcBorders>
          </w:tcPr>
          <w:p w:rsidR="00000000" w:rsidRDefault="00844A84">
            <w:pPr>
              <w:pStyle w:val="a2"/>
              <w:tabs>
                <w:tab w:val="decimal" w:pos="572"/>
              </w:tabs>
              <w:rPr>
                <w:sz w:val="18"/>
              </w:rPr>
            </w:pPr>
            <w:r>
              <w:rPr>
                <w:sz w:val="18"/>
              </w:rPr>
              <w:t>56,605</w:t>
            </w:r>
          </w:p>
        </w:tc>
        <w:tc>
          <w:tcPr>
            <w:tcW w:w="325" w:type="pct"/>
            <w:tcBorders>
              <w:bottom w:val="nil"/>
            </w:tcBorders>
          </w:tcPr>
          <w:p w:rsidR="00000000" w:rsidRDefault="00844A84">
            <w:pPr>
              <w:pStyle w:val="a2"/>
              <w:tabs>
                <w:tab w:val="decimal" w:pos="501"/>
              </w:tabs>
              <w:jc w:val="center"/>
              <w:rPr>
                <w:sz w:val="18"/>
              </w:rPr>
            </w:pPr>
            <w:r>
              <w:rPr>
                <w:sz w:val="18"/>
              </w:rPr>
              <w:t>1999</w:t>
            </w:r>
          </w:p>
        </w:tc>
        <w:tc>
          <w:tcPr>
            <w:tcW w:w="467" w:type="pct"/>
            <w:tcBorders>
              <w:bottom w:val="nil"/>
            </w:tcBorders>
          </w:tcPr>
          <w:p w:rsidR="00000000" w:rsidRDefault="00844A84">
            <w:pPr>
              <w:pStyle w:val="a2"/>
              <w:tabs>
                <w:tab w:val="decimal" w:pos="572"/>
              </w:tabs>
              <w:jc w:val="left"/>
              <w:rPr>
                <w:sz w:val="18"/>
              </w:rPr>
            </w:pPr>
            <w:r>
              <w:rPr>
                <w:sz w:val="18"/>
              </w:rPr>
              <w:t>15,607</w:t>
            </w:r>
          </w:p>
        </w:tc>
        <w:tc>
          <w:tcPr>
            <w:tcW w:w="467" w:type="pct"/>
            <w:tcBorders>
              <w:bottom w:val="nil"/>
            </w:tcBorders>
          </w:tcPr>
          <w:p w:rsidR="00000000" w:rsidRDefault="00844A84">
            <w:pPr>
              <w:pStyle w:val="a2"/>
              <w:tabs>
                <w:tab w:val="decimal" w:pos="572"/>
              </w:tabs>
              <w:jc w:val="left"/>
              <w:rPr>
                <w:sz w:val="18"/>
              </w:rPr>
            </w:pPr>
            <w:r>
              <w:rPr>
                <w:sz w:val="18"/>
              </w:rPr>
              <w:t>6,430</w:t>
            </w:r>
          </w:p>
        </w:tc>
        <w:tc>
          <w:tcPr>
            <w:tcW w:w="467" w:type="pct"/>
            <w:tcBorders>
              <w:bottom w:val="nil"/>
            </w:tcBorders>
          </w:tcPr>
          <w:p w:rsidR="00000000" w:rsidRDefault="00844A84">
            <w:pPr>
              <w:pStyle w:val="a2"/>
              <w:tabs>
                <w:tab w:val="decimal" w:pos="572"/>
              </w:tabs>
              <w:jc w:val="left"/>
              <w:rPr>
                <w:sz w:val="18"/>
              </w:rPr>
            </w:pPr>
            <w:r>
              <w:rPr>
                <w:sz w:val="18"/>
              </w:rPr>
              <w:t>9,177</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46.84</w:t>
            </w:r>
          </w:p>
        </w:tc>
        <w:tc>
          <w:tcPr>
            <w:tcW w:w="467" w:type="pct"/>
            <w:tcBorders>
              <w:top w:val="nil"/>
            </w:tcBorders>
          </w:tcPr>
          <w:p w:rsidR="00000000" w:rsidRDefault="00844A84">
            <w:pPr>
              <w:pStyle w:val="a2"/>
              <w:tabs>
                <w:tab w:val="decimal" w:pos="572"/>
              </w:tabs>
              <w:rPr>
                <w:sz w:val="18"/>
              </w:rPr>
            </w:pPr>
            <w:r>
              <w:rPr>
                <w:sz w:val="18"/>
              </w:rPr>
              <w:t>53.16</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47.32</w:t>
            </w:r>
          </w:p>
        </w:tc>
        <w:tc>
          <w:tcPr>
            <w:tcW w:w="467" w:type="pct"/>
            <w:tcBorders>
              <w:top w:val="nil"/>
            </w:tcBorders>
          </w:tcPr>
          <w:p w:rsidR="00000000" w:rsidRDefault="00844A84">
            <w:pPr>
              <w:pStyle w:val="a2"/>
              <w:tabs>
                <w:tab w:val="decimal" w:pos="572"/>
              </w:tabs>
              <w:rPr>
                <w:sz w:val="18"/>
              </w:rPr>
            </w:pPr>
            <w:r>
              <w:rPr>
                <w:sz w:val="18"/>
              </w:rPr>
              <w:t>52.68</w:t>
            </w:r>
          </w:p>
        </w:tc>
        <w:tc>
          <w:tcPr>
            <w:tcW w:w="325" w:type="pct"/>
            <w:tcBorders>
              <w:top w:val="nil"/>
            </w:tcBorders>
          </w:tcPr>
          <w:p w:rsidR="00000000" w:rsidRDefault="00844A84">
            <w:pPr>
              <w:pStyle w:val="a2"/>
              <w:tabs>
                <w:tab w:val="decimal" w:pos="501"/>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41.20</w:t>
            </w:r>
          </w:p>
        </w:tc>
        <w:tc>
          <w:tcPr>
            <w:tcW w:w="467" w:type="pct"/>
            <w:tcBorders>
              <w:top w:val="nil"/>
            </w:tcBorders>
          </w:tcPr>
          <w:p w:rsidR="00000000" w:rsidRDefault="00844A84">
            <w:pPr>
              <w:pStyle w:val="a2"/>
              <w:tabs>
                <w:tab w:val="decimal" w:pos="572"/>
              </w:tabs>
              <w:jc w:val="left"/>
              <w:rPr>
                <w:sz w:val="18"/>
              </w:rPr>
            </w:pPr>
            <w:r>
              <w:rPr>
                <w:sz w:val="18"/>
              </w:rPr>
              <w:t>58.80</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1999/00</w:t>
            </w:r>
          </w:p>
        </w:tc>
        <w:tc>
          <w:tcPr>
            <w:tcW w:w="467" w:type="pct"/>
            <w:tcBorders>
              <w:bottom w:val="nil"/>
            </w:tcBorders>
          </w:tcPr>
          <w:p w:rsidR="00000000" w:rsidRDefault="00844A84">
            <w:pPr>
              <w:pStyle w:val="a2"/>
              <w:tabs>
                <w:tab w:val="decimal" w:pos="572"/>
              </w:tabs>
              <w:rPr>
                <w:sz w:val="18"/>
              </w:rPr>
            </w:pPr>
            <w:r>
              <w:rPr>
                <w:sz w:val="18"/>
              </w:rPr>
              <w:t>217,787</w:t>
            </w:r>
          </w:p>
        </w:tc>
        <w:tc>
          <w:tcPr>
            <w:tcW w:w="467" w:type="pct"/>
            <w:tcBorders>
              <w:bottom w:val="nil"/>
            </w:tcBorders>
          </w:tcPr>
          <w:p w:rsidR="00000000" w:rsidRDefault="00844A84">
            <w:pPr>
              <w:pStyle w:val="a2"/>
              <w:tabs>
                <w:tab w:val="decimal" w:pos="572"/>
              </w:tabs>
              <w:rPr>
                <w:sz w:val="18"/>
              </w:rPr>
            </w:pPr>
            <w:r>
              <w:rPr>
                <w:sz w:val="18"/>
              </w:rPr>
              <w:t>102,395</w:t>
            </w:r>
          </w:p>
        </w:tc>
        <w:tc>
          <w:tcPr>
            <w:tcW w:w="467" w:type="pct"/>
            <w:tcBorders>
              <w:bottom w:val="nil"/>
            </w:tcBorders>
          </w:tcPr>
          <w:p w:rsidR="00000000" w:rsidRDefault="00844A84">
            <w:pPr>
              <w:pStyle w:val="a2"/>
              <w:tabs>
                <w:tab w:val="decimal" w:pos="572"/>
              </w:tabs>
              <w:rPr>
                <w:sz w:val="18"/>
              </w:rPr>
            </w:pPr>
            <w:r>
              <w:rPr>
                <w:sz w:val="18"/>
              </w:rPr>
              <w:t>115,392</w:t>
            </w:r>
          </w:p>
        </w:tc>
        <w:tc>
          <w:tcPr>
            <w:tcW w:w="467" w:type="pct"/>
            <w:tcBorders>
              <w:bottom w:val="nil"/>
            </w:tcBorders>
          </w:tcPr>
          <w:p w:rsidR="00000000" w:rsidRDefault="00844A84">
            <w:pPr>
              <w:pStyle w:val="a2"/>
              <w:tabs>
                <w:tab w:val="decimal" w:pos="572"/>
              </w:tabs>
              <w:rPr>
                <w:sz w:val="18"/>
              </w:rPr>
            </w:pPr>
            <w:r>
              <w:rPr>
                <w:sz w:val="18"/>
              </w:rPr>
              <w:t>109,187</w:t>
            </w:r>
          </w:p>
        </w:tc>
        <w:tc>
          <w:tcPr>
            <w:tcW w:w="467" w:type="pct"/>
            <w:tcBorders>
              <w:bottom w:val="nil"/>
            </w:tcBorders>
          </w:tcPr>
          <w:p w:rsidR="00000000" w:rsidRDefault="00844A84">
            <w:pPr>
              <w:pStyle w:val="a2"/>
              <w:tabs>
                <w:tab w:val="decimal" w:pos="572"/>
              </w:tabs>
              <w:rPr>
                <w:sz w:val="18"/>
              </w:rPr>
            </w:pPr>
            <w:r>
              <w:rPr>
                <w:sz w:val="18"/>
              </w:rPr>
              <w:t>52,628</w:t>
            </w:r>
          </w:p>
        </w:tc>
        <w:tc>
          <w:tcPr>
            <w:tcW w:w="467" w:type="pct"/>
            <w:tcBorders>
              <w:bottom w:val="nil"/>
            </w:tcBorders>
          </w:tcPr>
          <w:p w:rsidR="00000000" w:rsidRDefault="00844A84">
            <w:pPr>
              <w:pStyle w:val="a2"/>
              <w:tabs>
                <w:tab w:val="decimal" w:pos="572"/>
              </w:tabs>
              <w:rPr>
                <w:sz w:val="18"/>
              </w:rPr>
            </w:pPr>
            <w:r>
              <w:rPr>
                <w:sz w:val="18"/>
              </w:rPr>
              <w:t>56,559</w:t>
            </w:r>
          </w:p>
        </w:tc>
        <w:tc>
          <w:tcPr>
            <w:tcW w:w="325" w:type="pct"/>
            <w:tcBorders>
              <w:bottom w:val="nil"/>
            </w:tcBorders>
          </w:tcPr>
          <w:p w:rsidR="00000000" w:rsidRDefault="00844A84">
            <w:pPr>
              <w:pStyle w:val="a2"/>
              <w:tabs>
                <w:tab w:val="decimal" w:pos="501"/>
              </w:tabs>
              <w:jc w:val="center"/>
              <w:rPr>
                <w:sz w:val="18"/>
              </w:rPr>
            </w:pPr>
            <w:r>
              <w:rPr>
                <w:sz w:val="18"/>
              </w:rPr>
              <w:t>2000</w:t>
            </w:r>
          </w:p>
        </w:tc>
        <w:tc>
          <w:tcPr>
            <w:tcW w:w="467" w:type="pct"/>
            <w:tcBorders>
              <w:bottom w:val="nil"/>
            </w:tcBorders>
          </w:tcPr>
          <w:p w:rsidR="00000000" w:rsidRDefault="00844A84">
            <w:pPr>
              <w:pStyle w:val="a2"/>
              <w:tabs>
                <w:tab w:val="decimal" w:pos="572"/>
              </w:tabs>
              <w:jc w:val="left"/>
              <w:rPr>
                <w:sz w:val="18"/>
              </w:rPr>
            </w:pPr>
            <w:r>
              <w:rPr>
                <w:sz w:val="18"/>
              </w:rPr>
              <w:t>16,226</w:t>
            </w:r>
          </w:p>
        </w:tc>
        <w:tc>
          <w:tcPr>
            <w:tcW w:w="467" w:type="pct"/>
            <w:tcBorders>
              <w:bottom w:val="nil"/>
            </w:tcBorders>
          </w:tcPr>
          <w:p w:rsidR="00000000" w:rsidRDefault="00844A84">
            <w:pPr>
              <w:pStyle w:val="a2"/>
              <w:tabs>
                <w:tab w:val="decimal" w:pos="572"/>
              </w:tabs>
              <w:jc w:val="left"/>
              <w:rPr>
                <w:sz w:val="18"/>
              </w:rPr>
            </w:pPr>
            <w:r>
              <w:rPr>
                <w:sz w:val="18"/>
              </w:rPr>
              <w:t>6,817</w:t>
            </w:r>
          </w:p>
        </w:tc>
        <w:tc>
          <w:tcPr>
            <w:tcW w:w="467" w:type="pct"/>
            <w:tcBorders>
              <w:bottom w:val="nil"/>
            </w:tcBorders>
          </w:tcPr>
          <w:p w:rsidR="00000000" w:rsidRDefault="00844A84">
            <w:pPr>
              <w:pStyle w:val="a2"/>
              <w:tabs>
                <w:tab w:val="decimal" w:pos="572"/>
              </w:tabs>
              <w:jc w:val="left"/>
              <w:rPr>
                <w:sz w:val="18"/>
              </w:rPr>
            </w:pPr>
            <w:r>
              <w:rPr>
                <w:sz w:val="18"/>
              </w:rPr>
              <w:t>9,409</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47.02</w:t>
            </w:r>
          </w:p>
        </w:tc>
        <w:tc>
          <w:tcPr>
            <w:tcW w:w="467" w:type="pct"/>
            <w:tcBorders>
              <w:top w:val="nil"/>
            </w:tcBorders>
          </w:tcPr>
          <w:p w:rsidR="00000000" w:rsidRDefault="00844A84">
            <w:pPr>
              <w:pStyle w:val="a2"/>
              <w:tabs>
                <w:tab w:val="decimal" w:pos="572"/>
              </w:tabs>
              <w:rPr>
                <w:sz w:val="18"/>
              </w:rPr>
            </w:pPr>
            <w:r>
              <w:rPr>
                <w:sz w:val="18"/>
              </w:rPr>
              <w:t>52.98</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48.20</w:t>
            </w:r>
          </w:p>
        </w:tc>
        <w:tc>
          <w:tcPr>
            <w:tcW w:w="467" w:type="pct"/>
            <w:tcBorders>
              <w:top w:val="nil"/>
            </w:tcBorders>
          </w:tcPr>
          <w:p w:rsidR="00000000" w:rsidRDefault="00844A84">
            <w:pPr>
              <w:pStyle w:val="a2"/>
              <w:tabs>
                <w:tab w:val="decimal" w:pos="572"/>
              </w:tabs>
              <w:rPr>
                <w:sz w:val="18"/>
              </w:rPr>
            </w:pPr>
            <w:r>
              <w:rPr>
                <w:sz w:val="18"/>
              </w:rPr>
              <w:t>51.80</w:t>
            </w:r>
          </w:p>
        </w:tc>
        <w:tc>
          <w:tcPr>
            <w:tcW w:w="325" w:type="pct"/>
            <w:tcBorders>
              <w:top w:val="nil"/>
            </w:tcBorders>
          </w:tcPr>
          <w:p w:rsidR="00000000" w:rsidRDefault="00844A84">
            <w:pPr>
              <w:pStyle w:val="a2"/>
              <w:tabs>
                <w:tab w:val="decimal" w:pos="501"/>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42.01</w:t>
            </w:r>
          </w:p>
        </w:tc>
        <w:tc>
          <w:tcPr>
            <w:tcW w:w="467" w:type="pct"/>
            <w:tcBorders>
              <w:top w:val="nil"/>
            </w:tcBorders>
          </w:tcPr>
          <w:p w:rsidR="00000000" w:rsidRDefault="00844A84">
            <w:pPr>
              <w:pStyle w:val="a2"/>
              <w:tabs>
                <w:tab w:val="decimal" w:pos="572"/>
              </w:tabs>
              <w:jc w:val="left"/>
              <w:rPr>
                <w:sz w:val="18"/>
              </w:rPr>
            </w:pPr>
            <w:r>
              <w:rPr>
                <w:sz w:val="18"/>
              </w:rPr>
              <w:t>57.99</w:t>
            </w:r>
          </w:p>
        </w:tc>
      </w:tr>
      <w:tr w:rsidR="00000000">
        <w:tblPrEx>
          <w:tblCellMar>
            <w:top w:w="0" w:type="dxa"/>
            <w:bottom w:w="0" w:type="dxa"/>
          </w:tblCellMar>
        </w:tblPrEx>
        <w:tc>
          <w:tcPr>
            <w:tcW w:w="474" w:type="pct"/>
            <w:tcBorders>
              <w:bottom w:val="nil"/>
            </w:tcBorders>
          </w:tcPr>
          <w:p w:rsidR="00000000" w:rsidRDefault="00844A84">
            <w:pPr>
              <w:pStyle w:val="a2"/>
              <w:jc w:val="center"/>
              <w:rPr>
                <w:rFonts w:hint="eastAsia"/>
                <w:snapToGrid/>
                <w:sz w:val="18"/>
              </w:rPr>
            </w:pPr>
            <w:r>
              <w:rPr>
                <w:snapToGrid/>
                <w:sz w:val="18"/>
              </w:rPr>
              <w:t>2000/01</w:t>
            </w:r>
          </w:p>
        </w:tc>
        <w:tc>
          <w:tcPr>
            <w:tcW w:w="467" w:type="pct"/>
            <w:tcBorders>
              <w:bottom w:val="nil"/>
            </w:tcBorders>
          </w:tcPr>
          <w:p w:rsidR="00000000" w:rsidRDefault="00844A84">
            <w:pPr>
              <w:pStyle w:val="a2"/>
              <w:tabs>
                <w:tab w:val="decimal" w:pos="572"/>
              </w:tabs>
              <w:rPr>
                <w:sz w:val="18"/>
              </w:rPr>
            </w:pPr>
            <w:r>
              <w:rPr>
                <w:sz w:val="18"/>
              </w:rPr>
              <w:t>194,198</w:t>
            </w:r>
          </w:p>
        </w:tc>
        <w:tc>
          <w:tcPr>
            <w:tcW w:w="467" w:type="pct"/>
            <w:tcBorders>
              <w:bottom w:val="nil"/>
            </w:tcBorders>
          </w:tcPr>
          <w:p w:rsidR="00000000" w:rsidRDefault="00844A84">
            <w:pPr>
              <w:pStyle w:val="a2"/>
              <w:tabs>
                <w:tab w:val="decimal" w:pos="572"/>
              </w:tabs>
              <w:rPr>
                <w:sz w:val="18"/>
              </w:rPr>
            </w:pPr>
            <w:r>
              <w:rPr>
                <w:sz w:val="18"/>
              </w:rPr>
              <w:t>89,785</w:t>
            </w:r>
          </w:p>
        </w:tc>
        <w:tc>
          <w:tcPr>
            <w:tcW w:w="467" w:type="pct"/>
            <w:tcBorders>
              <w:bottom w:val="nil"/>
            </w:tcBorders>
          </w:tcPr>
          <w:p w:rsidR="00000000" w:rsidRDefault="00844A84">
            <w:pPr>
              <w:pStyle w:val="a2"/>
              <w:tabs>
                <w:tab w:val="decimal" w:pos="572"/>
              </w:tabs>
              <w:rPr>
                <w:sz w:val="18"/>
              </w:rPr>
            </w:pPr>
            <w:r>
              <w:rPr>
                <w:sz w:val="18"/>
              </w:rPr>
              <w:t>104,413</w:t>
            </w:r>
          </w:p>
        </w:tc>
        <w:tc>
          <w:tcPr>
            <w:tcW w:w="467" w:type="pct"/>
            <w:tcBorders>
              <w:bottom w:val="nil"/>
            </w:tcBorders>
          </w:tcPr>
          <w:p w:rsidR="00000000" w:rsidRDefault="00844A84">
            <w:pPr>
              <w:pStyle w:val="a2"/>
              <w:tabs>
                <w:tab w:val="decimal" w:pos="572"/>
              </w:tabs>
              <w:rPr>
                <w:sz w:val="18"/>
              </w:rPr>
            </w:pPr>
            <w:r>
              <w:rPr>
                <w:sz w:val="18"/>
              </w:rPr>
              <w:t>72,992</w:t>
            </w:r>
          </w:p>
        </w:tc>
        <w:tc>
          <w:tcPr>
            <w:tcW w:w="467" w:type="pct"/>
            <w:tcBorders>
              <w:bottom w:val="nil"/>
            </w:tcBorders>
          </w:tcPr>
          <w:p w:rsidR="00000000" w:rsidRDefault="00844A84">
            <w:pPr>
              <w:pStyle w:val="a2"/>
              <w:tabs>
                <w:tab w:val="decimal" w:pos="572"/>
              </w:tabs>
              <w:rPr>
                <w:sz w:val="18"/>
              </w:rPr>
            </w:pPr>
            <w:r>
              <w:rPr>
                <w:sz w:val="18"/>
              </w:rPr>
              <w:t>33,469</w:t>
            </w:r>
          </w:p>
        </w:tc>
        <w:tc>
          <w:tcPr>
            <w:tcW w:w="467" w:type="pct"/>
            <w:tcBorders>
              <w:bottom w:val="nil"/>
            </w:tcBorders>
          </w:tcPr>
          <w:p w:rsidR="00000000" w:rsidRDefault="00844A84">
            <w:pPr>
              <w:pStyle w:val="a2"/>
              <w:tabs>
                <w:tab w:val="decimal" w:pos="572"/>
              </w:tabs>
              <w:rPr>
                <w:sz w:val="18"/>
              </w:rPr>
            </w:pPr>
            <w:r>
              <w:rPr>
                <w:sz w:val="18"/>
              </w:rPr>
              <w:t>39,523</w:t>
            </w:r>
          </w:p>
        </w:tc>
        <w:tc>
          <w:tcPr>
            <w:tcW w:w="325" w:type="pct"/>
            <w:tcBorders>
              <w:bottom w:val="nil"/>
            </w:tcBorders>
          </w:tcPr>
          <w:p w:rsidR="00000000" w:rsidRDefault="00844A84">
            <w:pPr>
              <w:pStyle w:val="a2"/>
              <w:tabs>
                <w:tab w:val="decimal" w:pos="501"/>
              </w:tabs>
              <w:jc w:val="center"/>
              <w:rPr>
                <w:sz w:val="18"/>
              </w:rPr>
            </w:pPr>
            <w:r>
              <w:rPr>
                <w:sz w:val="18"/>
              </w:rPr>
              <w:t>2001</w:t>
            </w:r>
          </w:p>
        </w:tc>
        <w:tc>
          <w:tcPr>
            <w:tcW w:w="467" w:type="pct"/>
            <w:tcBorders>
              <w:bottom w:val="nil"/>
            </w:tcBorders>
          </w:tcPr>
          <w:p w:rsidR="00000000" w:rsidRDefault="00844A84">
            <w:pPr>
              <w:pStyle w:val="a2"/>
              <w:tabs>
                <w:tab w:val="decimal" w:pos="572"/>
              </w:tabs>
              <w:jc w:val="left"/>
              <w:rPr>
                <w:sz w:val="18"/>
              </w:rPr>
            </w:pPr>
            <w:r>
              <w:rPr>
                <w:sz w:val="18"/>
              </w:rPr>
              <w:t>17,006</w:t>
            </w:r>
          </w:p>
        </w:tc>
        <w:tc>
          <w:tcPr>
            <w:tcW w:w="467" w:type="pct"/>
            <w:tcBorders>
              <w:bottom w:val="nil"/>
            </w:tcBorders>
          </w:tcPr>
          <w:p w:rsidR="00000000" w:rsidRDefault="00844A84">
            <w:pPr>
              <w:pStyle w:val="a2"/>
              <w:tabs>
                <w:tab w:val="decimal" w:pos="572"/>
              </w:tabs>
              <w:jc w:val="left"/>
              <w:rPr>
                <w:sz w:val="18"/>
              </w:rPr>
            </w:pPr>
            <w:r>
              <w:rPr>
                <w:sz w:val="18"/>
              </w:rPr>
              <w:t>7,061</w:t>
            </w:r>
          </w:p>
        </w:tc>
        <w:tc>
          <w:tcPr>
            <w:tcW w:w="467" w:type="pct"/>
            <w:tcBorders>
              <w:bottom w:val="nil"/>
            </w:tcBorders>
          </w:tcPr>
          <w:p w:rsidR="00000000" w:rsidRDefault="00844A84">
            <w:pPr>
              <w:pStyle w:val="a2"/>
              <w:tabs>
                <w:tab w:val="decimal" w:pos="572"/>
              </w:tabs>
              <w:jc w:val="left"/>
              <w:rPr>
                <w:sz w:val="18"/>
              </w:rPr>
            </w:pPr>
            <w:r>
              <w:rPr>
                <w:sz w:val="18"/>
              </w:rPr>
              <w:t>9,945</w:t>
            </w:r>
          </w:p>
        </w:tc>
      </w:tr>
      <w:tr w:rsidR="00000000">
        <w:tblPrEx>
          <w:tblCellMar>
            <w:top w:w="0" w:type="dxa"/>
            <w:bottom w:w="0" w:type="dxa"/>
          </w:tblCellMar>
        </w:tblPrEx>
        <w:tc>
          <w:tcPr>
            <w:tcW w:w="474" w:type="pct"/>
            <w:tcBorders>
              <w:top w:val="nil"/>
            </w:tcBorders>
          </w:tcPr>
          <w:p w:rsidR="00000000" w:rsidRDefault="00844A84">
            <w:pPr>
              <w:pStyle w:val="a2"/>
              <w:jc w:val="center"/>
              <w:rPr>
                <w:rFonts w:hint="eastAsia"/>
                <w:snapToGrid/>
                <w:sz w:val="18"/>
              </w:rPr>
            </w:pPr>
            <w:r>
              <w:rPr>
                <w:rFonts w:hint="eastAsia"/>
                <w:snapToGrid/>
                <w:sz w:val="18"/>
              </w:rPr>
              <w:t>百分比</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46.23</w:t>
            </w:r>
          </w:p>
        </w:tc>
        <w:tc>
          <w:tcPr>
            <w:tcW w:w="467" w:type="pct"/>
            <w:tcBorders>
              <w:top w:val="nil"/>
            </w:tcBorders>
          </w:tcPr>
          <w:p w:rsidR="00000000" w:rsidRDefault="00844A84">
            <w:pPr>
              <w:pStyle w:val="a2"/>
              <w:tabs>
                <w:tab w:val="decimal" w:pos="572"/>
              </w:tabs>
              <w:rPr>
                <w:sz w:val="18"/>
              </w:rPr>
            </w:pPr>
            <w:r>
              <w:rPr>
                <w:sz w:val="18"/>
              </w:rPr>
              <w:t>53.77</w:t>
            </w:r>
          </w:p>
        </w:tc>
        <w:tc>
          <w:tcPr>
            <w:tcW w:w="467" w:type="pct"/>
            <w:tcBorders>
              <w:top w:val="nil"/>
            </w:tcBorders>
          </w:tcPr>
          <w:p w:rsidR="00000000" w:rsidRDefault="00844A84">
            <w:pPr>
              <w:pStyle w:val="a2"/>
              <w:tabs>
                <w:tab w:val="decimal" w:pos="572"/>
              </w:tabs>
              <w:rPr>
                <w:sz w:val="18"/>
              </w:rPr>
            </w:pPr>
            <w:r>
              <w:rPr>
                <w:sz w:val="18"/>
              </w:rPr>
              <w:t>100.00</w:t>
            </w:r>
          </w:p>
        </w:tc>
        <w:tc>
          <w:tcPr>
            <w:tcW w:w="467" w:type="pct"/>
            <w:tcBorders>
              <w:top w:val="nil"/>
            </w:tcBorders>
          </w:tcPr>
          <w:p w:rsidR="00000000" w:rsidRDefault="00844A84">
            <w:pPr>
              <w:pStyle w:val="a2"/>
              <w:tabs>
                <w:tab w:val="decimal" w:pos="572"/>
              </w:tabs>
              <w:rPr>
                <w:sz w:val="18"/>
              </w:rPr>
            </w:pPr>
            <w:r>
              <w:rPr>
                <w:sz w:val="18"/>
              </w:rPr>
              <w:t>45.85</w:t>
            </w:r>
          </w:p>
        </w:tc>
        <w:tc>
          <w:tcPr>
            <w:tcW w:w="467" w:type="pct"/>
            <w:tcBorders>
              <w:top w:val="nil"/>
            </w:tcBorders>
          </w:tcPr>
          <w:p w:rsidR="00000000" w:rsidRDefault="00844A84">
            <w:pPr>
              <w:pStyle w:val="a2"/>
              <w:tabs>
                <w:tab w:val="decimal" w:pos="572"/>
              </w:tabs>
              <w:rPr>
                <w:sz w:val="18"/>
              </w:rPr>
            </w:pPr>
            <w:r>
              <w:rPr>
                <w:sz w:val="18"/>
              </w:rPr>
              <w:t>54.15</w:t>
            </w:r>
          </w:p>
        </w:tc>
        <w:tc>
          <w:tcPr>
            <w:tcW w:w="325" w:type="pct"/>
            <w:tcBorders>
              <w:top w:val="nil"/>
            </w:tcBorders>
          </w:tcPr>
          <w:p w:rsidR="00000000" w:rsidRDefault="00844A84">
            <w:pPr>
              <w:pStyle w:val="a2"/>
              <w:tabs>
                <w:tab w:val="decimal" w:pos="572"/>
              </w:tabs>
              <w:jc w:val="center"/>
              <w:rPr>
                <w:sz w:val="18"/>
              </w:rPr>
            </w:pPr>
          </w:p>
        </w:tc>
        <w:tc>
          <w:tcPr>
            <w:tcW w:w="467" w:type="pct"/>
            <w:tcBorders>
              <w:top w:val="nil"/>
            </w:tcBorders>
          </w:tcPr>
          <w:p w:rsidR="00000000" w:rsidRDefault="00844A84">
            <w:pPr>
              <w:pStyle w:val="a2"/>
              <w:tabs>
                <w:tab w:val="decimal" w:pos="572"/>
              </w:tabs>
              <w:jc w:val="left"/>
              <w:rPr>
                <w:sz w:val="18"/>
              </w:rPr>
            </w:pPr>
            <w:r>
              <w:rPr>
                <w:sz w:val="18"/>
              </w:rPr>
              <w:t>100.00</w:t>
            </w:r>
          </w:p>
        </w:tc>
        <w:tc>
          <w:tcPr>
            <w:tcW w:w="467" w:type="pct"/>
            <w:tcBorders>
              <w:top w:val="nil"/>
            </w:tcBorders>
          </w:tcPr>
          <w:p w:rsidR="00000000" w:rsidRDefault="00844A84">
            <w:pPr>
              <w:pStyle w:val="a2"/>
              <w:tabs>
                <w:tab w:val="decimal" w:pos="572"/>
              </w:tabs>
              <w:jc w:val="left"/>
              <w:rPr>
                <w:sz w:val="18"/>
              </w:rPr>
            </w:pPr>
            <w:r>
              <w:rPr>
                <w:sz w:val="18"/>
              </w:rPr>
              <w:t>41.52</w:t>
            </w:r>
          </w:p>
        </w:tc>
        <w:tc>
          <w:tcPr>
            <w:tcW w:w="467" w:type="pct"/>
            <w:tcBorders>
              <w:top w:val="nil"/>
            </w:tcBorders>
          </w:tcPr>
          <w:p w:rsidR="00000000" w:rsidRDefault="00844A84">
            <w:pPr>
              <w:pStyle w:val="a2"/>
              <w:tabs>
                <w:tab w:val="decimal" w:pos="572"/>
              </w:tabs>
              <w:jc w:val="left"/>
              <w:rPr>
                <w:sz w:val="18"/>
              </w:rPr>
            </w:pPr>
            <w:r>
              <w:rPr>
                <w:sz w:val="18"/>
              </w:rPr>
              <w:t>58.48</w:t>
            </w:r>
          </w:p>
        </w:tc>
      </w:tr>
    </w:tbl>
    <w:p w:rsidR="00000000" w:rsidRDefault="00844A84">
      <w:pPr>
        <w:ind w:firstLine="510"/>
        <w:rPr>
          <w:rFonts w:hint="eastAsia"/>
          <w:snapToGrid/>
        </w:rPr>
      </w:pPr>
    </w:p>
    <w:p w:rsidR="00000000" w:rsidRDefault="00844A84">
      <w:pPr>
        <w:spacing w:after="240"/>
        <w:ind w:firstLine="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：共和国统计局《统</w:t>
      </w:r>
      <w:r>
        <w:rPr>
          <w:rFonts w:eastAsia="KaiTi_GB2312" w:hint="eastAsia"/>
          <w:snapToGrid/>
          <w:spacing w:val="0"/>
        </w:rPr>
        <w:t>计年鉴》</w:t>
      </w:r>
    </w:p>
    <w:p w:rsidR="00000000" w:rsidRDefault="00844A84"/>
    <w:p w:rsidR="00000000" w:rsidRDefault="00844A84">
      <w:pPr>
        <w:pStyle w:val="Heading3"/>
        <w:spacing w:after="240"/>
        <w:rPr>
          <w:rFonts w:hint="eastAsia"/>
        </w:rPr>
      </w:pPr>
      <w:r>
        <w:rPr>
          <w:rFonts w:hint="eastAsia"/>
          <w:u w:val="none"/>
        </w:rPr>
        <w:t xml:space="preserve">2.  </w:t>
      </w:r>
      <w:r>
        <w:rPr>
          <w:rFonts w:hint="eastAsia"/>
        </w:rPr>
        <w:t>残障学生的教育和培养</w:t>
      </w:r>
    </w:p>
    <w:p w:rsidR="00000000" w:rsidRDefault="00844A84">
      <w:pPr>
        <w:ind w:firstLine="510"/>
        <w:rPr>
          <w:rFonts w:hint="eastAsia"/>
          <w:snapToGrid/>
        </w:rPr>
      </w:pPr>
      <w:r>
        <w:rPr>
          <w:snapToGrid/>
        </w:rPr>
        <w:t>378.</w:t>
      </w:r>
      <w:r>
        <w:rPr>
          <w:rFonts w:hint="eastAsia"/>
          <w:snapToGrid/>
        </w:rPr>
        <w:t xml:space="preserve">  </w:t>
      </w:r>
      <w:r>
        <w:rPr>
          <w:rFonts w:hint="eastAsia"/>
          <w:snapToGrid/>
        </w:rPr>
        <w:t>现行</w:t>
      </w:r>
      <w:r>
        <w:rPr>
          <w:snapToGrid/>
        </w:rPr>
        <w:t>法律</w:t>
      </w:r>
      <w:r>
        <w:rPr>
          <w:snapToGrid/>
        </w:rPr>
        <w:t>(</w:t>
      </w:r>
      <w:r>
        <w:rPr>
          <w:snapToGrid/>
        </w:rPr>
        <w:t>《初等教育法》和《中等教育法》</w:t>
      </w:r>
      <w:r>
        <w:rPr>
          <w:snapToGrid/>
        </w:rPr>
        <w:t>)</w:t>
      </w:r>
      <w:r>
        <w:rPr>
          <w:snapToGrid/>
        </w:rPr>
        <w:t>提供了法律基础，据此解决有关残障儿童或</w:t>
      </w:r>
      <w:r>
        <w:rPr>
          <w:rFonts w:hint="eastAsia"/>
          <w:snapToGrid/>
        </w:rPr>
        <w:t>有先天</w:t>
      </w:r>
      <w:r>
        <w:rPr>
          <w:snapToGrid/>
        </w:rPr>
        <w:t>发育</w:t>
      </w:r>
      <w:r>
        <w:rPr>
          <w:rFonts w:hint="eastAsia"/>
          <w:snapToGrid/>
        </w:rPr>
        <w:t>缺陷的</w:t>
      </w:r>
      <w:r>
        <w:rPr>
          <w:snapToGrid/>
        </w:rPr>
        <w:t>儿童的教育问题。《初等教育法》第</w:t>
      </w:r>
      <w:r>
        <w:rPr>
          <w:snapToGrid/>
        </w:rPr>
        <w:t>84</w:t>
      </w:r>
      <w:r>
        <w:rPr>
          <w:snapToGrid/>
        </w:rPr>
        <w:t>条规定，残障儿童这一类别是指身体和感官有缺陷</w:t>
      </w:r>
      <w:r>
        <w:rPr>
          <w:snapToGrid/>
        </w:rPr>
        <w:t>(</w:t>
      </w:r>
      <w:r>
        <w:rPr>
          <w:rFonts w:hint="eastAsia"/>
          <w:snapToGrid/>
        </w:rPr>
        <w:t>失明、</w:t>
      </w:r>
      <w:r>
        <w:rPr>
          <w:snapToGrid/>
        </w:rPr>
        <w:t>视力障碍</w:t>
      </w:r>
      <w:r>
        <w:rPr>
          <w:rFonts w:hint="eastAsia"/>
          <w:snapToGrid/>
        </w:rPr>
        <w:t>、耳聋</w:t>
      </w:r>
      <w:r>
        <w:rPr>
          <w:snapToGrid/>
        </w:rPr>
        <w:t>及</w:t>
      </w:r>
      <w:r>
        <w:rPr>
          <w:rFonts w:hint="eastAsia"/>
          <w:snapToGrid/>
        </w:rPr>
        <w:t>重听</w:t>
      </w:r>
      <w:r>
        <w:rPr>
          <w:snapToGrid/>
        </w:rPr>
        <w:t>)</w:t>
      </w:r>
      <w:r>
        <w:rPr>
          <w:snapToGrid/>
        </w:rPr>
        <w:t>的儿童；精神残障</w:t>
      </w:r>
      <w:r>
        <w:rPr>
          <w:snapToGrid/>
        </w:rPr>
        <w:t>(</w:t>
      </w:r>
      <w:r>
        <w:rPr>
          <w:snapToGrid/>
        </w:rPr>
        <w:t>轻度、</w:t>
      </w:r>
      <w:r>
        <w:rPr>
          <w:rFonts w:hint="eastAsia"/>
          <w:snapToGrid/>
        </w:rPr>
        <w:t>中度</w:t>
      </w:r>
      <w:r>
        <w:rPr>
          <w:snapToGrid/>
        </w:rPr>
        <w:t>、</w:t>
      </w:r>
      <w:r>
        <w:rPr>
          <w:rFonts w:hint="eastAsia"/>
          <w:snapToGrid/>
        </w:rPr>
        <w:t>重度</w:t>
      </w:r>
      <w:r>
        <w:rPr>
          <w:snapToGrid/>
        </w:rPr>
        <w:t>或严重</w:t>
      </w:r>
      <w:r>
        <w:rPr>
          <w:snapToGrid/>
        </w:rPr>
        <w:t>)</w:t>
      </w:r>
      <w:r>
        <w:rPr>
          <w:snapToGrid/>
        </w:rPr>
        <w:t>；以及多重残障</w:t>
      </w:r>
      <w:r>
        <w:rPr>
          <w:snapToGrid/>
        </w:rPr>
        <w:t>(</w:t>
      </w:r>
      <w:r>
        <w:rPr>
          <w:rFonts w:hint="eastAsia"/>
          <w:snapToGrid/>
        </w:rPr>
        <w:t>患自闭症儿童等</w:t>
      </w:r>
      <w:r>
        <w:rPr>
          <w:rFonts w:hint="eastAsia"/>
          <w:snapToGrid/>
        </w:rPr>
        <w:t>)</w:t>
      </w:r>
      <w:r>
        <w:rPr>
          <w:rFonts w:hint="eastAsia"/>
          <w:snapToGrid/>
        </w:rPr>
        <w:t>。残障的类型和程度根据医疗委员会的意见确定</w:t>
      </w:r>
      <w:r>
        <w:rPr>
          <w:rFonts w:hint="eastAsia"/>
          <w:snapToGrid/>
        </w:rPr>
        <w:t>(</w:t>
      </w:r>
      <w:r>
        <w:rPr>
          <w:rFonts w:hint="eastAsia"/>
          <w:snapToGrid/>
        </w:rPr>
        <w:t>《初等教育法》第</w:t>
      </w:r>
      <w:r>
        <w:rPr>
          <w:rFonts w:hint="eastAsia"/>
          <w:snapToGrid/>
        </w:rPr>
        <w:t>84</w:t>
      </w:r>
      <w:r>
        <w:rPr>
          <w:rFonts w:hint="eastAsia"/>
          <w:snapToGrid/>
        </w:rPr>
        <w:t>条，《中等教育法》第</w:t>
      </w:r>
      <w:r>
        <w:rPr>
          <w:rFonts w:hint="eastAsia"/>
          <w:snapToGrid/>
        </w:rPr>
        <w:t>39</w:t>
      </w:r>
      <w:r>
        <w:rPr>
          <w:rFonts w:hint="eastAsia"/>
          <w:snapToGrid/>
        </w:rPr>
        <w:t>条</w:t>
      </w:r>
      <w:r>
        <w:rPr>
          <w:rFonts w:hint="eastAsia"/>
          <w:snapToGrid/>
        </w:rPr>
        <w:t>)</w:t>
      </w:r>
      <w:r>
        <w:rPr>
          <w:rFonts w:hint="eastAsia"/>
          <w:snapToGrid/>
        </w:rPr>
        <w:t>。残障儿童达到小学或中学入学年龄时应接受医疗委员会安排的健康检查。依据关于残障类型和程</w:t>
      </w:r>
      <w:r>
        <w:rPr>
          <w:rFonts w:hint="eastAsia"/>
          <w:snapToGrid/>
        </w:rPr>
        <w:t>度的决定，确定他们是否能进小学就学或进哪类学校</w:t>
      </w:r>
      <w:r>
        <w:rPr>
          <w:rFonts w:hint="eastAsia"/>
          <w:snapToGrid/>
        </w:rPr>
        <w:t>(</w:t>
      </w:r>
      <w:r>
        <w:rPr>
          <w:rFonts w:hint="eastAsia"/>
          <w:snapToGrid/>
        </w:rPr>
        <w:t>《初等教育法》第</w:t>
      </w:r>
      <w:r>
        <w:rPr>
          <w:rFonts w:hint="eastAsia"/>
          <w:snapToGrid/>
        </w:rPr>
        <w:t>85</w:t>
      </w:r>
      <w:r>
        <w:rPr>
          <w:rFonts w:hint="eastAsia"/>
          <w:snapToGrid/>
        </w:rPr>
        <w:t>条</w:t>
      </w:r>
      <w:r>
        <w:rPr>
          <w:rFonts w:hint="eastAsia"/>
          <w:snapToGrid/>
        </w:rPr>
        <w:t>)</w:t>
      </w:r>
      <w:r>
        <w:rPr>
          <w:rFonts w:hint="eastAsia"/>
          <w:snapToGrid/>
        </w:rPr>
        <w:t>。这种决定还依据残障类型和程度决定接受何种职业训练</w:t>
      </w:r>
      <w:r>
        <w:rPr>
          <w:rFonts w:hint="eastAsia"/>
          <w:snapToGrid/>
        </w:rPr>
        <w:t>(</w:t>
      </w:r>
      <w:r>
        <w:rPr>
          <w:rFonts w:hint="eastAsia"/>
          <w:snapToGrid/>
        </w:rPr>
        <w:t>《中等教育法》第</w:t>
      </w:r>
      <w:r>
        <w:rPr>
          <w:rFonts w:hint="eastAsia"/>
          <w:snapToGrid/>
        </w:rPr>
        <w:t>39</w:t>
      </w:r>
      <w:r>
        <w:rPr>
          <w:rFonts w:hint="eastAsia"/>
          <w:snapToGrid/>
        </w:rPr>
        <w:t>条</w:t>
      </w:r>
      <w:r>
        <w:rPr>
          <w:rFonts w:hint="eastAsia"/>
          <w:snapToGrid/>
        </w:rPr>
        <w:t>)</w:t>
      </w:r>
      <w:r>
        <w:rPr>
          <w:rFonts w:hint="eastAsia"/>
          <w:snapToGrid/>
        </w:rPr>
        <w:t>。残障儿童还可在接受初等或中等教育期间再次得到健康检查，确定其残疾类型和程度。重新检查的要求可由家长、学校或保健机构提出</w:t>
      </w:r>
      <w:r>
        <w:rPr>
          <w:rFonts w:hint="eastAsia"/>
          <w:snapToGrid/>
        </w:rPr>
        <w:t>(</w:t>
      </w:r>
      <w:r>
        <w:rPr>
          <w:rFonts w:hint="eastAsia"/>
          <w:snapToGrid/>
        </w:rPr>
        <w:t>第</w:t>
      </w:r>
      <w:r>
        <w:rPr>
          <w:rFonts w:hint="eastAsia"/>
          <w:snapToGrid/>
        </w:rPr>
        <w:t>86</w:t>
      </w:r>
      <w:r>
        <w:rPr>
          <w:rFonts w:hint="eastAsia"/>
          <w:snapToGrid/>
        </w:rPr>
        <w:t>和第</w:t>
      </w:r>
      <w:r>
        <w:rPr>
          <w:rFonts w:hint="eastAsia"/>
          <w:snapToGrid/>
        </w:rPr>
        <w:t>39</w:t>
      </w:r>
      <w:r>
        <w:rPr>
          <w:rFonts w:hint="eastAsia"/>
          <w:snapToGrid/>
        </w:rPr>
        <w:t>条</w:t>
      </w:r>
      <w:r>
        <w:rPr>
          <w:rFonts w:hint="eastAsia"/>
          <w:snapToGrid/>
        </w:rPr>
        <w:t>)</w:t>
      </w:r>
      <w:r>
        <w:rPr>
          <w:rFonts w:hint="eastAsia"/>
          <w:snapToGrid/>
        </w:rPr>
        <w:t>。</w:t>
      </w:r>
    </w:p>
    <w:p w:rsidR="00000000" w:rsidRDefault="00844A84">
      <w:pPr>
        <w:ind w:firstLine="510"/>
        <w:rPr>
          <w:rFonts w:hint="eastAsia"/>
          <w:snapToGrid/>
        </w:rPr>
      </w:pPr>
      <w:r>
        <w:rPr>
          <w:snapToGrid/>
        </w:rPr>
        <w:t>379.</w:t>
      </w:r>
      <w:r>
        <w:rPr>
          <w:rFonts w:hint="eastAsia"/>
          <w:snapToGrid/>
        </w:rPr>
        <w:t xml:space="preserve">  </w:t>
      </w:r>
      <w:r>
        <w:rPr>
          <w:snapToGrid/>
        </w:rPr>
        <w:t>《初等教育法》规定，残障儿童可在以下学校和机构接受教育：正规学校</w:t>
      </w:r>
      <w:r>
        <w:rPr>
          <w:snapToGrid/>
        </w:rPr>
        <w:t>(</w:t>
      </w:r>
      <w:r>
        <w:rPr>
          <w:snapToGrid/>
        </w:rPr>
        <w:t>法令第</w:t>
      </w:r>
      <w:r>
        <w:rPr>
          <w:snapToGrid/>
        </w:rPr>
        <w:t>31</w:t>
      </w:r>
      <w:r>
        <w:rPr>
          <w:snapToGrid/>
        </w:rPr>
        <w:t>条第</w:t>
      </w:r>
      <w:r>
        <w:rPr>
          <w:snapToGrid/>
        </w:rPr>
        <w:t>3</w:t>
      </w:r>
      <w:r>
        <w:rPr>
          <w:snapToGrid/>
        </w:rPr>
        <w:t>段和第</w:t>
      </w:r>
      <w:r>
        <w:rPr>
          <w:snapToGrid/>
        </w:rPr>
        <w:t>44</w:t>
      </w:r>
      <w:r>
        <w:rPr>
          <w:snapToGrid/>
        </w:rPr>
        <w:t>条第</w:t>
      </w:r>
      <w:r>
        <w:rPr>
          <w:snapToGrid/>
        </w:rPr>
        <w:t>4</w:t>
      </w:r>
      <w:r>
        <w:rPr>
          <w:snapToGrid/>
        </w:rPr>
        <w:t>段</w:t>
      </w:r>
      <w:r>
        <w:rPr>
          <w:snapToGrid/>
        </w:rPr>
        <w:t>)</w:t>
      </w:r>
      <w:r>
        <w:rPr>
          <w:snapToGrid/>
        </w:rPr>
        <w:t>、特殊小学</w:t>
      </w:r>
      <w:r>
        <w:rPr>
          <w:snapToGrid/>
        </w:rPr>
        <w:t>(</w:t>
      </w:r>
      <w:r>
        <w:rPr>
          <w:snapToGrid/>
        </w:rPr>
        <w:t>法令第</w:t>
      </w:r>
      <w:r>
        <w:rPr>
          <w:snapToGrid/>
        </w:rPr>
        <w:t>91</w:t>
      </w:r>
      <w:r>
        <w:rPr>
          <w:snapToGrid/>
        </w:rPr>
        <w:t>条</w:t>
      </w:r>
      <w:r>
        <w:rPr>
          <w:snapToGrid/>
        </w:rPr>
        <w:t>)</w:t>
      </w:r>
      <w:r>
        <w:rPr>
          <w:snapToGrid/>
        </w:rPr>
        <w:t>、正规学校特别</w:t>
      </w:r>
      <w:r>
        <w:rPr>
          <w:rFonts w:hint="eastAsia"/>
          <w:snapToGrid/>
        </w:rPr>
        <w:t>班，或在残障儿童接受治疗期间在医院接受教育。至于中等教育，这些学生</w:t>
      </w:r>
      <w:r>
        <w:rPr>
          <w:rFonts w:hint="eastAsia"/>
          <w:snapToGrid/>
        </w:rPr>
        <w:t>可在特殊中学接受教育</w:t>
      </w:r>
      <w:r>
        <w:rPr>
          <w:rFonts w:hint="eastAsia"/>
          <w:snapToGrid/>
        </w:rPr>
        <w:t>(</w:t>
      </w:r>
      <w:r>
        <w:rPr>
          <w:rFonts w:hint="eastAsia"/>
          <w:snapToGrid/>
        </w:rPr>
        <w:t>第</w:t>
      </w:r>
      <w:r>
        <w:rPr>
          <w:snapToGrid/>
        </w:rPr>
        <w:t>15</w:t>
      </w:r>
      <w:r>
        <w:rPr>
          <w:snapToGrid/>
        </w:rPr>
        <w:t>条</w:t>
      </w:r>
      <w:r>
        <w:rPr>
          <w:snapToGrid/>
        </w:rPr>
        <w:t>)</w:t>
      </w:r>
      <w:r>
        <w:rPr>
          <w:snapToGrid/>
        </w:rPr>
        <w:t>。设立</w:t>
      </w:r>
      <w:r>
        <w:rPr>
          <w:rFonts w:hint="eastAsia"/>
          <w:snapToGrid/>
        </w:rPr>
        <w:t>特殊</w:t>
      </w:r>
      <w:r>
        <w:rPr>
          <w:snapToGrid/>
        </w:rPr>
        <w:t>小学的条件是</w:t>
      </w:r>
      <w:r>
        <w:rPr>
          <w:rFonts w:hint="eastAsia"/>
          <w:snapToGrid/>
        </w:rPr>
        <w:t>学校</w:t>
      </w:r>
      <w:r>
        <w:rPr>
          <w:snapToGrid/>
        </w:rPr>
        <w:t>至少有八个班级，并</w:t>
      </w:r>
      <w:r>
        <w:rPr>
          <w:rFonts w:hint="eastAsia"/>
          <w:snapToGrid/>
        </w:rPr>
        <w:t>能</w:t>
      </w:r>
      <w:r>
        <w:rPr>
          <w:snapToGrid/>
        </w:rPr>
        <w:t>(</w:t>
      </w:r>
      <w:r>
        <w:rPr>
          <w:snapToGrid/>
        </w:rPr>
        <w:t>按照该法令第</w:t>
      </w:r>
      <w:r>
        <w:rPr>
          <w:snapToGrid/>
        </w:rPr>
        <w:t>91</w:t>
      </w:r>
      <w:r>
        <w:rPr>
          <w:snapToGrid/>
        </w:rPr>
        <w:t>条为同一类残障儿童</w:t>
      </w:r>
      <w:r>
        <w:rPr>
          <w:snapToGrid/>
        </w:rPr>
        <w:t>)</w:t>
      </w:r>
      <w:r>
        <w:rPr>
          <w:snapToGrid/>
        </w:rPr>
        <w:t>开展与学前、初等和中等教育有关的活动。这种学校可</w:t>
      </w:r>
      <w:r>
        <w:rPr>
          <w:rFonts w:hint="eastAsia"/>
          <w:snapToGrid/>
        </w:rPr>
        <w:t>为</w:t>
      </w:r>
      <w:r>
        <w:rPr>
          <w:snapToGrid/>
        </w:rPr>
        <w:t>寄宿学校的学前儿童</w:t>
      </w:r>
      <w:r>
        <w:rPr>
          <w:rFonts w:hint="eastAsia"/>
          <w:snapToGrid/>
        </w:rPr>
        <w:t>按日</w:t>
      </w:r>
      <w:r>
        <w:rPr>
          <w:snapToGrid/>
        </w:rPr>
        <w:t>或长期提供膳宿</w:t>
      </w:r>
      <w:r>
        <w:rPr>
          <w:snapToGrid/>
        </w:rPr>
        <w:t>(</w:t>
      </w:r>
      <w:r>
        <w:rPr>
          <w:snapToGrid/>
        </w:rPr>
        <w:t>法令第</w:t>
      </w:r>
      <w:r>
        <w:rPr>
          <w:snapToGrid/>
        </w:rPr>
        <w:t>91</w:t>
      </w:r>
      <w:r>
        <w:rPr>
          <w:snapToGrid/>
        </w:rPr>
        <w:t>条</w:t>
      </w:r>
      <w:r>
        <w:rPr>
          <w:rFonts w:hint="eastAsia"/>
          <w:snapToGrid/>
        </w:rPr>
        <w:t>)</w:t>
      </w:r>
      <w:r>
        <w:rPr>
          <w:snapToGrid/>
        </w:rPr>
        <w:t>。如果</w:t>
      </w:r>
      <w:r>
        <w:rPr>
          <w:rFonts w:hint="eastAsia"/>
          <w:snapToGrid/>
        </w:rPr>
        <w:t>有关市镇</w:t>
      </w:r>
      <w:r>
        <w:rPr>
          <w:snapToGrid/>
        </w:rPr>
        <w:t>没有这种学校</w:t>
      </w:r>
      <w:r>
        <w:rPr>
          <w:rFonts w:hint="eastAsia"/>
          <w:snapToGrid/>
        </w:rPr>
        <w:t>，则应由家长</w:t>
      </w:r>
      <w:r>
        <w:rPr>
          <w:snapToGrid/>
        </w:rPr>
        <w:t>居住</w:t>
      </w:r>
      <w:r>
        <w:rPr>
          <w:rFonts w:hint="eastAsia"/>
          <w:snapToGrid/>
        </w:rPr>
        <w:t>地的市镇</w:t>
      </w:r>
      <w:r>
        <w:rPr>
          <w:snapToGrid/>
        </w:rPr>
        <w:t>负担交通费用、食品和</w:t>
      </w:r>
      <w:r>
        <w:rPr>
          <w:rFonts w:hint="eastAsia"/>
          <w:snapToGrid/>
        </w:rPr>
        <w:t>住宿</w:t>
      </w:r>
      <w:r>
        <w:rPr>
          <w:snapToGrid/>
        </w:rPr>
        <w:t>费用</w:t>
      </w:r>
      <w:r>
        <w:rPr>
          <w:snapToGrid/>
        </w:rPr>
        <w:t>(</w:t>
      </w:r>
      <w:r>
        <w:rPr>
          <w:snapToGrid/>
        </w:rPr>
        <w:t>法令第</w:t>
      </w:r>
      <w:r>
        <w:rPr>
          <w:snapToGrid/>
        </w:rPr>
        <w:t>85</w:t>
      </w:r>
      <w:r>
        <w:rPr>
          <w:snapToGrid/>
        </w:rPr>
        <w:t>条</w:t>
      </w:r>
      <w:r>
        <w:rPr>
          <w:snapToGrid/>
        </w:rPr>
        <w:t>)</w:t>
      </w:r>
      <w:r>
        <w:rPr>
          <w:snapToGrid/>
        </w:rPr>
        <w:t>。</w:t>
      </w:r>
    </w:p>
    <w:p w:rsidR="00000000" w:rsidRDefault="00844A84">
      <w:pPr>
        <w:ind w:firstLine="510"/>
        <w:rPr>
          <w:snapToGrid/>
          <w:spacing w:val="6"/>
        </w:rPr>
      </w:pPr>
      <w:r>
        <w:rPr>
          <w:rFonts w:hint="eastAsia"/>
          <w:snapToGrid/>
        </w:rPr>
        <w:t xml:space="preserve">380.  </w:t>
      </w:r>
      <w:r>
        <w:rPr>
          <w:rFonts w:hint="eastAsia"/>
          <w:snapToGrid/>
        </w:rPr>
        <w:t>共和国法律</w:t>
      </w:r>
      <w:r>
        <w:rPr>
          <w:rFonts w:hint="eastAsia"/>
          <w:snapToGrid/>
        </w:rPr>
        <w:t>(</w:t>
      </w:r>
      <w:r>
        <w:rPr>
          <w:rFonts w:hint="eastAsia"/>
          <w:snapToGrid/>
        </w:rPr>
        <w:t>《初等教育法》第</w:t>
      </w:r>
      <w:r>
        <w:rPr>
          <w:rFonts w:hint="eastAsia"/>
          <w:snapToGrid/>
        </w:rPr>
        <w:t>92</w:t>
      </w:r>
      <w:r>
        <w:rPr>
          <w:rFonts w:hint="eastAsia"/>
          <w:snapToGrid/>
        </w:rPr>
        <w:t>条和《中等教育法》第</w:t>
      </w:r>
      <w:r>
        <w:rPr>
          <w:snapToGrid/>
        </w:rPr>
        <w:t>71</w:t>
      </w:r>
      <w:r>
        <w:rPr>
          <w:snapToGrid/>
        </w:rPr>
        <w:t>条</w:t>
      </w:r>
      <w:r>
        <w:rPr>
          <w:rFonts w:hint="eastAsia"/>
          <w:snapToGrid/>
        </w:rPr>
        <w:t>)</w:t>
      </w:r>
      <w:r>
        <w:rPr>
          <w:rFonts w:hint="eastAsia"/>
          <w:snapToGrid/>
        </w:rPr>
        <w:t>规定了</w:t>
      </w:r>
      <w:r>
        <w:rPr>
          <w:rFonts w:hint="eastAsia"/>
          <w:snapToGrid/>
          <w:spacing w:val="6"/>
        </w:rPr>
        <w:t>教育残障儿童的教师</w:t>
      </w:r>
      <w:r>
        <w:rPr>
          <w:snapToGrid/>
          <w:spacing w:val="6"/>
        </w:rPr>
        <w:t>必须</w:t>
      </w:r>
      <w:r>
        <w:rPr>
          <w:rFonts w:hint="eastAsia"/>
          <w:snapToGrid/>
          <w:spacing w:val="6"/>
        </w:rPr>
        <w:t>达到</w:t>
      </w:r>
      <w:r>
        <w:rPr>
          <w:snapToGrid/>
          <w:spacing w:val="6"/>
        </w:rPr>
        <w:t>的条件和标准。</w:t>
      </w:r>
      <w:r>
        <w:rPr>
          <w:rFonts w:hint="eastAsia"/>
          <w:snapToGrid/>
          <w:spacing w:val="6"/>
        </w:rPr>
        <w:t>在</w:t>
      </w:r>
      <w:r>
        <w:rPr>
          <w:snapToGrid/>
          <w:spacing w:val="6"/>
        </w:rPr>
        <w:t>1</w:t>
      </w:r>
      <w:r>
        <w:rPr>
          <w:rFonts w:hint="eastAsia"/>
          <w:snapToGrid/>
          <w:spacing w:val="6"/>
        </w:rPr>
        <w:t>至</w:t>
      </w:r>
      <w:r>
        <w:rPr>
          <w:rFonts w:hint="eastAsia"/>
          <w:snapToGrid/>
          <w:spacing w:val="6"/>
        </w:rPr>
        <w:t>8</w:t>
      </w:r>
      <w:r>
        <w:rPr>
          <w:rFonts w:hint="eastAsia"/>
          <w:snapToGrid/>
          <w:spacing w:val="6"/>
        </w:rPr>
        <w:t>年级授课</w:t>
      </w:r>
      <w:r>
        <w:rPr>
          <w:snapToGrid/>
          <w:spacing w:val="6"/>
        </w:rPr>
        <w:t>的教师必须拥有大专或学院</w:t>
      </w:r>
      <w:r>
        <w:rPr>
          <w:rFonts w:hint="eastAsia"/>
          <w:snapToGrid/>
          <w:spacing w:val="6"/>
        </w:rPr>
        <w:t>颁发</w:t>
      </w:r>
      <w:r>
        <w:rPr>
          <w:snapToGrid/>
          <w:spacing w:val="6"/>
        </w:rPr>
        <w:t>的</w:t>
      </w:r>
      <w:r>
        <w:rPr>
          <w:rFonts w:hint="eastAsia"/>
          <w:snapToGrid/>
          <w:spacing w:val="6"/>
        </w:rPr>
        <w:t>语言障碍矫正学学位</w:t>
      </w:r>
      <w:r>
        <w:rPr>
          <w:snapToGrid/>
          <w:spacing w:val="6"/>
        </w:rPr>
        <w:t>或类似</w:t>
      </w:r>
      <w:r>
        <w:rPr>
          <w:rFonts w:hint="eastAsia"/>
          <w:snapToGrid/>
          <w:spacing w:val="6"/>
        </w:rPr>
        <w:t>学位</w:t>
      </w:r>
      <w:r>
        <w:rPr>
          <w:snapToGrid/>
          <w:spacing w:val="6"/>
        </w:rPr>
        <w:t>。小</w:t>
      </w:r>
      <w:r>
        <w:rPr>
          <w:snapToGrid/>
          <w:spacing w:val="6"/>
        </w:rPr>
        <w:t>学</w:t>
      </w:r>
      <w:r>
        <w:rPr>
          <w:snapToGrid/>
          <w:spacing w:val="6"/>
        </w:rPr>
        <w:t>5</w:t>
      </w:r>
      <w:r>
        <w:rPr>
          <w:snapToGrid/>
          <w:spacing w:val="6"/>
        </w:rPr>
        <w:t>至</w:t>
      </w:r>
      <w:r>
        <w:rPr>
          <w:rFonts w:hint="eastAsia"/>
          <w:snapToGrid/>
          <w:spacing w:val="6"/>
        </w:rPr>
        <w:t>8</w:t>
      </w:r>
      <w:r>
        <w:rPr>
          <w:rFonts w:hint="eastAsia"/>
          <w:snapToGrid/>
          <w:spacing w:val="6"/>
        </w:rPr>
        <w:t>年级</w:t>
      </w:r>
      <w:r>
        <w:rPr>
          <w:snapToGrid/>
          <w:spacing w:val="6"/>
        </w:rPr>
        <w:t>及中学</w:t>
      </w:r>
      <w:r>
        <w:rPr>
          <w:rFonts w:hint="eastAsia"/>
          <w:snapToGrid/>
          <w:spacing w:val="6"/>
        </w:rPr>
        <w:t>各</w:t>
      </w:r>
      <w:r>
        <w:rPr>
          <w:snapToGrid/>
          <w:spacing w:val="6"/>
        </w:rPr>
        <w:t>班级</w:t>
      </w:r>
      <w:r>
        <w:rPr>
          <w:rFonts w:hint="eastAsia"/>
          <w:snapToGrid/>
          <w:spacing w:val="6"/>
        </w:rPr>
        <w:t>的科目</w:t>
      </w:r>
      <w:r>
        <w:rPr>
          <w:snapToGrid/>
          <w:spacing w:val="6"/>
        </w:rPr>
        <w:t>，必须</w:t>
      </w:r>
      <w:r>
        <w:rPr>
          <w:rFonts w:hint="eastAsia"/>
          <w:snapToGrid/>
          <w:spacing w:val="6"/>
        </w:rPr>
        <w:t>由</w:t>
      </w:r>
      <w:r>
        <w:rPr>
          <w:snapToGrid/>
          <w:spacing w:val="6"/>
        </w:rPr>
        <w:t>拥有大专相关科目</w:t>
      </w:r>
      <w:r>
        <w:rPr>
          <w:rFonts w:hint="eastAsia"/>
          <w:snapToGrid/>
          <w:spacing w:val="6"/>
        </w:rPr>
        <w:t>学位</w:t>
      </w:r>
      <w:r>
        <w:rPr>
          <w:snapToGrid/>
          <w:spacing w:val="6"/>
        </w:rPr>
        <w:t>或受过教育残障儿童特别</w:t>
      </w:r>
      <w:r>
        <w:rPr>
          <w:rFonts w:hint="eastAsia"/>
          <w:snapToGrid/>
          <w:spacing w:val="6"/>
        </w:rPr>
        <w:t>训练的</w:t>
      </w:r>
      <w:r>
        <w:rPr>
          <w:snapToGrid/>
          <w:spacing w:val="6"/>
        </w:rPr>
        <w:t>教师讲授。残障儿童教学大纲由教育部通过，作为特殊教育</w:t>
      </w:r>
      <w:r>
        <w:rPr>
          <w:rFonts w:hint="eastAsia"/>
          <w:snapToGrid/>
          <w:spacing w:val="6"/>
        </w:rPr>
        <w:t>师范院系教学大纲的</w:t>
      </w:r>
      <w:r>
        <w:rPr>
          <w:snapToGrid/>
          <w:spacing w:val="6"/>
        </w:rPr>
        <w:t>组成部分。</w:t>
      </w:r>
    </w:p>
    <w:p w:rsidR="00000000" w:rsidRDefault="00844A84">
      <w:pPr>
        <w:ind w:firstLine="510"/>
        <w:rPr>
          <w:rFonts w:hint="eastAsia"/>
          <w:snapToGrid/>
        </w:rPr>
      </w:pPr>
      <w:r>
        <w:rPr>
          <w:snapToGrid/>
        </w:rPr>
        <w:t>381.</w:t>
      </w:r>
      <w:r>
        <w:rPr>
          <w:rFonts w:hint="eastAsia"/>
          <w:snapToGrid/>
        </w:rPr>
        <w:t xml:space="preserve">  </w:t>
      </w:r>
      <w:r>
        <w:rPr>
          <w:snapToGrid/>
        </w:rPr>
        <w:t>儿童基金会官方数据表明，</w:t>
      </w:r>
      <w:r>
        <w:rPr>
          <w:rStyle w:val="EndnoteReference"/>
          <w:snapToGrid/>
        </w:rPr>
        <w:endnoteReference w:id="52"/>
      </w:r>
      <w:r>
        <w:rPr>
          <w:rFonts w:hint="eastAsia"/>
          <w:snapToGrid/>
        </w:rPr>
        <w:t xml:space="preserve"> </w:t>
      </w:r>
      <w:r>
        <w:rPr>
          <w:rFonts w:hint="eastAsia"/>
          <w:snapToGrid/>
        </w:rPr>
        <w:t>共和国在这方面的条例理论上符合国际标准，但实际上未得到充分实施。这方面的一个指标是，轻度精神残障儿童特殊学校中罗姆族儿童和劣势群体儿童学生人数很多。一种错误的解释往往是，罗姆族儿童“上特殊学校的原因是他们在分类委员会举办的考试中成绩不良。他们成绩普遍不良的原因是语言能力不强，看不懂一些试题。”</w:t>
      </w:r>
      <w:r>
        <w:rPr>
          <w:rStyle w:val="EndnoteReference"/>
          <w:snapToGrid/>
        </w:rPr>
        <w:endnoteReference w:id="53"/>
      </w:r>
      <w:r>
        <w:rPr>
          <w:rFonts w:hint="eastAsia"/>
          <w:snapToGrid/>
        </w:rPr>
        <w:t xml:space="preserve"> </w:t>
      </w:r>
      <w:r>
        <w:rPr>
          <w:rFonts w:hint="eastAsia"/>
          <w:snapToGrid/>
        </w:rPr>
        <w:t>在这方</w:t>
      </w:r>
      <w:r>
        <w:rPr>
          <w:rFonts w:hint="eastAsia"/>
          <w:snapToGrid/>
        </w:rPr>
        <w:t>面提到的原因是存在着具有专业、组织和方法性质的种种困难，从而将这些儿童错误地分类，将他们送到特殊学校上学。分类工作的基本依据是智商测试，而没有考虑到学童是否可以上其他学校的另一些重要指标，例如调整安排、社会化程度或家庭的社会和文化状况。</w:t>
      </w:r>
    </w:p>
    <w:p w:rsidR="00000000" w:rsidRDefault="00844A84">
      <w:pPr>
        <w:ind w:firstLine="510"/>
        <w:rPr>
          <w:snapToGrid/>
        </w:rPr>
      </w:pPr>
      <w:r>
        <w:rPr>
          <w:snapToGrid/>
        </w:rPr>
        <w:t>38</w:t>
      </w:r>
      <w:r>
        <w:rPr>
          <w:rFonts w:hint="eastAsia"/>
          <w:snapToGrid/>
        </w:rPr>
        <w:t xml:space="preserve">2.  </w:t>
      </w:r>
      <w:r>
        <w:rPr>
          <w:rFonts w:hint="eastAsia"/>
          <w:snapToGrid/>
        </w:rPr>
        <w:t>分类工作进行得太迟，到入学时才开始。结果，分类时没有考虑到学习过程的许多困难，要求教师尽早大力介入。证明这种情况的是，有特殊需求的儿童仅有</w:t>
      </w:r>
      <w:r>
        <w:rPr>
          <w:rFonts w:hint="eastAsia"/>
          <w:snapToGrid/>
        </w:rPr>
        <w:t>1%</w:t>
      </w:r>
      <w:r>
        <w:rPr>
          <w:rFonts w:hint="eastAsia"/>
          <w:snapToGrid/>
        </w:rPr>
        <w:t>接受了学前教育。</w:t>
      </w:r>
      <w:r>
        <w:rPr>
          <w:rStyle w:val="EndnoteReference"/>
          <w:snapToGrid/>
        </w:rPr>
        <w:endnoteReference w:id="54"/>
      </w:r>
    </w:p>
    <w:p w:rsidR="00000000" w:rsidRDefault="00844A84">
      <w:pPr>
        <w:ind w:firstLine="510"/>
        <w:rPr>
          <w:rFonts w:hint="eastAsia"/>
          <w:snapToGrid/>
        </w:rPr>
      </w:pPr>
      <w:r>
        <w:rPr>
          <w:snapToGrid/>
        </w:rPr>
        <w:t>383.</w:t>
      </w:r>
      <w:r>
        <w:rPr>
          <w:rFonts w:hint="eastAsia"/>
          <w:snapToGrid/>
        </w:rPr>
        <w:t xml:space="preserve">  </w:t>
      </w:r>
      <w:r>
        <w:rPr>
          <w:rFonts w:hint="eastAsia"/>
          <w:snapToGrid/>
        </w:rPr>
        <w:t>特殊学校区域分布不平衡也是这方面的一个问题。事实上，许多特殊学</w:t>
      </w:r>
      <w:r>
        <w:rPr>
          <w:rFonts w:hint="eastAsia"/>
          <w:snapToGrid/>
          <w:spacing w:val="6"/>
        </w:rPr>
        <w:t>校都设在较大的区域中心。例</w:t>
      </w:r>
      <w:r>
        <w:rPr>
          <w:rFonts w:hint="eastAsia"/>
          <w:snapToGrid/>
          <w:spacing w:val="6"/>
        </w:rPr>
        <w:t>如，中塞尔维亚的特殊学校</w:t>
      </w:r>
      <w:r>
        <w:rPr>
          <w:rFonts w:hint="eastAsia"/>
          <w:snapToGrid/>
          <w:spacing w:val="6"/>
        </w:rPr>
        <w:t>(</w:t>
      </w:r>
      <w:r>
        <w:rPr>
          <w:rFonts w:hint="eastAsia"/>
          <w:snapToGrid/>
          <w:spacing w:val="6"/>
        </w:rPr>
        <w:t>特殊班</w:t>
      </w:r>
      <w:r>
        <w:rPr>
          <w:rFonts w:hint="eastAsia"/>
          <w:snapToGrid/>
          <w:spacing w:val="6"/>
        </w:rPr>
        <w:t>)</w:t>
      </w:r>
      <w:r>
        <w:rPr>
          <w:rFonts w:hint="eastAsia"/>
          <w:snapToGrid/>
          <w:spacing w:val="6"/>
        </w:rPr>
        <w:t>几乎有一半设在贝尔格莱德。</w:t>
      </w:r>
      <w:r>
        <w:rPr>
          <w:rStyle w:val="EndnoteReference"/>
          <w:snapToGrid/>
        </w:rPr>
        <w:endnoteReference w:id="55"/>
      </w:r>
      <w:r>
        <w:rPr>
          <w:rFonts w:hint="eastAsia"/>
          <w:snapToGrid/>
          <w:spacing w:val="6"/>
        </w:rPr>
        <w:t xml:space="preserve"> </w:t>
      </w:r>
      <w:r>
        <w:rPr>
          <w:rFonts w:hint="eastAsia"/>
          <w:snapToGrid/>
          <w:spacing w:val="6"/>
        </w:rPr>
        <w:t>为了留在家里或留在自己的社会环境中，居住在没有特殊学校社区的残障儿童就得在正规学校上学，确切地说是在正规学校为他们开设的特殊班上学。</w:t>
      </w:r>
    </w:p>
    <w:p w:rsidR="00000000" w:rsidRDefault="00844A84">
      <w:pPr>
        <w:ind w:firstLine="510"/>
        <w:rPr>
          <w:rFonts w:hint="eastAsia"/>
          <w:snapToGrid/>
          <w:spacing w:val="8"/>
        </w:rPr>
      </w:pPr>
      <w:r>
        <w:rPr>
          <w:snapToGrid/>
        </w:rPr>
        <w:t>384.</w:t>
      </w:r>
      <w:r>
        <w:rPr>
          <w:rFonts w:hint="eastAsia"/>
          <w:snapToGrid/>
        </w:rPr>
        <w:t xml:space="preserve">  </w:t>
      </w:r>
      <w:r>
        <w:rPr>
          <w:rFonts w:hint="eastAsia"/>
          <w:snapToGrid/>
        </w:rPr>
        <w:t>为有助于克服与分类工作有关的困难，塞尔维亚共和国教育和体育部修订了残障儿童分类条例，以此作为修订立法第一阶段的组成部分。经订正的《初</w:t>
      </w:r>
      <w:r>
        <w:rPr>
          <w:rFonts w:hint="eastAsia"/>
          <w:snapToGrid/>
          <w:spacing w:val="8"/>
        </w:rPr>
        <w:t>等教育法》</w:t>
      </w:r>
      <w:r>
        <w:rPr>
          <w:rFonts w:hint="eastAsia"/>
          <w:snapToGrid/>
          <w:spacing w:val="8"/>
        </w:rPr>
        <w:t>(</w:t>
      </w:r>
      <w:r>
        <w:rPr>
          <w:rFonts w:hint="eastAsia"/>
          <w:snapToGrid/>
          <w:spacing w:val="8"/>
        </w:rPr>
        <w:t>《塞尔维亚共和国公报》，第</w:t>
      </w:r>
      <w:r>
        <w:rPr>
          <w:rFonts w:hint="eastAsia"/>
          <w:snapToGrid/>
          <w:spacing w:val="8"/>
        </w:rPr>
        <w:t>22/2002</w:t>
      </w:r>
      <w:r>
        <w:rPr>
          <w:rFonts w:hint="eastAsia"/>
          <w:snapToGrid/>
          <w:spacing w:val="8"/>
        </w:rPr>
        <w:t>号</w:t>
      </w:r>
      <w:r>
        <w:rPr>
          <w:rFonts w:hint="eastAsia"/>
          <w:snapToGrid/>
          <w:spacing w:val="8"/>
        </w:rPr>
        <w:t>)</w:t>
      </w:r>
      <w:r>
        <w:rPr>
          <w:rFonts w:hint="eastAsia"/>
          <w:snapToGrid/>
          <w:spacing w:val="8"/>
        </w:rPr>
        <w:t>规定，市政或民政管理当局有责任在对有关儿童分类的决定提出起诉时采取行动。该法令授权塞尔维亚共和国政府制定残障儿童分</w:t>
      </w:r>
      <w:r>
        <w:rPr>
          <w:rFonts w:hint="eastAsia"/>
          <w:snapToGrid/>
          <w:spacing w:val="8"/>
        </w:rPr>
        <w:t>类标准和程序以及保健局的工作方式。修订案确定了保健局人选标准。保健局由市政当局或民政当局根据学校所在地保健机构的建议任命保健局成员。保健局由以下人员组成：一名某一医药领域的顾问专家，一名心理学家、一名教育学家、一名专长某一残障问题的治疗专家和一名社会工作者</w:t>
      </w:r>
      <w:r>
        <w:rPr>
          <w:rFonts w:hint="eastAsia"/>
          <w:snapToGrid/>
          <w:spacing w:val="8"/>
        </w:rPr>
        <w:t>(</w:t>
      </w:r>
      <w:r>
        <w:rPr>
          <w:rFonts w:hint="eastAsia"/>
          <w:snapToGrid/>
          <w:spacing w:val="8"/>
        </w:rPr>
        <w:t>第</w:t>
      </w:r>
      <w:r>
        <w:rPr>
          <w:rFonts w:hint="eastAsia"/>
          <w:snapToGrid/>
          <w:spacing w:val="8"/>
        </w:rPr>
        <w:t>18</w:t>
      </w:r>
      <w:r>
        <w:rPr>
          <w:rFonts w:hint="eastAsia"/>
          <w:snapToGrid/>
          <w:spacing w:val="8"/>
        </w:rPr>
        <w:t>条</w:t>
      </w:r>
      <w:r>
        <w:rPr>
          <w:rFonts w:hint="eastAsia"/>
          <w:snapToGrid/>
          <w:spacing w:val="8"/>
        </w:rPr>
        <w:t>)</w:t>
      </w:r>
      <w:r>
        <w:rPr>
          <w:rFonts w:hint="eastAsia"/>
          <w:snapToGrid/>
          <w:spacing w:val="8"/>
        </w:rPr>
        <w:t>。</w:t>
      </w:r>
    </w:p>
    <w:p w:rsidR="00000000" w:rsidRDefault="00844A84">
      <w:pPr>
        <w:ind w:firstLine="510"/>
        <w:rPr>
          <w:rFonts w:hint="eastAsia"/>
          <w:snapToGrid/>
        </w:rPr>
      </w:pPr>
      <w:r>
        <w:rPr>
          <w:snapToGrid/>
        </w:rPr>
        <w:t>385.</w:t>
      </w:r>
      <w:r>
        <w:rPr>
          <w:rFonts w:hint="eastAsia"/>
          <w:snapToGrid/>
        </w:rPr>
        <w:t xml:space="preserve">  </w:t>
      </w:r>
      <w:r>
        <w:rPr>
          <w:rFonts w:hint="eastAsia"/>
          <w:snapToGrid/>
        </w:rPr>
        <w:t>学前教育由塞尔维亚共和国教育和体育部专门负责，使更多有特殊需要的儿童能接受学前教育。这种做法以及及时的分类工作，将有助于不至於太迟地发现各种学习问题，并使教师能有力地介入。</w:t>
      </w:r>
    </w:p>
    <w:p w:rsidR="00000000" w:rsidRDefault="00844A84">
      <w:pPr>
        <w:spacing w:after="320"/>
        <w:ind w:firstLine="510"/>
        <w:rPr>
          <w:snapToGrid/>
        </w:rPr>
      </w:pPr>
      <w:r>
        <w:rPr>
          <w:rFonts w:hint="eastAsia"/>
          <w:snapToGrid/>
        </w:rPr>
        <w:t>386.  1990</w:t>
      </w:r>
      <w:r>
        <w:rPr>
          <w:rFonts w:hint="eastAsia"/>
          <w:snapToGrid/>
        </w:rPr>
        <w:t>年代，特殊学校</w:t>
      </w:r>
      <w:r>
        <w:rPr>
          <w:rFonts w:hint="eastAsia"/>
          <w:snapToGrid/>
        </w:rPr>
        <w:t>(</w:t>
      </w:r>
      <w:r>
        <w:rPr>
          <w:rFonts w:hint="eastAsia"/>
          <w:snapToGrid/>
        </w:rPr>
        <w:t>包括正规学校特殊班</w:t>
      </w:r>
      <w:r>
        <w:rPr>
          <w:rFonts w:hint="eastAsia"/>
          <w:snapToGrid/>
        </w:rPr>
        <w:t>)</w:t>
      </w:r>
      <w:r>
        <w:rPr>
          <w:rFonts w:hint="eastAsia"/>
          <w:snapToGrid/>
        </w:rPr>
        <w:t>的数量有所增加。与</w:t>
      </w:r>
      <w:r>
        <w:rPr>
          <w:snapToGrid/>
        </w:rPr>
        <w:t>1991</w:t>
      </w:r>
      <w:r>
        <w:rPr>
          <w:rFonts w:hint="eastAsia"/>
          <w:snapToGrid/>
        </w:rPr>
        <w:t>/92</w:t>
      </w:r>
      <w:r>
        <w:rPr>
          <w:rFonts w:hint="eastAsia"/>
          <w:snapToGrid/>
        </w:rPr>
        <w:t>学年</w:t>
      </w:r>
      <w:r>
        <w:rPr>
          <w:rFonts w:hint="eastAsia"/>
          <w:snapToGrid/>
        </w:rPr>
        <w:t>(199</w:t>
      </w:r>
      <w:r>
        <w:rPr>
          <w:rFonts w:hint="eastAsia"/>
          <w:snapToGrid/>
        </w:rPr>
        <w:t>所特殊小学和</w:t>
      </w:r>
      <w:r>
        <w:rPr>
          <w:rFonts w:hint="eastAsia"/>
          <w:snapToGrid/>
        </w:rPr>
        <w:t>31</w:t>
      </w:r>
      <w:r>
        <w:rPr>
          <w:rFonts w:hint="eastAsia"/>
          <w:snapToGrid/>
        </w:rPr>
        <w:t>所特殊中学</w:t>
      </w:r>
      <w:r>
        <w:rPr>
          <w:rFonts w:hint="eastAsia"/>
          <w:snapToGrid/>
        </w:rPr>
        <w:t>)</w:t>
      </w:r>
      <w:r>
        <w:rPr>
          <w:rFonts w:hint="eastAsia"/>
          <w:snapToGrid/>
        </w:rPr>
        <w:t>相比，</w:t>
      </w:r>
      <w:r>
        <w:rPr>
          <w:snapToGrid/>
        </w:rPr>
        <w:t>1997</w:t>
      </w:r>
      <w:r>
        <w:rPr>
          <w:rFonts w:hint="eastAsia"/>
          <w:snapToGrid/>
        </w:rPr>
        <w:t>/98</w:t>
      </w:r>
      <w:r>
        <w:rPr>
          <w:rFonts w:hint="eastAsia"/>
          <w:snapToGrid/>
        </w:rPr>
        <w:t>学年特殊学校的数目</w:t>
      </w:r>
      <w:r>
        <w:rPr>
          <w:rFonts w:hint="eastAsia"/>
          <w:snapToGrid/>
        </w:rPr>
        <w:t>(228</w:t>
      </w:r>
      <w:r>
        <w:rPr>
          <w:rFonts w:hint="eastAsia"/>
          <w:snapToGrid/>
        </w:rPr>
        <w:t>所特殊小学和</w:t>
      </w:r>
      <w:r>
        <w:rPr>
          <w:rFonts w:hint="eastAsia"/>
          <w:snapToGrid/>
        </w:rPr>
        <w:t>40</w:t>
      </w:r>
      <w:r>
        <w:rPr>
          <w:rFonts w:hint="eastAsia"/>
          <w:snapToGrid/>
        </w:rPr>
        <w:t>所特殊中学</w:t>
      </w:r>
      <w:r>
        <w:rPr>
          <w:rFonts w:hint="eastAsia"/>
          <w:snapToGrid/>
        </w:rPr>
        <w:t>)</w:t>
      </w:r>
      <w:r>
        <w:rPr>
          <w:rFonts w:hint="eastAsia"/>
          <w:snapToGrid/>
        </w:rPr>
        <w:t>的增加最为明显。在连续几个学年</w:t>
      </w:r>
      <w:r>
        <w:rPr>
          <w:rFonts w:hint="eastAsia"/>
          <w:snapToGrid/>
        </w:rPr>
        <w:t>(1998/99</w:t>
      </w:r>
      <w:r>
        <w:rPr>
          <w:rFonts w:hint="eastAsia"/>
          <w:snapToGrid/>
        </w:rPr>
        <w:t>、</w:t>
      </w:r>
      <w:r>
        <w:rPr>
          <w:rFonts w:hint="eastAsia"/>
          <w:snapToGrid/>
        </w:rPr>
        <w:t>1999/2000</w:t>
      </w:r>
      <w:r>
        <w:rPr>
          <w:rFonts w:hint="eastAsia"/>
          <w:snapToGrid/>
        </w:rPr>
        <w:t>、</w:t>
      </w:r>
      <w:r>
        <w:rPr>
          <w:rFonts w:hint="eastAsia"/>
          <w:snapToGrid/>
        </w:rPr>
        <w:t>2000/2001)</w:t>
      </w:r>
      <w:r>
        <w:rPr>
          <w:rFonts w:hint="eastAsia"/>
          <w:snapToGrid/>
        </w:rPr>
        <w:t>中，特殊学校</w:t>
      </w:r>
      <w:r>
        <w:rPr>
          <w:rFonts w:hint="eastAsia"/>
          <w:snapToGrid/>
        </w:rPr>
        <w:t>/</w:t>
      </w:r>
      <w:r>
        <w:rPr>
          <w:rFonts w:hint="eastAsia"/>
          <w:snapToGrid/>
        </w:rPr>
        <w:t>特殊班的数目比</w:t>
      </w:r>
      <w:r>
        <w:rPr>
          <w:rFonts w:hint="eastAsia"/>
          <w:snapToGrid/>
        </w:rPr>
        <w:t>1997/98</w:t>
      </w:r>
      <w:r>
        <w:rPr>
          <w:rFonts w:hint="eastAsia"/>
          <w:snapToGrid/>
        </w:rPr>
        <w:t>学年有所下降。特殊学校</w:t>
      </w:r>
      <w:r>
        <w:rPr>
          <w:rFonts w:hint="eastAsia"/>
          <w:snapToGrid/>
        </w:rPr>
        <w:t>/</w:t>
      </w:r>
      <w:r>
        <w:rPr>
          <w:rFonts w:hint="eastAsia"/>
          <w:snapToGrid/>
        </w:rPr>
        <w:t>特殊班上课考勤统计数据表明上课的学生人数有所减少。有关特殊学校学生性别比例的数据表明男生多于女生。</w:t>
      </w:r>
      <w:r>
        <w:rPr>
          <w:rStyle w:val="EndnoteReference"/>
          <w:snapToGrid/>
        </w:rPr>
        <w:endnoteReference w:id="56"/>
      </w:r>
    </w:p>
    <w:p w:rsidR="00000000" w:rsidRDefault="00844A84">
      <w:pPr>
        <w:pStyle w:val="Heading3"/>
        <w:rPr>
          <w:rFonts w:hint="eastAsia"/>
        </w:rPr>
      </w:pPr>
      <w:r>
        <w:rPr>
          <w:snapToGrid/>
        </w:rPr>
        <w:br w:type="page"/>
      </w:r>
      <w:r>
        <w:rPr>
          <w:rFonts w:hint="eastAsia"/>
          <w:u w:val="none"/>
        </w:rPr>
        <w:t>表</w:t>
      </w:r>
      <w:r>
        <w:rPr>
          <w:rFonts w:hint="eastAsia"/>
          <w:u w:val="none"/>
        </w:rPr>
        <w:t>22</w:t>
      </w:r>
      <w:r>
        <w:rPr>
          <w:u w:val="none"/>
        </w:rPr>
        <w:br/>
      </w:r>
      <w:r>
        <w:rPr>
          <w:rFonts w:hint="eastAsia"/>
        </w:rPr>
        <w:t>接受初等教育和中等教育的残障学生人数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65"/>
        <w:gridCol w:w="1255"/>
        <w:gridCol w:w="1065"/>
        <w:gridCol w:w="1154"/>
        <w:gridCol w:w="1139"/>
        <w:gridCol w:w="1306"/>
        <w:gridCol w:w="1248"/>
        <w:gridCol w:w="1378"/>
      </w:tblGrid>
      <w:tr w:rsidR="00000000">
        <w:tblPrEx>
          <w:tblCellMar>
            <w:top w:w="0" w:type="dxa"/>
            <w:bottom w:w="0" w:type="dxa"/>
          </w:tblCellMar>
        </w:tblPrEx>
        <w:trPr>
          <w:cantSplit/>
        </w:trPr>
        <w:tc>
          <w:tcPr>
            <w:tcW w:w="1127" w:type="pct"/>
            <w:gridSpan w:val="2"/>
            <w:tcBorders>
              <w:bottom w:val="nil"/>
            </w:tcBorders>
          </w:tcPr>
          <w:p w:rsidR="00000000" w:rsidRDefault="00844A84">
            <w:pPr>
              <w:pStyle w:val="a2"/>
              <w:spacing w:before="60" w:after="60"/>
              <w:jc w:val="center"/>
              <w:rPr>
                <w:rFonts w:ascii="Time New Roman" w:eastAsia="SimHei" w:hAnsi="Time New Roman" w:hint="eastAsia"/>
                <w:snapToGrid/>
              </w:rPr>
            </w:pPr>
          </w:p>
        </w:tc>
        <w:tc>
          <w:tcPr>
            <w:tcW w:w="1784" w:type="pct"/>
            <w:gridSpan w:val="3"/>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初</w:t>
            </w:r>
            <w:r>
              <w:rPr>
                <w:rFonts w:ascii="Time New Roman" w:eastAsia="SimHei" w:hAnsi="Time New Roman" w:hint="eastAsia"/>
                <w:snapToGrid/>
              </w:rPr>
              <w:t xml:space="preserve"> </w:t>
            </w:r>
            <w:r>
              <w:rPr>
                <w:rFonts w:ascii="Time New Roman" w:eastAsia="SimHei" w:hAnsi="Time New Roman" w:hint="eastAsia"/>
                <w:snapToGrid/>
              </w:rPr>
              <w:t>等</w:t>
            </w:r>
            <w:r>
              <w:rPr>
                <w:rFonts w:ascii="Time New Roman" w:eastAsia="SimHei" w:hAnsi="Time New Roman" w:hint="eastAsia"/>
                <w:snapToGrid/>
              </w:rPr>
              <w:t xml:space="preserve"> </w:t>
            </w:r>
            <w:r>
              <w:rPr>
                <w:rFonts w:ascii="Time New Roman" w:eastAsia="SimHei" w:hAnsi="Time New Roman" w:hint="eastAsia"/>
                <w:snapToGrid/>
              </w:rPr>
              <w:t>教</w:t>
            </w:r>
            <w:r>
              <w:rPr>
                <w:rFonts w:ascii="Time New Roman" w:eastAsia="SimHei" w:hAnsi="Time New Roman" w:hint="eastAsia"/>
                <w:snapToGrid/>
              </w:rPr>
              <w:t xml:space="preserve"> </w:t>
            </w:r>
            <w:r>
              <w:rPr>
                <w:rFonts w:ascii="Time New Roman" w:eastAsia="SimHei" w:hAnsi="Time New Roman" w:hint="eastAsia"/>
                <w:snapToGrid/>
              </w:rPr>
              <w:t>育</w:t>
            </w:r>
          </w:p>
        </w:tc>
        <w:tc>
          <w:tcPr>
            <w:tcW w:w="2089" w:type="pct"/>
            <w:gridSpan w:val="3"/>
          </w:tcPr>
          <w:p w:rsidR="00000000" w:rsidRDefault="00844A84">
            <w:pPr>
              <w:pStyle w:val="a2"/>
              <w:spacing w:before="60" w:after="60"/>
              <w:jc w:val="center"/>
              <w:rPr>
                <w:rFonts w:ascii="Time New Roman" w:eastAsia="SimHei" w:hAnsi="Time New Roman"/>
                <w:snapToGrid/>
              </w:rPr>
            </w:pPr>
            <w:r>
              <w:rPr>
                <w:rFonts w:ascii="Time New Roman" w:eastAsia="SimHei" w:hAnsi="Time New Roman" w:hint="eastAsia"/>
                <w:snapToGrid/>
              </w:rPr>
              <w:t>中</w:t>
            </w:r>
            <w:r>
              <w:rPr>
                <w:rFonts w:ascii="Time New Roman" w:eastAsia="SimHei" w:hAnsi="Time New Roman" w:hint="eastAsia"/>
                <w:snapToGrid/>
              </w:rPr>
              <w:t xml:space="preserve"> </w:t>
            </w:r>
            <w:r>
              <w:rPr>
                <w:rFonts w:ascii="Time New Roman" w:eastAsia="SimHei" w:hAnsi="Time New Roman" w:hint="eastAsia"/>
                <w:snapToGrid/>
              </w:rPr>
              <w:t>等</w:t>
            </w:r>
            <w:r>
              <w:rPr>
                <w:rFonts w:ascii="Time New Roman" w:eastAsia="SimHei" w:hAnsi="Time New Roman" w:hint="eastAsia"/>
                <w:snapToGrid/>
              </w:rPr>
              <w:t xml:space="preserve"> </w:t>
            </w:r>
            <w:r>
              <w:rPr>
                <w:rFonts w:ascii="Time New Roman" w:eastAsia="SimHei" w:hAnsi="Time New Roman" w:hint="eastAsia"/>
                <w:snapToGrid/>
              </w:rPr>
              <w:t>教</w:t>
            </w:r>
            <w:r>
              <w:rPr>
                <w:rFonts w:ascii="Time New Roman" w:eastAsia="SimHei" w:hAnsi="Time New Roman" w:hint="eastAsia"/>
                <w:snapToGrid/>
              </w:rPr>
              <w:t xml:space="preserve"> </w:t>
            </w:r>
            <w:r>
              <w:rPr>
                <w:rFonts w:ascii="Time New Roman" w:eastAsia="SimHei" w:hAnsi="Time New Roman" w:hint="eastAsia"/>
                <w:snapToGrid/>
              </w:rPr>
              <w:t>育</w:t>
            </w:r>
            <w:r>
              <w:rPr>
                <w:rFonts w:ascii="Time New Roman" w:eastAsia="SimHei" w:hAnsi="Time New Roman" w:hint="eastAsia"/>
                <w:kern w:val="28"/>
                <w:sz w:val="28"/>
                <w:vertAlign w:val="superscript"/>
              </w:rPr>
              <w:t xml:space="preserve"> </w:t>
            </w:r>
            <w:r>
              <w:rPr>
                <w:rFonts w:ascii="Time New Roman" w:eastAsia="SimHei" w:hAnsi="Time New Roman" w:hint="eastAsia"/>
                <w:b/>
                <w:bCs/>
                <w:kern w:val="28"/>
                <w:sz w:val="28"/>
                <w:vertAlign w:val="superscript"/>
              </w:rPr>
              <w:t>a</w:t>
            </w:r>
          </w:p>
        </w:tc>
      </w:tr>
      <w:tr w:rsidR="00000000">
        <w:tblPrEx>
          <w:tblCellMar>
            <w:top w:w="0" w:type="dxa"/>
            <w:bottom w:w="0" w:type="dxa"/>
          </w:tblCellMar>
        </w:tblPrEx>
        <w:trPr>
          <w:cantSplit/>
        </w:trPr>
        <w:tc>
          <w:tcPr>
            <w:tcW w:w="1127" w:type="pct"/>
            <w:gridSpan w:val="2"/>
            <w:tcBorders>
              <w:top w:val="nil"/>
            </w:tcBorders>
          </w:tcPr>
          <w:p w:rsidR="00000000" w:rsidRDefault="00844A84">
            <w:pPr>
              <w:pStyle w:val="a2"/>
              <w:spacing w:before="60" w:after="60"/>
              <w:jc w:val="center"/>
              <w:rPr>
                <w:rFonts w:ascii="Time New Roman" w:eastAsia="SimHei" w:hAnsi="Time New Roman" w:hint="eastAsia"/>
                <w:snapToGrid/>
              </w:rPr>
            </w:pPr>
          </w:p>
        </w:tc>
        <w:tc>
          <w:tcPr>
            <w:tcW w:w="566"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总</w:t>
            </w:r>
            <w:r>
              <w:rPr>
                <w:rFonts w:ascii="Time New Roman" w:eastAsia="SimHei" w:hAnsi="Time New Roman" w:hint="eastAsia"/>
                <w:snapToGrid/>
              </w:rPr>
              <w:t xml:space="preserve"> </w:t>
            </w:r>
            <w:r>
              <w:rPr>
                <w:rFonts w:ascii="Time New Roman" w:eastAsia="SimHei" w:hAnsi="Time New Roman" w:hint="eastAsia"/>
                <w:snapToGrid/>
              </w:rPr>
              <w:t>人</w:t>
            </w:r>
            <w:r>
              <w:rPr>
                <w:rFonts w:ascii="Time New Roman" w:eastAsia="SimHei" w:hAnsi="Time New Roman" w:hint="eastAsia"/>
                <w:snapToGrid/>
              </w:rPr>
              <w:t xml:space="preserve"> </w:t>
            </w:r>
            <w:r>
              <w:rPr>
                <w:rFonts w:ascii="Time New Roman" w:eastAsia="SimHei" w:hAnsi="Time New Roman" w:hint="eastAsia"/>
                <w:snapToGrid/>
              </w:rPr>
              <w:t>数</w:t>
            </w:r>
          </w:p>
        </w:tc>
        <w:tc>
          <w:tcPr>
            <w:tcW w:w="1217" w:type="pct"/>
            <w:gridSpan w:val="2"/>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按性别</w:t>
            </w:r>
            <w:r>
              <w:rPr>
                <w:rFonts w:ascii="Time New Roman" w:eastAsia="SimHei" w:hAnsi="Time New Roman" w:hint="eastAsia"/>
                <w:snapToGrid/>
              </w:rPr>
              <w:t>分列的人数</w:t>
            </w:r>
          </w:p>
        </w:tc>
        <w:tc>
          <w:tcPr>
            <w:tcW w:w="694"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总人数</w:t>
            </w:r>
          </w:p>
        </w:tc>
        <w:tc>
          <w:tcPr>
            <w:tcW w:w="1395" w:type="pct"/>
            <w:gridSpan w:val="2"/>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按性别分列的人数</w:t>
            </w:r>
          </w:p>
        </w:tc>
      </w:tr>
      <w:tr w:rsidR="00000000">
        <w:tblPrEx>
          <w:tblCellMar>
            <w:top w:w="0" w:type="dxa"/>
            <w:bottom w:w="0" w:type="dxa"/>
          </w:tblCellMar>
        </w:tblPrEx>
        <w:tc>
          <w:tcPr>
            <w:tcW w:w="460"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学</w:t>
            </w:r>
            <w:r>
              <w:rPr>
                <w:rFonts w:ascii="Time New Roman" w:eastAsia="SimHei" w:hAnsi="Time New Roman" w:hint="eastAsia"/>
                <w:snapToGrid/>
              </w:rPr>
              <w:t xml:space="preserve">  </w:t>
            </w:r>
            <w:r>
              <w:rPr>
                <w:rFonts w:ascii="Time New Roman" w:eastAsia="SimHei" w:hAnsi="Time New Roman" w:hint="eastAsia"/>
                <w:snapToGrid/>
              </w:rPr>
              <w:t>年</w:t>
            </w:r>
          </w:p>
        </w:tc>
        <w:tc>
          <w:tcPr>
            <w:tcW w:w="667"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共计百分比</w:t>
            </w:r>
          </w:p>
        </w:tc>
        <w:tc>
          <w:tcPr>
            <w:tcW w:w="566"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学生总数</w:t>
            </w:r>
          </w:p>
        </w:tc>
        <w:tc>
          <w:tcPr>
            <w:tcW w:w="613"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生</w:t>
            </w:r>
          </w:p>
        </w:tc>
        <w:tc>
          <w:tcPr>
            <w:tcW w:w="604"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女</w:t>
            </w:r>
            <w:r>
              <w:rPr>
                <w:rFonts w:ascii="Time New Roman" w:eastAsia="SimHei" w:hAnsi="Time New Roman" w:hint="eastAsia"/>
                <w:snapToGrid/>
              </w:rPr>
              <w:t xml:space="preserve">  </w:t>
            </w:r>
            <w:r>
              <w:rPr>
                <w:rFonts w:ascii="Time New Roman" w:eastAsia="SimHei" w:hAnsi="Time New Roman" w:hint="eastAsia"/>
                <w:snapToGrid/>
              </w:rPr>
              <w:t>生</w:t>
            </w:r>
          </w:p>
        </w:tc>
        <w:tc>
          <w:tcPr>
            <w:tcW w:w="694"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学生总数</w:t>
            </w:r>
          </w:p>
        </w:tc>
        <w:tc>
          <w:tcPr>
            <w:tcW w:w="663"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男</w:t>
            </w:r>
            <w:r>
              <w:rPr>
                <w:rFonts w:ascii="Time New Roman" w:eastAsia="SimHei" w:hAnsi="Time New Roman" w:hint="eastAsia"/>
                <w:snapToGrid/>
              </w:rPr>
              <w:t xml:space="preserve">  </w:t>
            </w:r>
            <w:r>
              <w:rPr>
                <w:rFonts w:ascii="Time New Roman" w:eastAsia="SimHei" w:hAnsi="Time New Roman" w:hint="eastAsia"/>
                <w:snapToGrid/>
              </w:rPr>
              <w:t>生</w:t>
            </w:r>
          </w:p>
        </w:tc>
        <w:tc>
          <w:tcPr>
            <w:tcW w:w="732" w:type="pct"/>
          </w:tcPr>
          <w:p w:rsidR="00000000" w:rsidRDefault="00844A84">
            <w:pPr>
              <w:pStyle w:val="a2"/>
              <w:spacing w:before="60" w:after="60"/>
              <w:jc w:val="center"/>
              <w:rPr>
                <w:rFonts w:ascii="Time New Roman" w:eastAsia="SimHei" w:hAnsi="Time New Roman" w:hint="eastAsia"/>
                <w:snapToGrid/>
              </w:rPr>
            </w:pPr>
            <w:r>
              <w:rPr>
                <w:rFonts w:ascii="Time New Roman" w:eastAsia="SimHei" w:hAnsi="Time New Roman" w:hint="eastAsia"/>
                <w:snapToGrid/>
              </w:rPr>
              <w:t>女</w:t>
            </w:r>
            <w:r>
              <w:rPr>
                <w:rFonts w:ascii="Time New Roman" w:eastAsia="SimHei" w:hAnsi="Time New Roman" w:hint="eastAsia"/>
                <w:snapToGrid/>
              </w:rPr>
              <w:t xml:space="preserve">  </w:t>
            </w:r>
            <w:r>
              <w:rPr>
                <w:rFonts w:ascii="Time New Roman" w:eastAsia="SimHei" w:hAnsi="Time New Roman" w:hint="eastAsia"/>
                <w:snapToGrid/>
              </w:rPr>
              <w:t>生</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snapToGrid/>
              </w:rPr>
              <w:t>1991</w:t>
            </w:r>
            <w:r>
              <w:rPr>
                <w:rFonts w:hint="eastAsia"/>
                <w:snapToGrid/>
              </w:rPr>
              <w:t>/</w:t>
            </w:r>
            <w:r>
              <w:rPr>
                <w:snapToGrid/>
              </w:rPr>
              <w:t>92</w:t>
            </w:r>
          </w:p>
        </w:tc>
        <w:tc>
          <w:tcPr>
            <w:tcW w:w="667" w:type="pct"/>
            <w:tcBorders>
              <w:bottom w:val="nil"/>
            </w:tcBorders>
          </w:tcPr>
          <w:p w:rsidR="00000000" w:rsidRDefault="00844A84">
            <w:pPr>
              <w:pStyle w:val="a2"/>
              <w:rPr>
                <w:rFonts w:hint="eastAsia"/>
                <w:snapToGrid/>
              </w:rPr>
            </w:pPr>
          </w:p>
        </w:tc>
        <w:tc>
          <w:tcPr>
            <w:tcW w:w="566" w:type="pct"/>
            <w:tcBorders>
              <w:bottom w:val="nil"/>
            </w:tcBorders>
          </w:tcPr>
          <w:p w:rsidR="00000000" w:rsidRDefault="00844A84">
            <w:pPr>
              <w:pStyle w:val="a2"/>
              <w:tabs>
                <w:tab w:val="decimal" w:pos="602"/>
              </w:tabs>
            </w:pPr>
            <w:r>
              <w:t>8,567</w:t>
            </w:r>
          </w:p>
        </w:tc>
        <w:tc>
          <w:tcPr>
            <w:tcW w:w="613" w:type="pct"/>
            <w:tcBorders>
              <w:bottom w:val="nil"/>
            </w:tcBorders>
          </w:tcPr>
          <w:p w:rsidR="00000000" w:rsidRDefault="00844A84">
            <w:pPr>
              <w:pStyle w:val="a2"/>
              <w:tabs>
                <w:tab w:val="decimal" w:pos="602"/>
              </w:tabs>
            </w:pPr>
            <w:r>
              <w:t>5,059</w:t>
            </w:r>
          </w:p>
        </w:tc>
        <w:tc>
          <w:tcPr>
            <w:tcW w:w="604" w:type="pct"/>
            <w:tcBorders>
              <w:bottom w:val="nil"/>
            </w:tcBorders>
          </w:tcPr>
          <w:p w:rsidR="00000000" w:rsidRDefault="00844A84">
            <w:pPr>
              <w:pStyle w:val="a2"/>
              <w:tabs>
                <w:tab w:val="decimal" w:pos="602"/>
              </w:tabs>
            </w:pPr>
            <w:r>
              <w:t>3,508</w:t>
            </w:r>
          </w:p>
        </w:tc>
        <w:tc>
          <w:tcPr>
            <w:tcW w:w="694" w:type="pct"/>
            <w:tcBorders>
              <w:bottom w:val="nil"/>
            </w:tcBorders>
          </w:tcPr>
          <w:p w:rsidR="00000000" w:rsidRDefault="00844A84">
            <w:pPr>
              <w:pStyle w:val="a2"/>
              <w:tabs>
                <w:tab w:val="decimal" w:pos="762"/>
              </w:tabs>
            </w:pPr>
            <w:r>
              <w:t>1,533</w:t>
            </w:r>
          </w:p>
        </w:tc>
        <w:tc>
          <w:tcPr>
            <w:tcW w:w="663" w:type="pct"/>
            <w:tcBorders>
              <w:bottom w:val="nil"/>
            </w:tcBorders>
          </w:tcPr>
          <w:p w:rsidR="00000000" w:rsidRDefault="00844A84">
            <w:pPr>
              <w:pStyle w:val="a2"/>
              <w:tabs>
                <w:tab w:val="decimal" w:pos="602"/>
              </w:tabs>
            </w:pPr>
            <w:r>
              <w:t>990</w:t>
            </w:r>
          </w:p>
        </w:tc>
        <w:tc>
          <w:tcPr>
            <w:tcW w:w="732" w:type="pct"/>
            <w:tcBorders>
              <w:bottom w:val="nil"/>
            </w:tcBorders>
          </w:tcPr>
          <w:p w:rsidR="00000000" w:rsidRDefault="00844A84">
            <w:pPr>
              <w:pStyle w:val="a2"/>
              <w:tabs>
                <w:tab w:val="decimal" w:pos="602"/>
              </w:tabs>
            </w:pPr>
            <w:r>
              <w:t>543</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59.05</w:t>
            </w:r>
          </w:p>
        </w:tc>
        <w:tc>
          <w:tcPr>
            <w:tcW w:w="604" w:type="pct"/>
            <w:tcBorders>
              <w:top w:val="nil"/>
            </w:tcBorders>
          </w:tcPr>
          <w:p w:rsidR="00000000" w:rsidRDefault="00844A84">
            <w:pPr>
              <w:pStyle w:val="a2"/>
              <w:tabs>
                <w:tab w:val="decimal" w:pos="602"/>
              </w:tabs>
            </w:pPr>
            <w:r>
              <w:t>40.95</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64.58</w:t>
            </w:r>
          </w:p>
        </w:tc>
        <w:tc>
          <w:tcPr>
            <w:tcW w:w="732" w:type="pct"/>
            <w:tcBorders>
              <w:top w:val="nil"/>
            </w:tcBorders>
          </w:tcPr>
          <w:p w:rsidR="00000000" w:rsidRDefault="00844A84">
            <w:pPr>
              <w:pStyle w:val="a2"/>
              <w:tabs>
                <w:tab w:val="decimal" w:pos="602"/>
              </w:tabs>
            </w:pPr>
            <w:r>
              <w:t>35.42</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1992/93</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8,345</w:t>
            </w:r>
          </w:p>
        </w:tc>
        <w:tc>
          <w:tcPr>
            <w:tcW w:w="613" w:type="pct"/>
            <w:tcBorders>
              <w:bottom w:val="nil"/>
            </w:tcBorders>
          </w:tcPr>
          <w:p w:rsidR="00000000" w:rsidRDefault="00844A84">
            <w:pPr>
              <w:pStyle w:val="a2"/>
              <w:tabs>
                <w:tab w:val="decimal" w:pos="602"/>
              </w:tabs>
            </w:pPr>
            <w:r>
              <w:t>5,002</w:t>
            </w:r>
          </w:p>
        </w:tc>
        <w:tc>
          <w:tcPr>
            <w:tcW w:w="604" w:type="pct"/>
            <w:tcBorders>
              <w:bottom w:val="nil"/>
            </w:tcBorders>
          </w:tcPr>
          <w:p w:rsidR="00000000" w:rsidRDefault="00844A84">
            <w:pPr>
              <w:pStyle w:val="a2"/>
              <w:tabs>
                <w:tab w:val="decimal" w:pos="602"/>
              </w:tabs>
            </w:pPr>
            <w:r>
              <w:t>3,343</w:t>
            </w:r>
          </w:p>
        </w:tc>
        <w:tc>
          <w:tcPr>
            <w:tcW w:w="694" w:type="pct"/>
            <w:tcBorders>
              <w:bottom w:val="nil"/>
            </w:tcBorders>
          </w:tcPr>
          <w:p w:rsidR="00000000" w:rsidRDefault="00844A84">
            <w:pPr>
              <w:pStyle w:val="a2"/>
              <w:tabs>
                <w:tab w:val="decimal" w:pos="762"/>
              </w:tabs>
            </w:pPr>
            <w:r>
              <w:t>1,577</w:t>
            </w:r>
          </w:p>
        </w:tc>
        <w:tc>
          <w:tcPr>
            <w:tcW w:w="663" w:type="pct"/>
            <w:tcBorders>
              <w:bottom w:val="nil"/>
            </w:tcBorders>
          </w:tcPr>
          <w:p w:rsidR="00000000" w:rsidRDefault="00844A84">
            <w:pPr>
              <w:pStyle w:val="a2"/>
              <w:tabs>
                <w:tab w:val="decimal" w:pos="602"/>
              </w:tabs>
            </w:pPr>
            <w:r>
              <w:t>1,022</w:t>
            </w:r>
          </w:p>
        </w:tc>
        <w:tc>
          <w:tcPr>
            <w:tcW w:w="732" w:type="pct"/>
            <w:tcBorders>
              <w:bottom w:val="nil"/>
            </w:tcBorders>
          </w:tcPr>
          <w:p w:rsidR="00000000" w:rsidRDefault="00844A84">
            <w:pPr>
              <w:pStyle w:val="a2"/>
              <w:tabs>
                <w:tab w:val="decimal" w:pos="602"/>
              </w:tabs>
            </w:pPr>
            <w:r>
              <w:t>555</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59.94</w:t>
            </w:r>
          </w:p>
        </w:tc>
        <w:tc>
          <w:tcPr>
            <w:tcW w:w="604" w:type="pct"/>
            <w:tcBorders>
              <w:top w:val="nil"/>
            </w:tcBorders>
          </w:tcPr>
          <w:p w:rsidR="00000000" w:rsidRDefault="00844A84">
            <w:pPr>
              <w:pStyle w:val="a2"/>
              <w:tabs>
                <w:tab w:val="decimal" w:pos="602"/>
              </w:tabs>
            </w:pPr>
            <w:r>
              <w:t>40.06</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64.81</w:t>
            </w:r>
          </w:p>
        </w:tc>
        <w:tc>
          <w:tcPr>
            <w:tcW w:w="732" w:type="pct"/>
            <w:tcBorders>
              <w:top w:val="nil"/>
            </w:tcBorders>
          </w:tcPr>
          <w:p w:rsidR="00000000" w:rsidRDefault="00844A84">
            <w:pPr>
              <w:pStyle w:val="a2"/>
              <w:tabs>
                <w:tab w:val="decimal" w:pos="602"/>
              </w:tabs>
            </w:pPr>
            <w:r>
              <w:t>35.193</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1993/94</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7,962</w:t>
            </w:r>
          </w:p>
        </w:tc>
        <w:tc>
          <w:tcPr>
            <w:tcW w:w="613" w:type="pct"/>
            <w:tcBorders>
              <w:bottom w:val="nil"/>
            </w:tcBorders>
          </w:tcPr>
          <w:p w:rsidR="00000000" w:rsidRDefault="00844A84">
            <w:pPr>
              <w:pStyle w:val="a2"/>
              <w:tabs>
                <w:tab w:val="decimal" w:pos="602"/>
              </w:tabs>
            </w:pPr>
            <w:r>
              <w:t>4,83</w:t>
            </w:r>
            <w:r>
              <w:t>7</w:t>
            </w:r>
          </w:p>
        </w:tc>
        <w:tc>
          <w:tcPr>
            <w:tcW w:w="604" w:type="pct"/>
            <w:tcBorders>
              <w:bottom w:val="nil"/>
            </w:tcBorders>
          </w:tcPr>
          <w:p w:rsidR="00000000" w:rsidRDefault="00844A84">
            <w:pPr>
              <w:pStyle w:val="a2"/>
              <w:tabs>
                <w:tab w:val="decimal" w:pos="602"/>
              </w:tabs>
            </w:pPr>
            <w:r>
              <w:t>3,125</w:t>
            </w:r>
          </w:p>
        </w:tc>
        <w:tc>
          <w:tcPr>
            <w:tcW w:w="694" w:type="pct"/>
            <w:tcBorders>
              <w:bottom w:val="nil"/>
            </w:tcBorders>
          </w:tcPr>
          <w:p w:rsidR="00000000" w:rsidRDefault="00844A84">
            <w:pPr>
              <w:pStyle w:val="a2"/>
              <w:tabs>
                <w:tab w:val="decimal" w:pos="762"/>
              </w:tabs>
            </w:pPr>
            <w:r>
              <w:t>1,175</w:t>
            </w:r>
          </w:p>
        </w:tc>
        <w:tc>
          <w:tcPr>
            <w:tcW w:w="663" w:type="pct"/>
            <w:tcBorders>
              <w:bottom w:val="nil"/>
            </w:tcBorders>
          </w:tcPr>
          <w:p w:rsidR="00000000" w:rsidRDefault="00844A84">
            <w:pPr>
              <w:pStyle w:val="a2"/>
              <w:tabs>
                <w:tab w:val="decimal" w:pos="602"/>
              </w:tabs>
            </w:pPr>
            <w:r>
              <w:t>772</w:t>
            </w:r>
          </w:p>
        </w:tc>
        <w:tc>
          <w:tcPr>
            <w:tcW w:w="732" w:type="pct"/>
            <w:tcBorders>
              <w:bottom w:val="nil"/>
            </w:tcBorders>
          </w:tcPr>
          <w:p w:rsidR="00000000" w:rsidRDefault="00844A84">
            <w:pPr>
              <w:pStyle w:val="a2"/>
              <w:tabs>
                <w:tab w:val="decimal" w:pos="602"/>
              </w:tabs>
            </w:pPr>
            <w:r>
              <w:t>403</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60.75</w:t>
            </w:r>
          </w:p>
        </w:tc>
        <w:tc>
          <w:tcPr>
            <w:tcW w:w="604" w:type="pct"/>
            <w:tcBorders>
              <w:top w:val="nil"/>
            </w:tcBorders>
          </w:tcPr>
          <w:p w:rsidR="00000000" w:rsidRDefault="00844A84">
            <w:pPr>
              <w:pStyle w:val="a2"/>
              <w:tabs>
                <w:tab w:val="decimal" w:pos="602"/>
              </w:tabs>
            </w:pPr>
            <w:r>
              <w:t>39.25</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65.70</w:t>
            </w:r>
          </w:p>
        </w:tc>
        <w:tc>
          <w:tcPr>
            <w:tcW w:w="732" w:type="pct"/>
            <w:tcBorders>
              <w:top w:val="nil"/>
            </w:tcBorders>
          </w:tcPr>
          <w:p w:rsidR="00000000" w:rsidRDefault="00844A84">
            <w:pPr>
              <w:pStyle w:val="a2"/>
              <w:tabs>
                <w:tab w:val="decimal" w:pos="602"/>
              </w:tabs>
            </w:pPr>
            <w:r>
              <w:t>34.30</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1994/95</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7,929</w:t>
            </w:r>
          </w:p>
        </w:tc>
        <w:tc>
          <w:tcPr>
            <w:tcW w:w="613" w:type="pct"/>
            <w:tcBorders>
              <w:bottom w:val="nil"/>
            </w:tcBorders>
          </w:tcPr>
          <w:p w:rsidR="00000000" w:rsidRDefault="00844A84">
            <w:pPr>
              <w:pStyle w:val="a2"/>
              <w:tabs>
                <w:tab w:val="decimal" w:pos="602"/>
              </w:tabs>
            </w:pPr>
            <w:r>
              <w:t>4,751</w:t>
            </w:r>
          </w:p>
        </w:tc>
        <w:tc>
          <w:tcPr>
            <w:tcW w:w="604" w:type="pct"/>
            <w:tcBorders>
              <w:bottom w:val="nil"/>
            </w:tcBorders>
          </w:tcPr>
          <w:p w:rsidR="00000000" w:rsidRDefault="00844A84">
            <w:pPr>
              <w:pStyle w:val="a2"/>
              <w:tabs>
                <w:tab w:val="decimal" w:pos="602"/>
              </w:tabs>
            </w:pPr>
            <w:r>
              <w:t>3,178</w:t>
            </w:r>
          </w:p>
        </w:tc>
        <w:tc>
          <w:tcPr>
            <w:tcW w:w="694" w:type="pct"/>
            <w:tcBorders>
              <w:bottom w:val="nil"/>
            </w:tcBorders>
          </w:tcPr>
          <w:p w:rsidR="00000000" w:rsidRDefault="00844A84">
            <w:pPr>
              <w:pStyle w:val="a2"/>
              <w:tabs>
                <w:tab w:val="decimal" w:pos="762"/>
              </w:tabs>
            </w:pPr>
            <w:r>
              <w:t>1,302</w:t>
            </w:r>
          </w:p>
        </w:tc>
        <w:tc>
          <w:tcPr>
            <w:tcW w:w="663" w:type="pct"/>
            <w:tcBorders>
              <w:bottom w:val="nil"/>
            </w:tcBorders>
          </w:tcPr>
          <w:p w:rsidR="00000000" w:rsidRDefault="00844A84">
            <w:pPr>
              <w:pStyle w:val="a2"/>
              <w:tabs>
                <w:tab w:val="decimal" w:pos="602"/>
              </w:tabs>
            </w:pPr>
            <w:r>
              <w:rPr>
                <w:rFonts w:hint="eastAsia"/>
              </w:rPr>
              <w:t xml:space="preserve">  </w:t>
            </w:r>
            <w:r>
              <w:t>846</w:t>
            </w:r>
          </w:p>
        </w:tc>
        <w:tc>
          <w:tcPr>
            <w:tcW w:w="732" w:type="pct"/>
            <w:tcBorders>
              <w:bottom w:val="nil"/>
            </w:tcBorders>
          </w:tcPr>
          <w:p w:rsidR="00000000" w:rsidRDefault="00844A84">
            <w:pPr>
              <w:pStyle w:val="a2"/>
              <w:tabs>
                <w:tab w:val="decimal" w:pos="602"/>
              </w:tabs>
            </w:pPr>
            <w:r>
              <w:rPr>
                <w:rFonts w:hint="eastAsia"/>
              </w:rPr>
              <w:t xml:space="preserve">  </w:t>
            </w:r>
            <w:r>
              <w:t>456</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59.92</w:t>
            </w:r>
          </w:p>
        </w:tc>
        <w:tc>
          <w:tcPr>
            <w:tcW w:w="604" w:type="pct"/>
            <w:tcBorders>
              <w:top w:val="nil"/>
            </w:tcBorders>
          </w:tcPr>
          <w:p w:rsidR="00000000" w:rsidRDefault="00844A84">
            <w:pPr>
              <w:pStyle w:val="a2"/>
              <w:tabs>
                <w:tab w:val="decimal" w:pos="602"/>
              </w:tabs>
            </w:pPr>
            <w:r>
              <w:t>40.08</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64.98</w:t>
            </w:r>
          </w:p>
        </w:tc>
        <w:tc>
          <w:tcPr>
            <w:tcW w:w="732" w:type="pct"/>
            <w:tcBorders>
              <w:top w:val="nil"/>
            </w:tcBorders>
          </w:tcPr>
          <w:p w:rsidR="00000000" w:rsidRDefault="00844A84">
            <w:pPr>
              <w:pStyle w:val="a2"/>
              <w:tabs>
                <w:tab w:val="decimal" w:pos="602"/>
              </w:tabs>
            </w:pPr>
            <w:r>
              <w:t>35.02</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1995/96</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8,240</w:t>
            </w:r>
          </w:p>
        </w:tc>
        <w:tc>
          <w:tcPr>
            <w:tcW w:w="613" w:type="pct"/>
            <w:tcBorders>
              <w:bottom w:val="nil"/>
            </w:tcBorders>
          </w:tcPr>
          <w:p w:rsidR="00000000" w:rsidRDefault="00844A84">
            <w:pPr>
              <w:pStyle w:val="a2"/>
              <w:tabs>
                <w:tab w:val="decimal" w:pos="602"/>
              </w:tabs>
            </w:pPr>
            <w:r>
              <w:t>4,933</w:t>
            </w:r>
          </w:p>
        </w:tc>
        <w:tc>
          <w:tcPr>
            <w:tcW w:w="604" w:type="pct"/>
            <w:tcBorders>
              <w:bottom w:val="nil"/>
            </w:tcBorders>
          </w:tcPr>
          <w:p w:rsidR="00000000" w:rsidRDefault="00844A84">
            <w:pPr>
              <w:pStyle w:val="a2"/>
              <w:tabs>
                <w:tab w:val="decimal" w:pos="602"/>
              </w:tabs>
            </w:pPr>
            <w:r>
              <w:t>3,307</w:t>
            </w:r>
          </w:p>
        </w:tc>
        <w:tc>
          <w:tcPr>
            <w:tcW w:w="694" w:type="pct"/>
            <w:tcBorders>
              <w:bottom w:val="nil"/>
            </w:tcBorders>
          </w:tcPr>
          <w:p w:rsidR="00000000" w:rsidRDefault="00844A84">
            <w:pPr>
              <w:pStyle w:val="a2"/>
              <w:tabs>
                <w:tab w:val="decimal" w:pos="762"/>
              </w:tabs>
            </w:pPr>
            <w:r>
              <w:t>1,247</w:t>
            </w:r>
          </w:p>
        </w:tc>
        <w:tc>
          <w:tcPr>
            <w:tcW w:w="663" w:type="pct"/>
            <w:tcBorders>
              <w:bottom w:val="nil"/>
            </w:tcBorders>
          </w:tcPr>
          <w:p w:rsidR="00000000" w:rsidRDefault="00844A84">
            <w:pPr>
              <w:pStyle w:val="a2"/>
              <w:tabs>
                <w:tab w:val="decimal" w:pos="602"/>
              </w:tabs>
            </w:pPr>
            <w:r>
              <w:t>811</w:t>
            </w:r>
          </w:p>
        </w:tc>
        <w:tc>
          <w:tcPr>
            <w:tcW w:w="732" w:type="pct"/>
            <w:tcBorders>
              <w:bottom w:val="nil"/>
            </w:tcBorders>
          </w:tcPr>
          <w:p w:rsidR="00000000" w:rsidRDefault="00844A84">
            <w:pPr>
              <w:pStyle w:val="a2"/>
              <w:tabs>
                <w:tab w:val="decimal" w:pos="602"/>
              </w:tabs>
            </w:pPr>
            <w:r>
              <w:t>436</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59.87</w:t>
            </w:r>
          </w:p>
        </w:tc>
        <w:tc>
          <w:tcPr>
            <w:tcW w:w="604" w:type="pct"/>
            <w:tcBorders>
              <w:top w:val="nil"/>
            </w:tcBorders>
          </w:tcPr>
          <w:p w:rsidR="00000000" w:rsidRDefault="00844A84">
            <w:pPr>
              <w:pStyle w:val="a2"/>
              <w:tabs>
                <w:tab w:val="decimal" w:pos="602"/>
              </w:tabs>
            </w:pPr>
            <w:r>
              <w:t>40.13</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65.04</w:t>
            </w:r>
          </w:p>
        </w:tc>
        <w:tc>
          <w:tcPr>
            <w:tcW w:w="732" w:type="pct"/>
            <w:tcBorders>
              <w:top w:val="nil"/>
            </w:tcBorders>
          </w:tcPr>
          <w:p w:rsidR="00000000" w:rsidRDefault="00844A84">
            <w:pPr>
              <w:pStyle w:val="a2"/>
              <w:tabs>
                <w:tab w:val="decimal" w:pos="602"/>
              </w:tabs>
            </w:pPr>
            <w:r>
              <w:t>34.96</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1996/97</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8,16</w:t>
            </w:r>
            <w:r>
              <w:t>0</w:t>
            </w:r>
          </w:p>
        </w:tc>
        <w:tc>
          <w:tcPr>
            <w:tcW w:w="613" w:type="pct"/>
            <w:tcBorders>
              <w:bottom w:val="nil"/>
            </w:tcBorders>
          </w:tcPr>
          <w:p w:rsidR="00000000" w:rsidRDefault="00844A84">
            <w:pPr>
              <w:pStyle w:val="a2"/>
              <w:tabs>
                <w:tab w:val="decimal" w:pos="602"/>
              </w:tabs>
            </w:pPr>
            <w:r>
              <w:t>4,779</w:t>
            </w:r>
          </w:p>
        </w:tc>
        <w:tc>
          <w:tcPr>
            <w:tcW w:w="604" w:type="pct"/>
            <w:tcBorders>
              <w:bottom w:val="nil"/>
            </w:tcBorders>
          </w:tcPr>
          <w:p w:rsidR="00000000" w:rsidRDefault="00844A84">
            <w:pPr>
              <w:pStyle w:val="a2"/>
              <w:tabs>
                <w:tab w:val="decimal" w:pos="602"/>
              </w:tabs>
            </w:pPr>
            <w:r>
              <w:t>3,381</w:t>
            </w:r>
          </w:p>
        </w:tc>
        <w:tc>
          <w:tcPr>
            <w:tcW w:w="694" w:type="pct"/>
            <w:tcBorders>
              <w:bottom w:val="nil"/>
            </w:tcBorders>
          </w:tcPr>
          <w:p w:rsidR="00000000" w:rsidRDefault="00844A84">
            <w:pPr>
              <w:pStyle w:val="a2"/>
              <w:tabs>
                <w:tab w:val="decimal" w:pos="762"/>
              </w:tabs>
            </w:pPr>
            <w:r>
              <w:t>1,421</w:t>
            </w:r>
          </w:p>
        </w:tc>
        <w:tc>
          <w:tcPr>
            <w:tcW w:w="663" w:type="pct"/>
            <w:tcBorders>
              <w:bottom w:val="nil"/>
            </w:tcBorders>
          </w:tcPr>
          <w:p w:rsidR="00000000" w:rsidRDefault="00844A84">
            <w:pPr>
              <w:pStyle w:val="a2"/>
              <w:tabs>
                <w:tab w:val="decimal" w:pos="602"/>
              </w:tabs>
            </w:pPr>
            <w:r>
              <w:t>945</w:t>
            </w:r>
          </w:p>
        </w:tc>
        <w:tc>
          <w:tcPr>
            <w:tcW w:w="732" w:type="pct"/>
            <w:tcBorders>
              <w:bottom w:val="nil"/>
            </w:tcBorders>
          </w:tcPr>
          <w:p w:rsidR="00000000" w:rsidRDefault="00844A84">
            <w:pPr>
              <w:pStyle w:val="a2"/>
              <w:tabs>
                <w:tab w:val="decimal" w:pos="602"/>
              </w:tabs>
            </w:pPr>
            <w:r>
              <w:t>476</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58.57</w:t>
            </w:r>
          </w:p>
        </w:tc>
        <w:tc>
          <w:tcPr>
            <w:tcW w:w="604" w:type="pct"/>
            <w:tcBorders>
              <w:top w:val="nil"/>
            </w:tcBorders>
          </w:tcPr>
          <w:p w:rsidR="00000000" w:rsidRDefault="00844A84">
            <w:pPr>
              <w:pStyle w:val="a2"/>
              <w:tabs>
                <w:tab w:val="decimal" w:pos="602"/>
              </w:tabs>
            </w:pPr>
            <w:r>
              <w:t>41.43</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66.50</w:t>
            </w:r>
          </w:p>
        </w:tc>
        <w:tc>
          <w:tcPr>
            <w:tcW w:w="732" w:type="pct"/>
            <w:tcBorders>
              <w:top w:val="nil"/>
            </w:tcBorders>
          </w:tcPr>
          <w:p w:rsidR="00000000" w:rsidRDefault="00844A84">
            <w:pPr>
              <w:pStyle w:val="a2"/>
              <w:tabs>
                <w:tab w:val="decimal" w:pos="602"/>
              </w:tabs>
            </w:pPr>
            <w:r>
              <w:t>33.50</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1997/</w:t>
            </w:r>
            <w:r>
              <w:rPr>
                <w:snapToGrid/>
              </w:rPr>
              <w:t>98</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8,262</w:t>
            </w:r>
          </w:p>
        </w:tc>
        <w:tc>
          <w:tcPr>
            <w:tcW w:w="613" w:type="pct"/>
            <w:tcBorders>
              <w:bottom w:val="nil"/>
            </w:tcBorders>
          </w:tcPr>
          <w:p w:rsidR="00000000" w:rsidRDefault="00844A84">
            <w:pPr>
              <w:pStyle w:val="a2"/>
              <w:tabs>
                <w:tab w:val="decimal" w:pos="602"/>
              </w:tabs>
            </w:pPr>
            <w:r>
              <w:t>4,893</w:t>
            </w:r>
          </w:p>
        </w:tc>
        <w:tc>
          <w:tcPr>
            <w:tcW w:w="604" w:type="pct"/>
            <w:tcBorders>
              <w:bottom w:val="nil"/>
            </w:tcBorders>
          </w:tcPr>
          <w:p w:rsidR="00000000" w:rsidRDefault="00844A84">
            <w:pPr>
              <w:pStyle w:val="a2"/>
              <w:tabs>
                <w:tab w:val="decimal" w:pos="602"/>
              </w:tabs>
            </w:pPr>
            <w:r>
              <w:t>3,369</w:t>
            </w:r>
          </w:p>
        </w:tc>
        <w:tc>
          <w:tcPr>
            <w:tcW w:w="694" w:type="pct"/>
            <w:tcBorders>
              <w:bottom w:val="nil"/>
            </w:tcBorders>
          </w:tcPr>
          <w:p w:rsidR="00000000" w:rsidRDefault="00844A84">
            <w:pPr>
              <w:pStyle w:val="a2"/>
              <w:tabs>
                <w:tab w:val="decimal" w:pos="762"/>
              </w:tabs>
            </w:pPr>
            <w:r>
              <w:t>1,468</w:t>
            </w:r>
          </w:p>
        </w:tc>
        <w:tc>
          <w:tcPr>
            <w:tcW w:w="663" w:type="pct"/>
            <w:tcBorders>
              <w:bottom w:val="nil"/>
            </w:tcBorders>
          </w:tcPr>
          <w:p w:rsidR="00000000" w:rsidRDefault="00844A84">
            <w:pPr>
              <w:pStyle w:val="a2"/>
              <w:tabs>
                <w:tab w:val="decimal" w:pos="602"/>
              </w:tabs>
            </w:pPr>
            <w:r>
              <w:t>975</w:t>
            </w:r>
          </w:p>
        </w:tc>
        <w:tc>
          <w:tcPr>
            <w:tcW w:w="732" w:type="pct"/>
            <w:tcBorders>
              <w:bottom w:val="nil"/>
            </w:tcBorders>
          </w:tcPr>
          <w:p w:rsidR="00000000" w:rsidRDefault="00844A84">
            <w:pPr>
              <w:pStyle w:val="a2"/>
              <w:tabs>
                <w:tab w:val="decimal" w:pos="602"/>
              </w:tabs>
            </w:pPr>
            <w:r>
              <w:t>493</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59.22</w:t>
            </w:r>
          </w:p>
        </w:tc>
        <w:tc>
          <w:tcPr>
            <w:tcW w:w="604" w:type="pct"/>
            <w:tcBorders>
              <w:top w:val="nil"/>
            </w:tcBorders>
          </w:tcPr>
          <w:p w:rsidR="00000000" w:rsidRDefault="00844A84">
            <w:pPr>
              <w:pStyle w:val="a2"/>
              <w:tabs>
                <w:tab w:val="decimal" w:pos="602"/>
              </w:tabs>
            </w:pPr>
            <w:r>
              <w:t>40.78</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66.42</w:t>
            </w:r>
          </w:p>
        </w:tc>
        <w:tc>
          <w:tcPr>
            <w:tcW w:w="732" w:type="pct"/>
            <w:tcBorders>
              <w:top w:val="nil"/>
            </w:tcBorders>
          </w:tcPr>
          <w:p w:rsidR="00000000" w:rsidRDefault="00844A84">
            <w:pPr>
              <w:pStyle w:val="a2"/>
              <w:tabs>
                <w:tab w:val="decimal" w:pos="602"/>
              </w:tabs>
            </w:pPr>
            <w:r>
              <w:t>33.58</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1998/99</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7,847</w:t>
            </w:r>
          </w:p>
        </w:tc>
        <w:tc>
          <w:tcPr>
            <w:tcW w:w="613" w:type="pct"/>
            <w:tcBorders>
              <w:bottom w:val="nil"/>
            </w:tcBorders>
          </w:tcPr>
          <w:p w:rsidR="00000000" w:rsidRDefault="00844A84">
            <w:pPr>
              <w:pStyle w:val="a2"/>
              <w:tabs>
                <w:tab w:val="decimal" w:pos="602"/>
              </w:tabs>
            </w:pPr>
            <w:r>
              <w:t>4,734</w:t>
            </w:r>
          </w:p>
        </w:tc>
        <w:tc>
          <w:tcPr>
            <w:tcW w:w="604" w:type="pct"/>
            <w:tcBorders>
              <w:bottom w:val="nil"/>
            </w:tcBorders>
          </w:tcPr>
          <w:p w:rsidR="00000000" w:rsidRDefault="00844A84">
            <w:pPr>
              <w:pStyle w:val="a2"/>
              <w:tabs>
                <w:tab w:val="decimal" w:pos="602"/>
              </w:tabs>
            </w:pPr>
            <w:r>
              <w:t>3,113</w:t>
            </w:r>
          </w:p>
        </w:tc>
        <w:tc>
          <w:tcPr>
            <w:tcW w:w="694" w:type="pct"/>
            <w:tcBorders>
              <w:bottom w:val="nil"/>
            </w:tcBorders>
          </w:tcPr>
          <w:p w:rsidR="00000000" w:rsidRDefault="00844A84">
            <w:pPr>
              <w:pStyle w:val="a2"/>
              <w:tabs>
                <w:tab w:val="decimal" w:pos="762"/>
              </w:tabs>
            </w:pPr>
            <w:r>
              <w:t>1,321</w:t>
            </w:r>
          </w:p>
        </w:tc>
        <w:tc>
          <w:tcPr>
            <w:tcW w:w="663" w:type="pct"/>
            <w:tcBorders>
              <w:bottom w:val="nil"/>
            </w:tcBorders>
          </w:tcPr>
          <w:p w:rsidR="00000000" w:rsidRDefault="00844A84">
            <w:pPr>
              <w:pStyle w:val="a2"/>
              <w:tabs>
                <w:tab w:val="decimal" w:pos="602"/>
              </w:tabs>
            </w:pPr>
            <w:r>
              <w:t>863</w:t>
            </w:r>
          </w:p>
        </w:tc>
        <w:tc>
          <w:tcPr>
            <w:tcW w:w="732" w:type="pct"/>
            <w:tcBorders>
              <w:bottom w:val="nil"/>
            </w:tcBorders>
          </w:tcPr>
          <w:p w:rsidR="00000000" w:rsidRDefault="00844A84">
            <w:pPr>
              <w:pStyle w:val="a2"/>
              <w:tabs>
                <w:tab w:val="decimal" w:pos="602"/>
              </w:tabs>
            </w:pPr>
            <w:r>
              <w:t>458</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60.33</w:t>
            </w:r>
          </w:p>
        </w:tc>
        <w:tc>
          <w:tcPr>
            <w:tcW w:w="604" w:type="pct"/>
            <w:tcBorders>
              <w:top w:val="nil"/>
            </w:tcBorders>
          </w:tcPr>
          <w:p w:rsidR="00000000" w:rsidRDefault="00844A84">
            <w:pPr>
              <w:pStyle w:val="a2"/>
              <w:tabs>
                <w:tab w:val="decimal" w:pos="602"/>
              </w:tabs>
            </w:pPr>
            <w:r>
              <w:t>39.67</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65.33</w:t>
            </w:r>
          </w:p>
        </w:tc>
        <w:tc>
          <w:tcPr>
            <w:tcW w:w="732" w:type="pct"/>
            <w:tcBorders>
              <w:top w:val="nil"/>
            </w:tcBorders>
          </w:tcPr>
          <w:p w:rsidR="00000000" w:rsidRDefault="00844A84">
            <w:pPr>
              <w:pStyle w:val="a2"/>
              <w:tabs>
                <w:tab w:val="decimal" w:pos="602"/>
              </w:tabs>
            </w:pPr>
            <w:r>
              <w:t>34.67</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1999/00</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7,</w:t>
            </w:r>
            <w:r>
              <w:t>706</w:t>
            </w:r>
          </w:p>
        </w:tc>
        <w:tc>
          <w:tcPr>
            <w:tcW w:w="613" w:type="pct"/>
            <w:tcBorders>
              <w:bottom w:val="nil"/>
            </w:tcBorders>
          </w:tcPr>
          <w:p w:rsidR="00000000" w:rsidRDefault="00844A84">
            <w:pPr>
              <w:pStyle w:val="a2"/>
              <w:tabs>
                <w:tab w:val="decimal" w:pos="602"/>
              </w:tabs>
            </w:pPr>
            <w:r>
              <w:t>4,639</w:t>
            </w:r>
          </w:p>
        </w:tc>
        <w:tc>
          <w:tcPr>
            <w:tcW w:w="604" w:type="pct"/>
            <w:tcBorders>
              <w:bottom w:val="nil"/>
            </w:tcBorders>
          </w:tcPr>
          <w:p w:rsidR="00000000" w:rsidRDefault="00844A84">
            <w:pPr>
              <w:pStyle w:val="a2"/>
              <w:tabs>
                <w:tab w:val="decimal" w:pos="602"/>
              </w:tabs>
            </w:pPr>
            <w:r>
              <w:t>3,067</w:t>
            </w:r>
          </w:p>
        </w:tc>
        <w:tc>
          <w:tcPr>
            <w:tcW w:w="694" w:type="pct"/>
            <w:tcBorders>
              <w:bottom w:val="nil"/>
            </w:tcBorders>
          </w:tcPr>
          <w:p w:rsidR="00000000" w:rsidRDefault="00844A84">
            <w:pPr>
              <w:pStyle w:val="a2"/>
              <w:tabs>
                <w:tab w:val="decimal" w:pos="762"/>
              </w:tabs>
            </w:pPr>
            <w:r>
              <w:t>1,337</w:t>
            </w:r>
          </w:p>
        </w:tc>
        <w:tc>
          <w:tcPr>
            <w:tcW w:w="663" w:type="pct"/>
            <w:tcBorders>
              <w:bottom w:val="nil"/>
            </w:tcBorders>
          </w:tcPr>
          <w:p w:rsidR="00000000" w:rsidRDefault="00844A84">
            <w:pPr>
              <w:pStyle w:val="a2"/>
              <w:tabs>
                <w:tab w:val="decimal" w:pos="602"/>
              </w:tabs>
            </w:pPr>
            <w:r>
              <w:t>872</w:t>
            </w:r>
          </w:p>
        </w:tc>
        <w:tc>
          <w:tcPr>
            <w:tcW w:w="732" w:type="pct"/>
            <w:tcBorders>
              <w:bottom w:val="nil"/>
            </w:tcBorders>
          </w:tcPr>
          <w:p w:rsidR="00000000" w:rsidRDefault="00844A84">
            <w:pPr>
              <w:pStyle w:val="a2"/>
              <w:tabs>
                <w:tab w:val="decimal" w:pos="602"/>
              </w:tabs>
            </w:pPr>
            <w:r>
              <w:t>465</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60.20</w:t>
            </w:r>
          </w:p>
        </w:tc>
        <w:tc>
          <w:tcPr>
            <w:tcW w:w="604" w:type="pct"/>
            <w:tcBorders>
              <w:top w:val="nil"/>
            </w:tcBorders>
          </w:tcPr>
          <w:p w:rsidR="00000000" w:rsidRDefault="00844A84">
            <w:pPr>
              <w:pStyle w:val="a2"/>
              <w:tabs>
                <w:tab w:val="decimal" w:pos="602"/>
              </w:tabs>
            </w:pPr>
            <w:r>
              <w:t>39.80</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65.22</w:t>
            </w:r>
          </w:p>
        </w:tc>
        <w:tc>
          <w:tcPr>
            <w:tcW w:w="732" w:type="pct"/>
            <w:tcBorders>
              <w:top w:val="nil"/>
            </w:tcBorders>
          </w:tcPr>
          <w:p w:rsidR="00000000" w:rsidRDefault="00844A84">
            <w:pPr>
              <w:pStyle w:val="a2"/>
              <w:tabs>
                <w:tab w:val="decimal" w:pos="602"/>
              </w:tabs>
            </w:pPr>
            <w:r>
              <w:t>34.78</w:t>
            </w:r>
          </w:p>
        </w:tc>
      </w:tr>
      <w:tr w:rsidR="00000000">
        <w:tblPrEx>
          <w:tblCellMar>
            <w:top w:w="0" w:type="dxa"/>
            <w:bottom w:w="0" w:type="dxa"/>
          </w:tblCellMar>
        </w:tblPrEx>
        <w:tc>
          <w:tcPr>
            <w:tcW w:w="460" w:type="pct"/>
            <w:tcBorders>
              <w:bottom w:val="nil"/>
            </w:tcBorders>
          </w:tcPr>
          <w:p w:rsidR="00000000" w:rsidRDefault="00844A84">
            <w:pPr>
              <w:pStyle w:val="a2"/>
              <w:rPr>
                <w:rFonts w:hint="eastAsia"/>
                <w:snapToGrid/>
              </w:rPr>
            </w:pPr>
            <w:r>
              <w:rPr>
                <w:rFonts w:hint="eastAsia"/>
                <w:snapToGrid/>
              </w:rPr>
              <w:t>2000/01</w:t>
            </w:r>
          </w:p>
        </w:tc>
        <w:tc>
          <w:tcPr>
            <w:tcW w:w="667" w:type="pct"/>
            <w:tcBorders>
              <w:bottom w:val="nil"/>
            </w:tcBorders>
          </w:tcPr>
          <w:p w:rsidR="00000000" w:rsidRDefault="00844A84">
            <w:pPr>
              <w:pStyle w:val="a2"/>
              <w:jc w:val="center"/>
              <w:rPr>
                <w:rFonts w:hint="eastAsia"/>
                <w:snapToGrid/>
              </w:rPr>
            </w:pPr>
          </w:p>
        </w:tc>
        <w:tc>
          <w:tcPr>
            <w:tcW w:w="566" w:type="pct"/>
            <w:tcBorders>
              <w:bottom w:val="nil"/>
            </w:tcBorders>
          </w:tcPr>
          <w:p w:rsidR="00000000" w:rsidRDefault="00844A84">
            <w:pPr>
              <w:pStyle w:val="a2"/>
              <w:tabs>
                <w:tab w:val="decimal" w:pos="602"/>
              </w:tabs>
            </w:pPr>
            <w:r>
              <w:t>7,560</w:t>
            </w:r>
          </w:p>
        </w:tc>
        <w:tc>
          <w:tcPr>
            <w:tcW w:w="613" w:type="pct"/>
            <w:tcBorders>
              <w:bottom w:val="nil"/>
            </w:tcBorders>
          </w:tcPr>
          <w:p w:rsidR="00000000" w:rsidRDefault="00844A84">
            <w:pPr>
              <w:pStyle w:val="a2"/>
              <w:tabs>
                <w:tab w:val="decimal" w:pos="602"/>
              </w:tabs>
            </w:pPr>
            <w:r>
              <w:t>4,488</w:t>
            </w:r>
          </w:p>
        </w:tc>
        <w:tc>
          <w:tcPr>
            <w:tcW w:w="604" w:type="pct"/>
            <w:tcBorders>
              <w:bottom w:val="nil"/>
            </w:tcBorders>
          </w:tcPr>
          <w:p w:rsidR="00000000" w:rsidRDefault="00844A84">
            <w:pPr>
              <w:pStyle w:val="a2"/>
              <w:tabs>
                <w:tab w:val="decimal" w:pos="602"/>
              </w:tabs>
            </w:pPr>
            <w:r>
              <w:t>3,072</w:t>
            </w:r>
          </w:p>
        </w:tc>
        <w:tc>
          <w:tcPr>
            <w:tcW w:w="694" w:type="pct"/>
            <w:tcBorders>
              <w:bottom w:val="nil"/>
            </w:tcBorders>
          </w:tcPr>
          <w:p w:rsidR="00000000" w:rsidRDefault="00844A84">
            <w:pPr>
              <w:pStyle w:val="a2"/>
              <w:tabs>
                <w:tab w:val="decimal" w:pos="762"/>
              </w:tabs>
            </w:pPr>
            <w:r>
              <w:t>1,269</w:t>
            </w:r>
          </w:p>
        </w:tc>
        <w:tc>
          <w:tcPr>
            <w:tcW w:w="663" w:type="pct"/>
            <w:tcBorders>
              <w:bottom w:val="nil"/>
            </w:tcBorders>
          </w:tcPr>
          <w:p w:rsidR="00000000" w:rsidRDefault="00844A84">
            <w:pPr>
              <w:pStyle w:val="a2"/>
              <w:tabs>
                <w:tab w:val="decimal" w:pos="602"/>
              </w:tabs>
            </w:pPr>
            <w:r>
              <w:t>806</w:t>
            </w:r>
          </w:p>
        </w:tc>
        <w:tc>
          <w:tcPr>
            <w:tcW w:w="732" w:type="pct"/>
            <w:tcBorders>
              <w:bottom w:val="nil"/>
            </w:tcBorders>
          </w:tcPr>
          <w:p w:rsidR="00000000" w:rsidRDefault="00844A84">
            <w:pPr>
              <w:pStyle w:val="a2"/>
              <w:tabs>
                <w:tab w:val="decimal" w:pos="602"/>
              </w:tabs>
            </w:pPr>
            <w:r>
              <w:t>463</w:t>
            </w:r>
          </w:p>
        </w:tc>
      </w:tr>
      <w:tr w:rsidR="00000000">
        <w:tblPrEx>
          <w:tblCellMar>
            <w:top w:w="0" w:type="dxa"/>
            <w:bottom w:w="0" w:type="dxa"/>
          </w:tblCellMar>
        </w:tblPrEx>
        <w:tc>
          <w:tcPr>
            <w:tcW w:w="460" w:type="pct"/>
            <w:tcBorders>
              <w:top w:val="nil"/>
            </w:tcBorders>
          </w:tcPr>
          <w:p w:rsidR="00000000" w:rsidRDefault="00844A84">
            <w:pPr>
              <w:pStyle w:val="a2"/>
              <w:rPr>
                <w:rFonts w:hint="eastAsia"/>
                <w:snapToGrid/>
              </w:rPr>
            </w:pPr>
          </w:p>
        </w:tc>
        <w:tc>
          <w:tcPr>
            <w:tcW w:w="667" w:type="pct"/>
            <w:tcBorders>
              <w:top w:val="nil"/>
            </w:tcBorders>
          </w:tcPr>
          <w:p w:rsidR="00000000" w:rsidRDefault="00844A84">
            <w:pPr>
              <w:pStyle w:val="a2"/>
              <w:jc w:val="center"/>
              <w:rPr>
                <w:rFonts w:hint="eastAsia"/>
                <w:snapToGrid/>
              </w:rPr>
            </w:pPr>
            <w:r>
              <w:rPr>
                <w:rFonts w:hint="eastAsia"/>
                <w:snapToGrid/>
              </w:rPr>
              <w:t>百分比</w:t>
            </w:r>
          </w:p>
        </w:tc>
        <w:tc>
          <w:tcPr>
            <w:tcW w:w="566" w:type="pct"/>
            <w:tcBorders>
              <w:top w:val="nil"/>
            </w:tcBorders>
          </w:tcPr>
          <w:p w:rsidR="00000000" w:rsidRDefault="00844A84">
            <w:pPr>
              <w:pStyle w:val="a2"/>
              <w:tabs>
                <w:tab w:val="decimal" w:pos="602"/>
              </w:tabs>
            </w:pPr>
            <w:r>
              <w:t>100.00</w:t>
            </w:r>
          </w:p>
        </w:tc>
        <w:tc>
          <w:tcPr>
            <w:tcW w:w="613" w:type="pct"/>
            <w:tcBorders>
              <w:top w:val="nil"/>
            </w:tcBorders>
          </w:tcPr>
          <w:p w:rsidR="00000000" w:rsidRDefault="00844A84">
            <w:pPr>
              <w:pStyle w:val="a2"/>
              <w:tabs>
                <w:tab w:val="decimal" w:pos="602"/>
              </w:tabs>
            </w:pPr>
            <w:r>
              <w:t>59.37</w:t>
            </w:r>
          </w:p>
        </w:tc>
        <w:tc>
          <w:tcPr>
            <w:tcW w:w="604" w:type="pct"/>
            <w:tcBorders>
              <w:top w:val="nil"/>
            </w:tcBorders>
          </w:tcPr>
          <w:p w:rsidR="00000000" w:rsidRDefault="00844A84">
            <w:pPr>
              <w:pStyle w:val="a2"/>
              <w:tabs>
                <w:tab w:val="decimal" w:pos="602"/>
              </w:tabs>
            </w:pPr>
            <w:r>
              <w:t>40.63</w:t>
            </w:r>
          </w:p>
        </w:tc>
        <w:tc>
          <w:tcPr>
            <w:tcW w:w="694" w:type="pct"/>
            <w:tcBorders>
              <w:top w:val="nil"/>
            </w:tcBorders>
          </w:tcPr>
          <w:p w:rsidR="00000000" w:rsidRDefault="00844A84">
            <w:pPr>
              <w:pStyle w:val="a2"/>
              <w:tabs>
                <w:tab w:val="decimal" w:pos="762"/>
              </w:tabs>
            </w:pPr>
            <w:r>
              <w:t>100.00</w:t>
            </w:r>
          </w:p>
        </w:tc>
        <w:tc>
          <w:tcPr>
            <w:tcW w:w="663" w:type="pct"/>
            <w:tcBorders>
              <w:top w:val="nil"/>
            </w:tcBorders>
          </w:tcPr>
          <w:p w:rsidR="00000000" w:rsidRDefault="00844A84">
            <w:pPr>
              <w:pStyle w:val="a2"/>
              <w:tabs>
                <w:tab w:val="decimal" w:pos="602"/>
              </w:tabs>
            </w:pPr>
            <w:r>
              <w:t>63.51</w:t>
            </w:r>
          </w:p>
        </w:tc>
        <w:tc>
          <w:tcPr>
            <w:tcW w:w="732" w:type="pct"/>
            <w:tcBorders>
              <w:top w:val="nil"/>
            </w:tcBorders>
          </w:tcPr>
          <w:p w:rsidR="00000000" w:rsidRDefault="00844A84">
            <w:pPr>
              <w:pStyle w:val="a2"/>
              <w:tabs>
                <w:tab w:val="decimal" w:pos="602"/>
              </w:tabs>
            </w:pPr>
            <w:r>
              <w:t>36.49</w:t>
            </w:r>
          </w:p>
        </w:tc>
      </w:tr>
    </w:tbl>
    <w:p w:rsidR="00000000" w:rsidRDefault="00844A84">
      <w:pPr>
        <w:ind w:firstLine="510"/>
        <w:rPr>
          <w:rFonts w:hint="eastAsia"/>
          <w:snapToGrid/>
        </w:rPr>
      </w:pPr>
    </w:p>
    <w:p w:rsidR="00000000" w:rsidRDefault="00844A84">
      <w:pPr>
        <w:tabs>
          <w:tab w:val="left" w:pos="1690"/>
        </w:tabs>
        <w:spacing w:line="288" w:lineRule="auto"/>
        <w:ind w:firstLine="510"/>
        <w:rPr>
          <w:rFonts w:eastAsia="KaiTi_GB2312" w:hint="eastAsia"/>
          <w:snapToGrid/>
          <w:spacing w:val="0"/>
        </w:rPr>
      </w:pPr>
      <w:r>
        <w:rPr>
          <w:rFonts w:eastAsia="KaiTi_GB2312" w:hint="eastAsia"/>
          <w:snapToGrid/>
          <w:spacing w:val="0"/>
          <w:u w:val="single"/>
        </w:rPr>
        <w:t>资料来源</w:t>
      </w:r>
      <w:r>
        <w:rPr>
          <w:rFonts w:eastAsia="KaiTi_GB2312" w:hint="eastAsia"/>
          <w:snapToGrid/>
          <w:spacing w:val="0"/>
        </w:rPr>
        <w:t>：共和国统计局《统计年鉴》。</w:t>
      </w:r>
    </w:p>
    <w:p w:rsidR="00000000" w:rsidRDefault="00844A84">
      <w:pPr>
        <w:tabs>
          <w:tab w:val="left" w:pos="1690"/>
        </w:tabs>
        <w:spacing w:after="320" w:line="288" w:lineRule="auto"/>
        <w:ind w:left="1690" w:hanging="430"/>
        <w:rPr>
          <w:rFonts w:eastAsia="KaiTi_GB2312" w:hint="eastAsia"/>
          <w:snapToGrid/>
          <w:spacing w:val="0"/>
        </w:rPr>
      </w:pPr>
      <w:r>
        <w:rPr>
          <w:rFonts w:hint="eastAsia"/>
          <w:kern w:val="28"/>
          <w:sz w:val="28"/>
          <w:vertAlign w:val="superscript"/>
        </w:rPr>
        <w:t>a</w:t>
      </w:r>
      <w:r>
        <w:rPr>
          <w:rFonts w:eastAsia="KaiTi_GB2312" w:hint="eastAsia"/>
          <w:snapToGrid/>
          <w:spacing w:val="0"/>
        </w:rPr>
        <w:tab/>
      </w:r>
      <w:r>
        <w:rPr>
          <w:rFonts w:eastAsia="KaiTi_GB2312" w:hint="eastAsia"/>
          <w:snapToGrid/>
          <w:spacing w:val="0"/>
        </w:rPr>
        <w:t>正规中等学校学生人数资料不包括有关特殊学校和成人教育学校学生人数的资料。</w:t>
      </w:r>
    </w:p>
    <w:p w:rsidR="00000000" w:rsidRDefault="00844A84">
      <w:pPr>
        <w:pStyle w:val="Heading3"/>
        <w:rPr>
          <w:rFonts w:hint="eastAsia"/>
        </w:rPr>
      </w:pPr>
      <w:r>
        <w:rPr>
          <w:rFonts w:hint="eastAsia"/>
          <w:u w:val="none"/>
        </w:rPr>
        <w:t xml:space="preserve">3.  </w:t>
      </w:r>
      <w:r>
        <w:rPr>
          <w:rFonts w:hint="eastAsia"/>
        </w:rPr>
        <w:t>对少数族裔学生的教育</w:t>
      </w:r>
    </w:p>
    <w:p w:rsidR="00000000" w:rsidRDefault="00844A84">
      <w:pPr>
        <w:ind w:firstLine="510"/>
        <w:rPr>
          <w:rFonts w:hint="eastAsia"/>
          <w:snapToGrid/>
        </w:rPr>
      </w:pPr>
      <w:r>
        <w:rPr>
          <w:snapToGrid/>
        </w:rPr>
        <w:t>387.</w:t>
      </w:r>
      <w:r>
        <w:rPr>
          <w:rFonts w:hint="eastAsia"/>
          <w:snapToGrid/>
        </w:rPr>
        <w:t xml:space="preserve">  </w:t>
      </w:r>
      <w:r>
        <w:rPr>
          <w:rFonts w:hint="eastAsia"/>
          <w:snapToGrid/>
        </w:rPr>
        <w:t>共和国关于初等、中等和高等教育</w:t>
      </w:r>
      <w:r>
        <w:rPr>
          <w:rFonts w:hint="eastAsia"/>
          <w:snapToGrid/>
        </w:rPr>
        <w:t>的法律规定，以少数族裔语言进行教育意味着以下各项权利：有权以母语接受初等、中等、高等教育；有权在以母语教学的班级获得以母语编写的课本和特殊教具</w:t>
      </w:r>
      <w:r>
        <w:rPr>
          <w:rFonts w:hint="eastAsia"/>
          <w:snapToGrid/>
        </w:rPr>
        <w:t>(</w:t>
      </w:r>
      <w:r>
        <w:rPr>
          <w:rFonts w:hint="eastAsia"/>
          <w:snapToGrid/>
        </w:rPr>
        <w:t>国家出版机构有义务以所有少数族裔语文出版学校用书</w:t>
      </w:r>
      <w:r>
        <w:rPr>
          <w:rFonts w:hint="eastAsia"/>
          <w:snapToGrid/>
        </w:rPr>
        <w:t>)</w:t>
      </w:r>
      <w:r>
        <w:rPr>
          <w:rFonts w:hint="eastAsia"/>
          <w:snapToGrid/>
        </w:rPr>
        <w:t>；有权确保以少数族裔语言教学的教师得到适当的训练；学校</w:t>
      </w:r>
      <w:r>
        <w:rPr>
          <w:rFonts w:hint="eastAsia"/>
          <w:snapToGrid/>
        </w:rPr>
        <w:t>/</w:t>
      </w:r>
      <w:r>
        <w:rPr>
          <w:rFonts w:hint="eastAsia"/>
          <w:snapToGrid/>
        </w:rPr>
        <w:t>班级有权以少数族裔语言进行教学。这些规定使少数族裔学生可通过教学过程认识并维护其历史、社会、文化和民族特性。</w:t>
      </w:r>
    </w:p>
    <w:p w:rsidR="00000000" w:rsidRDefault="00844A84">
      <w:pPr>
        <w:ind w:firstLine="510"/>
        <w:rPr>
          <w:rFonts w:hint="eastAsia"/>
          <w:snapToGrid/>
        </w:rPr>
      </w:pPr>
      <w:r>
        <w:rPr>
          <w:snapToGrid/>
        </w:rPr>
        <w:t>388.</w:t>
      </w:r>
      <w:r>
        <w:rPr>
          <w:rFonts w:hint="eastAsia"/>
          <w:snapToGrid/>
        </w:rPr>
        <w:t xml:space="preserve">  </w:t>
      </w:r>
      <w:r>
        <w:rPr>
          <w:rFonts w:hint="eastAsia"/>
          <w:snapToGrid/>
        </w:rPr>
        <w:t>《初等教育法》和《中等教育法》规定了以少数族裔语言开设课程和实施教学大纲的总体必要条件。该两项法令第</w:t>
      </w:r>
      <w:r>
        <w:rPr>
          <w:rFonts w:hint="eastAsia"/>
          <w:snapToGrid/>
        </w:rPr>
        <w:t>5</w:t>
      </w:r>
      <w:r>
        <w:rPr>
          <w:rFonts w:hint="eastAsia"/>
          <w:snapToGrid/>
        </w:rPr>
        <w:t>条都规定可以少数族裔语言进行教育</w:t>
      </w:r>
      <w:r>
        <w:rPr>
          <w:rFonts w:hint="eastAsia"/>
          <w:snapToGrid/>
        </w:rPr>
        <w:t>(</w:t>
      </w:r>
      <w:r>
        <w:rPr>
          <w:rFonts w:hint="eastAsia"/>
          <w:snapToGrid/>
        </w:rPr>
        <w:t>或进</w:t>
      </w:r>
      <w:r>
        <w:rPr>
          <w:rFonts w:hint="eastAsia"/>
          <w:snapToGrid/>
        </w:rPr>
        <w:t>行双语教育</w:t>
      </w:r>
      <w:r>
        <w:rPr>
          <w:rFonts w:hint="eastAsia"/>
          <w:snapToGrid/>
        </w:rPr>
        <w:t>)</w:t>
      </w:r>
      <w:r>
        <w:rPr>
          <w:rStyle w:val="EndnoteReference"/>
          <w:snapToGrid/>
        </w:rPr>
        <w:endnoteReference w:id="57"/>
      </w:r>
      <w:r>
        <w:rPr>
          <w:rStyle w:val="EndnoteReference"/>
          <w:snapToGrid/>
          <w:vertAlign w:val="baseline"/>
        </w:rPr>
        <w:t>，</w:t>
      </w:r>
      <w:r>
        <w:rPr>
          <w:rFonts w:hint="eastAsia"/>
          <w:snapToGrid/>
        </w:rPr>
        <w:t xml:space="preserve"> </w:t>
      </w:r>
      <w:r>
        <w:rPr>
          <w:rFonts w:hint="eastAsia"/>
          <w:snapToGrid/>
        </w:rPr>
        <w:t>但条件是至少应有</w:t>
      </w:r>
      <w:r>
        <w:rPr>
          <w:rFonts w:hint="eastAsia"/>
          <w:snapToGrid/>
        </w:rPr>
        <w:t>15</w:t>
      </w:r>
      <w:r>
        <w:rPr>
          <w:rFonts w:hint="eastAsia"/>
          <w:snapToGrid/>
        </w:rPr>
        <w:t>名少数族裔学生要求进入一年级学习。即使少数族裔一年级新生不足</w:t>
      </w:r>
      <w:r>
        <w:rPr>
          <w:rFonts w:hint="eastAsia"/>
          <w:snapToGrid/>
        </w:rPr>
        <w:t>15</w:t>
      </w:r>
      <w:r>
        <w:rPr>
          <w:rFonts w:hint="eastAsia"/>
          <w:snapToGrid/>
        </w:rPr>
        <w:t>人，但经教育部长批准并有必要的教学条件时，该两项法令也允许开设少数族裔语班。教育部长确定如何开设双语课程和实施教学大纲。如果学生选择上少数族裔语班，则有义务按教学大纲学习塞尔维亚语。如果学生选择上塞尔维亚语班，则在该生愿意时也可以上用其本族语言开设的一些选修课</w:t>
      </w:r>
      <w:r>
        <w:rPr>
          <w:rFonts w:hint="eastAsia"/>
          <w:snapToGrid/>
        </w:rPr>
        <w:t>(</w:t>
      </w:r>
      <w:r>
        <w:rPr>
          <w:rFonts w:hint="eastAsia"/>
          <w:snapToGrid/>
        </w:rPr>
        <w:t>每周两次</w:t>
      </w:r>
      <w:r>
        <w:rPr>
          <w:rFonts w:hint="eastAsia"/>
          <w:snapToGrid/>
        </w:rPr>
        <w:t>)</w:t>
      </w:r>
      <w:r>
        <w:rPr>
          <w:rFonts w:hint="eastAsia"/>
          <w:snapToGrid/>
        </w:rPr>
        <w:t>。</w:t>
      </w:r>
    </w:p>
    <w:p w:rsidR="00000000" w:rsidRDefault="00844A84">
      <w:pPr>
        <w:ind w:firstLine="510"/>
        <w:rPr>
          <w:rFonts w:hint="eastAsia"/>
          <w:snapToGrid/>
        </w:rPr>
      </w:pPr>
      <w:r>
        <w:rPr>
          <w:snapToGrid/>
        </w:rPr>
        <w:t>389.</w:t>
      </w:r>
      <w:r>
        <w:rPr>
          <w:rFonts w:hint="eastAsia"/>
          <w:snapToGrid/>
        </w:rPr>
        <w:t xml:space="preserve">  </w:t>
      </w:r>
      <w:r>
        <w:rPr>
          <w:rFonts w:hint="eastAsia"/>
          <w:snapToGrid/>
        </w:rPr>
        <w:t>《大专法》第</w:t>
      </w:r>
      <w:r>
        <w:rPr>
          <w:rFonts w:hint="eastAsia"/>
          <w:snapToGrid/>
        </w:rPr>
        <w:t>4</w:t>
      </w:r>
      <w:r>
        <w:rPr>
          <w:rFonts w:hint="eastAsia"/>
          <w:snapToGrid/>
        </w:rPr>
        <w:t>条以及《大学法》第</w:t>
      </w:r>
      <w:r>
        <w:rPr>
          <w:rFonts w:hint="eastAsia"/>
          <w:snapToGrid/>
        </w:rPr>
        <w:t>8</w:t>
      </w:r>
      <w:r>
        <w:rPr>
          <w:rFonts w:hint="eastAsia"/>
          <w:snapToGrid/>
        </w:rPr>
        <w:t>条规定，如果大学或院系的创办者有所决定，则可允许以少数族裔语言或任何国际语言在大专院校或</w:t>
      </w:r>
      <w:r>
        <w:rPr>
          <w:rFonts w:hint="eastAsia"/>
          <w:snapToGrid/>
        </w:rPr>
        <w:t>大学授课。如果塞尔维亚共和国不是该校的创办者，该校如属大专，则共和国政府可随后予以批准，实施上述规定。该校如属大学院系，则应事先获得批准。《大学法》第</w:t>
      </w:r>
      <w:r>
        <w:rPr>
          <w:rFonts w:hint="eastAsia"/>
          <w:snapToGrid/>
        </w:rPr>
        <w:t>31</w:t>
      </w:r>
      <w:r>
        <w:rPr>
          <w:rFonts w:hint="eastAsia"/>
          <w:snapToGrid/>
        </w:rPr>
        <w:t>条规定，对注册开始学习外国语或少数族裔语言有一项特别要求，即应表明对所学语言的知识水平。特别考试委员会以院系或大学规章规定的方式对这种知识进行测试。新生注册修习以少数族裔语言或外国语开设的课程时，可选修以塞尔维亚语开设的进修课。</w:t>
      </w:r>
    </w:p>
    <w:p w:rsidR="00000000" w:rsidRDefault="00844A84">
      <w:pPr>
        <w:ind w:firstLine="510"/>
        <w:rPr>
          <w:rFonts w:hint="eastAsia"/>
          <w:snapToGrid/>
        </w:rPr>
      </w:pPr>
      <w:r>
        <w:rPr>
          <w:rFonts w:hint="eastAsia"/>
          <w:snapToGrid/>
        </w:rPr>
        <w:t xml:space="preserve">390.  </w:t>
      </w:r>
      <w:r>
        <w:rPr>
          <w:rFonts w:hint="eastAsia"/>
          <w:snapToGrid/>
        </w:rPr>
        <w:t>在以少数族裔语言授课和开设课程或实施教学大纲时，所有学校文件和正式文凭或学位都将以该语言印发。法令还规定了对教职人员</w:t>
      </w:r>
      <w:r>
        <w:rPr>
          <w:rFonts w:hint="eastAsia"/>
          <w:snapToGrid/>
        </w:rPr>
        <w:t>的一般要求。教师必须拥有师范学院</w:t>
      </w:r>
      <w:r>
        <w:rPr>
          <w:rFonts w:hint="eastAsia"/>
          <w:snapToGrid/>
        </w:rPr>
        <w:t>(</w:t>
      </w:r>
      <w:r>
        <w:rPr>
          <w:rFonts w:hint="eastAsia"/>
          <w:snapToGrid/>
        </w:rPr>
        <w:t>院系</w:t>
      </w:r>
      <w:r>
        <w:rPr>
          <w:rFonts w:hint="eastAsia"/>
          <w:snapToGrid/>
        </w:rPr>
        <w:t>)</w:t>
      </w:r>
      <w:r>
        <w:rPr>
          <w:rFonts w:hint="eastAsia"/>
          <w:snapToGrid/>
        </w:rPr>
        <w:t>学位，中小学高年级教师还必须拥有他们掌握所教班级语言的证书。还必须提供以少数族裔语言印制的课本和手册。国家出版机构有义务以所开设班级使用的所有语文出版教科书。</w:t>
      </w:r>
    </w:p>
    <w:p w:rsidR="00000000" w:rsidRDefault="00844A84">
      <w:pPr>
        <w:ind w:firstLine="510"/>
        <w:rPr>
          <w:rFonts w:hint="eastAsia"/>
          <w:snapToGrid/>
        </w:rPr>
      </w:pPr>
      <w:r>
        <w:rPr>
          <w:snapToGrid/>
        </w:rPr>
        <w:t>391.</w:t>
      </w:r>
      <w:r>
        <w:rPr>
          <w:rFonts w:hint="eastAsia"/>
          <w:snapToGrid/>
        </w:rPr>
        <w:t xml:space="preserve">  </w:t>
      </w:r>
      <w:r>
        <w:rPr>
          <w:rFonts w:hint="eastAsia"/>
          <w:snapToGrid/>
        </w:rPr>
        <w:t>少数族裔可获得以下列少数族裔语言进行的教育</w:t>
      </w:r>
      <w:r>
        <w:rPr>
          <w:rFonts w:hint="eastAsia"/>
          <w:snapToGrid/>
        </w:rPr>
        <w:t xml:space="preserve"> </w:t>
      </w:r>
      <w:r>
        <w:rPr>
          <w:rStyle w:val="EndnoteReference"/>
          <w:snapToGrid/>
        </w:rPr>
        <w:endnoteReference w:id="58"/>
      </w:r>
      <w:r>
        <w:rPr>
          <w:rStyle w:val="EndnoteReference"/>
          <w:b w:val="0"/>
          <w:bCs/>
          <w:snapToGrid/>
          <w:vertAlign w:val="baseline"/>
        </w:rPr>
        <w:t>：</w:t>
      </w:r>
      <w:r>
        <w:rPr>
          <w:bCs/>
          <w:snapToGrid/>
        </w:rPr>
        <w:t xml:space="preserve"> </w:t>
      </w:r>
      <w:r>
        <w:rPr>
          <w:rFonts w:hint="eastAsia"/>
          <w:snapToGrid/>
        </w:rPr>
        <w:t>匈牙利语、罗马尼亚语、鲁塞尼亚语、斯洛伐克语、阿尔巴尼亚语、保加利亚语和土耳其语。这些少数族裔在他们对待和接受教育方面存在着相当大的区别。少数族裔群体居住地区的社会和经济发展，是影响不同对待和接受教育的重要因素之一。伏伊伏丁那是塞尔维亚经济最发达区域</w:t>
      </w:r>
      <w:r>
        <w:rPr>
          <w:rFonts w:hint="eastAsia"/>
          <w:snapToGrid/>
        </w:rPr>
        <w:t>，匈牙利族人、斯洛伐克族人、罗马尼亚族人和鲁塞尼亚族人是当地主要居民，该省是少数族裔最充分实现教育权利的典范。</w:t>
      </w:r>
      <w:r>
        <w:rPr>
          <w:rStyle w:val="EndnoteReference"/>
          <w:snapToGrid/>
        </w:rPr>
        <w:endnoteReference w:id="59"/>
      </w:r>
    </w:p>
    <w:p w:rsidR="00000000" w:rsidRDefault="00844A84">
      <w:pPr>
        <w:ind w:firstLine="510"/>
        <w:rPr>
          <w:rFonts w:hint="eastAsia"/>
          <w:snapToGrid/>
        </w:rPr>
      </w:pPr>
      <w:r>
        <w:rPr>
          <w:rFonts w:hint="eastAsia"/>
          <w:snapToGrid/>
        </w:rPr>
        <w:t xml:space="preserve">392.  </w:t>
      </w:r>
      <w:r>
        <w:rPr>
          <w:rFonts w:hint="eastAsia"/>
          <w:snapToGrid/>
        </w:rPr>
        <w:t>塞尔维亚和黑山人权和少数群体事务部在部内设立了处理罗姆族战略问题秘书处。该秘书处旨在协助、监测和商议制定和落实罗姆族融合和赋权战略。</w:t>
      </w:r>
    </w:p>
    <w:p w:rsidR="00000000" w:rsidRDefault="00844A84">
      <w:pPr>
        <w:ind w:firstLine="510"/>
        <w:rPr>
          <w:rFonts w:hint="eastAsia"/>
          <w:snapToGrid/>
        </w:rPr>
      </w:pPr>
      <w:r>
        <w:rPr>
          <w:rFonts w:hint="eastAsia"/>
          <w:snapToGrid/>
        </w:rPr>
        <w:t xml:space="preserve">393.  </w:t>
      </w:r>
      <w:r>
        <w:rPr>
          <w:rFonts w:hint="eastAsia"/>
          <w:snapToGrid/>
        </w:rPr>
        <w:t>该项战略强调必须开设非歧视性课程，对公立机构工作人员进行专门训练，避免在各种机构</w:t>
      </w:r>
      <w:r>
        <w:rPr>
          <w:rFonts w:hint="eastAsia"/>
          <w:snapToGrid/>
        </w:rPr>
        <w:t>(</w:t>
      </w:r>
      <w:r>
        <w:rPr>
          <w:rFonts w:hint="eastAsia"/>
          <w:snapToGrid/>
        </w:rPr>
        <w:t>包括社会服务中心和福利机构</w:t>
      </w:r>
      <w:r>
        <w:rPr>
          <w:rFonts w:hint="eastAsia"/>
          <w:snapToGrid/>
        </w:rPr>
        <w:t>)</w:t>
      </w:r>
      <w:r>
        <w:rPr>
          <w:rFonts w:hint="eastAsia"/>
          <w:snapToGrid/>
        </w:rPr>
        <w:t>中出现种族歧视。</w:t>
      </w:r>
    </w:p>
    <w:p w:rsidR="00000000" w:rsidRDefault="00844A84">
      <w:pPr>
        <w:ind w:firstLine="510"/>
        <w:rPr>
          <w:rFonts w:hint="eastAsia"/>
          <w:snapToGrid/>
        </w:rPr>
      </w:pPr>
      <w:r>
        <w:rPr>
          <w:snapToGrid/>
        </w:rPr>
        <w:t>394.</w:t>
      </w:r>
      <w:r>
        <w:rPr>
          <w:rFonts w:hint="eastAsia"/>
          <w:snapToGrid/>
        </w:rPr>
        <w:t xml:space="preserve">  </w:t>
      </w:r>
      <w:r>
        <w:rPr>
          <w:rFonts w:hint="eastAsia"/>
          <w:snapToGrid/>
        </w:rPr>
        <w:t>孤儿院和被遗弃儿童收养院中的儿童有</w:t>
      </w:r>
      <w:r>
        <w:rPr>
          <w:rFonts w:hint="eastAsia"/>
          <w:snapToGrid/>
        </w:rPr>
        <w:t>34%</w:t>
      </w:r>
      <w:r>
        <w:rPr>
          <w:rFonts w:hint="eastAsia"/>
          <w:snapToGrid/>
        </w:rPr>
        <w:t>为罗姆族。塞尔维亚共和国社会事务部制定的该项战略目标之一是推</w:t>
      </w:r>
      <w:r>
        <w:rPr>
          <w:rFonts w:hint="eastAsia"/>
          <w:snapToGrid/>
        </w:rPr>
        <w:t>广领养儿童制度，并支助亲生父母照料自己的子女，以此减少收养机构中的儿童人数。</w:t>
      </w:r>
    </w:p>
    <w:p w:rsidR="00000000" w:rsidRDefault="00844A84">
      <w:pPr>
        <w:ind w:firstLine="510"/>
        <w:rPr>
          <w:rFonts w:hint="eastAsia"/>
          <w:snapToGrid/>
        </w:rPr>
      </w:pPr>
      <w:r>
        <w:rPr>
          <w:snapToGrid/>
        </w:rPr>
        <w:t>395.</w:t>
      </w:r>
      <w:r>
        <w:rPr>
          <w:rFonts w:hint="eastAsia"/>
          <w:snapToGrid/>
        </w:rPr>
        <w:t xml:space="preserve">  </w:t>
      </w:r>
      <w:r>
        <w:rPr>
          <w:rFonts w:hint="eastAsia"/>
          <w:snapToGrid/>
        </w:rPr>
        <w:t>由于社会经济地位低下，也由于不同的社会和文化背景，许多智力正常的罗姆族儿童在入学考试时成绩不良。由于这些考试不适合这些儿童，不能完全排除考试委员会的偏见，而且考试委员会不了解罗姆族文化，这些因素在很多情况下加在一起，使罗姆族儿童不得不到特殊需要儿童学校就学。</w:t>
      </w:r>
    </w:p>
    <w:p w:rsidR="00000000" w:rsidRDefault="00844A84">
      <w:pPr>
        <w:spacing w:after="320"/>
        <w:ind w:firstLine="510"/>
        <w:rPr>
          <w:snapToGrid/>
        </w:rPr>
      </w:pPr>
      <w:r>
        <w:rPr>
          <w:snapToGrid/>
        </w:rPr>
        <w:t>396.</w:t>
      </w:r>
      <w:r>
        <w:rPr>
          <w:rFonts w:hint="eastAsia"/>
          <w:snapToGrid/>
        </w:rPr>
        <w:t xml:space="preserve">  </w:t>
      </w:r>
      <w:r>
        <w:rPr>
          <w:rFonts w:hint="eastAsia"/>
          <w:snapToGrid/>
        </w:rPr>
        <w:t>塞尔维亚共和国教育和体育部对教育制度进行的改革也涉及罗姆族事务。在若干国家设有分部的国际组织，包括罗姆族非政府组织大力参与的国际组织，已制定并执行了若</w:t>
      </w:r>
      <w:r>
        <w:rPr>
          <w:rFonts w:hint="eastAsia"/>
          <w:snapToGrid/>
        </w:rPr>
        <w:t>干项目，用以提高罗姆族在教育体系中的地位。其中一些项目已成为塞尔维亚共和国教育和体育部批准的计划的组成部分。</w:t>
      </w:r>
      <w:r>
        <w:rPr>
          <w:rStyle w:val="EndnoteReference"/>
          <w:snapToGrid/>
        </w:rPr>
        <w:endnoteReference w:id="60"/>
      </w:r>
    </w:p>
    <w:p w:rsidR="00000000" w:rsidRDefault="00844A84">
      <w:pPr>
        <w:pStyle w:val="Heading3"/>
        <w:rPr>
          <w:rFonts w:hint="eastAsia"/>
        </w:rPr>
      </w:pPr>
      <w:r>
        <w:rPr>
          <w:rFonts w:hint="eastAsia"/>
          <w:u w:val="none"/>
        </w:rPr>
        <w:t xml:space="preserve">G.  </w:t>
      </w:r>
      <w:r>
        <w:rPr>
          <w:rFonts w:hint="eastAsia"/>
        </w:rPr>
        <w:t>教师在教育系统中的地位</w:t>
      </w:r>
    </w:p>
    <w:p w:rsidR="00000000" w:rsidRDefault="00844A84">
      <w:pPr>
        <w:ind w:firstLine="510"/>
        <w:rPr>
          <w:rFonts w:hint="eastAsia"/>
          <w:snapToGrid/>
        </w:rPr>
      </w:pPr>
      <w:r>
        <w:rPr>
          <w:snapToGrid/>
        </w:rPr>
        <w:t>397.</w:t>
      </w:r>
      <w:r>
        <w:rPr>
          <w:rFonts w:hint="eastAsia"/>
          <w:snapToGrid/>
        </w:rPr>
        <w:t xml:space="preserve">  </w:t>
      </w:r>
      <w:r>
        <w:rPr>
          <w:rFonts w:hint="eastAsia"/>
          <w:snapToGrid/>
        </w:rPr>
        <w:t>法律条款规定了在中小学教学或在大学讲课的各级教学人员必须具备的条件。有关教育的法律都有统一要求，规定教师必须拥有大学学位才能在中小学或大学工作。</w:t>
      </w:r>
    </w:p>
    <w:p w:rsidR="00000000" w:rsidRDefault="00844A84">
      <w:pPr>
        <w:ind w:firstLine="510"/>
        <w:rPr>
          <w:rFonts w:hint="eastAsia"/>
          <w:snapToGrid/>
        </w:rPr>
      </w:pPr>
      <w:r>
        <w:rPr>
          <w:snapToGrid/>
        </w:rPr>
        <w:t>398.</w:t>
      </w:r>
      <w:r>
        <w:rPr>
          <w:rFonts w:hint="eastAsia"/>
          <w:snapToGrid/>
        </w:rPr>
        <w:t xml:space="preserve">  </w:t>
      </w:r>
      <w:r>
        <w:rPr>
          <w:rFonts w:hint="eastAsia"/>
          <w:snapToGrid/>
        </w:rPr>
        <w:t>小学低年级</w:t>
      </w:r>
      <w:r>
        <w:rPr>
          <w:rFonts w:hint="eastAsia"/>
          <w:snapToGrid/>
        </w:rPr>
        <w:t>(1</w:t>
      </w:r>
      <w:r>
        <w:rPr>
          <w:rFonts w:hint="eastAsia"/>
          <w:snapToGrid/>
        </w:rPr>
        <w:t>至</w:t>
      </w:r>
      <w:r>
        <w:rPr>
          <w:rFonts w:hint="eastAsia"/>
          <w:snapToGrid/>
        </w:rPr>
        <w:t>4</w:t>
      </w:r>
      <w:r>
        <w:rPr>
          <w:rFonts w:hint="eastAsia"/>
          <w:snapToGrid/>
        </w:rPr>
        <w:t>年级</w:t>
      </w:r>
      <w:r>
        <w:rPr>
          <w:rFonts w:hint="eastAsia"/>
          <w:snapToGrid/>
        </w:rPr>
        <w:t>)</w:t>
      </w:r>
      <w:r>
        <w:rPr>
          <w:rFonts w:hint="eastAsia"/>
          <w:snapToGrid/>
        </w:rPr>
        <w:t>的任课教师，除外语教师外，都必须在大学师范学院受过培训。在成立第一批大学师范学院的</w:t>
      </w:r>
      <w:r>
        <w:rPr>
          <w:rFonts w:hint="eastAsia"/>
          <w:snapToGrid/>
        </w:rPr>
        <w:t>1999</w:t>
      </w:r>
      <w:r>
        <w:rPr>
          <w:rFonts w:hint="eastAsia"/>
          <w:snapToGrid/>
        </w:rPr>
        <w:t>年前，培训小学教师的是不属于大学组成部分的两年制师范学校</w:t>
      </w:r>
      <w:r>
        <w:rPr>
          <w:rFonts w:hint="eastAsia"/>
          <w:snapToGrid/>
        </w:rPr>
        <w:t>(</w:t>
      </w:r>
      <w:r>
        <w:rPr>
          <w:rFonts w:hint="eastAsia"/>
          <w:snapToGrid/>
        </w:rPr>
        <w:t>师范专科</w:t>
      </w:r>
      <w:r>
        <w:rPr>
          <w:rFonts w:hint="eastAsia"/>
          <w:snapToGrid/>
        </w:rPr>
        <w:t>)</w:t>
      </w:r>
      <w:r>
        <w:rPr>
          <w:rFonts w:hint="eastAsia"/>
          <w:snapToGrid/>
        </w:rPr>
        <w:t>。专科教师是在小</w:t>
      </w:r>
      <w:r>
        <w:rPr>
          <w:rFonts w:hint="eastAsia"/>
          <w:snapToGrid/>
        </w:rPr>
        <w:t>学高年级</w:t>
      </w:r>
      <w:r>
        <w:rPr>
          <w:rFonts w:hint="eastAsia"/>
          <w:snapToGrid/>
        </w:rPr>
        <w:t>(5</w:t>
      </w:r>
      <w:r>
        <w:rPr>
          <w:rFonts w:hint="eastAsia"/>
          <w:snapToGrid/>
        </w:rPr>
        <w:t>至</w:t>
      </w:r>
      <w:r>
        <w:rPr>
          <w:rFonts w:hint="eastAsia"/>
          <w:snapToGrid/>
        </w:rPr>
        <w:t>8</w:t>
      </w:r>
      <w:r>
        <w:rPr>
          <w:rFonts w:hint="eastAsia"/>
          <w:snapToGrid/>
        </w:rPr>
        <w:t>年级</w:t>
      </w:r>
      <w:r>
        <w:rPr>
          <w:rFonts w:hint="eastAsia"/>
          <w:snapToGrid/>
        </w:rPr>
        <w:t>)</w:t>
      </w:r>
      <w:r>
        <w:rPr>
          <w:rFonts w:hint="eastAsia"/>
          <w:snapToGrid/>
        </w:rPr>
        <w:t>、中学或大专和大学授课的教师。小学、中学或高等院校的专科教师须拥有学士学位，大学讲师还必须修完一门研究生课程。</w:t>
      </w:r>
    </w:p>
    <w:p w:rsidR="00000000" w:rsidRDefault="00844A84">
      <w:pPr>
        <w:ind w:firstLine="510"/>
        <w:rPr>
          <w:rFonts w:hint="eastAsia"/>
          <w:snapToGrid/>
        </w:rPr>
      </w:pPr>
      <w:r>
        <w:rPr>
          <w:snapToGrid/>
        </w:rPr>
        <w:t>399.</w:t>
      </w:r>
      <w:r>
        <w:rPr>
          <w:rFonts w:hint="eastAsia"/>
          <w:snapToGrid/>
        </w:rPr>
        <w:t xml:space="preserve">  </w:t>
      </w:r>
      <w:r>
        <w:rPr>
          <w:rFonts w:hint="eastAsia"/>
          <w:snapToGrid/>
        </w:rPr>
        <w:t>法律规定，文学士或理学士可申请从事教学工作。法律要求中小学教师除拥有文学士或理学士学位外，还必须在工作一至两年后，参加有以下三部分内容的考试：某一学科的教学方法、教育学和心理学以及有关学校的法律知识。学校顾问在中小学从事专业工作。小学的专业工作可以由学校教育专家、学校心理学家、社会工作者、特殊教育教师</w:t>
      </w:r>
      <w:r>
        <w:rPr>
          <w:rFonts w:hint="eastAsia"/>
          <w:snapToGrid/>
        </w:rPr>
        <w:t>(</w:t>
      </w:r>
      <w:r>
        <w:rPr>
          <w:rFonts w:hint="eastAsia"/>
          <w:snapToGrid/>
        </w:rPr>
        <w:t>治疗专家</w:t>
      </w:r>
      <w:r>
        <w:rPr>
          <w:rFonts w:hint="eastAsia"/>
          <w:snapToGrid/>
        </w:rPr>
        <w:t>)</w:t>
      </w:r>
      <w:r>
        <w:rPr>
          <w:rFonts w:hint="eastAsia"/>
          <w:snapToGrid/>
        </w:rPr>
        <w:t>、图书馆员或媒介资料员进行。中学的这项工作可以交托给</w:t>
      </w:r>
      <w:r>
        <w:rPr>
          <w:rFonts w:hint="eastAsia"/>
          <w:snapToGrid/>
        </w:rPr>
        <w:t>心理学家、教育专家、图书馆员、社会和保健工作人员、信息技术人员，在成人学校中还应包括成人教育专家。寄宿学校的中小学教育管理人员负责对学生的教养工作。</w:t>
      </w:r>
    </w:p>
    <w:p w:rsidR="00000000" w:rsidRDefault="00844A84">
      <w:pPr>
        <w:ind w:firstLine="510"/>
        <w:rPr>
          <w:snapToGrid/>
          <w:spacing w:val="6"/>
        </w:rPr>
      </w:pPr>
      <w:r>
        <w:rPr>
          <w:rFonts w:hint="eastAsia"/>
          <w:snapToGrid/>
        </w:rPr>
        <w:t xml:space="preserve">400.  </w:t>
      </w:r>
      <w:r>
        <w:rPr>
          <w:rFonts w:hint="eastAsia"/>
          <w:snapToGrid/>
        </w:rPr>
        <w:t>教育和体育部特别工作队收集的有关塞尔维亚共和国教师培训和专业发展的资料表明，在</w:t>
      </w:r>
      <w:r>
        <w:rPr>
          <w:rFonts w:hint="eastAsia"/>
          <w:snapToGrid/>
        </w:rPr>
        <w:t>840</w:t>
      </w:r>
      <w:r>
        <w:rPr>
          <w:rFonts w:hint="eastAsia"/>
          <w:snapToGrid/>
        </w:rPr>
        <w:t>万人口中，有</w:t>
      </w:r>
      <w:r>
        <w:rPr>
          <w:rFonts w:hint="eastAsia"/>
          <w:snapToGrid/>
        </w:rPr>
        <w:t>160</w:t>
      </w:r>
      <w:r>
        <w:rPr>
          <w:rFonts w:hint="eastAsia"/>
          <w:snapToGrid/>
        </w:rPr>
        <w:t>万人在正规的教育系统中工作。学前教育至大学的教师近达</w:t>
      </w:r>
      <w:r>
        <w:rPr>
          <w:rFonts w:hint="eastAsia"/>
          <w:snapToGrid/>
        </w:rPr>
        <w:t>10</w:t>
      </w:r>
      <w:r>
        <w:rPr>
          <w:rFonts w:hint="eastAsia"/>
          <w:snapToGrid/>
        </w:rPr>
        <w:t>万人，其中包括顾问</w:t>
      </w:r>
      <w:r>
        <w:rPr>
          <w:rFonts w:hint="eastAsia"/>
          <w:snapToGrid/>
        </w:rPr>
        <w:t>(</w:t>
      </w:r>
      <w:r>
        <w:rPr>
          <w:rFonts w:hint="eastAsia"/>
          <w:snapToGrid/>
        </w:rPr>
        <w:t>教育学家、心理学家、图书馆员、社会工作者、特别需求儿童的教育工作者</w:t>
      </w:r>
      <w:r>
        <w:rPr>
          <w:rFonts w:hint="eastAsia"/>
          <w:snapToGrid/>
        </w:rPr>
        <w:t>)</w:t>
      </w:r>
      <w:r>
        <w:rPr>
          <w:rFonts w:hint="eastAsia"/>
          <w:snapToGrid/>
        </w:rPr>
        <w:t>。其中在小学工作的近</w:t>
      </w:r>
      <w:r>
        <w:rPr>
          <w:rFonts w:hint="eastAsia"/>
          <w:snapToGrid/>
        </w:rPr>
        <w:t>55%</w:t>
      </w:r>
      <w:r>
        <w:rPr>
          <w:rFonts w:hint="eastAsia"/>
          <w:snapToGrid/>
        </w:rPr>
        <w:t>，在中学工作的为</w:t>
      </w:r>
      <w:r>
        <w:rPr>
          <w:rFonts w:hint="eastAsia"/>
          <w:snapToGrid/>
        </w:rPr>
        <w:t>27%</w:t>
      </w:r>
      <w:r>
        <w:rPr>
          <w:rFonts w:hint="eastAsia"/>
          <w:snapToGrid/>
        </w:rPr>
        <w:t>，</w:t>
      </w:r>
      <w:r>
        <w:rPr>
          <w:snapToGrid/>
        </w:rPr>
        <w:t>10%</w:t>
      </w:r>
      <w:r>
        <w:rPr>
          <w:rFonts w:hint="eastAsia"/>
          <w:snapToGrid/>
        </w:rPr>
        <w:t>为大学讲师，近</w:t>
      </w:r>
      <w:r>
        <w:rPr>
          <w:snapToGrid/>
        </w:rPr>
        <w:t>8%</w:t>
      </w:r>
      <w:r>
        <w:rPr>
          <w:rFonts w:hint="eastAsia"/>
          <w:snapToGrid/>
        </w:rPr>
        <w:t>为教育管理人员。学前教育机构共</w:t>
      </w:r>
      <w:r>
        <w:rPr>
          <w:rFonts w:hint="eastAsia"/>
          <w:snapToGrid/>
        </w:rPr>
        <w:t>有</w:t>
      </w:r>
      <w:r>
        <w:rPr>
          <w:rFonts w:hint="eastAsia"/>
          <w:snapToGrid/>
        </w:rPr>
        <w:t>18,150</w:t>
      </w:r>
      <w:r>
        <w:rPr>
          <w:rFonts w:hint="eastAsia"/>
          <w:snapToGrid/>
        </w:rPr>
        <w:t>名工作人</w:t>
      </w:r>
      <w:r>
        <w:rPr>
          <w:rFonts w:hint="eastAsia"/>
          <w:snapToGrid/>
          <w:spacing w:val="6"/>
        </w:rPr>
        <w:t>员、其中</w:t>
      </w:r>
      <w:r>
        <w:rPr>
          <w:snapToGrid/>
          <w:spacing w:val="6"/>
        </w:rPr>
        <w:t>48.5%</w:t>
      </w:r>
      <w:r>
        <w:rPr>
          <w:rFonts w:hint="eastAsia"/>
          <w:snapToGrid/>
          <w:spacing w:val="6"/>
        </w:rPr>
        <w:t>为教学人员，</w:t>
      </w:r>
      <w:r>
        <w:rPr>
          <w:snapToGrid/>
          <w:spacing w:val="6"/>
        </w:rPr>
        <w:t>16.6%</w:t>
      </w:r>
      <w:r>
        <w:rPr>
          <w:rFonts w:hint="eastAsia"/>
          <w:snapToGrid/>
          <w:spacing w:val="6"/>
        </w:rPr>
        <w:t>为医务人员，</w:t>
      </w:r>
      <w:r>
        <w:rPr>
          <w:rFonts w:hint="eastAsia"/>
          <w:snapToGrid/>
          <w:spacing w:val="6"/>
        </w:rPr>
        <w:t>39.9%</w:t>
      </w:r>
      <w:r>
        <w:rPr>
          <w:rFonts w:hint="eastAsia"/>
          <w:snapToGrid/>
          <w:spacing w:val="6"/>
        </w:rPr>
        <w:t>为行政管理和其他工作人员。</w:t>
      </w:r>
      <w:r>
        <w:rPr>
          <w:rStyle w:val="EndnoteReference"/>
          <w:snapToGrid/>
          <w:spacing w:val="6"/>
        </w:rPr>
        <w:endnoteReference w:id="61"/>
      </w:r>
    </w:p>
    <w:p w:rsidR="00000000" w:rsidRDefault="00844A84">
      <w:pPr>
        <w:ind w:firstLine="510"/>
        <w:rPr>
          <w:rFonts w:hint="eastAsia"/>
          <w:snapToGrid/>
        </w:rPr>
      </w:pPr>
      <w:r>
        <w:rPr>
          <w:snapToGrid/>
        </w:rPr>
        <w:t>401.</w:t>
      </w:r>
      <w:r>
        <w:rPr>
          <w:rFonts w:hint="eastAsia"/>
          <w:snapToGrid/>
        </w:rPr>
        <w:t xml:space="preserve">  </w:t>
      </w:r>
      <w:r>
        <w:rPr>
          <w:rFonts w:hint="eastAsia"/>
          <w:snapToGrid/>
        </w:rPr>
        <w:t>在这方面正在出现的更重要的问题之一，是如何对授课的教师进行切实的理论和实践培训。这一问题涉及在院系和大学授课的实践培训，也涉及有关定期接受义务在职高级培训的规定。在对塞尔维亚的院系和大学的教学大纲作比较后发现，目前在院系进行的学术教育与教育学教育两者之间并不平衡</w:t>
      </w:r>
      <w:r>
        <w:rPr>
          <w:rFonts w:hint="eastAsia"/>
          <w:snapToGrid/>
        </w:rPr>
        <w:t>(</w:t>
      </w:r>
      <w:r>
        <w:rPr>
          <w:rFonts w:hint="eastAsia"/>
          <w:snapToGrid/>
        </w:rPr>
        <w:t>师范学院和部分培养教师的院系例外</w:t>
      </w:r>
      <w:r>
        <w:rPr>
          <w:rFonts w:hint="eastAsia"/>
          <w:snapToGrid/>
        </w:rPr>
        <w:t>)</w:t>
      </w:r>
      <w:r>
        <w:rPr>
          <w:rFonts w:hint="eastAsia"/>
          <w:snapToGrid/>
        </w:rPr>
        <w:t>。</w:t>
      </w:r>
      <w:r>
        <w:rPr>
          <w:rStyle w:val="EndnoteReference"/>
          <w:snapToGrid/>
        </w:rPr>
        <w:endnoteReference w:id="62"/>
      </w:r>
      <w:r>
        <w:rPr>
          <w:rFonts w:hint="eastAsia"/>
          <w:snapToGrid/>
        </w:rPr>
        <w:t xml:space="preserve"> </w:t>
      </w:r>
      <w:r>
        <w:rPr>
          <w:rFonts w:hint="eastAsia"/>
          <w:snapToGrid/>
        </w:rPr>
        <w:t>在所有高等院校中，只有师范院系的学生</w:t>
      </w:r>
      <w:r>
        <w:rPr>
          <w:rFonts w:hint="eastAsia"/>
          <w:snapToGrid/>
        </w:rPr>
        <w:t>(</w:t>
      </w:r>
      <w:r>
        <w:rPr>
          <w:rFonts w:hint="eastAsia"/>
          <w:snapToGrid/>
        </w:rPr>
        <w:t>未来的教师</w:t>
      </w:r>
      <w:r>
        <w:rPr>
          <w:rFonts w:hint="eastAsia"/>
          <w:snapToGrid/>
        </w:rPr>
        <w:t>)</w:t>
      </w:r>
      <w:r>
        <w:rPr>
          <w:rFonts w:hint="eastAsia"/>
          <w:snapToGrid/>
        </w:rPr>
        <w:t>能以综合的方式在理论和实践上为教</w:t>
      </w:r>
      <w:r>
        <w:rPr>
          <w:rFonts w:hint="eastAsia"/>
          <w:snapToGrid/>
        </w:rPr>
        <w:t>学职业做好准备。其他院系</w:t>
      </w:r>
      <w:r>
        <w:rPr>
          <w:rFonts w:hint="eastAsia"/>
          <w:snapToGrid/>
        </w:rPr>
        <w:t>(</w:t>
      </w:r>
      <w:r>
        <w:rPr>
          <w:rFonts w:hint="eastAsia"/>
          <w:snapToGrid/>
        </w:rPr>
        <w:t>“师范或非师范院系”</w:t>
      </w:r>
      <w:r>
        <w:rPr>
          <w:rFonts w:hint="eastAsia"/>
          <w:snapToGrid/>
        </w:rPr>
        <w:t>)</w:t>
      </w:r>
      <w:r>
        <w:rPr>
          <w:rFonts w:hint="eastAsia"/>
          <w:snapToGrid/>
        </w:rPr>
        <w:t>的课程则更专注于教学以外的职业技能。</w:t>
      </w:r>
    </w:p>
    <w:p w:rsidR="00000000" w:rsidRDefault="00844A84">
      <w:pPr>
        <w:ind w:firstLine="510"/>
        <w:rPr>
          <w:rFonts w:hint="eastAsia"/>
          <w:snapToGrid/>
        </w:rPr>
      </w:pPr>
      <w:r>
        <w:rPr>
          <w:snapToGrid/>
        </w:rPr>
        <w:t>402.</w:t>
      </w:r>
      <w:r>
        <w:rPr>
          <w:rFonts w:hint="eastAsia"/>
          <w:snapToGrid/>
        </w:rPr>
        <w:t xml:space="preserve">  </w:t>
      </w:r>
      <w:r>
        <w:rPr>
          <w:snapToGrid/>
        </w:rPr>
        <w:t>在</w:t>
      </w:r>
      <w:r>
        <w:rPr>
          <w:rFonts w:hint="eastAsia"/>
          <w:snapToGrid/>
        </w:rPr>
        <w:t>“</w:t>
      </w:r>
      <w:r>
        <w:rPr>
          <w:snapToGrid/>
        </w:rPr>
        <w:t>师范或非师范</w:t>
      </w:r>
      <w:r>
        <w:rPr>
          <w:rFonts w:hint="eastAsia"/>
          <w:snapToGrid/>
        </w:rPr>
        <w:t>”</w:t>
      </w:r>
      <w:r>
        <w:rPr>
          <w:snapToGrid/>
        </w:rPr>
        <w:t>院系提供的</w:t>
      </w:r>
      <w:r>
        <w:rPr>
          <w:rFonts w:hint="eastAsia"/>
          <w:snapToGrid/>
        </w:rPr>
        <w:t>师范</w:t>
      </w:r>
      <w:r>
        <w:rPr>
          <w:snapToGrid/>
        </w:rPr>
        <w:t>大学教育</w:t>
      </w:r>
      <w:r>
        <w:rPr>
          <w:rFonts w:hint="eastAsia"/>
          <w:snapToGrid/>
        </w:rPr>
        <w:t>以教学大纲</w:t>
      </w:r>
      <w:r>
        <w:rPr>
          <w:snapToGrid/>
        </w:rPr>
        <w:t>为中心，因此没有</w:t>
      </w:r>
      <w:r>
        <w:rPr>
          <w:rFonts w:hint="eastAsia"/>
          <w:snapToGrid/>
        </w:rPr>
        <w:t>时间使</w:t>
      </w:r>
      <w:r>
        <w:rPr>
          <w:snapToGrid/>
        </w:rPr>
        <w:t>学生</w:t>
      </w:r>
      <w:r>
        <w:rPr>
          <w:rFonts w:hint="eastAsia"/>
          <w:snapToGrid/>
        </w:rPr>
        <w:t>在</w:t>
      </w:r>
      <w:r>
        <w:rPr>
          <w:snapToGrid/>
        </w:rPr>
        <w:t>理论上更不用说在实践上熟悉各种教学方法</w:t>
      </w:r>
      <w:r>
        <w:rPr>
          <w:rFonts w:hint="eastAsia"/>
          <w:snapToGrid/>
        </w:rPr>
        <w:t>、班级</w:t>
      </w:r>
      <w:r>
        <w:rPr>
          <w:snapToGrid/>
        </w:rPr>
        <w:t>的现代</w:t>
      </w:r>
      <w:r>
        <w:rPr>
          <w:rFonts w:hint="eastAsia"/>
          <w:snapToGrid/>
        </w:rPr>
        <w:t>化</w:t>
      </w:r>
      <w:r>
        <w:rPr>
          <w:snapToGrid/>
        </w:rPr>
        <w:t>安排</w:t>
      </w:r>
      <w:r>
        <w:rPr>
          <w:rFonts w:hint="eastAsia"/>
          <w:snapToGrid/>
        </w:rPr>
        <w:t>以及</w:t>
      </w:r>
      <w:r>
        <w:rPr>
          <w:snapToGrid/>
        </w:rPr>
        <w:t>鼓励学生积极参与的教学方法。这是整个教师培训系统的主要问题。</w:t>
      </w:r>
      <w:r>
        <w:rPr>
          <w:rStyle w:val="EndnoteReference"/>
          <w:snapToGrid/>
        </w:rPr>
        <w:endnoteReference w:id="63"/>
      </w:r>
      <w:r>
        <w:rPr>
          <w:rFonts w:hint="eastAsia"/>
          <w:snapToGrid/>
        </w:rPr>
        <w:t xml:space="preserve"> </w:t>
      </w:r>
      <w:r>
        <w:rPr>
          <w:rFonts w:hint="eastAsia"/>
          <w:snapToGrid/>
        </w:rPr>
        <w:t>在教师长期在职进修方面，法律各项条款</w:t>
      </w:r>
      <w:r>
        <w:rPr>
          <w:rFonts w:hint="eastAsia"/>
          <w:snapToGrid/>
        </w:rPr>
        <w:t>(</w:t>
      </w:r>
      <w:r>
        <w:rPr>
          <w:rFonts w:hint="eastAsia"/>
          <w:snapToGrid/>
        </w:rPr>
        <w:t>《初等教育法》第</w:t>
      </w:r>
      <w:r>
        <w:rPr>
          <w:rFonts w:hint="eastAsia"/>
          <w:snapToGrid/>
        </w:rPr>
        <w:t>74</w:t>
      </w:r>
      <w:r>
        <w:rPr>
          <w:rFonts w:hint="eastAsia"/>
          <w:snapToGrid/>
        </w:rPr>
        <w:t>条和《中等教育法》第</w:t>
      </w:r>
      <w:r>
        <w:rPr>
          <w:rFonts w:hint="eastAsia"/>
          <w:snapToGrid/>
        </w:rPr>
        <w:t>74</w:t>
      </w:r>
      <w:r>
        <w:rPr>
          <w:rFonts w:hint="eastAsia"/>
          <w:snapToGrid/>
        </w:rPr>
        <w:t>条</w:t>
      </w:r>
      <w:r>
        <w:rPr>
          <w:rFonts w:hint="eastAsia"/>
          <w:snapToGrid/>
        </w:rPr>
        <w:t>)</w:t>
      </w:r>
      <w:r>
        <w:rPr>
          <w:rFonts w:hint="eastAsia"/>
          <w:snapToGrid/>
        </w:rPr>
        <w:t>要求教师、学校顾问和教育家应长期进修。塞尔维亚共和国教育和体育部对作为高级进修组成部分的专门进修考试规定了长期进修的制度、方案</w:t>
      </w:r>
      <w:r>
        <w:rPr>
          <w:rFonts w:hint="eastAsia"/>
          <w:snapToGrid/>
        </w:rPr>
        <w:t>、方式、最终期限和条件。</w:t>
      </w:r>
    </w:p>
    <w:p w:rsidR="00000000" w:rsidRDefault="00844A84">
      <w:pPr>
        <w:ind w:firstLine="510"/>
        <w:rPr>
          <w:rFonts w:hint="eastAsia"/>
          <w:snapToGrid/>
        </w:rPr>
      </w:pPr>
      <w:r>
        <w:rPr>
          <w:snapToGrid/>
        </w:rPr>
        <w:t>403.</w:t>
      </w:r>
      <w:r>
        <w:rPr>
          <w:rFonts w:hint="eastAsia"/>
          <w:snapToGrid/>
        </w:rPr>
        <w:t xml:space="preserve">  </w:t>
      </w:r>
      <w:r>
        <w:rPr>
          <w:snapToGrid/>
        </w:rPr>
        <w:t>上述各项条款</w:t>
      </w:r>
      <w:r>
        <w:rPr>
          <w:rFonts w:hint="eastAsia"/>
          <w:snapToGrid/>
        </w:rPr>
        <w:t>尚未在</w:t>
      </w:r>
      <w:r>
        <w:rPr>
          <w:snapToGrid/>
        </w:rPr>
        <w:t>组织、人员配备和物质</w:t>
      </w:r>
      <w:r>
        <w:rPr>
          <w:rFonts w:hint="eastAsia"/>
          <w:snapToGrid/>
        </w:rPr>
        <w:t>方面变成高于</w:t>
      </w:r>
      <w:r>
        <w:rPr>
          <w:snapToGrid/>
        </w:rPr>
        <w:t>规范或准规范水平的</w:t>
      </w:r>
      <w:r>
        <w:rPr>
          <w:rFonts w:hint="eastAsia"/>
          <w:snapToGrid/>
        </w:rPr>
        <w:t>实际</w:t>
      </w:r>
      <w:r>
        <w:rPr>
          <w:snapToGrid/>
        </w:rPr>
        <w:t>条件。</w:t>
      </w:r>
      <w:r>
        <w:rPr>
          <w:rFonts w:hint="eastAsia"/>
          <w:snapToGrid/>
        </w:rPr>
        <w:t>这些条款</w:t>
      </w:r>
      <w:r>
        <w:rPr>
          <w:snapToGrid/>
        </w:rPr>
        <w:t>也没有</w:t>
      </w:r>
      <w:r>
        <w:rPr>
          <w:rFonts w:hint="eastAsia"/>
          <w:snapToGrid/>
        </w:rPr>
        <w:t>规定</w:t>
      </w:r>
      <w:r>
        <w:rPr>
          <w:snapToGrid/>
        </w:rPr>
        <w:t>高级</w:t>
      </w:r>
      <w:r>
        <w:rPr>
          <w:rFonts w:hint="eastAsia"/>
          <w:snapToGrid/>
        </w:rPr>
        <w:t>进修应提供哪些动力</w:t>
      </w:r>
      <w:r>
        <w:rPr>
          <w:snapToGrid/>
        </w:rPr>
        <w:t>，</w:t>
      </w:r>
      <w:r>
        <w:rPr>
          <w:rFonts w:hint="eastAsia"/>
          <w:snapToGrid/>
        </w:rPr>
        <w:t>以此提高教师的资历和实现晋升</w:t>
      </w:r>
      <w:r>
        <w:rPr>
          <w:snapToGrid/>
        </w:rPr>
        <w:t>愿望、</w:t>
      </w:r>
      <w:r>
        <w:rPr>
          <w:rFonts w:hint="eastAsia"/>
          <w:snapToGrid/>
        </w:rPr>
        <w:t>促进</w:t>
      </w:r>
      <w:r>
        <w:rPr>
          <w:snapToGrid/>
        </w:rPr>
        <w:t>劳动权利</w:t>
      </w:r>
      <w:r>
        <w:rPr>
          <w:rFonts w:hint="eastAsia"/>
          <w:snapToGrid/>
        </w:rPr>
        <w:t>并提高</w:t>
      </w:r>
      <w:r>
        <w:rPr>
          <w:snapToGrid/>
        </w:rPr>
        <w:t>专业和经济权利方面的</w:t>
      </w:r>
      <w:r>
        <w:rPr>
          <w:rFonts w:hint="eastAsia"/>
          <w:snapToGrid/>
        </w:rPr>
        <w:t>应有</w:t>
      </w:r>
      <w:r>
        <w:rPr>
          <w:snapToGrid/>
        </w:rPr>
        <w:t>地位。</w:t>
      </w:r>
      <w:r>
        <w:rPr>
          <w:rStyle w:val="EndnoteReference"/>
          <w:snapToGrid/>
        </w:rPr>
        <w:endnoteReference w:id="64"/>
      </w:r>
    </w:p>
    <w:p w:rsidR="00000000" w:rsidRDefault="00844A84">
      <w:pPr>
        <w:spacing w:after="320"/>
        <w:ind w:firstLine="510"/>
        <w:rPr>
          <w:rFonts w:hint="eastAsia"/>
          <w:snapToGrid/>
        </w:rPr>
      </w:pPr>
      <w:r>
        <w:rPr>
          <w:rFonts w:hint="eastAsia"/>
          <w:snapToGrid/>
        </w:rPr>
        <w:t xml:space="preserve">404.  </w:t>
      </w:r>
      <w:r>
        <w:rPr>
          <w:rFonts w:hint="eastAsia"/>
          <w:snapToGrid/>
        </w:rPr>
        <w:t>塞尔维亚共和国教育和体育部在改革教育和对教育工作人员的职业培训方面，较为重要的活动之一是修订有关教师高级进修的条款。通过修订《初等教育法》第</w:t>
      </w:r>
      <w:r>
        <w:rPr>
          <w:snapToGrid/>
        </w:rPr>
        <w:t>74</w:t>
      </w:r>
      <w:r>
        <w:rPr>
          <w:snapToGrid/>
        </w:rPr>
        <w:t>条和《中等教育法》第</w:t>
      </w:r>
      <w:r>
        <w:rPr>
          <w:snapToGrid/>
        </w:rPr>
        <w:t>78</w:t>
      </w:r>
      <w:r>
        <w:rPr>
          <w:snapToGrid/>
        </w:rPr>
        <w:t>条，规定了</w:t>
      </w:r>
      <w:r>
        <w:rPr>
          <w:rFonts w:hint="eastAsia"/>
          <w:snapToGrid/>
        </w:rPr>
        <w:t>教师和教学顾问的职称</w:t>
      </w:r>
      <w:r>
        <w:rPr>
          <w:snapToGrid/>
        </w:rPr>
        <w:t>。除了规定教师</w:t>
      </w:r>
      <w:r>
        <w:rPr>
          <w:rFonts w:hint="eastAsia"/>
          <w:snapToGrid/>
        </w:rPr>
        <w:t>职称</w:t>
      </w:r>
      <w:r>
        <w:rPr>
          <w:snapToGrid/>
        </w:rPr>
        <w:t>外，这些修订</w:t>
      </w:r>
      <w:r>
        <w:rPr>
          <w:rFonts w:hint="eastAsia"/>
          <w:snapToGrid/>
        </w:rPr>
        <w:t>案</w:t>
      </w:r>
      <w:r>
        <w:rPr>
          <w:snapToGrid/>
        </w:rPr>
        <w:t>还规定</w:t>
      </w:r>
      <w:r>
        <w:rPr>
          <w:rFonts w:hint="eastAsia"/>
          <w:snapToGrid/>
        </w:rPr>
        <w:t>由</w:t>
      </w:r>
      <w:r>
        <w:rPr>
          <w:snapToGrid/>
        </w:rPr>
        <w:t>教育部长负责</w:t>
      </w:r>
      <w:r>
        <w:rPr>
          <w:rFonts w:hint="eastAsia"/>
          <w:snapToGrid/>
        </w:rPr>
        <w:t>确定</w:t>
      </w:r>
      <w:r>
        <w:rPr>
          <w:snapToGrid/>
        </w:rPr>
        <w:t>长</w:t>
      </w:r>
      <w:r>
        <w:rPr>
          <w:snapToGrid/>
        </w:rPr>
        <w:t>期高级</w:t>
      </w:r>
      <w:r>
        <w:rPr>
          <w:rFonts w:hint="eastAsia"/>
          <w:snapToGrid/>
        </w:rPr>
        <w:t>进修</w:t>
      </w:r>
      <w:r>
        <w:rPr>
          <w:snapToGrid/>
        </w:rPr>
        <w:t>的方案和方式、</w:t>
      </w:r>
      <w:r>
        <w:rPr>
          <w:rFonts w:hint="eastAsia"/>
          <w:snapToGrid/>
        </w:rPr>
        <w:t>晋升</w:t>
      </w:r>
      <w:r>
        <w:rPr>
          <w:snapToGrid/>
        </w:rPr>
        <w:t>的要求和程序、在高级</w:t>
      </w:r>
      <w:r>
        <w:rPr>
          <w:rFonts w:hint="eastAsia"/>
          <w:snapToGrid/>
        </w:rPr>
        <w:t>进修</w:t>
      </w:r>
      <w:r>
        <w:rPr>
          <w:snapToGrid/>
        </w:rPr>
        <w:t>期间</w:t>
      </w:r>
      <w:r>
        <w:rPr>
          <w:rFonts w:hint="eastAsia"/>
          <w:snapToGrid/>
        </w:rPr>
        <w:t>应</w:t>
      </w:r>
      <w:r>
        <w:rPr>
          <w:snapToGrid/>
        </w:rPr>
        <w:t>获得</w:t>
      </w:r>
      <w:r>
        <w:rPr>
          <w:rFonts w:hint="eastAsia"/>
          <w:snapToGrid/>
        </w:rPr>
        <w:t>哪些</w:t>
      </w:r>
      <w:r>
        <w:rPr>
          <w:snapToGrid/>
        </w:rPr>
        <w:t>技能、</w:t>
      </w:r>
      <w:r>
        <w:rPr>
          <w:rFonts w:hint="eastAsia"/>
          <w:snapToGrid/>
        </w:rPr>
        <w:t>进修证书</w:t>
      </w:r>
      <w:r>
        <w:rPr>
          <w:snapToGrid/>
        </w:rPr>
        <w:t>形式以及是否可能设立</w:t>
      </w:r>
      <w:r>
        <w:rPr>
          <w:rFonts w:hint="eastAsia"/>
          <w:snapToGrid/>
        </w:rPr>
        <w:t>区域</w:t>
      </w:r>
      <w:r>
        <w:rPr>
          <w:snapToGrid/>
        </w:rPr>
        <w:t>中心，</w:t>
      </w:r>
      <w:r>
        <w:rPr>
          <w:rFonts w:hint="eastAsia"/>
          <w:snapToGrid/>
        </w:rPr>
        <w:t>使</w:t>
      </w:r>
      <w:r>
        <w:rPr>
          <w:snapToGrid/>
        </w:rPr>
        <w:t>教师</w:t>
      </w:r>
      <w:r>
        <w:rPr>
          <w:rFonts w:hint="eastAsia"/>
          <w:snapToGrid/>
        </w:rPr>
        <w:t>在</w:t>
      </w:r>
      <w:r>
        <w:rPr>
          <w:snapToGrid/>
        </w:rPr>
        <w:t>进修</w:t>
      </w:r>
      <w:r>
        <w:rPr>
          <w:rFonts w:hint="eastAsia"/>
          <w:snapToGrid/>
        </w:rPr>
        <w:t>后</w:t>
      </w:r>
      <w:r>
        <w:rPr>
          <w:snapToGrid/>
        </w:rPr>
        <w:t>取得</w:t>
      </w:r>
      <w:r>
        <w:rPr>
          <w:rFonts w:hint="eastAsia"/>
          <w:snapToGrid/>
        </w:rPr>
        <w:t>与</w:t>
      </w:r>
      <w:r>
        <w:rPr>
          <w:snapToGrid/>
        </w:rPr>
        <w:t>教学</w:t>
      </w:r>
      <w:r>
        <w:rPr>
          <w:rFonts w:hint="eastAsia"/>
          <w:snapToGrid/>
        </w:rPr>
        <w:t>相关的</w:t>
      </w:r>
      <w:r>
        <w:rPr>
          <w:snapToGrid/>
        </w:rPr>
        <w:t>学位。</w:t>
      </w:r>
    </w:p>
    <w:p w:rsidR="00000000" w:rsidRDefault="00844A84">
      <w:pPr>
        <w:pStyle w:val="Heading3"/>
      </w:pPr>
      <w:r>
        <w:rPr>
          <w:rFonts w:hint="eastAsia"/>
        </w:rPr>
        <w:t>第</w:t>
      </w:r>
      <w:r>
        <w:rPr>
          <w:rFonts w:hint="eastAsia"/>
        </w:rPr>
        <w:t xml:space="preserve"> </w:t>
      </w:r>
      <w:r>
        <w:rPr>
          <w:rFonts w:hint="eastAsia"/>
        </w:rPr>
        <w:t>十四</w:t>
      </w:r>
      <w:r>
        <w:t xml:space="preserve"> </w:t>
      </w:r>
      <w:r>
        <w:t>条</w:t>
      </w:r>
    </w:p>
    <w:p w:rsidR="00000000" w:rsidRDefault="00844A84">
      <w:pPr>
        <w:pStyle w:val="Heading3"/>
        <w:rPr>
          <w:rFonts w:hint="eastAsia"/>
        </w:rPr>
      </w:pPr>
      <w:r>
        <w:rPr>
          <w:rFonts w:hint="eastAsia"/>
        </w:rPr>
        <w:t>免费初等义务教育</w:t>
      </w:r>
    </w:p>
    <w:p w:rsidR="00000000" w:rsidRDefault="00844A84">
      <w:pPr>
        <w:spacing w:after="320"/>
        <w:ind w:firstLine="510"/>
        <w:rPr>
          <w:rFonts w:hint="eastAsia"/>
          <w:snapToGrid/>
        </w:rPr>
      </w:pPr>
      <w:r>
        <w:rPr>
          <w:snapToGrid/>
        </w:rPr>
        <w:t>405.</w:t>
      </w:r>
      <w:r>
        <w:rPr>
          <w:rFonts w:hint="eastAsia"/>
          <w:snapToGrid/>
        </w:rPr>
        <w:t xml:space="preserve">  </w:t>
      </w:r>
      <w:r>
        <w:rPr>
          <w:rFonts w:hint="eastAsia"/>
          <w:snapToGrid/>
        </w:rPr>
        <w:t>鉴于</w:t>
      </w:r>
      <w:r>
        <w:rPr>
          <w:snapToGrid/>
        </w:rPr>
        <w:t>《南斯拉夫联盟共和国宪法》保障提供免费初等义务教育，《人权和少数群体权利及公民自由宪章》更全面地保障这项权利，又鉴于</w:t>
      </w:r>
      <w:r>
        <w:rPr>
          <w:rFonts w:hint="eastAsia"/>
          <w:snapToGrid/>
        </w:rPr>
        <w:t>《</w:t>
      </w:r>
      <w:r>
        <w:rPr>
          <w:snapToGrid/>
        </w:rPr>
        <w:t>塞尔维亚共和国宪法》也规定中等教育和高等教育系统</w:t>
      </w:r>
      <w:r>
        <w:rPr>
          <w:rFonts w:hint="eastAsia"/>
          <w:snapToGrid/>
        </w:rPr>
        <w:t>的</w:t>
      </w:r>
      <w:r>
        <w:rPr>
          <w:snapToGrid/>
        </w:rPr>
        <w:t>所有全日制学生都有权接受免费教育，所以请参阅本报告关于《公约》第</w:t>
      </w:r>
      <w:r>
        <w:rPr>
          <w:snapToGrid/>
        </w:rPr>
        <w:t>13</w:t>
      </w:r>
      <w:r>
        <w:rPr>
          <w:snapToGrid/>
        </w:rPr>
        <w:t>条的评述</w:t>
      </w:r>
      <w:r>
        <w:rPr>
          <w:rFonts w:hint="eastAsia"/>
          <w:snapToGrid/>
        </w:rPr>
        <w:t>意见</w:t>
      </w:r>
      <w:r>
        <w:rPr>
          <w:snapToGrid/>
        </w:rPr>
        <w:t>。</w:t>
      </w:r>
    </w:p>
    <w:p w:rsidR="00000000" w:rsidRDefault="00844A84">
      <w:pPr>
        <w:pStyle w:val="Heading3"/>
      </w:pPr>
      <w:r>
        <w:rPr>
          <w:rFonts w:hint="eastAsia"/>
        </w:rPr>
        <w:t>第</w:t>
      </w:r>
      <w:r>
        <w:rPr>
          <w:rFonts w:hint="eastAsia"/>
        </w:rPr>
        <w:t xml:space="preserve"> </w:t>
      </w:r>
      <w:r>
        <w:rPr>
          <w:rFonts w:hint="eastAsia"/>
        </w:rPr>
        <w:t>十五</w:t>
      </w:r>
      <w:r>
        <w:t xml:space="preserve"> </w:t>
      </w:r>
      <w:r>
        <w:t>条</w:t>
      </w:r>
    </w:p>
    <w:p w:rsidR="00000000" w:rsidRDefault="00844A84">
      <w:pPr>
        <w:pStyle w:val="Heading3"/>
        <w:rPr>
          <w:rFonts w:hint="eastAsia"/>
        </w:rPr>
      </w:pPr>
      <w:r>
        <w:rPr>
          <w:rFonts w:hint="eastAsia"/>
          <w:u w:val="none"/>
        </w:rPr>
        <w:t xml:space="preserve">A.  </w:t>
      </w:r>
      <w:r>
        <w:rPr>
          <w:rFonts w:hint="eastAsia"/>
        </w:rPr>
        <w:t>参与文化生活的权利</w:t>
      </w:r>
    </w:p>
    <w:p w:rsidR="00000000" w:rsidRDefault="00844A84">
      <w:pPr>
        <w:pStyle w:val="Heading4"/>
        <w:rPr>
          <w:rFonts w:hint="eastAsia"/>
        </w:rPr>
      </w:pPr>
      <w:r>
        <w:rPr>
          <w:rFonts w:hint="eastAsia"/>
        </w:rPr>
        <w:t>立</w:t>
      </w:r>
      <w:r>
        <w:rPr>
          <w:rFonts w:hint="eastAsia"/>
        </w:rPr>
        <w:t xml:space="preserve">  </w:t>
      </w:r>
      <w:r>
        <w:rPr>
          <w:rFonts w:hint="eastAsia"/>
        </w:rPr>
        <w:t>法</w:t>
      </w:r>
    </w:p>
    <w:p w:rsidR="00000000" w:rsidRDefault="00844A84">
      <w:pPr>
        <w:ind w:firstLine="510"/>
        <w:rPr>
          <w:snapToGrid/>
        </w:rPr>
      </w:pPr>
      <w:r>
        <w:rPr>
          <w:snapToGrid/>
        </w:rPr>
        <w:t>406.</w:t>
      </w:r>
      <w:r>
        <w:rPr>
          <w:rFonts w:hint="eastAsia"/>
          <w:snapToGrid/>
        </w:rPr>
        <w:t xml:space="preserve">  </w:t>
      </w:r>
      <w:r>
        <w:rPr>
          <w:snapToGrid/>
        </w:rPr>
        <w:t>南斯拉夫联盟共和国</w:t>
      </w:r>
      <w:r>
        <w:rPr>
          <w:rFonts w:hint="eastAsia"/>
          <w:snapToGrid/>
        </w:rPr>
        <w:t>各</w:t>
      </w:r>
      <w:r>
        <w:rPr>
          <w:snapToGrid/>
        </w:rPr>
        <w:t>成员共和国负责文化领域的工作。一般而言，一些领域都有一项或多项组织法，但文化领域</w:t>
      </w:r>
      <w:r>
        <w:rPr>
          <w:rFonts w:hint="eastAsia"/>
          <w:snapToGrid/>
        </w:rPr>
        <w:t>与其他领域</w:t>
      </w:r>
      <w:r>
        <w:rPr>
          <w:snapToGrid/>
        </w:rPr>
        <w:t>不同，它有若干项所谓的</w:t>
      </w:r>
      <w:r>
        <w:rPr>
          <w:rFonts w:hint="eastAsia"/>
          <w:snapToGrid/>
        </w:rPr>
        <w:t>“</w:t>
      </w:r>
      <w:r>
        <w:rPr>
          <w:snapToGrid/>
        </w:rPr>
        <w:t>组织法</w:t>
      </w:r>
      <w:r>
        <w:rPr>
          <w:rFonts w:hint="eastAsia"/>
          <w:snapToGrid/>
        </w:rPr>
        <w:t>”</w:t>
      </w:r>
      <w:r>
        <w:rPr>
          <w:snapToGrid/>
        </w:rPr>
        <w:t>。</w:t>
      </w:r>
    </w:p>
    <w:p w:rsidR="00000000" w:rsidRDefault="00844A84">
      <w:pPr>
        <w:spacing w:after="320"/>
        <w:ind w:firstLine="510"/>
        <w:rPr>
          <w:rFonts w:hint="eastAsia"/>
          <w:snapToGrid/>
        </w:rPr>
      </w:pPr>
      <w:r>
        <w:rPr>
          <w:snapToGrid/>
        </w:rPr>
        <w:t>407.</w:t>
      </w:r>
      <w:r>
        <w:rPr>
          <w:rFonts w:hint="eastAsia"/>
          <w:snapToGrid/>
        </w:rPr>
        <w:t xml:space="preserve">  </w:t>
      </w:r>
      <w:r>
        <w:rPr>
          <w:snapToGrid/>
        </w:rPr>
        <w:t>关于塞尔维亚共和国文化领域普遍关心</w:t>
      </w:r>
      <w:r>
        <w:rPr>
          <w:rFonts w:hint="eastAsia"/>
          <w:snapToGrid/>
        </w:rPr>
        <w:t>的</w:t>
      </w:r>
      <w:r>
        <w:rPr>
          <w:snapToGrid/>
        </w:rPr>
        <w:t>活动的法律</w:t>
      </w:r>
      <w:r>
        <w:rPr>
          <w:snapToGrid/>
        </w:rPr>
        <w:t>(</w:t>
      </w:r>
      <w:r>
        <w:rPr>
          <w:snapToGrid/>
        </w:rPr>
        <w:t>《塞尔维亚共和国公报》，第</w:t>
      </w:r>
      <w:r>
        <w:rPr>
          <w:snapToGrid/>
        </w:rPr>
        <w:t>49/92</w:t>
      </w:r>
      <w:r>
        <w:rPr>
          <w:snapToGrid/>
        </w:rPr>
        <w:t>号</w:t>
      </w:r>
      <w:r>
        <w:rPr>
          <w:snapToGrid/>
        </w:rPr>
        <w:t>)</w:t>
      </w:r>
      <w:r>
        <w:rPr>
          <w:rFonts w:hint="eastAsia"/>
          <w:snapToGrid/>
        </w:rPr>
        <w:t>列举了</w:t>
      </w:r>
      <w:r>
        <w:rPr>
          <w:snapToGrid/>
        </w:rPr>
        <w:t>共和国</w:t>
      </w:r>
      <w:r>
        <w:rPr>
          <w:rFonts w:hint="eastAsia"/>
          <w:snapToGrid/>
        </w:rPr>
        <w:t>在</w:t>
      </w:r>
      <w:r>
        <w:rPr>
          <w:snapToGrid/>
        </w:rPr>
        <w:t>不同文化领域中普遍关心的</w:t>
      </w:r>
      <w:r>
        <w:rPr>
          <w:snapToGrid/>
        </w:rPr>
        <w:t>22</w:t>
      </w:r>
      <w:r>
        <w:rPr>
          <w:snapToGrid/>
        </w:rPr>
        <w:t>项活动。该法律提及最重要的各种文化机构</w:t>
      </w:r>
      <w:r>
        <w:rPr>
          <w:rFonts w:hint="eastAsia"/>
          <w:snapToGrid/>
        </w:rPr>
        <w:t>、</w:t>
      </w:r>
      <w:r>
        <w:rPr>
          <w:snapToGrid/>
        </w:rPr>
        <w:t>共和国鼓励</w:t>
      </w:r>
      <w:r>
        <w:rPr>
          <w:rFonts w:hint="eastAsia"/>
          <w:snapToGrid/>
        </w:rPr>
        <w:t>普及</w:t>
      </w:r>
      <w:r>
        <w:rPr>
          <w:snapToGrid/>
        </w:rPr>
        <w:t>的</w:t>
      </w:r>
      <w:r>
        <w:rPr>
          <w:rFonts w:hint="eastAsia"/>
          <w:snapToGrid/>
        </w:rPr>
        <w:t>具体</w:t>
      </w:r>
      <w:r>
        <w:rPr>
          <w:snapToGrid/>
        </w:rPr>
        <w:t>文化活动或活动部门、个人文化活动、</w:t>
      </w:r>
      <w:r>
        <w:rPr>
          <w:rFonts w:hint="eastAsia"/>
          <w:snapToGrid/>
        </w:rPr>
        <w:t>族裔</w:t>
      </w:r>
      <w:r>
        <w:rPr>
          <w:snapToGrid/>
        </w:rPr>
        <w:t>文化、国际文化合作、援助青年艺术家并为盲人出版刊物。</w:t>
      </w:r>
      <w:r>
        <w:rPr>
          <w:rFonts w:hint="eastAsia"/>
          <w:snapToGrid/>
        </w:rPr>
        <w:t>组织</w:t>
      </w:r>
      <w:r>
        <w:rPr>
          <w:snapToGrid/>
        </w:rPr>
        <w:t>其他各种活动</w:t>
      </w:r>
      <w:r>
        <w:rPr>
          <w:rFonts w:hint="eastAsia"/>
          <w:snapToGrid/>
        </w:rPr>
        <w:t>的则是</w:t>
      </w:r>
      <w:r>
        <w:rPr>
          <w:snapToGrid/>
        </w:rPr>
        <w:t>私</w:t>
      </w:r>
      <w:r>
        <w:rPr>
          <w:rFonts w:hint="eastAsia"/>
          <w:snapToGrid/>
        </w:rPr>
        <w:t>人举措</w:t>
      </w:r>
      <w:r>
        <w:rPr>
          <w:snapToGrid/>
        </w:rPr>
        <w:t>、市场</w:t>
      </w:r>
      <w:r>
        <w:rPr>
          <w:rFonts w:hint="eastAsia"/>
          <w:snapToGrid/>
        </w:rPr>
        <w:t>力量</w:t>
      </w:r>
      <w:r>
        <w:rPr>
          <w:snapToGrid/>
        </w:rPr>
        <w:t>以及对</w:t>
      </w:r>
      <w:r>
        <w:rPr>
          <w:rFonts w:hint="eastAsia"/>
          <w:snapToGrid/>
        </w:rPr>
        <w:t>之</w:t>
      </w:r>
      <w:r>
        <w:rPr>
          <w:snapToGrid/>
        </w:rPr>
        <w:t>关心的组织</w:t>
      </w:r>
      <w:r>
        <w:rPr>
          <w:snapToGrid/>
        </w:rPr>
        <w:t>(</w:t>
      </w:r>
      <w:r>
        <w:rPr>
          <w:snapToGrid/>
        </w:rPr>
        <w:t>民间协会</w:t>
      </w:r>
      <w:r>
        <w:rPr>
          <w:snapToGrid/>
        </w:rPr>
        <w:t>)</w:t>
      </w:r>
      <w:r>
        <w:rPr>
          <w:snapToGrid/>
        </w:rPr>
        <w:t>、少</w:t>
      </w:r>
      <w:r>
        <w:rPr>
          <w:snapToGrid/>
        </w:rPr>
        <w:t>数</w:t>
      </w:r>
      <w:r>
        <w:rPr>
          <w:rFonts w:hint="eastAsia"/>
          <w:snapToGrid/>
        </w:rPr>
        <w:t>族裔</w:t>
      </w:r>
      <w:r>
        <w:rPr>
          <w:snapToGrid/>
        </w:rPr>
        <w:t>群体、地方自治政府、</w:t>
      </w:r>
      <w:r>
        <w:rPr>
          <w:rFonts w:hint="eastAsia"/>
          <w:snapToGrid/>
        </w:rPr>
        <w:t>赞助者</w:t>
      </w:r>
      <w:r>
        <w:rPr>
          <w:snapToGrid/>
        </w:rPr>
        <w:t>、捐助者和</w:t>
      </w:r>
      <w:r>
        <w:rPr>
          <w:rFonts w:hint="eastAsia"/>
          <w:snapToGrid/>
        </w:rPr>
        <w:t>捐赠基金会。</w:t>
      </w:r>
    </w:p>
    <w:p w:rsidR="00000000" w:rsidRDefault="00844A84">
      <w:pPr>
        <w:pStyle w:val="Heading4"/>
        <w:rPr>
          <w:rFonts w:hint="eastAsia"/>
        </w:rPr>
      </w:pPr>
      <w:r>
        <w:rPr>
          <w:rFonts w:hint="eastAsia"/>
        </w:rPr>
        <w:t>文化机构网络组织：主要类别</w:t>
      </w:r>
    </w:p>
    <w:p w:rsidR="00000000" w:rsidRDefault="00844A84">
      <w:pPr>
        <w:ind w:firstLine="510"/>
        <w:rPr>
          <w:rFonts w:hint="eastAsia"/>
          <w:snapToGrid/>
        </w:rPr>
      </w:pPr>
      <w:r>
        <w:rPr>
          <w:rFonts w:hint="eastAsia"/>
          <w:snapToGrid/>
        </w:rPr>
        <w:t xml:space="preserve">408.  </w:t>
      </w:r>
      <w:r>
        <w:rPr>
          <w:rFonts w:hint="eastAsia"/>
          <w:snapToGrid/>
        </w:rPr>
        <w:t>塞尔维亚共和国有</w:t>
      </w:r>
      <w:r>
        <w:rPr>
          <w:snapToGrid/>
        </w:rPr>
        <w:t>123</w:t>
      </w:r>
      <w:r>
        <w:rPr>
          <w:snapToGrid/>
        </w:rPr>
        <w:t>所博物馆，其中包括</w:t>
      </w:r>
      <w:r>
        <w:rPr>
          <w:snapToGrid/>
        </w:rPr>
        <w:t>49</w:t>
      </w:r>
      <w:r>
        <w:rPr>
          <w:snapToGrid/>
        </w:rPr>
        <w:t>个纪念馆</w:t>
      </w:r>
      <w:r>
        <w:rPr>
          <w:snapToGrid/>
        </w:rPr>
        <w:t>(</w:t>
      </w:r>
      <w:r>
        <w:rPr>
          <w:snapToGrid/>
        </w:rPr>
        <w:t>占</w:t>
      </w:r>
      <w:r>
        <w:rPr>
          <w:snapToGrid/>
        </w:rPr>
        <w:t>39.8%)</w:t>
      </w:r>
      <w:r>
        <w:rPr>
          <w:snapToGrid/>
        </w:rPr>
        <w:t>。登记收藏的有</w:t>
      </w:r>
      <w:r>
        <w:rPr>
          <w:snapToGrid/>
        </w:rPr>
        <w:t>300</w:t>
      </w:r>
      <w:r>
        <w:rPr>
          <w:snapToGrid/>
        </w:rPr>
        <w:t>多万件物品，但</w:t>
      </w:r>
      <w:r>
        <w:rPr>
          <w:rFonts w:hint="eastAsia"/>
          <w:snapToGrid/>
        </w:rPr>
        <w:t>展出</w:t>
      </w:r>
      <w:r>
        <w:rPr>
          <w:snapToGrid/>
        </w:rPr>
        <w:t>的仅有</w:t>
      </w:r>
      <w:r>
        <w:rPr>
          <w:snapToGrid/>
        </w:rPr>
        <w:t>1</w:t>
      </w:r>
      <w:r>
        <w:rPr>
          <w:rFonts w:hint="eastAsia"/>
          <w:snapToGrid/>
        </w:rPr>
        <w:t>1</w:t>
      </w:r>
      <w:r>
        <w:rPr>
          <w:snapToGrid/>
        </w:rPr>
        <w:t>5,000</w:t>
      </w:r>
      <w:r>
        <w:rPr>
          <w:snapToGrid/>
        </w:rPr>
        <w:t>件</w:t>
      </w:r>
      <w:r>
        <w:rPr>
          <w:snapToGrid/>
        </w:rPr>
        <w:t>(</w:t>
      </w:r>
      <w:r>
        <w:rPr>
          <w:snapToGrid/>
        </w:rPr>
        <w:t>占</w:t>
      </w:r>
      <w:r>
        <w:rPr>
          <w:snapToGrid/>
        </w:rPr>
        <w:t>3.8%</w:t>
      </w:r>
      <w:r>
        <w:rPr>
          <w:snapToGrid/>
        </w:rPr>
        <w:t>。</w:t>
      </w:r>
      <w:r>
        <w:rPr>
          <w:snapToGrid/>
        </w:rPr>
        <w:t>)</w:t>
      </w:r>
      <w:r>
        <w:rPr>
          <w:rFonts w:hint="eastAsia"/>
          <w:snapToGrid/>
        </w:rPr>
        <w:t>。此外还有</w:t>
      </w:r>
      <w:r>
        <w:rPr>
          <w:rFonts w:hint="eastAsia"/>
          <w:snapToGrid/>
        </w:rPr>
        <w:t>47</w:t>
      </w:r>
      <w:r>
        <w:rPr>
          <w:rFonts w:hint="eastAsia"/>
          <w:snapToGrid/>
        </w:rPr>
        <w:t>个档案馆，收藏约</w:t>
      </w:r>
      <w:r>
        <w:rPr>
          <w:rFonts w:hint="eastAsia"/>
          <w:snapToGrid/>
        </w:rPr>
        <w:t>18,000</w:t>
      </w:r>
      <w:r>
        <w:rPr>
          <w:rFonts w:hint="eastAsia"/>
          <w:snapToGrid/>
        </w:rPr>
        <w:t>件单独的档案材料。</w:t>
      </w:r>
      <w:r>
        <w:rPr>
          <w:snapToGrid/>
        </w:rPr>
        <w:t>拥有约</w:t>
      </w:r>
      <w:r>
        <w:rPr>
          <w:snapToGrid/>
        </w:rPr>
        <w:t>400</w:t>
      </w:r>
      <w:r>
        <w:rPr>
          <w:snapToGrid/>
        </w:rPr>
        <w:t>名雇员的</w:t>
      </w:r>
      <w:r>
        <w:rPr>
          <w:snapToGrid/>
        </w:rPr>
        <w:t>15</w:t>
      </w:r>
      <w:r>
        <w:rPr>
          <w:snapToGrid/>
        </w:rPr>
        <w:t>个专门机构负责维护</w:t>
      </w:r>
      <w:r>
        <w:rPr>
          <w:rFonts w:hint="eastAsia"/>
          <w:snapToGrid/>
        </w:rPr>
        <w:t>2,787</w:t>
      </w:r>
      <w:r>
        <w:rPr>
          <w:snapToGrid/>
        </w:rPr>
        <w:t>个</w:t>
      </w:r>
      <w:r>
        <w:rPr>
          <w:rFonts w:hint="eastAsia"/>
          <w:snapToGrid/>
        </w:rPr>
        <w:t>文化名胜场所</w:t>
      </w:r>
      <w:r>
        <w:rPr>
          <w:snapToGrid/>
        </w:rPr>
        <w:t>。维护工作的任务交由拥有</w:t>
      </w:r>
      <w:r>
        <w:rPr>
          <w:snapToGrid/>
        </w:rPr>
        <w:t>2,700</w:t>
      </w:r>
      <w:r>
        <w:rPr>
          <w:rFonts w:hint="eastAsia"/>
          <w:snapToGrid/>
        </w:rPr>
        <w:t>多</w:t>
      </w:r>
      <w:r>
        <w:rPr>
          <w:snapToGrid/>
        </w:rPr>
        <w:t>名雇员的</w:t>
      </w:r>
      <w:r>
        <w:rPr>
          <w:snapToGrid/>
        </w:rPr>
        <w:t>185</w:t>
      </w:r>
      <w:r>
        <w:rPr>
          <w:rFonts w:hint="eastAsia"/>
          <w:snapToGrid/>
        </w:rPr>
        <w:t>个</w:t>
      </w:r>
      <w:r>
        <w:rPr>
          <w:snapToGrid/>
        </w:rPr>
        <w:t>机构</w:t>
      </w:r>
      <w:r>
        <w:rPr>
          <w:rFonts w:hint="eastAsia"/>
          <w:snapToGrid/>
        </w:rPr>
        <w:t>执行</w:t>
      </w:r>
      <w:r>
        <w:rPr>
          <w:snapToGrid/>
        </w:rPr>
        <w:t>。这一领域的</w:t>
      </w:r>
      <w:r>
        <w:rPr>
          <w:rFonts w:hint="eastAsia"/>
          <w:snapToGrid/>
        </w:rPr>
        <w:t>协调中心</w:t>
      </w:r>
      <w:r>
        <w:rPr>
          <w:snapToGrid/>
        </w:rPr>
        <w:t>包括监督</w:t>
      </w:r>
      <w:r>
        <w:rPr>
          <w:rFonts w:hint="eastAsia"/>
          <w:snapToGrid/>
        </w:rPr>
        <w:t>此类</w:t>
      </w:r>
      <w:r>
        <w:rPr>
          <w:snapToGrid/>
        </w:rPr>
        <w:t>机构的</w:t>
      </w:r>
      <w:r>
        <w:rPr>
          <w:rFonts w:hint="eastAsia"/>
          <w:snapToGrid/>
        </w:rPr>
        <w:t>监管</w:t>
      </w:r>
      <w:r>
        <w:rPr>
          <w:snapToGrid/>
        </w:rPr>
        <w:t>机构贝尔格莱德国家博物馆、塞尔维亚档案馆以及</w:t>
      </w:r>
      <w:r>
        <w:rPr>
          <w:snapToGrid/>
        </w:rPr>
        <w:t>共和国历史遗址保护研究所。</w:t>
      </w:r>
    </w:p>
    <w:p w:rsidR="00000000" w:rsidRDefault="00844A84">
      <w:pPr>
        <w:ind w:firstLine="510"/>
        <w:rPr>
          <w:rFonts w:hint="eastAsia"/>
          <w:snapToGrid/>
        </w:rPr>
      </w:pPr>
      <w:r>
        <w:rPr>
          <w:rFonts w:hint="eastAsia"/>
          <w:snapToGrid/>
        </w:rPr>
        <w:t xml:space="preserve">409.  </w:t>
      </w:r>
      <w:r>
        <w:rPr>
          <w:rFonts w:hint="eastAsia"/>
          <w:snapToGrid/>
        </w:rPr>
        <w:t>另一个重要类别是国家图书馆、高等院校图书馆、特别图书馆和普通科学图书馆。塞尔维亚共和国有</w:t>
      </w:r>
      <w:r>
        <w:rPr>
          <w:snapToGrid/>
        </w:rPr>
        <w:t>464</w:t>
      </w:r>
      <w:r>
        <w:rPr>
          <w:snapToGrid/>
        </w:rPr>
        <w:t>个这种类型的图书馆：两个国家图书馆，</w:t>
      </w:r>
      <w:r>
        <w:rPr>
          <w:snapToGrid/>
        </w:rPr>
        <w:t>166</w:t>
      </w:r>
      <w:r>
        <w:rPr>
          <w:snapToGrid/>
        </w:rPr>
        <w:t>个高等院校图书馆、</w:t>
      </w:r>
      <w:r>
        <w:rPr>
          <w:snapToGrid/>
        </w:rPr>
        <w:t>297</w:t>
      </w:r>
      <w:r>
        <w:rPr>
          <w:snapToGrid/>
        </w:rPr>
        <w:t>个特</w:t>
      </w:r>
      <w:r>
        <w:rPr>
          <w:rFonts w:hint="eastAsia"/>
          <w:snapToGrid/>
        </w:rPr>
        <w:t>别</w:t>
      </w:r>
      <w:r>
        <w:rPr>
          <w:snapToGrid/>
        </w:rPr>
        <w:t>图书馆以及</w:t>
      </w:r>
      <w:r>
        <w:rPr>
          <w:snapToGrid/>
        </w:rPr>
        <w:t>10</w:t>
      </w:r>
      <w:r>
        <w:rPr>
          <w:snapToGrid/>
        </w:rPr>
        <w:t>个普通科学图书馆。这些图书馆藏书</w:t>
      </w:r>
      <w:r>
        <w:rPr>
          <w:rFonts w:hint="eastAsia"/>
          <w:snapToGrid/>
        </w:rPr>
        <w:t>共计</w:t>
      </w:r>
      <w:r>
        <w:rPr>
          <w:snapToGrid/>
        </w:rPr>
        <w:t>10,631,100</w:t>
      </w:r>
      <w:r>
        <w:rPr>
          <w:snapToGrid/>
        </w:rPr>
        <w:t>册。一般公众</w:t>
      </w:r>
      <w:r>
        <w:rPr>
          <w:rFonts w:hint="eastAsia"/>
          <w:snapToGrid/>
        </w:rPr>
        <w:t>可在</w:t>
      </w:r>
      <w:r>
        <w:rPr>
          <w:snapToGrid/>
        </w:rPr>
        <w:t>49</w:t>
      </w:r>
      <w:r>
        <w:rPr>
          <w:rFonts w:hint="eastAsia"/>
          <w:snapToGrid/>
        </w:rPr>
        <w:t>个</w:t>
      </w:r>
      <w:r>
        <w:rPr>
          <w:snapToGrid/>
        </w:rPr>
        <w:t>高等院校图书馆以及</w:t>
      </w:r>
      <w:r>
        <w:rPr>
          <w:snapToGrid/>
        </w:rPr>
        <w:t>39</w:t>
      </w:r>
      <w:r>
        <w:rPr>
          <w:snapToGrid/>
        </w:rPr>
        <w:t>个特</w:t>
      </w:r>
      <w:r>
        <w:rPr>
          <w:rFonts w:hint="eastAsia"/>
          <w:snapToGrid/>
        </w:rPr>
        <w:t>别</w:t>
      </w:r>
      <w:r>
        <w:rPr>
          <w:snapToGrid/>
        </w:rPr>
        <w:t>图书馆借阅图书。此外还有一个庞大的公共图书馆网，</w:t>
      </w:r>
      <w:r>
        <w:rPr>
          <w:rFonts w:hint="eastAsia"/>
          <w:snapToGrid/>
        </w:rPr>
        <w:t>共有</w:t>
      </w:r>
      <w:r>
        <w:rPr>
          <w:snapToGrid/>
        </w:rPr>
        <w:t>904</w:t>
      </w:r>
      <w:r>
        <w:rPr>
          <w:rFonts w:hint="eastAsia"/>
          <w:snapToGrid/>
        </w:rPr>
        <w:t>个</w:t>
      </w:r>
      <w:r>
        <w:rPr>
          <w:snapToGrid/>
        </w:rPr>
        <w:t>公共图书馆，有</w:t>
      </w:r>
      <w:r>
        <w:rPr>
          <w:snapToGrid/>
        </w:rPr>
        <w:t>1,500</w:t>
      </w:r>
      <w:r>
        <w:rPr>
          <w:snapToGrid/>
        </w:rPr>
        <w:t>多</w:t>
      </w:r>
      <w:r>
        <w:rPr>
          <w:rFonts w:hint="eastAsia"/>
          <w:snapToGrid/>
        </w:rPr>
        <w:t>人在其中工作</w:t>
      </w:r>
      <w:r>
        <w:rPr>
          <w:snapToGrid/>
        </w:rPr>
        <w:t>，其中</w:t>
      </w:r>
      <w:r>
        <w:rPr>
          <w:snapToGrid/>
        </w:rPr>
        <w:t>73%</w:t>
      </w:r>
      <w:r>
        <w:rPr>
          <w:rFonts w:hint="eastAsia"/>
          <w:snapToGrid/>
        </w:rPr>
        <w:t>是合格</w:t>
      </w:r>
      <w:r>
        <w:rPr>
          <w:snapToGrid/>
        </w:rPr>
        <w:t>的图书馆工作人员。这些图书馆藏书</w:t>
      </w:r>
      <w:r>
        <w:rPr>
          <w:rFonts w:hint="eastAsia"/>
          <w:snapToGrid/>
        </w:rPr>
        <w:t>共计</w:t>
      </w:r>
      <w:r>
        <w:rPr>
          <w:rFonts w:hint="eastAsia"/>
          <w:snapToGrid/>
        </w:rPr>
        <w:t>14,72</w:t>
      </w:r>
      <w:r>
        <w:rPr>
          <w:snapToGrid/>
        </w:rPr>
        <w:t>4,000</w:t>
      </w:r>
      <w:r>
        <w:rPr>
          <w:snapToGrid/>
        </w:rPr>
        <w:t>册。</w:t>
      </w:r>
    </w:p>
    <w:p w:rsidR="00000000" w:rsidRDefault="00844A84">
      <w:pPr>
        <w:ind w:firstLine="510"/>
        <w:rPr>
          <w:snapToGrid/>
        </w:rPr>
      </w:pPr>
      <w:r>
        <w:rPr>
          <w:rFonts w:hint="eastAsia"/>
          <w:snapToGrid/>
        </w:rPr>
        <w:t>410.</w:t>
      </w:r>
      <w:r>
        <w:rPr>
          <w:rFonts w:hint="eastAsia"/>
          <w:snapToGrid/>
        </w:rPr>
        <w:t xml:space="preserve">  </w:t>
      </w:r>
      <w:r>
        <w:rPr>
          <w:rFonts w:hint="eastAsia"/>
          <w:snapToGrid/>
        </w:rPr>
        <w:t>第三类文化机构是专业剧院。据</w:t>
      </w:r>
      <w:r>
        <w:rPr>
          <w:snapToGrid/>
        </w:rPr>
        <w:t>1994</w:t>
      </w:r>
      <w:r>
        <w:rPr>
          <w:rFonts w:hint="eastAsia"/>
          <w:snapToGrid/>
        </w:rPr>
        <w:t>-</w:t>
      </w:r>
      <w:r>
        <w:rPr>
          <w:snapToGrid/>
        </w:rPr>
        <w:t>1995</w:t>
      </w:r>
      <w:r>
        <w:rPr>
          <w:snapToGrid/>
        </w:rPr>
        <w:t>年资料显示，塞尔维亚共有</w:t>
      </w:r>
      <w:r>
        <w:rPr>
          <w:snapToGrid/>
        </w:rPr>
        <w:t>36</w:t>
      </w:r>
      <w:r>
        <w:rPr>
          <w:snapToGrid/>
        </w:rPr>
        <w:t>座专业剧院</w:t>
      </w:r>
      <w:r>
        <w:rPr>
          <w:rFonts w:hint="eastAsia"/>
          <w:snapToGrid/>
        </w:rPr>
        <w:t>，包括约</w:t>
      </w:r>
      <w:r>
        <w:rPr>
          <w:snapToGrid/>
        </w:rPr>
        <w:t>9</w:t>
      </w:r>
      <w:r>
        <w:rPr>
          <w:snapToGrid/>
        </w:rPr>
        <w:t>座儿童剧院</w:t>
      </w:r>
      <w:r>
        <w:rPr>
          <w:rFonts w:hint="eastAsia"/>
          <w:snapToGrid/>
        </w:rPr>
        <w:t>。在塞尔维亚共和国全国各地演出的戏剧中还有由</w:t>
      </w:r>
      <w:r>
        <w:rPr>
          <w:snapToGrid/>
        </w:rPr>
        <w:t>44</w:t>
      </w:r>
      <w:r>
        <w:rPr>
          <w:snapToGrid/>
        </w:rPr>
        <w:t>个业余</w:t>
      </w:r>
      <w:r>
        <w:rPr>
          <w:rFonts w:hint="eastAsia"/>
          <w:snapToGrid/>
        </w:rPr>
        <w:t>剧院演出的戏剧</w:t>
      </w:r>
      <w:r>
        <w:rPr>
          <w:snapToGrid/>
        </w:rPr>
        <w:t>。其中一些剧院拥有悠久的传统。</w:t>
      </w:r>
    </w:p>
    <w:p w:rsidR="00000000" w:rsidRDefault="00844A84">
      <w:pPr>
        <w:ind w:firstLine="510"/>
        <w:rPr>
          <w:rFonts w:hint="eastAsia"/>
          <w:snapToGrid/>
        </w:rPr>
      </w:pPr>
      <w:r>
        <w:rPr>
          <w:rFonts w:hint="eastAsia"/>
          <w:snapToGrid/>
        </w:rPr>
        <w:t xml:space="preserve">411.  </w:t>
      </w:r>
      <w:r>
        <w:rPr>
          <w:rFonts w:hint="eastAsia"/>
          <w:snapToGrid/>
        </w:rPr>
        <w:t>塞尔维亚共和国还因拥有</w:t>
      </w:r>
      <w:r>
        <w:rPr>
          <w:snapToGrid/>
        </w:rPr>
        <w:t>16</w:t>
      </w:r>
      <w:r>
        <w:rPr>
          <w:snapToGrid/>
        </w:rPr>
        <w:t>个交响乐团和其他</w:t>
      </w:r>
      <w:r>
        <w:rPr>
          <w:rFonts w:hint="eastAsia"/>
          <w:snapToGrid/>
        </w:rPr>
        <w:t>管弦乐队感到自豪</w:t>
      </w:r>
      <w:r>
        <w:rPr>
          <w:snapToGrid/>
        </w:rPr>
        <w:t>。此外，还有许多</w:t>
      </w:r>
      <w:r>
        <w:rPr>
          <w:rFonts w:hint="eastAsia"/>
          <w:snapToGrid/>
        </w:rPr>
        <w:t>男女合唱团</w:t>
      </w:r>
      <w:r>
        <w:rPr>
          <w:snapToGrid/>
        </w:rPr>
        <w:t>或女声合唱团。</w:t>
      </w:r>
      <w:r>
        <w:rPr>
          <w:rFonts w:hint="eastAsia"/>
          <w:snapToGrid/>
        </w:rPr>
        <w:t>约</w:t>
      </w:r>
      <w:r>
        <w:rPr>
          <w:snapToGrid/>
        </w:rPr>
        <w:t>有</w:t>
      </w:r>
      <w:r>
        <w:rPr>
          <w:rFonts w:hint="eastAsia"/>
          <w:snapToGrid/>
        </w:rPr>
        <w:t>3,003</w:t>
      </w:r>
      <w:r>
        <w:rPr>
          <w:snapToGrid/>
        </w:rPr>
        <w:t>个</w:t>
      </w:r>
      <w:r>
        <w:rPr>
          <w:rFonts w:hint="eastAsia"/>
          <w:snapToGrid/>
        </w:rPr>
        <w:t>重要的</w:t>
      </w:r>
      <w:r>
        <w:rPr>
          <w:snapToGrid/>
        </w:rPr>
        <w:t>文化和艺术团体。这些团体</w:t>
      </w:r>
      <w:r>
        <w:rPr>
          <w:rFonts w:hint="eastAsia"/>
          <w:snapToGrid/>
        </w:rPr>
        <w:t>下设各种部门</w:t>
      </w:r>
      <w:r>
        <w:rPr>
          <w:snapToGrid/>
        </w:rPr>
        <w:t>：民间舞蹈团</w:t>
      </w:r>
      <w:r>
        <w:rPr>
          <w:snapToGrid/>
        </w:rPr>
        <w:t>(530</w:t>
      </w:r>
      <w:r>
        <w:rPr>
          <w:snapToGrid/>
        </w:rPr>
        <w:t>个</w:t>
      </w:r>
      <w:r>
        <w:rPr>
          <w:snapToGrid/>
        </w:rPr>
        <w:t>)</w:t>
      </w:r>
      <w:r>
        <w:rPr>
          <w:snapToGrid/>
        </w:rPr>
        <w:t>、民间歌咏团</w:t>
      </w:r>
      <w:r>
        <w:rPr>
          <w:snapToGrid/>
        </w:rPr>
        <w:t>(290</w:t>
      </w:r>
      <w:r>
        <w:rPr>
          <w:snapToGrid/>
        </w:rPr>
        <w:t>个</w:t>
      </w:r>
      <w:r>
        <w:rPr>
          <w:snapToGrid/>
        </w:rPr>
        <w:t>)</w:t>
      </w:r>
      <w:r>
        <w:rPr>
          <w:snapToGrid/>
        </w:rPr>
        <w:t>、</w:t>
      </w:r>
      <w:r>
        <w:rPr>
          <w:rFonts w:hint="eastAsia"/>
          <w:snapToGrid/>
        </w:rPr>
        <w:t>器乐团</w:t>
      </w:r>
      <w:r>
        <w:rPr>
          <w:snapToGrid/>
        </w:rPr>
        <w:t>(197</w:t>
      </w:r>
      <w:r>
        <w:rPr>
          <w:snapToGrid/>
        </w:rPr>
        <w:t>个</w:t>
      </w:r>
      <w:r>
        <w:rPr>
          <w:snapToGrid/>
        </w:rPr>
        <w:t>)</w:t>
      </w:r>
      <w:r>
        <w:rPr>
          <w:snapToGrid/>
        </w:rPr>
        <w:t>、演唱</w:t>
      </w:r>
      <w:r>
        <w:rPr>
          <w:rFonts w:hint="eastAsia"/>
          <w:snapToGrid/>
        </w:rPr>
        <w:t>团</w:t>
      </w:r>
      <w:r>
        <w:rPr>
          <w:snapToGrid/>
        </w:rPr>
        <w:t>(136</w:t>
      </w:r>
      <w:r>
        <w:rPr>
          <w:snapToGrid/>
        </w:rPr>
        <w:t>个</w:t>
      </w:r>
      <w:r>
        <w:rPr>
          <w:snapToGrid/>
        </w:rPr>
        <w:t>)</w:t>
      </w:r>
      <w:r>
        <w:rPr>
          <w:snapToGrid/>
        </w:rPr>
        <w:t>、舞台剧团</w:t>
      </w:r>
      <w:r>
        <w:rPr>
          <w:snapToGrid/>
        </w:rPr>
        <w:t>(135</w:t>
      </w:r>
      <w:r>
        <w:rPr>
          <w:rFonts w:hint="eastAsia"/>
          <w:snapToGrid/>
        </w:rPr>
        <w:t>个</w:t>
      </w:r>
      <w:r>
        <w:rPr>
          <w:snapToGrid/>
        </w:rPr>
        <w:t>)</w:t>
      </w:r>
      <w:r>
        <w:rPr>
          <w:rFonts w:hint="eastAsia"/>
          <w:snapToGrid/>
        </w:rPr>
        <w:t>，共计</w:t>
      </w:r>
      <w:r>
        <w:rPr>
          <w:snapToGrid/>
        </w:rPr>
        <w:t>1,724</w:t>
      </w:r>
      <w:r>
        <w:rPr>
          <w:rFonts w:hint="eastAsia"/>
          <w:snapToGrid/>
        </w:rPr>
        <w:t>个</w:t>
      </w:r>
      <w:r>
        <w:rPr>
          <w:snapToGrid/>
        </w:rPr>
        <w:t>。</w:t>
      </w:r>
    </w:p>
    <w:p w:rsidR="00000000" w:rsidRDefault="00844A84">
      <w:pPr>
        <w:ind w:firstLine="510"/>
        <w:rPr>
          <w:snapToGrid/>
        </w:rPr>
      </w:pPr>
      <w:r>
        <w:rPr>
          <w:rFonts w:hint="eastAsia"/>
          <w:snapToGrid/>
        </w:rPr>
        <w:t>41</w:t>
      </w:r>
      <w:r>
        <w:rPr>
          <w:rFonts w:hint="eastAsia"/>
          <w:snapToGrid/>
        </w:rPr>
        <w:t xml:space="preserve">2.  </w:t>
      </w:r>
      <w:r>
        <w:rPr>
          <w:rFonts w:hint="eastAsia"/>
          <w:snapToGrid/>
        </w:rPr>
        <w:t>塞尔维亚共和国约有</w:t>
      </w:r>
      <w:r>
        <w:rPr>
          <w:snapToGrid/>
        </w:rPr>
        <w:t>120</w:t>
      </w:r>
      <w:r>
        <w:rPr>
          <w:snapToGrid/>
        </w:rPr>
        <w:t>家电影院。</w:t>
      </w:r>
    </w:p>
    <w:p w:rsidR="00000000" w:rsidRDefault="00844A84">
      <w:pPr>
        <w:ind w:firstLine="510"/>
        <w:rPr>
          <w:rFonts w:hint="eastAsia"/>
          <w:snapToGrid/>
        </w:rPr>
      </w:pPr>
      <w:r>
        <w:rPr>
          <w:rFonts w:hint="eastAsia"/>
          <w:snapToGrid/>
        </w:rPr>
        <w:t xml:space="preserve">413.  </w:t>
      </w:r>
      <w:r>
        <w:rPr>
          <w:rFonts w:hint="eastAsia"/>
          <w:snapToGrid/>
        </w:rPr>
        <w:t>文化机构中有一个显著的特殊类别，在统计上被列为通俗大学或工人大学，但实际上它们的形式多种多样，由各种诸如文化宫和文化中心等现代机构组成。数目最多的是</w:t>
      </w:r>
      <w:r>
        <w:rPr>
          <w:snapToGrid/>
        </w:rPr>
        <w:t>文化宫</w:t>
      </w:r>
      <w:r>
        <w:rPr>
          <w:snapToGrid/>
        </w:rPr>
        <w:t>(379</w:t>
      </w:r>
      <w:r>
        <w:rPr>
          <w:snapToGrid/>
        </w:rPr>
        <w:t>个</w:t>
      </w:r>
      <w:r>
        <w:rPr>
          <w:rFonts w:hint="eastAsia"/>
          <w:snapToGrid/>
        </w:rPr>
        <w:t>，</w:t>
      </w:r>
      <w:r>
        <w:rPr>
          <w:snapToGrid/>
        </w:rPr>
        <w:t>占</w:t>
      </w:r>
      <w:r>
        <w:rPr>
          <w:snapToGrid/>
        </w:rPr>
        <w:t>49%)</w:t>
      </w:r>
      <w:r>
        <w:rPr>
          <w:snapToGrid/>
        </w:rPr>
        <w:t>，</w:t>
      </w:r>
      <w:r>
        <w:rPr>
          <w:rFonts w:hint="eastAsia"/>
          <w:snapToGrid/>
        </w:rPr>
        <w:t>其次</w:t>
      </w:r>
      <w:r>
        <w:rPr>
          <w:snapToGrid/>
        </w:rPr>
        <w:t>是文化中心</w:t>
      </w:r>
      <w:r>
        <w:rPr>
          <w:snapToGrid/>
        </w:rPr>
        <w:t>(133</w:t>
      </w:r>
      <w:r>
        <w:rPr>
          <w:snapToGrid/>
        </w:rPr>
        <w:t>个</w:t>
      </w:r>
      <w:r>
        <w:rPr>
          <w:rFonts w:hint="eastAsia"/>
          <w:snapToGrid/>
        </w:rPr>
        <w:t>，占</w:t>
      </w:r>
      <w:r>
        <w:rPr>
          <w:snapToGrid/>
        </w:rPr>
        <w:t>17%</w:t>
      </w:r>
      <w:r>
        <w:rPr>
          <w:rFonts w:hint="eastAsia"/>
          <w:snapToGrid/>
        </w:rPr>
        <w:t>)</w:t>
      </w:r>
      <w:r>
        <w:rPr>
          <w:snapToGrid/>
        </w:rPr>
        <w:t>以及通俗大学</w:t>
      </w:r>
      <w:r>
        <w:rPr>
          <w:snapToGrid/>
        </w:rPr>
        <w:t>(100</w:t>
      </w:r>
      <w:r>
        <w:rPr>
          <w:snapToGrid/>
        </w:rPr>
        <w:t>所</w:t>
      </w:r>
      <w:r>
        <w:rPr>
          <w:rFonts w:hint="eastAsia"/>
          <w:snapToGrid/>
        </w:rPr>
        <w:t>，占</w:t>
      </w:r>
      <w:r>
        <w:rPr>
          <w:snapToGrid/>
        </w:rPr>
        <w:t>13%)</w:t>
      </w:r>
      <w:r>
        <w:rPr>
          <w:snapToGrid/>
        </w:rPr>
        <w:t>，这类机构共计</w:t>
      </w:r>
      <w:r>
        <w:rPr>
          <w:snapToGrid/>
        </w:rPr>
        <w:t>761</w:t>
      </w:r>
      <w:r>
        <w:rPr>
          <w:snapToGrid/>
        </w:rPr>
        <w:t>个。</w:t>
      </w:r>
    </w:p>
    <w:p w:rsidR="00000000" w:rsidRDefault="00844A84">
      <w:pPr>
        <w:spacing w:after="320"/>
        <w:ind w:firstLine="510"/>
        <w:rPr>
          <w:rFonts w:hint="eastAsia"/>
          <w:snapToGrid/>
        </w:rPr>
      </w:pPr>
      <w:r>
        <w:rPr>
          <w:rFonts w:hint="eastAsia"/>
          <w:snapToGrid/>
        </w:rPr>
        <w:t xml:space="preserve">414.  </w:t>
      </w:r>
      <w:r>
        <w:rPr>
          <w:rFonts w:hint="eastAsia"/>
          <w:snapToGrid/>
        </w:rPr>
        <w:t>私营活动在文化领域取得越来越重要的地位。传统上一直有许多私营艺廊。现已出现若干私营发行和制作机构。许多出版活动由私营出版商进行。但文化领域最显著的私营活动是建立了许多电视</w:t>
      </w:r>
      <w:r>
        <w:rPr>
          <w:rFonts w:hint="eastAsia"/>
          <w:snapToGrid/>
        </w:rPr>
        <w:t>台和广播电台。其中一些已经关闭，另一些则维持了下来，从而大大丰富了媒体节目的文化和娱乐内容。</w:t>
      </w:r>
    </w:p>
    <w:p w:rsidR="00000000" w:rsidRDefault="00844A84">
      <w:pPr>
        <w:pStyle w:val="Heading4"/>
        <w:rPr>
          <w:rFonts w:hint="eastAsia"/>
        </w:rPr>
      </w:pPr>
      <w:r>
        <w:rPr>
          <w:rFonts w:hint="eastAsia"/>
        </w:rPr>
        <w:t>文化活动</w:t>
      </w:r>
    </w:p>
    <w:p w:rsidR="00000000" w:rsidRDefault="00844A84">
      <w:pPr>
        <w:ind w:firstLine="510"/>
        <w:rPr>
          <w:rFonts w:hint="eastAsia"/>
          <w:snapToGrid/>
        </w:rPr>
      </w:pPr>
      <w:r>
        <w:rPr>
          <w:rFonts w:hint="eastAsia"/>
          <w:snapToGrid/>
        </w:rPr>
        <w:t xml:space="preserve">415.  </w:t>
      </w:r>
      <w:r>
        <w:rPr>
          <w:rFonts w:hint="eastAsia"/>
          <w:snapToGrid/>
        </w:rPr>
        <w:t>共和国文化生活的特点是在各种机构之外不断开展文化活动。一年四季都举办各种比赛、节日活动、会议和类似节日的活动。根据其性质和组织情况，这些活动可分为五大类：国际活动、全国活动、共和国活动、省级活动或地方活动。</w:t>
      </w:r>
    </w:p>
    <w:p w:rsidR="00000000" w:rsidRDefault="00844A84">
      <w:pPr>
        <w:spacing w:after="320"/>
        <w:ind w:firstLine="510"/>
        <w:rPr>
          <w:rFonts w:hint="eastAsia"/>
          <w:snapToGrid/>
        </w:rPr>
      </w:pPr>
      <w:r>
        <w:rPr>
          <w:rFonts w:hint="eastAsia"/>
          <w:snapToGrid/>
        </w:rPr>
        <w:t xml:space="preserve">416.  </w:t>
      </w:r>
      <w:r>
        <w:rPr>
          <w:rFonts w:hint="eastAsia"/>
          <w:snapToGrid/>
        </w:rPr>
        <w:t>具有国际重要意义的文化活动包括贝尔格莱德国际戏剧节、贝尔格莱德音乐节、国际电影节、称之为“欢乐欧洲”的“儿童相见在欧洲”节。</w:t>
      </w:r>
    </w:p>
    <w:p w:rsidR="00000000" w:rsidRDefault="00844A84">
      <w:pPr>
        <w:pStyle w:val="Heading4"/>
        <w:rPr>
          <w:rFonts w:hint="eastAsia"/>
        </w:rPr>
      </w:pPr>
      <w:r>
        <w:rPr>
          <w:rFonts w:hint="eastAsia"/>
        </w:rPr>
        <w:t>艺术和专业协会</w:t>
      </w:r>
    </w:p>
    <w:p w:rsidR="00000000" w:rsidRDefault="00844A84">
      <w:pPr>
        <w:spacing w:after="320"/>
        <w:ind w:firstLine="510"/>
        <w:rPr>
          <w:rFonts w:hint="eastAsia"/>
          <w:snapToGrid/>
        </w:rPr>
      </w:pPr>
      <w:r>
        <w:rPr>
          <w:rFonts w:hint="eastAsia"/>
          <w:snapToGrid/>
        </w:rPr>
        <w:t xml:space="preserve">417.  </w:t>
      </w:r>
      <w:r>
        <w:rPr>
          <w:rFonts w:hint="eastAsia"/>
        </w:rPr>
        <w:t>塞尔维亚共和国有</w:t>
      </w:r>
      <w:r>
        <w:t>60</w:t>
      </w:r>
      <w:r>
        <w:t>多</w:t>
      </w:r>
      <w:r>
        <w:t>个艺术和专业文化协会。</w:t>
      </w:r>
      <w:r>
        <w:rPr>
          <w:rFonts w:hint="eastAsia"/>
        </w:rPr>
        <w:t>仅</w:t>
      </w:r>
      <w:r>
        <w:t>艺术协会就有</w:t>
      </w:r>
      <w:r>
        <w:t>15</w:t>
      </w:r>
      <w:r>
        <w:t>个之多。其中最重要的有作家协会、文学翻译家协会、美术</w:t>
      </w:r>
      <w:r>
        <w:rPr>
          <w:rFonts w:hint="eastAsia"/>
        </w:rPr>
        <w:t>家</w:t>
      </w:r>
      <w:r>
        <w:t>协会、应用艺术和</w:t>
      </w:r>
      <w:r>
        <w:rPr>
          <w:rFonts w:hint="eastAsia"/>
        </w:rPr>
        <w:t>设计师</w:t>
      </w:r>
      <w:r>
        <w:t>协会、作曲家协会、舞台艺术家协会。此外，还有大量的专业和科学协会，包括艺术</w:t>
      </w:r>
      <w:r>
        <w:rPr>
          <w:rFonts w:hint="eastAsia"/>
        </w:rPr>
        <w:t>史学家</w:t>
      </w:r>
      <w:r>
        <w:t>协会、成人</w:t>
      </w:r>
      <w:r>
        <w:rPr>
          <w:rFonts w:hint="eastAsia"/>
        </w:rPr>
        <w:t>教育</w:t>
      </w:r>
      <w:r>
        <w:t>家协会、民</w:t>
      </w:r>
      <w:r>
        <w:rPr>
          <w:rFonts w:hint="eastAsia"/>
        </w:rPr>
        <w:t>族</w:t>
      </w:r>
      <w:r>
        <w:t>学协会、哲学协会、社会学协会、历史学家协会联谊会、</w:t>
      </w:r>
      <w:r>
        <w:rPr>
          <w:rFonts w:hint="eastAsia"/>
        </w:rPr>
        <w:t>斯拉夫语言文化研究者学会、心理学家协会联谊会、博物馆协会和图书馆员联谊会。</w:t>
      </w:r>
    </w:p>
    <w:p w:rsidR="00000000" w:rsidRDefault="00844A84">
      <w:pPr>
        <w:pStyle w:val="Heading3"/>
        <w:rPr>
          <w:rFonts w:hint="eastAsia"/>
        </w:rPr>
      </w:pPr>
      <w:r>
        <w:rPr>
          <w:rFonts w:hint="eastAsia"/>
          <w:u w:val="none"/>
        </w:rPr>
        <w:t xml:space="preserve">B.  </w:t>
      </w:r>
      <w:r>
        <w:rPr>
          <w:rFonts w:hint="eastAsia"/>
        </w:rPr>
        <w:t>文化生活和少数族裔语言资料</w:t>
      </w:r>
    </w:p>
    <w:p w:rsidR="00000000" w:rsidRDefault="00844A84">
      <w:pPr>
        <w:pStyle w:val="Heading4"/>
        <w:rPr>
          <w:rFonts w:hint="eastAsia"/>
        </w:rPr>
      </w:pPr>
      <w:r>
        <w:rPr>
          <w:rFonts w:hint="eastAsia"/>
        </w:rPr>
        <w:t>促进少数群体社区的文化特征</w:t>
      </w:r>
    </w:p>
    <w:p w:rsidR="00000000" w:rsidRDefault="00844A84">
      <w:pPr>
        <w:ind w:firstLine="510"/>
        <w:rPr>
          <w:rFonts w:hint="eastAsia"/>
          <w:snapToGrid/>
        </w:rPr>
      </w:pPr>
      <w:r>
        <w:rPr>
          <w:rFonts w:hint="eastAsia"/>
          <w:snapToGrid/>
        </w:rPr>
        <w:t xml:space="preserve">418.  </w:t>
      </w:r>
      <w:r>
        <w:rPr>
          <w:rFonts w:hint="eastAsia"/>
          <w:snapToGrid/>
        </w:rPr>
        <w:t>提高少数族裔居民关心南斯拉夫联盟共和国创造性活动和文化的任务，由各文化机构、协会和族裔群</w:t>
      </w:r>
      <w:r>
        <w:rPr>
          <w:rFonts w:hint="eastAsia"/>
          <w:snapToGrid/>
        </w:rPr>
        <w:t>体协会负责执行。它们制定各项方案，开展旨在促进少数群体语言、文学、艺术和民俗学的活动。</w:t>
      </w:r>
    </w:p>
    <w:p w:rsidR="00000000" w:rsidRDefault="00844A84">
      <w:pPr>
        <w:ind w:firstLine="510"/>
        <w:rPr>
          <w:rFonts w:hint="eastAsia"/>
          <w:snapToGrid/>
        </w:rPr>
      </w:pPr>
      <w:r>
        <w:rPr>
          <w:rFonts w:hint="eastAsia"/>
          <w:snapToGrid/>
        </w:rPr>
        <w:t xml:space="preserve">419.  </w:t>
      </w:r>
      <w:r>
        <w:rPr>
          <w:rFonts w:hint="eastAsia"/>
          <w:snapToGrid/>
        </w:rPr>
        <w:t>在促进少数群体社区文化特征并维护其文化遗产方面，成绩最佳的区域为伏伊伏丁那省。除了设在诺维萨德的匈牙利语专业剧院外，该省还有众多的斯洛伐克族、罗马尼亚族和鲁塞尼亚族的专业剧院，在多达五个舞台上演出各种剧目。每年都举办少数族裔语言的民歌和民族舞蹈节、文学和其他文化活动及科学研讨会。</w:t>
      </w:r>
    </w:p>
    <w:p w:rsidR="00000000" w:rsidRDefault="00844A84">
      <w:pPr>
        <w:ind w:firstLine="510"/>
        <w:rPr>
          <w:rFonts w:hint="eastAsia"/>
          <w:snapToGrid/>
        </w:rPr>
      </w:pPr>
      <w:r>
        <w:rPr>
          <w:rFonts w:hint="eastAsia"/>
          <w:snapToGrid/>
        </w:rPr>
        <w:t xml:space="preserve">420.  </w:t>
      </w:r>
      <w:r>
        <w:rPr>
          <w:rFonts w:hint="eastAsia"/>
          <w:snapToGrid/>
        </w:rPr>
        <w:t>匈牙利族传统活动包括语言节“</w:t>
      </w:r>
      <w:r>
        <w:rPr>
          <w:rFonts w:hint="eastAsia"/>
          <w:snapToGrid/>
        </w:rPr>
        <w:t>Szarvas G</w:t>
      </w:r>
      <w:r>
        <w:rPr>
          <w:snapToGrid/>
        </w:rPr>
        <w:t>a</w:t>
      </w:r>
      <w:r>
        <w:rPr>
          <w:rFonts w:hint="eastAsia"/>
          <w:snapToGrid/>
        </w:rPr>
        <w:t>bor</w:t>
      </w:r>
      <w:r>
        <w:rPr>
          <w:rFonts w:hint="eastAsia"/>
          <w:snapToGrid/>
        </w:rPr>
        <w:t>”、文学节“</w:t>
      </w:r>
      <w:r>
        <w:rPr>
          <w:rFonts w:hint="eastAsia"/>
          <w:snapToGrid/>
        </w:rPr>
        <w:t>Szenteleki</w:t>
      </w:r>
      <w:r>
        <w:rPr>
          <w:rFonts w:hint="eastAsia"/>
          <w:snapToGrid/>
        </w:rPr>
        <w:t>节”、诗歌节“</w:t>
      </w:r>
      <w:r>
        <w:rPr>
          <w:rFonts w:hint="eastAsia"/>
          <w:snapToGrid/>
        </w:rPr>
        <w:t>Ferenc Fe</w:t>
      </w:r>
      <w:r>
        <w:rPr>
          <w:rFonts w:hint="eastAsia"/>
          <w:snapToGrid/>
        </w:rPr>
        <w:t>her</w:t>
      </w:r>
      <w:r>
        <w:rPr>
          <w:rFonts w:hint="eastAsia"/>
          <w:snapToGrid/>
        </w:rPr>
        <w:t>”、称为“</w:t>
      </w:r>
      <w:r>
        <w:rPr>
          <w:rFonts w:hint="eastAsia"/>
          <w:snapToGrid/>
        </w:rPr>
        <w:t>Durindo</w:t>
      </w:r>
      <w:r>
        <w:rPr>
          <w:rFonts w:hint="eastAsia"/>
          <w:snapToGrid/>
        </w:rPr>
        <w:t>”和“</w:t>
      </w:r>
      <w:r>
        <w:rPr>
          <w:rFonts w:hint="eastAsia"/>
          <w:snapToGrid/>
        </w:rPr>
        <w:t>Gyengyesbokreta</w:t>
      </w:r>
      <w:r>
        <w:rPr>
          <w:rFonts w:hint="eastAsia"/>
          <w:snapToGrid/>
        </w:rPr>
        <w:t>”的艺术节和歌舞节，以及“</w:t>
      </w:r>
      <w:r>
        <w:rPr>
          <w:rFonts w:hint="eastAsia"/>
          <w:snapToGrid/>
        </w:rPr>
        <w:t>Vive-Vitaki</w:t>
      </w:r>
      <w:r>
        <w:rPr>
          <w:rFonts w:hint="eastAsia"/>
          <w:snapToGrid/>
        </w:rPr>
        <w:t>节”和“笛子演奏节”等节日。</w:t>
      </w:r>
    </w:p>
    <w:p w:rsidR="00000000" w:rsidRDefault="00844A84">
      <w:pPr>
        <w:ind w:firstLine="510"/>
        <w:rPr>
          <w:rFonts w:hint="eastAsia"/>
          <w:snapToGrid/>
        </w:rPr>
      </w:pPr>
      <w:r>
        <w:rPr>
          <w:rFonts w:hint="eastAsia"/>
          <w:snapToGrid/>
        </w:rPr>
        <w:t xml:space="preserve">421.  </w:t>
      </w:r>
      <w:r>
        <w:rPr>
          <w:rFonts w:hint="eastAsia"/>
          <w:snapToGrid/>
        </w:rPr>
        <w:t>斯洛伐克族经常举办业余戏剧节。“斯洛伐克冬节”专门旨在促进和发扬斯洛伐克文学，而“跳呀跳”节则是赞美斯洛伐克音乐和歌舞的节日。</w:t>
      </w:r>
    </w:p>
    <w:p w:rsidR="00000000" w:rsidRDefault="00844A84">
      <w:pPr>
        <w:ind w:firstLine="510"/>
        <w:rPr>
          <w:rFonts w:hint="eastAsia"/>
          <w:snapToGrid/>
        </w:rPr>
      </w:pPr>
      <w:r>
        <w:rPr>
          <w:rFonts w:hint="eastAsia"/>
          <w:snapToGrid/>
        </w:rPr>
        <w:t xml:space="preserve">422.  </w:t>
      </w:r>
      <w:r>
        <w:rPr>
          <w:rFonts w:hint="eastAsia"/>
          <w:snapToGrid/>
        </w:rPr>
        <w:t>伏伊伏丁那罗马尼亚族举办</w:t>
      </w:r>
      <w:r>
        <w:rPr>
          <w:rFonts w:hint="eastAsia"/>
          <w:snapToGrid/>
        </w:rPr>
        <w:t xml:space="preserve"> </w:t>
      </w:r>
      <w:r>
        <w:rPr>
          <w:rFonts w:hint="eastAsia"/>
          <w:snapToGrid/>
        </w:rPr>
        <w:t>“拉杜·伏罗拉博士”</w:t>
      </w:r>
      <w:r>
        <w:rPr>
          <w:rFonts w:hint="eastAsia"/>
          <w:snapToGrid/>
        </w:rPr>
        <w:t xml:space="preserve"> </w:t>
      </w:r>
      <w:r>
        <w:rPr>
          <w:rFonts w:hint="eastAsia"/>
          <w:snapToGrid/>
        </w:rPr>
        <w:t>文学节、歌舞节以及伏伊伏丁那罗马尼亚族业余剧团汇演。</w:t>
      </w:r>
    </w:p>
    <w:p w:rsidR="00000000" w:rsidRDefault="00844A84">
      <w:pPr>
        <w:ind w:firstLine="510"/>
        <w:rPr>
          <w:rFonts w:hint="eastAsia"/>
          <w:snapToGrid/>
        </w:rPr>
      </w:pPr>
      <w:r>
        <w:rPr>
          <w:rFonts w:hint="eastAsia"/>
          <w:snapToGrid/>
        </w:rPr>
        <w:t xml:space="preserve">423.  </w:t>
      </w:r>
      <w:r>
        <w:rPr>
          <w:rFonts w:hint="eastAsia"/>
          <w:snapToGrid/>
        </w:rPr>
        <w:t>鲁塞尼亚族每年也举办有剧团、歌舞团和文学社团参加的各种类似活动。活动内容以关于讨论鲁塞尼亚语学校和语言</w:t>
      </w:r>
      <w:r>
        <w:rPr>
          <w:rFonts w:hint="eastAsia"/>
          <w:snapToGrid/>
        </w:rPr>
        <w:t>问题的会议最为突出。</w:t>
      </w:r>
    </w:p>
    <w:p w:rsidR="00000000" w:rsidRDefault="00844A84">
      <w:pPr>
        <w:ind w:firstLine="510"/>
        <w:rPr>
          <w:rFonts w:hint="eastAsia"/>
          <w:snapToGrid/>
        </w:rPr>
      </w:pPr>
      <w:r>
        <w:rPr>
          <w:rFonts w:hint="eastAsia"/>
          <w:snapToGrid/>
        </w:rPr>
        <w:t xml:space="preserve">424.  </w:t>
      </w:r>
      <w:r>
        <w:rPr>
          <w:rFonts w:hint="eastAsia"/>
          <w:snapToGrid/>
        </w:rPr>
        <w:t>捷克族文化协会“</w:t>
      </w:r>
      <w:r>
        <w:rPr>
          <w:rFonts w:hint="eastAsia"/>
          <w:snapToGrid/>
        </w:rPr>
        <w:t>Czech Beseda</w:t>
      </w:r>
      <w:r>
        <w:rPr>
          <w:rFonts w:hint="eastAsia"/>
          <w:snapToGrid/>
        </w:rPr>
        <w:t>”传统上都在</w:t>
      </w:r>
      <w:r>
        <w:rPr>
          <w:rFonts w:hint="eastAsia"/>
          <w:snapToGrid/>
        </w:rPr>
        <w:t>Bela Crkva</w:t>
      </w:r>
      <w:r>
        <w:rPr>
          <w:rFonts w:hint="eastAsia"/>
          <w:snapToGrid/>
        </w:rPr>
        <w:t>举办“化装舞会节”。</w:t>
      </w:r>
    </w:p>
    <w:p w:rsidR="00000000" w:rsidRDefault="00844A84">
      <w:pPr>
        <w:ind w:firstLine="510"/>
        <w:rPr>
          <w:rFonts w:hint="eastAsia"/>
          <w:snapToGrid/>
        </w:rPr>
      </w:pPr>
      <w:r>
        <w:rPr>
          <w:snapToGrid/>
        </w:rPr>
        <w:t>425.</w:t>
      </w:r>
      <w:r>
        <w:rPr>
          <w:rFonts w:hint="eastAsia"/>
          <w:snapToGrid/>
        </w:rPr>
        <w:t xml:space="preserve">  </w:t>
      </w:r>
      <w:r>
        <w:rPr>
          <w:snapToGrid/>
        </w:rPr>
        <w:t>此外，居住在伏伊伏丁那的匈牙利</w:t>
      </w:r>
      <w:r>
        <w:rPr>
          <w:rFonts w:hint="eastAsia"/>
          <w:snapToGrid/>
        </w:rPr>
        <w:t>族</w:t>
      </w:r>
      <w:r>
        <w:rPr>
          <w:snapToGrid/>
        </w:rPr>
        <w:t>、斯洛伐克</w:t>
      </w:r>
      <w:r>
        <w:rPr>
          <w:rFonts w:hint="eastAsia"/>
          <w:snapToGrid/>
        </w:rPr>
        <w:t>族</w:t>
      </w:r>
      <w:r>
        <w:rPr>
          <w:snapToGrid/>
        </w:rPr>
        <w:t>和罗姆族社区都有举办文化节的传统。多种文化共处</w:t>
      </w:r>
      <w:r>
        <w:rPr>
          <w:rFonts w:hint="eastAsia"/>
          <w:snapToGrid/>
        </w:rPr>
        <w:t>的</w:t>
      </w:r>
      <w:r>
        <w:rPr>
          <w:snapToGrid/>
        </w:rPr>
        <w:t>良好实例</w:t>
      </w:r>
      <w:r>
        <w:rPr>
          <w:rFonts w:hint="eastAsia"/>
          <w:snapToGrid/>
        </w:rPr>
        <w:t>之一，是称之为“</w:t>
      </w:r>
      <w:r>
        <w:rPr>
          <w:rFonts w:hint="eastAsia"/>
          <w:snapToGrid/>
        </w:rPr>
        <w:t>Duzjanica</w:t>
      </w:r>
      <w:r>
        <w:rPr>
          <w:rFonts w:hint="eastAsia"/>
          <w:snapToGrid/>
        </w:rPr>
        <w:t>”的</w:t>
      </w:r>
      <w:r>
        <w:rPr>
          <w:snapToGrid/>
        </w:rPr>
        <w:t>多</w:t>
      </w:r>
      <w:r>
        <w:rPr>
          <w:rFonts w:hint="eastAsia"/>
          <w:snapToGrid/>
        </w:rPr>
        <w:t>族裔</w:t>
      </w:r>
      <w:r>
        <w:rPr>
          <w:snapToGrid/>
        </w:rPr>
        <w:t>活动</w:t>
      </w:r>
      <w:r>
        <w:rPr>
          <w:rFonts w:hint="eastAsia"/>
          <w:snapToGrid/>
        </w:rPr>
        <w:t>，这是</w:t>
      </w:r>
      <w:r>
        <w:rPr>
          <w:snapToGrid/>
        </w:rPr>
        <w:t>克罗地亚</w:t>
      </w:r>
      <w:r>
        <w:rPr>
          <w:rFonts w:hint="eastAsia"/>
          <w:snapToGrid/>
        </w:rPr>
        <w:t>族</w:t>
      </w:r>
      <w:r>
        <w:rPr>
          <w:snapToGrid/>
        </w:rPr>
        <w:t>人</w:t>
      </w:r>
      <w:r>
        <w:rPr>
          <w:rFonts w:hint="eastAsia"/>
          <w:snapToGrid/>
        </w:rPr>
        <w:t>、本耶夫茨族人</w:t>
      </w:r>
      <w:r>
        <w:rPr>
          <w:rFonts w:hint="eastAsia"/>
          <w:snapToGrid/>
        </w:rPr>
        <w:t>(</w:t>
      </w:r>
      <w:r>
        <w:rPr>
          <w:rFonts w:hint="eastAsia"/>
          <w:snapToGrid/>
        </w:rPr>
        <w:t>巴卡的克罗地亚族人</w:t>
      </w:r>
      <w:r>
        <w:rPr>
          <w:rFonts w:hint="eastAsia"/>
          <w:snapToGrid/>
        </w:rPr>
        <w:t>)</w:t>
      </w:r>
      <w:r>
        <w:rPr>
          <w:rFonts w:hint="eastAsia"/>
          <w:snapToGrid/>
        </w:rPr>
        <w:t>、索克茨族人</w:t>
      </w:r>
      <w:r>
        <w:rPr>
          <w:rFonts w:hint="eastAsia"/>
          <w:snapToGrid/>
        </w:rPr>
        <w:t>(</w:t>
      </w:r>
      <w:r>
        <w:rPr>
          <w:rFonts w:hint="eastAsia"/>
          <w:snapToGrid/>
        </w:rPr>
        <w:t>该地区东仪天主教会信徒</w:t>
      </w:r>
      <w:r>
        <w:rPr>
          <w:rFonts w:hint="eastAsia"/>
          <w:snapToGrid/>
        </w:rPr>
        <w:t>)</w:t>
      </w:r>
      <w:r>
        <w:rPr>
          <w:rFonts w:hint="eastAsia"/>
          <w:snapToGrid/>
        </w:rPr>
        <w:t>以及匈牙利族人共同在</w:t>
      </w:r>
      <w:r>
        <w:rPr>
          <w:snapToGrid/>
        </w:rPr>
        <w:t>伏伊伏丁那省</w:t>
      </w:r>
      <w:r>
        <w:rPr>
          <w:rFonts w:hint="eastAsia"/>
          <w:snapToGrid/>
        </w:rPr>
        <w:t>巴卡北部庆祝丰收结束的活动。</w:t>
      </w:r>
    </w:p>
    <w:p w:rsidR="00000000" w:rsidRDefault="00844A84">
      <w:pPr>
        <w:ind w:firstLine="510"/>
        <w:rPr>
          <w:rFonts w:hint="eastAsia"/>
          <w:snapToGrid/>
        </w:rPr>
      </w:pPr>
      <w:r>
        <w:rPr>
          <w:rFonts w:hint="eastAsia"/>
          <w:snapToGrid/>
        </w:rPr>
        <w:t xml:space="preserve">426.  </w:t>
      </w:r>
      <w:r>
        <w:rPr>
          <w:rFonts w:hint="eastAsia"/>
          <w:snapToGrid/>
        </w:rPr>
        <w:t>在有少数族裔居住的塞尔维亚其他地区，社区的各种文化社团有助</w:t>
      </w:r>
      <w:r>
        <w:rPr>
          <w:rFonts w:hint="eastAsia"/>
          <w:snapToGrid/>
        </w:rPr>
        <w:t>于发扬它们的文化传统。</w:t>
      </w:r>
    </w:p>
    <w:p w:rsidR="00000000" w:rsidRDefault="00844A84">
      <w:pPr>
        <w:spacing w:after="320"/>
        <w:ind w:firstLine="510"/>
        <w:rPr>
          <w:rFonts w:hint="eastAsia"/>
          <w:snapToGrid/>
        </w:rPr>
      </w:pPr>
      <w:r>
        <w:rPr>
          <w:rFonts w:hint="eastAsia"/>
          <w:snapToGrid/>
        </w:rPr>
        <w:t xml:space="preserve">427.  </w:t>
      </w:r>
      <w:r>
        <w:rPr>
          <w:rFonts w:hint="eastAsia"/>
          <w:snapToGrid/>
        </w:rPr>
        <w:t>在桑贾克地区，波什尼亚克族人在若干非政府组织和协会的组织下，正在积极保护该区域的传统，将之视为东方和欧洲文化遗产的组成部分。若干</w:t>
      </w:r>
      <w:r>
        <w:rPr>
          <w:snapToGrid/>
        </w:rPr>
        <w:t>艺术和科学协会、</w:t>
      </w:r>
      <w:r>
        <w:rPr>
          <w:rFonts w:hint="eastAsia"/>
          <w:snapToGrid/>
        </w:rPr>
        <w:t>Preporod</w:t>
      </w:r>
      <w:r>
        <w:rPr>
          <w:snapToGrid/>
        </w:rPr>
        <w:t>文化协会、桑贾克知识俱乐部以及</w:t>
      </w:r>
      <w:r>
        <w:rPr>
          <w:rFonts w:hint="eastAsia"/>
          <w:snapToGrid/>
        </w:rPr>
        <w:t>波什尼亚克</w:t>
      </w:r>
      <w:r>
        <w:rPr>
          <w:snapToGrid/>
        </w:rPr>
        <w:t>文化</w:t>
      </w:r>
      <w:r>
        <w:rPr>
          <w:rFonts w:hint="eastAsia"/>
          <w:snapToGrid/>
        </w:rPr>
        <w:t>协会</w:t>
      </w:r>
      <w:r>
        <w:rPr>
          <w:snapToGrid/>
        </w:rPr>
        <w:t>都在为复兴</w:t>
      </w:r>
      <w:r>
        <w:rPr>
          <w:rFonts w:hint="eastAsia"/>
          <w:snapToGrid/>
        </w:rPr>
        <w:t>本地的波什尼亚克</w:t>
      </w:r>
      <w:r>
        <w:rPr>
          <w:snapToGrid/>
        </w:rPr>
        <w:t>传统</w:t>
      </w:r>
      <w:r>
        <w:rPr>
          <w:rFonts w:hint="eastAsia"/>
          <w:snapToGrid/>
        </w:rPr>
        <w:t>价值</w:t>
      </w:r>
      <w:r>
        <w:rPr>
          <w:snapToGrid/>
        </w:rPr>
        <w:t>作出努力。</w:t>
      </w:r>
    </w:p>
    <w:p w:rsidR="00000000" w:rsidRDefault="00844A84">
      <w:pPr>
        <w:pStyle w:val="Heading4"/>
        <w:rPr>
          <w:rFonts w:hint="eastAsia"/>
        </w:rPr>
      </w:pPr>
      <w:r>
        <w:rPr>
          <w:rFonts w:hint="eastAsia"/>
        </w:rPr>
        <w:t>保护少数族裔社区文化遗产</w:t>
      </w:r>
    </w:p>
    <w:p w:rsidR="00000000" w:rsidRDefault="00844A84">
      <w:pPr>
        <w:spacing w:after="320"/>
        <w:ind w:firstLine="510"/>
        <w:rPr>
          <w:rFonts w:hint="eastAsia"/>
          <w:snapToGrid/>
        </w:rPr>
      </w:pPr>
      <w:r>
        <w:rPr>
          <w:rFonts w:hint="eastAsia"/>
          <w:snapToGrid/>
        </w:rPr>
        <w:t xml:space="preserve">428.  </w:t>
      </w:r>
      <w:r>
        <w:rPr>
          <w:rFonts w:hint="eastAsia"/>
          <w:snapToGrid/>
        </w:rPr>
        <w:t>少数族裔社区的文化遗物中，有一部分得到国家或区域博物馆或捐赠基金的保护。但数量可观的神殿和圣地仍未得到社会保护。尽管这些文物受到了保护，但对文化和历史名胜的保护依然不足。纪念碑是独特建</w:t>
      </w:r>
      <w:r>
        <w:rPr>
          <w:rFonts w:hint="eastAsia"/>
          <w:snapToGrid/>
        </w:rPr>
        <w:t>筑和城市核心地区不可分割的部分，但都没有受到充分重视，即使在贝尔格莱德、诺维萨德和尼什等大城市以及多族裔城镇如苏博蒂察和诺维帕萨尔也是如此。</w:t>
      </w:r>
    </w:p>
    <w:p w:rsidR="00000000" w:rsidRDefault="00844A84">
      <w:pPr>
        <w:pStyle w:val="Heading4"/>
        <w:rPr>
          <w:rFonts w:hint="eastAsia"/>
        </w:rPr>
      </w:pPr>
      <w:r>
        <w:rPr>
          <w:rFonts w:hint="eastAsia"/>
        </w:rPr>
        <w:t>出版活动</w:t>
      </w:r>
    </w:p>
    <w:p w:rsidR="00000000" w:rsidRDefault="00844A84">
      <w:pPr>
        <w:ind w:firstLine="510"/>
        <w:rPr>
          <w:rFonts w:hint="eastAsia"/>
          <w:snapToGrid/>
        </w:rPr>
      </w:pPr>
      <w:r>
        <w:rPr>
          <w:rFonts w:hint="eastAsia"/>
          <w:snapToGrid/>
        </w:rPr>
        <w:t xml:space="preserve">429.  </w:t>
      </w:r>
      <w:r>
        <w:rPr>
          <w:rFonts w:hint="eastAsia"/>
          <w:snapToGrid/>
        </w:rPr>
        <w:t>专门的出版社负责出版少数族裔文字出版物。到</w:t>
      </w:r>
      <w:r>
        <w:rPr>
          <w:snapToGrid/>
        </w:rPr>
        <w:t>1990</w:t>
      </w:r>
      <w:r>
        <w:rPr>
          <w:snapToGrid/>
        </w:rPr>
        <w:t>年代中期，这些出版社每年出版十多种出版物。例如，匈牙利文出版公司《论坛》从</w:t>
      </w:r>
      <w:r>
        <w:rPr>
          <w:snapToGrid/>
        </w:rPr>
        <w:t>1953</w:t>
      </w:r>
      <w:r>
        <w:rPr>
          <w:snapToGrid/>
        </w:rPr>
        <w:t>成立以来到</w:t>
      </w:r>
      <w:r>
        <w:rPr>
          <w:snapToGrid/>
        </w:rPr>
        <w:t>1995</w:t>
      </w:r>
      <w:r>
        <w:rPr>
          <w:snapToGrid/>
        </w:rPr>
        <w:t>年</w:t>
      </w:r>
      <w:r>
        <w:rPr>
          <w:rFonts w:hint="eastAsia"/>
          <w:snapToGrid/>
        </w:rPr>
        <w:t>，</w:t>
      </w:r>
      <w:r>
        <w:rPr>
          <w:snapToGrid/>
        </w:rPr>
        <w:t>已出版了</w:t>
      </w:r>
      <w:r>
        <w:rPr>
          <w:snapToGrid/>
        </w:rPr>
        <w:t>2,000</w:t>
      </w:r>
      <w:r>
        <w:rPr>
          <w:snapToGrid/>
        </w:rPr>
        <w:t>多种出版物。</w:t>
      </w:r>
      <w:r>
        <w:rPr>
          <w:rFonts w:hint="eastAsia"/>
          <w:snapToGrid/>
        </w:rPr>
        <w:t>还有</w:t>
      </w:r>
      <w:r>
        <w:rPr>
          <w:snapToGrid/>
        </w:rPr>
        <w:t>其他</w:t>
      </w:r>
      <w:r>
        <w:rPr>
          <w:rFonts w:hint="eastAsia"/>
          <w:snapToGrid/>
        </w:rPr>
        <w:t>一些出版社，例如</w:t>
      </w:r>
      <w:r>
        <w:rPr>
          <w:snapToGrid/>
        </w:rPr>
        <w:t>斯洛伐克文</w:t>
      </w:r>
      <w:r>
        <w:rPr>
          <w:rFonts w:hint="eastAsia"/>
          <w:snapToGrid/>
        </w:rPr>
        <w:t>的“</w:t>
      </w:r>
      <w:r>
        <w:rPr>
          <w:snapToGrid/>
        </w:rPr>
        <w:t>文化</w:t>
      </w:r>
      <w:r>
        <w:rPr>
          <w:rFonts w:hint="eastAsia"/>
          <w:snapToGrid/>
        </w:rPr>
        <w:t>”</w:t>
      </w:r>
      <w:r>
        <w:rPr>
          <w:snapToGrid/>
        </w:rPr>
        <w:t>出版社、罗马尼亚</w:t>
      </w:r>
      <w:r>
        <w:rPr>
          <w:rFonts w:hint="eastAsia"/>
          <w:snapToGrid/>
        </w:rPr>
        <w:t>文</w:t>
      </w:r>
      <w:r>
        <w:rPr>
          <w:snapToGrid/>
        </w:rPr>
        <w:t>的</w:t>
      </w:r>
      <w:r>
        <w:rPr>
          <w:rFonts w:hint="eastAsia"/>
          <w:snapToGrid/>
        </w:rPr>
        <w:t>“</w:t>
      </w:r>
      <w:r>
        <w:rPr>
          <w:rFonts w:hint="eastAsia"/>
          <w:snapToGrid/>
        </w:rPr>
        <w:t>Libertatea</w:t>
      </w:r>
      <w:r>
        <w:rPr>
          <w:rFonts w:hint="eastAsia"/>
          <w:snapToGrid/>
        </w:rPr>
        <w:t>”和“</w:t>
      </w:r>
      <w:r>
        <w:rPr>
          <w:rFonts w:hint="eastAsia"/>
          <w:snapToGrid/>
        </w:rPr>
        <w:t>Tibiscus</w:t>
      </w:r>
      <w:r>
        <w:rPr>
          <w:rFonts w:hint="eastAsia"/>
          <w:snapToGrid/>
        </w:rPr>
        <w:t>”</w:t>
      </w:r>
      <w:r>
        <w:rPr>
          <w:snapToGrid/>
        </w:rPr>
        <w:t>出版社</w:t>
      </w:r>
      <w:r>
        <w:rPr>
          <w:rFonts w:hint="eastAsia"/>
          <w:snapToGrid/>
        </w:rPr>
        <w:t>、鲁赛尼亚文</w:t>
      </w:r>
      <w:r>
        <w:rPr>
          <w:snapToGrid/>
        </w:rPr>
        <w:t>的</w:t>
      </w:r>
      <w:r>
        <w:rPr>
          <w:rFonts w:hint="eastAsia"/>
          <w:snapToGrid/>
        </w:rPr>
        <w:t>“</w:t>
      </w:r>
      <w:r>
        <w:rPr>
          <w:rFonts w:hint="eastAsia"/>
          <w:snapToGrid/>
        </w:rPr>
        <w:t>Ruske slovo</w:t>
      </w:r>
      <w:r>
        <w:rPr>
          <w:rFonts w:hint="eastAsia"/>
          <w:snapToGrid/>
        </w:rPr>
        <w:t>”</w:t>
      </w:r>
      <w:r>
        <w:rPr>
          <w:snapToGrid/>
        </w:rPr>
        <w:t>出版社、</w:t>
      </w:r>
      <w:r>
        <w:rPr>
          <w:snapToGrid/>
        </w:rPr>
        <w:t>保加利亚</w:t>
      </w:r>
      <w:r>
        <w:rPr>
          <w:rFonts w:hint="eastAsia"/>
          <w:snapToGrid/>
        </w:rPr>
        <w:t>文</w:t>
      </w:r>
      <w:r>
        <w:rPr>
          <w:snapToGrid/>
        </w:rPr>
        <w:t>的</w:t>
      </w:r>
      <w:r>
        <w:rPr>
          <w:rFonts w:hint="eastAsia"/>
          <w:snapToGrid/>
        </w:rPr>
        <w:t>“</w:t>
      </w:r>
      <w:r>
        <w:rPr>
          <w:rFonts w:hint="eastAsia"/>
          <w:snapToGrid/>
        </w:rPr>
        <w:t>Bratstvo</w:t>
      </w:r>
      <w:r>
        <w:rPr>
          <w:rFonts w:hint="eastAsia"/>
          <w:snapToGrid/>
        </w:rPr>
        <w:t>”</w:t>
      </w:r>
      <w:r>
        <w:rPr>
          <w:snapToGrid/>
        </w:rPr>
        <w:t>出版社以及罗姆族</w:t>
      </w:r>
      <w:r>
        <w:rPr>
          <w:rFonts w:hint="eastAsia"/>
          <w:snapToGrid/>
        </w:rPr>
        <w:t>文</w:t>
      </w:r>
      <w:r>
        <w:rPr>
          <w:snapToGrid/>
        </w:rPr>
        <w:t>的</w:t>
      </w:r>
      <w:r>
        <w:rPr>
          <w:rFonts w:hint="eastAsia"/>
          <w:snapToGrid/>
        </w:rPr>
        <w:t>“</w:t>
      </w:r>
      <w:r>
        <w:rPr>
          <w:rFonts w:hint="eastAsia"/>
          <w:snapToGrid/>
        </w:rPr>
        <w:t>Romainterpress</w:t>
      </w:r>
      <w:r>
        <w:rPr>
          <w:rFonts w:hint="eastAsia"/>
          <w:snapToGrid/>
        </w:rPr>
        <w:t>”</w:t>
      </w:r>
      <w:r>
        <w:rPr>
          <w:snapToGrid/>
        </w:rPr>
        <w:t>出版社，</w:t>
      </w:r>
      <w:r>
        <w:rPr>
          <w:rFonts w:hint="eastAsia"/>
          <w:snapToGrid/>
        </w:rPr>
        <w:t>但它们的</w:t>
      </w:r>
      <w:r>
        <w:rPr>
          <w:snapToGrid/>
        </w:rPr>
        <w:t>出版物数量较少。此外有一些出版社</w:t>
      </w:r>
      <w:r>
        <w:rPr>
          <w:rFonts w:hint="eastAsia"/>
          <w:snapToGrid/>
        </w:rPr>
        <w:t>还出版</w:t>
      </w:r>
      <w:r>
        <w:rPr>
          <w:snapToGrid/>
        </w:rPr>
        <w:t>少数族裔</w:t>
      </w:r>
      <w:r>
        <w:rPr>
          <w:rFonts w:hint="eastAsia"/>
          <w:snapToGrid/>
        </w:rPr>
        <w:t>语文</w:t>
      </w:r>
      <w:r>
        <w:rPr>
          <w:snapToGrid/>
        </w:rPr>
        <w:t>版</w:t>
      </w:r>
      <w:r>
        <w:rPr>
          <w:rFonts w:hint="eastAsia"/>
          <w:snapToGrid/>
        </w:rPr>
        <w:t>的出版物</w:t>
      </w:r>
      <w:r>
        <w:rPr>
          <w:snapToGrid/>
        </w:rPr>
        <w:t>。</w:t>
      </w:r>
    </w:p>
    <w:p w:rsidR="00000000" w:rsidRDefault="00844A84">
      <w:pPr>
        <w:ind w:firstLine="510"/>
        <w:rPr>
          <w:rFonts w:hint="eastAsia"/>
          <w:snapToGrid/>
        </w:rPr>
      </w:pPr>
      <w:r>
        <w:rPr>
          <w:rFonts w:hint="eastAsia"/>
          <w:snapToGrid/>
        </w:rPr>
        <w:t xml:space="preserve">430.  </w:t>
      </w:r>
      <w:r>
        <w:rPr>
          <w:rFonts w:hint="eastAsia"/>
          <w:snapToGrid/>
        </w:rPr>
        <w:t>在伏伊伏丁那现有的图书馆网络内，根据人口的族裔组成比例提供少数族裔语文书籍：</w:t>
      </w:r>
      <w:r>
        <w:rPr>
          <w:snapToGrid/>
        </w:rPr>
        <w:t>塞尔维亚文书籍占</w:t>
      </w:r>
      <w:r>
        <w:rPr>
          <w:snapToGrid/>
        </w:rPr>
        <w:t>76.67%</w:t>
      </w:r>
      <w:r>
        <w:rPr>
          <w:snapToGrid/>
        </w:rPr>
        <w:t>，匈牙利文书籍占</w:t>
      </w:r>
      <w:r>
        <w:rPr>
          <w:snapToGrid/>
        </w:rPr>
        <w:t>15.65%</w:t>
      </w:r>
      <w:r>
        <w:rPr>
          <w:snapToGrid/>
        </w:rPr>
        <w:t>，斯洛伐克文书籍占</w:t>
      </w:r>
      <w:r>
        <w:rPr>
          <w:snapToGrid/>
        </w:rPr>
        <w:t>1.12%</w:t>
      </w:r>
      <w:r>
        <w:rPr>
          <w:snapToGrid/>
        </w:rPr>
        <w:t>，罗马尼亚文书籍占</w:t>
      </w:r>
      <w:r>
        <w:rPr>
          <w:snapToGrid/>
        </w:rPr>
        <w:t>1.04%</w:t>
      </w:r>
      <w:r>
        <w:rPr>
          <w:snapToGrid/>
        </w:rPr>
        <w:t>，</w:t>
      </w:r>
      <w:r>
        <w:rPr>
          <w:rFonts w:hint="eastAsia"/>
          <w:snapToGrid/>
        </w:rPr>
        <w:t>鲁</w:t>
      </w:r>
      <w:r>
        <w:rPr>
          <w:snapToGrid/>
        </w:rPr>
        <w:t>赛尼亚文书籍占</w:t>
      </w:r>
      <w:r>
        <w:rPr>
          <w:snapToGrid/>
        </w:rPr>
        <w:t>0.22%</w:t>
      </w:r>
      <w:r>
        <w:rPr>
          <w:snapToGrid/>
        </w:rPr>
        <w:t>。共和国其他地区，图书馆收藏的以少数族裔语文出版的书籍数</w:t>
      </w:r>
      <w:r>
        <w:rPr>
          <w:rFonts w:hint="eastAsia"/>
          <w:snapToGrid/>
        </w:rPr>
        <w:t>尚无</w:t>
      </w:r>
      <w:r>
        <w:rPr>
          <w:snapToGrid/>
        </w:rPr>
        <w:t>最新数字。</w:t>
      </w:r>
    </w:p>
    <w:p w:rsidR="00000000" w:rsidRDefault="00844A84">
      <w:pPr>
        <w:ind w:firstLine="510"/>
        <w:rPr>
          <w:rFonts w:hint="eastAsia"/>
          <w:snapToGrid/>
        </w:rPr>
      </w:pPr>
      <w:r>
        <w:rPr>
          <w:rFonts w:hint="eastAsia"/>
          <w:snapToGrid/>
        </w:rPr>
        <w:t xml:space="preserve">431.  </w:t>
      </w:r>
      <w:r>
        <w:rPr>
          <w:rFonts w:hint="eastAsia"/>
          <w:snapToGrid/>
        </w:rPr>
        <w:t>少数族裔语文日报和新闻杂志大部分在伏</w:t>
      </w:r>
      <w:r>
        <w:rPr>
          <w:rFonts w:hint="eastAsia"/>
          <w:snapToGrid/>
        </w:rPr>
        <w:t>伊伏丁那出版，该省约有</w:t>
      </w:r>
      <w:r>
        <w:rPr>
          <w:snapToGrid/>
        </w:rPr>
        <w:t>150</w:t>
      </w:r>
      <w:r>
        <w:rPr>
          <w:snapToGrid/>
        </w:rPr>
        <w:t>种注册的印刷媒体。</w:t>
      </w:r>
    </w:p>
    <w:p w:rsidR="00000000" w:rsidRDefault="00844A84">
      <w:pPr>
        <w:ind w:firstLine="510"/>
        <w:rPr>
          <w:rFonts w:hint="eastAsia"/>
          <w:snapToGrid/>
        </w:rPr>
      </w:pPr>
      <w:r>
        <w:rPr>
          <w:rFonts w:hint="eastAsia"/>
          <w:snapToGrid/>
        </w:rPr>
        <w:t xml:space="preserve">432.  </w:t>
      </w:r>
      <w:r>
        <w:rPr>
          <w:rFonts w:hint="eastAsia"/>
          <w:snapToGrid/>
        </w:rPr>
        <w:t>匈牙利文报纸包括日报“</w:t>
      </w:r>
      <w:r>
        <w:rPr>
          <w:rFonts w:hint="eastAsia"/>
          <w:snapToGrid/>
        </w:rPr>
        <w:t>Magyar Szo</w:t>
      </w:r>
      <w:r>
        <w:rPr>
          <w:rFonts w:hint="eastAsia"/>
          <w:snapToGrid/>
        </w:rPr>
        <w:t>”，周刊“</w:t>
      </w:r>
      <w:r>
        <w:rPr>
          <w:rFonts w:hint="eastAsia"/>
          <w:snapToGrid/>
        </w:rPr>
        <w:t>7 Nap</w:t>
      </w:r>
      <w:r>
        <w:rPr>
          <w:rFonts w:hint="eastAsia"/>
          <w:snapToGrid/>
        </w:rPr>
        <w:t>”、青年周刊“</w:t>
      </w:r>
      <w:r>
        <w:rPr>
          <w:rFonts w:hint="eastAsia"/>
          <w:snapToGrid/>
        </w:rPr>
        <w:t>Kepes Ifjusag</w:t>
      </w:r>
      <w:r>
        <w:rPr>
          <w:rFonts w:hint="eastAsia"/>
          <w:snapToGrid/>
        </w:rPr>
        <w:t>”和儿童报纸“</w:t>
      </w:r>
      <w:r>
        <w:rPr>
          <w:rFonts w:hint="eastAsia"/>
          <w:snapToGrid/>
        </w:rPr>
        <w:t>Jo Pajtas</w:t>
      </w:r>
      <w:r>
        <w:rPr>
          <w:rFonts w:hint="eastAsia"/>
          <w:snapToGrid/>
        </w:rPr>
        <w:t>”和“</w:t>
      </w:r>
      <w:r>
        <w:rPr>
          <w:rFonts w:hint="eastAsia"/>
          <w:snapToGrid/>
        </w:rPr>
        <w:t>Mezekalacs</w:t>
      </w:r>
      <w:r>
        <w:rPr>
          <w:rFonts w:hint="eastAsia"/>
          <w:snapToGrid/>
        </w:rPr>
        <w:t>”。期刊有文化、文学和艺术杂志“</w:t>
      </w:r>
      <w:r>
        <w:rPr>
          <w:rFonts w:hint="eastAsia"/>
          <w:snapToGrid/>
        </w:rPr>
        <w:t>Hid</w:t>
      </w:r>
      <w:r>
        <w:rPr>
          <w:rFonts w:hint="eastAsia"/>
          <w:snapToGrid/>
        </w:rPr>
        <w:t>”、科学和社会杂志“</w:t>
      </w:r>
      <w:r>
        <w:rPr>
          <w:rFonts w:hint="eastAsia"/>
          <w:snapToGrid/>
        </w:rPr>
        <w:t>Letuk</w:t>
      </w:r>
      <w:r>
        <w:rPr>
          <w:rFonts w:hint="eastAsia"/>
          <w:snapToGrid/>
        </w:rPr>
        <w:t>”和艺术及评论杂志“</w:t>
      </w:r>
      <w:r>
        <w:rPr>
          <w:rFonts w:hint="eastAsia"/>
          <w:snapToGrid/>
        </w:rPr>
        <w:t>Uj Simpozion</w:t>
      </w:r>
      <w:r>
        <w:rPr>
          <w:rFonts w:hint="eastAsia"/>
          <w:snapToGrid/>
        </w:rPr>
        <w:t>”，以匈牙利文和塞尔维亚文出版的双语文学、艺术和文化评论“</w:t>
      </w:r>
      <w:r>
        <w:rPr>
          <w:rFonts w:hint="eastAsia"/>
          <w:snapToGrid/>
        </w:rPr>
        <w:t>Orbis</w:t>
      </w:r>
      <w:r>
        <w:rPr>
          <w:rFonts w:hint="eastAsia"/>
          <w:snapToGrid/>
        </w:rPr>
        <w:t>”，以及定期专业杂志“</w:t>
      </w:r>
      <w:r>
        <w:rPr>
          <w:rFonts w:hint="eastAsia"/>
          <w:snapToGrid/>
        </w:rPr>
        <w:t>Hungarologiai kozlemenek</w:t>
      </w:r>
      <w:r>
        <w:rPr>
          <w:rFonts w:hint="eastAsia"/>
          <w:snapToGrid/>
        </w:rPr>
        <w:t>”。</w:t>
      </w:r>
    </w:p>
    <w:p w:rsidR="00000000" w:rsidRDefault="00844A84">
      <w:pPr>
        <w:ind w:firstLine="510"/>
        <w:rPr>
          <w:snapToGrid/>
        </w:rPr>
      </w:pPr>
      <w:r>
        <w:rPr>
          <w:rFonts w:hint="eastAsia"/>
          <w:snapToGrid/>
        </w:rPr>
        <w:t xml:space="preserve">433.  </w:t>
      </w:r>
      <w:r>
        <w:rPr>
          <w:rFonts w:hint="eastAsia"/>
          <w:snapToGrid/>
        </w:rPr>
        <w:t>斯洛伐克文新闻周刊“</w:t>
      </w:r>
      <w:r>
        <w:rPr>
          <w:rFonts w:hint="eastAsia"/>
          <w:snapToGrid/>
        </w:rPr>
        <w:t>Hl</w:t>
      </w:r>
      <w:r>
        <w:rPr>
          <w:rFonts w:hint="eastAsia"/>
          <w:snapToGrid/>
        </w:rPr>
        <w:t>as L</w:t>
      </w:r>
      <w:r>
        <w:rPr>
          <w:snapToGrid/>
        </w:rPr>
        <w:t>’</w:t>
      </w:r>
      <w:r>
        <w:rPr>
          <w:rFonts w:hint="eastAsia"/>
          <w:snapToGrid/>
        </w:rPr>
        <w:t>udy</w:t>
      </w:r>
      <w:r>
        <w:rPr>
          <w:rFonts w:hint="eastAsia"/>
          <w:snapToGrid/>
        </w:rPr>
        <w:t>”载有农业副刊“</w:t>
      </w:r>
      <w:r>
        <w:rPr>
          <w:rFonts w:hint="eastAsia"/>
          <w:snapToGrid/>
        </w:rPr>
        <w:t>Pol</w:t>
      </w:r>
      <w:r>
        <w:rPr>
          <w:snapToGrid/>
        </w:rPr>
        <w:t>’</w:t>
      </w:r>
      <w:r>
        <w:rPr>
          <w:rFonts w:hint="eastAsia"/>
          <w:snapToGrid/>
        </w:rPr>
        <w:t>nohospodarske rozhl</w:t>
      </w:r>
      <w:r>
        <w:rPr>
          <w:snapToGrid/>
        </w:rPr>
        <w:t>’</w:t>
      </w:r>
      <w:r>
        <w:rPr>
          <w:rFonts w:hint="eastAsia"/>
          <w:snapToGrid/>
        </w:rPr>
        <w:t>ady</w:t>
      </w:r>
      <w:r>
        <w:rPr>
          <w:rFonts w:hint="eastAsia"/>
          <w:snapToGrid/>
        </w:rPr>
        <w:t>”，同时附送其他出版物，包括青年报纸“</w:t>
      </w:r>
      <w:r>
        <w:rPr>
          <w:snapToGrid/>
        </w:rPr>
        <w:t>Vzlet</w:t>
      </w:r>
      <w:r>
        <w:rPr>
          <w:rFonts w:hint="eastAsia"/>
          <w:snapToGrid/>
        </w:rPr>
        <w:t>”、儿童报纸“</w:t>
      </w:r>
      <w:r>
        <w:rPr>
          <w:snapToGrid/>
        </w:rPr>
        <w:t>Zornicka</w:t>
      </w:r>
      <w:r>
        <w:rPr>
          <w:rFonts w:hint="eastAsia"/>
          <w:snapToGrid/>
        </w:rPr>
        <w:t>”和家庭杂志“</w:t>
      </w:r>
      <w:r>
        <w:rPr>
          <w:snapToGrid/>
        </w:rPr>
        <w:t>Rovina</w:t>
      </w:r>
      <w:r>
        <w:rPr>
          <w:rFonts w:hint="eastAsia"/>
          <w:snapToGrid/>
        </w:rPr>
        <w:t>”。</w:t>
      </w:r>
    </w:p>
    <w:p w:rsidR="00000000" w:rsidRDefault="00844A84">
      <w:pPr>
        <w:ind w:firstLine="510"/>
        <w:rPr>
          <w:snapToGrid/>
        </w:rPr>
      </w:pPr>
      <w:r>
        <w:rPr>
          <w:snapToGrid/>
        </w:rPr>
        <w:t>434.</w:t>
      </w:r>
      <w:r>
        <w:rPr>
          <w:rFonts w:hint="eastAsia"/>
          <w:snapToGrid/>
        </w:rPr>
        <w:t xml:space="preserve">  </w:t>
      </w:r>
      <w:r>
        <w:rPr>
          <w:snapToGrid/>
        </w:rPr>
        <w:t>鲁塞尼亚文出版物有报纸</w:t>
      </w:r>
      <w:r>
        <w:rPr>
          <w:rFonts w:hint="eastAsia"/>
          <w:snapToGrid/>
        </w:rPr>
        <w:t>“</w:t>
      </w:r>
      <w:r>
        <w:rPr>
          <w:snapToGrid/>
        </w:rPr>
        <w:t>Ruske slovo</w:t>
      </w:r>
      <w:r>
        <w:rPr>
          <w:rFonts w:hint="eastAsia"/>
          <w:snapToGrid/>
        </w:rPr>
        <w:t>”</w:t>
      </w:r>
      <w:r>
        <w:rPr>
          <w:snapToGrid/>
        </w:rPr>
        <w:t>、青年报纸</w:t>
      </w:r>
      <w:r>
        <w:rPr>
          <w:rFonts w:hint="eastAsia"/>
          <w:snapToGrid/>
        </w:rPr>
        <w:t>“</w:t>
      </w:r>
      <w:r>
        <w:rPr>
          <w:snapToGrid/>
        </w:rPr>
        <w:t>MAK</w:t>
      </w:r>
      <w:r>
        <w:rPr>
          <w:rFonts w:hint="eastAsia"/>
          <w:snapToGrid/>
        </w:rPr>
        <w:t>”</w:t>
      </w:r>
      <w:r>
        <w:rPr>
          <w:snapToGrid/>
        </w:rPr>
        <w:t>和儿童杂志</w:t>
      </w:r>
      <w:r>
        <w:rPr>
          <w:rFonts w:hint="eastAsia"/>
          <w:snapToGrid/>
        </w:rPr>
        <w:t>“</w:t>
      </w:r>
      <w:r>
        <w:rPr>
          <w:snapToGrid/>
        </w:rPr>
        <w:t>Zahradka</w:t>
      </w:r>
      <w:r>
        <w:rPr>
          <w:rFonts w:hint="eastAsia"/>
          <w:snapToGrid/>
        </w:rPr>
        <w:t>”</w:t>
      </w:r>
      <w:r>
        <w:rPr>
          <w:snapToGrid/>
        </w:rPr>
        <w:t>以及文学和文化评论</w:t>
      </w:r>
      <w:r>
        <w:rPr>
          <w:rFonts w:hint="eastAsia"/>
          <w:snapToGrid/>
        </w:rPr>
        <w:t>“</w:t>
      </w:r>
      <w:r>
        <w:rPr>
          <w:snapToGrid/>
        </w:rPr>
        <w:t>Svetloc</w:t>
      </w:r>
      <w:r>
        <w:rPr>
          <w:rFonts w:hint="eastAsia"/>
          <w:snapToGrid/>
        </w:rPr>
        <w:t>”</w:t>
      </w:r>
      <w:r>
        <w:rPr>
          <w:snapToGrid/>
        </w:rPr>
        <w:t>。</w:t>
      </w:r>
    </w:p>
    <w:p w:rsidR="00000000" w:rsidRDefault="00844A84">
      <w:pPr>
        <w:ind w:firstLine="510"/>
        <w:rPr>
          <w:snapToGrid/>
        </w:rPr>
      </w:pPr>
      <w:r>
        <w:rPr>
          <w:snapToGrid/>
        </w:rPr>
        <w:t>435.</w:t>
      </w:r>
      <w:r>
        <w:rPr>
          <w:rFonts w:hint="eastAsia"/>
          <w:snapToGrid/>
        </w:rPr>
        <w:t xml:space="preserve">  </w:t>
      </w:r>
      <w:r>
        <w:rPr>
          <w:snapToGrid/>
        </w:rPr>
        <w:t>罗马尼亚文出版物有新闻周刊</w:t>
      </w:r>
      <w:r>
        <w:rPr>
          <w:rFonts w:hint="eastAsia"/>
          <w:snapToGrid/>
        </w:rPr>
        <w:t>“</w:t>
      </w:r>
      <w:r>
        <w:rPr>
          <w:snapToGrid/>
        </w:rPr>
        <w:t>Libertatea</w:t>
      </w:r>
      <w:r>
        <w:rPr>
          <w:rFonts w:hint="eastAsia"/>
          <w:snapToGrid/>
        </w:rPr>
        <w:t>”</w:t>
      </w:r>
      <w:r>
        <w:rPr>
          <w:snapToGrid/>
        </w:rPr>
        <w:t>、儿童和青年报纸</w:t>
      </w:r>
      <w:r>
        <w:rPr>
          <w:rFonts w:hint="eastAsia"/>
          <w:snapToGrid/>
        </w:rPr>
        <w:t>“</w:t>
      </w:r>
      <w:r>
        <w:rPr>
          <w:snapToGrid/>
        </w:rPr>
        <w:t>Bucuria copiilor</w:t>
      </w:r>
      <w:r>
        <w:rPr>
          <w:rFonts w:hint="eastAsia"/>
          <w:snapToGrid/>
        </w:rPr>
        <w:t>”</w:t>
      </w:r>
      <w:r>
        <w:rPr>
          <w:snapToGrid/>
        </w:rPr>
        <w:t>和</w:t>
      </w:r>
      <w:r>
        <w:rPr>
          <w:rFonts w:hint="eastAsia"/>
          <w:snapToGrid/>
        </w:rPr>
        <w:t>“</w:t>
      </w:r>
      <w:r>
        <w:rPr>
          <w:snapToGrid/>
        </w:rPr>
        <w:t>Tinrea</w:t>
      </w:r>
      <w:r>
        <w:rPr>
          <w:rFonts w:hint="eastAsia"/>
          <w:snapToGrid/>
        </w:rPr>
        <w:t>”</w:t>
      </w:r>
      <w:r>
        <w:rPr>
          <w:snapToGrid/>
        </w:rPr>
        <w:t>，以及文化和艺术评论</w:t>
      </w:r>
      <w:r>
        <w:rPr>
          <w:rFonts w:hint="eastAsia"/>
          <w:snapToGrid/>
        </w:rPr>
        <w:t>“</w:t>
      </w:r>
      <w:r>
        <w:rPr>
          <w:snapToGrid/>
        </w:rPr>
        <w:t>Lumina</w:t>
      </w:r>
      <w:r>
        <w:rPr>
          <w:rFonts w:hint="eastAsia"/>
          <w:snapToGrid/>
        </w:rPr>
        <w:t>”</w:t>
      </w:r>
      <w:r>
        <w:rPr>
          <w:snapToGrid/>
        </w:rPr>
        <w:t>及专业杂志</w:t>
      </w:r>
      <w:r>
        <w:rPr>
          <w:rFonts w:hint="eastAsia"/>
          <w:snapToGrid/>
        </w:rPr>
        <w:t>“</w:t>
      </w:r>
      <w:r>
        <w:rPr>
          <w:snapToGrid/>
        </w:rPr>
        <w:t>Trad</w:t>
      </w:r>
      <w:r>
        <w:rPr>
          <w:rFonts w:hint="eastAsia"/>
          <w:snapToGrid/>
        </w:rPr>
        <w:t>it</w:t>
      </w:r>
      <w:r>
        <w:rPr>
          <w:snapToGrid/>
        </w:rPr>
        <w:t>a</w:t>
      </w:r>
      <w:r>
        <w:rPr>
          <w:rFonts w:hint="eastAsia"/>
          <w:snapToGrid/>
        </w:rPr>
        <w:t>”</w:t>
      </w:r>
      <w:r>
        <w:rPr>
          <w:snapToGrid/>
        </w:rPr>
        <w:t>和</w:t>
      </w:r>
      <w:r>
        <w:rPr>
          <w:rFonts w:hint="eastAsia"/>
          <w:snapToGrid/>
        </w:rPr>
        <w:t>“</w:t>
      </w:r>
      <w:r>
        <w:rPr>
          <w:snapToGrid/>
        </w:rPr>
        <w:t>Ogledalo</w:t>
      </w:r>
      <w:r>
        <w:rPr>
          <w:rFonts w:hint="eastAsia"/>
          <w:snapToGrid/>
        </w:rPr>
        <w:t>”</w:t>
      </w:r>
      <w:r>
        <w:rPr>
          <w:snapToGrid/>
        </w:rPr>
        <w:t>。</w:t>
      </w:r>
    </w:p>
    <w:p w:rsidR="00000000" w:rsidRDefault="00844A84">
      <w:pPr>
        <w:ind w:firstLine="510"/>
        <w:rPr>
          <w:rFonts w:hint="eastAsia"/>
          <w:snapToGrid/>
        </w:rPr>
      </w:pPr>
      <w:r>
        <w:rPr>
          <w:snapToGrid/>
        </w:rPr>
        <w:t>436.</w:t>
      </w:r>
      <w:r>
        <w:rPr>
          <w:rFonts w:hint="eastAsia"/>
          <w:snapToGrid/>
        </w:rPr>
        <w:t xml:space="preserve">  </w:t>
      </w:r>
      <w:r>
        <w:rPr>
          <w:snapToGrid/>
        </w:rPr>
        <w:t>罗姆族文印刷媒介</w:t>
      </w:r>
      <w:r>
        <w:rPr>
          <w:rFonts w:hint="eastAsia"/>
          <w:snapToGrid/>
        </w:rPr>
        <w:t>则</w:t>
      </w:r>
      <w:r>
        <w:rPr>
          <w:snapToGrid/>
        </w:rPr>
        <w:t>比不上其他</w:t>
      </w:r>
      <w:r>
        <w:rPr>
          <w:rFonts w:hint="eastAsia"/>
          <w:snapToGrid/>
        </w:rPr>
        <w:t>族裔</w:t>
      </w:r>
      <w:r>
        <w:rPr>
          <w:snapToGrid/>
        </w:rPr>
        <w:t>。但</w:t>
      </w:r>
      <w:r>
        <w:rPr>
          <w:rFonts w:hint="eastAsia"/>
          <w:snapToGrid/>
        </w:rPr>
        <w:t>设在</w:t>
      </w:r>
      <w:r>
        <w:rPr>
          <w:snapToGrid/>
        </w:rPr>
        <w:t>贝尔格莱德的私营出版社</w:t>
      </w:r>
      <w:r>
        <w:rPr>
          <w:rFonts w:hint="eastAsia"/>
          <w:snapToGrid/>
        </w:rPr>
        <w:t>“</w:t>
      </w:r>
      <w:r>
        <w:rPr>
          <w:rFonts w:hint="eastAsia"/>
          <w:snapToGrid/>
        </w:rPr>
        <w:t>Romainterpress</w:t>
      </w:r>
      <w:r>
        <w:rPr>
          <w:rFonts w:hint="eastAsia"/>
          <w:snapToGrid/>
        </w:rPr>
        <w:t>”</w:t>
      </w:r>
      <w:r>
        <w:rPr>
          <w:snapToGrid/>
        </w:rPr>
        <w:t xml:space="preserve"> </w:t>
      </w:r>
      <w:r>
        <w:rPr>
          <w:rFonts w:hint="eastAsia"/>
          <w:snapToGrid/>
        </w:rPr>
        <w:t>不定期</w:t>
      </w:r>
      <w:r>
        <w:rPr>
          <w:snapToGrid/>
        </w:rPr>
        <w:t>出版杂志</w:t>
      </w:r>
      <w:r>
        <w:rPr>
          <w:rFonts w:hint="eastAsia"/>
          <w:snapToGrid/>
        </w:rPr>
        <w:t>“</w:t>
      </w:r>
      <w:r>
        <w:rPr>
          <w:rFonts w:hint="eastAsia"/>
          <w:snapToGrid/>
        </w:rPr>
        <w:t>Romano lil</w:t>
      </w:r>
      <w:r>
        <w:rPr>
          <w:rFonts w:hint="eastAsia"/>
          <w:snapToGrid/>
        </w:rPr>
        <w:t>”</w:t>
      </w:r>
      <w:r>
        <w:rPr>
          <w:snapToGrid/>
        </w:rPr>
        <w:t>、儿童报纸</w:t>
      </w:r>
      <w:r>
        <w:rPr>
          <w:rFonts w:hint="eastAsia"/>
          <w:snapToGrid/>
        </w:rPr>
        <w:t>“</w:t>
      </w:r>
      <w:r>
        <w:rPr>
          <w:rFonts w:hint="eastAsia"/>
          <w:snapToGrid/>
        </w:rPr>
        <w:t xml:space="preserve">Chavrikano lil </w:t>
      </w:r>
      <w:r>
        <w:rPr>
          <w:rFonts w:hint="eastAsia"/>
          <w:snapToGrid/>
        </w:rPr>
        <w:t>”</w:t>
      </w:r>
      <w:r>
        <w:rPr>
          <w:snapToGrid/>
        </w:rPr>
        <w:t>以及专业杂志</w:t>
      </w:r>
      <w:r>
        <w:rPr>
          <w:rFonts w:hint="eastAsia"/>
          <w:snapToGrid/>
        </w:rPr>
        <w:t>“</w:t>
      </w:r>
      <w:r>
        <w:rPr>
          <w:rFonts w:hint="eastAsia"/>
          <w:snapToGrid/>
        </w:rPr>
        <w:t>Romologia</w:t>
      </w:r>
      <w:r>
        <w:rPr>
          <w:rFonts w:hint="eastAsia"/>
          <w:snapToGrid/>
        </w:rPr>
        <w:t>”</w:t>
      </w:r>
      <w:r>
        <w:rPr>
          <w:snapToGrid/>
        </w:rPr>
        <w:t>。</w:t>
      </w:r>
      <w:r>
        <w:rPr>
          <w:rFonts w:hint="eastAsia"/>
          <w:snapToGrid/>
        </w:rPr>
        <w:t>设</w:t>
      </w:r>
      <w:r>
        <w:rPr>
          <w:snapToGrid/>
        </w:rPr>
        <w:t>在诺维萨德的罗姆</w:t>
      </w:r>
      <w:r>
        <w:rPr>
          <w:rFonts w:hint="eastAsia"/>
          <w:snapToGrid/>
        </w:rPr>
        <w:t>族</w:t>
      </w:r>
      <w:r>
        <w:rPr>
          <w:snapToGrid/>
        </w:rPr>
        <w:t>研究</w:t>
      </w:r>
      <w:r>
        <w:rPr>
          <w:rFonts w:hint="eastAsia"/>
          <w:snapToGrid/>
        </w:rPr>
        <w:t>所出版了科学和文化期刊“</w:t>
      </w:r>
      <w:r>
        <w:rPr>
          <w:rFonts w:hint="eastAsia"/>
          <w:snapToGrid/>
        </w:rPr>
        <w:t>Alav e Romengo</w:t>
      </w:r>
      <w:r>
        <w:rPr>
          <w:rFonts w:hint="eastAsia"/>
          <w:snapToGrid/>
        </w:rPr>
        <w:t>”。</w:t>
      </w:r>
    </w:p>
    <w:p w:rsidR="00000000" w:rsidRDefault="00844A84">
      <w:pPr>
        <w:ind w:firstLine="510"/>
        <w:rPr>
          <w:rFonts w:hint="eastAsia"/>
          <w:snapToGrid/>
        </w:rPr>
      </w:pPr>
      <w:r>
        <w:rPr>
          <w:rFonts w:hint="eastAsia"/>
          <w:snapToGrid/>
        </w:rPr>
        <w:t xml:space="preserve">437.  </w:t>
      </w:r>
      <w:r>
        <w:rPr>
          <w:rFonts w:hint="eastAsia"/>
          <w:snapToGrid/>
        </w:rPr>
        <w:t>保加利亚族社区有本身的报纸“</w:t>
      </w:r>
      <w:r>
        <w:rPr>
          <w:rFonts w:hint="eastAsia"/>
          <w:snapToGrid/>
        </w:rPr>
        <w:t>Bratstvo</w:t>
      </w:r>
      <w:r>
        <w:rPr>
          <w:rFonts w:hint="eastAsia"/>
          <w:snapToGrid/>
        </w:rPr>
        <w:t>”。</w:t>
      </w:r>
    </w:p>
    <w:p w:rsidR="00000000" w:rsidRDefault="00844A84">
      <w:pPr>
        <w:spacing w:after="320"/>
        <w:ind w:firstLine="510"/>
        <w:rPr>
          <w:rFonts w:hint="eastAsia"/>
          <w:snapToGrid/>
        </w:rPr>
      </w:pPr>
      <w:r>
        <w:rPr>
          <w:rFonts w:hint="eastAsia"/>
          <w:snapToGrid/>
        </w:rPr>
        <w:t xml:space="preserve">438.  </w:t>
      </w:r>
      <w:r>
        <w:rPr>
          <w:rFonts w:hint="eastAsia"/>
          <w:snapToGrid/>
        </w:rPr>
        <w:t>桑贾克的波什尼克族有自己的报纸“</w:t>
      </w:r>
      <w:r>
        <w:rPr>
          <w:rFonts w:hint="eastAsia"/>
          <w:snapToGrid/>
        </w:rPr>
        <w:t>Sandzacke novine</w:t>
      </w:r>
      <w:r>
        <w:rPr>
          <w:rFonts w:hint="eastAsia"/>
          <w:snapToGrid/>
        </w:rPr>
        <w:t>”和期刊“</w:t>
      </w:r>
      <w:r>
        <w:rPr>
          <w:rFonts w:hint="eastAsia"/>
          <w:snapToGrid/>
        </w:rPr>
        <w:t>Has</w:t>
      </w:r>
      <w:r>
        <w:rPr>
          <w:rFonts w:hint="eastAsia"/>
          <w:snapToGrid/>
        </w:rPr>
        <w:t>”、杂志“</w:t>
      </w:r>
      <w:r>
        <w:rPr>
          <w:rFonts w:hint="eastAsia"/>
          <w:snapToGrid/>
        </w:rPr>
        <w:t>Sandzak</w:t>
      </w:r>
      <w:r>
        <w:rPr>
          <w:rFonts w:hint="eastAsia"/>
          <w:snapToGrid/>
        </w:rPr>
        <w:t>”以及文学评论“</w:t>
      </w:r>
      <w:r>
        <w:rPr>
          <w:rFonts w:hint="eastAsia"/>
          <w:snapToGrid/>
        </w:rPr>
        <w:t>Mak</w:t>
      </w:r>
      <w:r>
        <w:rPr>
          <w:rFonts w:hint="eastAsia"/>
          <w:snapToGrid/>
        </w:rPr>
        <w:t>”。桑贾克穆斯林社区的马希哈族人出版自己的报纸“</w:t>
      </w:r>
      <w:r>
        <w:rPr>
          <w:rFonts w:hint="eastAsia"/>
          <w:snapToGrid/>
        </w:rPr>
        <w:t>Glas Islama</w:t>
      </w:r>
      <w:r>
        <w:rPr>
          <w:rFonts w:hint="eastAsia"/>
          <w:snapToGrid/>
        </w:rPr>
        <w:t>”。</w:t>
      </w:r>
    </w:p>
    <w:p w:rsidR="00000000" w:rsidRDefault="00844A84">
      <w:pPr>
        <w:pStyle w:val="Heading4"/>
        <w:rPr>
          <w:rFonts w:hint="eastAsia"/>
        </w:rPr>
      </w:pPr>
      <w:r>
        <w:rPr>
          <w:rFonts w:hint="eastAsia"/>
        </w:rPr>
        <w:t>电子媒介</w:t>
      </w:r>
    </w:p>
    <w:p w:rsidR="00000000" w:rsidRDefault="00844A84">
      <w:pPr>
        <w:ind w:firstLine="510"/>
        <w:rPr>
          <w:rFonts w:hint="eastAsia"/>
          <w:snapToGrid/>
        </w:rPr>
      </w:pPr>
      <w:r>
        <w:rPr>
          <w:rFonts w:hint="eastAsia"/>
          <w:snapToGrid/>
        </w:rPr>
        <w:t xml:space="preserve">439.  </w:t>
      </w:r>
      <w:r>
        <w:rPr>
          <w:rFonts w:hint="eastAsia"/>
          <w:snapToGrid/>
        </w:rPr>
        <w:t>国营广播媒介设有以少数族裔语言播送的独立节目时段。节目内容最广泛、工作人员结构最复杂的是诺维萨德广播电视台。该媒体机构的节目传统上以匈牙利语、斯洛伐克语、罗姆族语、罗马尼亚语以及鲁塞尼亚语播出。据诺维萨德广播电视台节目部和节目规划及协调科</w:t>
      </w:r>
      <w:r>
        <w:rPr>
          <w:snapToGrid/>
        </w:rPr>
        <w:t>2001</w:t>
      </w:r>
      <w:r>
        <w:rPr>
          <w:snapToGrid/>
        </w:rPr>
        <w:t>年</w:t>
      </w:r>
      <w:r>
        <w:rPr>
          <w:rFonts w:hint="eastAsia"/>
          <w:snapToGrid/>
        </w:rPr>
        <w:t>采用</w:t>
      </w:r>
      <w:r>
        <w:rPr>
          <w:snapToGrid/>
        </w:rPr>
        <w:t>的广播节目计划，有</w:t>
      </w:r>
      <w:r>
        <w:rPr>
          <w:snapToGrid/>
        </w:rPr>
        <w:t>865</w:t>
      </w:r>
      <w:r>
        <w:rPr>
          <w:snapToGrid/>
        </w:rPr>
        <w:t>套电视节目是用匈牙利语播送的</w:t>
      </w:r>
      <w:r>
        <w:rPr>
          <w:rFonts w:hint="eastAsia"/>
          <w:snapToGrid/>
        </w:rPr>
        <w:t>，</w:t>
      </w:r>
      <w:r>
        <w:rPr>
          <w:snapToGrid/>
        </w:rPr>
        <w:t>每年播出时间为</w:t>
      </w:r>
      <w:r>
        <w:rPr>
          <w:snapToGrid/>
        </w:rPr>
        <w:t>30,125</w:t>
      </w:r>
      <w:r>
        <w:rPr>
          <w:snapToGrid/>
        </w:rPr>
        <w:t>分钟。诺维萨德广播电台</w:t>
      </w:r>
      <w:r>
        <w:rPr>
          <w:rFonts w:hint="eastAsia"/>
          <w:snapToGrid/>
        </w:rPr>
        <w:t>也与</w:t>
      </w:r>
      <w:r>
        <w:rPr>
          <w:snapToGrid/>
        </w:rPr>
        <w:t>其他</w:t>
      </w:r>
      <w:r>
        <w:rPr>
          <w:snapToGrid/>
        </w:rPr>
        <w:t>22</w:t>
      </w:r>
      <w:r>
        <w:rPr>
          <w:snapToGrid/>
        </w:rPr>
        <w:t>个地方广播台一起</w:t>
      </w:r>
      <w:r>
        <w:rPr>
          <w:rFonts w:hint="eastAsia"/>
          <w:snapToGrid/>
        </w:rPr>
        <w:t>，全天</w:t>
      </w:r>
      <w:r>
        <w:rPr>
          <w:snapToGrid/>
        </w:rPr>
        <w:t>播送匈牙利语节目。</w:t>
      </w:r>
    </w:p>
    <w:p w:rsidR="00000000" w:rsidRDefault="00844A84">
      <w:pPr>
        <w:ind w:firstLine="510"/>
        <w:rPr>
          <w:rFonts w:hint="eastAsia"/>
          <w:snapToGrid/>
        </w:rPr>
      </w:pPr>
      <w:r>
        <w:rPr>
          <w:rFonts w:hint="eastAsia"/>
          <w:snapToGrid/>
        </w:rPr>
        <w:t xml:space="preserve">440.  </w:t>
      </w:r>
      <w:r>
        <w:rPr>
          <w:rFonts w:hint="eastAsia"/>
          <w:snapToGrid/>
        </w:rPr>
        <w:t>以斯洛伐克语、罗马尼亚语和鲁塞尼亚语广播的节目，全年广播时间各为</w:t>
      </w:r>
      <w:r>
        <w:rPr>
          <w:rFonts w:hint="eastAsia"/>
          <w:snapToGrid/>
        </w:rPr>
        <w:t>13,260</w:t>
      </w:r>
      <w:r>
        <w:rPr>
          <w:snapToGrid/>
        </w:rPr>
        <w:t>分钟。除周末外，每天广播</w:t>
      </w:r>
      <w:r>
        <w:rPr>
          <w:snapToGrid/>
        </w:rPr>
        <w:t>15</w:t>
      </w:r>
      <w:r>
        <w:rPr>
          <w:snapToGrid/>
        </w:rPr>
        <w:t>分钟的新闻节目。每周有两次文化和政治节目，每月有一次</w:t>
      </w:r>
      <w:r>
        <w:rPr>
          <w:snapToGrid/>
        </w:rPr>
        <w:t>90</w:t>
      </w:r>
      <w:r>
        <w:rPr>
          <w:snapToGrid/>
        </w:rPr>
        <w:t>分钟的电话</w:t>
      </w:r>
      <w:r>
        <w:rPr>
          <w:rFonts w:hint="eastAsia"/>
          <w:snapToGrid/>
        </w:rPr>
        <w:t>叩应</w:t>
      </w:r>
      <w:r>
        <w:rPr>
          <w:snapToGrid/>
        </w:rPr>
        <w:t>节目。诺维萨德广播电台每天</w:t>
      </w:r>
      <w:r>
        <w:rPr>
          <w:rFonts w:hint="eastAsia"/>
          <w:snapToGrid/>
        </w:rPr>
        <w:t>为这</w:t>
      </w:r>
      <w:r>
        <w:rPr>
          <w:snapToGrid/>
        </w:rPr>
        <w:t>三个少数族裔广播</w:t>
      </w:r>
      <w:r>
        <w:rPr>
          <w:snapToGrid/>
        </w:rPr>
        <w:t>4</w:t>
      </w:r>
      <w:r>
        <w:rPr>
          <w:snapToGrid/>
        </w:rPr>
        <w:t>小时的节目。</w:t>
      </w:r>
    </w:p>
    <w:p w:rsidR="00000000" w:rsidRDefault="00844A84">
      <w:pPr>
        <w:ind w:firstLine="510"/>
        <w:rPr>
          <w:rFonts w:hint="eastAsia"/>
          <w:snapToGrid/>
        </w:rPr>
      </w:pPr>
      <w:r>
        <w:rPr>
          <w:rFonts w:hint="eastAsia"/>
          <w:snapToGrid/>
        </w:rPr>
        <w:t xml:space="preserve">441.  </w:t>
      </w:r>
      <w:r>
        <w:rPr>
          <w:rFonts w:hint="eastAsia"/>
          <w:snapToGrid/>
        </w:rPr>
        <w:t>为乌克兰族每年播出</w:t>
      </w:r>
      <w:r>
        <w:rPr>
          <w:snapToGrid/>
        </w:rPr>
        <w:t>13</w:t>
      </w:r>
      <w:r>
        <w:rPr>
          <w:rFonts w:hint="eastAsia"/>
          <w:snapToGrid/>
        </w:rPr>
        <w:t>套</w:t>
      </w:r>
      <w:r>
        <w:rPr>
          <w:snapToGrid/>
        </w:rPr>
        <w:t>电视节目，共</w:t>
      </w:r>
      <w:r>
        <w:rPr>
          <w:snapToGrid/>
        </w:rPr>
        <w:t>650</w:t>
      </w:r>
      <w:r>
        <w:rPr>
          <w:snapToGrid/>
        </w:rPr>
        <w:t>分钟</w:t>
      </w:r>
      <w:r>
        <w:rPr>
          <w:rFonts w:hint="eastAsia"/>
          <w:snapToGrid/>
        </w:rPr>
        <w:t>；</w:t>
      </w:r>
      <w:r>
        <w:rPr>
          <w:snapToGrid/>
        </w:rPr>
        <w:t>每周播出一小时广播节目。</w:t>
      </w:r>
    </w:p>
    <w:p w:rsidR="00000000" w:rsidRDefault="00844A84">
      <w:pPr>
        <w:ind w:firstLine="510"/>
        <w:rPr>
          <w:rFonts w:hint="eastAsia"/>
          <w:snapToGrid/>
        </w:rPr>
      </w:pPr>
      <w:r>
        <w:rPr>
          <w:rFonts w:hint="eastAsia"/>
          <w:snapToGrid/>
        </w:rPr>
        <w:t xml:space="preserve">442.  </w:t>
      </w:r>
      <w:r>
        <w:rPr>
          <w:rFonts w:hint="eastAsia"/>
          <w:snapToGrid/>
        </w:rPr>
        <w:t>诺维萨德广播电视台于</w:t>
      </w:r>
      <w:r>
        <w:rPr>
          <w:snapToGrid/>
        </w:rPr>
        <w:t>2001</w:t>
      </w:r>
      <w:r>
        <w:rPr>
          <w:snapToGrid/>
        </w:rPr>
        <w:t>年</w:t>
      </w:r>
      <w:r>
        <w:rPr>
          <w:snapToGrid/>
        </w:rPr>
        <w:t>7</w:t>
      </w:r>
      <w:r>
        <w:rPr>
          <w:snapToGrid/>
        </w:rPr>
        <w:t>月成立</w:t>
      </w:r>
      <w:r>
        <w:rPr>
          <w:rFonts w:hint="eastAsia"/>
          <w:snapToGrid/>
        </w:rPr>
        <w:t>了</w:t>
      </w:r>
      <w:r>
        <w:rPr>
          <w:snapToGrid/>
        </w:rPr>
        <w:t>克罗地亚语</w:t>
      </w:r>
      <w:r>
        <w:rPr>
          <w:rFonts w:hint="eastAsia"/>
          <w:snapToGrid/>
        </w:rPr>
        <w:t>部</w:t>
      </w:r>
      <w:r>
        <w:rPr>
          <w:snapToGrid/>
        </w:rPr>
        <w:t>，每年播出</w:t>
      </w:r>
      <w:r>
        <w:rPr>
          <w:snapToGrid/>
        </w:rPr>
        <w:t>20</w:t>
      </w:r>
      <w:r>
        <w:rPr>
          <w:snapToGrid/>
        </w:rPr>
        <w:t>套节目，共</w:t>
      </w:r>
      <w:r>
        <w:rPr>
          <w:snapToGrid/>
        </w:rPr>
        <w:t>1,000</w:t>
      </w:r>
      <w:r>
        <w:rPr>
          <w:snapToGrid/>
        </w:rPr>
        <w:t>分钟。</w:t>
      </w:r>
    </w:p>
    <w:p w:rsidR="00000000" w:rsidRDefault="00844A84">
      <w:pPr>
        <w:ind w:firstLine="510"/>
        <w:rPr>
          <w:rFonts w:hint="eastAsia"/>
          <w:snapToGrid/>
        </w:rPr>
      </w:pPr>
      <w:r>
        <w:rPr>
          <w:rFonts w:hint="eastAsia"/>
          <w:snapToGrid/>
        </w:rPr>
        <w:t xml:space="preserve">443.  </w:t>
      </w:r>
      <w:r>
        <w:rPr>
          <w:rFonts w:hint="eastAsia"/>
          <w:snapToGrid/>
          <w:spacing w:val="6"/>
        </w:rPr>
        <w:t>塞尔维亚广播电</w:t>
      </w:r>
      <w:r>
        <w:rPr>
          <w:rFonts w:hint="eastAsia"/>
          <w:snapToGrid/>
          <w:spacing w:val="6"/>
        </w:rPr>
        <w:t>视台通过联网和卫星播送罗姆族语节目。这些节目每月播放</w:t>
      </w:r>
      <w:r>
        <w:rPr>
          <w:snapToGrid/>
          <w:spacing w:val="6"/>
        </w:rPr>
        <w:t>1.5</w:t>
      </w:r>
      <w:r>
        <w:rPr>
          <w:snapToGrid/>
          <w:spacing w:val="6"/>
        </w:rPr>
        <w:t>小时。诺维萨德广播电视台每年的节目包括</w:t>
      </w:r>
      <w:r>
        <w:rPr>
          <w:snapToGrid/>
          <w:spacing w:val="6"/>
        </w:rPr>
        <w:t>372</w:t>
      </w:r>
      <w:r>
        <w:rPr>
          <w:snapToGrid/>
          <w:spacing w:val="6"/>
        </w:rPr>
        <w:t>套罗姆族语节目，共计广播时间为</w:t>
      </w:r>
      <w:r>
        <w:rPr>
          <w:snapToGrid/>
          <w:spacing w:val="6"/>
        </w:rPr>
        <w:t>14,760</w:t>
      </w:r>
      <w:r>
        <w:rPr>
          <w:snapToGrid/>
          <w:spacing w:val="6"/>
        </w:rPr>
        <w:t>分钟。每周播放</w:t>
      </w:r>
      <w:r>
        <w:rPr>
          <w:snapToGrid/>
          <w:spacing w:val="6"/>
        </w:rPr>
        <w:t>330</w:t>
      </w:r>
      <w:r>
        <w:rPr>
          <w:snapToGrid/>
          <w:spacing w:val="6"/>
        </w:rPr>
        <w:t>分钟的罗姆族语新闻、科学和教育以及娱乐节目。此外，诺维萨德还有每天三小时的广播节目。前几年贝尔格莱德电台每天广播半小时的节目，但现在虽然该电台</w:t>
      </w:r>
      <w:r>
        <w:rPr>
          <w:rFonts w:hint="eastAsia"/>
          <w:snapToGrid/>
          <w:spacing w:val="6"/>
        </w:rPr>
        <w:t>依然</w:t>
      </w:r>
      <w:r>
        <w:rPr>
          <w:snapToGrid/>
          <w:spacing w:val="6"/>
        </w:rPr>
        <w:t>设有罗姆族语部，但已有一段时间没有广播任何节目。</w:t>
      </w:r>
    </w:p>
    <w:p w:rsidR="00000000" w:rsidRDefault="00844A84">
      <w:pPr>
        <w:ind w:firstLine="510"/>
        <w:rPr>
          <w:rFonts w:hint="eastAsia"/>
          <w:snapToGrid/>
        </w:rPr>
      </w:pPr>
      <w:r>
        <w:rPr>
          <w:rFonts w:hint="eastAsia"/>
          <w:snapToGrid/>
        </w:rPr>
        <w:t xml:space="preserve">444.  </w:t>
      </w:r>
      <w:r>
        <w:rPr>
          <w:rFonts w:hint="eastAsia"/>
          <w:snapToGrid/>
        </w:rPr>
        <w:t>名为“</w:t>
      </w:r>
      <w:r>
        <w:rPr>
          <w:rFonts w:hint="eastAsia"/>
          <w:snapToGrid/>
        </w:rPr>
        <w:t>Caribrod</w:t>
      </w:r>
      <w:r>
        <w:rPr>
          <w:rFonts w:hint="eastAsia"/>
          <w:snapToGrid/>
        </w:rPr>
        <w:t>”的地方电视台播放匈牙利语电视节目，同时每天播送</w:t>
      </w:r>
      <w:r>
        <w:rPr>
          <w:rFonts w:hint="eastAsia"/>
          <w:snapToGrid/>
        </w:rPr>
        <w:t>6</w:t>
      </w:r>
      <w:r>
        <w:rPr>
          <w:rFonts w:hint="eastAsia"/>
          <w:snapToGrid/>
        </w:rPr>
        <w:t>小时的匈牙利语广播节目。</w:t>
      </w:r>
    </w:p>
    <w:p w:rsidR="00000000" w:rsidRDefault="00844A84">
      <w:pPr>
        <w:spacing w:after="320"/>
        <w:ind w:firstLine="510"/>
        <w:rPr>
          <w:rFonts w:hint="eastAsia"/>
          <w:snapToGrid/>
        </w:rPr>
      </w:pPr>
      <w:r>
        <w:rPr>
          <w:rFonts w:hint="eastAsia"/>
          <w:snapToGrid/>
        </w:rPr>
        <w:t xml:space="preserve">445.  </w:t>
      </w:r>
      <w:r>
        <w:rPr>
          <w:rFonts w:hint="eastAsia"/>
          <w:snapToGrid/>
        </w:rPr>
        <w:t>众多的地区和地方广播电台也播送</w:t>
      </w:r>
      <w:r>
        <w:rPr>
          <w:rFonts w:hint="eastAsia"/>
          <w:snapToGrid/>
        </w:rPr>
        <w:t>少数族裔语节目。这些节目使电台的节目编制政策和节目内容与当地人口的族裔结构相符。</w:t>
      </w:r>
    </w:p>
    <w:p w:rsidR="00000000" w:rsidRDefault="00844A84">
      <w:pPr>
        <w:pStyle w:val="Heading3"/>
        <w:rPr>
          <w:rFonts w:hint="eastAsia"/>
        </w:rPr>
      </w:pPr>
      <w:r>
        <w:rPr>
          <w:rFonts w:hint="eastAsia"/>
          <w:u w:val="none"/>
        </w:rPr>
        <w:t xml:space="preserve">C.  </w:t>
      </w:r>
      <w:r>
        <w:rPr>
          <w:rFonts w:hint="eastAsia"/>
        </w:rPr>
        <w:t>科学研究和创造性活动</w:t>
      </w:r>
    </w:p>
    <w:p w:rsidR="00000000" w:rsidRDefault="00844A84">
      <w:pPr>
        <w:ind w:firstLine="510"/>
        <w:rPr>
          <w:rFonts w:hint="eastAsia"/>
          <w:snapToGrid/>
        </w:rPr>
      </w:pPr>
      <w:r>
        <w:rPr>
          <w:rFonts w:hint="eastAsia"/>
          <w:snapToGrid/>
        </w:rPr>
        <w:t xml:space="preserve">446.  </w:t>
      </w:r>
      <w:r>
        <w:rPr>
          <w:rFonts w:hint="eastAsia"/>
          <w:snapToGrid/>
        </w:rPr>
        <w:t>按照《塞尔维亚共和国科学研究活动法》</w:t>
      </w:r>
      <w:r>
        <w:rPr>
          <w:rFonts w:hint="eastAsia"/>
          <w:snapToGrid/>
        </w:rPr>
        <w:t>(</w:t>
      </w:r>
      <w:r>
        <w:rPr>
          <w:rFonts w:hint="eastAsia"/>
          <w:snapToGrid/>
        </w:rPr>
        <w:t>《塞尔维亚共和国政府公报》第</w:t>
      </w:r>
      <w:r>
        <w:rPr>
          <w:snapToGrid/>
        </w:rPr>
        <w:t>52/93</w:t>
      </w:r>
      <w:r>
        <w:rPr>
          <w:snapToGrid/>
        </w:rPr>
        <w:t>号</w:t>
      </w:r>
      <w:r>
        <w:rPr>
          <w:snapToGrid/>
        </w:rPr>
        <w:t>)</w:t>
      </w:r>
      <w:r>
        <w:rPr>
          <w:snapToGrid/>
        </w:rPr>
        <w:t>的规定，塞尔维亚共和国政府于</w:t>
      </w:r>
      <w:r>
        <w:rPr>
          <w:snapToGrid/>
        </w:rPr>
        <w:t>1994</w:t>
      </w:r>
      <w:r>
        <w:rPr>
          <w:snapToGrid/>
        </w:rPr>
        <w:t>年通过了</w:t>
      </w:r>
      <w:r>
        <w:rPr>
          <w:rFonts w:hint="eastAsia"/>
          <w:snapToGrid/>
        </w:rPr>
        <w:t>《</w:t>
      </w:r>
      <w:r>
        <w:rPr>
          <w:snapToGrid/>
        </w:rPr>
        <w:t>塞尔维亚共和国科学和技术发展政策》</w:t>
      </w:r>
      <w:r>
        <w:rPr>
          <w:snapToGrid/>
        </w:rPr>
        <w:t>(</w:t>
      </w:r>
      <w:r>
        <w:rPr>
          <w:snapToGrid/>
        </w:rPr>
        <w:t>《塞尔维亚共和国政府公报》，第</w:t>
      </w:r>
      <w:r>
        <w:rPr>
          <w:snapToGrid/>
        </w:rPr>
        <w:t>17/94</w:t>
      </w:r>
      <w:r>
        <w:rPr>
          <w:snapToGrid/>
        </w:rPr>
        <w:t>号</w:t>
      </w:r>
      <w:r>
        <w:rPr>
          <w:snapToGrid/>
        </w:rPr>
        <w:t>)</w:t>
      </w:r>
      <w:r>
        <w:rPr>
          <w:snapToGrid/>
        </w:rPr>
        <w:t>。</w:t>
      </w:r>
    </w:p>
    <w:p w:rsidR="00000000" w:rsidRDefault="00844A84">
      <w:pPr>
        <w:ind w:firstLine="510"/>
        <w:rPr>
          <w:rFonts w:hint="eastAsia"/>
          <w:snapToGrid/>
        </w:rPr>
      </w:pPr>
      <w:r>
        <w:rPr>
          <w:rFonts w:hint="eastAsia"/>
          <w:snapToGrid/>
        </w:rPr>
        <w:t xml:space="preserve">447.  </w:t>
      </w:r>
      <w:r>
        <w:rPr>
          <w:rFonts w:hint="eastAsia"/>
          <w:snapToGrid/>
        </w:rPr>
        <w:t>这项发展政策的重点，首先是利用国内现有和新获得的专门知识开展研究工作，并更快地转让和传播世界科学的发展状况。在这方面已确定了这项政策的以下主要目标：加速发展科学、技术</w:t>
      </w:r>
      <w:r>
        <w:rPr>
          <w:rFonts w:hint="eastAsia"/>
          <w:snapToGrid/>
        </w:rPr>
        <w:t>和教育，促进经济增长；保持现有的各种科学机会，启用青年研究人员，吸收来自若干方面的投资，使投资的增长率持续高于国内生产总值的</w:t>
      </w:r>
      <w:r>
        <w:rPr>
          <w:snapToGrid/>
        </w:rPr>
        <w:t>20%</w:t>
      </w:r>
      <w:r>
        <w:rPr>
          <w:snapToGrid/>
        </w:rPr>
        <w:t>；开展</w:t>
      </w:r>
      <w:r>
        <w:rPr>
          <w:rFonts w:hint="eastAsia"/>
          <w:snapToGrid/>
        </w:rPr>
        <w:t>多边</w:t>
      </w:r>
      <w:r>
        <w:rPr>
          <w:snapToGrid/>
        </w:rPr>
        <w:t>和双边国际科学和技术合作，作为加速融入国际</w:t>
      </w:r>
      <w:r>
        <w:rPr>
          <w:rFonts w:hint="eastAsia"/>
          <w:snapToGrid/>
        </w:rPr>
        <w:t>进程</w:t>
      </w:r>
      <w:r>
        <w:rPr>
          <w:snapToGrid/>
        </w:rPr>
        <w:t>的关键因素；对关键</w:t>
      </w:r>
      <w:r>
        <w:rPr>
          <w:rFonts w:hint="eastAsia"/>
          <w:snapToGrid/>
        </w:rPr>
        <w:t>的</w:t>
      </w:r>
      <w:r>
        <w:rPr>
          <w:snapToGrid/>
        </w:rPr>
        <w:t>应用和发展研究开展多学科</w:t>
      </w:r>
      <w:r>
        <w:rPr>
          <w:rFonts w:hint="eastAsia"/>
          <w:snapToGrid/>
        </w:rPr>
        <w:t>、</w:t>
      </w:r>
      <w:r>
        <w:rPr>
          <w:snapToGrid/>
        </w:rPr>
        <w:t>以项目为依据</w:t>
      </w:r>
      <w:r>
        <w:rPr>
          <w:rFonts w:hint="eastAsia"/>
          <w:snapToGrid/>
        </w:rPr>
        <w:t>并注重</w:t>
      </w:r>
      <w:r>
        <w:rPr>
          <w:snapToGrid/>
        </w:rPr>
        <w:t>复杂项目</w:t>
      </w:r>
      <w:r>
        <w:rPr>
          <w:rFonts w:hint="eastAsia"/>
          <w:snapToGrid/>
        </w:rPr>
        <w:t>的</w:t>
      </w:r>
      <w:r>
        <w:rPr>
          <w:snapToGrid/>
        </w:rPr>
        <w:t>协调和管理；勘探</w:t>
      </w:r>
      <w:r>
        <w:rPr>
          <w:rFonts w:hint="eastAsia"/>
          <w:snapToGrid/>
        </w:rPr>
        <w:t>并</w:t>
      </w:r>
      <w:r>
        <w:rPr>
          <w:snapToGrid/>
        </w:rPr>
        <w:t>合理利用本国自然资源；提供科学依据，</w:t>
      </w:r>
      <w:r>
        <w:rPr>
          <w:rFonts w:hint="eastAsia"/>
          <w:snapToGrid/>
        </w:rPr>
        <w:t>用以</w:t>
      </w:r>
      <w:r>
        <w:rPr>
          <w:snapToGrid/>
        </w:rPr>
        <w:t>了解过去并指导今后的经济、法律、政治、人口和其他社会变革；进一步认识</w:t>
      </w:r>
      <w:r>
        <w:rPr>
          <w:rFonts w:hint="eastAsia"/>
          <w:snapToGrid/>
        </w:rPr>
        <w:t>到</w:t>
      </w:r>
      <w:r>
        <w:rPr>
          <w:snapToGrid/>
        </w:rPr>
        <w:t>必须在科学成果、新技术、</w:t>
      </w:r>
      <w:r>
        <w:rPr>
          <w:rFonts w:hint="eastAsia"/>
          <w:snapToGrid/>
        </w:rPr>
        <w:t>新</w:t>
      </w:r>
      <w:r>
        <w:rPr>
          <w:snapToGrid/>
        </w:rPr>
        <w:t>产品和一切形式的创造性活动中</w:t>
      </w:r>
      <w:r>
        <w:rPr>
          <w:rFonts w:hint="eastAsia"/>
          <w:snapToGrid/>
        </w:rPr>
        <w:t>确定</w:t>
      </w:r>
      <w:r>
        <w:rPr>
          <w:snapToGrid/>
        </w:rPr>
        <w:t>高质量和高道德规范</w:t>
      </w:r>
      <w:r>
        <w:rPr>
          <w:rFonts w:hint="eastAsia"/>
          <w:snapToGrid/>
        </w:rPr>
        <w:t>及有利于</w:t>
      </w:r>
      <w:r>
        <w:rPr>
          <w:snapToGrid/>
        </w:rPr>
        <w:t>环境</w:t>
      </w:r>
      <w:r>
        <w:rPr>
          <w:rFonts w:hint="eastAsia"/>
          <w:snapToGrid/>
        </w:rPr>
        <w:t>的</w:t>
      </w:r>
      <w:r>
        <w:rPr>
          <w:snapToGrid/>
        </w:rPr>
        <w:t>标准</w:t>
      </w:r>
      <w:r>
        <w:rPr>
          <w:rFonts w:hint="eastAsia"/>
          <w:snapToGrid/>
        </w:rPr>
        <w:t>；</w:t>
      </w:r>
      <w:r>
        <w:rPr>
          <w:snapToGrid/>
        </w:rPr>
        <w:t>建立一种</w:t>
      </w:r>
      <w:r>
        <w:rPr>
          <w:rFonts w:hint="eastAsia"/>
          <w:snapToGrid/>
        </w:rPr>
        <w:t>面向革新的</w:t>
      </w:r>
      <w:r>
        <w:rPr>
          <w:snapToGrid/>
        </w:rPr>
        <w:t>社会，并消</w:t>
      </w:r>
      <w:r>
        <w:rPr>
          <w:snapToGrid/>
        </w:rPr>
        <w:t>除各领域和各学科间发展不平衡的现象。</w:t>
      </w:r>
    </w:p>
    <w:p w:rsidR="00000000" w:rsidRDefault="00844A84">
      <w:pPr>
        <w:ind w:firstLine="510"/>
        <w:rPr>
          <w:rFonts w:hint="eastAsia"/>
          <w:snapToGrid/>
        </w:rPr>
      </w:pPr>
      <w:r>
        <w:rPr>
          <w:rFonts w:hint="eastAsia"/>
          <w:snapToGrid/>
        </w:rPr>
        <w:t xml:space="preserve">448.  </w:t>
      </w:r>
      <w:r>
        <w:rPr>
          <w:rFonts w:hint="eastAsia"/>
          <w:snapToGrid/>
        </w:rPr>
        <w:t>科学和技术发展政策包括：国际技术合作方案，这些方案的实施将创造有利条件，促进艺术和科学团体、科学研究所、大学、企业界、组织或个人进行国际合作；根据南斯拉夫联盟共和国的利益，确认与哪些国家进行科学和技术合作，重点开展有关执行国家战略方案的国际合作；推广在每个合作领域内进行国际合作研究的成果和其他成果。</w:t>
      </w:r>
    </w:p>
    <w:p w:rsidR="00000000" w:rsidRDefault="00844A84">
      <w:pPr>
        <w:spacing w:after="320"/>
        <w:ind w:firstLine="510"/>
        <w:rPr>
          <w:rFonts w:hint="eastAsia"/>
          <w:snapToGrid/>
        </w:rPr>
      </w:pPr>
      <w:r>
        <w:rPr>
          <w:rFonts w:hint="eastAsia"/>
          <w:snapToGrid/>
        </w:rPr>
        <w:t xml:space="preserve">449.  </w:t>
      </w:r>
      <w:r>
        <w:rPr>
          <w:rFonts w:hint="eastAsia"/>
          <w:snapToGrid/>
        </w:rPr>
        <w:t>在这一框架内已确定与以下各组织的优先合作事项：与联合国系统包括开发计划署、环境规划署、教科文组织、工发组织、贸发会议、欧洲经委会以及粮农组织</w:t>
      </w:r>
      <w:r>
        <w:rPr>
          <w:rFonts w:hint="eastAsia"/>
          <w:snapToGrid/>
        </w:rPr>
        <w:t>/</w:t>
      </w:r>
      <w:r>
        <w:rPr>
          <w:rFonts w:hint="eastAsia"/>
          <w:snapToGrid/>
        </w:rPr>
        <w:t>卫生组</w:t>
      </w:r>
      <w:r>
        <w:rPr>
          <w:rFonts w:hint="eastAsia"/>
          <w:snapToGrid/>
        </w:rPr>
        <w:t>织合作；与各国际组织如世界度量衡局、国际标准化组织</w:t>
      </w:r>
      <w:r>
        <w:rPr>
          <w:rFonts w:hint="eastAsia"/>
          <w:snapToGrid/>
        </w:rPr>
        <w:t>(</w:t>
      </w:r>
      <w:r>
        <w:rPr>
          <w:rFonts w:hint="eastAsia"/>
          <w:snapToGrid/>
        </w:rPr>
        <w:t>标准化组织</w:t>
      </w:r>
      <w:r>
        <w:rPr>
          <w:rFonts w:hint="eastAsia"/>
          <w:snapToGrid/>
        </w:rPr>
        <w:t>)</w:t>
      </w:r>
      <w:r>
        <w:rPr>
          <w:rFonts w:hint="eastAsia"/>
          <w:snapToGrid/>
        </w:rPr>
        <w:t>、国际电机工程委员会合作；与各区域组织合作；在欧洲共同体委员会框架社区方案、经合发组织、欧洲联盟“法尔方案”内部进行合作；与国家银行各双边伙伴合作。</w:t>
      </w:r>
    </w:p>
    <w:p w:rsidR="00000000" w:rsidRDefault="00844A84">
      <w:pPr>
        <w:pStyle w:val="Heading2"/>
        <w:spacing w:line="336" w:lineRule="auto"/>
        <w:rPr>
          <w:rFonts w:hint="eastAsia"/>
          <w:bCs/>
          <w:kern w:val="0"/>
        </w:rPr>
      </w:pPr>
      <w:r>
        <w:rPr>
          <w:rFonts w:hint="eastAsia"/>
          <w:kern w:val="0"/>
        </w:rPr>
        <w:t>第</w:t>
      </w:r>
      <w:r>
        <w:rPr>
          <w:kern w:val="0"/>
        </w:rPr>
        <w:t xml:space="preserve"> </w:t>
      </w:r>
      <w:r>
        <w:rPr>
          <w:rFonts w:hint="eastAsia"/>
          <w:kern w:val="0"/>
        </w:rPr>
        <w:t>二</w:t>
      </w:r>
      <w:r>
        <w:rPr>
          <w:kern w:val="0"/>
        </w:rPr>
        <w:t xml:space="preserve"> </w:t>
      </w:r>
      <w:r>
        <w:rPr>
          <w:rFonts w:hint="eastAsia"/>
          <w:kern w:val="0"/>
        </w:rPr>
        <w:t>部</w:t>
      </w:r>
      <w:r>
        <w:rPr>
          <w:kern w:val="0"/>
        </w:rPr>
        <w:t xml:space="preserve"> </w:t>
      </w:r>
      <w:r>
        <w:rPr>
          <w:rFonts w:hint="eastAsia"/>
          <w:kern w:val="0"/>
        </w:rPr>
        <w:t>分</w:t>
      </w:r>
    </w:p>
    <w:p w:rsidR="00000000" w:rsidRDefault="00844A84">
      <w:pPr>
        <w:pStyle w:val="Heading2"/>
        <w:rPr>
          <w:rFonts w:hint="eastAsia"/>
          <w:kern w:val="0"/>
        </w:rPr>
      </w:pPr>
      <w:r>
        <w:rPr>
          <w:rFonts w:hint="eastAsia"/>
          <w:kern w:val="0"/>
        </w:rPr>
        <w:t>黑山共和国关于</w:t>
      </w:r>
      <w:r>
        <w:rPr>
          <w:kern w:val="0"/>
        </w:rPr>
        <w:t>1990</w:t>
      </w:r>
      <w:r>
        <w:rPr>
          <w:rFonts w:hint="eastAsia"/>
          <w:kern w:val="0"/>
        </w:rPr>
        <w:t>-</w:t>
      </w:r>
      <w:r>
        <w:rPr>
          <w:kern w:val="0"/>
        </w:rPr>
        <w:t>2002</w:t>
      </w:r>
      <w:r>
        <w:rPr>
          <w:rFonts w:hint="eastAsia"/>
          <w:kern w:val="0"/>
        </w:rPr>
        <w:t>年期间</w:t>
      </w:r>
      <w:r>
        <w:rPr>
          <w:kern w:val="0"/>
        </w:rPr>
        <w:br/>
      </w:r>
      <w:r>
        <w:rPr>
          <w:rFonts w:hint="eastAsia"/>
          <w:kern w:val="0"/>
        </w:rPr>
        <w:t>《经济、社会、文化权利国际公约》</w:t>
      </w:r>
      <w:r>
        <w:rPr>
          <w:kern w:val="0"/>
        </w:rPr>
        <w:br/>
      </w:r>
      <w:r>
        <w:rPr>
          <w:rFonts w:hint="eastAsia"/>
          <w:kern w:val="0"/>
        </w:rPr>
        <w:t>执行情况的报告</w:t>
      </w:r>
    </w:p>
    <w:p w:rsidR="00000000" w:rsidRDefault="00844A84">
      <w:pPr>
        <w:pStyle w:val="Heading3"/>
        <w:rPr>
          <w:rFonts w:hint="eastAsia"/>
        </w:rPr>
      </w:pPr>
      <w:r>
        <w:rPr>
          <w:rFonts w:hint="eastAsia"/>
        </w:rPr>
        <w:t>第</w:t>
      </w:r>
      <w:r>
        <w:rPr>
          <w:rFonts w:hint="eastAsia"/>
        </w:rPr>
        <w:t xml:space="preserve"> </w:t>
      </w:r>
      <w:r>
        <w:rPr>
          <w:rFonts w:hint="eastAsia"/>
        </w:rPr>
        <w:t>一</w:t>
      </w:r>
      <w:r>
        <w:rPr>
          <w:rFonts w:hint="eastAsia"/>
        </w:rPr>
        <w:t xml:space="preserve"> </w:t>
      </w:r>
      <w:r>
        <w:rPr>
          <w:rFonts w:hint="eastAsia"/>
        </w:rPr>
        <w:t>条</w:t>
      </w:r>
    </w:p>
    <w:p w:rsidR="00000000" w:rsidRDefault="00844A84">
      <w:pPr>
        <w:pStyle w:val="Heading4"/>
        <w:rPr>
          <w:rFonts w:hint="eastAsia"/>
        </w:rPr>
      </w:pPr>
      <w:r>
        <w:rPr>
          <w:rFonts w:hint="eastAsia"/>
        </w:rPr>
        <w:t>第</w:t>
      </w:r>
      <w:r>
        <w:rPr>
          <w:rFonts w:hint="eastAsia"/>
        </w:rPr>
        <w:t xml:space="preserve"> 1 </w:t>
      </w:r>
      <w:r>
        <w:rPr>
          <w:rFonts w:hint="eastAsia"/>
        </w:rPr>
        <w:t>款</w:t>
      </w:r>
    </w:p>
    <w:p w:rsidR="00000000" w:rsidRDefault="00844A84">
      <w:pPr>
        <w:ind w:firstLine="510"/>
        <w:rPr>
          <w:rFonts w:hint="eastAsia"/>
          <w:bCs/>
          <w:snapToGrid/>
        </w:rPr>
      </w:pPr>
      <w:r>
        <w:rPr>
          <w:rFonts w:hint="eastAsia"/>
          <w:bCs/>
          <w:snapToGrid/>
        </w:rPr>
        <w:t xml:space="preserve">450.  </w:t>
      </w:r>
      <w:r>
        <w:rPr>
          <w:rFonts w:hint="eastAsia"/>
          <w:bCs/>
          <w:snapToGrid/>
        </w:rPr>
        <w:t>黑山共和国是民主国家，是注重社会和重视生态的国家。黑山是塞尔维亚和黑山共同国家的成员共和国。</w:t>
      </w:r>
    </w:p>
    <w:p w:rsidR="00000000" w:rsidRDefault="00844A84">
      <w:pPr>
        <w:ind w:firstLine="510"/>
        <w:rPr>
          <w:rFonts w:hint="eastAsia"/>
          <w:bCs/>
          <w:snapToGrid/>
        </w:rPr>
      </w:pPr>
      <w:r>
        <w:rPr>
          <w:bCs/>
          <w:snapToGrid/>
        </w:rPr>
        <w:t>451.</w:t>
      </w:r>
      <w:r>
        <w:rPr>
          <w:rFonts w:hint="eastAsia"/>
          <w:bCs/>
          <w:snapToGrid/>
        </w:rPr>
        <w:t xml:space="preserve">  </w:t>
      </w:r>
      <w:r>
        <w:rPr>
          <w:rFonts w:hint="eastAsia"/>
          <w:bCs/>
          <w:snapToGrid/>
        </w:rPr>
        <w:t>黑山在塞尔维亚和黑山共同国家管辖范围未规定的职能方</w:t>
      </w:r>
      <w:r>
        <w:rPr>
          <w:rFonts w:hint="eastAsia"/>
          <w:bCs/>
          <w:snapToGrid/>
        </w:rPr>
        <w:t>面享有主权。主权属于黑山公民。公民可直接或通过民选代表行使权利。黑山公民可自由地对本国政治地位、国家宪法及政治、经济和文化发展作出决定。《黑山宪法》保障可自由决定有关我国前途的各种最重要问题。</w:t>
      </w:r>
    </w:p>
    <w:p w:rsidR="00000000" w:rsidRDefault="00844A84">
      <w:pPr>
        <w:ind w:firstLine="510"/>
        <w:rPr>
          <w:rFonts w:hint="eastAsia"/>
          <w:bCs/>
          <w:snapToGrid/>
        </w:rPr>
      </w:pPr>
      <w:r>
        <w:rPr>
          <w:rFonts w:hint="eastAsia"/>
          <w:bCs/>
          <w:snapToGrid/>
        </w:rPr>
        <w:t xml:space="preserve">452.  </w:t>
      </w:r>
      <w:r>
        <w:rPr>
          <w:rFonts w:hint="eastAsia"/>
          <w:bCs/>
          <w:snapToGrid/>
        </w:rPr>
        <w:t>《黑山宪法》</w:t>
      </w:r>
      <w:r>
        <w:rPr>
          <w:rFonts w:hint="eastAsia"/>
          <w:bCs/>
          <w:snapToGrid/>
        </w:rPr>
        <w:t>(</w:t>
      </w:r>
      <w:r>
        <w:rPr>
          <w:rFonts w:hint="eastAsia"/>
          <w:bCs/>
          <w:snapToGrid/>
        </w:rPr>
        <w:t>第</w:t>
      </w:r>
      <w:r>
        <w:rPr>
          <w:rFonts w:hint="eastAsia"/>
          <w:bCs/>
          <w:snapToGrid/>
        </w:rPr>
        <w:t>2</w:t>
      </w:r>
      <w:r>
        <w:rPr>
          <w:rFonts w:hint="eastAsia"/>
          <w:bCs/>
          <w:snapToGrid/>
        </w:rPr>
        <w:t>条第</w:t>
      </w:r>
      <w:r>
        <w:rPr>
          <w:rFonts w:hint="eastAsia"/>
          <w:bCs/>
          <w:snapToGrid/>
        </w:rPr>
        <w:t>5</w:t>
      </w:r>
      <w:r>
        <w:rPr>
          <w:rFonts w:hint="eastAsia"/>
          <w:bCs/>
          <w:snapToGrid/>
        </w:rPr>
        <w:t>款</w:t>
      </w:r>
      <w:r>
        <w:rPr>
          <w:rFonts w:hint="eastAsia"/>
          <w:bCs/>
          <w:snapToGrid/>
        </w:rPr>
        <w:t>)</w:t>
      </w:r>
      <w:r>
        <w:rPr>
          <w:rFonts w:hint="eastAsia"/>
          <w:bCs/>
          <w:snapToGrid/>
        </w:rPr>
        <w:t>规定，只有公民通过全民投票才能决定有关宪法地位、政府和边界等任何变革。</w:t>
      </w:r>
      <w:r>
        <w:rPr>
          <w:rFonts w:hint="eastAsia"/>
          <w:bCs/>
          <w:snapToGrid/>
        </w:rPr>
        <w:t>2001</w:t>
      </w:r>
      <w:r>
        <w:rPr>
          <w:rFonts w:hint="eastAsia"/>
          <w:bCs/>
          <w:snapToGrid/>
        </w:rPr>
        <w:t>年</w:t>
      </w:r>
      <w:r>
        <w:rPr>
          <w:rFonts w:hint="eastAsia"/>
          <w:bCs/>
          <w:snapToGrid/>
        </w:rPr>
        <w:t>2</w:t>
      </w:r>
      <w:r>
        <w:rPr>
          <w:rFonts w:hint="eastAsia"/>
          <w:bCs/>
          <w:snapToGrid/>
        </w:rPr>
        <w:t>月通过的《黑山共和国全民投票法》载有这些宪法条款。《全民投票法》是与民主机构和人权办事处派出的欧安组织专家合作起草的。这些专家提出了各种建议，确保该项法律符合国际标准，因此这些国际标准多数已载入该</w:t>
      </w:r>
      <w:r>
        <w:rPr>
          <w:rFonts w:hint="eastAsia"/>
          <w:bCs/>
          <w:snapToGrid/>
        </w:rPr>
        <w:t>项法律。</w:t>
      </w:r>
    </w:p>
    <w:p w:rsidR="00000000" w:rsidRDefault="00844A84">
      <w:pPr>
        <w:ind w:firstLine="510"/>
        <w:rPr>
          <w:rFonts w:hint="eastAsia"/>
          <w:bCs/>
          <w:snapToGrid/>
        </w:rPr>
      </w:pPr>
      <w:r>
        <w:rPr>
          <w:bCs/>
          <w:snapToGrid/>
        </w:rPr>
        <w:t>453.</w:t>
      </w:r>
      <w:r>
        <w:rPr>
          <w:rFonts w:hint="eastAsia"/>
          <w:bCs/>
          <w:snapToGrid/>
        </w:rPr>
        <w:t xml:space="preserve">  </w:t>
      </w:r>
      <w:r>
        <w:rPr>
          <w:rFonts w:hint="eastAsia"/>
          <w:bCs/>
          <w:snapToGrid/>
        </w:rPr>
        <w:t>《全民投票法》依然是黑山议会和各政党政治领导人之间激烈政治辩论的议题，因为预定将以符合这项法律的方式就黑山的独立问题进行全民投票。这场辩论的焦点是两个关键问题：</w:t>
      </w:r>
      <w:r>
        <w:rPr>
          <w:bCs/>
          <w:snapToGrid/>
        </w:rPr>
        <w:t>(</w:t>
      </w:r>
      <w:r>
        <w:rPr>
          <w:rFonts w:hint="eastAsia"/>
          <w:bCs/>
          <w:snapToGrid/>
        </w:rPr>
        <w:t xml:space="preserve">a) </w:t>
      </w:r>
      <w:r>
        <w:rPr>
          <w:rFonts w:hint="eastAsia"/>
          <w:bCs/>
          <w:snapToGrid/>
        </w:rPr>
        <w:t>是否必须取得特定多数票，全民投票才算有效？</w:t>
      </w:r>
      <w:r>
        <w:rPr>
          <w:rFonts w:hint="eastAsia"/>
          <w:bCs/>
          <w:snapToGrid/>
          <w:spacing w:val="-50"/>
        </w:rPr>
        <w:t>―</w:t>
      </w:r>
      <w:r>
        <w:rPr>
          <w:rFonts w:hint="eastAsia"/>
          <w:bCs/>
          <w:snapToGrid/>
        </w:rPr>
        <w:t>―</w:t>
      </w:r>
      <w:r>
        <w:rPr>
          <w:bCs/>
          <w:snapToGrid/>
        </w:rPr>
        <w:t>2001</w:t>
      </w:r>
      <w:r>
        <w:rPr>
          <w:bCs/>
          <w:snapToGrid/>
        </w:rPr>
        <w:t>年</w:t>
      </w:r>
      <w:r>
        <w:rPr>
          <w:bCs/>
          <w:snapToGrid/>
        </w:rPr>
        <w:t>2</w:t>
      </w:r>
      <w:r>
        <w:rPr>
          <w:bCs/>
          <w:snapToGrid/>
        </w:rPr>
        <w:t>月的法律规定，登记</w:t>
      </w:r>
      <w:r>
        <w:rPr>
          <w:rFonts w:hint="eastAsia"/>
          <w:bCs/>
          <w:snapToGrid/>
        </w:rPr>
        <w:t>的</w:t>
      </w:r>
      <w:r>
        <w:rPr>
          <w:bCs/>
          <w:snapToGrid/>
        </w:rPr>
        <w:t>选民</w:t>
      </w:r>
      <w:r>
        <w:rPr>
          <w:rFonts w:hint="eastAsia"/>
          <w:bCs/>
          <w:snapToGrid/>
        </w:rPr>
        <w:t>必须有超过</w:t>
      </w:r>
      <w:r>
        <w:rPr>
          <w:bCs/>
          <w:snapToGrid/>
        </w:rPr>
        <w:t>50%</w:t>
      </w:r>
      <w:r>
        <w:rPr>
          <w:rFonts w:hint="eastAsia"/>
          <w:bCs/>
          <w:snapToGrid/>
        </w:rPr>
        <w:t>的人</w:t>
      </w:r>
      <w:r>
        <w:rPr>
          <w:bCs/>
          <w:snapToGrid/>
        </w:rPr>
        <w:t>投票</w:t>
      </w:r>
      <w:r>
        <w:rPr>
          <w:rFonts w:hint="eastAsia"/>
          <w:bCs/>
          <w:snapToGrid/>
        </w:rPr>
        <w:t>，而</w:t>
      </w:r>
      <w:r>
        <w:rPr>
          <w:bCs/>
          <w:snapToGrid/>
        </w:rPr>
        <w:t>投票</w:t>
      </w:r>
      <w:r>
        <w:rPr>
          <w:rFonts w:hint="eastAsia"/>
          <w:bCs/>
          <w:snapToGrid/>
        </w:rPr>
        <w:t>的</w:t>
      </w:r>
      <w:r>
        <w:rPr>
          <w:bCs/>
          <w:snapToGrid/>
        </w:rPr>
        <w:t>选民</w:t>
      </w:r>
      <w:r>
        <w:rPr>
          <w:rFonts w:hint="eastAsia"/>
          <w:bCs/>
          <w:snapToGrid/>
        </w:rPr>
        <w:t>中又有</w:t>
      </w:r>
      <w:r>
        <w:rPr>
          <w:bCs/>
          <w:snapToGrid/>
        </w:rPr>
        <w:t>超过一半以上</w:t>
      </w:r>
      <w:r>
        <w:rPr>
          <w:rFonts w:hint="eastAsia"/>
          <w:bCs/>
          <w:snapToGrid/>
        </w:rPr>
        <w:t>的人赞成某项选择</w:t>
      </w:r>
      <w:r>
        <w:rPr>
          <w:bCs/>
          <w:snapToGrid/>
        </w:rPr>
        <w:t>，</w:t>
      </w:r>
      <w:r>
        <w:rPr>
          <w:rFonts w:hint="eastAsia"/>
          <w:bCs/>
          <w:snapToGrid/>
        </w:rPr>
        <w:t>才可宣布公民投票有效；</w:t>
      </w:r>
      <w:r>
        <w:rPr>
          <w:bCs/>
          <w:snapToGrid/>
        </w:rPr>
        <w:t>(</w:t>
      </w:r>
      <w:r>
        <w:rPr>
          <w:rFonts w:hint="eastAsia"/>
          <w:bCs/>
          <w:snapToGrid/>
        </w:rPr>
        <w:t>b)</w:t>
      </w:r>
      <w:r>
        <w:rPr>
          <w:bCs/>
          <w:snapToGrid/>
        </w:rPr>
        <w:t xml:space="preserve"> </w:t>
      </w:r>
      <w:r>
        <w:rPr>
          <w:rFonts w:hint="eastAsia"/>
          <w:bCs/>
          <w:snapToGrid/>
        </w:rPr>
        <w:t>谁有投票权？</w:t>
      </w:r>
      <w:r>
        <w:rPr>
          <w:rFonts w:hint="eastAsia"/>
          <w:bCs/>
          <w:snapToGrid/>
          <w:spacing w:val="-50"/>
        </w:rPr>
        <w:t>―</w:t>
      </w:r>
      <w:r>
        <w:rPr>
          <w:rFonts w:hint="eastAsia"/>
          <w:bCs/>
          <w:snapToGrid/>
        </w:rPr>
        <w:t>―不在黑山境内居住、因此不符合投票者居住要求的公民是否有权投票？</w:t>
      </w:r>
    </w:p>
    <w:p w:rsidR="00000000" w:rsidRDefault="00844A84">
      <w:pPr>
        <w:ind w:firstLine="510"/>
        <w:rPr>
          <w:rFonts w:hint="eastAsia"/>
          <w:bCs/>
          <w:snapToGrid/>
        </w:rPr>
      </w:pPr>
      <w:r>
        <w:rPr>
          <w:bCs/>
          <w:snapToGrid/>
        </w:rPr>
        <w:t>454.</w:t>
      </w:r>
      <w:r>
        <w:rPr>
          <w:rFonts w:hint="eastAsia"/>
          <w:bCs/>
          <w:snapToGrid/>
        </w:rPr>
        <w:t xml:space="preserve">  </w:t>
      </w:r>
      <w:r>
        <w:rPr>
          <w:rFonts w:hint="eastAsia"/>
          <w:bCs/>
          <w:snapToGrid/>
        </w:rPr>
        <w:t>这些辩论导致倡议修订</w:t>
      </w:r>
      <w:r>
        <w:rPr>
          <w:rFonts w:hint="eastAsia"/>
          <w:bCs/>
          <w:snapToGrid/>
        </w:rPr>
        <w:t>2001</w:t>
      </w:r>
      <w:r>
        <w:rPr>
          <w:rFonts w:hint="eastAsia"/>
          <w:bCs/>
          <w:snapToGrid/>
        </w:rPr>
        <w:t>年</w:t>
      </w:r>
      <w:r>
        <w:rPr>
          <w:rFonts w:hint="eastAsia"/>
          <w:bCs/>
          <w:snapToGrid/>
        </w:rPr>
        <w:t>2</w:t>
      </w:r>
      <w:r>
        <w:rPr>
          <w:rFonts w:hint="eastAsia"/>
          <w:bCs/>
          <w:snapToGrid/>
        </w:rPr>
        <w:t>月的《全民投</w:t>
      </w:r>
      <w:r>
        <w:rPr>
          <w:rFonts w:hint="eastAsia"/>
          <w:bCs/>
          <w:snapToGrid/>
        </w:rPr>
        <w:t>票法》。一方面，有人建议完全取消特定多数的要求</w:t>
      </w:r>
      <w:r>
        <w:rPr>
          <w:rFonts w:hint="eastAsia"/>
          <w:bCs/>
          <w:snapToGrid/>
        </w:rPr>
        <w:t>(</w:t>
      </w:r>
      <w:r>
        <w:rPr>
          <w:rFonts w:hint="eastAsia"/>
          <w:bCs/>
          <w:snapToGrid/>
        </w:rPr>
        <w:t>提出这一建议的是强烈倾向独立的反对党“自由党”</w:t>
      </w:r>
      <w:r>
        <w:rPr>
          <w:rFonts w:hint="eastAsia"/>
          <w:bCs/>
          <w:snapToGrid/>
        </w:rPr>
        <w:t>)</w:t>
      </w:r>
      <w:r>
        <w:rPr>
          <w:rFonts w:hint="eastAsia"/>
          <w:bCs/>
          <w:snapToGrid/>
        </w:rPr>
        <w:t>。另一方面，有人坚持需要有更高的投票差额</w:t>
      </w:r>
      <w:r>
        <w:rPr>
          <w:rFonts w:hint="eastAsia"/>
          <w:bCs/>
          <w:snapToGrid/>
        </w:rPr>
        <w:t>(</w:t>
      </w:r>
      <w:r>
        <w:rPr>
          <w:rFonts w:hint="eastAsia"/>
          <w:bCs/>
          <w:snapToGrid/>
        </w:rPr>
        <w:t>达到所有登记并投票者的</w:t>
      </w:r>
      <w:r>
        <w:rPr>
          <w:bCs/>
          <w:snapToGrid/>
        </w:rPr>
        <w:t>75%</w:t>
      </w:r>
      <w:r>
        <w:rPr>
          <w:rFonts w:hint="eastAsia"/>
          <w:bCs/>
          <w:snapToGrid/>
        </w:rPr>
        <w:t>，或达到所有登记者的</w:t>
      </w:r>
      <w:r>
        <w:rPr>
          <w:rFonts w:hint="eastAsia"/>
          <w:bCs/>
          <w:snapToGrid/>
        </w:rPr>
        <w:t>50%)</w:t>
      </w:r>
      <w:r>
        <w:rPr>
          <w:rFonts w:hint="eastAsia"/>
          <w:bCs/>
          <w:snapToGrid/>
        </w:rPr>
        <w:t>，才能宣布全民投票有效</w:t>
      </w:r>
      <w:r>
        <w:rPr>
          <w:rFonts w:hint="eastAsia"/>
          <w:bCs/>
          <w:snapToGrid/>
        </w:rPr>
        <w:t>(</w:t>
      </w:r>
      <w:r>
        <w:rPr>
          <w:rFonts w:hint="eastAsia"/>
          <w:bCs/>
          <w:snapToGrid/>
        </w:rPr>
        <w:t>提出这一建议的是反对就黑山独立问题进行全民投票的各政党名为“恢复南斯拉夫”的反对派联盟</w:t>
      </w:r>
      <w:r>
        <w:rPr>
          <w:rFonts w:hint="eastAsia"/>
          <w:bCs/>
          <w:snapToGrid/>
        </w:rPr>
        <w:t>)</w:t>
      </w:r>
      <w:r>
        <w:rPr>
          <w:rFonts w:hint="eastAsia"/>
          <w:bCs/>
          <w:snapToGrid/>
        </w:rPr>
        <w:t>。欧盟组织专家再次参与工作，并提出了“对进行全民投票法的评价”，建议今后的任何法律都必须规定特定多数</w:t>
      </w:r>
      <w:r>
        <w:rPr>
          <w:rFonts w:hint="eastAsia"/>
          <w:bCs/>
          <w:snapToGrid/>
        </w:rPr>
        <w:t>(</w:t>
      </w:r>
      <w:r>
        <w:rPr>
          <w:rFonts w:hint="eastAsia"/>
          <w:bCs/>
          <w:snapToGrid/>
        </w:rPr>
        <w:t>建议之一是达到所有登记选民的</w:t>
      </w:r>
      <w:r>
        <w:rPr>
          <w:bCs/>
          <w:snapToGrid/>
        </w:rPr>
        <w:t>55%</w:t>
      </w:r>
      <w:r>
        <w:rPr>
          <w:rFonts w:hint="eastAsia"/>
          <w:bCs/>
          <w:snapToGrid/>
        </w:rPr>
        <w:t>)</w:t>
      </w:r>
      <w:r>
        <w:rPr>
          <w:rFonts w:hint="eastAsia"/>
          <w:bCs/>
          <w:snapToGrid/>
        </w:rPr>
        <w:t>，并建议遵守国际标准。未登记为居民的黑山人不得在今后的全民投票中投票</w:t>
      </w:r>
      <w:r>
        <w:rPr>
          <w:rFonts w:hint="eastAsia"/>
          <w:bCs/>
          <w:snapToGrid/>
        </w:rPr>
        <w:t>。议会进行了好几个回合的讨论，决定推迟就通过新的法律一事采取行动，因此在签署了《贝尔格莱德协定》之后，就黑山独立进行全民投票的问题已至少搁置了三年。</w:t>
      </w:r>
    </w:p>
    <w:p w:rsidR="00000000" w:rsidRDefault="00844A84">
      <w:pPr>
        <w:spacing w:after="320"/>
        <w:ind w:firstLine="510"/>
        <w:rPr>
          <w:rFonts w:hint="eastAsia"/>
          <w:bCs/>
          <w:snapToGrid/>
        </w:rPr>
      </w:pPr>
      <w:r>
        <w:rPr>
          <w:bCs/>
          <w:snapToGrid/>
        </w:rPr>
        <w:t>45</w:t>
      </w:r>
      <w:r>
        <w:rPr>
          <w:rFonts w:hint="eastAsia"/>
          <w:bCs/>
          <w:snapToGrid/>
        </w:rPr>
        <w:t xml:space="preserve">5.  </w:t>
      </w:r>
      <w:r>
        <w:rPr>
          <w:rFonts w:hint="eastAsia"/>
          <w:bCs/>
          <w:snapToGrid/>
        </w:rPr>
        <w:t>《黑山共和国宪法》</w:t>
      </w:r>
      <w:r>
        <w:rPr>
          <w:rFonts w:hint="eastAsia"/>
          <w:bCs/>
          <w:snapToGrid/>
        </w:rPr>
        <w:t>(</w:t>
      </w:r>
      <w:r>
        <w:rPr>
          <w:rFonts w:hint="eastAsia"/>
          <w:bCs/>
          <w:snapToGrid/>
        </w:rPr>
        <w:t>第</w:t>
      </w:r>
      <w:r>
        <w:rPr>
          <w:rFonts w:hint="eastAsia"/>
          <w:bCs/>
          <w:snapToGrid/>
        </w:rPr>
        <w:t>5</w:t>
      </w:r>
      <w:r>
        <w:rPr>
          <w:rFonts w:hint="eastAsia"/>
          <w:bCs/>
          <w:snapToGrid/>
        </w:rPr>
        <w:t>条</w:t>
      </w:r>
      <w:r>
        <w:rPr>
          <w:rFonts w:hint="eastAsia"/>
          <w:bCs/>
          <w:snapToGrid/>
        </w:rPr>
        <w:t>)</w:t>
      </w:r>
      <w:r>
        <w:rPr>
          <w:rFonts w:hint="eastAsia"/>
          <w:bCs/>
          <w:snapToGrid/>
        </w:rPr>
        <w:t>规定，应按照将权力分为立法</w:t>
      </w:r>
      <w:r>
        <w:rPr>
          <w:rFonts w:hint="eastAsia"/>
          <w:bCs/>
          <w:snapToGrid/>
        </w:rPr>
        <w:t>(</w:t>
      </w:r>
      <w:r>
        <w:rPr>
          <w:rFonts w:hint="eastAsia"/>
          <w:bCs/>
          <w:snapToGrid/>
        </w:rPr>
        <w:t>由议会执行</w:t>
      </w:r>
      <w:r>
        <w:rPr>
          <w:rFonts w:hint="eastAsia"/>
          <w:bCs/>
          <w:snapToGrid/>
        </w:rPr>
        <w:t>)</w:t>
      </w:r>
      <w:r>
        <w:rPr>
          <w:rFonts w:hint="eastAsia"/>
          <w:bCs/>
          <w:snapToGrid/>
        </w:rPr>
        <w:t>、行政</w:t>
      </w:r>
      <w:r>
        <w:rPr>
          <w:rFonts w:hint="eastAsia"/>
          <w:bCs/>
          <w:snapToGrid/>
        </w:rPr>
        <w:t>(</w:t>
      </w:r>
      <w:r>
        <w:rPr>
          <w:rFonts w:hint="eastAsia"/>
          <w:bCs/>
          <w:snapToGrid/>
        </w:rPr>
        <w:t>由政府执行</w:t>
      </w:r>
      <w:r>
        <w:rPr>
          <w:rFonts w:hint="eastAsia"/>
          <w:bCs/>
          <w:snapToGrid/>
        </w:rPr>
        <w:t>)</w:t>
      </w:r>
      <w:r>
        <w:rPr>
          <w:rFonts w:hint="eastAsia"/>
          <w:bCs/>
          <w:snapToGrid/>
        </w:rPr>
        <w:t>和司法</w:t>
      </w:r>
      <w:r>
        <w:rPr>
          <w:rFonts w:hint="eastAsia"/>
          <w:bCs/>
          <w:snapToGrid/>
        </w:rPr>
        <w:t>(</w:t>
      </w:r>
      <w:r>
        <w:rPr>
          <w:rFonts w:hint="eastAsia"/>
          <w:bCs/>
          <w:snapToGrid/>
        </w:rPr>
        <w:t>由法院执行</w:t>
      </w:r>
      <w:r>
        <w:rPr>
          <w:rFonts w:hint="eastAsia"/>
          <w:bCs/>
          <w:snapToGrid/>
        </w:rPr>
        <w:t>)</w:t>
      </w:r>
      <w:r>
        <w:rPr>
          <w:rFonts w:hint="eastAsia"/>
          <w:bCs/>
          <w:snapToGrid/>
        </w:rPr>
        <w:t>三个领域的原则，组织黑山政府。该条还规定，共和国总统代表黑山，宪法法院保护宪法秩序。</w:t>
      </w:r>
    </w:p>
    <w:p w:rsidR="00000000" w:rsidRDefault="00844A84">
      <w:pPr>
        <w:pStyle w:val="Heading4"/>
        <w:rPr>
          <w:rFonts w:hint="eastAsia"/>
        </w:rPr>
      </w:pPr>
      <w:r>
        <w:rPr>
          <w:rFonts w:hint="eastAsia"/>
        </w:rPr>
        <w:t>第</w:t>
      </w:r>
      <w:r>
        <w:rPr>
          <w:rFonts w:hint="eastAsia"/>
        </w:rPr>
        <w:t xml:space="preserve"> 2 </w:t>
      </w:r>
      <w:r>
        <w:rPr>
          <w:rFonts w:hint="eastAsia"/>
        </w:rPr>
        <w:t>款</w:t>
      </w:r>
    </w:p>
    <w:p w:rsidR="00000000" w:rsidRDefault="00844A84">
      <w:pPr>
        <w:ind w:firstLine="510"/>
        <w:rPr>
          <w:rFonts w:hint="eastAsia"/>
          <w:bCs/>
          <w:snapToGrid/>
        </w:rPr>
      </w:pPr>
      <w:r>
        <w:rPr>
          <w:bCs/>
          <w:snapToGrid/>
        </w:rPr>
        <w:t>456.</w:t>
      </w:r>
      <w:r>
        <w:rPr>
          <w:rFonts w:hint="eastAsia"/>
          <w:bCs/>
          <w:snapToGrid/>
        </w:rPr>
        <w:t xml:space="preserve">  </w:t>
      </w:r>
      <w:r>
        <w:rPr>
          <w:bCs/>
          <w:snapToGrid/>
        </w:rPr>
        <w:t>黑山</w:t>
      </w:r>
      <w:r>
        <w:rPr>
          <w:rFonts w:hint="eastAsia"/>
          <w:bCs/>
          <w:snapToGrid/>
        </w:rPr>
        <w:t>领土面积</w:t>
      </w:r>
      <w:r>
        <w:rPr>
          <w:rFonts w:hint="eastAsia"/>
          <w:bCs/>
          <w:snapToGrid/>
        </w:rPr>
        <w:t>13,812</w:t>
      </w:r>
      <w:r>
        <w:rPr>
          <w:rFonts w:hint="eastAsia"/>
          <w:bCs/>
          <w:snapToGrid/>
        </w:rPr>
        <w:t>平方公里，陆地边界</w:t>
      </w:r>
      <w:r>
        <w:rPr>
          <w:rFonts w:hint="eastAsia"/>
          <w:bCs/>
          <w:snapToGrid/>
        </w:rPr>
        <w:t>718</w:t>
      </w:r>
      <w:r>
        <w:rPr>
          <w:rFonts w:hint="eastAsia"/>
          <w:bCs/>
          <w:snapToGrid/>
        </w:rPr>
        <w:t>公里，海洋边界</w:t>
      </w:r>
      <w:r>
        <w:rPr>
          <w:rFonts w:hint="eastAsia"/>
          <w:bCs/>
          <w:snapToGrid/>
        </w:rPr>
        <w:t>218</w:t>
      </w:r>
      <w:r>
        <w:rPr>
          <w:rFonts w:hint="eastAsia"/>
          <w:bCs/>
          <w:snapToGrid/>
        </w:rPr>
        <w:t>公里。黑山拥有特别的自然环境和经开发的环境，这些环境反映了黑山的</w:t>
      </w:r>
      <w:r>
        <w:rPr>
          <w:rFonts w:hint="eastAsia"/>
          <w:bCs/>
          <w:snapToGrid/>
        </w:rPr>
        <w:t>地理基础、地质构造、自然力量和人类活动情况。黑山的自然资源包括水</w:t>
      </w:r>
      <w:r>
        <w:rPr>
          <w:rFonts w:hint="eastAsia"/>
          <w:bCs/>
          <w:snapToGrid/>
        </w:rPr>
        <w:t>(</w:t>
      </w:r>
      <w:r>
        <w:rPr>
          <w:rFonts w:hint="eastAsia"/>
          <w:bCs/>
          <w:snapToGrid/>
        </w:rPr>
        <w:t>海洋、湖泊和河流</w:t>
      </w:r>
      <w:r>
        <w:rPr>
          <w:rFonts w:hint="eastAsia"/>
          <w:bCs/>
          <w:snapToGrid/>
        </w:rPr>
        <w:t>)</w:t>
      </w:r>
      <w:r>
        <w:rPr>
          <w:rFonts w:hint="eastAsia"/>
          <w:bCs/>
          <w:snapToGrid/>
        </w:rPr>
        <w:t>、土地、矿物资源</w:t>
      </w:r>
      <w:r>
        <w:rPr>
          <w:rFonts w:hint="eastAsia"/>
          <w:bCs/>
          <w:snapToGrid/>
        </w:rPr>
        <w:t>(</w:t>
      </w:r>
      <w:r>
        <w:rPr>
          <w:rFonts w:hint="eastAsia"/>
          <w:bCs/>
          <w:snapToGrid/>
        </w:rPr>
        <w:t>煤、泥炭和沙</w:t>
      </w:r>
      <w:r>
        <w:rPr>
          <w:rFonts w:hint="eastAsia"/>
          <w:bCs/>
          <w:snapToGrid/>
        </w:rPr>
        <w:t>)</w:t>
      </w:r>
      <w:r>
        <w:rPr>
          <w:rFonts w:hint="eastAsia"/>
          <w:bCs/>
          <w:snapToGrid/>
        </w:rPr>
        <w:t>、森林、多样化生物</w:t>
      </w:r>
      <w:r>
        <w:rPr>
          <w:rFonts w:hint="eastAsia"/>
          <w:bCs/>
          <w:snapToGrid/>
        </w:rPr>
        <w:t>(</w:t>
      </w:r>
      <w:r>
        <w:rPr>
          <w:rFonts w:hint="eastAsia"/>
          <w:bCs/>
          <w:snapToGrid/>
        </w:rPr>
        <w:t>植物和动物</w:t>
      </w:r>
      <w:r>
        <w:rPr>
          <w:rFonts w:hint="eastAsia"/>
          <w:bCs/>
          <w:snapToGrid/>
        </w:rPr>
        <w:t>)</w:t>
      </w:r>
      <w:r>
        <w:rPr>
          <w:rFonts w:hint="eastAsia"/>
          <w:bCs/>
          <w:snapToGrid/>
        </w:rPr>
        <w:t>、秀丽的景色、自然保护区域</w:t>
      </w:r>
      <w:r>
        <w:rPr>
          <w:rFonts w:hint="eastAsia"/>
          <w:bCs/>
          <w:snapToGrid/>
        </w:rPr>
        <w:t>(</w:t>
      </w:r>
      <w:r>
        <w:rPr>
          <w:rFonts w:hint="eastAsia"/>
          <w:bCs/>
          <w:snapToGrid/>
        </w:rPr>
        <w:t>自然保护区、国家公园、天然纪念物和天然公园</w:t>
      </w:r>
      <w:r>
        <w:rPr>
          <w:rFonts w:hint="eastAsia"/>
          <w:bCs/>
          <w:snapToGrid/>
        </w:rPr>
        <w:t>)</w:t>
      </w:r>
      <w:r>
        <w:rPr>
          <w:rFonts w:hint="eastAsia"/>
          <w:bCs/>
          <w:snapToGrid/>
        </w:rPr>
        <w:t>，以及受保护的植物和动物物种。</w:t>
      </w:r>
    </w:p>
    <w:p w:rsidR="00000000" w:rsidRDefault="00844A84">
      <w:pPr>
        <w:ind w:firstLine="510"/>
        <w:rPr>
          <w:rFonts w:hint="eastAsia"/>
          <w:bCs/>
          <w:snapToGrid/>
        </w:rPr>
      </w:pPr>
      <w:r>
        <w:rPr>
          <w:bCs/>
          <w:snapToGrid/>
        </w:rPr>
        <w:t>457.</w:t>
      </w:r>
      <w:r>
        <w:rPr>
          <w:rFonts w:hint="eastAsia"/>
          <w:bCs/>
          <w:snapToGrid/>
        </w:rPr>
        <w:t xml:space="preserve">  </w:t>
      </w:r>
      <w:r>
        <w:rPr>
          <w:rFonts w:hint="eastAsia"/>
          <w:bCs/>
          <w:snapToGrid/>
        </w:rPr>
        <w:t>黑山赞同可持续发展的概念，这一概念将不影响对自然的改善和保护，因此是黑山发展政策的基础。过去十年，增加开发自然资源如森林、沃土、鱼类和动植物物种的趋势一直有增无减。</w:t>
      </w:r>
    </w:p>
    <w:p w:rsidR="00000000" w:rsidRDefault="00844A84">
      <w:pPr>
        <w:ind w:firstLine="510"/>
        <w:rPr>
          <w:rFonts w:hint="eastAsia"/>
          <w:bCs/>
          <w:snapToGrid/>
        </w:rPr>
      </w:pPr>
      <w:r>
        <w:rPr>
          <w:bCs/>
          <w:snapToGrid/>
        </w:rPr>
        <w:t>458.</w:t>
      </w:r>
      <w:r>
        <w:rPr>
          <w:rFonts w:hint="eastAsia"/>
          <w:bCs/>
          <w:snapToGrid/>
        </w:rPr>
        <w:t xml:space="preserve">  </w:t>
      </w:r>
      <w:r>
        <w:rPr>
          <w:rFonts w:hint="eastAsia"/>
          <w:bCs/>
          <w:snapToGrid/>
        </w:rPr>
        <w:t>沿海地区对自然价值的压力也有所加剧，这尤其表现在非法建造，以及任意排放</w:t>
      </w:r>
      <w:r>
        <w:rPr>
          <w:rFonts w:hint="eastAsia"/>
          <w:bCs/>
          <w:snapToGrid/>
        </w:rPr>
        <w:t>废水，将之未加处理即排入海洋。</w:t>
      </w:r>
    </w:p>
    <w:p w:rsidR="00000000" w:rsidRDefault="00844A84">
      <w:pPr>
        <w:spacing w:after="320"/>
        <w:ind w:firstLine="510"/>
        <w:rPr>
          <w:rFonts w:hint="eastAsia"/>
          <w:bCs/>
          <w:snapToGrid/>
        </w:rPr>
      </w:pPr>
      <w:r>
        <w:rPr>
          <w:rFonts w:hint="eastAsia"/>
          <w:bCs/>
          <w:snapToGrid/>
        </w:rPr>
        <w:t xml:space="preserve">459.  </w:t>
      </w:r>
      <w:r>
        <w:rPr>
          <w:rFonts w:hint="eastAsia"/>
          <w:bCs/>
          <w:snapToGrid/>
        </w:rPr>
        <w:t>在迅速工业化过程中，未充分重视保护环境</w:t>
      </w:r>
      <w:r>
        <w:rPr>
          <w:bCs/>
          <w:snapToGrid/>
        </w:rPr>
        <w:t>，</w:t>
      </w:r>
      <w:r>
        <w:rPr>
          <w:rFonts w:hint="eastAsia"/>
          <w:bCs/>
          <w:snapToGrid/>
        </w:rPr>
        <w:t>并宣布开始执行对环境有害的一些基本建设项目，例如在</w:t>
      </w:r>
      <w:r>
        <w:rPr>
          <w:rFonts w:hint="eastAsia"/>
          <w:bCs/>
          <w:snapToGrid/>
        </w:rPr>
        <w:t>(</w:t>
      </w:r>
      <w:r>
        <w:rPr>
          <w:rFonts w:hint="eastAsia"/>
          <w:bCs/>
          <w:snapToGrid/>
        </w:rPr>
        <w:t>作为世界生物圈保护区而应受保护的</w:t>
      </w:r>
      <w:r>
        <w:rPr>
          <w:rFonts w:hint="eastAsia"/>
          <w:bCs/>
          <w:snapToGrid/>
        </w:rPr>
        <w:t>)</w:t>
      </w:r>
      <w:r>
        <w:rPr>
          <w:rFonts w:hint="eastAsia"/>
          <w:bCs/>
          <w:snapToGrid/>
        </w:rPr>
        <w:t>塔拉河、莫拉卡河以及</w:t>
      </w:r>
      <w:r>
        <w:rPr>
          <w:rFonts w:hint="eastAsia"/>
          <w:bCs/>
          <w:snapToGrid/>
        </w:rPr>
        <w:t>(</w:t>
      </w:r>
      <w:r>
        <w:rPr>
          <w:rFonts w:hint="eastAsia"/>
          <w:bCs/>
          <w:snapToGrid/>
        </w:rPr>
        <w:t>位于受保护的拉姆萨尔地区的</w:t>
      </w:r>
      <w:r>
        <w:rPr>
          <w:rFonts w:hint="eastAsia"/>
          <w:bCs/>
          <w:snapToGrid/>
        </w:rPr>
        <w:t>)</w:t>
      </w:r>
      <w:r>
        <w:rPr>
          <w:rFonts w:hint="eastAsia"/>
          <w:bCs/>
          <w:snapToGrid/>
        </w:rPr>
        <w:t>斯卡达尔湖建造水电站。结果是，某些地区</w:t>
      </w:r>
      <w:r>
        <w:rPr>
          <w:rFonts w:hint="eastAsia"/>
          <w:bCs/>
          <w:snapToGrid/>
        </w:rPr>
        <w:t>(</w:t>
      </w:r>
      <w:r>
        <w:rPr>
          <w:rFonts w:hint="eastAsia"/>
          <w:bCs/>
          <w:snapToGrid/>
        </w:rPr>
        <w:t>森林、河流和湖泊</w:t>
      </w:r>
      <w:r>
        <w:rPr>
          <w:rFonts w:hint="eastAsia"/>
          <w:bCs/>
          <w:snapToGrid/>
        </w:rPr>
        <w:t>)</w:t>
      </w:r>
      <w:r>
        <w:rPr>
          <w:rFonts w:hint="eastAsia"/>
          <w:bCs/>
          <w:snapToGrid/>
        </w:rPr>
        <w:t>的植物和动物物种逐步受到破坏和消失，今后可能妨碍黑山的全面发展，并意味着目前的贫穷状况将持续下去。</w:t>
      </w:r>
    </w:p>
    <w:p w:rsidR="00000000" w:rsidRDefault="00844A84">
      <w:pPr>
        <w:pStyle w:val="Heading4"/>
        <w:rPr>
          <w:rFonts w:hint="eastAsia"/>
        </w:rPr>
      </w:pPr>
      <w:r>
        <w:rPr>
          <w:rFonts w:hint="eastAsia"/>
        </w:rPr>
        <w:t>第</w:t>
      </w:r>
      <w:r>
        <w:rPr>
          <w:rFonts w:hint="eastAsia"/>
        </w:rPr>
        <w:t xml:space="preserve"> 3 </w:t>
      </w:r>
      <w:r>
        <w:rPr>
          <w:rFonts w:hint="eastAsia"/>
        </w:rPr>
        <w:t>款</w:t>
      </w:r>
    </w:p>
    <w:p w:rsidR="00000000" w:rsidRDefault="00844A84">
      <w:pPr>
        <w:ind w:firstLine="510"/>
        <w:rPr>
          <w:rFonts w:hint="eastAsia"/>
          <w:bCs/>
          <w:snapToGrid/>
        </w:rPr>
      </w:pPr>
      <w:r>
        <w:rPr>
          <w:rFonts w:hint="eastAsia"/>
          <w:bCs/>
          <w:snapToGrid/>
        </w:rPr>
        <w:t xml:space="preserve">460.  </w:t>
      </w:r>
      <w:r>
        <w:rPr>
          <w:rFonts w:hint="eastAsia"/>
          <w:bCs/>
          <w:snapToGrid/>
        </w:rPr>
        <w:t>黑山共和国政府每年制定经济政策，并据此制定共和国的公共开支政策</w:t>
      </w:r>
      <w:r>
        <w:rPr>
          <w:rFonts w:hint="eastAsia"/>
          <w:bCs/>
          <w:snapToGrid/>
          <w:spacing w:val="-50"/>
        </w:rPr>
        <w:t>―</w:t>
      </w:r>
      <w:r>
        <w:rPr>
          <w:rFonts w:hint="eastAsia"/>
          <w:bCs/>
          <w:snapToGrid/>
        </w:rPr>
        <w:t>―</w:t>
      </w:r>
      <w:r>
        <w:rPr>
          <w:rFonts w:hint="eastAsia"/>
          <w:bCs/>
          <w:snapToGrid/>
        </w:rPr>
        <w:t>2003</w:t>
      </w:r>
      <w:r>
        <w:rPr>
          <w:rFonts w:hint="eastAsia"/>
          <w:bCs/>
          <w:snapToGrid/>
        </w:rPr>
        <w:t>年的公共开支总额计划为</w:t>
      </w:r>
      <w:r>
        <w:rPr>
          <w:rFonts w:hint="eastAsia"/>
          <w:bCs/>
          <w:snapToGrid/>
        </w:rPr>
        <w:t>77,561</w:t>
      </w:r>
      <w:r>
        <w:rPr>
          <w:rFonts w:hint="eastAsia"/>
          <w:bCs/>
          <w:snapToGrid/>
        </w:rPr>
        <w:t>万</w:t>
      </w:r>
      <w:r>
        <w:rPr>
          <w:rFonts w:hint="eastAsia"/>
          <w:bCs/>
          <w:snapToGrid/>
        </w:rPr>
        <w:t>欧元，占黑山共和国国内生产总值</w:t>
      </w:r>
      <w:r>
        <w:rPr>
          <w:rFonts w:hint="eastAsia"/>
          <w:bCs/>
          <w:snapToGrid/>
        </w:rPr>
        <w:t>55.4%</w:t>
      </w:r>
      <w:r>
        <w:rPr>
          <w:rFonts w:hint="eastAsia"/>
          <w:bCs/>
          <w:snapToGrid/>
        </w:rPr>
        <w:t>。如果不计负责管理公共开支的当局各机构之间在预算和资金方面的内部转款，公共开支在国内生产总值中的比例则减至</w:t>
      </w:r>
      <w:r>
        <w:rPr>
          <w:rFonts w:hint="eastAsia"/>
          <w:bCs/>
          <w:snapToGrid/>
        </w:rPr>
        <w:t>50%</w:t>
      </w:r>
      <w:r>
        <w:rPr>
          <w:rFonts w:hint="eastAsia"/>
          <w:bCs/>
          <w:snapToGrid/>
        </w:rPr>
        <w:t>。在</w:t>
      </w:r>
      <w:r>
        <w:rPr>
          <w:rFonts w:hint="eastAsia"/>
          <w:bCs/>
          <w:snapToGrid/>
        </w:rPr>
        <w:t>2003</w:t>
      </w:r>
      <w:r>
        <w:rPr>
          <w:rFonts w:hint="eastAsia"/>
          <w:bCs/>
          <w:snapToGrid/>
        </w:rPr>
        <w:t>年共和国公共开支结构中，国家预算所占比例最高，达</w:t>
      </w:r>
      <w:r>
        <w:rPr>
          <w:rFonts w:hint="eastAsia"/>
          <w:bCs/>
          <w:snapToGrid/>
        </w:rPr>
        <w:t>55.61%</w:t>
      </w:r>
      <w:r>
        <w:rPr>
          <w:rFonts w:hint="eastAsia"/>
          <w:bCs/>
          <w:snapToGrid/>
        </w:rPr>
        <w:t>；其次为养恤金和伤残保险基金，占</w:t>
      </w:r>
      <w:r>
        <w:rPr>
          <w:rFonts w:hint="eastAsia"/>
          <w:bCs/>
          <w:snapToGrid/>
        </w:rPr>
        <w:t>22.40%</w:t>
      </w:r>
      <w:r>
        <w:rPr>
          <w:rFonts w:hint="eastAsia"/>
          <w:bCs/>
          <w:snapToGrid/>
        </w:rPr>
        <w:t>；健康保险基金，占</w:t>
      </w:r>
      <w:r>
        <w:rPr>
          <w:bCs/>
          <w:snapToGrid/>
        </w:rPr>
        <w:t>20.30</w:t>
      </w:r>
      <w:r>
        <w:rPr>
          <w:rFonts w:hint="eastAsia"/>
          <w:bCs/>
          <w:snapToGrid/>
        </w:rPr>
        <w:t>%</w:t>
      </w:r>
      <w:r>
        <w:rPr>
          <w:rFonts w:hint="eastAsia"/>
          <w:bCs/>
          <w:snapToGrid/>
        </w:rPr>
        <w:t>，各市政当局</w:t>
      </w:r>
      <w:r>
        <w:rPr>
          <w:rFonts w:hint="eastAsia"/>
          <w:bCs/>
          <w:snapToGrid/>
        </w:rPr>
        <w:t>(</w:t>
      </w:r>
      <w:r>
        <w:rPr>
          <w:rFonts w:hint="eastAsia"/>
          <w:bCs/>
          <w:snapToGrid/>
        </w:rPr>
        <w:t>地方当局</w:t>
      </w:r>
      <w:r>
        <w:rPr>
          <w:rFonts w:hint="eastAsia"/>
          <w:bCs/>
          <w:snapToGrid/>
        </w:rPr>
        <w:t>)</w:t>
      </w:r>
      <w:r>
        <w:rPr>
          <w:rFonts w:hint="eastAsia"/>
          <w:bCs/>
          <w:snapToGrid/>
        </w:rPr>
        <w:t>，占</w:t>
      </w:r>
      <w:r>
        <w:rPr>
          <w:bCs/>
          <w:snapToGrid/>
        </w:rPr>
        <w:t>7.90%</w:t>
      </w:r>
      <w:r>
        <w:rPr>
          <w:rFonts w:hint="eastAsia"/>
          <w:bCs/>
          <w:snapToGrid/>
        </w:rPr>
        <w:t>；就业事务局，占</w:t>
      </w:r>
      <w:r>
        <w:rPr>
          <w:bCs/>
          <w:snapToGrid/>
        </w:rPr>
        <w:t>1.7</w:t>
      </w:r>
      <w:r>
        <w:rPr>
          <w:rFonts w:hint="eastAsia"/>
          <w:bCs/>
          <w:snapToGrid/>
        </w:rPr>
        <w:t>0</w:t>
      </w:r>
      <w:r>
        <w:rPr>
          <w:bCs/>
          <w:snapToGrid/>
        </w:rPr>
        <w:t>%</w:t>
      </w:r>
      <w:r>
        <w:rPr>
          <w:rFonts w:hint="eastAsia"/>
          <w:bCs/>
          <w:snapToGrid/>
        </w:rPr>
        <w:t>。</w:t>
      </w:r>
    </w:p>
    <w:p w:rsidR="00000000" w:rsidRDefault="00844A84">
      <w:pPr>
        <w:ind w:firstLine="510"/>
        <w:rPr>
          <w:rFonts w:hint="eastAsia"/>
          <w:bCs/>
          <w:snapToGrid/>
        </w:rPr>
      </w:pPr>
      <w:r>
        <w:rPr>
          <w:bCs/>
          <w:snapToGrid/>
        </w:rPr>
        <w:t>461.</w:t>
      </w:r>
      <w:r>
        <w:rPr>
          <w:rFonts w:hint="eastAsia"/>
          <w:bCs/>
          <w:snapToGrid/>
        </w:rPr>
        <w:t xml:space="preserve">  2003</w:t>
      </w:r>
      <w:r>
        <w:rPr>
          <w:rFonts w:hint="eastAsia"/>
          <w:bCs/>
          <w:snapToGrid/>
        </w:rPr>
        <w:t>年黑山共和国《预算法》设想将收到</w:t>
      </w:r>
      <w:r>
        <w:rPr>
          <w:bCs/>
          <w:snapToGrid/>
        </w:rPr>
        <w:t>43,14</w:t>
      </w:r>
      <w:r>
        <w:rPr>
          <w:rFonts w:hint="eastAsia"/>
          <w:bCs/>
          <w:snapToGrid/>
        </w:rPr>
        <w:t>5</w:t>
      </w:r>
      <w:r>
        <w:rPr>
          <w:rFonts w:hint="eastAsia"/>
          <w:bCs/>
          <w:snapToGrid/>
        </w:rPr>
        <w:t>万欧元的资金，占共和国计划国内生产总值</w:t>
      </w:r>
      <w:r>
        <w:rPr>
          <w:rFonts w:hint="eastAsia"/>
          <w:bCs/>
          <w:snapToGrid/>
        </w:rPr>
        <w:t>30%</w:t>
      </w:r>
      <w:r>
        <w:rPr>
          <w:rFonts w:hint="eastAsia"/>
          <w:bCs/>
          <w:snapToGrid/>
        </w:rPr>
        <w:t>。在</w:t>
      </w:r>
      <w:r>
        <w:rPr>
          <w:rFonts w:hint="eastAsia"/>
          <w:bCs/>
          <w:snapToGrid/>
        </w:rPr>
        <w:t>2003</w:t>
      </w:r>
      <w:r>
        <w:rPr>
          <w:rFonts w:hint="eastAsia"/>
          <w:bCs/>
          <w:snapToGrid/>
        </w:rPr>
        <w:t>年预算计划总资金中，无息赠</w:t>
      </w:r>
      <w:r>
        <w:rPr>
          <w:rFonts w:hint="eastAsia"/>
          <w:bCs/>
          <w:snapToGrid/>
        </w:rPr>
        <w:t>款和社会福利补助占</w:t>
      </w:r>
      <w:r>
        <w:rPr>
          <w:bCs/>
          <w:snapToGrid/>
        </w:rPr>
        <w:t>34.64%</w:t>
      </w:r>
      <w:r>
        <w:rPr>
          <w:rFonts w:hint="eastAsia"/>
          <w:bCs/>
          <w:snapToGrid/>
        </w:rPr>
        <w:t>。</w:t>
      </w:r>
    </w:p>
    <w:p w:rsidR="00000000" w:rsidRDefault="00844A84">
      <w:pPr>
        <w:ind w:firstLine="510"/>
        <w:rPr>
          <w:rFonts w:hint="eastAsia"/>
          <w:bCs/>
          <w:snapToGrid/>
        </w:rPr>
      </w:pPr>
      <w:r>
        <w:rPr>
          <w:rFonts w:hint="eastAsia"/>
          <w:bCs/>
          <w:snapToGrid/>
        </w:rPr>
        <w:t xml:space="preserve">462.  </w:t>
      </w:r>
      <w:r>
        <w:rPr>
          <w:rFonts w:hint="eastAsia"/>
          <w:bCs/>
          <w:snapToGrid/>
        </w:rPr>
        <w:t>在这种情况下，预算专门拨款用作社会福利基金、资助大学、资助共和国就业事务局的经费</w:t>
      </w:r>
      <w:r>
        <w:rPr>
          <w:rFonts w:hint="eastAsia"/>
          <w:bCs/>
          <w:snapToGrid/>
        </w:rPr>
        <w:t>(</w:t>
      </w:r>
      <w:r>
        <w:rPr>
          <w:rFonts w:hint="eastAsia"/>
          <w:bCs/>
          <w:snapToGrid/>
        </w:rPr>
        <w:t>用于失业者补助金、资助受培训者经费、裁员补贴等</w:t>
      </w:r>
      <w:r>
        <w:rPr>
          <w:rFonts w:hint="eastAsia"/>
          <w:bCs/>
          <w:snapToGrid/>
        </w:rPr>
        <w:t>)</w:t>
      </w:r>
      <w:r>
        <w:rPr>
          <w:rFonts w:hint="eastAsia"/>
          <w:bCs/>
          <w:snapToGrid/>
        </w:rPr>
        <w:t>、向失业者提供的健康保险基金、养恤金和残废保险基金、资助非盈利、人道主义和非政府组织的基金、为学生补助和奖学金提供经费等等。</w:t>
      </w:r>
    </w:p>
    <w:p w:rsidR="00000000" w:rsidRDefault="00844A84">
      <w:pPr>
        <w:ind w:firstLine="510"/>
        <w:rPr>
          <w:rFonts w:hint="eastAsia"/>
          <w:bCs/>
          <w:snapToGrid/>
        </w:rPr>
      </w:pPr>
      <w:r>
        <w:rPr>
          <w:rFonts w:hint="eastAsia"/>
          <w:bCs/>
          <w:snapToGrid/>
        </w:rPr>
        <w:t xml:space="preserve">463.  </w:t>
      </w:r>
      <w:r>
        <w:rPr>
          <w:rFonts w:hint="eastAsia"/>
          <w:bCs/>
          <w:snapToGrid/>
        </w:rPr>
        <w:t>在专门为社会福利提供的经费中，已设想拨出专款，用作儿童补助金、士兵伤残补助金、支助家庭、妇女产假补助、援助和照顾他人的补助金、囚犯食品费用、牧师社会福利补助以及其他社会福利补助，共计满足享有这些权利</w:t>
      </w:r>
      <w:r>
        <w:rPr>
          <w:rFonts w:hint="eastAsia"/>
          <w:bCs/>
          <w:snapToGrid/>
        </w:rPr>
        <w:t>的</w:t>
      </w:r>
      <w:r>
        <w:rPr>
          <w:rFonts w:hint="eastAsia"/>
          <w:bCs/>
          <w:snapToGrid/>
        </w:rPr>
        <w:t>52,000</w:t>
      </w:r>
      <w:r>
        <w:rPr>
          <w:rFonts w:hint="eastAsia"/>
          <w:bCs/>
          <w:snapToGrid/>
        </w:rPr>
        <w:t>名受益者的需求。</w:t>
      </w:r>
    </w:p>
    <w:p w:rsidR="00000000" w:rsidRDefault="00844A84">
      <w:pPr>
        <w:ind w:firstLine="510"/>
        <w:rPr>
          <w:rFonts w:hint="eastAsia"/>
          <w:bCs/>
          <w:snapToGrid/>
        </w:rPr>
      </w:pPr>
      <w:r>
        <w:rPr>
          <w:rFonts w:hint="eastAsia"/>
          <w:bCs/>
          <w:snapToGrid/>
        </w:rPr>
        <w:t xml:space="preserve">464.  </w:t>
      </w:r>
      <w:r>
        <w:rPr>
          <w:rFonts w:hint="eastAsia"/>
          <w:bCs/>
          <w:snapToGrid/>
        </w:rPr>
        <w:t>为了实现规定的目标，</w:t>
      </w:r>
      <w:r>
        <w:rPr>
          <w:rFonts w:hint="eastAsia"/>
          <w:bCs/>
          <w:snapToGrid/>
        </w:rPr>
        <w:t>2003</w:t>
      </w:r>
      <w:r>
        <w:rPr>
          <w:rFonts w:hint="eastAsia"/>
          <w:bCs/>
          <w:snapToGrid/>
        </w:rPr>
        <w:t>年的预算开支将遵守以下原则：</w:t>
      </w:r>
    </w:p>
    <w:p w:rsidR="00000000" w:rsidRDefault="00844A84">
      <w:pPr>
        <w:pStyle w:val="a0"/>
        <w:ind w:left="1550"/>
        <w:rPr>
          <w:rFonts w:hint="eastAsia"/>
          <w:snapToGrid/>
        </w:rPr>
      </w:pPr>
      <w:r>
        <w:rPr>
          <w:rFonts w:hint="eastAsia"/>
          <w:snapToGrid/>
        </w:rPr>
        <w:t>实现预算收支平衡；</w:t>
      </w:r>
    </w:p>
    <w:p w:rsidR="00000000" w:rsidRDefault="00844A84">
      <w:pPr>
        <w:pStyle w:val="a0"/>
        <w:ind w:left="1550"/>
        <w:rPr>
          <w:rFonts w:hint="eastAsia"/>
          <w:snapToGrid/>
        </w:rPr>
      </w:pPr>
      <w:r>
        <w:rPr>
          <w:rFonts w:hint="eastAsia"/>
          <w:snapToGrid/>
        </w:rPr>
        <w:t>定期支付预算规定的国内和国外债务；</w:t>
      </w:r>
    </w:p>
    <w:p w:rsidR="00000000" w:rsidRDefault="00844A84">
      <w:pPr>
        <w:pStyle w:val="a0"/>
        <w:ind w:left="1550"/>
        <w:rPr>
          <w:rFonts w:hint="eastAsia"/>
          <w:snapToGrid/>
        </w:rPr>
      </w:pPr>
      <w:r>
        <w:rPr>
          <w:rFonts w:hint="eastAsia"/>
          <w:snapToGrid/>
        </w:rPr>
        <w:t>合理支出，并按实际的</w:t>
      </w:r>
      <w:r>
        <w:rPr>
          <w:rFonts w:hint="eastAsia"/>
          <w:snapToGrid/>
        </w:rPr>
        <w:t>(</w:t>
      </w:r>
      <w:r>
        <w:rPr>
          <w:rFonts w:hint="eastAsia"/>
          <w:snapToGrid/>
        </w:rPr>
        <w:t>可收到的</w:t>
      </w:r>
      <w:r>
        <w:rPr>
          <w:rFonts w:hint="eastAsia"/>
          <w:snapToGrid/>
        </w:rPr>
        <w:t>)</w:t>
      </w:r>
      <w:r>
        <w:rPr>
          <w:rFonts w:hint="eastAsia"/>
          <w:snapToGrid/>
        </w:rPr>
        <w:t>收入调整开支；</w:t>
      </w:r>
    </w:p>
    <w:p w:rsidR="00000000" w:rsidRDefault="00844A84">
      <w:pPr>
        <w:pStyle w:val="a0"/>
        <w:ind w:left="1550"/>
        <w:rPr>
          <w:rFonts w:hint="eastAsia"/>
          <w:snapToGrid/>
        </w:rPr>
      </w:pPr>
      <w:r>
        <w:rPr>
          <w:rFonts w:hint="eastAsia"/>
          <w:snapToGrid/>
        </w:rPr>
        <w:t>改革公共行政，并制定更合理的就业政策；</w:t>
      </w:r>
    </w:p>
    <w:p w:rsidR="00000000" w:rsidRDefault="00844A84">
      <w:pPr>
        <w:pStyle w:val="a0"/>
        <w:ind w:left="1550"/>
        <w:rPr>
          <w:rFonts w:hint="eastAsia"/>
          <w:snapToGrid/>
        </w:rPr>
      </w:pPr>
      <w:r>
        <w:rPr>
          <w:rFonts w:hint="eastAsia"/>
          <w:snapToGrid/>
        </w:rPr>
        <w:t>进一步改革社会制度，并提高收税工作效力。</w:t>
      </w:r>
    </w:p>
    <w:p w:rsidR="00000000" w:rsidRDefault="00844A84">
      <w:pPr>
        <w:spacing w:after="320"/>
        <w:ind w:firstLine="510"/>
        <w:rPr>
          <w:rFonts w:hint="eastAsia"/>
          <w:bCs/>
          <w:snapToGrid/>
        </w:rPr>
      </w:pPr>
      <w:r>
        <w:rPr>
          <w:rFonts w:hint="eastAsia"/>
          <w:bCs/>
          <w:snapToGrid/>
        </w:rPr>
        <w:t xml:space="preserve">465.  </w:t>
      </w:r>
      <w:r>
        <w:rPr>
          <w:rFonts w:hint="eastAsia"/>
          <w:bCs/>
          <w:snapToGrid/>
        </w:rPr>
        <w:t>公共开支的其他部门</w:t>
      </w:r>
      <w:r>
        <w:rPr>
          <w:rFonts w:hint="eastAsia"/>
          <w:bCs/>
          <w:snapToGrid/>
        </w:rPr>
        <w:t>(</w:t>
      </w:r>
      <w:r>
        <w:rPr>
          <w:rFonts w:hint="eastAsia"/>
          <w:bCs/>
          <w:snapToGrid/>
        </w:rPr>
        <w:t>养恤金和残疾保险、保健和健康保险、失业补助</w:t>
      </w:r>
      <w:r>
        <w:rPr>
          <w:rFonts w:hint="eastAsia"/>
          <w:bCs/>
          <w:snapToGrid/>
        </w:rPr>
        <w:t>)</w:t>
      </w:r>
      <w:r>
        <w:rPr>
          <w:rFonts w:hint="eastAsia"/>
          <w:bCs/>
          <w:snapToGrid/>
        </w:rPr>
        <w:t>每年按照本身受益人的具体权利编制预算。</w:t>
      </w:r>
    </w:p>
    <w:p w:rsidR="00000000" w:rsidRDefault="00844A84">
      <w:pPr>
        <w:pStyle w:val="Heading3"/>
        <w:rPr>
          <w:rFonts w:hint="eastAsia"/>
        </w:rPr>
      </w:pPr>
      <w:r>
        <w:rPr>
          <w:rFonts w:hint="eastAsia"/>
        </w:rPr>
        <w:t>第</w:t>
      </w:r>
      <w:r>
        <w:rPr>
          <w:rFonts w:hint="eastAsia"/>
        </w:rPr>
        <w:t xml:space="preserve"> </w:t>
      </w:r>
      <w:r>
        <w:rPr>
          <w:rFonts w:hint="eastAsia"/>
        </w:rPr>
        <w:t>二</w:t>
      </w:r>
      <w:r>
        <w:rPr>
          <w:rFonts w:hint="eastAsia"/>
        </w:rPr>
        <w:t xml:space="preserve"> </w:t>
      </w:r>
      <w:r>
        <w:rPr>
          <w:rFonts w:hint="eastAsia"/>
        </w:rPr>
        <w:t>条</w:t>
      </w:r>
    </w:p>
    <w:p w:rsidR="00000000" w:rsidRDefault="00844A84">
      <w:pPr>
        <w:pStyle w:val="Heading4"/>
        <w:rPr>
          <w:rFonts w:hint="eastAsia"/>
        </w:rPr>
      </w:pPr>
      <w:r>
        <w:rPr>
          <w:rFonts w:hint="eastAsia"/>
        </w:rPr>
        <w:t>第</w:t>
      </w:r>
      <w:r>
        <w:rPr>
          <w:rFonts w:hint="eastAsia"/>
        </w:rPr>
        <w:t xml:space="preserve"> 1 </w:t>
      </w:r>
      <w:r>
        <w:rPr>
          <w:rFonts w:hint="eastAsia"/>
        </w:rPr>
        <w:t>款</w:t>
      </w:r>
    </w:p>
    <w:p w:rsidR="00000000" w:rsidRDefault="00844A84">
      <w:pPr>
        <w:ind w:firstLine="510"/>
        <w:rPr>
          <w:rFonts w:hint="eastAsia"/>
          <w:bCs/>
          <w:snapToGrid/>
        </w:rPr>
      </w:pPr>
      <w:r>
        <w:rPr>
          <w:rFonts w:hint="eastAsia"/>
          <w:bCs/>
          <w:snapToGrid/>
        </w:rPr>
        <w:t xml:space="preserve">466.  </w:t>
      </w:r>
      <w:r>
        <w:rPr>
          <w:rFonts w:hint="eastAsia"/>
          <w:bCs/>
          <w:snapToGrid/>
        </w:rPr>
        <w:t>我国社会一些群体的贫穷、社会边缘化和社会排斥问题，是当今世界普遍关心的问</w:t>
      </w:r>
      <w:r>
        <w:rPr>
          <w:rFonts w:hint="eastAsia"/>
          <w:bCs/>
          <w:snapToGrid/>
        </w:rPr>
        <w:t>题。自然，这一问题是我国前十年甚至更长期间各种事件的结果。</w:t>
      </w:r>
      <w:r>
        <w:rPr>
          <w:rFonts w:hint="eastAsia"/>
          <w:bCs/>
          <w:snapToGrid/>
        </w:rPr>
        <w:t>1999</w:t>
      </w:r>
      <w:r>
        <w:rPr>
          <w:rFonts w:hint="eastAsia"/>
          <w:bCs/>
          <w:snapToGrid/>
        </w:rPr>
        <w:t>年</w:t>
      </w:r>
      <w:r>
        <w:rPr>
          <w:rFonts w:hint="eastAsia"/>
          <w:bCs/>
          <w:snapToGrid/>
        </w:rPr>
        <w:t>12</w:t>
      </w:r>
      <w:r>
        <w:rPr>
          <w:rFonts w:hint="eastAsia"/>
          <w:bCs/>
          <w:snapToGrid/>
        </w:rPr>
        <w:t>月，世界银行和国际货币基金组织批准了一项在低国民生产总值的国家进行减贫的新方针，而这项方针的依据则是这些国家本身提供的战略。这项战略的目标是提高人民的福利水平，其中包括创造条件，使该国实现持续社会经济发展，从而改善生活质量。</w:t>
      </w:r>
    </w:p>
    <w:p w:rsidR="00000000" w:rsidRDefault="00844A84">
      <w:pPr>
        <w:ind w:firstLine="510"/>
        <w:rPr>
          <w:rFonts w:hint="eastAsia"/>
          <w:bCs/>
          <w:snapToGrid/>
        </w:rPr>
      </w:pPr>
      <w:r>
        <w:rPr>
          <w:rFonts w:hint="eastAsia"/>
          <w:bCs/>
          <w:snapToGrid/>
        </w:rPr>
        <w:t xml:space="preserve">467.  </w:t>
      </w:r>
      <w:r>
        <w:rPr>
          <w:rFonts w:hint="eastAsia"/>
          <w:bCs/>
          <w:snapToGrid/>
        </w:rPr>
        <w:t>黑山共和国在制定该战略时的基本情况是：</w:t>
      </w:r>
    </w:p>
    <w:p w:rsidR="00000000" w:rsidRDefault="00844A84">
      <w:pPr>
        <w:pStyle w:val="a0"/>
        <w:ind w:left="1550"/>
        <w:rPr>
          <w:rFonts w:hint="eastAsia"/>
          <w:snapToGrid/>
        </w:rPr>
      </w:pPr>
      <w:r>
        <w:rPr>
          <w:rFonts w:hint="eastAsia"/>
          <w:snapToGrid/>
        </w:rPr>
        <w:t>人均社会生产值为</w:t>
      </w:r>
      <w:r>
        <w:rPr>
          <w:rFonts w:hint="eastAsia"/>
          <w:snapToGrid/>
        </w:rPr>
        <w:t>1,262</w:t>
      </w:r>
      <w:r>
        <w:rPr>
          <w:rFonts w:hint="eastAsia"/>
          <w:snapToGrid/>
        </w:rPr>
        <w:t>美元；</w:t>
      </w:r>
    </w:p>
    <w:p w:rsidR="00000000" w:rsidRDefault="00844A84">
      <w:pPr>
        <w:pStyle w:val="a0"/>
        <w:ind w:left="1550"/>
        <w:rPr>
          <w:rFonts w:hint="eastAsia"/>
          <w:snapToGrid/>
        </w:rPr>
      </w:pPr>
      <w:r>
        <w:rPr>
          <w:rFonts w:hint="eastAsia"/>
          <w:snapToGrid/>
        </w:rPr>
        <w:t>失业率为</w:t>
      </w:r>
      <w:r>
        <w:rPr>
          <w:rFonts w:hint="eastAsia"/>
          <w:snapToGrid/>
        </w:rPr>
        <w:t>15%</w:t>
      </w:r>
      <w:r>
        <w:rPr>
          <w:rFonts w:hint="eastAsia"/>
          <w:snapToGrid/>
        </w:rPr>
        <w:t>；</w:t>
      </w:r>
    </w:p>
    <w:p w:rsidR="00000000" w:rsidRDefault="00844A84">
      <w:pPr>
        <w:pStyle w:val="a0"/>
        <w:ind w:left="1550"/>
        <w:rPr>
          <w:rFonts w:hint="eastAsia"/>
          <w:snapToGrid/>
        </w:rPr>
      </w:pPr>
      <w:r>
        <w:rPr>
          <w:rFonts w:hint="eastAsia"/>
          <w:snapToGrid/>
        </w:rPr>
        <w:t>存在灰色经济；</w:t>
      </w:r>
    </w:p>
    <w:p w:rsidR="00000000" w:rsidRDefault="00844A84">
      <w:pPr>
        <w:pStyle w:val="a0"/>
        <w:ind w:left="1550"/>
        <w:rPr>
          <w:rFonts w:hint="eastAsia"/>
          <w:snapToGrid/>
        </w:rPr>
      </w:pPr>
      <w:r>
        <w:rPr>
          <w:rFonts w:hint="eastAsia"/>
          <w:snapToGrid/>
        </w:rPr>
        <w:t>贫穷程度：四分之一的人口生活在贫穷带</w:t>
      </w:r>
      <w:r>
        <w:rPr>
          <w:rFonts w:hint="eastAsia"/>
          <w:snapToGrid/>
        </w:rPr>
        <w:t>(50</w:t>
      </w:r>
      <w:r>
        <w:rPr>
          <w:rFonts w:hint="eastAsia"/>
          <w:snapToGrid/>
        </w:rPr>
        <w:t>欧元被视为贫穷线</w:t>
      </w:r>
      <w:r>
        <w:rPr>
          <w:rFonts w:hint="eastAsia"/>
          <w:snapToGrid/>
        </w:rPr>
        <w:t>)</w:t>
      </w:r>
      <w:r>
        <w:rPr>
          <w:rFonts w:hint="eastAsia"/>
          <w:snapToGrid/>
        </w:rPr>
        <w:t>；</w:t>
      </w:r>
    </w:p>
    <w:p w:rsidR="00000000" w:rsidRDefault="00844A84">
      <w:pPr>
        <w:pStyle w:val="a0"/>
        <w:ind w:left="1550"/>
        <w:rPr>
          <w:rFonts w:hint="eastAsia"/>
          <w:snapToGrid/>
        </w:rPr>
      </w:pPr>
      <w:r>
        <w:rPr>
          <w:rFonts w:hint="eastAsia"/>
          <w:snapToGrid/>
        </w:rPr>
        <w:t>难民和流离失所者人数：</w:t>
      </w:r>
      <w:r>
        <w:rPr>
          <w:snapToGrid/>
        </w:rPr>
        <w:t>43,</w:t>
      </w:r>
      <w:r>
        <w:rPr>
          <w:rFonts w:hint="eastAsia"/>
          <w:snapToGrid/>
        </w:rPr>
        <w:t>0</w:t>
      </w:r>
      <w:r>
        <w:rPr>
          <w:rFonts w:hint="eastAsia"/>
          <w:snapToGrid/>
        </w:rPr>
        <w:t>00</w:t>
      </w:r>
      <w:r>
        <w:rPr>
          <w:rFonts w:hint="eastAsia"/>
          <w:snapToGrid/>
        </w:rPr>
        <w:t>人</w:t>
      </w:r>
      <w:r>
        <w:rPr>
          <w:rFonts w:hint="eastAsia"/>
          <w:snapToGrid/>
        </w:rPr>
        <w:t>(</w:t>
      </w:r>
      <w:r>
        <w:rPr>
          <w:rFonts w:hint="eastAsia"/>
          <w:snapToGrid/>
        </w:rPr>
        <w:t>占总人口</w:t>
      </w:r>
      <w:r>
        <w:rPr>
          <w:rFonts w:hint="eastAsia"/>
          <w:snapToGrid/>
        </w:rPr>
        <w:t>7%)</w:t>
      </w:r>
      <w:r>
        <w:rPr>
          <w:rFonts w:hint="eastAsia"/>
          <w:snapToGrid/>
        </w:rPr>
        <w:t>。</w:t>
      </w:r>
    </w:p>
    <w:p w:rsidR="00000000" w:rsidRDefault="00844A84">
      <w:pPr>
        <w:ind w:firstLine="510"/>
        <w:rPr>
          <w:rFonts w:hint="eastAsia"/>
          <w:bCs/>
          <w:snapToGrid/>
        </w:rPr>
      </w:pPr>
      <w:r>
        <w:rPr>
          <w:rFonts w:hint="eastAsia"/>
          <w:bCs/>
          <w:snapToGrid/>
        </w:rPr>
        <w:t xml:space="preserve">468.  </w:t>
      </w:r>
      <w:r>
        <w:rPr>
          <w:rFonts w:hint="eastAsia"/>
          <w:bCs/>
          <w:snapToGrid/>
        </w:rPr>
        <w:t>迄今已进行了下列工作：</w:t>
      </w:r>
      <w:r>
        <w:rPr>
          <w:rFonts w:hint="eastAsia"/>
          <w:bCs/>
          <w:snapToGrid/>
        </w:rPr>
        <w:t>2002</w:t>
      </w:r>
      <w:r>
        <w:rPr>
          <w:rFonts w:hint="eastAsia"/>
          <w:bCs/>
          <w:snapToGrid/>
        </w:rPr>
        <w:t>年</w:t>
      </w:r>
      <w:r>
        <w:rPr>
          <w:rFonts w:hint="eastAsia"/>
          <w:bCs/>
          <w:snapToGrid/>
        </w:rPr>
        <w:t>7</w:t>
      </w:r>
      <w:r>
        <w:rPr>
          <w:rFonts w:hint="eastAsia"/>
          <w:bCs/>
          <w:snapToGrid/>
        </w:rPr>
        <w:t>月完成了临时减贫战略文件，并获得世界银行和国际货币基金组织认可。该文件载有：</w:t>
      </w:r>
    </w:p>
    <w:p w:rsidR="00000000" w:rsidRDefault="00844A84">
      <w:pPr>
        <w:pStyle w:val="a0"/>
        <w:ind w:left="1550"/>
        <w:rPr>
          <w:rFonts w:hint="eastAsia"/>
          <w:snapToGrid/>
        </w:rPr>
      </w:pPr>
      <w:r>
        <w:rPr>
          <w:rFonts w:hint="eastAsia"/>
          <w:snapToGrid/>
        </w:rPr>
        <w:t>现况概述；</w:t>
      </w:r>
    </w:p>
    <w:p w:rsidR="00000000" w:rsidRDefault="00844A84">
      <w:pPr>
        <w:pStyle w:val="a0"/>
        <w:ind w:left="1550"/>
        <w:rPr>
          <w:rFonts w:hint="eastAsia"/>
          <w:snapToGrid/>
        </w:rPr>
      </w:pPr>
      <w:r>
        <w:rPr>
          <w:rFonts w:hint="eastAsia"/>
          <w:snapToGrid/>
        </w:rPr>
        <w:t>对目前贫穷状况的审视；</w:t>
      </w:r>
    </w:p>
    <w:p w:rsidR="00000000" w:rsidRDefault="00844A84">
      <w:pPr>
        <w:pStyle w:val="a0"/>
        <w:ind w:left="1550"/>
        <w:rPr>
          <w:rFonts w:hint="eastAsia"/>
          <w:snapToGrid/>
        </w:rPr>
      </w:pPr>
      <w:r>
        <w:rPr>
          <w:rFonts w:hint="eastAsia"/>
          <w:snapToGrid/>
        </w:rPr>
        <w:t>减贫战略的关键内容</w:t>
      </w:r>
      <w:r>
        <w:rPr>
          <w:snapToGrid/>
        </w:rPr>
        <w:t>：</w:t>
      </w:r>
    </w:p>
    <w:p w:rsidR="00000000" w:rsidRDefault="00844A84">
      <w:pPr>
        <w:pStyle w:val="a0"/>
        <w:ind w:left="2070"/>
        <w:rPr>
          <w:rFonts w:hint="eastAsia"/>
          <w:snapToGrid/>
        </w:rPr>
      </w:pPr>
      <w:r>
        <w:rPr>
          <w:rFonts w:hint="eastAsia"/>
          <w:snapToGrid/>
        </w:rPr>
        <w:t>宏观经济稳定；</w:t>
      </w:r>
    </w:p>
    <w:p w:rsidR="00000000" w:rsidRDefault="00844A84">
      <w:pPr>
        <w:pStyle w:val="a0"/>
        <w:ind w:left="2070"/>
        <w:rPr>
          <w:snapToGrid/>
        </w:rPr>
      </w:pPr>
      <w:r>
        <w:rPr>
          <w:rFonts w:hint="eastAsia"/>
          <w:snapToGrid/>
        </w:rPr>
        <w:t>控制灰色经济；</w:t>
      </w:r>
    </w:p>
    <w:p w:rsidR="00000000" w:rsidRDefault="00844A84">
      <w:pPr>
        <w:pStyle w:val="a0"/>
        <w:ind w:left="2070"/>
        <w:rPr>
          <w:rFonts w:hint="eastAsia"/>
          <w:snapToGrid/>
        </w:rPr>
      </w:pPr>
      <w:r>
        <w:rPr>
          <w:rFonts w:hint="eastAsia"/>
          <w:snapToGrid/>
        </w:rPr>
        <w:t>发展创新企业部门和市场经济；</w:t>
      </w:r>
    </w:p>
    <w:p w:rsidR="00000000" w:rsidRDefault="00844A84">
      <w:pPr>
        <w:pStyle w:val="a0"/>
        <w:ind w:left="2070"/>
        <w:rPr>
          <w:rFonts w:hint="eastAsia"/>
          <w:snapToGrid/>
        </w:rPr>
      </w:pPr>
      <w:r>
        <w:rPr>
          <w:rFonts w:hint="eastAsia"/>
          <w:snapToGrid/>
        </w:rPr>
        <w:t>确定社会福利的受益群体。</w:t>
      </w:r>
    </w:p>
    <w:p w:rsidR="00000000" w:rsidRDefault="00844A84">
      <w:pPr>
        <w:ind w:firstLine="510"/>
        <w:rPr>
          <w:rFonts w:hint="eastAsia"/>
          <w:bCs/>
          <w:snapToGrid/>
        </w:rPr>
      </w:pPr>
      <w:r>
        <w:rPr>
          <w:rFonts w:hint="eastAsia"/>
          <w:bCs/>
          <w:snapToGrid/>
        </w:rPr>
        <w:t xml:space="preserve">469.  </w:t>
      </w:r>
      <w:r>
        <w:rPr>
          <w:rFonts w:hint="eastAsia"/>
          <w:bCs/>
          <w:snapToGrid/>
        </w:rPr>
        <w:t>应该通过以下手段制定这项战略：与所有的社会活动者进行协商，建立数据库</w:t>
      </w:r>
      <w:r>
        <w:rPr>
          <w:rFonts w:hint="eastAsia"/>
          <w:bCs/>
          <w:snapToGrid/>
        </w:rPr>
        <w:t>(</w:t>
      </w:r>
      <w:r>
        <w:rPr>
          <w:rFonts w:hint="eastAsia"/>
          <w:bCs/>
          <w:snapToGrid/>
        </w:rPr>
        <w:t>因为缺乏有关数据和指数的情况日益严重</w:t>
      </w:r>
      <w:r>
        <w:rPr>
          <w:rFonts w:hint="eastAsia"/>
          <w:bCs/>
          <w:snapToGrid/>
        </w:rPr>
        <w:t>)</w:t>
      </w:r>
      <w:r>
        <w:rPr>
          <w:rFonts w:hint="eastAsia"/>
          <w:bCs/>
          <w:snapToGrid/>
        </w:rPr>
        <w:t>，并进行监督以取得进展。</w:t>
      </w:r>
    </w:p>
    <w:p w:rsidR="00000000" w:rsidRDefault="00844A84">
      <w:pPr>
        <w:ind w:firstLine="510"/>
        <w:rPr>
          <w:rFonts w:hint="eastAsia"/>
          <w:bCs/>
          <w:snapToGrid/>
        </w:rPr>
      </w:pPr>
      <w:r>
        <w:rPr>
          <w:rFonts w:hint="eastAsia"/>
          <w:bCs/>
          <w:snapToGrid/>
        </w:rPr>
        <w:t xml:space="preserve">470.  </w:t>
      </w:r>
      <w:r>
        <w:rPr>
          <w:rFonts w:hint="eastAsia"/>
          <w:bCs/>
          <w:snapToGrid/>
        </w:rPr>
        <w:t>黑山共和国政府指定劳动和社会福利部领导这项工作，并指定该部</w:t>
      </w:r>
      <w:r>
        <w:rPr>
          <w:rFonts w:hint="eastAsia"/>
          <w:bCs/>
          <w:snapToGrid/>
        </w:rPr>
        <w:t>部长为这一项目的协调人。政府还指定一个协调机构监督整个进程。该协调机构由以下人员组成：财政部部长、卫生部部长、教育和科学部部长、农业部部长、水供应和森林部部长、发展和信息事务秘书以及发展事务局局长。</w:t>
      </w:r>
    </w:p>
    <w:p w:rsidR="00000000" w:rsidRDefault="00844A84">
      <w:pPr>
        <w:ind w:firstLine="510"/>
        <w:rPr>
          <w:rFonts w:hint="eastAsia"/>
          <w:bCs/>
          <w:snapToGrid/>
        </w:rPr>
      </w:pPr>
      <w:r>
        <w:rPr>
          <w:rFonts w:hint="eastAsia"/>
          <w:bCs/>
          <w:snapToGrid/>
        </w:rPr>
        <w:t xml:space="preserve">471.  </w:t>
      </w:r>
      <w:r>
        <w:rPr>
          <w:rFonts w:hint="eastAsia"/>
          <w:bCs/>
          <w:snapToGrid/>
        </w:rPr>
        <w:t>劳动和社会福利部已审视了世界银行的建议以及各邻国在这一领域的经验。该部据此编写了组织计划，由这一进程的所有参与者起草这项战略。这项工作将涉及组织进程、与行动相关并注重研究的进程以及协商进程。本项目的组织工作涉及设立若干工作组和业务咨询机构。</w:t>
      </w:r>
    </w:p>
    <w:p w:rsidR="00000000" w:rsidRDefault="00844A84">
      <w:pPr>
        <w:ind w:firstLine="510"/>
        <w:rPr>
          <w:rFonts w:hint="eastAsia"/>
          <w:bCs/>
          <w:snapToGrid/>
        </w:rPr>
      </w:pPr>
      <w:r>
        <w:rPr>
          <w:rFonts w:hint="eastAsia"/>
          <w:bCs/>
          <w:snapToGrid/>
        </w:rPr>
        <w:t xml:space="preserve">472.  </w:t>
      </w:r>
      <w:r>
        <w:rPr>
          <w:rFonts w:hint="eastAsia"/>
          <w:bCs/>
          <w:snapToGrid/>
        </w:rPr>
        <w:t>应该由设在劳动和社会福利部的新机构管理组织进程</w:t>
      </w:r>
      <w:r>
        <w:rPr>
          <w:rFonts w:hint="eastAsia"/>
          <w:bCs/>
          <w:snapToGrid/>
        </w:rPr>
        <w:t>的关键工作。名为</w:t>
      </w:r>
      <w:r>
        <w:rPr>
          <w:bCs/>
          <w:snapToGrid/>
        </w:rPr>
        <w:t>“</w:t>
      </w:r>
      <w:r>
        <w:rPr>
          <w:bCs/>
          <w:snapToGrid/>
        </w:rPr>
        <w:t>管理</w:t>
      </w:r>
      <w:r>
        <w:rPr>
          <w:rFonts w:hint="eastAsia"/>
          <w:bCs/>
          <w:snapToGrid/>
        </w:rPr>
        <w:t>股</w:t>
      </w:r>
      <w:r>
        <w:rPr>
          <w:bCs/>
          <w:snapToGrid/>
        </w:rPr>
        <w:t>”</w:t>
      </w:r>
      <w:r>
        <w:rPr>
          <w:rFonts w:hint="eastAsia"/>
          <w:bCs/>
          <w:snapToGrid/>
        </w:rPr>
        <w:t>的机构</w:t>
      </w:r>
      <w:r>
        <w:rPr>
          <w:bCs/>
          <w:snapToGrid/>
        </w:rPr>
        <w:t>将配备部门协调</w:t>
      </w:r>
      <w:r>
        <w:rPr>
          <w:rFonts w:hint="eastAsia"/>
          <w:bCs/>
          <w:snapToGrid/>
        </w:rPr>
        <w:t>员</w:t>
      </w:r>
      <w:r>
        <w:rPr>
          <w:bCs/>
          <w:snapToGrid/>
        </w:rPr>
        <w:t>、译员、项目</w:t>
      </w:r>
      <w:r>
        <w:rPr>
          <w:rFonts w:hint="eastAsia"/>
          <w:bCs/>
          <w:snapToGrid/>
        </w:rPr>
        <w:t>资金</w:t>
      </w:r>
      <w:r>
        <w:rPr>
          <w:bCs/>
          <w:snapToGrid/>
        </w:rPr>
        <w:t>管理人员和技术秘书。</w:t>
      </w:r>
    </w:p>
    <w:p w:rsidR="00000000" w:rsidRDefault="00844A84">
      <w:pPr>
        <w:ind w:firstLine="510"/>
        <w:rPr>
          <w:rFonts w:hint="eastAsia"/>
          <w:bCs/>
          <w:snapToGrid/>
        </w:rPr>
      </w:pPr>
      <w:r>
        <w:rPr>
          <w:rFonts w:hint="eastAsia"/>
          <w:bCs/>
          <w:snapToGrid/>
        </w:rPr>
        <w:t xml:space="preserve">473.  </w:t>
      </w:r>
      <w:r>
        <w:rPr>
          <w:rFonts w:hint="eastAsia"/>
          <w:bCs/>
          <w:snapToGrid/>
        </w:rPr>
        <w:t>项目委员会由参与战略草拟工作的以下部门的代表组成：政府机构、专家和咨询机构代表。</w:t>
      </w:r>
    </w:p>
    <w:p w:rsidR="00000000" w:rsidRDefault="00844A84">
      <w:pPr>
        <w:ind w:firstLine="510"/>
        <w:rPr>
          <w:rFonts w:hint="eastAsia"/>
          <w:bCs/>
          <w:snapToGrid/>
        </w:rPr>
      </w:pPr>
      <w:r>
        <w:rPr>
          <w:rFonts w:hint="eastAsia"/>
          <w:bCs/>
          <w:snapToGrid/>
        </w:rPr>
        <w:t xml:space="preserve">474.  </w:t>
      </w:r>
      <w:r>
        <w:rPr>
          <w:rFonts w:hint="eastAsia"/>
          <w:bCs/>
          <w:snapToGrid/>
        </w:rPr>
        <w:t>专家工作组的成员为受委托执行具体任务的特别专家组协调员以及有关部委的代表。根据有关优先次序，已建立了以下领域的工作组：教育、保健、就业、社会福利、经济和区域发展、宏观经济政策和生态。每个工作组都必须提交书面材料，并完成两个协商进程。</w:t>
      </w:r>
    </w:p>
    <w:p w:rsidR="00000000" w:rsidRDefault="00844A84">
      <w:pPr>
        <w:ind w:firstLine="510"/>
        <w:rPr>
          <w:rFonts w:hint="eastAsia"/>
          <w:bCs/>
          <w:snapToGrid/>
        </w:rPr>
      </w:pPr>
      <w:r>
        <w:rPr>
          <w:rFonts w:hint="eastAsia"/>
          <w:bCs/>
          <w:snapToGrid/>
        </w:rPr>
        <w:t xml:space="preserve">475.  </w:t>
      </w:r>
      <w:r>
        <w:rPr>
          <w:rFonts w:hint="eastAsia"/>
          <w:bCs/>
          <w:snapToGrid/>
        </w:rPr>
        <w:t>战略起草工作要求各参与者作出全面贡献，这些参与者通过六个协商委员会参与工作</w:t>
      </w:r>
      <w:r>
        <w:rPr>
          <w:rFonts w:hint="eastAsia"/>
          <w:bCs/>
          <w:snapToGrid/>
        </w:rPr>
        <w:t>，并通过协商进程参与战略起草工作。</w:t>
      </w:r>
    </w:p>
    <w:p w:rsidR="00000000" w:rsidRDefault="00844A84">
      <w:pPr>
        <w:ind w:firstLine="510"/>
        <w:rPr>
          <w:rFonts w:hint="eastAsia"/>
          <w:bCs/>
          <w:snapToGrid/>
        </w:rPr>
      </w:pPr>
      <w:r>
        <w:rPr>
          <w:rFonts w:hint="eastAsia"/>
          <w:bCs/>
          <w:snapToGrid/>
        </w:rPr>
        <w:t xml:space="preserve">476.  </w:t>
      </w:r>
      <w:r>
        <w:rPr>
          <w:rFonts w:hint="eastAsia"/>
          <w:bCs/>
          <w:snapToGrid/>
        </w:rPr>
        <w:t>这项战略将遵守以下原则：</w:t>
      </w:r>
    </w:p>
    <w:p w:rsidR="00000000" w:rsidRDefault="00844A84">
      <w:pPr>
        <w:pStyle w:val="a0"/>
        <w:ind w:left="520" w:firstLine="510"/>
        <w:rPr>
          <w:rFonts w:hint="eastAsia"/>
          <w:snapToGrid/>
        </w:rPr>
      </w:pPr>
      <w:r>
        <w:rPr>
          <w:rFonts w:hint="eastAsia"/>
          <w:snapToGrid/>
        </w:rPr>
        <w:t>战略是整个社会的产物；</w:t>
      </w:r>
    </w:p>
    <w:p w:rsidR="00000000" w:rsidRDefault="00844A84">
      <w:pPr>
        <w:pStyle w:val="a0"/>
        <w:ind w:left="520" w:firstLine="510"/>
        <w:rPr>
          <w:rFonts w:hint="eastAsia"/>
          <w:snapToGrid/>
        </w:rPr>
      </w:pPr>
      <w:r>
        <w:rPr>
          <w:rFonts w:hint="eastAsia"/>
          <w:snapToGrid/>
        </w:rPr>
        <w:t>由国家实施行动计划，以期实现本身的发展；</w:t>
      </w:r>
    </w:p>
    <w:p w:rsidR="00000000" w:rsidRDefault="00844A84">
      <w:pPr>
        <w:pStyle w:val="a0"/>
        <w:ind w:left="520" w:firstLine="510"/>
        <w:rPr>
          <w:rFonts w:hint="eastAsia"/>
          <w:snapToGrid/>
        </w:rPr>
      </w:pPr>
      <w:r>
        <w:rPr>
          <w:rFonts w:hint="eastAsia"/>
          <w:snapToGrid/>
        </w:rPr>
        <w:t>通过筹备进程制定战略；</w:t>
      </w:r>
    </w:p>
    <w:p w:rsidR="00000000" w:rsidRDefault="00844A84">
      <w:pPr>
        <w:pStyle w:val="a0"/>
        <w:ind w:left="520" w:firstLine="510"/>
        <w:rPr>
          <w:rFonts w:hint="eastAsia"/>
          <w:snapToGrid/>
        </w:rPr>
      </w:pPr>
      <w:r>
        <w:rPr>
          <w:rFonts w:hint="eastAsia"/>
          <w:snapToGrid/>
        </w:rPr>
        <w:t>战略有利于社会经济与生态发展相结合；</w:t>
      </w:r>
    </w:p>
    <w:p w:rsidR="00000000" w:rsidRDefault="00844A84">
      <w:pPr>
        <w:pStyle w:val="a0"/>
        <w:ind w:left="520" w:firstLine="510"/>
        <w:rPr>
          <w:rFonts w:hint="eastAsia"/>
          <w:snapToGrid/>
        </w:rPr>
      </w:pPr>
      <w:r>
        <w:rPr>
          <w:rFonts w:hint="eastAsia"/>
          <w:snapToGrid/>
        </w:rPr>
        <w:t>战略特别重视发展人的潜力；</w:t>
      </w:r>
    </w:p>
    <w:p w:rsidR="00000000" w:rsidRDefault="00844A84">
      <w:pPr>
        <w:pStyle w:val="a0"/>
        <w:ind w:left="520" w:firstLine="510"/>
        <w:rPr>
          <w:rFonts w:hint="eastAsia"/>
          <w:snapToGrid/>
        </w:rPr>
      </w:pPr>
      <w:r>
        <w:rPr>
          <w:rFonts w:hint="eastAsia"/>
          <w:snapToGrid/>
        </w:rPr>
        <w:t>整个进程是透明的进程。</w:t>
      </w:r>
    </w:p>
    <w:p w:rsidR="00000000" w:rsidRDefault="00844A84">
      <w:pPr>
        <w:rPr>
          <w:rFonts w:hint="eastAsia"/>
          <w:bCs/>
          <w:snapToGrid/>
        </w:rPr>
      </w:pPr>
      <w:r>
        <w:rPr>
          <w:rFonts w:hint="eastAsia"/>
          <w:bCs/>
          <w:snapToGrid/>
        </w:rPr>
        <w:t>尽管战略起草工作应通过我们本身的努力进行，但国际伙伴捐助机构的协助也必不可少。迄今我们已确定世界银行、国际开发部、开发计划署以及联合国其他机构为潜在的捐助机构。</w:t>
      </w:r>
    </w:p>
    <w:p w:rsidR="00000000" w:rsidRDefault="00844A84">
      <w:pPr>
        <w:ind w:firstLine="510"/>
        <w:rPr>
          <w:rFonts w:hint="eastAsia"/>
          <w:bCs/>
          <w:snapToGrid/>
        </w:rPr>
      </w:pPr>
      <w:r>
        <w:rPr>
          <w:rFonts w:hint="eastAsia"/>
          <w:bCs/>
          <w:snapToGrid/>
        </w:rPr>
        <w:t xml:space="preserve">477.  </w:t>
      </w:r>
      <w:r>
        <w:rPr>
          <w:rFonts w:hint="eastAsia"/>
          <w:bCs/>
          <w:snapToGrid/>
        </w:rPr>
        <w:t>迄今我们已在制定战略方面取得的经验包括举办有关以下专题的发展问题辩论：机构与贫穷，新</w:t>
      </w:r>
      <w:r>
        <w:rPr>
          <w:rFonts w:hint="eastAsia"/>
          <w:bCs/>
          <w:snapToGrid/>
        </w:rPr>
        <w:t>工作机会与贫穷，社会保护与贫穷。</w:t>
      </w:r>
    </w:p>
    <w:p w:rsidR="00000000" w:rsidRDefault="00844A84">
      <w:pPr>
        <w:ind w:firstLine="510"/>
        <w:rPr>
          <w:rFonts w:hint="eastAsia"/>
          <w:bCs/>
          <w:snapToGrid/>
        </w:rPr>
      </w:pPr>
      <w:r>
        <w:rPr>
          <w:rFonts w:hint="eastAsia"/>
          <w:bCs/>
          <w:snapToGrid/>
        </w:rPr>
        <w:t xml:space="preserve">478.  </w:t>
      </w:r>
      <w:r>
        <w:rPr>
          <w:rFonts w:hint="eastAsia"/>
          <w:bCs/>
          <w:snapToGrid/>
        </w:rPr>
        <w:t>我们参加了阿尔巴尼亚、波斯尼亚和黑塞哥维那以及南斯拉夫的减贫论坛，该论坛的作用是提供一个场所，供已达到拟定战略某一阶段的国家相互交流经验。</w:t>
      </w:r>
    </w:p>
    <w:p w:rsidR="00000000" w:rsidRDefault="00844A84">
      <w:pPr>
        <w:ind w:firstLine="510"/>
        <w:rPr>
          <w:rFonts w:hint="eastAsia"/>
          <w:bCs/>
          <w:snapToGrid/>
        </w:rPr>
      </w:pPr>
      <w:r>
        <w:rPr>
          <w:rFonts w:hint="eastAsia"/>
          <w:bCs/>
          <w:snapToGrid/>
        </w:rPr>
        <w:t xml:space="preserve">479.  </w:t>
      </w:r>
      <w:r>
        <w:rPr>
          <w:rFonts w:hint="eastAsia"/>
          <w:bCs/>
          <w:snapToGrid/>
        </w:rPr>
        <w:t>草拟战略的整个阶段可称为筹备阶段。在成立工作组之后，我们将进入另一阶段，这一阶段开始时首先要求确定贫穷的定义、提出目标和战略优先事项。</w:t>
      </w:r>
    </w:p>
    <w:p w:rsidR="00000000" w:rsidRDefault="00844A84">
      <w:pPr>
        <w:spacing w:after="320"/>
        <w:ind w:firstLine="510"/>
        <w:rPr>
          <w:rFonts w:hint="eastAsia"/>
          <w:bCs/>
          <w:snapToGrid/>
        </w:rPr>
      </w:pPr>
      <w:r>
        <w:rPr>
          <w:rFonts w:hint="eastAsia"/>
          <w:bCs/>
          <w:snapToGrid/>
        </w:rPr>
        <w:t xml:space="preserve">480.  </w:t>
      </w:r>
      <w:r>
        <w:rPr>
          <w:rFonts w:hint="eastAsia"/>
          <w:bCs/>
          <w:snapToGrid/>
        </w:rPr>
        <w:t>按照目前的时间表，我们设想在</w:t>
      </w:r>
      <w:r>
        <w:rPr>
          <w:bCs/>
          <w:snapToGrid/>
        </w:rPr>
        <w:t>2003</w:t>
      </w:r>
      <w:r>
        <w:rPr>
          <w:bCs/>
          <w:snapToGrid/>
        </w:rPr>
        <w:t>年年中通过整个战略。</w:t>
      </w:r>
    </w:p>
    <w:p w:rsidR="00000000" w:rsidRDefault="00844A84">
      <w:pPr>
        <w:pStyle w:val="Heading4"/>
        <w:rPr>
          <w:rFonts w:hint="eastAsia"/>
        </w:rPr>
      </w:pPr>
      <w:r>
        <w:rPr>
          <w:rFonts w:hint="eastAsia"/>
        </w:rPr>
        <w:t>第</w:t>
      </w:r>
      <w:r>
        <w:rPr>
          <w:rFonts w:hint="eastAsia"/>
        </w:rPr>
        <w:t xml:space="preserve"> 2 </w:t>
      </w:r>
      <w:r>
        <w:rPr>
          <w:rFonts w:hint="eastAsia"/>
        </w:rPr>
        <w:t>款</w:t>
      </w:r>
    </w:p>
    <w:p w:rsidR="00000000" w:rsidRDefault="00844A84">
      <w:pPr>
        <w:ind w:firstLine="510"/>
        <w:rPr>
          <w:rFonts w:hint="eastAsia"/>
          <w:bCs/>
          <w:snapToGrid/>
        </w:rPr>
      </w:pPr>
      <w:r>
        <w:rPr>
          <w:rFonts w:hint="eastAsia"/>
          <w:bCs/>
          <w:snapToGrid/>
        </w:rPr>
        <w:t xml:space="preserve">481.  </w:t>
      </w:r>
      <w:r>
        <w:rPr>
          <w:rFonts w:hint="eastAsia"/>
          <w:bCs/>
          <w:snapToGrid/>
        </w:rPr>
        <w:t>《黑山共和国宪法》第</w:t>
      </w:r>
      <w:r>
        <w:rPr>
          <w:bCs/>
          <w:snapToGrid/>
        </w:rPr>
        <w:t>15</w:t>
      </w:r>
      <w:r>
        <w:rPr>
          <w:bCs/>
          <w:snapToGrid/>
        </w:rPr>
        <w:t>条规定必须遵守</w:t>
      </w:r>
      <w:r>
        <w:rPr>
          <w:rFonts w:hint="eastAsia"/>
          <w:bCs/>
          <w:snapToGrid/>
        </w:rPr>
        <w:t>非</w:t>
      </w:r>
      <w:r>
        <w:rPr>
          <w:bCs/>
          <w:snapToGrid/>
        </w:rPr>
        <w:t>歧视的原则，该条规定：</w:t>
      </w:r>
      <w:r>
        <w:rPr>
          <w:bCs/>
          <w:snapToGrid/>
        </w:rPr>
        <w:t>“</w:t>
      </w:r>
      <w:r>
        <w:rPr>
          <w:bCs/>
          <w:snapToGrid/>
        </w:rPr>
        <w:t>所有公民，不论其个人</w:t>
      </w:r>
      <w:r>
        <w:rPr>
          <w:bCs/>
          <w:snapToGrid/>
        </w:rPr>
        <w:t>特性如何，</w:t>
      </w:r>
      <w:r>
        <w:rPr>
          <w:rFonts w:hint="eastAsia"/>
          <w:bCs/>
          <w:snapToGrid/>
        </w:rPr>
        <w:t>均一律</w:t>
      </w:r>
      <w:r>
        <w:rPr>
          <w:bCs/>
          <w:snapToGrid/>
        </w:rPr>
        <w:t>自由平等</w:t>
      </w:r>
      <w:r>
        <w:rPr>
          <w:bCs/>
          <w:snapToGrid/>
        </w:rPr>
        <w:t>”</w:t>
      </w:r>
      <w:r>
        <w:rPr>
          <w:bCs/>
          <w:snapToGrid/>
        </w:rPr>
        <w:t>。该条还令规定，共和国承诺、《宪法》也保障所有黑山人得到最广泛的免受歧视的保护。国家立法进一步发展了这种承诺。《黑山共和国刑法典》第</w:t>
      </w:r>
      <w:r>
        <w:rPr>
          <w:bCs/>
          <w:snapToGrid/>
        </w:rPr>
        <w:t>43</w:t>
      </w:r>
      <w:r>
        <w:rPr>
          <w:bCs/>
          <w:snapToGrid/>
        </w:rPr>
        <w:t>条</w:t>
      </w:r>
      <w:r>
        <w:rPr>
          <w:rFonts w:hint="eastAsia"/>
          <w:bCs/>
          <w:snapToGrid/>
        </w:rPr>
        <w:t>将</w:t>
      </w:r>
      <w:r>
        <w:rPr>
          <w:bCs/>
          <w:snapToGrid/>
        </w:rPr>
        <w:t>侵犯平等</w:t>
      </w:r>
      <w:r>
        <w:rPr>
          <w:rFonts w:hint="eastAsia"/>
          <w:bCs/>
          <w:snapToGrid/>
        </w:rPr>
        <w:t>的行为定为</w:t>
      </w:r>
      <w:r>
        <w:rPr>
          <w:bCs/>
          <w:snapToGrid/>
        </w:rPr>
        <w:t>刑事罪。该条规定以下行为都应得到惩处：</w:t>
      </w:r>
      <w:r>
        <w:rPr>
          <w:rFonts w:hint="eastAsia"/>
          <w:bCs/>
          <w:snapToGrid/>
        </w:rPr>
        <w:t>因国籍或</w:t>
      </w:r>
      <w:r>
        <w:rPr>
          <w:bCs/>
          <w:snapToGrid/>
        </w:rPr>
        <w:t>种族、民族、宗教、政治信仰或其他信仰、性别、语言、教育或社会地位不同，剥夺和限制任何个人和公民</w:t>
      </w:r>
      <w:r>
        <w:rPr>
          <w:rFonts w:hint="eastAsia"/>
          <w:bCs/>
          <w:snapToGrid/>
        </w:rPr>
        <w:t>享有</w:t>
      </w:r>
      <w:r>
        <w:rPr>
          <w:bCs/>
          <w:snapToGrid/>
        </w:rPr>
        <w:t>《宪法》、法律、其他条例或一般法令或</w:t>
      </w:r>
      <w:r>
        <w:rPr>
          <w:rFonts w:hint="eastAsia"/>
          <w:bCs/>
          <w:snapToGrid/>
        </w:rPr>
        <w:t>我国已</w:t>
      </w:r>
      <w:r>
        <w:rPr>
          <w:bCs/>
          <w:snapToGrid/>
        </w:rPr>
        <w:t>批准的国际条约规定的权利，或</w:t>
      </w:r>
      <w:r>
        <w:rPr>
          <w:rFonts w:hint="eastAsia"/>
          <w:bCs/>
          <w:snapToGrid/>
        </w:rPr>
        <w:t>使之</w:t>
      </w:r>
      <w:r>
        <w:rPr>
          <w:bCs/>
          <w:snapToGrid/>
        </w:rPr>
        <w:t>享有特权或优惠。该条规定的惩罚从入狱</w:t>
      </w:r>
      <w:r>
        <w:rPr>
          <w:bCs/>
          <w:snapToGrid/>
        </w:rPr>
        <w:t>3</w:t>
      </w:r>
      <w:r>
        <w:rPr>
          <w:bCs/>
          <w:snapToGrid/>
        </w:rPr>
        <w:t>月至</w:t>
      </w:r>
      <w:r>
        <w:rPr>
          <w:bCs/>
          <w:snapToGrid/>
        </w:rPr>
        <w:t>5</w:t>
      </w:r>
      <w:r>
        <w:rPr>
          <w:bCs/>
          <w:snapToGrid/>
        </w:rPr>
        <w:t>年不等。</w:t>
      </w:r>
    </w:p>
    <w:p w:rsidR="00000000" w:rsidRDefault="00844A84">
      <w:pPr>
        <w:spacing w:after="320"/>
        <w:ind w:firstLine="510"/>
        <w:rPr>
          <w:rFonts w:hint="eastAsia"/>
          <w:bCs/>
          <w:snapToGrid/>
        </w:rPr>
      </w:pPr>
      <w:r>
        <w:rPr>
          <w:rFonts w:hint="eastAsia"/>
          <w:bCs/>
          <w:snapToGrid/>
        </w:rPr>
        <w:t xml:space="preserve">482.  </w:t>
      </w:r>
      <w:r>
        <w:rPr>
          <w:rFonts w:hint="eastAsia"/>
          <w:bCs/>
          <w:snapToGrid/>
        </w:rPr>
        <w:t>非歧视条款也适用于居住在黑山共和国境内的外国</w:t>
      </w:r>
      <w:r>
        <w:rPr>
          <w:rFonts w:hint="eastAsia"/>
          <w:bCs/>
          <w:snapToGrid/>
        </w:rPr>
        <w:t>人。例如，《关于在共和国境内居住但无法按其他条件利用保健服务的外国人利用保健服务及其他健康保险相关权利的条件的决议》</w:t>
      </w:r>
      <w:r>
        <w:rPr>
          <w:rFonts w:hint="eastAsia"/>
          <w:bCs/>
          <w:snapToGrid/>
        </w:rPr>
        <w:t>(</w:t>
      </w:r>
      <w:r>
        <w:rPr>
          <w:rFonts w:hint="eastAsia"/>
          <w:bCs/>
          <w:snapToGrid/>
        </w:rPr>
        <w:t>《黑山共和国政府公报》</w:t>
      </w:r>
      <w:r>
        <w:rPr>
          <w:bCs/>
          <w:snapToGrid/>
        </w:rPr>
        <w:t>，第</w:t>
      </w:r>
      <w:r>
        <w:rPr>
          <w:bCs/>
          <w:snapToGrid/>
        </w:rPr>
        <w:t>2/91</w:t>
      </w:r>
      <w:r>
        <w:rPr>
          <w:bCs/>
          <w:snapToGrid/>
        </w:rPr>
        <w:t>号</w:t>
      </w:r>
      <w:r>
        <w:rPr>
          <w:rFonts w:hint="eastAsia"/>
          <w:bCs/>
          <w:snapToGrid/>
        </w:rPr>
        <w:t>)</w:t>
      </w:r>
      <w:r>
        <w:rPr>
          <w:bCs/>
          <w:snapToGrid/>
        </w:rPr>
        <w:t>对医疗问题作出了规</w:t>
      </w:r>
      <w:r>
        <w:rPr>
          <w:rFonts w:hint="eastAsia"/>
          <w:bCs/>
          <w:snapToGrid/>
        </w:rPr>
        <w:t>定</w:t>
      </w:r>
      <w:r>
        <w:rPr>
          <w:bCs/>
          <w:snapToGrid/>
        </w:rPr>
        <w:t>。该决议</w:t>
      </w:r>
      <w:r>
        <w:rPr>
          <w:rFonts w:hint="eastAsia"/>
          <w:bCs/>
          <w:snapToGrid/>
        </w:rPr>
        <w:t>第</w:t>
      </w:r>
      <w:r>
        <w:rPr>
          <w:rFonts w:hint="eastAsia"/>
          <w:bCs/>
          <w:snapToGrid/>
        </w:rPr>
        <w:t>2</w:t>
      </w:r>
      <w:r>
        <w:rPr>
          <w:bCs/>
          <w:snapToGrid/>
        </w:rPr>
        <w:t>条规定，</w:t>
      </w:r>
      <w:r>
        <w:rPr>
          <w:rFonts w:hint="eastAsia"/>
          <w:bCs/>
          <w:snapToGrid/>
        </w:rPr>
        <w:t>因</w:t>
      </w:r>
      <w:r>
        <w:rPr>
          <w:bCs/>
          <w:snapToGrid/>
        </w:rPr>
        <w:t>接受教育或专业训练居住在共和国境内的外国人及与</w:t>
      </w:r>
      <w:r>
        <w:rPr>
          <w:rFonts w:hint="eastAsia"/>
          <w:bCs/>
          <w:snapToGrid/>
        </w:rPr>
        <w:t>之</w:t>
      </w:r>
      <w:r>
        <w:rPr>
          <w:bCs/>
          <w:snapToGrid/>
        </w:rPr>
        <w:t>共同生活的任何亲属，如不享有其他的医疗照顾，</w:t>
      </w:r>
      <w:r>
        <w:rPr>
          <w:rFonts w:hint="eastAsia"/>
          <w:bCs/>
          <w:snapToGrid/>
        </w:rPr>
        <w:t>则</w:t>
      </w:r>
      <w:r>
        <w:rPr>
          <w:bCs/>
          <w:snapToGrid/>
        </w:rPr>
        <w:t>有权与黑山共和国公民</w:t>
      </w:r>
      <w:r>
        <w:rPr>
          <w:rFonts w:hint="eastAsia"/>
          <w:bCs/>
          <w:snapToGrid/>
        </w:rPr>
        <w:t>同等</w:t>
      </w:r>
      <w:r>
        <w:rPr>
          <w:bCs/>
          <w:snapToGrid/>
        </w:rPr>
        <w:t>享有医疗照顾及健康保险的其他</w:t>
      </w:r>
      <w:r>
        <w:rPr>
          <w:rFonts w:hint="eastAsia"/>
          <w:bCs/>
          <w:snapToGrid/>
        </w:rPr>
        <w:t>相关</w:t>
      </w:r>
      <w:r>
        <w:rPr>
          <w:bCs/>
          <w:snapToGrid/>
        </w:rPr>
        <w:t>权利。</w:t>
      </w:r>
    </w:p>
    <w:p w:rsidR="00000000" w:rsidRDefault="00844A84">
      <w:pPr>
        <w:pStyle w:val="Heading3"/>
        <w:rPr>
          <w:rFonts w:hint="eastAsia"/>
        </w:rPr>
      </w:pPr>
      <w:r>
        <w:rPr>
          <w:rFonts w:hint="eastAsia"/>
        </w:rPr>
        <w:t>第</w:t>
      </w:r>
      <w:r>
        <w:rPr>
          <w:rFonts w:hint="eastAsia"/>
        </w:rPr>
        <w:t xml:space="preserve"> </w:t>
      </w:r>
      <w:r>
        <w:rPr>
          <w:rFonts w:hint="eastAsia"/>
        </w:rPr>
        <w:t>三</w:t>
      </w:r>
      <w:r>
        <w:rPr>
          <w:rFonts w:hint="eastAsia"/>
        </w:rPr>
        <w:t xml:space="preserve"> </w:t>
      </w:r>
      <w:r>
        <w:rPr>
          <w:rFonts w:hint="eastAsia"/>
        </w:rPr>
        <w:t>条</w:t>
      </w:r>
    </w:p>
    <w:p w:rsidR="00000000" w:rsidRDefault="00844A84">
      <w:pPr>
        <w:ind w:firstLine="510"/>
        <w:rPr>
          <w:rFonts w:hint="eastAsia"/>
          <w:bCs/>
          <w:snapToGrid/>
        </w:rPr>
      </w:pPr>
      <w:r>
        <w:rPr>
          <w:rFonts w:hint="eastAsia"/>
          <w:bCs/>
          <w:snapToGrid/>
        </w:rPr>
        <w:t xml:space="preserve">483.  </w:t>
      </w:r>
      <w:r>
        <w:rPr>
          <w:rFonts w:hint="eastAsia"/>
          <w:bCs/>
          <w:snapToGrid/>
        </w:rPr>
        <w:t>在黑山共和国实施的从《宪法》到各种法律和条例的立法都宣布两性平等。例如，法律正式规定生活各领域性别平等。目前并没有有关性别平等的专项</w:t>
      </w:r>
      <w:r>
        <w:rPr>
          <w:rFonts w:hint="eastAsia"/>
          <w:bCs/>
          <w:snapToGrid/>
        </w:rPr>
        <w:t>法律，但这一问题已纳入几乎所有的法律之中。</w:t>
      </w:r>
    </w:p>
    <w:p w:rsidR="00000000" w:rsidRDefault="00844A84">
      <w:pPr>
        <w:ind w:firstLine="510"/>
        <w:rPr>
          <w:rFonts w:hint="eastAsia"/>
          <w:bCs/>
          <w:snapToGrid/>
        </w:rPr>
      </w:pPr>
      <w:r>
        <w:rPr>
          <w:rFonts w:hint="eastAsia"/>
          <w:bCs/>
          <w:snapToGrid/>
        </w:rPr>
        <w:t xml:space="preserve">484.  </w:t>
      </w:r>
      <w:r>
        <w:rPr>
          <w:rFonts w:hint="eastAsia"/>
          <w:bCs/>
          <w:snapToGrid/>
        </w:rPr>
        <w:t>在各级教育和就业政策方面，符合规定条件的男女都可平等入学和就业。但雇主往往选用男性而不愿雇用女性，尤其不愿雇用青年妇女，因为他们认为她们会因怀孕而离职回家抚养子女。</w:t>
      </w:r>
    </w:p>
    <w:p w:rsidR="00000000" w:rsidRDefault="00844A84">
      <w:pPr>
        <w:ind w:firstLine="510"/>
        <w:rPr>
          <w:rFonts w:hint="eastAsia"/>
          <w:bCs/>
          <w:snapToGrid/>
        </w:rPr>
      </w:pPr>
      <w:r>
        <w:rPr>
          <w:rFonts w:hint="eastAsia"/>
          <w:bCs/>
          <w:snapToGrid/>
        </w:rPr>
        <w:t xml:space="preserve">485.  </w:t>
      </w:r>
      <w:r>
        <w:rPr>
          <w:rFonts w:hint="eastAsia"/>
          <w:bCs/>
          <w:snapToGrid/>
        </w:rPr>
        <w:t>因此，维护平等的法律和重男轻女的实践两者之间大相径庭。原因何在？答案是，这在很大程度上涉及黑山社会的传统结构，因为黑山是严格的父权制社会，在儿童成长的社会中，各种风俗习惯禁止妇女从事养育子女和照顾家庭以外的任何工作。即使时到今日，在我国一些区域，家长仍不允许女孩在年满</w:t>
      </w:r>
      <w:r>
        <w:rPr>
          <w:bCs/>
          <w:snapToGrid/>
        </w:rPr>
        <w:t>11</w:t>
      </w:r>
      <w:r>
        <w:rPr>
          <w:bCs/>
          <w:snapToGrid/>
        </w:rPr>
        <w:t>或</w:t>
      </w:r>
      <w:r>
        <w:rPr>
          <w:bCs/>
          <w:snapToGrid/>
        </w:rPr>
        <w:t>12</w:t>
      </w:r>
      <w:r>
        <w:rPr>
          <w:bCs/>
          <w:snapToGrid/>
        </w:rPr>
        <w:t>岁后继续上学。这种妇女</w:t>
      </w:r>
      <w:r>
        <w:rPr>
          <w:rFonts w:hint="eastAsia"/>
          <w:bCs/>
          <w:snapToGrid/>
        </w:rPr>
        <w:t>乃至</w:t>
      </w:r>
      <w:r>
        <w:rPr>
          <w:bCs/>
          <w:snapToGrid/>
        </w:rPr>
        <w:t>整个社会缺乏教育</w:t>
      </w:r>
      <w:r>
        <w:rPr>
          <w:rFonts w:hint="eastAsia"/>
          <w:bCs/>
          <w:snapToGrid/>
        </w:rPr>
        <w:t>的现象</w:t>
      </w:r>
      <w:r>
        <w:rPr>
          <w:bCs/>
          <w:snapToGrid/>
        </w:rPr>
        <w:t>限制了妇女可享</w:t>
      </w:r>
      <w:r>
        <w:rPr>
          <w:rFonts w:hint="eastAsia"/>
          <w:bCs/>
          <w:snapToGrid/>
        </w:rPr>
        <w:t>有</w:t>
      </w:r>
      <w:r>
        <w:rPr>
          <w:bCs/>
          <w:snapToGrid/>
        </w:rPr>
        <w:t>权利的范围。</w:t>
      </w:r>
    </w:p>
    <w:p w:rsidR="00000000" w:rsidRDefault="00844A84">
      <w:pPr>
        <w:ind w:firstLine="510"/>
        <w:rPr>
          <w:rFonts w:hint="eastAsia"/>
          <w:bCs/>
          <w:snapToGrid/>
        </w:rPr>
      </w:pPr>
      <w:r>
        <w:rPr>
          <w:rFonts w:hint="eastAsia"/>
          <w:bCs/>
          <w:snapToGrid/>
        </w:rPr>
        <w:t xml:space="preserve">486.  </w:t>
      </w:r>
      <w:r>
        <w:rPr>
          <w:bCs/>
          <w:snapToGrid/>
        </w:rPr>
        <w:t>此外，虽然</w:t>
      </w:r>
      <w:r>
        <w:rPr>
          <w:rFonts w:hint="eastAsia"/>
          <w:bCs/>
          <w:snapToGrid/>
        </w:rPr>
        <w:t>有</w:t>
      </w:r>
      <w:r>
        <w:rPr>
          <w:bCs/>
          <w:snapToGrid/>
        </w:rPr>
        <w:t>适当的法律规定</w:t>
      </w:r>
      <w:r>
        <w:rPr>
          <w:rFonts w:hint="eastAsia"/>
          <w:bCs/>
          <w:snapToGrid/>
        </w:rPr>
        <w:t>，</w:t>
      </w:r>
      <w:r>
        <w:rPr>
          <w:bCs/>
          <w:snapToGrid/>
        </w:rPr>
        <w:t>男女在接受祖辈遗产方面</w:t>
      </w:r>
      <w:r>
        <w:rPr>
          <w:rFonts w:hint="eastAsia"/>
          <w:bCs/>
          <w:snapToGrid/>
        </w:rPr>
        <w:t>平等</w:t>
      </w:r>
      <w:r>
        <w:rPr>
          <w:bCs/>
          <w:snapToGrid/>
        </w:rPr>
        <w:t>，但按照传统，姐妹自愿放弃自己</w:t>
      </w:r>
      <w:r>
        <w:rPr>
          <w:rFonts w:hint="eastAsia"/>
          <w:bCs/>
          <w:snapToGrid/>
        </w:rPr>
        <w:t>应得</w:t>
      </w:r>
      <w:r>
        <w:rPr>
          <w:bCs/>
          <w:snapToGrid/>
        </w:rPr>
        <w:t>的遗产而由</w:t>
      </w:r>
      <w:r>
        <w:rPr>
          <w:rFonts w:hint="eastAsia"/>
          <w:bCs/>
          <w:snapToGrid/>
        </w:rPr>
        <w:t>其</w:t>
      </w:r>
      <w:r>
        <w:rPr>
          <w:bCs/>
          <w:snapToGrid/>
        </w:rPr>
        <w:t>兄弟</w:t>
      </w:r>
      <w:r>
        <w:rPr>
          <w:rFonts w:hint="eastAsia"/>
          <w:bCs/>
          <w:snapToGrid/>
        </w:rPr>
        <w:t>继承，只是这种现象</w:t>
      </w:r>
      <w:r>
        <w:rPr>
          <w:bCs/>
          <w:snapToGrid/>
        </w:rPr>
        <w:t>现在已较不普遍。</w:t>
      </w:r>
    </w:p>
    <w:p w:rsidR="00000000" w:rsidRDefault="00844A84">
      <w:pPr>
        <w:ind w:firstLine="510"/>
        <w:rPr>
          <w:rFonts w:hint="eastAsia"/>
          <w:bCs/>
          <w:snapToGrid/>
        </w:rPr>
      </w:pPr>
      <w:r>
        <w:rPr>
          <w:rFonts w:hint="eastAsia"/>
          <w:bCs/>
          <w:snapToGrid/>
        </w:rPr>
        <w:t xml:space="preserve">487.  </w:t>
      </w:r>
      <w:r>
        <w:rPr>
          <w:bCs/>
          <w:snapToGrid/>
        </w:rPr>
        <w:t>1995</w:t>
      </w:r>
      <w:r>
        <w:rPr>
          <w:bCs/>
          <w:snapToGrid/>
        </w:rPr>
        <w:t>年在北京举行的</w:t>
      </w:r>
      <w:r>
        <w:rPr>
          <w:rFonts w:hint="eastAsia"/>
          <w:bCs/>
          <w:snapToGrid/>
        </w:rPr>
        <w:t>第四次妇女问题世界会议通过了《北京宣言》和《行动纲要》</w:t>
      </w:r>
      <w:r>
        <w:rPr>
          <w:rFonts w:hint="eastAsia"/>
          <w:bCs/>
          <w:snapToGrid/>
        </w:rPr>
        <w:t>(</w:t>
      </w:r>
      <w:r>
        <w:rPr>
          <w:rFonts w:hint="eastAsia"/>
          <w:bCs/>
          <w:snapToGrid/>
        </w:rPr>
        <w:t>第四次妇女问题世界会议</w:t>
      </w:r>
      <w:r>
        <w:rPr>
          <w:rFonts w:hint="eastAsia"/>
          <w:bCs/>
          <w:snapToGrid/>
        </w:rPr>
        <w:t>(</w:t>
      </w:r>
      <w:r>
        <w:rPr>
          <w:bCs/>
          <w:snapToGrid/>
        </w:rPr>
        <w:t>1995</w:t>
      </w:r>
      <w:r>
        <w:rPr>
          <w:bCs/>
          <w:snapToGrid/>
        </w:rPr>
        <w:t>年</w:t>
      </w:r>
      <w:r>
        <w:rPr>
          <w:bCs/>
          <w:snapToGrid/>
        </w:rPr>
        <w:t>9</w:t>
      </w:r>
      <w:r>
        <w:rPr>
          <w:bCs/>
          <w:snapToGrid/>
        </w:rPr>
        <w:t>月</w:t>
      </w:r>
      <w:r>
        <w:rPr>
          <w:bCs/>
          <w:snapToGrid/>
        </w:rPr>
        <w:t>4</w:t>
      </w:r>
      <w:r>
        <w:rPr>
          <w:bCs/>
          <w:snapToGrid/>
        </w:rPr>
        <w:t>日至</w:t>
      </w:r>
      <w:r>
        <w:rPr>
          <w:bCs/>
          <w:snapToGrid/>
        </w:rPr>
        <w:t>15</w:t>
      </w:r>
      <w:r>
        <w:rPr>
          <w:bCs/>
          <w:snapToGrid/>
        </w:rPr>
        <w:t>日</w:t>
      </w:r>
      <w:r>
        <w:rPr>
          <w:rFonts w:hint="eastAsia"/>
          <w:bCs/>
          <w:snapToGrid/>
        </w:rPr>
        <w:t>，</w:t>
      </w:r>
      <w:r>
        <w:rPr>
          <w:bCs/>
          <w:snapToGrid/>
        </w:rPr>
        <w:t>北京</w:t>
      </w:r>
      <w:r>
        <w:rPr>
          <w:bCs/>
          <w:snapToGrid/>
        </w:rPr>
        <w:t>)</w:t>
      </w:r>
      <w:r>
        <w:rPr>
          <w:rFonts w:hint="eastAsia"/>
          <w:bCs/>
          <w:snapToGrid/>
        </w:rPr>
        <w:t>报告，联合国出版物出售品编号</w:t>
      </w:r>
      <w:r>
        <w:rPr>
          <w:rFonts w:hint="eastAsia"/>
          <w:bCs/>
          <w:snapToGrid/>
        </w:rPr>
        <w:t>E.96.N.13,</w:t>
      </w:r>
      <w:r>
        <w:rPr>
          <w:bCs/>
          <w:snapToGrid/>
        </w:rPr>
        <w:t xml:space="preserve"> </w:t>
      </w:r>
      <w:r>
        <w:rPr>
          <w:rFonts w:hint="eastAsia"/>
          <w:bCs/>
          <w:snapToGrid/>
        </w:rPr>
        <w:t>第</w:t>
      </w:r>
      <w:r>
        <w:rPr>
          <w:rFonts w:hint="eastAsia"/>
          <w:bCs/>
          <w:snapToGrid/>
        </w:rPr>
        <w:t>1</w:t>
      </w:r>
      <w:r>
        <w:rPr>
          <w:rFonts w:hint="eastAsia"/>
          <w:bCs/>
          <w:snapToGrid/>
        </w:rPr>
        <w:t>章，第</w:t>
      </w:r>
      <w:r>
        <w:rPr>
          <w:rFonts w:hint="eastAsia"/>
          <w:bCs/>
          <w:snapToGrid/>
        </w:rPr>
        <w:t>1</w:t>
      </w:r>
      <w:r>
        <w:rPr>
          <w:rFonts w:hint="eastAsia"/>
          <w:bCs/>
          <w:snapToGrid/>
        </w:rPr>
        <w:t>号决议，附件</w:t>
      </w:r>
      <w:r>
        <w:rPr>
          <w:rFonts w:hint="eastAsia"/>
          <w:bCs/>
          <w:snapToGrid/>
        </w:rPr>
        <w:t>1</w:t>
      </w:r>
      <w:r>
        <w:rPr>
          <w:bCs/>
          <w:snapToGrid/>
        </w:rPr>
        <w:t>)</w:t>
      </w:r>
      <w:r>
        <w:rPr>
          <w:bCs/>
          <w:snapToGrid/>
        </w:rPr>
        <w:t>，提出了加强妇女在</w:t>
      </w:r>
      <w:r>
        <w:rPr>
          <w:rFonts w:hint="eastAsia"/>
          <w:bCs/>
          <w:snapToGrid/>
        </w:rPr>
        <w:t>公共</w:t>
      </w:r>
      <w:r>
        <w:rPr>
          <w:bCs/>
          <w:snapToGrid/>
        </w:rPr>
        <w:t>和私人生活所有方面地位的综合方案，</w:t>
      </w:r>
      <w:r>
        <w:rPr>
          <w:bCs/>
          <w:snapToGrid/>
        </w:rPr>
        <w:t>并使</w:t>
      </w:r>
      <w:r>
        <w:rPr>
          <w:rFonts w:hint="eastAsia"/>
          <w:bCs/>
          <w:snapToGrid/>
        </w:rPr>
        <w:t>她</w:t>
      </w:r>
      <w:r>
        <w:rPr>
          <w:bCs/>
          <w:snapToGrid/>
        </w:rPr>
        <w:t>们能平等参与社会、经济、文化和政治决策。</w:t>
      </w:r>
      <w:r>
        <w:rPr>
          <w:rFonts w:hint="eastAsia"/>
          <w:bCs/>
          <w:snapToGrid/>
        </w:rPr>
        <w:t>自那时</w:t>
      </w:r>
      <w:r>
        <w:rPr>
          <w:bCs/>
          <w:snapToGrid/>
        </w:rPr>
        <w:t>以来，许多国家</w:t>
      </w:r>
      <w:r>
        <w:rPr>
          <w:rFonts w:hint="eastAsia"/>
          <w:bCs/>
          <w:snapToGrid/>
        </w:rPr>
        <w:t>已根据</w:t>
      </w:r>
      <w:r>
        <w:rPr>
          <w:bCs/>
          <w:snapToGrid/>
        </w:rPr>
        <w:t>《北京纲要》</w:t>
      </w:r>
      <w:r>
        <w:rPr>
          <w:rFonts w:hint="eastAsia"/>
          <w:bCs/>
          <w:snapToGrid/>
        </w:rPr>
        <w:t>制定</w:t>
      </w:r>
      <w:r>
        <w:rPr>
          <w:bCs/>
          <w:snapToGrid/>
        </w:rPr>
        <w:t>了国家行动计划。但由于南斯拉夫联盟共和国在整个</w:t>
      </w:r>
      <w:r>
        <w:rPr>
          <w:bCs/>
          <w:snapToGrid/>
        </w:rPr>
        <w:t>1990</w:t>
      </w:r>
      <w:r>
        <w:rPr>
          <w:bCs/>
          <w:snapToGrid/>
        </w:rPr>
        <w:t>年代</w:t>
      </w:r>
      <w:r>
        <w:rPr>
          <w:rFonts w:hint="eastAsia"/>
          <w:bCs/>
          <w:snapToGrid/>
        </w:rPr>
        <w:t>忙于战事</w:t>
      </w:r>
      <w:r>
        <w:rPr>
          <w:bCs/>
          <w:snapToGrid/>
        </w:rPr>
        <w:t>，南斯拉夫联盟共和国和黑山都</w:t>
      </w:r>
      <w:r>
        <w:rPr>
          <w:rFonts w:hint="eastAsia"/>
          <w:bCs/>
          <w:snapToGrid/>
        </w:rPr>
        <w:t>未能</w:t>
      </w:r>
      <w:r>
        <w:rPr>
          <w:bCs/>
          <w:snapToGrid/>
        </w:rPr>
        <w:t>制定国家行动计划</w:t>
      </w:r>
      <w:r>
        <w:rPr>
          <w:rFonts w:hint="eastAsia"/>
          <w:bCs/>
          <w:snapToGrid/>
        </w:rPr>
        <w:t>来增进</w:t>
      </w:r>
      <w:r>
        <w:rPr>
          <w:bCs/>
          <w:snapToGrid/>
        </w:rPr>
        <w:t>妇女的权利。只有少数几个非政府组织已在这</w:t>
      </w:r>
      <w:r>
        <w:rPr>
          <w:rFonts w:hint="eastAsia"/>
          <w:bCs/>
          <w:snapToGrid/>
        </w:rPr>
        <w:t>一领域</w:t>
      </w:r>
      <w:r>
        <w:rPr>
          <w:bCs/>
          <w:snapToGrid/>
        </w:rPr>
        <w:t>开始了行动。</w:t>
      </w:r>
    </w:p>
    <w:p w:rsidR="00000000" w:rsidRDefault="00844A84">
      <w:pPr>
        <w:ind w:firstLine="510"/>
        <w:rPr>
          <w:rFonts w:hint="eastAsia"/>
          <w:bCs/>
          <w:snapToGrid/>
        </w:rPr>
      </w:pPr>
      <w:r>
        <w:rPr>
          <w:rFonts w:hint="eastAsia"/>
          <w:bCs/>
          <w:snapToGrid/>
        </w:rPr>
        <w:t xml:space="preserve">488.  </w:t>
      </w:r>
      <w:r>
        <w:rPr>
          <w:rFonts w:hint="eastAsia"/>
          <w:bCs/>
          <w:snapToGrid/>
        </w:rPr>
        <w:t>在</w:t>
      </w:r>
      <w:r>
        <w:rPr>
          <w:bCs/>
          <w:snapToGrid/>
        </w:rPr>
        <w:t>2002</w:t>
      </w:r>
      <w:r>
        <w:rPr>
          <w:bCs/>
          <w:snapToGrid/>
        </w:rPr>
        <w:t>年</w:t>
      </w:r>
      <w:r>
        <w:rPr>
          <w:bCs/>
          <w:snapToGrid/>
        </w:rPr>
        <w:t>10</w:t>
      </w:r>
      <w:r>
        <w:rPr>
          <w:bCs/>
          <w:snapToGrid/>
        </w:rPr>
        <w:t>月选举后</w:t>
      </w:r>
      <w:r>
        <w:rPr>
          <w:rFonts w:hint="eastAsia"/>
          <w:bCs/>
          <w:snapToGrid/>
        </w:rPr>
        <w:t>新成立的政府中，由妇女担任了两个部长级职位</w:t>
      </w:r>
      <w:r>
        <w:rPr>
          <w:rFonts w:hint="eastAsia"/>
          <w:bCs/>
          <w:snapToGrid/>
        </w:rPr>
        <w:t>(</w:t>
      </w:r>
      <w:r>
        <w:rPr>
          <w:rFonts w:hint="eastAsia"/>
          <w:bCs/>
          <w:snapToGrid/>
        </w:rPr>
        <w:t>占所有部长级职位的</w:t>
      </w:r>
      <w:r>
        <w:rPr>
          <w:rFonts w:hint="eastAsia"/>
          <w:bCs/>
          <w:snapToGrid/>
        </w:rPr>
        <w:t>10</w:t>
      </w:r>
      <w:r>
        <w:rPr>
          <w:bCs/>
          <w:snapToGrid/>
        </w:rPr>
        <w:t>%)</w:t>
      </w:r>
      <w:r>
        <w:rPr>
          <w:bCs/>
          <w:snapToGrid/>
        </w:rPr>
        <w:t>。担任部长级秘书和副部长职位的妇女人数更多，占总</w:t>
      </w:r>
      <w:r>
        <w:rPr>
          <w:rFonts w:hint="eastAsia"/>
          <w:bCs/>
          <w:snapToGrid/>
        </w:rPr>
        <w:t>职位</w:t>
      </w:r>
      <w:r>
        <w:rPr>
          <w:bCs/>
          <w:snapToGrid/>
        </w:rPr>
        <w:t>的</w:t>
      </w:r>
      <w:r>
        <w:rPr>
          <w:bCs/>
          <w:snapToGrid/>
        </w:rPr>
        <w:t>20%</w:t>
      </w:r>
      <w:r>
        <w:rPr>
          <w:bCs/>
          <w:snapToGrid/>
        </w:rPr>
        <w:t>。但就议会最重要的职位而言，</w:t>
      </w:r>
      <w:r>
        <w:rPr>
          <w:rFonts w:hint="eastAsia"/>
          <w:bCs/>
          <w:snapToGrid/>
        </w:rPr>
        <w:t>仅有</w:t>
      </w:r>
      <w:r>
        <w:rPr>
          <w:rFonts w:hint="eastAsia"/>
          <w:bCs/>
          <w:snapToGrid/>
        </w:rPr>
        <w:t>7</w:t>
      </w:r>
      <w:r>
        <w:rPr>
          <w:rFonts w:hint="eastAsia"/>
          <w:bCs/>
          <w:snapToGrid/>
        </w:rPr>
        <w:t>名</w:t>
      </w:r>
      <w:r>
        <w:rPr>
          <w:bCs/>
          <w:snapToGrid/>
        </w:rPr>
        <w:t>女议员，而且没有任何妇女担任政府或议会工作</w:t>
      </w:r>
      <w:r>
        <w:rPr>
          <w:bCs/>
          <w:snapToGrid/>
        </w:rPr>
        <w:t>机构主席。</w:t>
      </w:r>
      <w:r>
        <w:rPr>
          <w:rFonts w:hint="eastAsia"/>
          <w:bCs/>
          <w:snapToGrid/>
        </w:rPr>
        <w:t>在上届</w:t>
      </w:r>
      <w:r>
        <w:rPr>
          <w:bCs/>
          <w:snapToGrid/>
        </w:rPr>
        <w:t>议会选举前，黑山共和国议会议长</w:t>
      </w:r>
      <w:r>
        <w:rPr>
          <w:rFonts w:hint="eastAsia"/>
          <w:bCs/>
          <w:snapToGrid/>
        </w:rPr>
        <w:t>为妇女</w:t>
      </w:r>
      <w:r>
        <w:rPr>
          <w:bCs/>
          <w:snapToGrid/>
        </w:rPr>
        <w:t>，另有一名妇女</w:t>
      </w:r>
      <w:r>
        <w:rPr>
          <w:rFonts w:hint="eastAsia"/>
          <w:bCs/>
          <w:snapToGrid/>
        </w:rPr>
        <w:t>担任</w:t>
      </w:r>
      <w:r>
        <w:rPr>
          <w:bCs/>
          <w:snapToGrid/>
        </w:rPr>
        <w:t>于</w:t>
      </w:r>
      <w:r>
        <w:rPr>
          <w:bCs/>
          <w:snapToGrid/>
        </w:rPr>
        <w:t>2001</w:t>
      </w:r>
      <w:r>
        <w:rPr>
          <w:bCs/>
          <w:snapToGrid/>
        </w:rPr>
        <w:t>年</w:t>
      </w:r>
      <w:r>
        <w:rPr>
          <w:bCs/>
          <w:snapToGrid/>
        </w:rPr>
        <w:t>7</w:t>
      </w:r>
      <w:r>
        <w:rPr>
          <w:bCs/>
          <w:snapToGrid/>
        </w:rPr>
        <w:t>月新设立的议会性别平等委员会主席。目前</w:t>
      </w:r>
      <w:r>
        <w:rPr>
          <w:rFonts w:hint="eastAsia"/>
          <w:bCs/>
          <w:snapToGrid/>
        </w:rPr>
        <w:t>在</w:t>
      </w:r>
      <w:r>
        <w:rPr>
          <w:bCs/>
          <w:snapToGrid/>
        </w:rPr>
        <w:t>黑山</w:t>
      </w:r>
      <w:r>
        <w:rPr>
          <w:bCs/>
          <w:snapToGrid/>
        </w:rPr>
        <w:t>21</w:t>
      </w:r>
      <w:r>
        <w:rPr>
          <w:bCs/>
          <w:snapToGrid/>
        </w:rPr>
        <w:t>个市</w:t>
      </w:r>
      <w:r>
        <w:rPr>
          <w:rFonts w:hint="eastAsia"/>
          <w:bCs/>
          <w:snapToGrid/>
        </w:rPr>
        <w:t>镇</w:t>
      </w:r>
      <w:r>
        <w:rPr>
          <w:bCs/>
          <w:snapToGrid/>
        </w:rPr>
        <w:t>中，有</w:t>
      </w:r>
      <w:r>
        <w:rPr>
          <w:bCs/>
          <w:snapToGrid/>
        </w:rPr>
        <w:t>3</w:t>
      </w:r>
      <w:r>
        <w:rPr>
          <w:rFonts w:hint="eastAsia"/>
          <w:bCs/>
          <w:snapToGrid/>
        </w:rPr>
        <w:t>个市</w:t>
      </w:r>
      <w:r>
        <w:rPr>
          <w:rFonts w:hint="eastAsia"/>
          <w:bCs/>
          <w:snapToGrid/>
        </w:rPr>
        <w:t>(</w:t>
      </w:r>
      <w:r>
        <w:rPr>
          <w:rFonts w:hint="eastAsia"/>
          <w:bCs/>
          <w:snapToGrid/>
        </w:rPr>
        <w:t>布德瓦、尼克斯奇和巴尔</w:t>
      </w:r>
      <w:r>
        <w:rPr>
          <w:rFonts w:hint="eastAsia"/>
          <w:bCs/>
          <w:snapToGrid/>
        </w:rPr>
        <w:t>)</w:t>
      </w:r>
      <w:r>
        <w:rPr>
          <w:rFonts w:hint="eastAsia"/>
          <w:bCs/>
          <w:snapToGrid/>
        </w:rPr>
        <w:t>的市长为女性</w:t>
      </w:r>
      <w:r>
        <w:rPr>
          <w:bCs/>
          <w:snapToGrid/>
        </w:rPr>
        <w:t>。</w:t>
      </w:r>
    </w:p>
    <w:p w:rsidR="00000000" w:rsidRDefault="00844A84">
      <w:pPr>
        <w:ind w:firstLine="510"/>
        <w:rPr>
          <w:rFonts w:hint="eastAsia"/>
          <w:bCs/>
          <w:snapToGrid/>
        </w:rPr>
      </w:pPr>
      <w:r>
        <w:rPr>
          <w:rFonts w:hint="eastAsia"/>
          <w:bCs/>
          <w:snapToGrid/>
        </w:rPr>
        <w:t xml:space="preserve">489.  </w:t>
      </w:r>
      <w:r>
        <w:rPr>
          <w:rFonts w:hint="eastAsia"/>
          <w:bCs/>
          <w:snapToGrid/>
        </w:rPr>
        <w:t>尽管妇女在权力机构中的任职人数不令人满意，但政府机构和政党对性别问题的态度近年来已变得较为积极。然而，虽然妇女的社会处境未产生重大变化，但人们日益听到有关妇女地位及其在生活和工作领域的权利尤其是参与决策结构的权利的讨论情况。这些问题在媒体中变得更为突出。虽然改变态度需要时间，但人们可指望在未来几年内出现一些</w:t>
      </w:r>
      <w:r>
        <w:rPr>
          <w:rFonts w:hint="eastAsia"/>
          <w:bCs/>
          <w:snapToGrid/>
        </w:rPr>
        <w:t>进展。</w:t>
      </w:r>
    </w:p>
    <w:p w:rsidR="00000000" w:rsidRDefault="00844A84">
      <w:pPr>
        <w:ind w:firstLine="510"/>
        <w:rPr>
          <w:rFonts w:hint="eastAsia"/>
          <w:bCs/>
          <w:snapToGrid/>
        </w:rPr>
      </w:pPr>
      <w:r>
        <w:rPr>
          <w:rFonts w:hint="eastAsia"/>
          <w:bCs/>
          <w:snapToGrid/>
        </w:rPr>
        <w:t xml:space="preserve">490.  </w:t>
      </w:r>
      <w:r>
        <w:rPr>
          <w:rFonts w:hint="eastAsia"/>
          <w:bCs/>
          <w:snapToGrid/>
        </w:rPr>
        <w:t>由于前十年条件困难，没有开展多少研究工作，因此没有说明黑山妇女地位和代表权的最新精确数据。迄今也没有任何政府机构认真对待这一问题。但共和国统计局</w:t>
      </w:r>
      <w:r>
        <w:rPr>
          <w:bCs/>
          <w:snapToGrid/>
        </w:rPr>
        <w:t>2001</w:t>
      </w:r>
      <w:r>
        <w:rPr>
          <w:bCs/>
          <w:snapToGrid/>
        </w:rPr>
        <w:t>年的统计公报提供了以下数据：</w:t>
      </w:r>
    </w:p>
    <w:p w:rsidR="00000000" w:rsidRDefault="00844A84">
      <w:pPr>
        <w:pStyle w:val="a0"/>
        <w:ind w:left="1550"/>
        <w:rPr>
          <w:rFonts w:hint="eastAsia"/>
          <w:snapToGrid/>
        </w:rPr>
      </w:pPr>
      <w:r>
        <w:rPr>
          <w:snapToGrid/>
        </w:rPr>
        <w:t>1991</w:t>
      </w:r>
      <w:r>
        <w:rPr>
          <w:snapToGrid/>
        </w:rPr>
        <w:t>年人口普查表明，在总人口</w:t>
      </w:r>
      <w:r>
        <w:rPr>
          <w:snapToGrid/>
        </w:rPr>
        <w:t>591,269</w:t>
      </w:r>
      <w:r>
        <w:rPr>
          <w:rFonts w:hint="eastAsia"/>
          <w:snapToGrid/>
        </w:rPr>
        <w:t>人</w:t>
      </w:r>
      <w:r>
        <w:rPr>
          <w:snapToGrid/>
        </w:rPr>
        <w:t>中，妇女占</w:t>
      </w:r>
      <w:r>
        <w:rPr>
          <w:snapToGrid/>
        </w:rPr>
        <w:t>50.6%(299,329</w:t>
      </w:r>
      <w:r>
        <w:rPr>
          <w:rFonts w:hint="eastAsia"/>
          <w:snapToGrid/>
        </w:rPr>
        <w:t>人</w:t>
      </w:r>
      <w:r>
        <w:rPr>
          <w:snapToGrid/>
        </w:rPr>
        <w:t>)</w:t>
      </w:r>
      <w:r>
        <w:rPr>
          <w:snapToGrid/>
        </w:rPr>
        <w:t>；在</w:t>
      </w:r>
      <w:r>
        <w:rPr>
          <w:snapToGrid/>
        </w:rPr>
        <w:t>145,741</w:t>
      </w:r>
      <w:r>
        <w:rPr>
          <w:rFonts w:hint="eastAsia"/>
          <w:snapToGrid/>
        </w:rPr>
        <w:t>人的劳动适龄人口中，妇女占</w:t>
      </w:r>
      <w:r>
        <w:rPr>
          <w:snapToGrid/>
        </w:rPr>
        <w:t>38.6%(91,539</w:t>
      </w:r>
      <w:r>
        <w:rPr>
          <w:snapToGrid/>
        </w:rPr>
        <w:t>人</w:t>
      </w:r>
      <w:r>
        <w:rPr>
          <w:snapToGrid/>
        </w:rPr>
        <w:t>)</w:t>
      </w:r>
      <w:r>
        <w:rPr>
          <w:snapToGrid/>
        </w:rPr>
        <w:t>；在薪金</w:t>
      </w:r>
      <w:r>
        <w:rPr>
          <w:rFonts w:hint="eastAsia"/>
          <w:snapToGrid/>
        </w:rPr>
        <w:t>阶层</w:t>
      </w:r>
      <w:r>
        <w:rPr>
          <w:snapToGrid/>
        </w:rPr>
        <w:t>的</w:t>
      </w:r>
      <w:r>
        <w:rPr>
          <w:snapToGrid/>
        </w:rPr>
        <w:t>74,531</w:t>
      </w:r>
      <w:r>
        <w:rPr>
          <w:snapToGrid/>
        </w:rPr>
        <w:t>人中，妇女</w:t>
      </w:r>
      <w:r>
        <w:rPr>
          <w:rFonts w:hint="eastAsia"/>
          <w:snapToGrid/>
        </w:rPr>
        <w:t>占</w:t>
      </w:r>
      <w:r>
        <w:rPr>
          <w:snapToGrid/>
        </w:rPr>
        <w:t>3</w:t>
      </w:r>
      <w:r>
        <w:rPr>
          <w:rFonts w:hint="eastAsia"/>
          <w:snapToGrid/>
        </w:rPr>
        <w:t>5,</w:t>
      </w:r>
      <w:r>
        <w:rPr>
          <w:snapToGrid/>
        </w:rPr>
        <w:t>397</w:t>
      </w:r>
      <w:r>
        <w:rPr>
          <w:snapToGrid/>
        </w:rPr>
        <w:t>人</w:t>
      </w:r>
      <w:r>
        <w:rPr>
          <w:snapToGrid/>
        </w:rPr>
        <w:t>(47.5%)</w:t>
      </w:r>
      <w:r>
        <w:rPr>
          <w:snapToGrid/>
        </w:rPr>
        <w:t>；在</w:t>
      </w:r>
      <w:r>
        <w:rPr>
          <w:rFonts w:hint="eastAsia"/>
          <w:snapToGrid/>
        </w:rPr>
        <w:t>受扶养的</w:t>
      </w:r>
      <w:r>
        <w:rPr>
          <w:snapToGrid/>
        </w:rPr>
        <w:t>279,458</w:t>
      </w:r>
      <w:r>
        <w:rPr>
          <w:snapToGrid/>
        </w:rPr>
        <w:t>人中，妇女占</w:t>
      </w:r>
      <w:r>
        <w:rPr>
          <w:snapToGrid/>
        </w:rPr>
        <w:t>172,393</w:t>
      </w:r>
      <w:r>
        <w:rPr>
          <w:snapToGrid/>
        </w:rPr>
        <w:t>人</w:t>
      </w:r>
      <w:r>
        <w:rPr>
          <w:snapToGrid/>
        </w:rPr>
        <w:t>(61.7%)</w:t>
      </w:r>
      <w:r>
        <w:rPr>
          <w:snapToGrid/>
        </w:rPr>
        <w:t>。</w:t>
      </w:r>
    </w:p>
    <w:p w:rsidR="00000000" w:rsidRDefault="00844A84">
      <w:pPr>
        <w:pStyle w:val="a0"/>
        <w:ind w:left="1550"/>
        <w:rPr>
          <w:snapToGrid/>
        </w:rPr>
      </w:pPr>
      <w:r>
        <w:rPr>
          <w:rFonts w:hint="eastAsia"/>
          <w:snapToGrid/>
        </w:rPr>
        <w:t>关于职工性别</w:t>
      </w:r>
      <w:r>
        <w:rPr>
          <w:rFonts w:hint="eastAsia"/>
          <w:snapToGrid/>
        </w:rPr>
        <w:t>的最新资料是</w:t>
      </w:r>
      <w:r>
        <w:rPr>
          <w:snapToGrid/>
        </w:rPr>
        <w:t>1993</w:t>
      </w:r>
      <w:r>
        <w:rPr>
          <w:snapToGrid/>
        </w:rPr>
        <w:t>年</w:t>
      </w:r>
      <w:r>
        <w:rPr>
          <w:snapToGrid/>
        </w:rPr>
        <w:t>12</w:t>
      </w:r>
      <w:r>
        <w:rPr>
          <w:snapToGrid/>
        </w:rPr>
        <w:t>月</w:t>
      </w:r>
      <w:r>
        <w:rPr>
          <w:snapToGrid/>
        </w:rPr>
        <w:t>31</w:t>
      </w:r>
      <w:r>
        <w:rPr>
          <w:snapToGrid/>
        </w:rPr>
        <w:t>日提供的：当时，</w:t>
      </w:r>
      <w:r>
        <w:rPr>
          <w:rFonts w:hint="eastAsia"/>
          <w:snapToGrid/>
        </w:rPr>
        <w:t>职工</w:t>
      </w:r>
      <w:r>
        <w:rPr>
          <w:snapToGrid/>
        </w:rPr>
        <w:t>总</w:t>
      </w:r>
      <w:r>
        <w:rPr>
          <w:rFonts w:hint="eastAsia"/>
          <w:snapToGrid/>
        </w:rPr>
        <w:t>人</w:t>
      </w:r>
      <w:r>
        <w:rPr>
          <w:snapToGrid/>
        </w:rPr>
        <w:t>数为</w:t>
      </w:r>
      <w:r>
        <w:rPr>
          <w:snapToGrid/>
        </w:rPr>
        <w:t>129,0</w:t>
      </w:r>
      <w:r>
        <w:rPr>
          <w:rFonts w:hint="eastAsia"/>
          <w:snapToGrid/>
        </w:rPr>
        <w:t>05</w:t>
      </w:r>
      <w:r>
        <w:rPr>
          <w:rFonts w:hint="eastAsia"/>
          <w:snapToGrid/>
        </w:rPr>
        <w:t>人</w:t>
      </w:r>
      <w:r>
        <w:rPr>
          <w:snapToGrid/>
        </w:rPr>
        <w:t>，其中</w:t>
      </w:r>
      <w:r>
        <w:rPr>
          <w:snapToGrid/>
        </w:rPr>
        <w:t>52,001</w:t>
      </w:r>
      <w:r>
        <w:rPr>
          <w:rFonts w:hint="eastAsia"/>
          <w:snapToGrid/>
        </w:rPr>
        <w:t>人</w:t>
      </w:r>
      <w:r>
        <w:rPr>
          <w:snapToGrid/>
        </w:rPr>
        <w:t>为女性；这些</w:t>
      </w:r>
      <w:r>
        <w:rPr>
          <w:rFonts w:hint="eastAsia"/>
          <w:snapToGrid/>
        </w:rPr>
        <w:t>人</w:t>
      </w:r>
      <w:r>
        <w:rPr>
          <w:snapToGrid/>
        </w:rPr>
        <w:t>中有</w:t>
      </w:r>
      <w:r>
        <w:rPr>
          <w:snapToGrid/>
        </w:rPr>
        <w:t>6,074</w:t>
      </w:r>
      <w:r>
        <w:rPr>
          <w:snapToGrid/>
        </w:rPr>
        <w:t>人拥有研究生学位，</w:t>
      </w:r>
      <w:r>
        <w:rPr>
          <w:snapToGrid/>
        </w:rPr>
        <w:t>4,33</w:t>
      </w:r>
      <w:r>
        <w:rPr>
          <w:rFonts w:hint="eastAsia"/>
          <w:snapToGrid/>
        </w:rPr>
        <w:t>5</w:t>
      </w:r>
      <w:r>
        <w:rPr>
          <w:snapToGrid/>
        </w:rPr>
        <w:t>人</w:t>
      </w:r>
      <w:r>
        <w:rPr>
          <w:rFonts w:hint="eastAsia"/>
          <w:snapToGrid/>
        </w:rPr>
        <w:t>为</w:t>
      </w:r>
      <w:r>
        <w:rPr>
          <w:snapToGrid/>
        </w:rPr>
        <w:t>大学毕业生，</w:t>
      </w:r>
      <w:r>
        <w:rPr>
          <w:snapToGrid/>
        </w:rPr>
        <w:t>17,766</w:t>
      </w:r>
      <w:r>
        <w:rPr>
          <w:snapToGrid/>
        </w:rPr>
        <w:t>人</w:t>
      </w:r>
      <w:r>
        <w:rPr>
          <w:rFonts w:hint="eastAsia"/>
          <w:snapToGrid/>
        </w:rPr>
        <w:t>为</w:t>
      </w:r>
      <w:r>
        <w:rPr>
          <w:snapToGrid/>
        </w:rPr>
        <w:t>中学毕业生，</w:t>
      </w:r>
      <w:r>
        <w:rPr>
          <w:rFonts w:hint="eastAsia"/>
          <w:snapToGrid/>
        </w:rPr>
        <w:t>1,</w:t>
      </w:r>
      <w:r>
        <w:rPr>
          <w:snapToGrid/>
        </w:rPr>
        <w:t>49</w:t>
      </w:r>
      <w:r>
        <w:rPr>
          <w:rFonts w:hint="eastAsia"/>
          <w:snapToGrid/>
        </w:rPr>
        <w:t>5</w:t>
      </w:r>
      <w:r>
        <w:rPr>
          <w:snapToGrid/>
        </w:rPr>
        <w:t>人</w:t>
      </w:r>
      <w:r>
        <w:rPr>
          <w:rFonts w:hint="eastAsia"/>
          <w:snapToGrid/>
        </w:rPr>
        <w:t>为</w:t>
      </w:r>
      <w:r>
        <w:rPr>
          <w:snapToGrid/>
        </w:rPr>
        <w:t>小学毕业生。在就业妇女中，</w:t>
      </w:r>
      <w:r>
        <w:rPr>
          <w:snapToGrid/>
        </w:rPr>
        <w:t>868</w:t>
      </w:r>
      <w:r>
        <w:rPr>
          <w:snapToGrid/>
        </w:rPr>
        <w:t>人</w:t>
      </w:r>
      <w:r>
        <w:rPr>
          <w:rFonts w:hint="eastAsia"/>
          <w:snapToGrid/>
        </w:rPr>
        <w:t>为</w:t>
      </w:r>
      <w:r>
        <w:rPr>
          <w:snapToGrid/>
        </w:rPr>
        <w:t>熟练技术工人，</w:t>
      </w:r>
      <w:r>
        <w:rPr>
          <w:snapToGrid/>
        </w:rPr>
        <w:t>10,89</w:t>
      </w:r>
      <w:r>
        <w:rPr>
          <w:rFonts w:hint="eastAsia"/>
          <w:snapToGrid/>
        </w:rPr>
        <w:t>5</w:t>
      </w:r>
      <w:r>
        <w:rPr>
          <w:snapToGrid/>
        </w:rPr>
        <w:t>人</w:t>
      </w:r>
      <w:r>
        <w:rPr>
          <w:rFonts w:hint="eastAsia"/>
          <w:snapToGrid/>
        </w:rPr>
        <w:t>为</w:t>
      </w:r>
      <w:r>
        <w:rPr>
          <w:snapToGrid/>
        </w:rPr>
        <w:t>技术工人，</w:t>
      </w:r>
      <w:r>
        <w:rPr>
          <w:snapToGrid/>
        </w:rPr>
        <w:t>1,980</w:t>
      </w:r>
      <w:r>
        <w:rPr>
          <w:snapToGrid/>
        </w:rPr>
        <w:t>人</w:t>
      </w:r>
      <w:r>
        <w:rPr>
          <w:rFonts w:hint="eastAsia"/>
          <w:snapToGrid/>
        </w:rPr>
        <w:t>为半</w:t>
      </w:r>
      <w:r>
        <w:rPr>
          <w:snapToGrid/>
        </w:rPr>
        <w:t>技工，</w:t>
      </w:r>
      <w:r>
        <w:rPr>
          <w:snapToGrid/>
        </w:rPr>
        <w:t>8,588</w:t>
      </w:r>
      <w:r>
        <w:rPr>
          <w:snapToGrid/>
        </w:rPr>
        <w:t>人</w:t>
      </w:r>
      <w:r>
        <w:rPr>
          <w:rFonts w:hint="eastAsia"/>
          <w:snapToGrid/>
        </w:rPr>
        <w:t>为无</w:t>
      </w:r>
      <w:r>
        <w:rPr>
          <w:snapToGrid/>
        </w:rPr>
        <w:t>技术工人</w:t>
      </w:r>
      <w:r>
        <w:rPr>
          <w:rFonts w:hint="eastAsia"/>
          <w:snapToGrid/>
        </w:rPr>
        <w:t>。</w:t>
      </w:r>
    </w:p>
    <w:p w:rsidR="00000000" w:rsidRDefault="00844A84">
      <w:pPr>
        <w:pStyle w:val="a0"/>
        <w:ind w:left="1550"/>
        <w:rPr>
          <w:rFonts w:hint="eastAsia"/>
          <w:snapToGrid/>
        </w:rPr>
      </w:pPr>
      <w:r>
        <w:rPr>
          <w:snapToGrid/>
        </w:rPr>
        <w:t>1999/2000</w:t>
      </w:r>
      <w:r>
        <w:rPr>
          <w:rFonts w:hint="eastAsia"/>
          <w:snapToGrid/>
        </w:rPr>
        <w:t>学年</w:t>
      </w:r>
      <w:r>
        <w:rPr>
          <w:snapToGrid/>
        </w:rPr>
        <w:t>，小学有</w:t>
      </w:r>
      <w:r>
        <w:rPr>
          <w:snapToGrid/>
        </w:rPr>
        <w:t>77,726</w:t>
      </w:r>
      <w:r>
        <w:rPr>
          <w:rFonts w:hint="eastAsia"/>
          <w:snapToGrid/>
        </w:rPr>
        <w:t>名全日制</w:t>
      </w:r>
      <w:r>
        <w:rPr>
          <w:snapToGrid/>
        </w:rPr>
        <w:t>学生，其中</w:t>
      </w:r>
      <w:r>
        <w:rPr>
          <w:snapToGrid/>
        </w:rPr>
        <w:t>37,76</w:t>
      </w:r>
      <w:r>
        <w:rPr>
          <w:rFonts w:hint="eastAsia"/>
          <w:snapToGrid/>
        </w:rPr>
        <w:t>2</w:t>
      </w:r>
      <w:r>
        <w:rPr>
          <w:rFonts w:hint="eastAsia"/>
          <w:snapToGrid/>
        </w:rPr>
        <w:t>人</w:t>
      </w:r>
      <w:r>
        <w:rPr>
          <w:snapToGrid/>
        </w:rPr>
        <w:t>为女生，</w:t>
      </w:r>
      <w:r>
        <w:rPr>
          <w:rFonts w:hint="eastAsia"/>
          <w:snapToGrid/>
        </w:rPr>
        <w:t>在</w:t>
      </w:r>
      <w:r>
        <w:rPr>
          <w:snapToGrid/>
        </w:rPr>
        <w:t>30,756</w:t>
      </w:r>
      <w:r>
        <w:rPr>
          <w:snapToGrid/>
        </w:rPr>
        <w:t>名中学生中，</w:t>
      </w:r>
      <w:r>
        <w:rPr>
          <w:snapToGrid/>
        </w:rPr>
        <w:t>15,66</w:t>
      </w:r>
      <w:r>
        <w:rPr>
          <w:rFonts w:hint="eastAsia"/>
          <w:snapToGrid/>
        </w:rPr>
        <w:t>2</w:t>
      </w:r>
      <w:r>
        <w:rPr>
          <w:rFonts w:hint="eastAsia"/>
          <w:snapToGrid/>
        </w:rPr>
        <w:t>人为</w:t>
      </w:r>
      <w:r>
        <w:rPr>
          <w:snapToGrid/>
        </w:rPr>
        <w:t>女生。</w:t>
      </w:r>
    </w:p>
    <w:p w:rsidR="00000000" w:rsidRDefault="00844A84">
      <w:pPr>
        <w:ind w:firstLine="510"/>
        <w:rPr>
          <w:rFonts w:hint="eastAsia"/>
          <w:bCs/>
          <w:snapToGrid/>
        </w:rPr>
      </w:pPr>
      <w:r>
        <w:rPr>
          <w:rFonts w:hint="eastAsia"/>
          <w:bCs/>
          <w:snapToGrid/>
        </w:rPr>
        <w:t xml:space="preserve">491.  </w:t>
      </w:r>
      <w:r>
        <w:rPr>
          <w:rFonts w:hint="eastAsia"/>
          <w:bCs/>
          <w:snapToGrid/>
        </w:rPr>
        <w:t>《行政法院法官或议会议员选举法》</w:t>
      </w:r>
      <w:r>
        <w:rPr>
          <w:rFonts w:hint="eastAsia"/>
          <w:bCs/>
          <w:snapToGrid/>
        </w:rPr>
        <w:t>并未设想采用所谓的</w:t>
      </w:r>
      <w:r>
        <w:rPr>
          <w:bCs/>
          <w:snapToGrid/>
        </w:rPr>
        <w:t>“</w:t>
      </w:r>
      <w:r>
        <w:rPr>
          <w:rFonts w:hint="eastAsia"/>
          <w:bCs/>
          <w:snapToGrid/>
        </w:rPr>
        <w:t>妇女配额制</w:t>
      </w:r>
      <w:r>
        <w:rPr>
          <w:bCs/>
          <w:snapToGrid/>
        </w:rPr>
        <w:t>”</w:t>
      </w:r>
      <w:r>
        <w:rPr>
          <w:rFonts w:hint="eastAsia"/>
          <w:bCs/>
          <w:snapToGrid/>
        </w:rPr>
        <w:t>的规定。但</w:t>
      </w:r>
      <w:r>
        <w:rPr>
          <w:bCs/>
          <w:snapToGrid/>
        </w:rPr>
        <w:t>在</w:t>
      </w:r>
      <w:r>
        <w:rPr>
          <w:bCs/>
          <w:snapToGrid/>
        </w:rPr>
        <w:t>2001</w:t>
      </w:r>
      <w:r>
        <w:rPr>
          <w:bCs/>
          <w:snapToGrid/>
        </w:rPr>
        <w:t>年年初议会选举早期</w:t>
      </w:r>
      <w:r>
        <w:rPr>
          <w:rFonts w:hint="eastAsia"/>
          <w:bCs/>
          <w:snapToGrid/>
        </w:rPr>
        <w:t>前</w:t>
      </w:r>
      <w:r>
        <w:rPr>
          <w:bCs/>
          <w:snapToGrid/>
        </w:rPr>
        <w:t>，</w:t>
      </w:r>
      <w:r>
        <w:rPr>
          <w:rFonts w:hint="eastAsia"/>
          <w:bCs/>
          <w:snapToGrid/>
        </w:rPr>
        <w:t>在一个</w:t>
      </w:r>
      <w:r>
        <w:rPr>
          <w:bCs/>
          <w:snapToGrid/>
        </w:rPr>
        <w:t>非政府组织</w:t>
      </w:r>
      <w:r>
        <w:rPr>
          <w:rFonts w:hint="eastAsia"/>
          <w:bCs/>
          <w:snapToGrid/>
        </w:rPr>
        <w:t>和</w:t>
      </w:r>
      <w:r>
        <w:rPr>
          <w:bCs/>
          <w:snapToGrid/>
        </w:rPr>
        <w:t>四个政党</w:t>
      </w:r>
      <w:r>
        <w:rPr>
          <w:rFonts w:hint="eastAsia"/>
          <w:bCs/>
          <w:snapToGrid/>
        </w:rPr>
        <w:t>(DPS</w:t>
      </w:r>
      <w:r>
        <w:rPr>
          <w:rFonts w:hint="eastAsia"/>
          <w:bCs/>
          <w:snapToGrid/>
        </w:rPr>
        <w:t>、</w:t>
      </w:r>
      <w:r>
        <w:rPr>
          <w:rFonts w:hint="eastAsia"/>
          <w:bCs/>
          <w:snapToGrid/>
        </w:rPr>
        <w:t>SDP</w:t>
      </w:r>
      <w:r>
        <w:rPr>
          <w:rFonts w:hint="eastAsia"/>
          <w:bCs/>
          <w:snapToGrid/>
        </w:rPr>
        <w:t>、</w:t>
      </w:r>
      <w:r>
        <w:rPr>
          <w:rFonts w:hint="eastAsia"/>
          <w:bCs/>
          <w:snapToGrid/>
        </w:rPr>
        <w:t>LSCG</w:t>
      </w:r>
      <w:r>
        <w:rPr>
          <w:bCs/>
          <w:snapToGrid/>
        </w:rPr>
        <w:t>和</w:t>
      </w:r>
      <w:r>
        <w:rPr>
          <w:rFonts w:hint="eastAsia"/>
          <w:bCs/>
          <w:snapToGrid/>
        </w:rPr>
        <w:t>DUA)</w:t>
      </w:r>
      <w:r>
        <w:rPr>
          <w:rFonts w:hint="eastAsia"/>
          <w:bCs/>
          <w:snapToGrid/>
        </w:rPr>
        <w:t>的倡议下</w:t>
      </w:r>
      <w:r>
        <w:rPr>
          <w:bCs/>
          <w:snapToGrid/>
        </w:rPr>
        <w:t>签署了一项协定，保证努力确保妇女在候选人</w:t>
      </w:r>
      <w:r>
        <w:rPr>
          <w:rFonts w:hint="eastAsia"/>
          <w:bCs/>
          <w:snapToGrid/>
        </w:rPr>
        <w:t>中</w:t>
      </w:r>
      <w:r>
        <w:rPr>
          <w:bCs/>
          <w:snapToGrid/>
        </w:rPr>
        <w:t>占</w:t>
      </w:r>
      <w:r>
        <w:rPr>
          <w:bCs/>
          <w:snapToGrid/>
        </w:rPr>
        <w:t>30%</w:t>
      </w:r>
      <w:r>
        <w:rPr>
          <w:bCs/>
          <w:snapToGrid/>
        </w:rPr>
        <w:t>。即使在签署这项协定前，一些政党</w:t>
      </w:r>
      <w:r>
        <w:rPr>
          <w:rFonts w:hint="eastAsia"/>
          <w:bCs/>
          <w:snapToGrid/>
        </w:rPr>
        <w:t>就已</w:t>
      </w:r>
      <w:r>
        <w:rPr>
          <w:bCs/>
          <w:snapToGrid/>
        </w:rPr>
        <w:t>将</w:t>
      </w:r>
      <w:r>
        <w:rPr>
          <w:bCs/>
          <w:snapToGrid/>
        </w:rPr>
        <w:t>“</w:t>
      </w:r>
      <w:r>
        <w:rPr>
          <w:bCs/>
          <w:snapToGrid/>
        </w:rPr>
        <w:t>妇女</w:t>
      </w:r>
      <w:r>
        <w:rPr>
          <w:rFonts w:hint="eastAsia"/>
          <w:bCs/>
          <w:snapToGrid/>
        </w:rPr>
        <w:t>配额制</w:t>
      </w:r>
      <w:r>
        <w:rPr>
          <w:bCs/>
          <w:snapToGrid/>
        </w:rPr>
        <w:t>”</w:t>
      </w:r>
      <w:r>
        <w:rPr>
          <w:rFonts w:hint="eastAsia"/>
          <w:bCs/>
          <w:snapToGrid/>
        </w:rPr>
        <w:t>写进</w:t>
      </w:r>
      <w:r>
        <w:rPr>
          <w:bCs/>
          <w:snapToGrid/>
        </w:rPr>
        <w:t>了政党</w:t>
      </w:r>
      <w:r>
        <w:rPr>
          <w:rFonts w:hint="eastAsia"/>
          <w:bCs/>
          <w:snapToGrid/>
        </w:rPr>
        <w:t>议程</w:t>
      </w:r>
      <w:r>
        <w:rPr>
          <w:bCs/>
          <w:snapToGrid/>
        </w:rPr>
        <w:t>。</w:t>
      </w:r>
      <w:r>
        <w:rPr>
          <w:rFonts w:hint="eastAsia"/>
          <w:bCs/>
          <w:snapToGrid/>
        </w:rPr>
        <w:t>由于这项倡议，</w:t>
      </w:r>
      <w:r>
        <w:rPr>
          <w:bCs/>
          <w:snapToGrid/>
        </w:rPr>
        <w:t>妇女在议会的人数增加了近一倍，从上届议会的</w:t>
      </w:r>
      <w:r>
        <w:rPr>
          <w:bCs/>
          <w:snapToGrid/>
        </w:rPr>
        <w:t>5%</w:t>
      </w:r>
      <w:r>
        <w:rPr>
          <w:bCs/>
          <w:snapToGrid/>
        </w:rPr>
        <w:t>，增加到新议会的</w:t>
      </w:r>
      <w:r>
        <w:rPr>
          <w:bCs/>
          <w:snapToGrid/>
        </w:rPr>
        <w:t>10%</w:t>
      </w:r>
      <w:r>
        <w:rPr>
          <w:bCs/>
          <w:snapToGrid/>
        </w:rPr>
        <w:t>。</w:t>
      </w:r>
    </w:p>
    <w:p w:rsidR="00000000" w:rsidRDefault="00844A84">
      <w:pPr>
        <w:ind w:firstLine="510"/>
        <w:rPr>
          <w:rFonts w:hint="eastAsia"/>
          <w:bCs/>
          <w:snapToGrid/>
        </w:rPr>
      </w:pPr>
      <w:r>
        <w:rPr>
          <w:rFonts w:hint="eastAsia"/>
          <w:bCs/>
          <w:snapToGrid/>
        </w:rPr>
        <w:t xml:space="preserve">492.  </w:t>
      </w:r>
      <w:r>
        <w:rPr>
          <w:rFonts w:hint="eastAsia"/>
          <w:bCs/>
          <w:snapToGrid/>
        </w:rPr>
        <w:t>妇女在司法系统的就职人数稍高，在初等法院更是如此</w:t>
      </w:r>
      <w:r>
        <w:rPr>
          <w:bCs/>
          <w:snapToGrid/>
        </w:rPr>
        <w:t>(</w:t>
      </w:r>
      <w:r>
        <w:rPr>
          <w:rFonts w:hint="eastAsia"/>
          <w:bCs/>
          <w:snapToGrid/>
        </w:rPr>
        <w:t>在市镇法院约占</w:t>
      </w:r>
      <w:r>
        <w:rPr>
          <w:bCs/>
          <w:snapToGrid/>
        </w:rPr>
        <w:t>60%</w:t>
      </w:r>
      <w:r>
        <w:rPr>
          <w:rFonts w:hint="eastAsia"/>
          <w:bCs/>
          <w:snapToGrid/>
        </w:rPr>
        <w:t>)</w:t>
      </w:r>
      <w:r>
        <w:rPr>
          <w:bCs/>
          <w:snapToGrid/>
        </w:rPr>
        <w:t>。</w:t>
      </w:r>
      <w:r>
        <w:rPr>
          <w:rFonts w:hint="eastAsia"/>
          <w:bCs/>
          <w:snapToGrid/>
        </w:rPr>
        <w:t>在设在波德戈里察</w:t>
      </w:r>
      <w:r>
        <w:rPr>
          <w:bCs/>
          <w:snapToGrid/>
        </w:rPr>
        <w:t>和</w:t>
      </w:r>
      <w:r>
        <w:rPr>
          <w:rFonts w:hint="eastAsia"/>
          <w:bCs/>
          <w:snapToGrid/>
        </w:rPr>
        <w:t>比耶隆泊尔耶</w:t>
      </w:r>
      <w:r>
        <w:rPr>
          <w:bCs/>
          <w:snapToGrid/>
        </w:rPr>
        <w:t>高等法院</w:t>
      </w:r>
      <w:r>
        <w:rPr>
          <w:rFonts w:hint="eastAsia"/>
          <w:bCs/>
          <w:snapToGrid/>
        </w:rPr>
        <w:t>，</w:t>
      </w:r>
      <w:r>
        <w:rPr>
          <w:bCs/>
          <w:snapToGrid/>
        </w:rPr>
        <w:t>女法官占</w:t>
      </w:r>
      <w:r>
        <w:rPr>
          <w:bCs/>
          <w:snapToGrid/>
        </w:rPr>
        <w:t>42%</w:t>
      </w:r>
      <w:r>
        <w:rPr>
          <w:bCs/>
          <w:snapToGrid/>
        </w:rPr>
        <w:t>，最高法院</w:t>
      </w:r>
      <w:r>
        <w:rPr>
          <w:rFonts w:hint="eastAsia"/>
          <w:bCs/>
          <w:snapToGrid/>
        </w:rPr>
        <w:t>的女法官约</w:t>
      </w:r>
      <w:r>
        <w:rPr>
          <w:bCs/>
          <w:snapToGrid/>
        </w:rPr>
        <w:t>占</w:t>
      </w:r>
      <w:r>
        <w:rPr>
          <w:bCs/>
          <w:snapToGrid/>
        </w:rPr>
        <w:t>2</w:t>
      </w:r>
      <w:r>
        <w:rPr>
          <w:bCs/>
          <w:snapToGrid/>
        </w:rPr>
        <w:t>6%</w:t>
      </w:r>
      <w:r>
        <w:rPr>
          <w:bCs/>
          <w:snapToGrid/>
        </w:rPr>
        <w:t>。</w:t>
      </w:r>
    </w:p>
    <w:p w:rsidR="00000000" w:rsidRDefault="00844A84">
      <w:pPr>
        <w:ind w:firstLine="510"/>
        <w:rPr>
          <w:rFonts w:hint="eastAsia"/>
          <w:bCs/>
          <w:snapToGrid/>
        </w:rPr>
      </w:pPr>
      <w:r>
        <w:rPr>
          <w:rFonts w:hint="eastAsia"/>
          <w:bCs/>
          <w:snapToGrid/>
        </w:rPr>
        <w:t xml:space="preserve">493.  </w:t>
      </w:r>
      <w:r>
        <w:rPr>
          <w:rFonts w:hint="eastAsia"/>
          <w:bCs/>
          <w:snapToGrid/>
        </w:rPr>
        <w:t>黑山约有</w:t>
      </w:r>
      <w:r>
        <w:rPr>
          <w:bCs/>
          <w:snapToGrid/>
        </w:rPr>
        <w:t>30</w:t>
      </w:r>
      <w:r>
        <w:rPr>
          <w:bCs/>
          <w:snapToGrid/>
        </w:rPr>
        <w:t>个非政府组织从事与妇女相关问题的工作</w:t>
      </w:r>
      <w:r>
        <w:rPr>
          <w:rFonts w:hint="eastAsia"/>
          <w:bCs/>
          <w:snapToGrid/>
          <w:spacing w:val="-50"/>
        </w:rPr>
        <w:t>―</w:t>
      </w:r>
      <w:r>
        <w:rPr>
          <w:rFonts w:hint="eastAsia"/>
          <w:bCs/>
          <w:snapToGrid/>
        </w:rPr>
        <w:t>―</w:t>
      </w:r>
      <w:r>
        <w:rPr>
          <w:bCs/>
          <w:snapToGrid/>
        </w:rPr>
        <w:t>讨论经济或政治授权问题、在暴力案件中援助妇女，</w:t>
      </w:r>
      <w:r>
        <w:rPr>
          <w:rFonts w:hint="eastAsia"/>
          <w:bCs/>
          <w:snapToGrid/>
        </w:rPr>
        <w:t>以及发扬创业精神</w:t>
      </w:r>
      <w:r>
        <w:rPr>
          <w:bCs/>
          <w:snapToGrid/>
        </w:rPr>
        <w:t>等等。其中一个非政府组织出版了杂志</w:t>
      </w:r>
      <w:r>
        <w:rPr>
          <w:bCs/>
          <w:snapToGrid/>
        </w:rPr>
        <w:t>“</w:t>
      </w:r>
      <w:r>
        <w:rPr>
          <w:rFonts w:hint="eastAsia"/>
          <w:bCs/>
          <w:snapToGrid/>
        </w:rPr>
        <w:t>Iva</w:t>
      </w:r>
      <w:r>
        <w:rPr>
          <w:bCs/>
          <w:snapToGrid/>
        </w:rPr>
        <w:t>”</w:t>
      </w:r>
      <w:r>
        <w:rPr>
          <w:bCs/>
          <w:snapToGrid/>
        </w:rPr>
        <w:t>，另一个出版</w:t>
      </w:r>
      <w:r>
        <w:rPr>
          <w:rFonts w:hint="eastAsia"/>
          <w:bCs/>
          <w:snapToGrid/>
        </w:rPr>
        <w:t>了“</w:t>
      </w:r>
      <w:r>
        <w:rPr>
          <w:bCs/>
          <w:snapToGrid/>
        </w:rPr>
        <w:t>公报</w:t>
      </w:r>
      <w:r>
        <w:rPr>
          <w:rFonts w:hint="eastAsia"/>
          <w:bCs/>
          <w:snapToGrid/>
        </w:rPr>
        <w:t>”</w:t>
      </w:r>
      <w:r>
        <w:rPr>
          <w:bCs/>
          <w:snapToGrid/>
        </w:rPr>
        <w:t>。</w:t>
      </w:r>
    </w:p>
    <w:p w:rsidR="00000000" w:rsidRDefault="00844A84">
      <w:pPr>
        <w:ind w:firstLine="510"/>
        <w:rPr>
          <w:rFonts w:hint="eastAsia"/>
          <w:bCs/>
          <w:snapToGrid/>
        </w:rPr>
      </w:pPr>
      <w:r>
        <w:rPr>
          <w:rFonts w:hint="eastAsia"/>
          <w:bCs/>
          <w:snapToGrid/>
        </w:rPr>
        <w:t xml:space="preserve">494.  </w:t>
      </w:r>
      <w:r>
        <w:rPr>
          <w:rFonts w:hint="eastAsia"/>
          <w:bCs/>
          <w:snapToGrid/>
        </w:rPr>
        <w:t>政府按照《非政府组织法》，向私营部门的一些项目拨出款项。妇女非政府组织提议开展的若干项目，以这种方式获得了资助。</w:t>
      </w:r>
    </w:p>
    <w:p w:rsidR="00000000" w:rsidRDefault="00844A84">
      <w:pPr>
        <w:ind w:firstLine="510"/>
        <w:rPr>
          <w:rFonts w:hint="eastAsia"/>
          <w:bCs/>
          <w:snapToGrid/>
        </w:rPr>
      </w:pPr>
      <w:r>
        <w:rPr>
          <w:rFonts w:hint="eastAsia"/>
          <w:bCs/>
          <w:snapToGrid/>
        </w:rPr>
        <w:t xml:space="preserve">495.  </w:t>
      </w:r>
      <w:r>
        <w:rPr>
          <w:rFonts w:hint="eastAsia"/>
          <w:bCs/>
          <w:snapToGrid/>
        </w:rPr>
        <w:t>自</w:t>
      </w:r>
      <w:r>
        <w:rPr>
          <w:bCs/>
          <w:snapToGrid/>
        </w:rPr>
        <w:t>199</w:t>
      </w:r>
      <w:r>
        <w:rPr>
          <w:rFonts w:hint="eastAsia"/>
          <w:bCs/>
          <w:snapToGrid/>
        </w:rPr>
        <w:t>9</w:t>
      </w:r>
      <w:r>
        <w:rPr>
          <w:bCs/>
          <w:snapToGrid/>
        </w:rPr>
        <w:t>年成立东南欧稳定公约性别平等工作组以来，黑山妇女非政府组织部门的两名代表以及政府性别平等协调员参加了</w:t>
      </w:r>
      <w:r>
        <w:rPr>
          <w:rFonts w:hint="eastAsia"/>
          <w:bCs/>
          <w:snapToGrid/>
        </w:rPr>
        <w:t>该</w:t>
      </w:r>
      <w:r>
        <w:rPr>
          <w:bCs/>
          <w:snapToGrid/>
        </w:rPr>
        <w:t>工作组的工作。政府任命性别平等协调员，黑山参加性别平等工作</w:t>
      </w:r>
      <w:r>
        <w:rPr>
          <w:bCs/>
          <w:snapToGrid/>
        </w:rPr>
        <w:t>组的工作，政府制定项目提案设立性别平等政府机构，以及设立议会</w:t>
      </w:r>
      <w:r>
        <w:rPr>
          <w:rFonts w:hint="eastAsia"/>
          <w:bCs/>
          <w:snapToGrid/>
        </w:rPr>
        <w:t>性别</w:t>
      </w:r>
      <w:r>
        <w:rPr>
          <w:bCs/>
          <w:snapToGrid/>
        </w:rPr>
        <w:t>平等委员会，这些措施都表明政府认真承诺采用并执行</w:t>
      </w:r>
      <w:r>
        <w:rPr>
          <w:rFonts w:hint="eastAsia"/>
          <w:bCs/>
          <w:snapToGrid/>
        </w:rPr>
        <w:t>该</w:t>
      </w:r>
      <w:r>
        <w:rPr>
          <w:bCs/>
          <w:snapToGrid/>
        </w:rPr>
        <w:t>领域的各项国际标准。</w:t>
      </w:r>
    </w:p>
    <w:p w:rsidR="00000000" w:rsidRDefault="00844A84">
      <w:pPr>
        <w:ind w:firstLine="510"/>
        <w:rPr>
          <w:rFonts w:hint="eastAsia"/>
          <w:bCs/>
          <w:snapToGrid/>
        </w:rPr>
      </w:pPr>
      <w:r>
        <w:rPr>
          <w:rFonts w:hint="eastAsia"/>
          <w:bCs/>
          <w:snapToGrid/>
        </w:rPr>
        <w:t xml:space="preserve">496.  </w:t>
      </w:r>
      <w:r>
        <w:rPr>
          <w:rFonts w:hint="eastAsia"/>
          <w:bCs/>
          <w:snapToGrid/>
        </w:rPr>
        <w:t>在《稳定公约》性别平等工作组的支助下，黑山执行了若干项目。其中两个项目</w:t>
      </w:r>
      <w:r>
        <w:rPr>
          <w:rFonts w:hint="eastAsia"/>
          <w:bCs/>
          <w:snapToGrid/>
        </w:rPr>
        <w:t>(</w:t>
      </w:r>
      <w:r>
        <w:rPr>
          <w:rFonts w:hint="eastAsia"/>
          <w:bCs/>
          <w:snapToGrid/>
        </w:rPr>
        <w:t>“妇女权利</w:t>
      </w:r>
      <w:r>
        <w:rPr>
          <w:rFonts w:hint="eastAsia"/>
          <w:bCs/>
          <w:snapToGrid/>
          <w:spacing w:val="-50"/>
        </w:rPr>
        <w:t>―</w:t>
      </w:r>
      <w:r>
        <w:rPr>
          <w:rFonts w:hint="eastAsia"/>
          <w:bCs/>
          <w:snapToGrid/>
        </w:rPr>
        <w:t>―人权”和“妇女参与政治</w:t>
      </w:r>
      <w:r>
        <w:rPr>
          <w:rFonts w:hint="eastAsia"/>
          <w:bCs/>
          <w:snapToGrid/>
          <w:spacing w:val="-50"/>
        </w:rPr>
        <w:t>―</w:t>
      </w:r>
      <w:r>
        <w:rPr>
          <w:rFonts w:hint="eastAsia"/>
          <w:bCs/>
          <w:snapToGrid/>
        </w:rPr>
        <w:t>―妇女可以做到！”</w:t>
      </w:r>
      <w:r>
        <w:rPr>
          <w:rFonts w:hint="eastAsia"/>
          <w:bCs/>
          <w:snapToGrid/>
        </w:rPr>
        <w:t xml:space="preserve"> )</w:t>
      </w:r>
      <w:r>
        <w:rPr>
          <w:rFonts w:hint="eastAsia"/>
          <w:bCs/>
          <w:snapToGrid/>
        </w:rPr>
        <w:t>是由黑山非政府组织倡议的。其中第一个项目已经完成，结果是提出了动议，修改《行政法院法官或议会议员选举法</w:t>
      </w:r>
      <w:r>
        <w:rPr>
          <w:bCs/>
          <w:snapToGrid/>
        </w:rPr>
        <w:t>》，规定在议会所有级别的立法、行政和司法权力决策</w:t>
      </w:r>
      <w:r>
        <w:rPr>
          <w:rFonts w:hint="eastAsia"/>
          <w:bCs/>
          <w:snapToGrid/>
        </w:rPr>
        <w:t>人员中，</w:t>
      </w:r>
      <w:r>
        <w:rPr>
          <w:bCs/>
          <w:snapToGrid/>
        </w:rPr>
        <w:t>妇女必须占</w:t>
      </w:r>
      <w:r>
        <w:rPr>
          <w:bCs/>
          <w:snapToGrid/>
        </w:rPr>
        <w:t>20%(</w:t>
      </w:r>
      <w:r>
        <w:rPr>
          <w:rFonts w:hint="eastAsia"/>
          <w:bCs/>
          <w:snapToGrid/>
        </w:rPr>
        <w:t>最初提案</w:t>
      </w:r>
      <w:r>
        <w:rPr>
          <w:bCs/>
          <w:snapToGrid/>
        </w:rPr>
        <w:t>为</w:t>
      </w:r>
      <w:r>
        <w:rPr>
          <w:bCs/>
          <w:snapToGrid/>
        </w:rPr>
        <w:t>30%)</w:t>
      </w:r>
      <w:r>
        <w:rPr>
          <w:bCs/>
          <w:snapToGrid/>
        </w:rPr>
        <w:t>。第二个项目已扩大为</w:t>
      </w:r>
      <w:r>
        <w:rPr>
          <w:bCs/>
          <w:snapToGrid/>
        </w:rPr>
        <w:t>“</w:t>
      </w:r>
      <w:r>
        <w:rPr>
          <w:bCs/>
          <w:snapToGrid/>
        </w:rPr>
        <w:t>妇女可以做到</w:t>
      </w:r>
      <w:r>
        <w:rPr>
          <w:rFonts w:hint="eastAsia"/>
          <w:bCs/>
          <w:snapToGrid/>
        </w:rPr>
        <w:t>！第</w:t>
      </w:r>
      <w:r>
        <w:rPr>
          <w:rFonts w:hint="eastAsia"/>
          <w:bCs/>
          <w:snapToGrid/>
        </w:rPr>
        <w:t>二方案</w:t>
      </w:r>
      <w:r>
        <w:rPr>
          <w:bCs/>
          <w:snapToGrid/>
        </w:rPr>
        <w:t>”</w:t>
      </w:r>
      <w:r>
        <w:rPr>
          <w:bCs/>
          <w:snapToGrid/>
        </w:rPr>
        <w:t>，重点是对黑山</w:t>
      </w:r>
      <w:r>
        <w:rPr>
          <w:rFonts w:hint="eastAsia"/>
          <w:bCs/>
          <w:snapToGrid/>
        </w:rPr>
        <w:t>各</w:t>
      </w:r>
      <w:r>
        <w:rPr>
          <w:bCs/>
          <w:snapToGrid/>
        </w:rPr>
        <w:t>政党妇女进行特别培训，而不论其政治</w:t>
      </w:r>
      <w:r>
        <w:rPr>
          <w:rFonts w:hint="eastAsia"/>
          <w:bCs/>
          <w:snapToGrid/>
        </w:rPr>
        <w:t>派别</w:t>
      </w:r>
      <w:r>
        <w:rPr>
          <w:bCs/>
          <w:snapToGrid/>
        </w:rPr>
        <w:t>、国籍或宗教背景、家庭</w:t>
      </w:r>
      <w:r>
        <w:rPr>
          <w:rFonts w:hint="eastAsia"/>
          <w:bCs/>
          <w:snapToGrid/>
        </w:rPr>
        <w:t>或</w:t>
      </w:r>
      <w:r>
        <w:rPr>
          <w:bCs/>
          <w:snapToGrid/>
        </w:rPr>
        <w:t>教育背景如何。来自非政府组织和工会的妇女也参加了这</w:t>
      </w:r>
      <w:r>
        <w:rPr>
          <w:rFonts w:hint="eastAsia"/>
          <w:bCs/>
          <w:snapToGrid/>
        </w:rPr>
        <w:t>一</w:t>
      </w:r>
      <w:r>
        <w:rPr>
          <w:bCs/>
          <w:snapToGrid/>
        </w:rPr>
        <w:t>项目的执行工作。这</w:t>
      </w:r>
      <w:r>
        <w:rPr>
          <w:rFonts w:hint="eastAsia"/>
          <w:bCs/>
          <w:snapToGrid/>
        </w:rPr>
        <w:t>一</w:t>
      </w:r>
      <w:r>
        <w:rPr>
          <w:bCs/>
          <w:snapToGrid/>
        </w:rPr>
        <w:t>项目很重要，因为如果</w:t>
      </w:r>
      <w:r>
        <w:rPr>
          <w:rFonts w:hint="eastAsia"/>
          <w:bCs/>
          <w:snapToGrid/>
        </w:rPr>
        <w:t>要</w:t>
      </w:r>
      <w:r>
        <w:rPr>
          <w:bCs/>
          <w:snapToGrid/>
        </w:rPr>
        <w:t>提高妇女参与政治领域</w:t>
      </w:r>
      <w:r>
        <w:rPr>
          <w:rFonts w:hint="eastAsia"/>
          <w:bCs/>
          <w:snapToGrid/>
        </w:rPr>
        <w:t>工作</w:t>
      </w:r>
      <w:r>
        <w:rPr>
          <w:bCs/>
          <w:snapToGrid/>
        </w:rPr>
        <w:t>的质量和数量，就必需教育妇女如何参与公共生活。</w:t>
      </w:r>
    </w:p>
    <w:p w:rsidR="00000000" w:rsidRDefault="00844A84">
      <w:pPr>
        <w:ind w:firstLine="510"/>
        <w:rPr>
          <w:rFonts w:hint="eastAsia"/>
          <w:bCs/>
          <w:snapToGrid/>
        </w:rPr>
      </w:pPr>
      <w:r>
        <w:rPr>
          <w:rFonts w:hint="eastAsia"/>
          <w:bCs/>
          <w:snapToGrid/>
        </w:rPr>
        <w:t xml:space="preserve">497.  </w:t>
      </w:r>
      <w:r>
        <w:rPr>
          <w:rFonts w:hint="eastAsia"/>
          <w:bCs/>
          <w:snapToGrid/>
        </w:rPr>
        <w:t>政府发起的第三项目是建立性别平等机制，其基础是普遍承诺尊重人权，尤其是在家庭和社会妥善对待妇女。推迟提供经费、推迟进行议会选举和成立新政府，都表明这一机制尚未建立但将很快建立。大致而言，预计该机构在开展业务的第一年将执行以下各项任务：</w:t>
      </w:r>
    </w:p>
    <w:p w:rsidR="00000000" w:rsidRDefault="00844A84">
      <w:pPr>
        <w:pStyle w:val="a0"/>
        <w:ind w:left="1550"/>
        <w:rPr>
          <w:rFonts w:hint="eastAsia"/>
          <w:snapToGrid/>
        </w:rPr>
      </w:pPr>
      <w:r>
        <w:rPr>
          <w:rFonts w:hint="eastAsia"/>
          <w:snapToGrid/>
        </w:rPr>
        <w:t>建立与性别相</w:t>
      </w:r>
      <w:r>
        <w:rPr>
          <w:rFonts w:hint="eastAsia"/>
          <w:snapToGrid/>
        </w:rPr>
        <w:t>关的统计数据库，并研究妇女在生活各领域的地位；</w:t>
      </w:r>
    </w:p>
    <w:p w:rsidR="00000000" w:rsidRDefault="00844A84">
      <w:pPr>
        <w:pStyle w:val="a0"/>
        <w:ind w:left="1550"/>
        <w:rPr>
          <w:rFonts w:hint="eastAsia"/>
          <w:snapToGrid/>
        </w:rPr>
      </w:pPr>
      <w:r>
        <w:rPr>
          <w:rFonts w:hint="eastAsia"/>
          <w:snapToGrid/>
        </w:rPr>
        <w:t>建立有关实现性别平等的最佳国际惯例数据库；</w:t>
      </w:r>
    </w:p>
    <w:p w:rsidR="00000000" w:rsidRDefault="00844A84">
      <w:pPr>
        <w:pStyle w:val="a0"/>
        <w:ind w:left="1550"/>
        <w:rPr>
          <w:rFonts w:hint="eastAsia"/>
          <w:snapToGrid/>
        </w:rPr>
      </w:pPr>
      <w:r>
        <w:rPr>
          <w:rFonts w:hint="eastAsia"/>
          <w:snapToGrid/>
        </w:rPr>
        <w:t>协调政府、议会和非政府的主要活动，消除对妇女和女孩的所有歧视及侵犯妇女的暴力行为、并根除侵犯妇女人权现象；</w:t>
      </w:r>
    </w:p>
    <w:p w:rsidR="00000000" w:rsidRDefault="00844A84">
      <w:pPr>
        <w:pStyle w:val="a0"/>
        <w:ind w:left="1550"/>
        <w:rPr>
          <w:rFonts w:hint="eastAsia"/>
          <w:snapToGrid/>
        </w:rPr>
      </w:pPr>
      <w:r>
        <w:rPr>
          <w:rFonts w:hint="eastAsia"/>
          <w:snapToGrid/>
        </w:rPr>
        <w:t>开始修订立法并制定新的立法，改善妇女在家庭、经济和政治生活中的地位；</w:t>
      </w:r>
    </w:p>
    <w:p w:rsidR="00000000" w:rsidRDefault="00844A84">
      <w:pPr>
        <w:pStyle w:val="a0"/>
        <w:ind w:left="1550"/>
        <w:rPr>
          <w:rFonts w:hint="eastAsia"/>
          <w:snapToGrid/>
        </w:rPr>
      </w:pPr>
      <w:r>
        <w:rPr>
          <w:rFonts w:hint="eastAsia"/>
          <w:snapToGrid/>
        </w:rPr>
        <w:t>开展提高公众对性别平等相关问题认识的运动，在媒介发表材料，使公众了解实现妇女一切权利的情况，必须安排志愿咨询活动，并为紧急案件提供法律援助。</w:t>
      </w:r>
    </w:p>
    <w:p w:rsidR="00000000" w:rsidRDefault="00844A84">
      <w:pPr>
        <w:ind w:firstLine="510"/>
        <w:rPr>
          <w:rFonts w:hint="eastAsia"/>
          <w:bCs/>
          <w:snapToGrid/>
        </w:rPr>
      </w:pPr>
      <w:r>
        <w:rPr>
          <w:rFonts w:hint="eastAsia"/>
          <w:bCs/>
          <w:snapToGrid/>
        </w:rPr>
        <w:t xml:space="preserve">498.  </w:t>
      </w:r>
      <w:r>
        <w:rPr>
          <w:rFonts w:hint="eastAsia"/>
          <w:bCs/>
          <w:snapToGrid/>
        </w:rPr>
        <w:t>除</w:t>
      </w:r>
      <w:r>
        <w:rPr>
          <w:bCs/>
          <w:snapToGrid/>
        </w:rPr>
        <w:t>上述</w:t>
      </w:r>
      <w:r>
        <w:rPr>
          <w:rFonts w:hint="eastAsia"/>
          <w:bCs/>
          <w:snapToGrid/>
        </w:rPr>
        <w:t>活动</w:t>
      </w:r>
      <w:r>
        <w:rPr>
          <w:bCs/>
          <w:snapToGrid/>
        </w:rPr>
        <w:t>外，黑山还在欧安组织协助下，参加了《稳定公约》的项目</w:t>
      </w:r>
      <w:r>
        <w:rPr>
          <w:bCs/>
          <w:snapToGrid/>
        </w:rPr>
        <w:t>“</w:t>
      </w:r>
      <w:r>
        <w:rPr>
          <w:bCs/>
          <w:snapToGrid/>
        </w:rPr>
        <w:t>保护黑山境内</w:t>
      </w:r>
      <w:r>
        <w:rPr>
          <w:rFonts w:hint="eastAsia"/>
          <w:bCs/>
          <w:snapToGrid/>
        </w:rPr>
        <w:t>淫媒活动</w:t>
      </w:r>
      <w:r>
        <w:rPr>
          <w:bCs/>
          <w:snapToGrid/>
        </w:rPr>
        <w:t>受害</w:t>
      </w:r>
      <w:r>
        <w:rPr>
          <w:bCs/>
          <w:snapToGrid/>
        </w:rPr>
        <w:t>者</w:t>
      </w:r>
      <w:r>
        <w:rPr>
          <w:bCs/>
          <w:snapToGrid/>
        </w:rPr>
        <w:t>”</w:t>
      </w:r>
      <w:r>
        <w:rPr>
          <w:bCs/>
          <w:snapToGrid/>
        </w:rPr>
        <w:t>，</w:t>
      </w:r>
      <w:r>
        <w:rPr>
          <w:rFonts w:hint="eastAsia"/>
          <w:bCs/>
          <w:snapToGrid/>
        </w:rPr>
        <w:t>该</w:t>
      </w:r>
      <w:r>
        <w:rPr>
          <w:bCs/>
          <w:snapToGrid/>
        </w:rPr>
        <w:t>项目不仅涉及政府，也涉及非政府组织和国际组织。政府还通过了《打击</w:t>
      </w:r>
      <w:r>
        <w:rPr>
          <w:rFonts w:hint="eastAsia"/>
          <w:bCs/>
          <w:snapToGrid/>
        </w:rPr>
        <w:t>淫媒</w:t>
      </w:r>
      <w:r>
        <w:rPr>
          <w:bCs/>
          <w:snapToGrid/>
        </w:rPr>
        <w:t>活动全国计划》。</w:t>
      </w:r>
    </w:p>
    <w:p w:rsidR="00000000" w:rsidRDefault="00844A84">
      <w:pPr>
        <w:ind w:firstLine="510"/>
        <w:rPr>
          <w:rFonts w:hint="eastAsia"/>
          <w:bCs/>
          <w:snapToGrid/>
        </w:rPr>
      </w:pPr>
      <w:r>
        <w:rPr>
          <w:rFonts w:hint="eastAsia"/>
          <w:bCs/>
          <w:snapToGrid/>
        </w:rPr>
        <w:t xml:space="preserve">499.  </w:t>
      </w:r>
      <w:r>
        <w:rPr>
          <w:rFonts w:hint="eastAsia"/>
          <w:bCs/>
          <w:snapToGrid/>
        </w:rPr>
        <w:t>在《稳定公约》主持下完成的另一个区域项目是“东南欧妇女在预防和解决冲突以及冲突后对话中的作用”。</w:t>
      </w:r>
    </w:p>
    <w:p w:rsidR="00000000" w:rsidRDefault="00844A84">
      <w:pPr>
        <w:spacing w:after="320"/>
        <w:ind w:firstLine="510"/>
        <w:rPr>
          <w:rFonts w:hint="eastAsia"/>
          <w:bCs/>
          <w:snapToGrid/>
        </w:rPr>
      </w:pPr>
      <w:r>
        <w:rPr>
          <w:rFonts w:hint="eastAsia"/>
          <w:bCs/>
          <w:snapToGrid/>
        </w:rPr>
        <w:t xml:space="preserve">500.  </w:t>
      </w:r>
      <w:r>
        <w:rPr>
          <w:rFonts w:hint="eastAsia"/>
          <w:bCs/>
          <w:snapToGrid/>
        </w:rPr>
        <w:t>最后，应提及有关在黑山建立妇女非政府组织网络的倡议，这种网络虽然尚未充分发展，但各非政府组织和政府都认识到建立这种网络结构的必要性。</w:t>
      </w:r>
    </w:p>
    <w:p w:rsidR="00000000" w:rsidRDefault="00844A84">
      <w:pPr>
        <w:pStyle w:val="Heading3"/>
        <w:rPr>
          <w:rFonts w:hint="eastAsia"/>
        </w:rPr>
      </w:pPr>
      <w:r>
        <w:rPr>
          <w:rFonts w:hint="eastAsia"/>
        </w:rPr>
        <w:t>第</w:t>
      </w:r>
      <w:r>
        <w:rPr>
          <w:rFonts w:hint="eastAsia"/>
        </w:rPr>
        <w:t xml:space="preserve"> </w:t>
      </w:r>
      <w:r>
        <w:rPr>
          <w:rFonts w:hint="eastAsia"/>
        </w:rPr>
        <w:t>四</w:t>
      </w:r>
      <w:r>
        <w:rPr>
          <w:rFonts w:hint="eastAsia"/>
        </w:rPr>
        <w:t xml:space="preserve"> </w:t>
      </w:r>
      <w:r>
        <w:rPr>
          <w:rFonts w:hint="eastAsia"/>
        </w:rPr>
        <w:t>条</w:t>
      </w:r>
    </w:p>
    <w:p w:rsidR="00000000" w:rsidRDefault="00844A84">
      <w:pPr>
        <w:ind w:firstLine="510"/>
        <w:rPr>
          <w:rFonts w:hint="eastAsia"/>
          <w:bCs/>
          <w:snapToGrid/>
        </w:rPr>
      </w:pPr>
      <w:r>
        <w:rPr>
          <w:rFonts w:hint="eastAsia"/>
          <w:bCs/>
          <w:snapToGrid/>
        </w:rPr>
        <w:t xml:space="preserve">501.  </w:t>
      </w:r>
      <w:r>
        <w:rPr>
          <w:rFonts w:hint="eastAsia"/>
          <w:bCs/>
          <w:snapToGrid/>
        </w:rPr>
        <w:t>黑山共和国已以南斯拉夫联盟共和国</w:t>
      </w:r>
      <w:r>
        <w:rPr>
          <w:rFonts w:hint="eastAsia"/>
          <w:bCs/>
          <w:snapToGrid/>
        </w:rPr>
        <w:t>(</w:t>
      </w:r>
      <w:r>
        <w:rPr>
          <w:rFonts w:hint="eastAsia"/>
          <w:bCs/>
          <w:snapToGrid/>
        </w:rPr>
        <w:t>现为塞尔维亚和黑山共同国家</w:t>
      </w:r>
      <w:r>
        <w:rPr>
          <w:rFonts w:hint="eastAsia"/>
          <w:bCs/>
          <w:snapToGrid/>
        </w:rPr>
        <w:t>)</w:t>
      </w:r>
      <w:r>
        <w:rPr>
          <w:rFonts w:hint="eastAsia"/>
          <w:bCs/>
          <w:snapToGrid/>
        </w:rPr>
        <w:t>成员国的身份，批准了《经济、社会、文化权利国际公约》。</w:t>
      </w:r>
    </w:p>
    <w:p w:rsidR="00000000" w:rsidRDefault="00844A84">
      <w:pPr>
        <w:spacing w:after="320"/>
        <w:ind w:firstLine="510"/>
        <w:rPr>
          <w:rFonts w:hint="eastAsia"/>
          <w:bCs/>
          <w:snapToGrid/>
        </w:rPr>
      </w:pPr>
      <w:r>
        <w:rPr>
          <w:rFonts w:hint="eastAsia"/>
          <w:bCs/>
          <w:snapToGrid/>
        </w:rPr>
        <w:t xml:space="preserve">502.  </w:t>
      </w:r>
      <w:r>
        <w:rPr>
          <w:rFonts w:hint="eastAsia"/>
          <w:bCs/>
          <w:snapToGrid/>
        </w:rPr>
        <w:t>《联邦宪</w:t>
      </w:r>
      <w:r>
        <w:rPr>
          <w:rFonts w:hint="eastAsia"/>
          <w:bCs/>
          <w:snapToGrid/>
        </w:rPr>
        <w:t>法》第</w:t>
      </w:r>
      <w:r>
        <w:rPr>
          <w:bCs/>
          <w:snapToGrid/>
        </w:rPr>
        <w:t>16</w:t>
      </w:r>
      <w:r>
        <w:rPr>
          <w:bCs/>
          <w:snapToGrid/>
        </w:rPr>
        <w:t>条第</w:t>
      </w:r>
      <w:r>
        <w:rPr>
          <w:bCs/>
          <w:snapToGrid/>
        </w:rPr>
        <w:t>2</w:t>
      </w:r>
      <w:r>
        <w:rPr>
          <w:bCs/>
          <w:snapToGrid/>
        </w:rPr>
        <w:t>款规定，按《宪法》和国际法标准确认和公布的国际协定，是国内法律制度的组成部分。</w:t>
      </w:r>
      <w:r>
        <w:rPr>
          <w:rFonts w:hint="eastAsia"/>
          <w:bCs/>
          <w:snapToGrid/>
        </w:rPr>
        <w:t>该《公约》各项规定即为黑山的国内法，因此不违反黑山的有关立法。</w:t>
      </w:r>
    </w:p>
    <w:p w:rsidR="00000000" w:rsidRDefault="00844A84">
      <w:pPr>
        <w:pStyle w:val="Heading3"/>
        <w:rPr>
          <w:rFonts w:hint="eastAsia"/>
        </w:rPr>
      </w:pPr>
      <w:r>
        <w:rPr>
          <w:rFonts w:hint="eastAsia"/>
        </w:rPr>
        <w:t>第</w:t>
      </w:r>
      <w:r>
        <w:rPr>
          <w:rFonts w:hint="eastAsia"/>
        </w:rPr>
        <w:t xml:space="preserve"> </w:t>
      </w:r>
      <w:r>
        <w:rPr>
          <w:rFonts w:hint="eastAsia"/>
        </w:rPr>
        <w:t>五</w:t>
      </w:r>
      <w:r>
        <w:rPr>
          <w:rFonts w:hint="eastAsia"/>
        </w:rPr>
        <w:t xml:space="preserve"> </w:t>
      </w:r>
      <w:r>
        <w:rPr>
          <w:rFonts w:hint="eastAsia"/>
        </w:rPr>
        <w:t>条</w:t>
      </w:r>
    </w:p>
    <w:p w:rsidR="00000000" w:rsidRDefault="00844A84">
      <w:pPr>
        <w:pStyle w:val="Heading4"/>
        <w:rPr>
          <w:rFonts w:hint="eastAsia"/>
        </w:rPr>
      </w:pPr>
      <w:r>
        <w:rPr>
          <w:rFonts w:hint="eastAsia"/>
        </w:rPr>
        <w:t>第</w:t>
      </w:r>
      <w:r>
        <w:rPr>
          <w:rFonts w:hint="eastAsia"/>
        </w:rPr>
        <w:t>1</w:t>
      </w:r>
      <w:r>
        <w:rPr>
          <w:rFonts w:hint="eastAsia"/>
        </w:rPr>
        <w:t>和第</w:t>
      </w:r>
      <w:r>
        <w:rPr>
          <w:rFonts w:hint="eastAsia"/>
        </w:rPr>
        <w:t>2</w:t>
      </w:r>
      <w:r>
        <w:rPr>
          <w:rFonts w:hint="eastAsia"/>
        </w:rPr>
        <w:t>款</w:t>
      </w:r>
    </w:p>
    <w:p w:rsidR="00000000" w:rsidRDefault="00844A84">
      <w:pPr>
        <w:ind w:firstLine="510"/>
        <w:rPr>
          <w:rFonts w:hint="eastAsia"/>
          <w:bCs/>
          <w:snapToGrid/>
        </w:rPr>
      </w:pPr>
      <w:r>
        <w:rPr>
          <w:rFonts w:hint="eastAsia"/>
          <w:bCs/>
          <w:snapToGrid/>
        </w:rPr>
        <w:t xml:space="preserve">503.  </w:t>
      </w:r>
      <w:r>
        <w:rPr>
          <w:rFonts w:hint="eastAsia"/>
          <w:bCs/>
          <w:snapToGrid/>
        </w:rPr>
        <w:t>黑山共和国已以南斯拉夫联盟共和国</w:t>
      </w:r>
      <w:r>
        <w:rPr>
          <w:rFonts w:hint="eastAsia"/>
          <w:bCs/>
          <w:snapToGrid/>
        </w:rPr>
        <w:t>(</w:t>
      </w:r>
      <w:r>
        <w:rPr>
          <w:rFonts w:hint="eastAsia"/>
          <w:bCs/>
          <w:snapToGrid/>
        </w:rPr>
        <w:t>现为塞尔维亚和黑山共同国家</w:t>
      </w:r>
      <w:r>
        <w:rPr>
          <w:rFonts w:hint="eastAsia"/>
          <w:bCs/>
          <w:snapToGrid/>
        </w:rPr>
        <w:t>)</w:t>
      </w:r>
      <w:r>
        <w:rPr>
          <w:rFonts w:hint="eastAsia"/>
          <w:bCs/>
          <w:snapToGrid/>
        </w:rPr>
        <w:t>成员国的身份，批准了《公民及政治权利国际盟约》。</w:t>
      </w:r>
    </w:p>
    <w:p w:rsidR="00000000" w:rsidRDefault="00844A84">
      <w:pPr>
        <w:spacing w:after="320"/>
        <w:ind w:firstLine="510"/>
        <w:rPr>
          <w:rFonts w:hint="eastAsia"/>
          <w:bCs/>
          <w:snapToGrid/>
        </w:rPr>
      </w:pPr>
      <w:r>
        <w:rPr>
          <w:rFonts w:hint="eastAsia"/>
          <w:bCs/>
          <w:snapToGrid/>
        </w:rPr>
        <w:t xml:space="preserve">504.  </w:t>
      </w:r>
      <w:r>
        <w:rPr>
          <w:rFonts w:hint="eastAsia"/>
          <w:bCs/>
          <w:snapToGrid/>
        </w:rPr>
        <w:t>《联邦宪法》第</w:t>
      </w:r>
      <w:r>
        <w:rPr>
          <w:bCs/>
          <w:snapToGrid/>
        </w:rPr>
        <w:t>16</w:t>
      </w:r>
      <w:r>
        <w:rPr>
          <w:bCs/>
          <w:snapToGrid/>
        </w:rPr>
        <w:t>条第</w:t>
      </w:r>
      <w:r>
        <w:rPr>
          <w:bCs/>
          <w:snapToGrid/>
        </w:rPr>
        <w:t>2</w:t>
      </w:r>
      <w:r>
        <w:rPr>
          <w:bCs/>
          <w:snapToGrid/>
        </w:rPr>
        <w:t>款规定，按《宪法》和国际法标准确认和公布的国际协定，是国内法律制度的组成部分。</w:t>
      </w:r>
      <w:r>
        <w:rPr>
          <w:rFonts w:hint="eastAsia"/>
          <w:bCs/>
          <w:snapToGrid/>
        </w:rPr>
        <w:t>该《公约》各项规定即为黑山的国内法，因此不违反黑山的有关立法。</w:t>
      </w:r>
    </w:p>
    <w:p w:rsidR="00000000" w:rsidRDefault="00844A84">
      <w:pPr>
        <w:pStyle w:val="Heading3"/>
        <w:rPr>
          <w:rFonts w:hint="eastAsia"/>
        </w:rPr>
      </w:pPr>
      <w:r>
        <w:rPr>
          <w:rFonts w:hint="eastAsia"/>
        </w:rPr>
        <w:t>第</w:t>
      </w:r>
      <w:r>
        <w:rPr>
          <w:rFonts w:hint="eastAsia"/>
        </w:rPr>
        <w:t xml:space="preserve"> </w:t>
      </w:r>
      <w:r>
        <w:rPr>
          <w:rFonts w:hint="eastAsia"/>
        </w:rPr>
        <w:t>六</w:t>
      </w:r>
      <w:r>
        <w:rPr>
          <w:rFonts w:hint="eastAsia"/>
        </w:rPr>
        <w:t xml:space="preserve"> </w:t>
      </w:r>
      <w:r>
        <w:rPr>
          <w:rFonts w:hint="eastAsia"/>
        </w:rPr>
        <w:t>条</w:t>
      </w:r>
    </w:p>
    <w:p w:rsidR="00000000" w:rsidRDefault="00844A84">
      <w:pPr>
        <w:pStyle w:val="Heading4"/>
        <w:rPr>
          <w:rFonts w:hint="eastAsia"/>
        </w:rPr>
      </w:pPr>
      <w:r>
        <w:rPr>
          <w:rFonts w:hint="eastAsia"/>
        </w:rPr>
        <w:t>第</w:t>
      </w:r>
      <w:r>
        <w:rPr>
          <w:rFonts w:hint="eastAsia"/>
        </w:rPr>
        <w:t xml:space="preserve"> 1 </w:t>
      </w:r>
      <w:r>
        <w:rPr>
          <w:rFonts w:hint="eastAsia"/>
        </w:rPr>
        <w:t>款</w:t>
      </w:r>
    </w:p>
    <w:p w:rsidR="00000000" w:rsidRDefault="00844A84">
      <w:pPr>
        <w:ind w:firstLine="510"/>
        <w:rPr>
          <w:rFonts w:hint="eastAsia"/>
          <w:bCs/>
          <w:snapToGrid/>
        </w:rPr>
      </w:pPr>
      <w:r>
        <w:rPr>
          <w:rFonts w:hint="eastAsia"/>
          <w:bCs/>
          <w:snapToGrid/>
        </w:rPr>
        <w:t>5</w:t>
      </w:r>
      <w:r>
        <w:rPr>
          <w:rFonts w:hint="eastAsia"/>
          <w:bCs/>
          <w:snapToGrid/>
        </w:rPr>
        <w:t xml:space="preserve">05.  </w:t>
      </w:r>
      <w:r>
        <w:rPr>
          <w:rFonts w:hint="eastAsia"/>
          <w:bCs/>
          <w:snapToGrid/>
        </w:rPr>
        <w:t>基于人类社会的各项原则，黑山共和国《宪法》及各项法律表示保证人人都享有工作权，都能自由选择职业和工作，享有公正和人道的工作条件，并在就业期间得到保护，残疾人都能得到特别照料。</w:t>
      </w:r>
    </w:p>
    <w:p w:rsidR="00000000" w:rsidRDefault="00844A84">
      <w:pPr>
        <w:ind w:firstLine="510"/>
        <w:rPr>
          <w:rFonts w:hint="eastAsia"/>
          <w:bCs/>
          <w:snapToGrid/>
        </w:rPr>
      </w:pPr>
      <w:r>
        <w:rPr>
          <w:rFonts w:hint="eastAsia"/>
          <w:bCs/>
          <w:snapToGrid/>
        </w:rPr>
        <w:t xml:space="preserve">506.  </w:t>
      </w:r>
      <w:r>
        <w:rPr>
          <w:rFonts w:hint="eastAsia"/>
          <w:bCs/>
          <w:snapToGrid/>
        </w:rPr>
        <w:t>人人享有财产权、赚取收入的自由及创办企业的权利。禁止从事任何行为或行动以建立或支持垄断地位或妨碍市场交易。</w:t>
      </w:r>
    </w:p>
    <w:p w:rsidR="00000000" w:rsidRDefault="00844A84">
      <w:pPr>
        <w:ind w:firstLine="510"/>
        <w:rPr>
          <w:rFonts w:hint="eastAsia"/>
          <w:bCs/>
          <w:snapToGrid/>
        </w:rPr>
      </w:pPr>
      <w:r>
        <w:rPr>
          <w:rFonts w:hint="eastAsia"/>
          <w:bCs/>
          <w:snapToGrid/>
        </w:rPr>
        <w:t xml:space="preserve">507.  </w:t>
      </w:r>
      <w:r>
        <w:rPr>
          <w:rFonts w:hint="eastAsia"/>
          <w:bCs/>
          <w:snapToGrid/>
        </w:rPr>
        <w:t>员工应享有平等行使有关工作的权利，而不论其民族血统、种族、性别、语言、宗教、政治和其他派别、教育、社会背景、经济状况或其他任何个人特征为何。雇主必须尊重员工的权利和平等，保护他们的权利、隐私和尊</w:t>
      </w:r>
      <w:r>
        <w:rPr>
          <w:rFonts w:hint="eastAsia"/>
          <w:bCs/>
          <w:snapToGrid/>
        </w:rPr>
        <w:t>严。</w:t>
      </w:r>
    </w:p>
    <w:p w:rsidR="00000000" w:rsidRDefault="00844A84">
      <w:pPr>
        <w:spacing w:after="320"/>
        <w:ind w:firstLine="510"/>
        <w:rPr>
          <w:rFonts w:hint="eastAsia"/>
          <w:bCs/>
          <w:snapToGrid/>
        </w:rPr>
      </w:pPr>
      <w:r>
        <w:rPr>
          <w:rFonts w:hint="eastAsia"/>
          <w:bCs/>
          <w:snapToGrid/>
        </w:rPr>
        <w:t xml:space="preserve">508.  </w:t>
      </w:r>
      <w:r>
        <w:rPr>
          <w:rFonts w:hint="eastAsia"/>
          <w:bCs/>
          <w:snapToGrid/>
        </w:rPr>
        <w:t>在我国的外国人享有《宪法》、相关法律和国际条约规定的自由和权利并履行有关义务。因此，可根据有关法律和国际公约规定的条件，雇用外国国民和没有我国公民身份的任何人。</w:t>
      </w:r>
    </w:p>
    <w:p w:rsidR="00000000" w:rsidRDefault="00844A84">
      <w:pPr>
        <w:pStyle w:val="Heading4"/>
        <w:rPr>
          <w:rFonts w:hint="eastAsia"/>
        </w:rPr>
      </w:pPr>
      <w:r>
        <w:rPr>
          <w:rFonts w:hint="eastAsia"/>
        </w:rPr>
        <w:t>第</w:t>
      </w:r>
      <w:r>
        <w:rPr>
          <w:rFonts w:hint="eastAsia"/>
        </w:rPr>
        <w:t xml:space="preserve"> 2 </w:t>
      </w:r>
      <w:r>
        <w:rPr>
          <w:rFonts w:hint="eastAsia"/>
        </w:rPr>
        <w:t>款</w:t>
      </w:r>
    </w:p>
    <w:p w:rsidR="00000000" w:rsidRDefault="00844A84">
      <w:pPr>
        <w:ind w:firstLine="510"/>
        <w:rPr>
          <w:rFonts w:hint="eastAsia"/>
          <w:bCs/>
          <w:snapToGrid/>
        </w:rPr>
      </w:pPr>
      <w:r>
        <w:rPr>
          <w:rFonts w:hint="eastAsia"/>
          <w:bCs/>
          <w:snapToGrid/>
        </w:rPr>
        <w:t xml:space="preserve">509.  </w:t>
      </w:r>
      <w:r>
        <w:rPr>
          <w:rFonts w:hint="eastAsia"/>
          <w:bCs/>
          <w:snapToGrid/>
        </w:rPr>
        <w:t>我国接受劳工组织众多的公约，包括第</w:t>
      </w:r>
      <w:r>
        <w:rPr>
          <w:bCs/>
          <w:snapToGrid/>
        </w:rPr>
        <w:t>122(1964</w:t>
      </w:r>
      <w:r>
        <w:rPr>
          <w:rFonts w:hint="eastAsia"/>
          <w:bCs/>
          <w:snapToGrid/>
        </w:rPr>
        <w:t>年</w:t>
      </w:r>
      <w:r>
        <w:rPr>
          <w:bCs/>
          <w:snapToGrid/>
        </w:rPr>
        <w:t>)</w:t>
      </w:r>
      <w:r>
        <w:rPr>
          <w:bCs/>
          <w:snapToGrid/>
        </w:rPr>
        <w:t>号公约《就业政策公约》以及第</w:t>
      </w:r>
      <w:r>
        <w:rPr>
          <w:bCs/>
          <w:snapToGrid/>
        </w:rPr>
        <w:t>11</w:t>
      </w:r>
      <w:r>
        <w:rPr>
          <w:rFonts w:hint="eastAsia"/>
          <w:bCs/>
          <w:snapToGrid/>
        </w:rPr>
        <w:t>1</w:t>
      </w:r>
      <w:r>
        <w:rPr>
          <w:bCs/>
          <w:snapToGrid/>
        </w:rPr>
        <w:t>(19</w:t>
      </w:r>
      <w:r>
        <w:rPr>
          <w:rFonts w:hint="eastAsia"/>
          <w:bCs/>
          <w:snapToGrid/>
        </w:rPr>
        <w:t>5</w:t>
      </w:r>
      <w:r>
        <w:rPr>
          <w:bCs/>
          <w:snapToGrid/>
        </w:rPr>
        <w:t>8</w:t>
      </w:r>
      <w:r>
        <w:rPr>
          <w:rFonts w:hint="eastAsia"/>
          <w:bCs/>
          <w:snapToGrid/>
        </w:rPr>
        <w:t>年</w:t>
      </w:r>
      <w:r>
        <w:rPr>
          <w:bCs/>
          <w:snapToGrid/>
        </w:rPr>
        <w:t>)</w:t>
      </w:r>
      <w:r>
        <w:rPr>
          <w:bCs/>
          <w:snapToGrid/>
        </w:rPr>
        <w:t>号公约《</w:t>
      </w:r>
      <w:r>
        <w:rPr>
          <w:bCs/>
          <w:snapToGrid/>
        </w:rPr>
        <w:t>(</w:t>
      </w:r>
      <w:r>
        <w:rPr>
          <w:bCs/>
          <w:snapToGrid/>
        </w:rPr>
        <w:t>就业和职业</w:t>
      </w:r>
      <w:r>
        <w:rPr>
          <w:bCs/>
          <w:snapToGrid/>
        </w:rPr>
        <w:t>)</w:t>
      </w:r>
      <w:r>
        <w:rPr>
          <w:bCs/>
          <w:snapToGrid/>
        </w:rPr>
        <w:t>歧视公约》。</w:t>
      </w:r>
    </w:p>
    <w:p w:rsidR="00000000" w:rsidRDefault="00844A84">
      <w:pPr>
        <w:ind w:firstLine="510"/>
        <w:rPr>
          <w:rFonts w:hint="eastAsia"/>
          <w:bCs/>
          <w:snapToGrid/>
        </w:rPr>
      </w:pPr>
      <w:r>
        <w:rPr>
          <w:rFonts w:hint="eastAsia"/>
          <w:bCs/>
          <w:snapToGrid/>
        </w:rPr>
        <w:t xml:space="preserve">510.  </w:t>
      </w:r>
      <w:r>
        <w:rPr>
          <w:bCs/>
          <w:snapToGrid/>
        </w:rPr>
        <w:t>1990</w:t>
      </w:r>
      <w:r>
        <w:rPr>
          <w:bCs/>
          <w:snapToGrid/>
        </w:rPr>
        <w:t>年代开始了社会经济转型进程，采取了各种措施，使经济适应市场状况，对经济结构进行了管理和与所有制</w:t>
      </w:r>
      <w:r>
        <w:rPr>
          <w:rFonts w:hint="eastAsia"/>
          <w:bCs/>
          <w:snapToGrid/>
        </w:rPr>
        <w:t>有关</w:t>
      </w:r>
      <w:r>
        <w:rPr>
          <w:bCs/>
          <w:snapToGrid/>
        </w:rPr>
        <w:t>的改革，</w:t>
      </w:r>
      <w:r>
        <w:rPr>
          <w:rFonts w:hint="eastAsia"/>
          <w:bCs/>
          <w:snapToGrid/>
        </w:rPr>
        <w:t>从而</w:t>
      </w:r>
      <w:r>
        <w:rPr>
          <w:bCs/>
          <w:snapToGrid/>
        </w:rPr>
        <w:t>强化了这一进程，</w:t>
      </w:r>
      <w:r>
        <w:rPr>
          <w:rFonts w:hint="eastAsia"/>
          <w:bCs/>
          <w:snapToGrid/>
        </w:rPr>
        <w:t>结果是由于这一进程本身的</w:t>
      </w:r>
      <w:r>
        <w:rPr>
          <w:bCs/>
          <w:snapToGrid/>
        </w:rPr>
        <w:t>特点、范围、动力和强度</w:t>
      </w:r>
      <w:r>
        <w:rPr>
          <w:rFonts w:hint="eastAsia"/>
          <w:bCs/>
          <w:snapToGrid/>
        </w:rPr>
        <w:t>，使</w:t>
      </w:r>
      <w:r>
        <w:rPr>
          <w:bCs/>
          <w:snapToGrid/>
        </w:rPr>
        <w:t>整个经济和</w:t>
      </w:r>
      <w:r>
        <w:rPr>
          <w:rFonts w:hint="eastAsia"/>
          <w:bCs/>
          <w:snapToGrid/>
        </w:rPr>
        <w:t>体制及社会</w:t>
      </w:r>
      <w:r>
        <w:rPr>
          <w:bCs/>
          <w:snapToGrid/>
        </w:rPr>
        <w:t>经济方面产生了</w:t>
      </w:r>
      <w:r>
        <w:rPr>
          <w:rFonts w:hint="eastAsia"/>
          <w:bCs/>
          <w:snapToGrid/>
        </w:rPr>
        <w:t>急剧</w:t>
      </w:r>
      <w:r>
        <w:rPr>
          <w:bCs/>
          <w:snapToGrid/>
        </w:rPr>
        <w:t>变化，就业政策</w:t>
      </w:r>
      <w:r>
        <w:rPr>
          <w:rFonts w:hint="eastAsia"/>
          <w:bCs/>
          <w:snapToGrid/>
        </w:rPr>
        <w:t>也</w:t>
      </w:r>
      <w:r>
        <w:rPr>
          <w:bCs/>
          <w:snapToGrid/>
        </w:rPr>
        <w:t>反映</w:t>
      </w:r>
      <w:r>
        <w:rPr>
          <w:rFonts w:hint="eastAsia"/>
          <w:bCs/>
          <w:snapToGrid/>
        </w:rPr>
        <w:t>了这些变化</w:t>
      </w:r>
      <w:r>
        <w:rPr>
          <w:bCs/>
          <w:snapToGrid/>
        </w:rPr>
        <w:t>。由于没有改革性规范</w:t>
      </w:r>
      <w:r>
        <w:rPr>
          <w:rFonts w:hint="eastAsia"/>
          <w:bCs/>
          <w:snapToGrid/>
        </w:rPr>
        <w:t>化</w:t>
      </w:r>
      <w:r>
        <w:rPr>
          <w:bCs/>
          <w:snapToGrid/>
        </w:rPr>
        <w:t>先决条件</w:t>
      </w:r>
      <w:r>
        <w:rPr>
          <w:rFonts w:hint="eastAsia"/>
          <w:bCs/>
          <w:snapToGrid/>
        </w:rPr>
        <w:t>，</w:t>
      </w:r>
      <w:r>
        <w:rPr>
          <w:bCs/>
          <w:snapToGrid/>
        </w:rPr>
        <w:t>该时期的政策和经济活动没有得到充分执行</w:t>
      </w:r>
      <w:r>
        <w:rPr>
          <w:rFonts w:hint="eastAsia"/>
          <w:bCs/>
          <w:snapToGrid/>
        </w:rPr>
        <w:t>和开展</w:t>
      </w:r>
      <w:r>
        <w:rPr>
          <w:bCs/>
          <w:snapToGrid/>
        </w:rPr>
        <w:t>。</w:t>
      </w:r>
    </w:p>
    <w:p w:rsidR="00000000" w:rsidRDefault="00844A84">
      <w:pPr>
        <w:ind w:firstLine="510"/>
        <w:rPr>
          <w:rFonts w:hint="eastAsia"/>
          <w:bCs/>
          <w:snapToGrid/>
        </w:rPr>
      </w:pPr>
      <w:r>
        <w:rPr>
          <w:rFonts w:hint="eastAsia"/>
          <w:bCs/>
          <w:snapToGrid/>
        </w:rPr>
        <w:t xml:space="preserve">511.  </w:t>
      </w:r>
      <w:r>
        <w:rPr>
          <w:rFonts w:hint="eastAsia"/>
          <w:bCs/>
          <w:snapToGrid/>
        </w:rPr>
        <w:t>在这方面已制定了有关劳动和就业问题的一系列新法律。其中</w:t>
      </w:r>
      <w:r>
        <w:rPr>
          <w:bCs/>
          <w:snapToGrid/>
        </w:rPr>
        <w:t>《就业法》</w:t>
      </w:r>
      <w:r>
        <w:rPr>
          <w:rFonts w:hint="eastAsia"/>
          <w:bCs/>
          <w:snapToGrid/>
        </w:rPr>
        <w:t>已于</w:t>
      </w:r>
      <w:r>
        <w:rPr>
          <w:bCs/>
          <w:snapToGrid/>
        </w:rPr>
        <w:t>2002</w:t>
      </w:r>
      <w:r>
        <w:rPr>
          <w:bCs/>
          <w:snapToGrid/>
        </w:rPr>
        <w:t>年获得通过，目前正在实施之中。已经向议会提交了《劳动法》草案供审议，《罢工法》草案</w:t>
      </w:r>
      <w:r>
        <w:rPr>
          <w:rFonts w:hint="eastAsia"/>
          <w:bCs/>
          <w:snapToGrid/>
        </w:rPr>
        <w:t>则正</w:t>
      </w:r>
      <w:r>
        <w:rPr>
          <w:bCs/>
          <w:snapToGrid/>
        </w:rPr>
        <w:t>处于</w:t>
      </w:r>
      <w:r>
        <w:rPr>
          <w:rFonts w:hint="eastAsia"/>
          <w:bCs/>
          <w:snapToGrid/>
        </w:rPr>
        <w:t>与</w:t>
      </w:r>
      <w:r>
        <w:rPr>
          <w:bCs/>
          <w:snapToGrid/>
        </w:rPr>
        <w:t>社会</w:t>
      </w:r>
      <w:r>
        <w:rPr>
          <w:rFonts w:hint="eastAsia"/>
          <w:bCs/>
          <w:snapToGrid/>
        </w:rPr>
        <w:t>各方</w:t>
      </w:r>
      <w:r>
        <w:rPr>
          <w:bCs/>
          <w:snapToGrid/>
        </w:rPr>
        <w:t>进行初步讨论的阶段。</w:t>
      </w:r>
    </w:p>
    <w:p w:rsidR="00000000" w:rsidRDefault="00844A84">
      <w:pPr>
        <w:ind w:firstLine="510"/>
        <w:rPr>
          <w:rFonts w:hint="eastAsia"/>
          <w:bCs/>
          <w:snapToGrid/>
        </w:rPr>
      </w:pPr>
      <w:r>
        <w:rPr>
          <w:rFonts w:hint="eastAsia"/>
          <w:bCs/>
          <w:snapToGrid/>
        </w:rPr>
        <w:t xml:space="preserve">512.  </w:t>
      </w:r>
      <w:r>
        <w:rPr>
          <w:rFonts w:hint="eastAsia"/>
          <w:bCs/>
          <w:snapToGrid/>
        </w:rPr>
        <w:t>劳力市场政策文书提及各种措施，包括调停、专业咨询、职业教育，并对参加劳力市场提供职业指导，采用各种就业形式，促进创造</w:t>
      </w:r>
      <w:r>
        <w:rPr>
          <w:rFonts w:hint="eastAsia"/>
          <w:bCs/>
          <w:snapToGrid/>
        </w:rPr>
        <w:t>就业机会。劳力市场政策旨在结合各种社会和市场问题，以有助于确定积极和消极就业政策。</w:t>
      </w:r>
    </w:p>
    <w:p w:rsidR="00000000" w:rsidRDefault="00844A84">
      <w:pPr>
        <w:ind w:firstLine="510"/>
        <w:rPr>
          <w:rFonts w:hint="eastAsia"/>
          <w:bCs/>
          <w:snapToGrid/>
        </w:rPr>
      </w:pPr>
      <w:r>
        <w:rPr>
          <w:rFonts w:hint="eastAsia"/>
          <w:bCs/>
          <w:snapToGrid/>
        </w:rPr>
        <w:t xml:space="preserve">513.  </w:t>
      </w:r>
      <w:r>
        <w:rPr>
          <w:rFonts w:hint="eastAsia"/>
          <w:bCs/>
          <w:snapToGrid/>
        </w:rPr>
        <w:t>新《就业法》明确区分了消极和积极的就业政策，并规定在谋职期间享有社会安全权利。</w:t>
      </w:r>
    </w:p>
    <w:p w:rsidR="00000000" w:rsidRDefault="00844A84">
      <w:pPr>
        <w:ind w:firstLine="510"/>
        <w:rPr>
          <w:rFonts w:hint="eastAsia"/>
          <w:bCs/>
          <w:snapToGrid/>
        </w:rPr>
      </w:pPr>
      <w:r>
        <w:rPr>
          <w:rFonts w:hint="eastAsia"/>
          <w:bCs/>
          <w:snapToGrid/>
        </w:rPr>
        <w:t xml:space="preserve">514.  </w:t>
      </w:r>
      <w:r>
        <w:rPr>
          <w:rFonts w:hint="eastAsia"/>
          <w:bCs/>
          <w:snapToGrid/>
        </w:rPr>
        <w:t>积极就业政策是指采用各种措施，促进就业、教育、职业培训、重新培训和进一步培训，使工人尤其是因转型和私有化被裁减的老年人获得工作。此外还采取另一些激励劳动适龄一代人的措施：在新的工作职位就业，使工作能力减弱的人的恢复专业能力，保护已经失业并在找到工作或达到领取养恤金资格之前在就业机构登记的老年人，并协助某些经济部门保持全年营</w:t>
      </w:r>
      <w:r>
        <w:rPr>
          <w:rFonts w:hint="eastAsia"/>
          <w:bCs/>
          <w:snapToGrid/>
        </w:rPr>
        <w:t>业。</w:t>
      </w:r>
    </w:p>
    <w:p w:rsidR="00000000" w:rsidRDefault="00844A84">
      <w:pPr>
        <w:ind w:firstLine="510"/>
        <w:rPr>
          <w:rFonts w:hint="eastAsia"/>
          <w:bCs/>
          <w:snapToGrid/>
        </w:rPr>
      </w:pPr>
      <w:r>
        <w:rPr>
          <w:rFonts w:hint="eastAsia"/>
          <w:bCs/>
          <w:snapToGrid/>
        </w:rPr>
        <w:t xml:space="preserve">515.  </w:t>
      </w:r>
      <w:r>
        <w:rPr>
          <w:rFonts w:hint="eastAsia"/>
          <w:bCs/>
          <w:snapToGrid/>
        </w:rPr>
        <w:t>必须指出，由于以改革原则为依据的另一项法律即新《劳动法》尚未通过，新《就业法》的执行工作受到了相当大的影响。</w:t>
      </w:r>
    </w:p>
    <w:p w:rsidR="00000000" w:rsidRDefault="00844A84">
      <w:pPr>
        <w:ind w:firstLine="510"/>
        <w:rPr>
          <w:rFonts w:hint="eastAsia"/>
          <w:bCs/>
          <w:snapToGrid/>
        </w:rPr>
      </w:pPr>
      <w:r>
        <w:rPr>
          <w:rFonts w:hint="eastAsia"/>
          <w:bCs/>
          <w:snapToGrid/>
        </w:rPr>
        <w:t xml:space="preserve">516.  </w:t>
      </w:r>
      <w:r>
        <w:rPr>
          <w:rFonts w:hint="eastAsia"/>
          <w:bCs/>
          <w:snapToGrid/>
        </w:rPr>
        <w:t>但是，除了各种恶化的情况外，解决黑山就业问题的复杂性和重要性要求黑山共和国通过黑山就业局采取重大措施和行动，实施各种方案，协助降低失业率。</w:t>
      </w:r>
      <w:r>
        <w:rPr>
          <w:bCs/>
          <w:snapToGrid/>
        </w:rPr>
        <w:t>200</w:t>
      </w:r>
      <w:r>
        <w:rPr>
          <w:rFonts w:hint="eastAsia"/>
          <w:bCs/>
          <w:snapToGrid/>
        </w:rPr>
        <w:t>1</w:t>
      </w:r>
      <w:r>
        <w:rPr>
          <w:bCs/>
          <w:snapToGrid/>
        </w:rPr>
        <w:t>年就业局登记的失业人口平均为</w:t>
      </w:r>
      <w:r>
        <w:rPr>
          <w:bCs/>
          <w:snapToGrid/>
        </w:rPr>
        <w:t>81,</w:t>
      </w:r>
      <w:r>
        <w:rPr>
          <w:rFonts w:hint="eastAsia"/>
          <w:bCs/>
          <w:snapToGrid/>
        </w:rPr>
        <w:t>468</w:t>
      </w:r>
      <w:r>
        <w:rPr>
          <w:rFonts w:hint="eastAsia"/>
          <w:bCs/>
          <w:snapToGrid/>
        </w:rPr>
        <w:t>人</w:t>
      </w:r>
      <w:r>
        <w:rPr>
          <w:bCs/>
          <w:snapToGrid/>
        </w:rPr>
        <w:t>，比</w:t>
      </w:r>
      <w:r>
        <w:rPr>
          <w:rFonts w:hint="eastAsia"/>
          <w:bCs/>
          <w:snapToGrid/>
        </w:rPr>
        <w:t>上一</w:t>
      </w:r>
      <w:r>
        <w:rPr>
          <w:bCs/>
          <w:snapToGrid/>
        </w:rPr>
        <w:t>年减少</w:t>
      </w:r>
      <w:r>
        <w:rPr>
          <w:bCs/>
          <w:snapToGrid/>
        </w:rPr>
        <w:t>2,597</w:t>
      </w:r>
      <w:r>
        <w:rPr>
          <w:bCs/>
          <w:snapToGrid/>
        </w:rPr>
        <w:t>人或</w:t>
      </w:r>
      <w:r>
        <w:rPr>
          <w:bCs/>
          <w:snapToGrid/>
        </w:rPr>
        <w:t>3.3%</w:t>
      </w:r>
      <w:r>
        <w:rPr>
          <w:bCs/>
          <w:snapToGrid/>
        </w:rPr>
        <w:t>。</w:t>
      </w:r>
    </w:p>
    <w:p w:rsidR="00000000" w:rsidRDefault="00844A84">
      <w:pPr>
        <w:ind w:firstLine="510"/>
        <w:rPr>
          <w:rFonts w:hint="eastAsia"/>
          <w:bCs/>
          <w:snapToGrid/>
        </w:rPr>
      </w:pPr>
      <w:r>
        <w:rPr>
          <w:rFonts w:hint="eastAsia"/>
          <w:bCs/>
          <w:snapToGrid/>
        </w:rPr>
        <w:t xml:space="preserve">517.  </w:t>
      </w:r>
      <w:r>
        <w:rPr>
          <w:rFonts w:hint="eastAsia"/>
          <w:bCs/>
          <w:snapToGrid/>
        </w:rPr>
        <w:t>在这方面，黑山就业局过去几年的活动重点是实施“不断促进黑山创造就业机会和发扬创业精神方案”。</w:t>
      </w:r>
    </w:p>
    <w:p w:rsidR="00000000" w:rsidRDefault="00844A84">
      <w:pPr>
        <w:ind w:firstLine="510"/>
        <w:rPr>
          <w:rFonts w:hint="eastAsia"/>
          <w:bCs/>
          <w:snapToGrid/>
        </w:rPr>
      </w:pPr>
      <w:r>
        <w:rPr>
          <w:rFonts w:hint="eastAsia"/>
          <w:bCs/>
          <w:snapToGrid/>
        </w:rPr>
        <w:t xml:space="preserve">518.  </w:t>
      </w:r>
      <w:r>
        <w:rPr>
          <w:rFonts w:hint="eastAsia"/>
          <w:bCs/>
          <w:snapToGrid/>
        </w:rPr>
        <w:t>该方案的目标是应已登记失业</w:t>
      </w:r>
      <w:r>
        <w:rPr>
          <w:rFonts w:hint="eastAsia"/>
          <w:bCs/>
          <w:snapToGrid/>
        </w:rPr>
        <w:t>者的要求提供贷款，使之成为自营职业者。在已批准的所有方案中，来自农业领域的占</w:t>
      </w:r>
      <w:r>
        <w:rPr>
          <w:bCs/>
          <w:snapToGrid/>
        </w:rPr>
        <w:t>52%</w:t>
      </w:r>
      <w:r>
        <w:rPr>
          <w:bCs/>
          <w:snapToGrid/>
        </w:rPr>
        <w:t>，来自手工艺和服务领域的占</w:t>
      </w:r>
      <w:r>
        <w:rPr>
          <w:bCs/>
          <w:snapToGrid/>
        </w:rPr>
        <w:t>17%</w:t>
      </w:r>
      <w:r>
        <w:rPr>
          <w:bCs/>
          <w:snapToGrid/>
        </w:rPr>
        <w:t>，来自贸易的占</w:t>
      </w:r>
      <w:r>
        <w:rPr>
          <w:bCs/>
          <w:snapToGrid/>
        </w:rPr>
        <w:t>10%</w:t>
      </w:r>
      <w:r>
        <w:rPr>
          <w:bCs/>
          <w:snapToGrid/>
        </w:rPr>
        <w:t>，来自工业和采矿</w:t>
      </w:r>
      <w:r>
        <w:rPr>
          <w:rFonts w:hint="eastAsia"/>
          <w:bCs/>
          <w:snapToGrid/>
        </w:rPr>
        <w:t>业</w:t>
      </w:r>
      <w:r>
        <w:rPr>
          <w:bCs/>
          <w:snapToGrid/>
        </w:rPr>
        <w:t>的占</w:t>
      </w:r>
      <w:r>
        <w:rPr>
          <w:bCs/>
          <w:snapToGrid/>
        </w:rPr>
        <w:t>9%</w:t>
      </w:r>
      <w:r>
        <w:rPr>
          <w:bCs/>
          <w:snapToGrid/>
        </w:rPr>
        <w:t>。通过这种方式，上述方案</w:t>
      </w:r>
      <w:r>
        <w:rPr>
          <w:rFonts w:hint="eastAsia"/>
          <w:bCs/>
          <w:snapToGrid/>
        </w:rPr>
        <w:t>设想</w:t>
      </w:r>
      <w:r>
        <w:rPr>
          <w:bCs/>
          <w:snapToGrid/>
        </w:rPr>
        <w:t>可创造大约</w:t>
      </w:r>
      <w:r>
        <w:rPr>
          <w:bCs/>
          <w:snapToGrid/>
        </w:rPr>
        <w:t>4,439</w:t>
      </w:r>
      <w:r>
        <w:rPr>
          <w:bCs/>
          <w:snapToGrid/>
        </w:rPr>
        <w:t>个新工作机会。在</w:t>
      </w:r>
      <w:r>
        <w:rPr>
          <w:rFonts w:hint="eastAsia"/>
          <w:bCs/>
          <w:snapToGrid/>
        </w:rPr>
        <w:t>所有</w:t>
      </w:r>
      <w:r>
        <w:rPr>
          <w:bCs/>
          <w:snapToGrid/>
        </w:rPr>
        <w:t>积极标明的项目</w:t>
      </w:r>
      <w:r>
        <w:rPr>
          <w:bCs/>
          <w:snapToGrid/>
        </w:rPr>
        <w:t>(</w:t>
      </w:r>
      <w:r>
        <w:rPr>
          <w:rFonts w:hint="eastAsia"/>
          <w:bCs/>
          <w:snapToGrid/>
        </w:rPr>
        <w:t>6,353</w:t>
      </w:r>
      <w:r>
        <w:rPr>
          <w:rFonts w:hint="eastAsia"/>
          <w:bCs/>
          <w:snapToGrid/>
        </w:rPr>
        <w:t>个</w:t>
      </w:r>
      <w:r>
        <w:rPr>
          <w:bCs/>
          <w:snapToGrid/>
        </w:rPr>
        <w:t>)</w:t>
      </w:r>
      <w:r>
        <w:rPr>
          <w:bCs/>
          <w:snapToGrid/>
        </w:rPr>
        <w:t>中，妇女提出的项目占</w:t>
      </w:r>
      <w:r>
        <w:rPr>
          <w:bCs/>
          <w:snapToGrid/>
        </w:rPr>
        <w:t>44.2%</w:t>
      </w:r>
      <w:r>
        <w:rPr>
          <w:bCs/>
          <w:snapToGrid/>
        </w:rPr>
        <w:t>，</w:t>
      </w:r>
      <w:r>
        <w:rPr>
          <w:rFonts w:hint="eastAsia"/>
          <w:bCs/>
          <w:snapToGrid/>
        </w:rPr>
        <w:t>这种情况</w:t>
      </w:r>
      <w:r>
        <w:rPr>
          <w:bCs/>
          <w:snapToGrid/>
        </w:rPr>
        <w:t>很重要</w:t>
      </w:r>
      <w:r>
        <w:rPr>
          <w:rFonts w:hint="eastAsia"/>
          <w:bCs/>
          <w:snapToGrid/>
        </w:rPr>
        <w:t>，因为</w:t>
      </w:r>
      <w:r>
        <w:rPr>
          <w:bCs/>
          <w:snapToGrid/>
        </w:rPr>
        <w:t>在</w:t>
      </w:r>
      <w:r>
        <w:rPr>
          <w:rFonts w:hint="eastAsia"/>
          <w:bCs/>
          <w:snapToGrid/>
        </w:rPr>
        <w:t>中欧</w:t>
      </w:r>
      <w:r>
        <w:rPr>
          <w:bCs/>
          <w:snapToGrid/>
        </w:rPr>
        <w:t>和东欧转型期国家，这</w:t>
      </w:r>
      <w:r>
        <w:rPr>
          <w:rFonts w:hint="eastAsia"/>
          <w:bCs/>
          <w:snapToGrid/>
        </w:rPr>
        <w:t>一</w:t>
      </w:r>
      <w:r>
        <w:rPr>
          <w:bCs/>
          <w:snapToGrid/>
        </w:rPr>
        <w:t>数目仅为</w:t>
      </w:r>
      <w:r>
        <w:rPr>
          <w:bCs/>
          <w:snapToGrid/>
        </w:rPr>
        <w:t>28%</w:t>
      </w:r>
      <w:r>
        <w:rPr>
          <w:bCs/>
          <w:snapToGrid/>
        </w:rPr>
        <w:t>。</w:t>
      </w:r>
    </w:p>
    <w:p w:rsidR="00000000" w:rsidRDefault="00844A84">
      <w:pPr>
        <w:ind w:firstLine="510"/>
        <w:rPr>
          <w:rFonts w:hint="eastAsia"/>
          <w:bCs/>
          <w:snapToGrid/>
        </w:rPr>
      </w:pPr>
      <w:r>
        <w:rPr>
          <w:rFonts w:hint="eastAsia"/>
          <w:bCs/>
          <w:snapToGrid/>
        </w:rPr>
        <w:t xml:space="preserve">519.  </w:t>
      </w:r>
      <w:r>
        <w:rPr>
          <w:rFonts w:hint="eastAsia"/>
          <w:bCs/>
          <w:snapToGrid/>
        </w:rPr>
        <w:t>在准备就业方面也同样出现了积极成果，应劳力市场的需求，劳力质量有所提高。为新就业机会做准备的工作，主要通过各种方案进行</w:t>
      </w:r>
      <w:r>
        <w:rPr>
          <w:rFonts w:hint="eastAsia"/>
          <w:bCs/>
          <w:snapToGrid/>
        </w:rPr>
        <w:t>(</w:t>
      </w:r>
      <w:r>
        <w:rPr>
          <w:rFonts w:hint="eastAsia"/>
          <w:bCs/>
          <w:snapToGrid/>
        </w:rPr>
        <w:t>如在金属加工业、手工艺、</w:t>
      </w:r>
      <w:r>
        <w:rPr>
          <w:rFonts w:hint="eastAsia"/>
          <w:bCs/>
          <w:snapToGrid/>
        </w:rPr>
        <w:t>农业、信息技术、外国语、旅游和餐饮业等方面进行培训、额外培训、重新培训或专门训练等</w:t>
      </w:r>
      <w:r>
        <w:rPr>
          <w:bCs/>
          <w:snapToGrid/>
        </w:rPr>
        <w:t>)</w:t>
      </w:r>
      <w:r>
        <w:rPr>
          <w:rFonts w:hint="eastAsia"/>
          <w:bCs/>
          <w:snapToGrid/>
        </w:rPr>
        <w:t>。因此，每年平均有</w:t>
      </w:r>
      <w:r>
        <w:rPr>
          <w:bCs/>
          <w:snapToGrid/>
        </w:rPr>
        <w:t>1,500</w:t>
      </w:r>
      <w:r>
        <w:rPr>
          <w:rFonts w:hint="eastAsia"/>
          <w:bCs/>
          <w:snapToGrid/>
        </w:rPr>
        <w:t>名失业者或被裁减工人受到训练。</w:t>
      </w:r>
    </w:p>
    <w:p w:rsidR="00000000" w:rsidRDefault="00844A84">
      <w:pPr>
        <w:ind w:firstLine="510"/>
        <w:rPr>
          <w:rFonts w:hint="eastAsia"/>
          <w:bCs/>
          <w:snapToGrid/>
        </w:rPr>
      </w:pPr>
      <w:r>
        <w:rPr>
          <w:rFonts w:hint="eastAsia"/>
          <w:bCs/>
          <w:snapToGrid/>
        </w:rPr>
        <w:t xml:space="preserve">520.  </w:t>
      </w:r>
      <w:r>
        <w:rPr>
          <w:rFonts w:hint="eastAsia"/>
          <w:bCs/>
          <w:snapToGrid/>
        </w:rPr>
        <w:t>根据有关劳工关系的法律，也由于就业局的调解，已将劳动职位空缺情况公诸于众，以此避免在就业方面滥用职权，从而使在就业局登记失业的人获得符合其资历和背景的工作，避免某些职业中的任何歧视行为。</w:t>
      </w:r>
    </w:p>
    <w:p w:rsidR="00000000" w:rsidRDefault="00844A84">
      <w:pPr>
        <w:ind w:firstLine="510"/>
        <w:rPr>
          <w:rFonts w:hint="eastAsia"/>
          <w:bCs/>
          <w:snapToGrid/>
        </w:rPr>
      </w:pPr>
      <w:r>
        <w:rPr>
          <w:rFonts w:hint="eastAsia"/>
          <w:bCs/>
          <w:snapToGrid/>
        </w:rPr>
        <w:t xml:space="preserve">521.  </w:t>
      </w:r>
      <w:r>
        <w:rPr>
          <w:rFonts w:hint="eastAsia"/>
          <w:bCs/>
          <w:snapToGrid/>
        </w:rPr>
        <w:t>由于工业企业转型</w:t>
      </w:r>
      <w:r>
        <w:rPr>
          <w:rFonts w:hint="eastAsia"/>
          <w:bCs/>
          <w:snapToGrid/>
        </w:rPr>
        <w:t>(</w:t>
      </w:r>
      <w:r>
        <w:rPr>
          <w:rFonts w:hint="eastAsia"/>
          <w:bCs/>
          <w:snapToGrid/>
        </w:rPr>
        <w:t>即所谓的“企业破产”</w:t>
      </w:r>
      <w:r>
        <w:rPr>
          <w:rFonts w:hint="eastAsia"/>
          <w:bCs/>
          <w:snapToGrid/>
        </w:rPr>
        <w:t>)</w:t>
      </w:r>
      <w:r>
        <w:rPr>
          <w:rFonts w:hint="eastAsia"/>
          <w:bCs/>
          <w:snapToGrid/>
        </w:rPr>
        <w:t>，在就业局登记失业的工人很多，因此劳力市场的供求平衡受到严重破坏。在雇主想征聘的大约</w:t>
      </w:r>
      <w:r>
        <w:rPr>
          <w:bCs/>
          <w:snapToGrid/>
        </w:rPr>
        <w:t>300</w:t>
      </w:r>
      <w:r>
        <w:rPr>
          <w:bCs/>
          <w:snapToGrid/>
        </w:rPr>
        <w:t>多种专业人才方面，缺乏登记</w:t>
      </w:r>
      <w:r>
        <w:rPr>
          <w:bCs/>
          <w:snapToGrid/>
        </w:rPr>
        <w:t>失业</w:t>
      </w:r>
      <w:r>
        <w:rPr>
          <w:rFonts w:hint="eastAsia"/>
          <w:bCs/>
          <w:snapToGrid/>
        </w:rPr>
        <w:t>的人</w:t>
      </w:r>
      <w:r>
        <w:rPr>
          <w:bCs/>
          <w:snapToGrid/>
        </w:rPr>
        <w:t>，但登记失业的另</w:t>
      </w:r>
      <w:r>
        <w:rPr>
          <w:bCs/>
          <w:snapToGrid/>
        </w:rPr>
        <w:t>400</w:t>
      </w:r>
      <w:r>
        <w:rPr>
          <w:rFonts w:hint="eastAsia"/>
          <w:bCs/>
          <w:snapToGrid/>
        </w:rPr>
        <w:t>来种专业人才，</w:t>
      </w:r>
      <w:r>
        <w:rPr>
          <w:bCs/>
          <w:snapToGrid/>
        </w:rPr>
        <w:t>却并不</w:t>
      </w:r>
      <w:r>
        <w:rPr>
          <w:rFonts w:hint="eastAsia"/>
          <w:bCs/>
          <w:snapToGrid/>
        </w:rPr>
        <w:t>为</w:t>
      </w:r>
      <w:r>
        <w:rPr>
          <w:bCs/>
          <w:snapToGrid/>
        </w:rPr>
        <w:t>新经济结构</w:t>
      </w:r>
      <w:r>
        <w:rPr>
          <w:rFonts w:hint="eastAsia"/>
          <w:bCs/>
          <w:snapToGrid/>
        </w:rPr>
        <w:t>所</w:t>
      </w:r>
      <w:r>
        <w:rPr>
          <w:bCs/>
          <w:snapToGrid/>
        </w:rPr>
        <w:t>需要。</w:t>
      </w:r>
    </w:p>
    <w:p w:rsidR="00000000" w:rsidRDefault="00844A84">
      <w:pPr>
        <w:ind w:firstLine="510"/>
        <w:rPr>
          <w:rFonts w:hint="eastAsia"/>
          <w:bCs/>
          <w:snapToGrid/>
        </w:rPr>
      </w:pPr>
      <w:r>
        <w:rPr>
          <w:rFonts w:hint="eastAsia"/>
          <w:bCs/>
          <w:snapToGrid/>
        </w:rPr>
        <w:t xml:space="preserve">522.  </w:t>
      </w:r>
      <w:r>
        <w:rPr>
          <w:rFonts w:hint="eastAsia"/>
          <w:bCs/>
          <w:snapToGrid/>
        </w:rPr>
        <w:t>如果我们察看不同程度的专业训练情况，就会发现约有</w:t>
      </w:r>
      <w:r>
        <w:rPr>
          <w:bCs/>
          <w:snapToGrid/>
        </w:rPr>
        <w:t>115</w:t>
      </w:r>
      <w:r>
        <w:rPr>
          <w:bCs/>
          <w:snapToGrid/>
        </w:rPr>
        <w:t>个职业缺乏</w:t>
      </w:r>
      <w:r>
        <w:rPr>
          <w:rFonts w:hint="eastAsia"/>
          <w:bCs/>
          <w:snapToGrid/>
        </w:rPr>
        <w:t>登记失业的人。因此，为了使劳动力供求平衡，必须使教育机构与就业局合作，举办具体的方案，教育青年专业工作者，并重新训练被裁减的受过训练的专业人员，使之符合劳力市场的新需求。</w:t>
      </w:r>
    </w:p>
    <w:p w:rsidR="00000000" w:rsidRDefault="00844A84">
      <w:pPr>
        <w:ind w:firstLine="510"/>
        <w:rPr>
          <w:rFonts w:hint="eastAsia"/>
          <w:bCs/>
          <w:snapToGrid/>
        </w:rPr>
      </w:pPr>
      <w:r>
        <w:rPr>
          <w:rFonts w:hint="eastAsia"/>
          <w:bCs/>
          <w:snapToGrid/>
        </w:rPr>
        <w:t xml:space="preserve">523.  </w:t>
      </w:r>
      <w:r>
        <w:rPr>
          <w:rFonts w:hint="eastAsia"/>
          <w:bCs/>
          <w:snapToGrid/>
        </w:rPr>
        <w:t>在共和国一级</w:t>
      </w:r>
      <w:r>
        <w:rPr>
          <w:bCs/>
          <w:snapToGrid/>
        </w:rPr>
        <w:t>，各区域</w:t>
      </w:r>
      <w:r>
        <w:rPr>
          <w:rFonts w:hint="eastAsia"/>
          <w:bCs/>
          <w:snapToGrid/>
        </w:rPr>
        <w:t>和</w:t>
      </w:r>
      <w:r>
        <w:rPr>
          <w:bCs/>
          <w:snapToGrid/>
        </w:rPr>
        <w:t>某些工作领域对较长期间</w:t>
      </w:r>
      <w:r>
        <w:rPr>
          <w:bCs/>
          <w:snapToGrid/>
        </w:rPr>
        <w:t>(7</w:t>
      </w:r>
      <w:r>
        <w:rPr>
          <w:rFonts w:hint="eastAsia"/>
          <w:bCs/>
          <w:snapToGrid/>
        </w:rPr>
        <w:t>至</w:t>
      </w:r>
      <w:r>
        <w:rPr>
          <w:rFonts w:hint="eastAsia"/>
          <w:bCs/>
          <w:snapToGrid/>
        </w:rPr>
        <w:t>10</w:t>
      </w:r>
      <w:r>
        <w:rPr>
          <w:bCs/>
          <w:snapToGrid/>
        </w:rPr>
        <w:t>年</w:t>
      </w:r>
      <w:r>
        <w:rPr>
          <w:bCs/>
          <w:snapToGrid/>
        </w:rPr>
        <w:t>)</w:t>
      </w:r>
      <w:r>
        <w:rPr>
          <w:rFonts w:hint="eastAsia"/>
          <w:bCs/>
          <w:snapToGrid/>
        </w:rPr>
        <w:t>的</w:t>
      </w:r>
      <w:r>
        <w:rPr>
          <w:bCs/>
          <w:snapToGrid/>
        </w:rPr>
        <w:t>劳动力预测没有进行彻底或全面研究，</w:t>
      </w:r>
      <w:r>
        <w:rPr>
          <w:rFonts w:hint="eastAsia"/>
          <w:bCs/>
          <w:snapToGrid/>
        </w:rPr>
        <w:t>从而</w:t>
      </w:r>
      <w:r>
        <w:rPr>
          <w:bCs/>
          <w:snapToGrid/>
        </w:rPr>
        <w:t>无法据此制定长期就业政策，并使之适应劳力市场今后的需求。出现这种情况的特别原因是，</w:t>
      </w:r>
      <w:r>
        <w:rPr>
          <w:bCs/>
          <w:snapToGrid/>
        </w:rPr>
        <w:t>在就业和失业的</w:t>
      </w:r>
      <w:r>
        <w:rPr>
          <w:rFonts w:hint="eastAsia"/>
          <w:bCs/>
          <w:snapToGrid/>
        </w:rPr>
        <w:t>实际</w:t>
      </w:r>
      <w:r>
        <w:rPr>
          <w:bCs/>
          <w:snapToGrid/>
        </w:rPr>
        <w:t>情况下，由于</w:t>
      </w:r>
      <w:r>
        <w:rPr>
          <w:bCs/>
          <w:snapToGrid/>
        </w:rPr>
        <w:t>“</w:t>
      </w:r>
      <w:r>
        <w:rPr>
          <w:rFonts w:hint="eastAsia"/>
          <w:bCs/>
          <w:snapToGrid/>
        </w:rPr>
        <w:t>无许可证亦可</w:t>
      </w:r>
      <w:r>
        <w:rPr>
          <w:bCs/>
          <w:snapToGrid/>
        </w:rPr>
        <w:t>工作</w:t>
      </w:r>
      <w:r>
        <w:rPr>
          <w:bCs/>
          <w:snapToGrid/>
        </w:rPr>
        <w:t>”</w:t>
      </w:r>
      <w:r>
        <w:rPr>
          <w:bCs/>
          <w:snapToGrid/>
        </w:rPr>
        <w:t>的长期传统，无法对某一个具体职业</w:t>
      </w:r>
      <w:r>
        <w:rPr>
          <w:rFonts w:hint="eastAsia"/>
          <w:bCs/>
          <w:snapToGrid/>
        </w:rPr>
        <w:t>人员的</w:t>
      </w:r>
      <w:r>
        <w:rPr>
          <w:bCs/>
          <w:snapToGrid/>
        </w:rPr>
        <w:t>供求、空缺和</w:t>
      </w:r>
      <w:r>
        <w:rPr>
          <w:rFonts w:hint="eastAsia"/>
          <w:bCs/>
          <w:snapToGrid/>
        </w:rPr>
        <w:t>过剩</w:t>
      </w:r>
      <w:r>
        <w:rPr>
          <w:bCs/>
          <w:snapToGrid/>
        </w:rPr>
        <w:t>情况作长期预测。为此，就业局设立</w:t>
      </w:r>
      <w:r>
        <w:rPr>
          <w:rFonts w:hint="eastAsia"/>
          <w:bCs/>
          <w:snapToGrid/>
        </w:rPr>
        <w:t>了</w:t>
      </w:r>
      <w:r>
        <w:rPr>
          <w:bCs/>
          <w:snapToGrid/>
        </w:rPr>
        <w:t>人力资源发展中心，负责</w:t>
      </w:r>
      <w:r>
        <w:rPr>
          <w:rFonts w:hint="eastAsia"/>
          <w:bCs/>
          <w:snapToGrid/>
        </w:rPr>
        <w:t>在进行</w:t>
      </w:r>
      <w:r>
        <w:rPr>
          <w:bCs/>
          <w:snapToGrid/>
        </w:rPr>
        <w:t>其他一些活动</w:t>
      </w:r>
      <w:r>
        <w:rPr>
          <w:rFonts w:hint="eastAsia"/>
          <w:bCs/>
          <w:snapToGrid/>
        </w:rPr>
        <w:t>的同时</w:t>
      </w:r>
      <w:r>
        <w:rPr>
          <w:bCs/>
          <w:snapToGrid/>
        </w:rPr>
        <w:t>，对劳力市场进行长期研究和预测。</w:t>
      </w:r>
    </w:p>
    <w:p w:rsidR="00000000" w:rsidRDefault="00844A84">
      <w:pPr>
        <w:ind w:firstLine="510"/>
        <w:rPr>
          <w:rFonts w:hint="eastAsia"/>
          <w:bCs/>
          <w:snapToGrid/>
        </w:rPr>
      </w:pPr>
      <w:r>
        <w:rPr>
          <w:rFonts w:hint="eastAsia"/>
          <w:bCs/>
          <w:snapToGrid/>
        </w:rPr>
        <w:t xml:space="preserve">524.  </w:t>
      </w:r>
      <w:r>
        <w:rPr>
          <w:rFonts w:hint="eastAsia"/>
          <w:bCs/>
          <w:snapToGrid/>
        </w:rPr>
        <w:t>已设立了国家观察局，根据这一领域采用的国际标准，监测和分析劳力市场的状况。</w:t>
      </w:r>
    </w:p>
    <w:p w:rsidR="00000000" w:rsidRDefault="00844A84">
      <w:pPr>
        <w:ind w:firstLine="510"/>
        <w:rPr>
          <w:rFonts w:hint="eastAsia"/>
          <w:bCs/>
          <w:snapToGrid/>
        </w:rPr>
      </w:pPr>
      <w:r>
        <w:rPr>
          <w:rFonts w:hint="eastAsia"/>
          <w:bCs/>
          <w:snapToGrid/>
        </w:rPr>
        <w:t xml:space="preserve">525.  </w:t>
      </w:r>
      <w:r>
        <w:rPr>
          <w:rFonts w:hint="eastAsia"/>
          <w:bCs/>
          <w:snapToGrid/>
        </w:rPr>
        <w:t>该观察局在过去几年就专业培训进行了积极的工作，通过利用拥有发达劳力市场国家的经验，采用新的方法，改进并巩固有关劳力市场的综合信息系统和登记制度。</w:t>
      </w:r>
    </w:p>
    <w:p w:rsidR="00000000" w:rsidRDefault="00844A84">
      <w:pPr>
        <w:ind w:firstLine="510"/>
        <w:rPr>
          <w:rFonts w:hint="eastAsia"/>
          <w:bCs/>
          <w:snapToGrid/>
        </w:rPr>
      </w:pPr>
      <w:r>
        <w:rPr>
          <w:rFonts w:hint="eastAsia"/>
          <w:bCs/>
          <w:snapToGrid/>
        </w:rPr>
        <w:t xml:space="preserve">526.  </w:t>
      </w:r>
      <w:r>
        <w:rPr>
          <w:rFonts w:hint="eastAsia"/>
          <w:bCs/>
          <w:snapToGrid/>
        </w:rPr>
        <w:t>必须指出与解决失业问题有关的一些不利</w:t>
      </w:r>
      <w:r>
        <w:rPr>
          <w:rFonts w:hint="eastAsia"/>
          <w:bCs/>
          <w:snapToGrid/>
        </w:rPr>
        <w:t>条件和限制因素，其中包括：</w:t>
      </w:r>
    </w:p>
    <w:p w:rsidR="00000000" w:rsidRDefault="00844A84">
      <w:pPr>
        <w:pStyle w:val="a0"/>
        <w:ind w:left="1550"/>
        <w:rPr>
          <w:rFonts w:hint="eastAsia"/>
          <w:snapToGrid/>
        </w:rPr>
      </w:pPr>
      <w:r>
        <w:rPr>
          <w:rFonts w:hint="eastAsia"/>
          <w:snapToGrid/>
        </w:rPr>
        <w:t>从长远观点而言，在转型变革的强度和力度方面存在着不安全因素；</w:t>
      </w:r>
    </w:p>
    <w:p w:rsidR="00000000" w:rsidRDefault="00844A84">
      <w:pPr>
        <w:pStyle w:val="a0"/>
        <w:ind w:left="1550"/>
        <w:rPr>
          <w:rFonts w:hint="eastAsia"/>
          <w:snapToGrid/>
        </w:rPr>
      </w:pPr>
      <w:r>
        <w:rPr>
          <w:rFonts w:hint="eastAsia"/>
          <w:snapToGrid/>
        </w:rPr>
        <w:t>缺乏长期、战略性宏观经济研究，也缺乏合格的工作人员研究这一整套问题，共和国和区域各级处理这些问题的机构能力也不足；</w:t>
      </w:r>
    </w:p>
    <w:p w:rsidR="00000000" w:rsidRDefault="00844A84">
      <w:pPr>
        <w:pStyle w:val="a0"/>
        <w:ind w:left="1550"/>
        <w:rPr>
          <w:rFonts w:hint="eastAsia"/>
          <w:snapToGrid/>
        </w:rPr>
      </w:pPr>
      <w:r>
        <w:rPr>
          <w:rFonts w:hint="eastAsia"/>
          <w:snapToGrid/>
        </w:rPr>
        <w:t>在解决现有社会经济问题方面，没有充分发展的社会伙伴关系；</w:t>
      </w:r>
    </w:p>
    <w:p w:rsidR="00000000" w:rsidRDefault="00844A84">
      <w:pPr>
        <w:pStyle w:val="a0"/>
        <w:ind w:left="1550"/>
        <w:rPr>
          <w:rFonts w:hint="eastAsia"/>
          <w:snapToGrid/>
        </w:rPr>
      </w:pPr>
      <w:r>
        <w:rPr>
          <w:rFonts w:hint="eastAsia"/>
          <w:snapToGrid/>
        </w:rPr>
        <w:t>处理这一套问题的规范性原则既不具体也不完整，这种原则长期不变，也不实际适用于解决这一领域的问题；</w:t>
      </w:r>
    </w:p>
    <w:p w:rsidR="00000000" w:rsidRDefault="00844A84">
      <w:pPr>
        <w:pStyle w:val="a0"/>
        <w:ind w:left="1550"/>
        <w:rPr>
          <w:rFonts w:hint="eastAsia"/>
          <w:snapToGrid/>
        </w:rPr>
      </w:pPr>
      <w:r>
        <w:rPr>
          <w:rFonts w:hint="eastAsia"/>
          <w:snapToGrid/>
        </w:rPr>
        <w:t>几乎所有员工都怀有大量不切实际的期望，认为国家可全面地在很短期间内解决这些问题</w:t>
      </w:r>
      <w:r>
        <w:rPr>
          <w:snapToGrid/>
        </w:rPr>
        <w:t>；</w:t>
      </w:r>
    </w:p>
    <w:p w:rsidR="00000000" w:rsidRDefault="00844A84">
      <w:pPr>
        <w:pStyle w:val="a0"/>
        <w:ind w:left="1550"/>
        <w:rPr>
          <w:rFonts w:hint="eastAsia"/>
          <w:snapToGrid/>
        </w:rPr>
      </w:pPr>
      <w:r>
        <w:rPr>
          <w:rFonts w:hint="eastAsia"/>
          <w:snapToGrid/>
        </w:rPr>
        <w:t>工业大量破产，并预计将大量裁员。</w:t>
      </w:r>
    </w:p>
    <w:p w:rsidR="00000000" w:rsidRDefault="00844A84">
      <w:pPr>
        <w:ind w:firstLine="510"/>
        <w:rPr>
          <w:rFonts w:hint="eastAsia"/>
          <w:bCs/>
          <w:snapToGrid/>
        </w:rPr>
      </w:pPr>
      <w:r>
        <w:rPr>
          <w:rFonts w:hint="eastAsia"/>
          <w:bCs/>
          <w:snapToGrid/>
        </w:rPr>
        <w:t xml:space="preserve">527.  </w:t>
      </w:r>
      <w:r>
        <w:rPr>
          <w:rFonts w:hint="eastAsia"/>
          <w:bCs/>
          <w:snapToGrid/>
        </w:rPr>
        <w:t>特别值得一提的是，“灰</w:t>
      </w:r>
      <w:r>
        <w:rPr>
          <w:rFonts w:hint="eastAsia"/>
          <w:bCs/>
          <w:snapToGrid/>
        </w:rPr>
        <w:t>色经济”中“无许可证也可工作”的惯例是热门的复杂问题之一，必须尽快在“打击灰色经济方案”中予以对付。尽管以前也在某种程度上存在着这种职业，但这些职业的兴旺程度、形式及后果，在前十年转型期间变得更为突出。没有精确的数据可表明黑山境内登记在册工人的人数，没有表明“灰色经济”中“无许可证也可工作”的现象已发展到何种程度，也没有任何人开始全面研究，提供存在这种现象的有关数据。</w:t>
      </w:r>
    </w:p>
    <w:p w:rsidR="00000000" w:rsidRDefault="00844A84">
      <w:pPr>
        <w:spacing w:after="320"/>
        <w:ind w:firstLine="510"/>
        <w:rPr>
          <w:rFonts w:hint="eastAsia"/>
          <w:bCs/>
          <w:snapToGrid/>
        </w:rPr>
      </w:pPr>
      <w:r>
        <w:rPr>
          <w:rFonts w:hint="eastAsia"/>
          <w:bCs/>
          <w:snapToGrid/>
        </w:rPr>
        <w:t xml:space="preserve">528.  </w:t>
      </w:r>
      <w:r>
        <w:rPr>
          <w:rFonts w:hint="eastAsia"/>
          <w:bCs/>
          <w:snapToGrid/>
        </w:rPr>
        <w:t>“灰色经济”雇用的大多数是既未登记为在职者也未登记为失业者的人</w:t>
      </w:r>
      <w:r>
        <w:rPr>
          <w:rFonts w:hint="eastAsia"/>
          <w:bCs/>
          <w:snapToGrid/>
        </w:rPr>
        <w:t>(</w:t>
      </w:r>
      <w:r>
        <w:rPr>
          <w:rFonts w:hint="eastAsia"/>
          <w:bCs/>
          <w:snapToGrid/>
        </w:rPr>
        <w:t>这些人是被迫休假的员工、领取养老金者、难民和流离失所者</w:t>
      </w:r>
      <w:r>
        <w:rPr>
          <w:rFonts w:hint="eastAsia"/>
          <w:bCs/>
          <w:snapToGrid/>
        </w:rPr>
        <w:t>)</w:t>
      </w:r>
      <w:r>
        <w:rPr>
          <w:rFonts w:hint="eastAsia"/>
          <w:bCs/>
          <w:snapToGrid/>
        </w:rPr>
        <w:t>以及已登</w:t>
      </w:r>
      <w:r>
        <w:rPr>
          <w:rFonts w:hint="eastAsia"/>
          <w:bCs/>
          <w:snapToGrid/>
        </w:rPr>
        <w:t>记为失业者但无权领取失业补助金的一些人</w:t>
      </w:r>
      <w:r>
        <w:rPr>
          <w:rFonts w:hint="eastAsia"/>
          <w:bCs/>
          <w:snapToGrid/>
        </w:rPr>
        <w:t>(</w:t>
      </w:r>
      <w:r>
        <w:rPr>
          <w:rFonts w:hint="eastAsia"/>
          <w:bCs/>
          <w:snapToGrid/>
        </w:rPr>
        <w:t>这些人多数为</w:t>
      </w:r>
      <w:r>
        <w:rPr>
          <w:rFonts w:hint="eastAsia"/>
          <w:bCs/>
          <w:snapToGrid/>
        </w:rPr>
        <w:t>20</w:t>
      </w:r>
      <w:r>
        <w:rPr>
          <w:rFonts w:hint="eastAsia"/>
          <w:bCs/>
          <w:snapToGrid/>
        </w:rPr>
        <w:t>至</w:t>
      </w:r>
      <w:r>
        <w:rPr>
          <w:bCs/>
          <w:snapToGrid/>
        </w:rPr>
        <w:t>30</w:t>
      </w:r>
      <w:r>
        <w:rPr>
          <w:bCs/>
          <w:snapToGrid/>
        </w:rPr>
        <w:t>岁的青年人</w:t>
      </w:r>
      <w:r>
        <w:rPr>
          <w:bCs/>
          <w:snapToGrid/>
        </w:rPr>
        <w:t>)</w:t>
      </w:r>
      <w:r>
        <w:rPr>
          <w:bCs/>
          <w:snapToGrid/>
        </w:rPr>
        <w:t>。</w:t>
      </w:r>
    </w:p>
    <w:p w:rsidR="00000000" w:rsidRDefault="00844A84">
      <w:pPr>
        <w:pStyle w:val="Heading3"/>
        <w:rPr>
          <w:rFonts w:hint="eastAsia"/>
        </w:rPr>
      </w:pPr>
      <w:r>
        <w:rPr>
          <w:rFonts w:hint="eastAsia"/>
        </w:rPr>
        <w:t>第</w:t>
      </w:r>
      <w:r>
        <w:rPr>
          <w:rFonts w:hint="eastAsia"/>
        </w:rPr>
        <w:t xml:space="preserve"> </w:t>
      </w:r>
      <w:r>
        <w:rPr>
          <w:rFonts w:hint="eastAsia"/>
        </w:rPr>
        <w:t>七</w:t>
      </w:r>
      <w:r>
        <w:rPr>
          <w:rFonts w:hint="eastAsia"/>
        </w:rPr>
        <w:t xml:space="preserve"> </w:t>
      </w:r>
      <w:r>
        <w:rPr>
          <w:rFonts w:hint="eastAsia"/>
        </w:rPr>
        <w:t>条</w:t>
      </w:r>
    </w:p>
    <w:p w:rsidR="00000000" w:rsidRDefault="00844A84">
      <w:pPr>
        <w:pStyle w:val="Heading4"/>
        <w:rPr>
          <w:rFonts w:hint="eastAsia"/>
        </w:rPr>
      </w:pPr>
      <w:r>
        <w:rPr>
          <w:rFonts w:hint="eastAsia"/>
        </w:rPr>
        <w:t>第</w:t>
      </w:r>
      <w:r>
        <w:rPr>
          <w:rFonts w:hint="eastAsia"/>
        </w:rPr>
        <w:t>1</w:t>
      </w:r>
      <w:r>
        <w:rPr>
          <w:rFonts w:hint="eastAsia"/>
        </w:rPr>
        <w:t>款</w:t>
      </w:r>
      <w:r>
        <w:rPr>
          <w:rFonts w:hint="eastAsia"/>
        </w:rPr>
        <w:t>(a</w:t>
      </w:r>
      <w:r>
        <w:rPr>
          <w:rFonts w:hint="eastAsia"/>
          <w:u w:val="none"/>
        </w:rPr>
        <w:t>)</w:t>
      </w:r>
    </w:p>
    <w:p w:rsidR="00000000" w:rsidRDefault="00844A84">
      <w:pPr>
        <w:ind w:firstLine="510"/>
        <w:rPr>
          <w:rFonts w:hint="eastAsia"/>
          <w:bCs/>
          <w:snapToGrid/>
        </w:rPr>
      </w:pPr>
      <w:r>
        <w:rPr>
          <w:rFonts w:hint="eastAsia"/>
          <w:bCs/>
          <w:snapToGrid/>
        </w:rPr>
        <w:t xml:space="preserve">529.  </w:t>
      </w:r>
      <w:r>
        <w:rPr>
          <w:rFonts w:hint="eastAsia"/>
          <w:bCs/>
          <w:snapToGrid/>
        </w:rPr>
        <w:t>与就业相关的基本权利之一是有权获得报酬，这是法律和集体协定规定的权利。</w:t>
      </w:r>
    </w:p>
    <w:p w:rsidR="00000000" w:rsidRDefault="00844A84">
      <w:pPr>
        <w:ind w:firstLine="510"/>
        <w:rPr>
          <w:rFonts w:hint="eastAsia"/>
          <w:bCs/>
          <w:snapToGrid/>
        </w:rPr>
      </w:pPr>
      <w:r>
        <w:rPr>
          <w:rFonts w:hint="eastAsia"/>
          <w:bCs/>
          <w:snapToGrid/>
        </w:rPr>
        <w:t xml:space="preserve">530.  </w:t>
      </w:r>
      <w:r>
        <w:rPr>
          <w:rFonts w:hint="eastAsia"/>
          <w:bCs/>
          <w:snapToGrid/>
        </w:rPr>
        <w:t>如果工作报酬符合所作工作的价值，则属适当报酬。确定工作价值的依据是法律和集体协定，这些文书主要考虑到以下各种因素：工作价格、工作效益以及所费工时。因此，应根据有关某些工作的集体协定确定人工成本，并按照衡量工作成果的某些规范标准和其他质量及度量标准确定工作效益。根据工作的某些工资率和规范工作效益计算的全日制工作最</w:t>
      </w:r>
      <w:r>
        <w:rPr>
          <w:rFonts w:hint="eastAsia"/>
          <w:bCs/>
          <w:snapToGrid/>
        </w:rPr>
        <w:t>低人工成本</w:t>
      </w:r>
      <w:r>
        <w:rPr>
          <w:rFonts w:hint="eastAsia"/>
          <w:bCs/>
          <w:snapToGrid/>
        </w:rPr>
        <w:t>(</w:t>
      </w:r>
      <w:r>
        <w:rPr>
          <w:rFonts w:hint="eastAsia"/>
          <w:bCs/>
          <w:snapToGrid/>
        </w:rPr>
        <w:t>最低工资</w:t>
      </w:r>
      <w:r>
        <w:rPr>
          <w:rFonts w:hint="eastAsia"/>
          <w:bCs/>
          <w:snapToGrid/>
        </w:rPr>
        <w:t>)</w:t>
      </w:r>
      <w:r>
        <w:rPr>
          <w:rFonts w:hint="eastAsia"/>
          <w:bCs/>
          <w:snapToGrid/>
        </w:rPr>
        <w:t>，不能低于法律规定的最简单工作的工资。</w:t>
      </w:r>
    </w:p>
    <w:p w:rsidR="00000000" w:rsidRDefault="00844A84">
      <w:pPr>
        <w:ind w:firstLine="510"/>
        <w:rPr>
          <w:rFonts w:hint="eastAsia"/>
          <w:bCs/>
          <w:snapToGrid/>
        </w:rPr>
      </w:pPr>
      <w:r>
        <w:rPr>
          <w:rFonts w:hint="eastAsia"/>
          <w:bCs/>
          <w:snapToGrid/>
        </w:rPr>
        <w:t xml:space="preserve">531.  </w:t>
      </w:r>
      <w:r>
        <w:rPr>
          <w:rFonts w:hint="eastAsia"/>
          <w:bCs/>
          <w:snapToGrid/>
        </w:rPr>
        <w:t>《集体总协定》以作为《集体协定》组成部分的《规定最低人工成本方法》提出的方式方法，为执行这一复杂程序规定了指导准则。</w:t>
      </w:r>
    </w:p>
    <w:p w:rsidR="00000000" w:rsidRDefault="00844A84">
      <w:pPr>
        <w:ind w:firstLine="510"/>
        <w:rPr>
          <w:rFonts w:hint="eastAsia"/>
          <w:bCs/>
          <w:snapToGrid/>
        </w:rPr>
      </w:pPr>
      <w:r>
        <w:rPr>
          <w:rFonts w:hint="eastAsia"/>
          <w:bCs/>
          <w:snapToGrid/>
        </w:rPr>
        <w:t xml:space="preserve">532.  </w:t>
      </w:r>
      <w:r>
        <w:rPr>
          <w:rFonts w:hint="eastAsia"/>
          <w:bCs/>
          <w:snapToGrid/>
        </w:rPr>
        <w:t>最低人工成本</w:t>
      </w:r>
      <w:r>
        <w:rPr>
          <w:rFonts w:hint="eastAsia"/>
          <w:bCs/>
          <w:snapToGrid/>
        </w:rPr>
        <w:t>(</w:t>
      </w:r>
      <w:r>
        <w:rPr>
          <w:rFonts w:hint="eastAsia"/>
          <w:bCs/>
          <w:snapToGrid/>
        </w:rPr>
        <w:t>最低工资</w:t>
      </w:r>
      <w:r>
        <w:rPr>
          <w:rFonts w:hint="eastAsia"/>
          <w:bCs/>
          <w:snapToGrid/>
        </w:rPr>
        <w:t>)</w:t>
      </w:r>
      <w:r>
        <w:rPr>
          <w:rFonts w:hint="eastAsia"/>
          <w:bCs/>
          <w:snapToGrid/>
        </w:rPr>
        <w:t>依据以下有关因素确定：工人及其家庭的需求、总体薪金水平、生活费用、其他社会群体的有关生活标准以及各种经济因素。</w:t>
      </w:r>
    </w:p>
    <w:p w:rsidR="00000000" w:rsidRDefault="00844A84">
      <w:pPr>
        <w:ind w:firstLine="510"/>
        <w:rPr>
          <w:rFonts w:hint="eastAsia"/>
          <w:bCs/>
          <w:snapToGrid/>
        </w:rPr>
      </w:pPr>
      <w:r>
        <w:rPr>
          <w:rFonts w:hint="eastAsia"/>
          <w:bCs/>
          <w:snapToGrid/>
        </w:rPr>
        <w:t xml:space="preserve">533.  </w:t>
      </w:r>
      <w:r>
        <w:rPr>
          <w:rFonts w:hint="eastAsia"/>
          <w:bCs/>
          <w:snapToGrid/>
        </w:rPr>
        <w:t>最低工资每月经三方谈判人员小组谈判决定，这些谈判人员包括黑山政府、经济理事会以及黑山独立工会联合会的代表。</w:t>
      </w:r>
    </w:p>
    <w:p w:rsidR="00000000" w:rsidRDefault="00844A84">
      <w:pPr>
        <w:ind w:firstLine="510"/>
        <w:rPr>
          <w:rFonts w:hint="eastAsia"/>
          <w:bCs/>
          <w:snapToGrid/>
        </w:rPr>
      </w:pPr>
      <w:r>
        <w:rPr>
          <w:rFonts w:hint="eastAsia"/>
          <w:bCs/>
          <w:snapToGrid/>
        </w:rPr>
        <w:t xml:space="preserve">534.  </w:t>
      </w:r>
      <w:r>
        <w:rPr>
          <w:rFonts w:hint="eastAsia"/>
          <w:bCs/>
          <w:snapToGrid/>
        </w:rPr>
        <w:t>确定基本劳动价格的方式，应是将最简单工作</w:t>
      </w:r>
      <w:r>
        <w:rPr>
          <w:rFonts w:hint="eastAsia"/>
          <w:bCs/>
          <w:snapToGrid/>
        </w:rPr>
        <w:t>的最低人工成本</w:t>
      </w:r>
      <w:r>
        <w:rPr>
          <w:rFonts w:hint="eastAsia"/>
          <w:bCs/>
          <w:snapToGrid/>
        </w:rPr>
        <w:t>(</w:t>
      </w:r>
      <w:r>
        <w:rPr>
          <w:rFonts w:hint="eastAsia"/>
          <w:bCs/>
          <w:snapToGrid/>
        </w:rPr>
        <w:t>最低工资</w:t>
      </w:r>
      <w:r>
        <w:rPr>
          <w:rFonts w:hint="eastAsia"/>
          <w:bCs/>
          <w:snapToGrid/>
        </w:rPr>
        <w:t>)</w:t>
      </w:r>
      <w:r>
        <w:rPr>
          <w:rFonts w:hint="eastAsia"/>
          <w:bCs/>
          <w:snapToGrid/>
        </w:rPr>
        <w:t>乘以某一系数，按不同工作类别分类，分类工作则按这些工作要求的教育程度进行。某项工作的价格由集体协定或雇主确定</w:t>
      </w:r>
      <w:r>
        <w:rPr>
          <w:rFonts w:hint="eastAsia"/>
          <w:bCs/>
          <w:snapToGrid/>
        </w:rPr>
        <w:t>(</w:t>
      </w:r>
      <w:r>
        <w:rPr>
          <w:rFonts w:hint="eastAsia"/>
          <w:bCs/>
          <w:snapToGrid/>
        </w:rPr>
        <w:t>《就业关系要点法》第</w:t>
      </w:r>
      <w:r>
        <w:rPr>
          <w:bCs/>
          <w:snapToGrid/>
        </w:rPr>
        <w:t>75</w:t>
      </w:r>
      <w:r>
        <w:rPr>
          <w:bCs/>
          <w:snapToGrid/>
        </w:rPr>
        <w:t>条第</w:t>
      </w:r>
      <w:r>
        <w:rPr>
          <w:bCs/>
          <w:snapToGrid/>
        </w:rPr>
        <w:t>1</w:t>
      </w:r>
      <w:r>
        <w:rPr>
          <w:bCs/>
          <w:snapToGrid/>
        </w:rPr>
        <w:t>款</w:t>
      </w:r>
      <w:r>
        <w:rPr>
          <w:bCs/>
          <w:snapToGrid/>
        </w:rPr>
        <w:t>)</w:t>
      </w:r>
      <w:r>
        <w:rPr>
          <w:bCs/>
          <w:snapToGrid/>
        </w:rPr>
        <w:t>，根据最简单工作人工成本及</w:t>
      </w:r>
      <w:r>
        <w:rPr>
          <w:rFonts w:hint="eastAsia"/>
          <w:bCs/>
          <w:snapToGrid/>
        </w:rPr>
        <w:t>所需</w:t>
      </w:r>
      <w:r>
        <w:rPr>
          <w:bCs/>
          <w:snapToGrid/>
        </w:rPr>
        <w:t>资格确定工作价格，并</w:t>
      </w:r>
      <w:r>
        <w:rPr>
          <w:rFonts w:hint="eastAsia"/>
          <w:bCs/>
          <w:snapToGrid/>
        </w:rPr>
        <w:t>考虑到所涉</w:t>
      </w:r>
      <w:r>
        <w:rPr>
          <w:bCs/>
          <w:snapToGrid/>
        </w:rPr>
        <w:t>工作任务的复杂性、责任和工作条件。最低工资不</w:t>
      </w:r>
      <w:r>
        <w:rPr>
          <w:rFonts w:hint="eastAsia"/>
          <w:bCs/>
          <w:snapToGrid/>
        </w:rPr>
        <w:t>得</w:t>
      </w:r>
      <w:r>
        <w:rPr>
          <w:bCs/>
          <w:snapToGrid/>
        </w:rPr>
        <w:t>低于《集体</w:t>
      </w:r>
      <w:r>
        <w:rPr>
          <w:rFonts w:hint="eastAsia"/>
          <w:bCs/>
          <w:snapToGrid/>
        </w:rPr>
        <w:t>总</w:t>
      </w:r>
      <w:r>
        <w:rPr>
          <w:bCs/>
          <w:snapToGrid/>
        </w:rPr>
        <w:t>协定》或各项分协定规定的金额。例外</w:t>
      </w:r>
      <w:r>
        <w:rPr>
          <w:rFonts w:hint="eastAsia"/>
          <w:bCs/>
          <w:snapToGrid/>
        </w:rPr>
        <w:t>的</w:t>
      </w:r>
      <w:r>
        <w:rPr>
          <w:bCs/>
          <w:snapToGrid/>
        </w:rPr>
        <w:t>况是，如果雇主营业情况</w:t>
      </w:r>
      <w:r>
        <w:rPr>
          <w:rFonts w:hint="eastAsia"/>
          <w:bCs/>
          <w:snapToGrid/>
        </w:rPr>
        <w:t>欠佳，集体</w:t>
      </w:r>
      <w:r>
        <w:rPr>
          <w:bCs/>
          <w:snapToGrid/>
        </w:rPr>
        <w:t>协定可规定某一工作的工资</w:t>
      </w:r>
      <w:r>
        <w:rPr>
          <w:rFonts w:hint="eastAsia"/>
          <w:bCs/>
          <w:snapToGrid/>
        </w:rPr>
        <w:t>可比集体</w:t>
      </w:r>
      <w:r>
        <w:rPr>
          <w:bCs/>
          <w:snapToGrid/>
        </w:rPr>
        <w:t>协定</w:t>
      </w:r>
      <w:r>
        <w:rPr>
          <w:rFonts w:hint="eastAsia"/>
          <w:bCs/>
          <w:snapToGrid/>
        </w:rPr>
        <w:t>的</w:t>
      </w:r>
      <w:r>
        <w:rPr>
          <w:bCs/>
          <w:snapToGrid/>
        </w:rPr>
        <w:t>规定金额</w:t>
      </w:r>
      <w:r>
        <w:rPr>
          <w:rFonts w:hint="eastAsia"/>
          <w:bCs/>
          <w:snapToGrid/>
        </w:rPr>
        <w:t>降低</w:t>
      </w:r>
      <w:r>
        <w:rPr>
          <w:rFonts w:hint="eastAsia"/>
          <w:bCs/>
          <w:snapToGrid/>
        </w:rPr>
        <w:t>20</w:t>
      </w:r>
      <w:r>
        <w:rPr>
          <w:bCs/>
          <w:snapToGrid/>
        </w:rPr>
        <w:t>%</w:t>
      </w:r>
      <w:r>
        <w:rPr>
          <w:bCs/>
          <w:snapToGrid/>
        </w:rPr>
        <w:t>。</w:t>
      </w:r>
    </w:p>
    <w:p w:rsidR="00000000" w:rsidRDefault="00844A84">
      <w:pPr>
        <w:ind w:firstLine="510"/>
        <w:rPr>
          <w:rFonts w:hint="eastAsia"/>
          <w:bCs/>
          <w:snapToGrid/>
        </w:rPr>
      </w:pPr>
      <w:r>
        <w:rPr>
          <w:rFonts w:hint="eastAsia"/>
          <w:bCs/>
          <w:snapToGrid/>
        </w:rPr>
        <w:t xml:space="preserve">535.  </w:t>
      </w:r>
      <w:r>
        <w:rPr>
          <w:rFonts w:hint="eastAsia"/>
          <w:bCs/>
          <w:snapToGrid/>
        </w:rPr>
        <w:t>确定“最低工资”的基本目的，是必须向工作的个人及其家庭提供最低社会和物资保障。</w:t>
      </w:r>
    </w:p>
    <w:p w:rsidR="00000000" w:rsidRDefault="00844A84">
      <w:pPr>
        <w:ind w:firstLine="510"/>
        <w:rPr>
          <w:rFonts w:hint="eastAsia"/>
          <w:bCs/>
          <w:snapToGrid/>
        </w:rPr>
      </w:pPr>
      <w:r>
        <w:rPr>
          <w:rFonts w:hint="eastAsia"/>
          <w:bCs/>
          <w:snapToGrid/>
        </w:rPr>
        <w:t>53</w:t>
      </w:r>
      <w:r>
        <w:rPr>
          <w:rFonts w:hint="eastAsia"/>
          <w:bCs/>
          <w:snapToGrid/>
        </w:rPr>
        <w:t xml:space="preserve">6.  </w:t>
      </w:r>
      <w:r>
        <w:rPr>
          <w:rFonts w:hint="eastAsia"/>
          <w:bCs/>
          <w:snapToGrid/>
        </w:rPr>
        <w:t>“最低工资”金额的高低主要有赖于某些经济指标，也有赖于雇主支付薪金的能力，而后者又取决于前三个月工业生产的成效，以及雇主定期向所有员工支付某种收入的能力。</w:t>
      </w:r>
    </w:p>
    <w:p w:rsidR="00000000" w:rsidRDefault="00844A84">
      <w:pPr>
        <w:ind w:firstLine="510"/>
        <w:rPr>
          <w:rFonts w:hint="eastAsia"/>
          <w:bCs/>
          <w:snapToGrid/>
        </w:rPr>
      </w:pPr>
      <w:r>
        <w:rPr>
          <w:rFonts w:hint="eastAsia"/>
          <w:bCs/>
          <w:snapToGrid/>
        </w:rPr>
        <w:t xml:space="preserve">537.  </w:t>
      </w:r>
      <w:r>
        <w:rPr>
          <w:rFonts w:hint="eastAsia"/>
          <w:bCs/>
          <w:snapToGrid/>
        </w:rPr>
        <w:t>提高“最低工资”的基本先决条件是：四口之家的基本生活费用增加</w:t>
      </w:r>
      <w:r>
        <w:rPr>
          <w:bCs/>
          <w:snapToGrid/>
        </w:rPr>
        <w:t>5%</w:t>
      </w:r>
      <w:r>
        <w:rPr>
          <w:bCs/>
          <w:snapToGrid/>
        </w:rPr>
        <w:t>以上，工业必须呈现</w:t>
      </w:r>
      <w:r>
        <w:rPr>
          <w:rFonts w:hint="eastAsia"/>
          <w:bCs/>
          <w:snapToGrid/>
        </w:rPr>
        <w:t>向上</w:t>
      </w:r>
      <w:r>
        <w:rPr>
          <w:bCs/>
          <w:snapToGrid/>
        </w:rPr>
        <w:t>发展趋势，雇主必须有能力定期支付某种金额的薪金。</w:t>
      </w:r>
    </w:p>
    <w:p w:rsidR="00000000" w:rsidRDefault="00844A84">
      <w:pPr>
        <w:ind w:firstLine="510"/>
        <w:rPr>
          <w:rFonts w:hint="eastAsia"/>
          <w:bCs/>
          <w:snapToGrid/>
        </w:rPr>
      </w:pPr>
      <w:r>
        <w:rPr>
          <w:rFonts w:hint="eastAsia"/>
          <w:bCs/>
          <w:snapToGrid/>
        </w:rPr>
        <w:t xml:space="preserve">538.  </w:t>
      </w:r>
      <w:r>
        <w:rPr>
          <w:rFonts w:hint="eastAsia"/>
          <w:bCs/>
          <w:snapToGrid/>
        </w:rPr>
        <w:t>但如果雇主在某一期间宣布破产，无法向员工定期支付薪金，则员工可按照《黑山共和国员工薪金、补助金和其他收入条例》，要求有权获得保障能得到的收入，这种收入为某个月确定的最低工作价格的</w:t>
      </w:r>
      <w:r>
        <w:rPr>
          <w:bCs/>
          <w:snapToGrid/>
        </w:rPr>
        <w:t>65%</w:t>
      </w:r>
      <w:r>
        <w:rPr>
          <w:bCs/>
          <w:snapToGrid/>
        </w:rPr>
        <w:t>。</w:t>
      </w:r>
    </w:p>
    <w:p w:rsidR="00000000" w:rsidRDefault="00844A84">
      <w:pPr>
        <w:ind w:firstLine="510"/>
        <w:rPr>
          <w:rFonts w:hint="eastAsia"/>
          <w:bCs/>
          <w:snapToGrid/>
        </w:rPr>
      </w:pPr>
      <w:r>
        <w:rPr>
          <w:rFonts w:hint="eastAsia"/>
          <w:bCs/>
          <w:snapToGrid/>
        </w:rPr>
        <w:t xml:space="preserve">539.  </w:t>
      </w:r>
      <w:r>
        <w:rPr>
          <w:rFonts w:hint="eastAsia"/>
          <w:bCs/>
          <w:snapToGrid/>
        </w:rPr>
        <w:t>主管雇主机构作出有关支付受保障薪金的决定，这种薪金至多每年支付三个月。一旦某一企业中断营业，并作出支付受保障薪金的决定，就必须在这一过程中与工会协商。事实证明，过去几年是在黑山共和国经济系统中营业的企业极为艰难的年份</w:t>
      </w:r>
      <w:r>
        <w:rPr>
          <w:rFonts w:hint="eastAsia"/>
          <w:bCs/>
          <w:snapToGrid/>
        </w:rPr>
        <w:t>(</w:t>
      </w:r>
      <w:r>
        <w:rPr>
          <w:rFonts w:hint="eastAsia"/>
          <w:bCs/>
          <w:snapToGrid/>
        </w:rPr>
        <w:t>原因是受到制裁以及邻近区域的战事</w:t>
      </w:r>
      <w:r>
        <w:rPr>
          <w:rFonts w:hint="eastAsia"/>
          <w:bCs/>
          <w:snapToGrid/>
        </w:rPr>
        <w:t>)</w:t>
      </w:r>
      <w:r>
        <w:rPr>
          <w:rFonts w:hint="eastAsia"/>
          <w:bCs/>
          <w:snapToGrid/>
        </w:rPr>
        <w:t>。不断的破产使企业受到影响，使之过期、甚至过期几个月仍无法支付定期薪金。出现这些情况的原因之一是，如果某一员工要求支付三个月以上获保障的薪金，有关雇主得向该部门主管部委请求批准。</w:t>
      </w:r>
    </w:p>
    <w:p w:rsidR="00000000" w:rsidRDefault="00844A84">
      <w:pPr>
        <w:ind w:firstLine="510"/>
        <w:rPr>
          <w:rFonts w:hint="eastAsia"/>
          <w:bCs/>
          <w:snapToGrid/>
        </w:rPr>
      </w:pPr>
      <w:r>
        <w:rPr>
          <w:rFonts w:hint="eastAsia"/>
          <w:bCs/>
          <w:snapToGrid/>
        </w:rPr>
        <w:t xml:space="preserve">540.  </w:t>
      </w:r>
      <w:r>
        <w:rPr>
          <w:rFonts w:hint="eastAsia"/>
          <w:bCs/>
          <w:snapToGrid/>
        </w:rPr>
        <w:t>一些</w:t>
      </w:r>
      <w:r>
        <w:rPr>
          <w:bCs/>
          <w:snapToGrid/>
        </w:rPr>
        <w:t>雇主往往无法按照该条例支付受保障的薪金。为了在</w:t>
      </w:r>
      <w:r>
        <w:rPr>
          <w:bCs/>
          <w:snapToGrid/>
        </w:rPr>
        <w:t>199</w:t>
      </w:r>
      <w:r>
        <w:rPr>
          <w:bCs/>
          <w:snapToGrid/>
        </w:rPr>
        <w:t>2</w:t>
      </w:r>
      <w:r>
        <w:rPr>
          <w:bCs/>
          <w:snapToGrid/>
        </w:rPr>
        <w:t>至</w:t>
      </w:r>
      <w:r>
        <w:rPr>
          <w:bCs/>
          <w:snapToGrid/>
        </w:rPr>
        <w:t>2002</w:t>
      </w:r>
      <w:r>
        <w:rPr>
          <w:bCs/>
          <w:snapToGrid/>
        </w:rPr>
        <w:t>年期间解决这一严重问题，黑山共和国政府拨出了大笔款项。仅在</w:t>
      </w:r>
      <w:r>
        <w:rPr>
          <w:bCs/>
          <w:snapToGrid/>
        </w:rPr>
        <w:t>2001</w:t>
      </w:r>
      <w:r>
        <w:rPr>
          <w:bCs/>
          <w:snapToGrid/>
        </w:rPr>
        <w:t>和</w:t>
      </w:r>
      <w:r>
        <w:rPr>
          <w:bCs/>
          <w:snapToGrid/>
        </w:rPr>
        <w:t>2002</w:t>
      </w:r>
      <w:r>
        <w:rPr>
          <w:bCs/>
          <w:snapToGrid/>
        </w:rPr>
        <w:t>年就从预算中拨出了约</w:t>
      </w:r>
      <w:r>
        <w:rPr>
          <w:bCs/>
          <w:snapToGrid/>
        </w:rPr>
        <w:t>800</w:t>
      </w:r>
      <w:r>
        <w:rPr>
          <w:bCs/>
          <w:snapToGrid/>
        </w:rPr>
        <w:t>万欧元。</w:t>
      </w:r>
    </w:p>
    <w:p w:rsidR="00000000" w:rsidRDefault="00844A84">
      <w:pPr>
        <w:ind w:firstLine="510"/>
        <w:rPr>
          <w:rFonts w:hint="eastAsia"/>
          <w:bCs/>
          <w:snapToGrid/>
        </w:rPr>
      </w:pPr>
      <w:r>
        <w:rPr>
          <w:rFonts w:hint="eastAsia"/>
          <w:bCs/>
          <w:snapToGrid/>
        </w:rPr>
        <w:t xml:space="preserve">541.  </w:t>
      </w:r>
      <w:r>
        <w:rPr>
          <w:rFonts w:hint="eastAsia"/>
          <w:bCs/>
          <w:snapToGrid/>
        </w:rPr>
        <w:t>同样，员工在节假日，假日休假、带薪休假、参加军事训练、在一些国家机构服务以及法律和集体协定规定的其他情况下，有权领取集体协定规定金额的薪金。</w:t>
      </w:r>
    </w:p>
    <w:p w:rsidR="00000000" w:rsidRDefault="00844A84">
      <w:pPr>
        <w:ind w:firstLine="510"/>
        <w:rPr>
          <w:rFonts w:hint="eastAsia"/>
          <w:bCs/>
          <w:snapToGrid/>
        </w:rPr>
      </w:pPr>
      <w:r>
        <w:rPr>
          <w:rFonts w:hint="eastAsia"/>
          <w:bCs/>
          <w:snapToGrid/>
        </w:rPr>
        <w:t xml:space="preserve">542.  </w:t>
      </w:r>
      <w:r>
        <w:rPr>
          <w:rFonts w:hint="eastAsia"/>
          <w:bCs/>
          <w:snapToGrid/>
        </w:rPr>
        <w:t>员工有权在节假日上班、加班、上夜班以及法律和集体协定规定的其他情况下获得额外薪金。</w:t>
      </w:r>
    </w:p>
    <w:p w:rsidR="00000000" w:rsidRDefault="00844A84">
      <w:pPr>
        <w:spacing w:after="320"/>
        <w:ind w:firstLine="510"/>
        <w:rPr>
          <w:rFonts w:hint="eastAsia"/>
          <w:bCs/>
          <w:snapToGrid/>
        </w:rPr>
      </w:pPr>
      <w:r>
        <w:rPr>
          <w:rFonts w:hint="eastAsia"/>
          <w:bCs/>
          <w:snapToGrid/>
        </w:rPr>
        <w:t xml:space="preserve">543.  </w:t>
      </w:r>
      <w:r>
        <w:rPr>
          <w:rFonts w:hint="eastAsia"/>
          <w:bCs/>
          <w:snapToGrid/>
        </w:rPr>
        <w:t>员工还有权获得与工作有关的其他报酬，包括节假日津贴、伙食津贴和通勤交通津贴，以及法律和集体协定规定的其他津贴。其他报酬包括：革</w:t>
      </w:r>
      <w:r>
        <w:rPr>
          <w:rFonts w:hint="eastAsia"/>
          <w:bCs/>
          <w:snapToGrid/>
        </w:rPr>
        <w:t>新奖金、合理化建议奖金以及其他类型的</w:t>
      </w:r>
      <w:r>
        <w:rPr>
          <w:bCs/>
          <w:snapToGrid/>
        </w:rPr>
        <w:t>发明奖、</w:t>
      </w:r>
      <w:r>
        <w:rPr>
          <w:rFonts w:hint="eastAsia"/>
          <w:bCs/>
          <w:snapToGrid/>
        </w:rPr>
        <w:t>庆典</w:t>
      </w:r>
      <w:r>
        <w:rPr>
          <w:bCs/>
          <w:snapToGrid/>
        </w:rPr>
        <w:t>奖品、</w:t>
      </w:r>
      <w:r>
        <w:rPr>
          <w:rFonts w:hint="eastAsia"/>
          <w:bCs/>
          <w:snapToGrid/>
        </w:rPr>
        <w:t>安慰</w:t>
      </w:r>
      <w:r>
        <w:rPr>
          <w:bCs/>
          <w:snapToGrid/>
        </w:rPr>
        <w:t>补助、每日津贴、野外工作补贴以及养恤金。</w:t>
      </w:r>
    </w:p>
    <w:p w:rsidR="00000000" w:rsidRDefault="00844A84">
      <w:pPr>
        <w:pStyle w:val="Heading4"/>
        <w:rPr>
          <w:rFonts w:hint="eastAsia"/>
        </w:rPr>
      </w:pPr>
      <w:r>
        <w:rPr>
          <w:rFonts w:hint="eastAsia"/>
        </w:rPr>
        <w:t>第</w:t>
      </w:r>
      <w:r>
        <w:rPr>
          <w:rFonts w:hint="eastAsia"/>
        </w:rPr>
        <w:t>1</w:t>
      </w:r>
      <w:r>
        <w:rPr>
          <w:rFonts w:hint="eastAsia"/>
        </w:rPr>
        <w:t>款</w:t>
      </w:r>
      <w:r>
        <w:t>(b</w:t>
      </w:r>
      <w:r>
        <w:rPr>
          <w:u w:val="none"/>
        </w:rPr>
        <w:t>)</w:t>
      </w:r>
    </w:p>
    <w:p w:rsidR="00000000" w:rsidRDefault="00844A84">
      <w:pPr>
        <w:ind w:firstLine="510"/>
        <w:rPr>
          <w:rFonts w:hint="eastAsia"/>
          <w:bCs/>
          <w:snapToGrid/>
        </w:rPr>
      </w:pPr>
      <w:r>
        <w:rPr>
          <w:rFonts w:hint="eastAsia"/>
          <w:bCs/>
          <w:snapToGrid/>
        </w:rPr>
        <w:t xml:space="preserve">544.  </w:t>
      </w:r>
      <w:r>
        <w:rPr>
          <w:rFonts w:hint="eastAsia"/>
          <w:bCs/>
          <w:snapToGrid/>
        </w:rPr>
        <w:t>《黑山共和国宪法》第</w:t>
      </w:r>
      <w:r>
        <w:rPr>
          <w:bCs/>
          <w:snapToGrid/>
        </w:rPr>
        <w:t>52</w:t>
      </w:r>
      <w:r>
        <w:rPr>
          <w:bCs/>
          <w:snapToGrid/>
        </w:rPr>
        <w:t>条规定人人都享有工作权，第</w:t>
      </w:r>
      <w:r>
        <w:rPr>
          <w:bCs/>
          <w:snapToGrid/>
        </w:rPr>
        <w:t>53</w:t>
      </w:r>
      <w:r>
        <w:rPr>
          <w:bCs/>
          <w:snapToGrid/>
        </w:rPr>
        <w:t>条除</w:t>
      </w:r>
      <w:r>
        <w:rPr>
          <w:rFonts w:hint="eastAsia"/>
          <w:bCs/>
          <w:snapToGrid/>
        </w:rPr>
        <w:t>赋予</w:t>
      </w:r>
      <w:r>
        <w:rPr>
          <w:bCs/>
          <w:snapToGrid/>
        </w:rPr>
        <w:t>其他权利外，还赋予员工</w:t>
      </w:r>
      <w:r>
        <w:rPr>
          <w:rFonts w:hint="eastAsia"/>
          <w:bCs/>
          <w:snapToGrid/>
        </w:rPr>
        <w:t>享有</w:t>
      </w:r>
      <w:r>
        <w:rPr>
          <w:bCs/>
          <w:snapToGrid/>
        </w:rPr>
        <w:t>劳动保护和人道工作待遇的权利，从这些宪法原则出发，即使在以前的制度中</w:t>
      </w:r>
      <w:r>
        <w:rPr>
          <w:rFonts w:hint="eastAsia"/>
          <w:bCs/>
          <w:snapToGrid/>
        </w:rPr>
        <w:t>，</w:t>
      </w:r>
      <w:r>
        <w:rPr>
          <w:bCs/>
          <w:snapToGrid/>
        </w:rPr>
        <w:t>对员工</w:t>
      </w:r>
      <w:r>
        <w:rPr>
          <w:rFonts w:hint="eastAsia"/>
          <w:bCs/>
          <w:snapToGrid/>
        </w:rPr>
        <w:t>的</w:t>
      </w:r>
      <w:r>
        <w:rPr>
          <w:bCs/>
          <w:snapToGrid/>
        </w:rPr>
        <w:t>劳动保护权利也没有</w:t>
      </w:r>
      <w:r>
        <w:rPr>
          <w:rFonts w:hint="eastAsia"/>
          <w:bCs/>
          <w:snapToGrid/>
        </w:rPr>
        <w:t>任何</w:t>
      </w:r>
      <w:r>
        <w:rPr>
          <w:bCs/>
          <w:snapToGrid/>
        </w:rPr>
        <w:t>争议。这些原则</w:t>
      </w:r>
      <w:r>
        <w:rPr>
          <w:rFonts w:hint="eastAsia"/>
          <w:bCs/>
          <w:snapToGrid/>
        </w:rPr>
        <w:t>以</w:t>
      </w:r>
      <w:r>
        <w:rPr>
          <w:bCs/>
          <w:snapToGrid/>
        </w:rPr>
        <w:t>劳动保的国际标准为依据。</w:t>
      </w:r>
      <w:r>
        <w:rPr>
          <w:rFonts w:hint="eastAsia"/>
          <w:bCs/>
          <w:snapToGrid/>
        </w:rPr>
        <w:t>劳动</w:t>
      </w:r>
      <w:r>
        <w:rPr>
          <w:bCs/>
          <w:snapToGrid/>
        </w:rPr>
        <w:t>保护</w:t>
      </w:r>
      <w:r>
        <w:rPr>
          <w:rFonts w:hint="eastAsia"/>
          <w:bCs/>
          <w:snapToGrid/>
        </w:rPr>
        <w:t>规则的</w:t>
      </w:r>
      <w:r>
        <w:rPr>
          <w:bCs/>
          <w:snapToGrid/>
        </w:rPr>
        <w:t>协调</w:t>
      </w:r>
      <w:r>
        <w:rPr>
          <w:rFonts w:hint="eastAsia"/>
          <w:bCs/>
          <w:snapToGrid/>
        </w:rPr>
        <w:t>工作既不受局限，也</w:t>
      </w:r>
      <w:r>
        <w:rPr>
          <w:bCs/>
          <w:snapToGrid/>
        </w:rPr>
        <w:t>不封闭，而是</w:t>
      </w:r>
      <w:r>
        <w:rPr>
          <w:rFonts w:hint="eastAsia"/>
          <w:bCs/>
          <w:snapToGrid/>
        </w:rPr>
        <w:t>一种</w:t>
      </w:r>
      <w:r>
        <w:rPr>
          <w:bCs/>
          <w:snapToGrid/>
        </w:rPr>
        <w:t>可</w:t>
      </w:r>
      <w:r>
        <w:rPr>
          <w:rFonts w:hint="eastAsia"/>
          <w:bCs/>
          <w:snapToGrid/>
        </w:rPr>
        <w:t>不断</w:t>
      </w:r>
      <w:r>
        <w:rPr>
          <w:bCs/>
          <w:snapToGrid/>
        </w:rPr>
        <w:t>改善</w:t>
      </w:r>
      <w:r>
        <w:rPr>
          <w:rFonts w:hint="eastAsia"/>
          <w:bCs/>
          <w:snapToGrid/>
        </w:rPr>
        <w:t>的过程</w:t>
      </w:r>
      <w:r>
        <w:rPr>
          <w:bCs/>
          <w:snapToGrid/>
        </w:rPr>
        <w:t>。这项工作要求继续监测国际组织和机构在这一领域的活动。除了其他</w:t>
      </w:r>
      <w:r>
        <w:rPr>
          <w:rFonts w:hint="eastAsia"/>
          <w:bCs/>
          <w:snapToGrid/>
        </w:rPr>
        <w:t>职能</w:t>
      </w:r>
      <w:r>
        <w:rPr>
          <w:bCs/>
          <w:snapToGrid/>
        </w:rPr>
        <w:t>外，这些活动概念</w:t>
      </w:r>
      <w:r>
        <w:rPr>
          <w:rFonts w:hint="eastAsia"/>
          <w:bCs/>
          <w:snapToGrid/>
        </w:rPr>
        <w:t>的重点是</w:t>
      </w:r>
      <w:r>
        <w:rPr>
          <w:bCs/>
          <w:snapToGrid/>
        </w:rPr>
        <w:t>提供健康和安全的工作条件。</w:t>
      </w:r>
    </w:p>
    <w:p w:rsidR="00000000" w:rsidRDefault="00844A84">
      <w:pPr>
        <w:ind w:firstLine="510"/>
        <w:rPr>
          <w:rFonts w:hint="eastAsia"/>
          <w:bCs/>
          <w:snapToGrid/>
        </w:rPr>
      </w:pPr>
      <w:r>
        <w:rPr>
          <w:rFonts w:hint="eastAsia"/>
          <w:bCs/>
          <w:snapToGrid/>
        </w:rPr>
        <w:t xml:space="preserve">545.  </w:t>
      </w:r>
      <w:r>
        <w:rPr>
          <w:rFonts w:hint="eastAsia"/>
          <w:bCs/>
          <w:snapToGrid/>
        </w:rPr>
        <w:t>通过《劳动保护法》、集体协定、劳动保护措施和准则、雇主或其他法人和自然人、政府机构或地方当局负责人的行动，员工可行驶劳动保护和安全权利。</w:t>
      </w:r>
    </w:p>
    <w:p w:rsidR="00000000" w:rsidRDefault="00844A84">
      <w:pPr>
        <w:ind w:firstLine="510"/>
        <w:rPr>
          <w:rFonts w:hint="eastAsia"/>
          <w:bCs/>
          <w:snapToGrid/>
        </w:rPr>
      </w:pPr>
      <w:r>
        <w:rPr>
          <w:rFonts w:hint="eastAsia"/>
          <w:bCs/>
          <w:snapToGrid/>
        </w:rPr>
        <w:t xml:space="preserve">546.  </w:t>
      </w:r>
      <w:r>
        <w:rPr>
          <w:rFonts w:hint="eastAsia"/>
          <w:bCs/>
          <w:snapToGrid/>
        </w:rPr>
        <w:t>除法律另有规定，应该由雇主或政府主管机构或地方主管当局负责对工人的劳动保护。劳动保护制度的依据是各种必不可少的准则，这些准则规定要追究未提供工作安全的人员的责任，也规定穿着制服和工作服的员工的权利和义务也不会因此受到影响。</w:t>
      </w:r>
    </w:p>
    <w:p w:rsidR="00000000" w:rsidRDefault="00844A84">
      <w:pPr>
        <w:ind w:firstLine="510"/>
        <w:rPr>
          <w:rFonts w:hint="eastAsia"/>
          <w:bCs/>
          <w:snapToGrid/>
        </w:rPr>
      </w:pPr>
      <w:r>
        <w:rPr>
          <w:rFonts w:hint="eastAsia"/>
          <w:bCs/>
          <w:snapToGrid/>
        </w:rPr>
        <w:t xml:space="preserve">547.  </w:t>
      </w:r>
      <w:r>
        <w:rPr>
          <w:rFonts w:hint="eastAsia"/>
          <w:bCs/>
          <w:snapToGrid/>
        </w:rPr>
        <w:t>提供劳动保护，是工作安排及工作进程的组成部分。安全的工作条件、有利于健康的工作环境和保</w:t>
      </w:r>
      <w:r>
        <w:rPr>
          <w:rFonts w:hint="eastAsia"/>
          <w:bCs/>
          <w:snapToGrid/>
        </w:rPr>
        <w:t>护环境免受技术工艺损害，这些活动是通过复杂的措施、手段和活动进行的，重点是防止发生有害健康现象、工伤事故和职业病。除法律外，还有众多的附则</w:t>
      </w:r>
      <w:r>
        <w:rPr>
          <w:rFonts w:hint="eastAsia"/>
          <w:bCs/>
          <w:snapToGrid/>
        </w:rPr>
        <w:t>(</w:t>
      </w:r>
      <w:r>
        <w:rPr>
          <w:rFonts w:hint="eastAsia"/>
          <w:bCs/>
          <w:snapToGrid/>
        </w:rPr>
        <w:t>条例</w:t>
      </w:r>
      <w:r>
        <w:rPr>
          <w:rFonts w:hint="eastAsia"/>
          <w:bCs/>
          <w:snapToGrid/>
        </w:rPr>
        <w:t>)</w:t>
      </w:r>
      <w:r>
        <w:rPr>
          <w:rFonts w:hint="eastAsia"/>
          <w:bCs/>
          <w:snapToGrid/>
        </w:rPr>
        <w:t>可用于进一步促进劳动保护的一些具体活动。</w:t>
      </w:r>
    </w:p>
    <w:p w:rsidR="00000000" w:rsidRDefault="00844A84">
      <w:pPr>
        <w:ind w:firstLine="510"/>
        <w:rPr>
          <w:rFonts w:hint="eastAsia"/>
          <w:bCs/>
          <w:snapToGrid/>
        </w:rPr>
      </w:pPr>
      <w:r>
        <w:rPr>
          <w:rFonts w:hint="eastAsia"/>
          <w:bCs/>
          <w:snapToGrid/>
        </w:rPr>
        <w:t xml:space="preserve">548.  </w:t>
      </w:r>
      <w:r>
        <w:rPr>
          <w:rFonts w:hint="eastAsia"/>
          <w:bCs/>
          <w:snapToGrid/>
        </w:rPr>
        <w:t>雇主按基本工作范围使用某些工具时，必须在制造厂商规定的时限内，按照劳动保护相关技术条例和标准，对这些工具进行检查和核查。</w:t>
      </w:r>
    </w:p>
    <w:p w:rsidR="00000000" w:rsidRDefault="00844A84">
      <w:pPr>
        <w:ind w:firstLine="510"/>
        <w:rPr>
          <w:rFonts w:hint="eastAsia"/>
          <w:bCs/>
          <w:snapToGrid/>
        </w:rPr>
      </w:pPr>
      <w:r>
        <w:rPr>
          <w:rFonts w:hint="eastAsia"/>
          <w:bCs/>
          <w:snapToGrid/>
        </w:rPr>
        <w:t xml:space="preserve">549.  </w:t>
      </w:r>
      <w:r>
        <w:rPr>
          <w:rFonts w:hint="eastAsia"/>
          <w:bCs/>
          <w:snapToGrid/>
        </w:rPr>
        <w:t>雇主必须按照劳动保护条例，作好劳动安全记录。如果雇主未作所要求的记录</w:t>
      </w:r>
      <w:r>
        <w:rPr>
          <w:rFonts w:hint="eastAsia"/>
          <w:bCs/>
          <w:snapToGrid/>
        </w:rPr>
        <w:t>(</w:t>
      </w:r>
      <w:r>
        <w:rPr>
          <w:rFonts w:hint="eastAsia"/>
          <w:bCs/>
          <w:snapToGrid/>
        </w:rPr>
        <w:t>这些记录涉及在特别困难的工作岗位或特别困难的工作环境中工作而需要进行定期健康检查的工人，关于工伤、职业病以及</w:t>
      </w:r>
      <w:r>
        <w:rPr>
          <w:rFonts w:hint="eastAsia"/>
          <w:bCs/>
          <w:snapToGrid/>
        </w:rPr>
        <w:t>关于按照残疾类别或按接触有害物质分类的残疾工人方面的记录</w:t>
      </w:r>
      <w:r>
        <w:rPr>
          <w:rFonts w:hint="eastAsia"/>
          <w:bCs/>
          <w:snapToGrid/>
        </w:rPr>
        <w:t>)</w:t>
      </w:r>
      <w:r>
        <w:rPr>
          <w:rFonts w:hint="eastAsia"/>
          <w:bCs/>
          <w:snapToGrid/>
        </w:rPr>
        <w:t>，就得依法严办。有关规定的保护工作由主管劳动保护的视察部予以管制。</w:t>
      </w:r>
    </w:p>
    <w:p w:rsidR="00000000" w:rsidRDefault="00844A84">
      <w:pPr>
        <w:ind w:firstLine="510"/>
        <w:rPr>
          <w:rFonts w:hint="eastAsia"/>
          <w:bCs/>
          <w:snapToGrid/>
        </w:rPr>
      </w:pPr>
      <w:r>
        <w:rPr>
          <w:rFonts w:hint="eastAsia"/>
          <w:bCs/>
          <w:snapToGrid/>
        </w:rPr>
        <w:t xml:space="preserve">550.  </w:t>
      </w:r>
      <w:r>
        <w:rPr>
          <w:rFonts w:hint="eastAsia"/>
          <w:bCs/>
          <w:snapToGrid/>
        </w:rPr>
        <w:t>同样，员工必须遵守规定的劳动保护措施。如果未提供劳动保护，员工认为由于未采取劳动保险措施而有明显的危险，威胁着他的生命或健康，他有权拒绝工作。员工因此拒绝工作时，雇主无权予以惩罚或终止合同。</w:t>
      </w:r>
    </w:p>
    <w:p w:rsidR="00000000" w:rsidRDefault="00844A84">
      <w:pPr>
        <w:ind w:firstLine="510"/>
        <w:rPr>
          <w:rFonts w:hint="eastAsia"/>
          <w:bCs/>
          <w:snapToGrid/>
        </w:rPr>
      </w:pPr>
      <w:r>
        <w:rPr>
          <w:rFonts w:hint="eastAsia"/>
          <w:bCs/>
          <w:snapToGrid/>
        </w:rPr>
        <w:t xml:space="preserve">551.  </w:t>
      </w:r>
      <w:r>
        <w:rPr>
          <w:rFonts w:hint="eastAsia"/>
          <w:bCs/>
          <w:snapToGrid/>
        </w:rPr>
        <w:t>劳动保护问题主管视察单有义务位与黑山健康保险基金合作，作好规定的有关工伤和职业病的记录。</w:t>
      </w:r>
      <w:r>
        <w:rPr>
          <w:bCs/>
          <w:snapToGrid/>
        </w:rPr>
        <w:t>1990</w:t>
      </w:r>
      <w:r>
        <w:rPr>
          <w:bCs/>
          <w:snapToGrid/>
        </w:rPr>
        <w:t>年前，</w:t>
      </w:r>
      <w:r>
        <w:rPr>
          <w:rFonts w:hint="eastAsia"/>
          <w:bCs/>
          <w:snapToGrid/>
        </w:rPr>
        <w:t>这些记录都得到了正常保留</w:t>
      </w:r>
      <w:r>
        <w:rPr>
          <w:bCs/>
          <w:snapToGrid/>
        </w:rPr>
        <w:t>。在我国开始</w:t>
      </w:r>
      <w:r>
        <w:rPr>
          <w:rFonts w:hint="eastAsia"/>
          <w:bCs/>
          <w:snapToGrid/>
        </w:rPr>
        <w:t>转型</w:t>
      </w:r>
      <w:r>
        <w:rPr>
          <w:bCs/>
          <w:snapToGrid/>
        </w:rPr>
        <w:t>变革时，这种合作已经中断。因</w:t>
      </w:r>
      <w:r>
        <w:rPr>
          <w:bCs/>
          <w:snapToGrid/>
        </w:rPr>
        <w:t>此，现在没有可靠的年度资料，说明上</w:t>
      </w:r>
      <w:r>
        <w:rPr>
          <w:bCs/>
          <w:snapToGrid/>
        </w:rPr>
        <w:t>10</w:t>
      </w:r>
      <w:r>
        <w:rPr>
          <w:bCs/>
          <w:snapToGrid/>
        </w:rPr>
        <w:t>年工伤</w:t>
      </w:r>
      <w:r>
        <w:rPr>
          <w:rFonts w:hint="eastAsia"/>
          <w:bCs/>
          <w:snapToGrid/>
        </w:rPr>
        <w:t>和</w:t>
      </w:r>
      <w:r>
        <w:rPr>
          <w:bCs/>
          <w:snapToGrid/>
        </w:rPr>
        <w:t>职业病的数目。</w:t>
      </w:r>
    </w:p>
    <w:p w:rsidR="00000000" w:rsidRDefault="00844A84">
      <w:pPr>
        <w:spacing w:after="320"/>
        <w:ind w:firstLine="510"/>
        <w:rPr>
          <w:rFonts w:hint="eastAsia"/>
          <w:bCs/>
          <w:snapToGrid/>
        </w:rPr>
      </w:pPr>
      <w:r>
        <w:rPr>
          <w:rFonts w:hint="eastAsia"/>
          <w:bCs/>
          <w:snapToGrid/>
        </w:rPr>
        <w:t xml:space="preserve">552.  </w:t>
      </w:r>
      <w:r>
        <w:rPr>
          <w:rFonts w:hint="eastAsia"/>
          <w:bCs/>
          <w:snapToGrid/>
        </w:rPr>
        <w:t>根据上述期间的视察结果，黑山供电企业发生过致命工伤事故，</w:t>
      </w:r>
      <w:r>
        <w:rPr>
          <w:bCs/>
          <w:snapToGrid/>
        </w:rPr>
        <w:t>1990</w:t>
      </w:r>
      <w:r>
        <w:rPr>
          <w:rFonts w:hint="eastAsia"/>
          <w:bCs/>
          <w:snapToGrid/>
        </w:rPr>
        <w:t>-</w:t>
      </w:r>
      <w:r>
        <w:rPr>
          <w:bCs/>
          <w:snapToGrid/>
        </w:rPr>
        <w:t>2002</w:t>
      </w:r>
      <w:r>
        <w:rPr>
          <w:bCs/>
          <w:snapToGrid/>
        </w:rPr>
        <w:t>年保留的记录</w:t>
      </w:r>
      <w:r>
        <w:rPr>
          <w:rFonts w:hint="eastAsia"/>
          <w:bCs/>
          <w:snapToGrid/>
        </w:rPr>
        <w:t>表明发生了</w:t>
      </w:r>
      <w:r>
        <w:rPr>
          <w:rFonts w:hint="eastAsia"/>
          <w:bCs/>
          <w:snapToGrid/>
        </w:rPr>
        <w:t>10</w:t>
      </w:r>
      <w:r>
        <w:rPr>
          <w:rFonts w:hint="eastAsia"/>
          <w:bCs/>
          <w:snapToGrid/>
        </w:rPr>
        <w:t>起因触电死亡的</w:t>
      </w:r>
      <w:r>
        <w:rPr>
          <w:bCs/>
          <w:snapToGrid/>
        </w:rPr>
        <w:t>工伤</w:t>
      </w:r>
      <w:r>
        <w:rPr>
          <w:rFonts w:hint="eastAsia"/>
          <w:bCs/>
          <w:snapToGrid/>
        </w:rPr>
        <w:t>事故</w:t>
      </w:r>
      <w:r>
        <w:rPr>
          <w:bCs/>
          <w:snapToGrid/>
        </w:rPr>
        <w:t>，另外在水</w:t>
      </w:r>
      <w:r>
        <w:rPr>
          <w:rFonts w:hint="eastAsia"/>
          <w:bCs/>
          <w:snapToGrid/>
        </w:rPr>
        <w:t>力</w:t>
      </w:r>
      <w:r>
        <w:rPr>
          <w:bCs/>
          <w:snapToGrid/>
        </w:rPr>
        <w:t>和火力发电</w:t>
      </w:r>
      <w:r>
        <w:rPr>
          <w:rFonts w:hint="eastAsia"/>
          <w:bCs/>
          <w:snapToGrid/>
        </w:rPr>
        <w:t>站发生了三起</w:t>
      </w:r>
      <w:r>
        <w:rPr>
          <w:bCs/>
          <w:snapToGrid/>
        </w:rPr>
        <w:t>机械工伤</w:t>
      </w:r>
      <w:r>
        <w:rPr>
          <w:rFonts w:hint="eastAsia"/>
          <w:bCs/>
          <w:snapToGrid/>
        </w:rPr>
        <w:t>事故</w:t>
      </w:r>
      <w:r>
        <w:rPr>
          <w:bCs/>
          <w:snapToGrid/>
        </w:rPr>
        <w:t>。</w:t>
      </w:r>
    </w:p>
    <w:p w:rsidR="00000000" w:rsidRDefault="00844A84">
      <w:pPr>
        <w:pStyle w:val="Heading4"/>
        <w:rPr>
          <w:rFonts w:hint="eastAsia"/>
        </w:rPr>
      </w:pPr>
      <w:r>
        <w:rPr>
          <w:rFonts w:hint="eastAsia"/>
        </w:rPr>
        <w:t>第</w:t>
      </w:r>
      <w:r>
        <w:rPr>
          <w:rFonts w:hint="eastAsia"/>
        </w:rPr>
        <w:t>1</w:t>
      </w:r>
      <w:r>
        <w:rPr>
          <w:rFonts w:hint="eastAsia"/>
        </w:rPr>
        <w:t>款</w:t>
      </w:r>
      <w:r>
        <w:t>(c</w:t>
      </w:r>
      <w:r>
        <w:rPr>
          <w:u w:val="none"/>
        </w:rPr>
        <w:t>)</w:t>
      </w:r>
    </w:p>
    <w:p w:rsidR="00000000" w:rsidRDefault="00844A84">
      <w:pPr>
        <w:ind w:firstLine="510"/>
        <w:rPr>
          <w:rFonts w:hint="eastAsia"/>
          <w:bCs/>
          <w:snapToGrid/>
        </w:rPr>
      </w:pPr>
      <w:r>
        <w:rPr>
          <w:rFonts w:hint="eastAsia"/>
          <w:bCs/>
          <w:snapToGrid/>
        </w:rPr>
        <w:t xml:space="preserve">553.  </w:t>
      </w:r>
      <w:r>
        <w:rPr>
          <w:rFonts w:hint="eastAsia"/>
          <w:bCs/>
          <w:snapToGrid/>
        </w:rPr>
        <w:t>应该记得，自由选择职业和就业是得到保障的权利，公民平等选择就业的权利也得到保障，而且禁止强迫劳动，因此人人有权决定是否工作或将在法律规定的条件下进行何种工作。因此，就业是自愿的权利，不能强制或强迫任何人就业。就业是双向法律关系，因为其中有两</w:t>
      </w:r>
      <w:r>
        <w:rPr>
          <w:rFonts w:hint="eastAsia"/>
          <w:bCs/>
          <w:snapToGrid/>
        </w:rPr>
        <w:t>个法律实体参与：一方面是员工，另一方面是雇主。在劳动市场观念方面，雇用的依据是员工和雇主间的合同，雇主以此雇用员工并利用其知识和才能获得盈利。员工则是为了取得报酬，将自己的知识或能力供雇主利用，但其合同规定的工作条件不能低于法律和集体协定的规定。</w:t>
      </w:r>
    </w:p>
    <w:p w:rsidR="00000000" w:rsidRDefault="00844A84">
      <w:pPr>
        <w:ind w:firstLine="510"/>
        <w:rPr>
          <w:rFonts w:hint="eastAsia"/>
          <w:bCs/>
          <w:snapToGrid/>
        </w:rPr>
      </w:pPr>
      <w:r>
        <w:rPr>
          <w:rFonts w:hint="eastAsia"/>
          <w:bCs/>
          <w:snapToGrid/>
        </w:rPr>
        <w:t xml:space="preserve">554.  </w:t>
      </w:r>
      <w:r>
        <w:rPr>
          <w:rFonts w:hint="eastAsia"/>
          <w:bCs/>
          <w:snapToGrid/>
        </w:rPr>
        <w:t>与就业相关的权利、义务和责任是指：签订雇用合同，分配的工作场所或职位应符合专业资格水平，以便从事适合的工作，提高专业技能，有限制的工时，节假日休假和其他休假，劳动安全，裁员时受到保护，薪金，其他报酬，纪律和财务责任，终止雇用条件以及保护员工权利。</w:t>
      </w:r>
    </w:p>
    <w:p w:rsidR="00000000" w:rsidRDefault="00844A84">
      <w:pPr>
        <w:ind w:firstLine="510"/>
        <w:rPr>
          <w:rFonts w:hint="eastAsia"/>
          <w:bCs/>
          <w:snapToGrid/>
        </w:rPr>
      </w:pPr>
      <w:r>
        <w:rPr>
          <w:rFonts w:hint="eastAsia"/>
          <w:bCs/>
          <w:snapToGrid/>
        </w:rPr>
        <w:t>55</w:t>
      </w:r>
      <w:r>
        <w:rPr>
          <w:rFonts w:hint="eastAsia"/>
          <w:bCs/>
          <w:snapToGrid/>
        </w:rPr>
        <w:t xml:space="preserve">5.  </w:t>
      </w:r>
      <w:r>
        <w:rPr>
          <w:rFonts w:hint="eastAsia"/>
          <w:bCs/>
          <w:snapToGrid/>
        </w:rPr>
        <w:t>与就业有关的权利、义务和责任是：保健、养恤金和伤残保险以及其他形式的社会保险。</w:t>
      </w:r>
    </w:p>
    <w:p w:rsidR="00000000" w:rsidRDefault="00844A84">
      <w:pPr>
        <w:ind w:firstLine="510"/>
        <w:rPr>
          <w:rFonts w:hint="eastAsia"/>
          <w:bCs/>
          <w:snapToGrid/>
        </w:rPr>
      </w:pPr>
      <w:r>
        <w:rPr>
          <w:rFonts w:hint="eastAsia"/>
          <w:bCs/>
          <w:snapToGrid/>
        </w:rPr>
        <w:t xml:space="preserve">556.  </w:t>
      </w:r>
      <w:r>
        <w:rPr>
          <w:rFonts w:hint="eastAsia"/>
          <w:bCs/>
          <w:snapToGrid/>
        </w:rPr>
        <w:t>上述各项意味着工作本身就规定了员工和雇主间雇用关系的性质，可通过雇用合同签订方之间签订的工作合同，使这种关系得到改善，并予以有限期或无限期的维持。</w:t>
      </w:r>
    </w:p>
    <w:p w:rsidR="00000000" w:rsidRDefault="00844A84">
      <w:pPr>
        <w:spacing w:after="320"/>
        <w:ind w:firstLine="510"/>
        <w:rPr>
          <w:rFonts w:hint="eastAsia"/>
          <w:bCs/>
          <w:snapToGrid/>
        </w:rPr>
      </w:pPr>
      <w:r>
        <w:rPr>
          <w:rFonts w:hint="eastAsia"/>
          <w:bCs/>
          <w:snapToGrid/>
        </w:rPr>
        <w:t xml:space="preserve">557.  </w:t>
      </w:r>
      <w:r>
        <w:rPr>
          <w:rFonts w:hint="eastAsia"/>
          <w:bCs/>
          <w:snapToGrid/>
        </w:rPr>
        <w:t>因此，除法律另有规定，没有工作就没有工资，也没有因就业产生的任何其他权利。</w:t>
      </w:r>
    </w:p>
    <w:p w:rsidR="00000000" w:rsidRDefault="00844A84">
      <w:pPr>
        <w:pStyle w:val="Heading4"/>
        <w:rPr>
          <w:rFonts w:hint="eastAsia"/>
        </w:rPr>
      </w:pPr>
      <w:r>
        <w:rPr>
          <w:rFonts w:hint="eastAsia"/>
        </w:rPr>
        <w:t>第</w:t>
      </w:r>
      <w:r>
        <w:rPr>
          <w:rFonts w:hint="eastAsia"/>
        </w:rPr>
        <w:t>1</w:t>
      </w:r>
      <w:r>
        <w:rPr>
          <w:rFonts w:hint="eastAsia"/>
        </w:rPr>
        <w:t>款</w:t>
      </w:r>
      <w:r>
        <w:t>(d</w:t>
      </w:r>
      <w:r>
        <w:rPr>
          <w:u w:val="none"/>
        </w:rPr>
        <w:t>)</w:t>
      </w:r>
    </w:p>
    <w:p w:rsidR="00000000" w:rsidRDefault="00844A84">
      <w:pPr>
        <w:ind w:firstLine="510"/>
        <w:rPr>
          <w:rFonts w:hint="eastAsia"/>
          <w:bCs/>
          <w:snapToGrid/>
        </w:rPr>
      </w:pPr>
      <w:r>
        <w:rPr>
          <w:rFonts w:hint="eastAsia"/>
          <w:bCs/>
          <w:snapToGrid/>
        </w:rPr>
        <w:t xml:space="preserve">558.  </w:t>
      </w:r>
      <w:r>
        <w:rPr>
          <w:rFonts w:hint="eastAsia"/>
          <w:bCs/>
          <w:snapToGrid/>
        </w:rPr>
        <w:t>《黑山共和国宪法》及《劳动法》规定，员工有权将工作时间限制为每周</w:t>
      </w:r>
      <w:r>
        <w:rPr>
          <w:bCs/>
          <w:snapToGrid/>
        </w:rPr>
        <w:t>4</w:t>
      </w:r>
      <w:r>
        <w:rPr>
          <w:rFonts w:hint="eastAsia"/>
          <w:bCs/>
          <w:snapToGrid/>
        </w:rPr>
        <w:t>0</w:t>
      </w:r>
      <w:r>
        <w:rPr>
          <w:bCs/>
          <w:snapToGrid/>
        </w:rPr>
        <w:t>小时。工作时间可以是全</w:t>
      </w:r>
      <w:r>
        <w:rPr>
          <w:rFonts w:hint="eastAsia"/>
          <w:bCs/>
          <w:snapToGrid/>
        </w:rPr>
        <w:t>时</w:t>
      </w:r>
      <w:r>
        <w:rPr>
          <w:bCs/>
          <w:snapToGrid/>
        </w:rPr>
        <w:t>、不全</w:t>
      </w:r>
      <w:r>
        <w:rPr>
          <w:rFonts w:hint="eastAsia"/>
          <w:bCs/>
          <w:snapToGrid/>
        </w:rPr>
        <w:t>时</w:t>
      </w:r>
      <w:r>
        <w:rPr>
          <w:bCs/>
          <w:snapToGrid/>
        </w:rPr>
        <w:t>、</w:t>
      </w:r>
      <w:r>
        <w:rPr>
          <w:rFonts w:hint="eastAsia"/>
          <w:bCs/>
          <w:snapToGrid/>
        </w:rPr>
        <w:t>少于</w:t>
      </w:r>
      <w:r>
        <w:rPr>
          <w:bCs/>
          <w:snapToGrid/>
        </w:rPr>
        <w:t>法律规定的全</w:t>
      </w:r>
      <w:r>
        <w:rPr>
          <w:rFonts w:hint="eastAsia"/>
          <w:bCs/>
          <w:snapToGrid/>
        </w:rPr>
        <w:t>时</w:t>
      </w:r>
      <w:r>
        <w:rPr>
          <w:bCs/>
          <w:snapToGrid/>
        </w:rPr>
        <w:t>工作时间</w:t>
      </w:r>
      <w:r>
        <w:rPr>
          <w:rFonts w:hint="eastAsia"/>
          <w:bCs/>
          <w:snapToGrid/>
        </w:rPr>
        <w:t>，</w:t>
      </w:r>
      <w:r>
        <w:rPr>
          <w:bCs/>
          <w:snapToGrid/>
        </w:rPr>
        <w:t>有些职业</w:t>
      </w:r>
      <w:r>
        <w:rPr>
          <w:rFonts w:hint="eastAsia"/>
          <w:bCs/>
          <w:snapToGrid/>
        </w:rPr>
        <w:t>还</w:t>
      </w:r>
      <w:r>
        <w:rPr>
          <w:bCs/>
          <w:snapToGrid/>
        </w:rPr>
        <w:t>可重新</w:t>
      </w:r>
      <w:r>
        <w:rPr>
          <w:rFonts w:hint="eastAsia"/>
          <w:bCs/>
          <w:snapToGrid/>
        </w:rPr>
        <w:t>安排</w:t>
      </w:r>
      <w:r>
        <w:rPr>
          <w:rFonts w:hint="eastAsia"/>
          <w:bCs/>
          <w:snapToGrid/>
        </w:rPr>
        <w:t>全年总</w:t>
      </w:r>
      <w:r>
        <w:rPr>
          <w:bCs/>
          <w:snapToGrid/>
        </w:rPr>
        <w:t>工作时间。</w:t>
      </w:r>
    </w:p>
    <w:p w:rsidR="00000000" w:rsidRDefault="00844A84">
      <w:pPr>
        <w:ind w:firstLine="510"/>
        <w:rPr>
          <w:rFonts w:hint="eastAsia"/>
          <w:bCs/>
          <w:snapToGrid/>
        </w:rPr>
      </w:pPr>
      <w:r>
        <w:rPr>
          <w:rFonts w:hint="eastAsia"/>
          <w:bCs/>
          <w:snapToGrid/>
        </w:rPr>
        <w:t xml:space="preserve">559.  </w:t>
      </w:r>
      <w:r>
        <w:rPr>
          <w:rFonts w:hint="eastAsia"/>
          <w:bCs/>
          <w:snapToGrid/>
        </w:rPr>
        <w:t>工间休息和休假的权利是法律保障的另一项权利。因此，员工有权每天工间休息</w:t>
      </w:r>
      <w:r>
        <w:rPr>
          <w:bCs/>
          <w:snapToGrid/>
        </w:rPr>
        <w:t>30</w:t>
      </w:r>
      <w:r>
        <w:rPr>
          <w:bCs/>
          <w:snapToGrid/>
        </w:rPr>
        <w:t>分钟，</w:t>
      </w:r>
      <w:r>
        <w:rPr>
          <w:rFonts w:hint="eastAsia"/>
          <w:bCs/>
          <w:snapToGrid/>
        </w:rPr>
        <w:t>但不可</w:t>
      </w:r>
      <w:r>
        <w:rPr>
          <w:bCs/>
          <w:snapToGrid/>
        </w:rPr>
        <w:t>在</w:t>
      </w:r>
      <w:r>
        <w:rPr>
          <w:rFonts w:hint="eastAsia"/>
          <w:bCs/>
          <w:snapToGrid/>
        </w:rPr>
        <w:t>工作一开始或结束时</w:t>
      </w:r>
      <w:r>
        <w:rPr>
          <w:bCs/>
          <w:snapToGrid/>
        </w:rPr>
        <w:t>休息，有权每天</w:t>
      </w:r>
      <w:r>
        <w:rPr>
          <w:rFonts w:hint="eastAsia"/>
          <w:bCs/>
          <w:snapToGrid/>
        </w:rPr>
        <w:t>在两个工作日之间至少连续</w:t>
      </w:r>
      <w:r>
        <w:rPr>
          <w:bCs/>
          <w:snapToGrid/>
        </w:rPr>
        <w:t>休息</w:t>
      </w:r>
      <w:r>
        <w:rPr>
          <w:rFonts w:hint="eastAsia"/>
          <w:bCs/>
          <w:snapToGrid/>
        </w:rPr>
        <w:t>12</w:t>
      </w:r>
      <w:r>
        <w:rPr>
          <w:rFonts w:hint="eastAsia"/>
          <w:bCs/>
          <w:snapToGrid/>
        </w:rPr>
        <w:t>小时，有权每周至少连续休息</w:t>
      </w:r>
      <w:r>
        <w:rPr>
          <w:bCs/>
          <w:snapToGrid/>
        </w:rPr>
        <w:t>24</w:t>
      </w:r>
      <w:r>
        <w:rPr>
          <w:bCs/>
          <w:snapToGrid/>
        </w:rPr>
        <w:t>小时</w:t>
      </w:r>
      <w:r>
        <w:rPr>
          <w:rFonts w:hint="eastAsia"/>
          <w:bCs/>
          <w:snapToGrid/>
        </w:rPr>
        <w:t>，</w:t>
      </w:r>
      <w:r>
        <w:rPr>
          <w:bCs/>
          <w:snapToGrid/>
        </w:rPr>
        <w:t>并</w:t>
      </w:r>
      <w:r>
        <w:rPr>
          <w:rFonts w:hint="eastAsia"/>
          <w:bCs/>
          <w:snapToGrid/>
        </w:rPr>
        <w:t>有权在节假日</w:t>
      </w:r>
      <w:r>
        <w:rPr>
          <w:bCs/>
          <w:snapToGrid/>
        </w:rPr>
        <w:t>休假。</w:t>
      </w:r>
    </w:p>
    <w:p w:rsidR="00000000" w:rsidRDefault="00844A84">
      <w:pPr>
        <w:spacing w:after="320"/>
        <w:ind w:firstLine="510"/>
        <w:rPr>
          <w:bCs/>
          <w:snapToGrid/>
        </w:rPr>
      </w:pPr>
      <w:r>
        <w:rPr>
          <w:rFonts w:hint="eastAsia"/>
          <w:bCs/>
          <w:snapToGrid/>
        </w:rPr>
        <w:t xml:space="preserve">560.  </w:t>
      </w:r>
      <w:r>
        <w:rPr>
          <w:rFonts w:hint="eastAsia"/>
          <w:bCs/>
          <w:snapToGrid/>
        </w:rPr>
        <w:t>规定各种休息方式的目的，是使员工不致放弃这种休息，雇主也不能剥夺这种休息的权利。</w:t>
      </w:r>
    </w:p>
    <w:p w:rsidR="00000000" w:rsidRDefault="00844A84">
      <w:pPr>
        <w:pStyle w:val="Heading3"/>
        <w:rPr>
          <w:rFonts w:hint="eastAsia"/>
        </w:rPr>
      </w:pPr>
      <w:r>
        <w:rPr>
          <w:rFonts w:hint="eastAsia"/>
        </w:rPr>
        <w:t>第</w:t>
      </w:r>
      <w:r>
        <w:rPr>
          <w:rFonts w:hint="eastAsia"/>
        </w:rPr>
        <w:t xml:space="preserve"> </w:t>
      </w:r>
      <w:r>
        <w:rPr>
          <w:rFonts w:hint="eastAsia"/>
        </w:rPr>
        <w:t>八</w:t>
      </w:r>
      <w:r>
        <w:rPr>
          <w:rFonts w:hint="eastAsia"/>
        </w:rPr>
        <w:t xml:space="preserve"> </w:t>
      </w:r>
      <w:r>
        <w:rPr>
          <w:rFonts w:hint="eastAsia"/>
        </w:rPr>
        <w:t>条</w:t>
      </w:r>
    </w:p>
    <w:p w:rsidR="00000000" w:rsidRDefault="00844A84">
      <w:pPr>
        <w:ind w:firstLine="510"/>
        <w:rPr>
          <w:rFonts w:hint="eastAsia"/>
          <w:bCs/>
          <w:snapToGrid/>
        </w:rPr>
      </w:pPr>
      <w:r>
        <w:rPr>
          <w:rFonts w:hint="eastAsia"/>
          <w:bCs/>
          <w:snapToGrid/>
        </w:rPr>
        <w:t xml:space="preserve">561.  </w:t>
      </w:r>
      <w:r>
        <w:rPr>
          <w:rFonts w:hint="eastAsia"/>
          <w:bCs/>
          <w:snapToGrid/>
        </w:rPr>
        <w:t>公民享有参加政治、工会和其他形式结社和活动的自由。</w:t>
      </w:r>
    </w:p>
    <w:p w:rsidR="00000000" w:rsidRDefault="00844A84">
      <w:pPr>
        <w:ind w:firstLine="510"/>
        <w:rPr>
          <w:rFonts w:hint="eastAsia"/>
          <w:bCs/>
          <w:snapToGrid/>
        </w:rPr>
      </w:pPr>
      <w:r>
        <w:rPr>
          <w:rFonts w:hint="eastAsia"/>
          <w:bCs/>
          <w:snapToGrid/>
        </w:rPr>
        <w:t xml:space="preserve">562.  </w:t>
      </w:r>
      <w:r>
        <w:rPr>
          <w:rFonts w:hint="eastAsia"/>
          <w:bCs/>
          <w:snapToGrid/>
        </w:rPr>
        <w:t>组织工会的依据是《黑山共和国宪法》第</w:t>
      </w:r>
      <w:r>
        <w:rPr>
          <w:bCs/>
          <w:snapToGrid/>
        </w:rPr>
        <w:t>40</w:t>
      </w:r>
      <w:r>
        <w:rPr>
          <w:bCs/>
          <w:snapToGrid/>
        </w:rPr>
        <w:t>条</w:t>
      </w:r>
      <w:r>
        <w:rPr>
          <w:rFonts w:hint="eastAsia"/>
          <w:bCs/>
          <w:snapToGrid/>
        </w:rPr>
        <w:t>赋予</w:t>
      </w:r>
      <w:r>
        <w:rPr>
          <w:bCs/>
          <w:snapToGrid/>
        </w:rPr>
        <w:t>的结社自由，建立工会的目的是保护工会会员利益</w:t>
      </w:r>
      <w:r>
        <w:rPr>
          <w:bCs/>
          <w:snapToGrid/>
        </w:rPr>
        <w:t>，并增进会员的专业和经济利益。工会会员是员工，因此工会</w:t>
      </w:r>
      <w:r>
        <w:rPr>
          <w:rFonts w:hint="eastAsia"/>
          <w:bCs/>
          <w:snapToGrid/>
        </w:rPr>
        <w:t>是</w:t>
      </w:r>
      <w:r>
        <w:rPr>
          <w:bCs/>
          <w:snapToGrid/>
        </w:rPr>
        <w:t>他们在团结的基础上自愿</w:t>
      </w:r>
      <w:r>
        <w:rPr>
          <w:rFonts w:hint="eastAsia"/>
          <w:bCs/>
          <w:snapToGrid/>
        </w:rPr>
        <w:t>建立</w:t>
      </w:r>
      <w:r>
        <w:rPr>
          <w:bCs/>
          <w:snapToGrid/>
        </w:rPr>
        <w:t>的组织。工会的组织原则是多元化，因此可以有好几个平行的工会。工会是独立的组织。工会是法律实体，有</w:t>
      </w:r>
      <w:r>
        <w:rPr>
          <w:rFonts w:hint="eastAsia"/>
          <w:bCs/>
          <w:snapToGrid/>
        </w:rPr>
        <w:t>本身</w:t>
      </w:r>
      <w:r>
        <w:rPr>
          <w:bCs/>
          <w:snapToGrid/>
        </w:rPr>
        <w:t>的章程、机构和财产。员工</w:t>
      </w:r>
      <w:r>
        <w:rPr>
          <w:rFonts w:hint="eastAsia"/>
          <w:bCs/>
          <w:snapToGrid/>
        </w:rPr>
        <w:t>的协会</w:t>
      </w:r>
      <w:r>
        <w:rPr>
          <w:bCs/>
          <w:snapToGrid/>
        </w:rPr>
        <w:t>不</w:t>
      </w:r>
      <w:r>
        <w:rPr>
          <w:rFonts w:hint="eastAsia"/>
          <w:bCs/>
          <w:snapToGrid/>
        </w:rPr>
        <w:t>须</w:t>
      </w:r>
      <w:r>
        <w:rPr>
          <w:bCs/>
          <w:snapToGrid/>
        </w:rPr>
        <w:t>经过任何批准，但必须向主管当局登记</w:t>
      </w:r>
      <w:r>
        <w:rPr>
          <w:rFonts w:hint="eastAsia"/>
          <w:bCs/>
          <w:snapToGrid/>
        </w:rPr>
        <w:t>成为</w:t>
      </w:r>
      <w:r>
        <w:rPr>
          <w:bCs/>
          <w:snapToGrid/>
        </w:rPr>
        <w:t>这种组织。劳工立法根据劳工组织有关公约</w:t>
      </w:r>
      <w:r>
        <w:rPr>
          <w:bCs/>
          <w:snapToGrid/>
        </w:rPr>
        <w:t>(</w:t>
      </w:r>
      <w:r>
        <w:rPr>
          <w:bCs/>
          <w:snapToGrid/>
        </w:rPr>
        <w:t>第</w:t>
      </w:r>
      <w:r>
        <w:rPr>
          <w:bCs/>
          <w:snapToGrid/>
        </w:rPr>
        <w:t>87</w:t>
      </w:r>
      <w:r>
        <w:rPr>
          <w:bCs/>
          <w:snapToGrid/>
        </w:rPr>
        <w:t>号公约</w:t>
      </w:r>
      <w:r>
        <w:rPr>
          <w:bCs/>
          <w:snapToGrid/>
        </w:rPr>
        <w:t>(1948</w:t>
      </w:r>
      <w:r>
        <w:rPr>
          <w:bCs/>
          <w:snapToGrid/>
        </w:rPr>
        <w:t>年</w:t>
      </w:r>
      <w:r>
        <w:rPr>
          <w:bCs/>
          <w:snapToGrid/>
        </w:rPr>
        <w:t>)</w:t>
      </w:r>
      <w:r>
        <w:rPr>
          <w:bCs/>
          <w:snapToGrid/>
        </w:rPr>
        <w:t>《结社自由和保护组织权利公约》和第</w:t>
      </w:r>
      <w:r>
        <w:rPr>
          <w:bCs/>
          <w:snapToGrid/>
        </w:rPr>
        <w:t>98</w:t>
      </w:r>
      <w:r>
        <w:rPr>
          <w:bCs/>
          <w:snapToGrid/>
        </w:rPr>
        <w:t>号公约</w:t>
      </w:r>
      <w:r>
        <w:rPr>
          <w:bCs/>
          <w:snapToGrid/>
        </w:rPr>
        <w:t>(1949</w:t>
      </w:r>
      <w:r>
        <w:rPr>
          <w:bCs/>
          <w:snapToGrid/>
        </w:rPr>
        <w:t>年</w:t>
      </w:r>
      <w:r>
        <w:rPr>
          <w:bCs/>
          <w:snapToGrid/>
        </w:rPr>
        <w:t>)</w:t>
      </w:r>
      <w:r>
        <w:rPr>
          <w:bCs/>
          <w:snapToGrid/>
        </w:rPr>
        <w:t>《组织权利和集体谈判权利公约》，规定了工会自由和保护工会的权利、</w:t>
      </w:r>
      <w:r>
        <w:rPr>
          <w:rFonts w:hint="eastAsia"/>
          <w:bCs/>
          <w:snapToGrid/>
        </w:rPr>
        <w:t>它</w:t>
      </w:r>
      <w:r>
        <w:rPr>
          <w:bCs/>
          <w:snapToGrid/>
        </w:rPr>
        <w:t>们的协会和集体谈判的权利。</w:t>
      </w:r>
    </w:p>
    <w:p w:rsidR="00000000" w:rsidRDefault="00844A84">
      <w:pPr>
        <w:ind w:firstLine="510"/>
        <w:rPr>
          <w:rFonts w:hint="eastAsia"/>
          <w:bCs/>
          <w:snapToGrid/>
        </w:rPr>
      </w:pPr>
      <w:r>
        <w:rPr>
          <w:rFonts w:hint="eastAsia"/>
          <w:bCs/>
          <w:snapToGrid/>
        </w:rPr>
        <w:t xml:space="preserve">563.  </w:t>
      </w:r>
      <w:r>
        <w:rPr>
          <w:rFonts w:hint="eastAsia"/>
          <w:bCs/>
          <w:snapToGrid/>
        </w:rPr>
        <w:t>雇主有义务让工会代表参加确定</w:t>
      </w:r>
      <w:r>
        <w:rPr>
          <w:rFonts w:hint="eastAsia"/>
          <w:bCs/>
          <w:snapToGrid/>
        </w:rPr>
        <w:t>员工权利、义务和责任的程序，因为这是法律和集体协定规定的程序。</w:t>
      </w:r>
    </w:p>
    <w:p w:rsidR="00000000" w:rsidRDefault="00844A84">
      <w:pPr>
        <w:ind w:firstLine="510"/>
        <w:rPr>
          <w:rFonts w:hint="eastAsia"/>
          <w:bCs/>
          <w:snapToGrid/>
        </w:rPr>
      </w:pPr>
      <w:r>
        <w:rPr>
          <w:rFonts w:hint="eastAsia"/>
          <w:bCs/>
          <w:snapToGrid/>
        </w:rPr>
        <w:t xml:space="preserve">564.  </w:t>
      </w:r>
      <w:r>
        <w:rPr>
          <w:rFonts w:hint="eastAsia"/>
          <w:bCs/>
          <w:snapToGrid/>
        </w:rPr>
        <w:t>工会代表依法参与以下活动：实施被裁减员工应享有的权利，作出裁员决定，纪律惩处程序，签订、修订或取消集体协定的程序。</w:t>
      </w:r>
    </w:p>
    <w:p w:rsidR="00000000" w:rsidRDefault="00844A84">
      <w:pPr>
        <w:spacing w:after="320"/>
        <w:ind w:firstLine="510"/>
        <w:rPr>
          <w:rFonts w:hint="eastAsia"/>
          <w:bCs/>
          <w:snapToGrid/>
        </w:rPr>
      </w:pPr>
      <w:r>
        <w:rPr>
          <w:rFonts w:hint="eastAsia"/>
          <w:bCs/>
          <w:snapToGrid/>
        </w:rPr>
        <w:t xml:space="preserve">565.  </w:t>
      </w:r>
      <w:r>
        <w:rPr>
          <w:rFonts w:hint="eastAsia"/>
          <w:bCs/>
          <w:snapToGrid/>
        </w:rPr>
        <w:t>如果工会代表</w:t>
      </w:r>
      <w:r>
        <w:rPr>
          <w:rFonts w:hint="eastAsia"/>
          <w:bCs/>
          <w:snapToGrid/>
        </w:rPr>
        <w:t>(</w:t>
      </w:r>
      <w:r>
        <w:rPr>
          <w:rFonts w:hint="eastAsia"/>
          <w:bCs/>
          <w:snapToGrid/>
        </w:rPr>
        <w:t>受托人</w:t>
      </w:r>
      <w:r>
        <w:rPr>
          <w:rFonts w:hint="eastAsia"/>
          <w:bCs/>
          <w:snapToGrid/>
        </w:rPr>
        <w:t>)</w:t>
      </w:r>
      <w:r>
        <w:rPr>
          <w:rFonts w:hint="eastAsia"/>
          <w:bCs/>
          <w:snapToGrid/>
        </w:rPr>
        <w:t>按照法律和集体协定从事工会活动，则不得追究其责任或使之处于不利的处境。国际劳工组织通过第</w:t>
      </w:r>
      <w:r>
        <w:rPr>
          <w:bCs/>
          <w:snapToGrid/>
        </w:rPr>
        <w:t>135</w:t>
      </w:r>
      <w:r>
        <w:rPr>
          <w:bCs/>
          <w:snapToGrid/>
        </w:rPr>
        <w:t>号</w:t>
      </w:r>
      <w:r>
        <w:rPr>
          <w:bCs/>
          <w:snapToGrid/>
        </w:rPr>
        <w:t>(1971</w:t>
      </w:r>
      <w:r>
        <w:rPr>
          <w:bCs/>
          <w:snapToGrid/>
        </w:rPr>
        <w:t>年</w:t>
      </w:r>
      <w:r>
        <w:rPr>
          <w:bCs/>
          <w:snapToGrid/>
        </w:rPr>
        <w:t>)</w:t>
      </w:r>
      <w:r>
        <w:rPr>
          <w:bCs/>
          <w:snapToGrid/>
        </w:rPr>
        <w:t>公约《工人代表公约》规定</w:t>
      </w:r>
      <w:r>
        <w:rPr>
          <w:rFonts w:hint="eastAsia"/>
          <w:bCs/>
          <w:snapToGrid/>
        </w:rPr>
        <w:t>，应</w:t>
      </w:r>
      <w:r>
        <w:rPr>
          <w:bCs/>
          <w:snapToGrid/>
        </w:rPr>
        <w:t>以对待员工代表同样的方式</w:t>
      </w:r>
      <w:r>
        <w:rPr>
          <w:rFonts w:hint="eastAsia"/>
          <w:bCs/>
          <w:snapToGrid/>
        </w:rPr>
        <w:t>，</w:t>
      </w:r>
      <w:r>
        <w:rPr>
          <w:bCs/>
          <w:snapToGrid/>
        </w:rPr>
        <w:t>保护工会代表以及工人代表</w:t>
      </w:r>
      <w:r>
        <w:rPr>
          <w:rFonts w:hint="eastAsia"/>
          <w:bCs/>
          <w:snapToGrid/>
        </w:rPr>
        <w:t>应</w:t>
      </w:r>
      <w:r>
        <w:rPr>
          <w:bCs/>
          <w:snapToGrid/>
        </w:rPr>
        <w:t>享有的福利，因为两者都代表受本国立法原则尊重的员工个人和集体利益。因此，工会代表只是在</w:t>
      </w:r>
      <w:r>
        <w:rPr>
          <w:rFonts w:hint="eastAsia"/>
          <w:bCs/>
          <w:snapToGrid/>
        </w:rPr>
        <w:t>与</w:t>
      </w:r>
      <w:r>
        <w:rPr>
          <w:bCs/>
          <w:snapToGrid/>
        </w:rPr>
        <w:t>工会有关</w:t>
      </w:r>
      <w:r>
        <w:rPr>
          <w:bCs/>
          <w:snapToGrid/>
        </w:rPr>
        <w:t>的活动范围内受到保护。</w:t>
      </w:r>
    </w:p>
    <w:p w:rsidR="00000000" w:rsidRDefault="00844A84">
      <w:pPr>
        <w:pStyle w:val="Heading4"/>
        <w:rPr>
          <w:rFonts w:hint="eastAsia"/>
        </w:rPr>
      </w:pPr>
      <w:r>
        <w:rPr>
          <w:rFonts w:hint="eastAsia"/>
        </w:rPr>
        <w:t>第</w:t>
      </w:r>
      <w:r>
        <w:rPr>
          <w:rFonts w:hint="eastAsia"/>
        </w:rPr>
        <w:t xml:space="preserve"> 2 </w:t>
      </w:r>
      <w:r>
        <w:rPr>
          <w:rFonts w:hint="eastAsia"/>
        </w:rPr>
        <w:t>款</w:t>
      </w:r>
    </w:p>
    <w:p w:rsidR="00000000" w:rsidRDefault="00844A84">
      <w:pPr>
        <w:ind w:firstLine="510"/>
        <w:rPr>
          <w:rFonts w:hint="eastAsia"/>
          <w:bCs/>
          <w:snapToGrid/>
        </w:rPr>
      </w:pPr>
      <w:r>
        <w:rPr>
          <w:rFonts w:hint="eastAsia"/>
          <w:bCs/>
          <w:snapToGrid/>
        </w:rPr>
        <w:t xml:space="preserve">566.  </w:t>
      </w:r>
      <w:r>
        <w:rPr>
          <w:rFonts w:hint="eastAsia"/>
          <w:bCs/>
          <w:snapToGrid/>
        </w:rPr>
        <w:t>由于我国已在宪法中作出承诺，并已批准《经济、社会、文化权利国际公约》、劳工组织第</w:t>
      </w:r>
      <w:r>
        <w:rPr>
          <w:bCs/>
          <w:snapToGrid/>
        </w:rPr>
        <w:t>87</w:t>
      </w:r>
      <w:r>
        <w:rPr>
          <w:bCs/>
          <w:snapToGrid/>
        </w:rPr>
        <w:t>号公约</w:t>
      </w:r>
      <w:r>
        <w:rPr>
          <w:bCs/>
          <w:snapToGrid/>
        </w:rPr>
        <w:t>(1948</w:t>
      </w:r>
      <w:r>
        <w:rPr>
          <w:bCs/>
          <w:snapToGrid/>
        </w:rPr>
        <w:t>年</w:t>
      </w:r>
      <w:r>
        <w:rPr>
          <w:bCs/>
          <w:snapToGrid/>
        </w:rPr>
        <w:t>)</w:t>
      </w:r>
      <w:r>
        <w:rPr>
          <w:bCs/>
          <w:snapToGrid/>
        </w:rPr>
        <w:t>《结社自由和保护组织权利公约》</w:t>
      </w:r>
      <w:r>
        <w:rPr>
          <w:rFonts w:hint="eastAsia"/>
          <w:bCs/>
          <w:snapToGrid/>
        </w:rPr>
        <w:t>，从而遵守了国际标准并承担了国际义务，所以</w:t>
      </w:r>
      <w:r>
        <w:rPr>
          <w:bCs/>
          <w:snapToGrid/>
        </w:rPr>
        <w:t>员工有权罢工，保护</w:t>
      </w:r>
      <w:r>
        <w:rPr>
          <w:rFonts w:hint="eastAsia"/>
          <w:bCs/>
          <w:snapToGrid/>
        </w:rPr>
        <w:t>其</w:t>
      </w:r>
      <w:r>
        <w:rPr>
          <w:bCs/>
          <w:snapToGrid/>
        </w:rPr>
        <w:t>职业和经济利益。</w:t>
      </w:r>
    </w:p>
    <w:p w:rsidR="00000000" w:rsidRDefault="00844A84">
      <w:pPr>
        <w:ind w:firstLine="510"/>
        <w:rPr>
          <w:rFonts w:hint="eastAsia"/>
          <w:bCs/>
          <w:snapToGrid/>
        </w:rPr>
      </w:pPr>
      <w:r>
        <w:rPr>
          <w:rFonts w:hint="eastAsia"/>
          <w:bCs/>
          <w:snapToGrid/>
        </w:rPr>
        <w:t xml:space="preserve">567.  </w:t>
      </w:r>
      <w:r>
        <w:rPr>
          <w:rFonts w:hint="eastAsia"/>
          <w:bCs/>
          <w:snapToGrid/>
        </w:rPr>
        <w:t>作为员工利益组织工会可就罢工问题作出决定，因为工会的存在和活动的主要目的是保护员工的权利和利益。</w:t>
      </w:r>
    </w:p>
    <w:p w:rsidR="00000000" w:rsidRDefault="00844A84">
      <w:pPr>
        <w:ind w:firstLine="510"/>
        <w:rPr>
          <w:rFonts w:hint="eastAsia"/>
          <w:bCs/>
          <w:snapToGrid/>
        </w:rPr>
      </w:pPr>
      <w:r>
        <w:rPr>
          <w:rFonts w:hint="eastAsia"/>
          <w:bCs/>
          <w:snapToGrid/>
        </w:rPr>
        <w:t xml:space="preserve">568.  </w:t>
      </w:r>
      <w:r>
        <w:rPr>
          <w:rFonts w:hint="eastAsia"/>
          <w:bCs/>
          <w:snapToGrid/>
        </w:rPr>
        <w:t>国家立法迄今已通过联盟《罢工法》处理了这一事项。《罢工法》对罢工的定义是员工有组织停止工作的形式，其目的是获得与工作有关的职业和</w:t>
      </w:r>
      <w:r>
        <w:rPr>
          <w:rFonts w:hint="eastAsia"/>
          <w:bCs/>
          <w:snapToGrid/>
        </w:rPr>
        <w:t>经济利益。这种法律定义明确了罢工与其他形式有组织抗议之间的区别，前者是员工可采用的一种手段，用以表示或保护他们与工作有关的职业或经济利益，后者的重点则是要求获得他们在政治制度领域的利益，而这也是本国《宪法》赋予的公民权利。</w:t>
      </w:r>
    </w:p>
    <w:p w:rsidR="00000000" w:rsidRDefault="00844A84">
      <w:pPr>
        <w:ind w:firstLine="510"/>
        <w:rPr>
          <w:rFonts w:hint="eastAsia"/>
          <w:bCs/>
          <w:snapToGrid/>
        </w:rPr>
      </w:pPr>
      <w:r>
        <w:rPr>
          <w:rFonts w:hint="eastAsia"/>
          <w:bCs/>
          <w:snapToGrid/>
        </w:rPr>
        <w:t xml:space="preserve">569.  </w:t>
      </w:r>
      <w:r>
        <w:rPr>
          <w:rFonts w:hint="eastAsia"/>
          <w:bCs/>
          <w:snapToGrid/>
        </w:rPr>
        <w:t>行使罢工权的条件包括通过罢工决定，设立罢工总部，宣布罢工，规定罢工集合地点，决定罢工的方式是否是员工举行集会、或希望在罢工期间进行谈判，达成协议以保护人员和财产。除法律另有规定，这些通用条件适用于所有的罢工。</w:t>
      </w:r>
    </w:p>
    <w:p w:rsidR="00000000" w:rsidRDefault="00844A84">
      <w:pPr>
        <w:ind w:firstLine="510"/>
        <w:rPr>
          <w:rFonts w:hint="eastAsia"/>
          <w:bCs/>
          <w:snapToGrid/>
        </w:rPr>
      </w:pPr>
      <w:r>
        <w:rPr>
          <w:rFonts w:hint="eastAsia"/>
          <w:bCs/>
          <w:snapToGrid/>
        </w:rPr>
        <w:t xml:space="preserve">570.  </w:t>
      </w:r>
      <w:r>
        <w:rPr>
          <w:rFonts w:hint="eastAsia"/>
          <w:bCs/>
          <w:snapToGrid/>
        </w:rPr>
        <w:t>考虑到员工的职业类别和公共利益，员工在罢工时必须维持最</w:t>
      </w:r>
      <w:r>
        <w:rPr>
          <w:rFonts w:hint="eastAsia"/>
          <w:bCs/>
          <w:snapToGrid/>
        </w:rPr>
        <w:t>低限度的工作、保障人员和财产安全、并履行本国的国际义务。</w:t>
      </w:r>
    </w:p>
    <w:p w:rsidR="00000000" w:rsidRDefault="00844A84">
      <w:pPr>
        <w:ind w:firstLine="510"/>
        <w:rPr>
          <w:rFonts w:hint="eastAsia"/>
          <w:bCs/>
          <w:snapToGrid/>
        </w:rPr>
      </w:pPr>
      <w:r>
        <w:rPr>
          <w:rFonts w:hint="eastAsia"/>
          <w:bCs/>
          <w:snapToGrid/>
        </w:rPr>
        <w:t xml:space="preserve">571.  </w:t>
      </w:r>
      <w:r>
        <w:rPr>
          <w:rFonts w:hint="eastAsia"/>
          <w:bCs/>
          <w:snapToGrid/>
        </w:rPr>
        <w:t>法律已明确了依法组织并进行的罢工对员工、罢工组织者和参与者在法律上的影响。不得因参与罢工而对这些员工采取纪律行动或使之承担经济责任，也不得因相同的理由解雇员工。参加罢工的员工可行使有关就业的基本权利，但有关薪金的权利例外，因为另有立法规定他们领取养恤金和享有残疾保险的权利。</w:t>
      </w:r>
    </w:p>
    <w:p w:rsidR="00000000" w:rsidRDefault="00844A84">
      <w:pPr>
        <w:ind w:firstLine="510"/>
        <w:rPr>
          <w:rFonts w:hint="eastAsia"/>
          <w:bCs/>
          <w:snapToGrid/>
        </w:rPr>
      </w:pPr>
      <w:r>
        <w:rPr>
          <w:rFonts w:hint="eastAsia"/>
          <w:bCs/>
          <w:snapToGrid/>
        </w:rPr>
        <w:t xml:space="preserve">572.  </w:t>
      </w:r>
      <w:r>
        <w:rPr>
          <w:rFonts w:hint="eastAsia"/>
          <w:bCs/>
          <w:snapToGrid/>
        </w:rPr>
        <w:t>依法组织罢工，在对罢工工人的要求未作出决定前，以及在与罢工者达成协议或作出决定前，雇主不得雇用其他人员替代罢工员工。</w:t>
      </w:r>
    </w:p>
    <w:p w:rsidR="00000000" w:rsidRDefault="00844A84">
      <w:pPr>
        <w:ind w:firstLine="510"/>
        <w:rPr>
          <w:rFonts w:hint="eastAsia"/>
          <w:bCs/>
          <w:snapToGrid/>
        </w:rPr>
      </w:pPr>
      <w:r>
        <w:rPr>
          <w:rFonts w:hint="eastAsia"/>
          <w:bCs/>
          <w:snapToGrid/>
        </w:rPr>
        <w:t xml:space="preserve">573.  </w:t>
      </w:r>
      <w:r>
        <w:rPr>
          <w:rFonts w:hint="eastAsia"/>
          <w:bCs/>
          <w:snapToGrid/>
        </w:rPr>
        <w:t>国家主管当局可进行调解，</w:t>
      </w:r>
      <w:r>
        <w:rPr>
          <w:rFonts w:hint="eastAsia"/>
          <w:bCs/>
          <w:snapToGrid/>
        </w:rPr>
        <w:t>保护国家重大利益，防止罢工产生的后果可能直接危及生命和健康及财产安全或造成直接的或不可挽回的损失。</w:t>
      </w:r>
    </w:p>
    <w:p w:rsidR="00000000" w:rsidRDefault="00844A84">
      <w:pPr>
        <w:spacing w:after="320"/>
        <w:ind w:firstLine="510"/>
        <w:rPr>
          <w:rFonts w:hint="eastAsia"/>
          <w:bCs/>
          <w:snapToGrid/>
        </w:rPr>
      </w:pPr>
      <w:r>
        <w:rPr>
          <w:rFonts w:hint="eastAsia"/>
          <w:bCs/>
          <w:snapToGrid/>
        </w:rPr>
        <w:t xml:space="preserve">574.  </w:t>
      </w:r>
      <w:r>
        <w:rPr>
          <w:rFonts w:hint="eastAsia"/>
          <w:bCs/>
          <w:snapToGrid/>
        </w:rPr>
        <w:t>因此，《宪法》和法律禁止政府机构员工、职业士兵和警察享有罢工权利。如果这些人组织或参加罢工，对他们作出的处罚可能是予以解雇。</w:t>
      </w:r>
    </w:p>
    <w:p w:rsidR="00000000" w:rsidRDefault="00844A84">
      <w:pPr>
        <w:pStyle w:val="Heading4"/>
        <w:rPr>
          <w:rFonts w:hint="eastAsia"/>
        </w:rPr>
      </w:pPr>
      <w:r>
        <w:rPr>
          <w:rFonts w:hint="eastAsia"/>
        </w:rPr>
        <w:t>第</w:t>
      </w:r>
      <w:r>
        <w:rPr>
          <w:rFonts w:hint="eastAsia"/>
        </w:rPr>
        <w:t xml:space="preserve"> 3 </w:t>
      </w:r>
      <w:r>
        <w:rPr>
          <w:rFonts w:hint="eastAsia"/>
        </w:rPr>
        <w:t>款</w:t>
      </w:r>
    </w:p>
    <w:p w:rsidR="00000000" w:rsidRDefault="00844A84">
      <w:pPr>
        <w:spacing w:after="320"/>
        <w:ind w:firstLine="510"/>
        <w:rPr>
          <w:rFonts w:hint="eastAsia"/>
          <w:bCs/>
          <w:snapToGrid/>
        </w:rPr>
      </w:pPr>
      <w:r>
        <w:rPr>
          <w:rFonts w:hint="eastAsia"/>
          <w:bCs/>
          <w:snapToGrid/>
        </w:rPr>
        <w:t xml:space="preserve">575.  </w:t>
      </w:r>
      <w:r>
        <w:rPr>
          <w:rFonts w:hint="eastAsia"/>
          <w:bCs/>
          <w:snapToGrid/>
        </w:rPr>
        <w:t>南斯拉夫联盟共和国已批准了</w:t>
      </w:r>
      <w:r>
        <w:rPr>
          <w:bCs/>
          <w:snapToGrid/>
        </w:rPr>
        <w:t>66</w:t>
      </w:r>
      <w:r>
        <w:rPr>
          <w:bCs/>
          <w:snapToGrid/>
        </w:rPr>
        <w:t>项劳工组织公约，其中</w:t>
      </w:r>
      <w:r>
        <w:rPr>
          <w:bCs/>
          <w:snapToGrid/>
        </w:rPr>
        <w:t>65</w:t>
      </w:r>
      <w:r>
        <w:rPr>
          <w:bCs/>
          <w:snapToGrid/>
        </w:rPr>
        <w:t>项业已生效。</w:t>
      </w:r>
      <w:r>
        <w:rPr>
          <w:rFonts w:hint="eastAsia"/>
          <w:bCs/>
          <w:snapToGrid/>
        </w:rPr>
        <w:t>它</w:t>
      </w:r>
      <w:r>
        <w:rPr>
          <w:bCs/>
          <w:snapToGrid/>
        </w:rPr>
        <w:t>们已成为塞尔维亚和黑山共同国家必须遵守的公约。黑山共和国有义务遵守这些公约规定的义务。</w:t>
      </w:r>
    </w:p>
    <w:p w:rsidR="00000000" w:rsidRDefault="00844A84">
      <w:pPr>
        <w:pStyle w:val="Heading3"/>
        <w:rPr>
          <w:rFonts w:hint="eastAsia"/>
        </w:rPr>
      </w:pPr>
      <w:r>
        <w:rPr>
          <w:rFonts w:hint="eastAsia"/>
        </w:rPr>
        <w:t>第</w:t>
      </w:r>
      <w:r>
        <w:rPr>
          <w:rFonts w:hint="eastAsia"/>
        </w:rPr>
        <w:t xml:space="preserve"> </w:t>
      </w:r>
      <w:r>
        <w:rPr>
          <w:rFonts w:hint="eastAsia"/>
        </w:rPr>
        <w:t>九</w:t>
      </w:r>
      <w:r>
        <w:rPr>
          <w:rFonts w:hint="eastAsia"/>
        </w:rPr>
        <w:t xml:space="preserve"> </w:t>
      </w:r>
      <w:r>
        <w:rPr>
          <w:rFonts w:hint="eastAsia"/>
        </w:rPr>
        <w:t>条</w:t>
      </w:r>
    </w:p>
    <w:p w:rsidR="00000000" w:rsidRDefault="00844A84">
      <w:pPr>
        <w:spacing w:after="320"/>
        <w:ind w:firstLine="510"/>
        <w:rPr>
          <w:rFonts w:hint="eastAsia"/>
          <w:bCs/>
          <w:snapToGrid/>
        </w:rPr>
      </w:pPr>
      <w:r>
        <w:rPr>
          <w:rFonts w:hint="eastAsia"/>
          <w:bCs/>
          <w:snapToGrid/>
        </w:rPr>
        <w:t xml:space="preserve">576.  </w:t>
      </w:r>
      <w:r>
        <w:rPr>
          <w:rFonts w:hint="eastAsia"/>
          <w:bCs/>
          <w:snapToGrid/>
        </w:rPr>
        <w:t>我国有以下几类社会保险：老年养恤金，残疾养恤金，家庭成员死亡时其受抚养</w:t>
      </w:r>
      <w:r>
        <w:rPr>
          <w:rFonts w:hint="eastAsia"/>
          <w:bCs/>
          <w:snapToGrid/>
        </w:rPr>
        <w:t>家庭成员养恤金</w:t>
      </w:r>
      <w:r>
        <w:rPr>
          <w:rFonts w:hint="eastAsia"/>
          <w:bCs/>
          <w:snapToGrid/>
        </w:rPr>
        <w:t>(</w:t>
      </w:r>
      <w:r>
        <w:rPr>
          <w:rFonts w:hint="eastAsia"/>
          <w:bCs/>
          <w:snapToGrid/>
        </w:rPr>
        <w:t>家庭养恤金</w:t>
      </w:r>
      <w:r>
        <w:rPr>
          <w:rFonts w:hint="eastAsia"/>
          <w:bCs/>
          <w:snapToGrid/>
        </w:rPr>
        <w:t>)</w:t>
      </w:r>
      <w:r>
        <w:rPr>
          <w:rFonts w:hint="eastAsia"/>
          <w:bCs/>
          <w:snapToGrid/>
        </w:rPr>
        <w:t>，以及工伤补助金。</w:t>
      </w:r>
    </w:p>
    <w:p w:rsidR="00000000" w:rsidRDefault="00844A84">
      <w:pPr>
        <w:pStyle w:val="Heading4"/>
        <w:rPr>
          <w:rFonts w:hint="eastAsia"/>
        </w:rPr>
      </w:pPr>
      <w:r>
        <w:rPr>
          <w:rFonts w:hint="eastAsia"/>
        </w:rPr>
        <w:t>老年补助金</w:t>
      </w:r>
    </w:p>
    <w:p w:rsidR="00000000" w:rsidRDefault="00844A84">
      <w:pPr>
        <w:ind w:firstLine="510"/>
        <w:rPr>
          <w:rFonts w:hint="eastAsia"/>
          <w:bCs/>
          <w:snapToGrid/>
        </w:rPr>
      </w:pPr>
      <w:r>
        <w:rPr>
          <w:rFonts w:hint="eastAsia"/>
          <w:bCs/>
          <w:snapToGrid/>
        </w:rPr>
        <w:t xml:space="preserve">577.  </w:t>
      </w:r>
      <w:r>
        <w:rPr>
          <w:rFonts w:hint="eastAsia"/>
          <w:bCs/>
          <w:snapToGrid/>
        </w:rPr>
        <w:t>《养恤金和残疾保险要点法》</w:t>
      </w:r>
      <w:r>
        <w:rPr>
          <w:rFonts w:hint="eastAsia"/>
          <w:bCs/>
          <w:snapToGrid/>
        </w:rPr>
        <w:t>(</w:t>
      </w:r>
      <w:r>
        <w:rPr>
          <w:rFonts w:hint="eastAsia"/>
          <w:bCs/>
          <w:snapToGrid/>
        </w:rPr>
        <w:t>《政府公报》</w:t>
      </w:r>
      <w:r>
        <w:rPr>
          <w:bCs/>
          <w:snapToGrid/>
        </w:rPr>
        <w:t>，第</w:t>
      </w:r>
      <w:r>
        <w:rPr>
          <w:bCs/>
          <w:snapToGrid/>
        </w:rPr>
        <w:t>30</w:t>
      </w:r>
      <w:r>
        <w:rPr>
          <w:rFonts w:hint="eastAsia"/>
          <w:bCs/>
          <w:snapToGrid/>
        </w:rPr>
        <w:t>/</w:t>
      </w:r>
      <w:r>
        <w:rPr>
          <w:bCs/>
          <w:snapToGrid/>
        </w:rPr>
        <w:t>9</w:t>
      </w:r>
      <w:r>
        <w:rPr>
          <w:bCs/>
          <w:snapToGrid/>
        </w:rPr>
        <w:t>号</w:t>
      </w:r>
      <w:r>
        <w:rPr>
          <w:bCs/>
          <w:snapToGrid/>
        </w:rPr>
        <w:t>)</w:t>
      </w:r>
      <w:r>
        <w:rPr>
          <w:bCs/>
          <w:snapToGrid/>
        </w:rPr>
        <w:t>规定，已达到</w:t>
      </w:r>
      <w:r>
        <w:rPr>
          <w:rFonts w:hint="eastAsia"/>
          <w:bCs/>
          <w:snapToGrid/>
        </w:rPr>
        <w:t>规定</w:t>
      </w:r>
      <w:r>
        <w:rPr>
          <w:bCs/>
          <w:snapToGrid/>
        </w:rPr>
        <w:t>年龄和参加养恤保险年限要求的受保人有权领取老年养恤金。</w:t>
      </w:r>
    </w:p>
    <w:p w:rsidR="00000000" w:rsidRDefault="00844A84">
      <w:pPr>
        <w:ind w:firstLine="510"/>
        <w:rPr>
          <w:rFonts w:hint="eastAsia"/>
          <w:bCs/>
          <w:snapToGrid/>
        </w:rPr>
      </w:pPr>
      <w:r>
        <w:rPr>
          <w:rFonts w:hint="eastAsia"/>
          <w:bCs/>
          <w:snapToGrid/>
        </w:rPr>
        <w:t xml:space="preserve">578.  </w:t>
      </w:r>
      <w:r>
        <w:rPr>
          <w:rFonts w:hint="eastAsia"/>
          <w:bCs/>
          <w:snapToGrid/>
        </w:rPr>
        <w:t>男子</w:t>
      </w:r>
      <w:r>
        <w:rPr>
          <w:bCs/>
          <w:snapToGrid/>
        </w:rPr>
        <w:t>年满</w:t>
      </w:r>
      <w:r>
        <w:rPr>
          <w:bCs/>
          <w:snapToGrid/>
        </w:rPr>
        <w:t>60</w:t>
      </w:r>
      <w:r>
        <w:rPr>
          <w:bCs/>
          <w:snapToGrid/>
        </w:rPr>
        <w:t>岁、女子年满</w:t>
      </w:r>
      <w:r>
        <w:rPr>
          <w:bCs/>
          <w:snapToGrid/>
        </w:rPr>
        <w:t>5</w:t>
      </w:r>
      <w:r>
        <w:rPr>
          <w:rFonts w:hint="eastAsia"/>
          <w:bCs/>
          <w:snapToGrid/>
        </w:rPr>
        <w:t>5</w:t>
      </w:r>
      <w:r>
        <w:rPr>
          <w:bCs/>
          <w:snapToGrid/>
        </w:rPr>
        <w:t>岁</w:t>
      </w:r>
      <w:r>
        <w:rPr>
          <w:rFonts w:hint="eastAsia"/>
          <w:bCs/>
          <w:snapToGrid/>
        </w:rPr>
        <w:t>，</w:t>
      </w:r>
      <w:r>
        <w:rPr>
          <w:bCs/>
          <w:snapToGrid/>
        </w:rPr>
        <w:t>并</w:t>
      </w:r>
      <w:r>
        <w:rPr>
          <w:rFonts w:hint="eastAsia"/>
          <w:bCs/>
          <w:snapToGrid/>
        </w:rPr>
        <w:t>已</w:t>
      </w:r>
      <w:r>
        <w:rPr>
          <w:bCs/>
          <w:snapToGrid/>
        </w:rPr>
        <w:t>参加养恤保险</w:t>
      </w:r>
      <w:r>
        <w:rPr>
          <w:rFonts w:hint="eastAsia"/>
          <w:bCs/>
          <w:snapToGrid/>
        </w:rPr>
        <w:t>至少达</w:t>
      </w:r>
      <w:r>
        <w:rPr>
          <w:bCs/>
          <w:snapToGrid/>
        </w:rPr>
        <w:t>20</w:t>
      </w:r>
      <w:r>
        <w:rPr>
          <w:bCs/>
          <w:snapToGrid/>
        </w:rPr>
        <w:t>年的人</w:t>
      </w:r>
      <w:r>
        <w:rPr>
          <w:rFonts w:hint="eastAsia"/>
          <w:bCs/>
          <w:snapToGrid/>
        </w:rPr>
        <w:t>，</w:t>
      </w:r>
      <w:r>
        <w:rPr>
          <w:bCs/>
          <w:snapToGrid/>
        </w:rPr>
        <w:t>可享有领取老年养恤金的权利。</w:t>
      </w:r>
    </w:p>
    <w:p w:rsidR="00000000" w:rsidRDefault="00844A84">
      <w:pPr>
        <w:ind w:firstLine="510"/>
        <w:rPr>
          <w:rFonts w:hint="eastAsia"/>
          <w:bCs/>
          <w:snapToGrid/>
        </w:rPr>
      </w:pPr>
      <w:r>
        <w:rPr>
          <w:rFonts w:hint="eastAsia"/>
          <w:bCs/>
          <w:snapToGrid/>
        </w:rPr>
        <w:t xml:space="preserve">579.  </w:t>
      </w:r>
      <w:r>
        <w:rPr>
          <w:rFonts w:hint="eastAsia"/>
          <w:bCs/>
          <w:snapToGrid/>
        </w:rPr>
        <w:t>按照劳工组织第</w:t>
      </w:r>
      <w:r>
        <w:rPr>
          <w:bCs/>
          <w:snapToGrid/>
        </w:rPr>
        <w:t>102</w:t>
      </w:r>
      <w:r>
        <w:rPr>
          <w:bCs/>
          <w:snapToGrid/>
        </w:rPr>
        <w:t>号公约</w:t>
      </w:r>
      <w:r>
        <w:rPr>
          <w:bCs/>
          <w:snapToGrid/>
        </w:rPr>
        <w:t>(1952</w:t>
      </w:r>
      <w:r>
        <w:rPr>
          <w:bCs/>
          <w:snapToGrid/>
        </w:rPr>
        <w:t>年</w:t>
      </w:r>
      <w:r>
        <w:rPr>
          <w:bCs/>
          <w:snapToGrid/>
        </w:rPr>
        <w:t>)</w:t>
      </w:r>
      <w:r>
        <w:rPr>
          <w:bCs/>
          <w:snapToGrid/>
        </w:rPr>
        <w:t>《社会保障</w:t>
      </w:r>
      <w:r>
        <w:rPr>
          <w:bCs/>
          <w:snapToGrid/>
        </w:rPr>
        <w:t>(</w:t>
      </w:r>
      <w:r>
        <w:rPr>
          <w:bCs/>
          <w:snapToGrid/>
        </w:rPr>
        <w:t>最低标准</w:t>
      </w:r>
      <w:r>
        <w:rPr>
          <w:bCs/>
          <w:snapToGrid/>
        </w:rPr>
        <w:t>)</w:t>
      </w:r>
      <w:r>
        <w:rPr>
          <w:bCs/>
          <w:snapToGrid/>
        </w:rPr>
        <w:t>公约》，参加养恤保险年份不足</w:t>
      </w:r>
      <w:r>
        <w:rPr>
          <w:bCs/>
          <w:snapToGrid/>
        </w:rPr>
        <w:t>20</w:t>
      </w:r>
      <w:r>
        <w:rPr>
          <w:bCs/>
          <w:snapToGrid/>
        </w:rPr>
        <w:t>年的受保人，有权在年满</w:t>
      </w:r>
      <w:r>
        <w:rPr>
          <w:bCs/>
          <w:snapToGrid/>
        </w:rPr>
        <w:t>65</w:t>
      </w:r>
      <w:r>
        <w:rPr>
          <w:bCs/>
          <w:snapToGrid/>
        </w:rPr>
        <w:t>岁</w:t>
      </w:r>
      <w:r>
        <w:rPr>
          <w:bCs/>
          <w:snapToGrid/>
        </w:rPr>
        <w:t>(</w:t>
      </w:r>
      <w:r>
        <w:rPr>
          <w:bCs/>
          <w:snapToGrid/>
        </w:rPr>
        <w:t>男子</w:t>
      </w:r>
      <w:r>
        <w:rPr>
          <w:rFonts w:hint="eastAsia"/>
          <w:bCs/>
          <w:snapToGrid/>
        </w:rPr>
        <w:t>)</w:t>
      </w:r>
      <w:r>
        <w:rPr>
          <w:bCs/>
          <w:snapToGrid/>
        </w:rPr>
        <w:t>或</w:t>
      </w:r>
      <w:r>
        <w:rPr>
          <w:bCs/>
          <w:snapToGrid/>
        </w:rPr>
        <w:t>60</w:t>
      </w:r>
      <w:r>
        <w:rPr>
          <w:bCs/>
          <w:snapToGrid/>
        </w:rPr>
        <w:t>岁</w:t>
      </w:r>
      <w:r>
        <w:rPr>
          <w:bCs/>
          <w:snapToGrid/>
        </w:rPr>
        <w:t>(</w:t>
      </w:r>
      <w:r>
        <w:rPr>
          <w:bCs/>
          <w:snapToGrid/>
        </w:rPr>
        <w:t>女子</w:t>
      </w:r>
      <w:r>
        <w:rPr>
          <w:bCs/>
          <w:snapToGrid/>
        </w:rPr>
        <w:t>)</w:t>
      </w:r>
      <w:r>
        <w:rPr>
          <w:bCs/>
          <w:snapToGrid/>
        </w:rPr>
        <w:t>并参加养恤保险至少</w:t>
      </w:r>
      <w:r>
        <w:rPr>
          <w:rFonts w:hint="eastAsia"/>
          <w:bCs/>
          <w:snapToGrid/>
        </w:rPr>
        <w:t>满</w:t>
      </w:r>
      <w:r>
        <w:rPr>
          <w:bCs/>
          <w:snapToGrid/>
        </w:rPr>
        <w:t>15</w:t>
      </w:r>
      <w:r>
        <w:rPr>
          <w:bCs/>
          <w:snapToGrid/>
        </w:rPr>
        <w:t>年</w:t>
      </w:r>
      <w:r>
        <w:rPr>
          <w:rFonts w:hint="eastAsia"/>
          <w:bCs/>
          <w:snapToGrid/>
        </w:rPr>
        <w:t>时</w:t>
      </w:r>
      <w:r>
        <w:rPr>
          <w:bCs/>
          <w:snapToGrid/>
        </w:rPr>
        <w:t>才有权领取老年养恤</w:t>
      </w:r>
      <w:r>
        <w:rPr>
          <w:bCs/>
          <w:snapToGrid/>
        </w:rPr>
        <w:t>金。</w:t>
      </w:r>
      <w:r>
        <w:rPr>
          <w:rFonts w:hint="eastAsia"/>
          <w:bCs/>
          <w:snapToGrid/>
        </w:rPr>
        <w:t>此外还规定，受保人参加保险年份满</w:t>
      </w:r>
      <w:r>
        <w:rPr>
          <w:bCs/>
          <w:snapToGrid/>
        </w:rPr>
        <w:t>40</w:t>
      </w:r>
      <w:r>
        <w:rPr>
          <w:bCs/>
          <w:snapToGrid/>
        </w:rPr>
        <w:t>年</w:t>
      </w:r>
      <w:r>
        <w:rPr>
          <w:bCs/>
          <w:snapToGrid/>
        </w:rPr>
        <w:t>(</w:t>
      </w:r>
      <w:r>
        <w:rPr>
          <w:bCs/>
          <w:snapToGrid/>
        </w:rPr>
        <w:t>男子</w:t>
      </w:r>
      <w:r>
        <w:rPr>
          <w:bCs/>
          <w:snapToGrid/>
        </w:rPr>
        <w:t>)</w:t>
      </w:r>
      <w:r>
        <w:rPr>
          <w:bCs/>
          <w:snapToGrid/>
        </w:rPr>
        <w:t>或</w:t>
      </w:r>
      <w:r>
        <w:rPr>
          <w:bCs/>
          <w:snapToGrid/>
        </w:rPr>
        <w:t>35</w:t>
      </w:r>
      <w:r>
        <w:rPr>
          <w:bCs/>
          <w:snapToGrid/>
        </w:rPr>
        <w:t>年</w:t>
      </w:r>
      <w:r>
        <w:rPr>
          <w:bCs/>
          <w:snapToGrid/>
        </w:rPr>
        <w:t>(</w:t>
      </w:r>
      <w:r>
        <w:rPr>
          <w:bCs/>
          <w:snapToGrid/>
        </w:rPr>
        <w:t>女子</w:t>
      </w:r>
      <w:r>
        <w:rPr>
          <w:rFonts w:hint="eastAsia"/>
          <w:bCs/>
          <w:snapToGrid/>
        </w:rPr>
        <w:t>)</w:t>
      </w:r>
      <w:r>
        <w:rPr>
          <w:rFonts w:hint="eastAsia"/>
          <w:bCs/>
          <w:snapToGrid/>
        </w:rPr>
        <w:t>且</w:t>
      </w:r>
      <w:r>
        <w:rPr>
          <w:bCs/>
          <w:snapToGrid/>
        </w:rPr>
        <w:t>年满</w:t>
      </w:r>
      <w:r>
        <w:rPr>
          <w:bCs/>
          <w:snapToGrid/>
        </w:rPr>
        <w:t>50</w:t>
      </w:r>
      <w:r>
        <w:rPr>
          <w:bCs/>
          <w:snapToGrid/>
        </w:rPr>
        <w:t>岁，</w:t>
      </w:r>
      <w:r>
        <w:rPr>
          <w:rFonts w:hint="eastAsia"/>
          <w:bCs/>
          <w:snapToGrid/>
        </w:rPr>
        <w:t>也</w:t>
      </w:r>
      <w:r>
        <w:rPr>
          <w:bCs/>
          <w:snapToGrid/>
        </w:rPr>
        <w:t>可申请领取老年养恤金。</w:t>
      </w:r>
    </w:p>
    <w:p w:rsidR="00000000" w:rsidRDefault="00844A84">
      <w:pPr>
        <w:ind w:firstLine="510"/>
        <w:rPr>
          <w:rFonts w:hint="eastAsia"/>
          <w:bCs/>
          <w:snapToGrid/>
        </w:rPr>
      </w:pPr>
      <w:r>
        <w:rPr>
          <w:rFonts w:hint="eastAsia"/>
          <w:bCs/>
          <w:snapToGrid/>
        </w:rPr>
        <w:t xml:space="preserve">580.  </w:t>
      </w:r>
      <w:r>
        <w:rPr>
          <w:rFonts w:hint="eastAsia"/>
          <w:bCs/>
          <w:snapToGrid/>
        </w:rPr>
        <w:t>养恤金金额按员工在任何连续十年内最高平均月薪或保险基数确定。</w:t>
      </w:r>
    </w:p>
    <w:p w:rsidR="00000000" w:rsidRDefault="00844A84">
      <w:pPr>
        <w:ind w:firstLine="510"/>
        <w:rPr>
          <w:rFonts w:hint="eastAsia"/>
          <w:bCs/>
          <w:snapToGrid/>
        </w:rPr>
      </w:pPr>
      <w:r>
        <w:rPr>
          <w:rFonts w:hint="eastAsia"/>
          <w:bCs/>
          <w:snapToGrid/>
        </w:rPr>
        <w:t xml:space="preserve">581.  </w:t>
      </w:r>
      <w:r>
        <w:rPr>
          <w:rFonts w:hint="eastAsia"/>
          <w:bCs/>
          <w:snapToGrid/>
        </w:rPr>
        <w:t>为此类受保人缴纳的养恤金费和残废保险费，按该受保人以法律和集体协定或保险条款规定的条件和金额，在工作能力降低的情况下工作时应得的薪金和其他形式的收入计算。</w:t>
      </w:r>
    </w:p>
    <w:p w:rsidR="00000000" w:rsidRDefault="00844A84">
      <w:pPr>
        <w:ind w:firstLine="510"/>
        <w:rPr>
          <w:rFonts w:hint="eastAsia"/>
          <w:bCs/>
          <w:snapToGrid/>
        </w:rPr>
      </w:pPr>
      <w:r>
        <w:rPr>
          <w:rFonts w:hint="eastAsia"/>
          <w:bCs/>
          <w:snapToGrid/>
        </w:rPr>
        <w:t xml:space="preserve">582.  </w:t>
      </w:r>
      <w:r>
        <w:rPr>
          <w:rFonts w:hint="eastAsia"/>
          <w:bCs/>
          <w:snapToGrid/>
        </w:rPr>
        <w:t>为农业工人缴纳的养恤金费按共和国境内当月平均薪金</w:t>
      </w:r>
      <w:r>
        <w:rPr>
          <w:bCs/>
          <w:snapToGrid/>
        </w:rPr>
        <w:t>50%</w:t>
      </w:r>
      <w:r>
        <w:rPr>
          <w:bCs/>
          <w:snapToGrid/>
        </w:rPr>
        <w:t>计算。</w:t>
      </w:r>
    </w:p>
    <w:p w:rsidR="00000000" w:rsidRDefault="00844A84">
      <w:pPr>
        <w:spacing w:after="320"/>
        <w:ind w:firstLine="510"/>
        <w:rPr>
          <w:rFonts w:hint="eastAsia"/>
          <w:bCs/>
          <w:snapToGrid/>
        </w:rPr>
      </w:pPr>
      <w:r>
        <w:rPr>
          <w:rFonts w:hint="eastAsia"/>
          <w:bCs/>
          <w:snapToGrid/>
        </w:rPr>
        <w:t xml:space="preserve">583.  </w:t>
      </w:r>
      <w:r>
        <w:rPr>
          <w:rFonts w:hint="eastAsia"/>
          <w:bCs/>
          <w:snapToGrid/>
        </w:rPr>
        <w:t>为从事私营企业</w:t>
      </w:r>
      <w:r>
        <w:rPr>
          <w:rFonts w:hint="eastAsia"/>
          <w:bCs/>
          <w:snapToGrid/>
        </w:rPr>
        <w:t>(</w:t>
      </w:r>
      <w:r>
        <w:rPr>
          <w:rFonts w:hint="eastAsia"/>
          <w:bCs/>
          <w:snapToGrid/>
        </w:rPr>
        <w:t>手工艺业</w:t>
      </w:r>
      <w:r>
        <w:rPr>
          <w:rFonts w:hint="eastAsia"/>
          <w:bCs/>
          <w:snapToGrid/>
        </w:rPr>
        <w:t>)</w:t>
      </w:r>
      <w:r>
        <w:rPr>
          <w:rFonts w:hint="eastAsia"/>
          <w:bCs/>
          <w:snapToGrid/>
        </w:rPr>
        <w:t>的受保者缴纳的养恤金费，按有关商业机构确定的数据和登</w:t>
      </w:r>
      <w:r>
        <w:rPr>
          <w:rFonts w:hint="eastAsia"/>
          <w:bCs/>
          <w:snapToGrid/>
        </w:rPr>
        <w:t>记册计算，作为每月保险费的依据。这种缴费按该受保人应纳税收入和所得税条例计算。为此类受保人支付的保险费基数，不得低于共和国在支付保险费当月最低净薪金的</w:t>
      </w:r>
      <w:r>
        <w:rPr>
          <w:rFonts w:hint="eastAsia"/>
          <w:bCs/>
          <w:snapToGrid/>
        </w:rPr>
        <w:t>3</w:t>
      </w:r>
      <w:r>
        <w:rPr>
          <w:rFonts w:hint="eastAsia"/>
          <w:bCs/>
          <w:snapToGrid/>
        </w:rPr>
        <w:t>倍，但不得超过这一数额的</w:t>
      </w:r>
      <w:r>
        <w:rPr>
          <w:bCs/>
          <w:snapToGrid/>
        </w:rPr>
        <w:t>15</w:t>
      </w:r>
      <w:r>
        <w:rPr>
          <w:bCs/>
          <w:snapToGrid/>
        </w:rPr>
        <w:t>倍。</w:t>
      </w:r>
    </w:p>
    <w:p w:rsidR="00000000" w:rsidRDefault="00844A84">
      <w:pPr>
        <w:pStyle w:val="Heading4"/>
        <w:rPr>
          <w:rFonts w:hint="eastAsia"/>
        </w:rPr>
      </w:pPr>
      <w:r>
        <w:rPr>
          <w:rFonts w:hint="eastAsia"/>
        </w:rPr>
        <w:t>残疾养恤金</w:t>
      </w:r>
    </w:p>
    <w:p w:rsidR="00000000" w:rsidRDefault="00844A84">
      <w:pPr>
        <w:ind w:firstLine="510"/>
        <w:rPr>
          <w:rFonts w:hint="eastAsia"/>
          <w:bCs/>
          <w:snapToGrid/>
        </w:rPr>
      </w:pPr>
      <w:r>
        <w:rPr>
          <w:rFonts w:hint="eastAsia"/>
          <w:bCs/>
          <w:snapToGrid/>
        </w:rPr>
        <w:t xml:space="preserve">584.  </w:t>
      </w:r>
      <w:r>
        <w:rPr>
          <w:rFonts w:hint="eastAsia"/>
          <w:bCs/>
          <w:snapToGrid/>
        </w:rPr>
        <w:t>要求领取残疾养恤金的条件略有不同，因为这取决于致残原因。如果残疾是因工伤或职业病所致，受保人有权要求获得残疾养恤金，而不论支付养恤保险费时间长短如何。如果残疾是因工作场所外受伤或疾病所致，受保人只有在缴纳保险费年限已满其应工作年限三分之一的情况下，</w:t>
      </w:r>
      <w:r>
        <w:rPr>
          <w:bCs/>
          <w:snapToGrid/>
        </w:rPr>
        <w:t>才有权获得残疾养恤金。</w:t>
      </w:r>
    </w:p>
    <w:p w:rsidR="00000000" w:rsidRDefault="00844A84">
      <w:pPr>
        <w:ind w:firstLine="510"/>
        <w:rPr>
          <w:rFonts w:hint="eastAsia"/>
          <w:bCs/>
          <w:snapToGrid/>
        </w:rPr>
      </w:pPr>
      <w:r>
        <w:rPr>
          <w:rFonts w:hint="eastAsia"/>
          <w:bCs/>
          <w:snapToGrid/>
        </w:rPr>
        <w:t xml:space="preserve">585.  </w:t>
      </w:r>
      <w:r>
        <w:rPr>
          <w:rFonts w:hint="eastAsia"/>
          <w:bCs/>
          <w:snapToGrid/>
        </w:rPr>
        <w:t>为了保护在</w:t>
      </w:r>
      <w:r>
        <w:rPr>
          <w:bCs/>
          <w:snapToGrid/>
        </w:rPr>
        <w:t>30</w:t>
      </w:r>
      <w:r>
        <w:rPr>
          <w:bCs/>
          <w:snapToGrid/>
        </w:rPr>
        <w:t>岁前</w:t>
      </w:r>
      <w:r>
        <w:rPr>
          <w:rFonts w:hint="eastAsia"/>
          <w:bCs/>
          <w:snapToGrid/>
        </w:rPr>
        <w:t>因工作场所外受伤或疾病致残的青年受保者，已经使领取残疾养恤金的权利在保险适用期限方面相当有利于这一群体的人。</w:t>
      </w:r>
    </w:p>
    <w:p w:rsidR="00000000" w:rsidRDefault="00844A84">
      <w:pPr>
        <w:ind w:firstLine="510"/>
        <w:rPr>
          <w:rFonts w:hint="eastAsia"/>
          <w:bCs/>
          <w:snapToGrid/>
        </w:rPr>
      </w:pPr>
      <w:r>
        <w:rPr>
          <w:rFonts w:hint="eastAsia"/>
          <w:bCs/>
          <w:snapToGrid/>
        </w:rPr>
        <w:t xml:space="preserve">586.  </w:t>
      </w:r>
      <w:r>
        <w:rPr>
          <w:rFonts w:hint="eastAsia"/>
          <w:bCs/>
          <w:snapToGrid/>
        </w:rPr>
        <w:t>残疾养恤金按与老年人养恤金相同方式规定的养恤金基数计算。如致残原因是工伤或职业病，则残疾养恤金可高达养恤金基数的</w:t>
      </w:r>
      <w:r>
        <w:rPr>
          <w:bCs/>
          <w:snapToGrid/>
        </w:rPr>
        <w:t>85%</w:t>
      </w:r>
      <w:r>
        <w:rPr>
          <w:bCs/>
          <w:snapToGrid/>
        </w:rPr>
        <w:t>。</w:t>
      </w:r>
    </w:p>
    <w:p w:rsidR="00000000" w:rsidRDefault="00844A84">
      <w:pPr>
        <w:spacing w:after="320"/>
        <w:ind w:firstLine="510"/>
        <w:rPr>
          <w:rFonts w:hint="eastAsia"/>
          <w:bCs/>
          <w:snapToGrid/>
        </w:rPr>
      </w:pPr>
      <w:r>
        <w:rPr>
          <w:rFonts w:hint="eastAsia"/>
          <w:bCs/>
          <w:snapToGrid/>
        </w:rPr>
        <w:t xml:space="preserve">587.  </w:t>
      </w:r>
      <w:r>
        <w:rPr>
          <w:rFonts w:hint="eastAsia"/>
          <w:bCs/>
          <w:snapToGrid/>
        </w:rPr>
        <w:t>如致残原因为工作场所外受伤或疾病，则养恤金应根据受保人的性别、致残时年龄、支付养恤保险费的期限以及保险金适用期与退休要求的服务年限之间的百分比确定。与老年人养恤金一样，残疾养恤金最高不得达到养恤金基数的</w:t>
      </w:r>
      <w:r>
        <w:rPr>
          <w:bCs/>
          <w:snapToGrid/>
        </w:rPr>
        <w:t>85%</w:t>
      </w:r>
      <w:r>
        <w:rPr>
          <w:bCs/>
          <w:snapToGrid/>
        </w:rPr>
        <w:t>。</w:t>
      </w:r>
    </w:p>
    <w:p w:rsidR="00000000" w:rsidRDefault="00844A84">
      <w:pPr>
        <w:pStyle w:val="Heading4"/>
        <w:rPr>
          <w:rFonts w:hint="eastAsia"/>
        </w:rPr>
      </w:pPr>
      <w:r>
        <w:rPr>
          <w:rFonts w:hint="eastAsia"/>
        </w:rPr>
        <w:t>家庭成员死亡后受抚养家庭成员的养恤金</w:t>
      </w:r>
      <w:r>
        <w:rPr>
          <w:rFonts w:hint="eastAsia"/>
        </w:rPr>
        <w:t>(</w:t>
      </w:r>
      <w:r>
        <w:rPr>
          <w:rFonts w:hint="eastAsia"/>
        </w:rPr>
        <w:t>家庭养</w:t>
      </w:r>
      <w:r>
        <w:rPr>
          <w:rFonts w:hint="eastAsia"/>
        </w:rPr>
        <w:t>恤金</w:t>
      </w:r>
      <w:r>
        <w:rPr>
          <w:rFonts w:hint="eastAsia"/>
          <w:u w:val="none"/>
        </w:rPr>
        <w:t>)</w:t>
      </w:r>
    </w:p>
    <w:p w:rsidR="00000000" w:rsidRDefault="00844A84">
      <w:pPr>
        <w:ind w:firstLine="510"/>
        <w:rPr>
          <w:rFonts w:hint="eastAsia"/>
          <w:bCs/>
          <w:snapToGrid/>
        </w:rPr>
      </w:pPr>
      <w:r>
        <w:rPr>
          <w:bCs/>
          <w:snapToGrid/>
        </w:rPr>
        <w:t>588.</w:t>
      </w:r>
      <w:r>
        <w:rPr>
          <w:rFonts w:hint="eastAsia"/>
          <w:bCs/>
          <w:snapToGrid/>
        </w:rPr>
        <w:t xml:space="preserve">  </w:t>
      </w:r>
      <w:r>
        <w:rPr>
          <w:bCs/>
          <w:snapToGrid/>
        </w:rPr>
        <w:t>在享有这一权利的受保人死亡后，其家庭成员如符合法律规定的条件，</w:t>
      </w:r>
      <w:r>
        <w:rPr>
          <w:rFonts w:hint="eastAsia"/>
          <w:bCs/>
          <w:snapToGrid/>
        </w:rPr>
        <w:t>则</w:t>
      </w:r>
      <w:r>
        <w:rPr>
          <w:bCs/>
          <w:snapToGrid/>
        </w:rPr>
        <w:t>有权获得此种养恤金。《</w:t>
      </w:r>
      <w:r>
        <w:rPr>
          <w:rFonts w:hint="eastAsia"/>
          <w:bCs/>
          <w:snapToGrid/>
        </w:rPr>
        <w:t>养恤金和残疾保险法》</w:t>
      </w:r>
      <w:r>
        <w:rPr>
          <w:rFonts w:hint="eastAsia"/>
          <w:bCs/>
          <w:snapToGrid/>
        </w:rPr>
        <w:t>(</w:t>
      </w:r>
      <w:r>
        <w:rPr>
          <w:rFonts w:hint="eastAsia"/>
          <w:bCs/>
          <w:snapToGrid/>
        </w:rPr>
        <w:t>《南斯拉夫联盟共和国政府公报》</w:t>
      </w:r>
      <w:r>
        <w:rPr>
          <w:bCs/>
          <w:snapToGrid/>
        </w:rPr>
        <w:t>，第</w:t>
      </w:r>
      <w:r>
        <w:rPr>
          <w:bCs/>
          <w:snapToGrid/>
        </w:rPr>
        <w:t>30/96</w:t>
      </w:r>
      <w:r>
        <w:rPr>
          <w:bCs/>
          <w:snapToGrid/>
        </w:rPr>
        <w:t>号</w:t>
      </w:r>
      <w:r>
        <w:rPr>
          <w:bCs/>
          <w:snapToGrid/>
        </w:rPr>
        <w:t>)</w:t>
      </w:r>
      <w:r>
        <w:rPr>
          <w:bCs/>
          <w:snapToGrid/>
        </w:rPr>
        <w:t>规定了获得家庭养恤金权利的一般条件，这些条件涉及已故受保人和养恤金</w:t>
      </w:r>
      <w:r>
        <w:rPr>
          <w:rFonts w:hint="eastAsia"/>
          <w:bCs/>
          <w:snapToGrid/>
        </w:rPr>
        <w:t>及</w:t>
      </w:r>
      <w:r>
        <w:rPr>
          <w:bCs/>
          <w:snapToGrid/>
        </w:rPr>
        <w:t>残疾保险金的受益者。</w:t>
      </w:r>
    </w:p>
    <w:p w:rsidR="00000000" w:rsidRDefault="00844A84">
      <w:pPr>
        <w:ind w:firstLine="510"/>
        <w:rPr>
          <w:rFonts w:hint="eastAsia"/>
          <w:bCs/>
          <w:snapToGrid/>
        </w:rPr>
      </w:pPr>
      <w:r>
        <w:rPr>
          <w:rFonts w:hint="eastAsia"/>
          <w:bCs/>
          <w:snapToGrid/>
        </w:rPr>
        <w:t xml:space="preserve">589.  </w:t>
      </w:r>
      <w:r>
        <w:rPr>
          <w:rFonts w:hint="eastAsia"/>
          <w:bCs/>
          <w:snapToGrid/>
        </w:rPr>
        <w:t>按照劳工组织关于社会保障最低标准的第</w:t>
      </w:r>
      <w:r>
        <w:rPr>
          <w:bCs/>
          <w:snapToGrid/>
        </w:rPr>
        <w:t>102</w:t>
      </w:r>
      <w:r>
        <w:rPr>
          <w:bCs/>
          <w:snapToGrid/>
        </w:rPr>
        <w:t>号</w:t>
      </w:r>
      <w:r>
        <w:rPr>
          <w:rFonts w:hint="eastAsia"/>
          <w:bCs/>
          <w:snapToGrid/>
        </w:rPr>
        <w:t>公约</w:t>
      </w:r>
      <w:r>
        <w:rPr>
          <w:rFonts w:hint="eastAsia"/>
          <w:bCs/>
          <w:snapToGrid/>
        </w:rPr>
        <w:t>(</w:t>
      </w:r>
      <w:r>
        <w:rPr>
          <w:bCs/>
          <w:snapToGrid/>
        </w:rPr>
        <w:t>1952</w:t>
      </w:r>
      <w:r>
        <w:rPr>
          <w:bCs/>
          <w:snapToGrid/>
        </w:rPr>
        <w:t>年</w:t>
      </w:r>
      <w:r>
        <w:rPr>
          <w:bCs/>
          <w:snapToGrid/>
        </w:rPr>
        <w:t>)</w:t>
      </w:r>
      <w:r>
        <w:rPr>
          <w:bCs/>
          <w:snapToGrid/>
        </w:rPr>
        <w:t>规定的承诺，</w:t>
      </w:r>
      <w:r>
        <w:rPr>
          <w:rFonts w:hint="eastAsia"/>
          <w:bCs/>
          <w:snapToGrid/>
        </w:rPr>
        <w:t>对</w:t>
      </w:r>
      <w:r>
        <w:rPr>
          <w:bCs/>
          <w:snapToGrid/>
        </w:rPr>
        <w:t>已故员工的最低服务</w:t>
      </w:r>
      <w:r>
        <w:rPr>
          <w:rFonts w:hint="eastAsia"/>
          <w:bCs/>
          <w:snapToGrid/>
        </w:rPr>
        <w:t>年限作了规定，</w:t>
      </w:r>
      <w:r>
        <w:rPr>
          <w:bCs/>
          <w:snapToGrid/>
        </w:rPr>
        <w:t>作为领取这种保险金的要求</w:t>
      </w:r>
      <w:r>
        <w:rPr>
          <w:bCs/>
          <w:snapToGrid/>
        </w:rPr>
        <w:t>(</w:t>
      </w:r>
      <w:r>
        <w:rPr>
          <w:bCs/>
          <w:snapToGrid/>
        </w:rPr>
        <w:t>要求领取老年养恤金或残疾养恤金者</w:t>
      </w:r>
      <w:r>
        <w:rPr>
          <w:rFonts w:hint="eastAsia"/>
          <w:bCs/>
          <w:snapToGrid/>
        </w:rPr>
        <w:t>，</w:t>
      </w:r>
      <w:r>
        <w:rPr>
          <w:bCs/>
          <w:snapToGrid/>
        </w:rPr>
        <w:t>必须至少缴纳</w:t>
      </w:r>
      <w:r>
        <w:rPr>
          <w:bCs/>
          <w:snapToGrid/>
        </w:rPr>
        <w:t>5</w:t>
      </w:r>
      <w:r>
        <w:rPr>
          <w:bCs/>
          <w:snapToGrid/>
        </w:rPr>
        <w:t>年保险</w:t>
      </w:r>
      <w:r>
        <w:rPr>
          <w:rFonts w:hint="eastAsia"/>
          <w:bCs/>
          <w:snapToGrid/>
        </w:rPr>
        <w:t>费并</w:t>
      </w:r>
      <w:r>
        <w:rPr>
          <w:bCs/>
          <w:snapToGrid/>
        </w:rPr>
        <w:t>至少</w:t>
      </w:r>
      <w:r>
        <w:rPr>
          <w:rFonts w:hint="eastAsia"/>
          <w:bCs/>
          <w:snapToGrid/>
        </w:rPr>
        <w:t>缴纳</w:t>
      </w:r>
      <w:r>
        <w:rPr>
          <w:rFonts w:hint="eastAsia"/>
          <w:bCs/>
          <w:snapToGrid/>
        </w:rPr>
        <w:t>10</w:t>
      </w:r>
      <w:r>
        <w:rPr>
          <w:bCs/>
          <w:snapToGrid/>
        </w:rPr>
        <w:t>年养恤</w:t>
      </w:r>
      <w:r>
        <w:rPr>
          <w:rFonts w:hint="eastAsia"/>
          <w:bCs/>
          <w:snapToGrid/>
        </w:rPr>
        <w:t>金费，</w:t>
      </w:r>
      <w:r>
        <w:rPr>
          <w:bCs/>
          <w:snapToGrid/>
        </w:rPr>
        <w:t>才能达到要求的标准</w:t>
      </w:r>
      <w:r>
        <w:rPr>
          <w:bCs/>
          <w:snapToGrid/>
        </w:rPr>
        <w:t>)</w:t>
      </w:r>
      <w:r>
        <w:rPr>
          <w:bCs/>
          <w:snapToGrid/>
        </w:rPr>
        <w:t>。</w:t>
      </w:r>
    </w:p>
    <w:p w:rsidR="00000000" w:rsidRDefault="00844A84">
      <w:pPr>
        <w:ind w:firstLine="510"/>
        <w:rPr>
          <w:rFonts w:hint="eastAsia"/>
          <w:bCs/>
          <w:snapToGrid/>
        </w:rPr>
      </w:pPr>
      <w:r>
        <w:rPr>
          <w:rFonts w:hint="eastAsia"/>
          <w:bCs/>
          <w:snapToGrid/>
        </w:rPr>
        <w:t xml:space="preserve">590.  </w:t>
      </w:r>
      <w:r>
        <w:rPr>
          <w:rFonts w:hint="eastAsia"/>
          <w:bCs/>
          <w:snapToGrid/>
        </w:rPr>
        <w:t>按法律规定条件有权领取家庭养恤金的家庭成员为：</w:t>
      </w:r>
    </w:p>
    <w:p w:rsidR="00000000" w:rsidRDefault="00844A84">
      <w:pPr>
        <w:pStyle w:val="a0"/>
        <w:ind w:left="1550"/>
        <w:rPr>
          <w:rFonts w:hint="eastAsia"/>
          <w:snapToGrid/>
        </w:rPr>
      </w:pPr>
      <w:r>
        <w:rPr>
          <w:rFonts w:hint="eastAsia"/>
          <w:snapToGrid/>
        </w:rPr>
        <w:t>配偶、婚生子女、非婚生子女、领养子女、继子和继女、孙子和孙女或外孙和外孙女、兄弟、姐妹和父母；</w:t>
      </w:r>
    </w:p>
    <w:p w:rsidR="00000000" w:rsidRDefault="00844A84">
      <w:pPr>
        <w:pStyle w:val="a0"/>
        <w:ind w:left="1550"/>
        <w:rPr>
          <w:rFonts w:hint="eastAsia"/>
          <w:snapToGrid/>
        </w:rPr>
      </w:pPr>
      <w:r>
        <w:rPr>
          <w:rFonts w:hint="eastAsia"/>
          <w:snapToGrid/>
        </w:rPr>
        <w:t>前配偶，但条件是法院判决该人有权保留死者的权利。</w:t>
      </w:r>
    </w:p>
    <w:p w:rsidR="00000000" w:rsidRDefault="00844A84">
      <w:pPr>
        <w:spacing w:after="240"/>
        <w:ind w:firstLine="510"/>
        <w:rPr>
          <w:rFonts w:hint="eastAsia"/>
          <w:bCs/>
          <w:snapToGrid/>
        </w:rPr>
      </w:pPr>
      <w:r>
        <w:rPr>
          <w:rFonts w:hint="eastAsia"/>
          <w:bCs/>
          <w:snapToGrid/>
        </w:rPr>
        <w:t xml:space="preserve">591.  </w:t>
      </w:r>
      <w:r>
        <w:rPr>
          <w:rFonts w:hint="eastAsia"/>
          <w:bCs/>
          <w:snapToGrid/>
        </w:rPr>
        <w:t>家庭养恤金按已故受保人在死亡时本可要求领取的老年人养恤金或残疾养恤金计算，其百分比按要求享有该权利的家庭成员人数计算。</w:t>
      </w:r>
    </w:p>
    <w:p w:rsidR="00000000" w:rsidRDefault="00844A84">
      <w:pPr>
        <w:pStyle w:val="Heading4"/>
        <w:spacing w:after="160"/>
        <w:rPr>
          <w:rFonts w:hint="eastAsia"/>
        </w:rPr>
      </w:pPr>
      <w:r>
        <w:rPr>
          <w:rFonts w:hint="eastAsia"/>
        </w:rPr>
        <w:t>工伤补助金</w:t>
      </w:r>
    </w:p>
    <w:p w:rsidR="00000000" w:rsidRDefault="00844A84">
      <w:pPr>
        <w:ind w:firstLine="510"/>
        <w:rPr>
          <w:rFonts w:hint="eastAsia"/>
          <w:bCs/>
          <w:snapToGrid/>
        </w:rPr>
      </w:pPr>
      <w:r>
        <w:rPr>
          <w:rFonts w:hint="eastAsia"/>
          <w:bCs/>
          <w:snapToGrid/>
        </w:rPr>
        <w:t xml:space="preserve">592.  </w:t>
      </w:r>
      <w:r>
        <w:rPr>
          <w:rFonts w:hint="eastAsia"/>
          <w:bCs/>
          <w:snapToGrid/>
        </w:rPr>
        <w:t>受保人受严重工伤，患某种职业病以及健康受到损害，并被评估为至少达到</w:t>
      </w:r>
      <w:r>
        <w:rPr>
          <w:bCs/>
          <w:snapToGrid/>
        </w:rPr>
        <w:t>30%</w:t>
      </w:r>
      <w:r>
        <w:rPr>
          <w:bCs/>
          <w:snapToGrid/>
        </w:rPr>
        <w:t>的残疾程度，则该受保人有权要求获得补助金。</w:t>
      </w:r>
    </w:p>
    <w:p w:rsidR="00000000" w:rsidRDefault="00844A84">
      <w:pPr>
        <w:ind w:firstLine="510"/>
        <w:rPr>
          <w:rFonts w:hint="eastAsia"/>
          <w:bCs/>
          <w:snapToGrid/>
        </w:rPr>
      </w:pPr>
      <w:r>
        <w:rPr>
          <w:rFonts w:hint="eastAsia"/>
          <w:bCs/>
          <w:snapToGrid/>
        </w:rPr>
        <w:t xml:space="preserve">593.  </w:t>
      </w:r>
      <w:r>
        <w:rPr>
          <w:rFonts w:hint="eastAsia"/>
          <w:bCs/>
          <w:snapToGrid/>
        </w:rPr>
        <w:t>身体受伤补助金金</w:t>
      </w:r>
      <w:r>
        <w:rPr>
          <w:rFonts w:hint="eastAsia"/>
          <w:bCs/>
          <w:snapToGrid/>
        </w:rPr>
        <w:t>额按共和国前几年员工平均净薪金及法律规定的受伤程度百分比计算。</w:t>
      </w:r>
    </w:p>
    <w:p w:rsidR="00000000" w:rsidRDefault="00844A84">
      <w:pPr>
        <w:ind w:firstLine="510"/>
        <w:rPr>
          <w:rFonts w:hint="eastAsia"/>
          <w:bCs/>
          <w:snapToGrid/>
        </w:rPr>
      </w:pPr>
      <w:r>
        <w:rPr>
          <w:rFonts w:hint="eastAsia"/>
          <w:bCs/>
          <w:snapToGrid/>
        </w:rPr>
        <w:t xml:space="preserve">594.  </w:t>
      </w:r>
      <w:r>
        <w:rPr>
          <w:rFonts w:hint="eastAsia"/>
          <w:bCs/>
          <w:snapToGrid/>
        </w:rPr>
        <w:t>养恤金和残疾保险制度的原则是，如果致残原因为工伤或职业病，则有权获得条件更有利、金额更高的保险金。在这种情况下，无论已故受保者的养恤金期限如何，其家庭成员都享有领取家庭养恤金的权利。此外，如致残原因是工伤或职业病，则残疾养恤金最高可按</w:t>
      </w:r>
      <w:r>
        <w:rPr>
          <w:bCs/>
          <w:snapToGrid/>
        </w:rPr>
        <w:t>85%</w:t>
      </w:r>
      <w:r>
        <w:rPr>
          <w:bCs/>
          <w:snapToGrid/>
        </w:rPr>
        <w:t>计算。</w:t>
      </w:r>
    </w:p>
    <w:p w:rsidR="00000000" w:rsidRDefault="00844A84">
      <w:pPr>
        <w:spacing w:after="320"/>
        <w:ind w:firstLine="510"/>
        <w:rPr>
          <w:rFonts w:hint="eastAsia"/>
          <w:bCs/>
          <w:snapToGrid/>
        </w:rPr>
      </w:pPr>
      <w:r>
        <w:rPr>
          <w:rFonts w:hint="eastAsia"/>
          <w:bCs/>
          <w:snapToGrid/>
        </w:rPr>
        <w:t xml:space="preserve">595.  </w:t>
      </w:r>
      <w:r>
        <w:rPr>
          <w:rFonts w:hint="eastAsia"/>
          <w:bCs/>
          <w:snapToGrid/>
        </w:rPr>
        <w:t>在黑山，养恤金和残疾保险的作用是一种以代间团结为基础的制度，这意味着一代员工从事工作，通过缴纳保险费的方式，为支付养恤金提供经费。</w:t>
      </w:r>
    </w:p>
    <w:p w:rsidR="00000000" w:rsidRDefault="00844A84">
      <w:pPr>
        <w:pStyle w:val="Heading3"/>
        <w:spacing w:after="160"/>
        <w:rPr>
          <w:rFonts w:hint="eastAsia"/>
        </w:rPr>
      </w:pPr>
      <w:r>
        <w:rPr>
          <w:rFonts w:hint="eastAsia"/>
        </w:rPr>
        <w:t>第</w:t>
      </w:r>
      <w:r>
        <w:rPr>
          <w:rFonts w:hint="eastAsia"/>
        </w:rPr>
        <w:t xml:space="preserve"> </w:t>
      </w:r>
      <w:r>
        <w:rPr>
          <w:rFonts w:hint="eastAsia"/>
        </w:rPr>
        <w:t>十</w:t>
      </w:r>
      <w:r>
        <w:rPr>
          <w:rFonts w:hint="eastAsia"/>
        </w:rPr>
        <w:t xml:space="preserve"> </w:t>
      </w:r>
      <w:r>
        <w:rPr>
          <w:rFonts w:hint="eastAsia"/>
        </w:rPr>
        <w:t>条</w:t>
      </w:r>
    </w:p>
    <w:p w:rsidR="00000000" w:rsidRDefault="00844A84">
      <w:pPr>
        <w:pStyle w:val="Heading4"/>
        <w:spacing w:after="160"/>
        <w:rPr>
          <w:rFonts w:hint="eastAsia"/>
        </w:rPr>
      </w:pPr>
      <w:r>
        <w:rPr>
          <w:rFonts w:hint="eastAsia"/>
        </w:rPr>
        <w:t>第</w:t>
      </w:r>
      <w:r>
        <w:rPr>
          <w:rFonts w:hint="eastAsia"/>
        </w:rPr>
        <w:t>1</w:t>
      </w:r>
      <w:r>
        <w:rPr>
          <w:rFonts w:hint="eastAsia"/>
        </w:rPr>
        <w:t>、</w:t>
      </w:r>
      <w:r>
        <w:rPr>
          <w:rFonts w:hint="eastAsia"/>
        </w:rPr>
        <w:t>2</w:t>
      </w:r>
      <w:r>
        <w:rPr>
          <w:rFonts w:hint="eastAsia"/>
        </w:rPr>
        <w:t>和</w:t>
      </w:r>
      <w:r>
        <w:rPr>
          <w:rFonts w:hint="eastAsia"/>
        </w:rPr>
        <w:t>3</w:t>
      </w:r>
      <w:r>
        <w:rPr>
          <w:rFonts w:hint="eastAsia"/>
        </w:rPr>
        <w:t>款</w:t>
      </w:r>
    </w:p>
    <w:p w:rsidR="00000000" w:rsidRDefault="00844A84">
      <w:pPr>
        <w:ind w:firstLine="510"/>
        <w:rPr>
          <w:rFonts w:hint="eastAsia"/>
          <w:bCs/>
          <w:snapToGrid/>
        </w:rPr>
      </w:pPr>
      <w:r>
        <w:rPr>
          <w:rFonts w:hint="eastAsia"/>
          <w:bCs/>
          <w:snapToGrid/>
        </w:rPr>
        <w:t xml:space="preserve">596.  </w:t>
      </w:r>
      <w:r>
        <w:rPr>
          <w:rFonts w:hint="eastAsia"/>
          <w:bCs/>
          <w:snapToGrid/>
        </w:rPr>
        <w:t>黑山</w:t>
      </w:r>
      <w:r>
        <w:rPr>
          <w:rFonts w:hint="eastAsia"/>
          <w:bCs/>
          <w:snapToGrid/>
        </w:rPr>
        <w:t>共和国家庭保护事务属于劳动和社会福利部的职权范围，并由《家庭法》</w:t>
      </w:r>
      <w:r>
        <w:rPr>
          <w:rFonts w:hint="eastAsia"/>
          <w:bCs/>
          <w:snapToGrid/>
        </w:rPr>
        <w:t>(</w:t>
      </w:r>
      <w:r>
        <w:rPr>
          <w:rFonts w:hint="eastAsia"/>
          <w:bCs/>
          <w:snapToGrid/>
        </w:rPr>
        <w:t>《黑山共和国政府公报》</w:t>
      </w:r>
      <w:r>
        <w:rPr>
          <w:bCs/>
          <w:snapToGrid/>
        </w:rPr>
        <w:t>，第</w:t>
      </w:r>
      <w:r>
        <w:rPr>
          <w:bCs/>
          <w:snapToGrid/>
        </w:rPr>
        <w:t>7/89</w:t>
      </w:r>
      <w:r>
        <w:rPr>
          <w:bCs/>
          <w:snapToGrid/>
        </w:rPr>
        <w:t>号</w:t>
      </w:r>
      <w:r>
        <w:rPr>
          <w:bCs/>
          <w:snapToGrid/>
        </w:rPr>
        <w:t>)</w:t>
      </w:r>
      <w:r>
        <w:rPr>
          <w:bCs/>
          <w:snapToGrid/>
        </w:rPr>
        <w:t>及《社会和儿童保护法》</w:t>
      </w:r>
      <w:r>
        <w:rPr>
          <w:bCs/>
          <w:snapToGrid/>
        </w:rPr>
        <w:t>(</w:t>
      </w:r>
      <w:r>
        <w:rPr>
          <w:rFonts w:hint="eastAsia"/>
          <w:bCs/>
          <w:snapToGrid/>
        </w:rPr>
        <w:t>《黑山共和国政府公报》</w:t>
      </w:r>
      <w:r>
        <w:rPr>
          <w:bCs/>
          <w:snapToGrid/>
        </w:rPr>
        <w:t>，第</w:t>
      </w:r>
      <w:r>
        <w:rPr>
          <w:bCs/>
          <w:snapToGrid/>
        </w:rPr>
        <w:t>48/93</w:t>
      </w:r>
      <w:r>
        <w:rPr>
          <w:bCs/>
          <w:snapToGrid/>
        </w:rPr>
        <w:t>、</w:t>
      </w:r>
      <w:r>
        <w:rPr>
          <w:bCs/>
          <w:snapToGrid/>
        </w:rPr>
        <w:t>16/95</w:t>
      </w:r>
      <w:r>
        <w:rPr>
          <w:bCs/>
          <w:snapToGrid/>
        </w:rPr>
        <w:t>和</w:t>
      </w:r>
      <w:r>
        <w:rPr>
          <w:bCs/>
          <w:snapToGrid/>
        </w:rPr>
        <w:t>47/01</w:t>
      </w:r>
      <w:r>
        <w:rPr>
          <w:bCs/>
          <w:snapToGrid/>
        </w:rPr>
        <w:t>号</w:t>
      </w:r>
      <w:r>
        <w:rPr>
          <w:bCs/>
          <w:snapToGrid/>
        </w:rPr>
        <w:t>)</w:t>
      </w:r>
      <w:r>
        <w:rPr>
          <w:bCs/>
          <w:snapToGrid/>
        </w:rPr>
        <w:t>以及关于其他领域的条例</w:t>
      </w:r>
      <w:r>
        <w:rPr>
          <w:bCs/>
          <w:snapToGrid/>
        </w:rPr>
        <w:t>(</w:t>
      </w:r>
      <w:r>
        <w:rPr>
          <w:rFonts w:hint="eastAsia"/>
          <w:bCs/>
          <w:snapToGrid/>
        </w:rPr>
        <w:t>刑事</w:t>
      </w:r>
      <w:r>
        <w:rPr>
          <w:bCs/>
          <w:snapToGrid/>
        </w:rPr>
        <w:t>法、劳工法等</w:t>
      </w:r>
      <w:r>
        <w:rPr>
          <w:bCs/>
          <w:snapToGrid/>
        </w:rPr>
        <w:t>)</w:t>
      </w:r>
      <w:r>
        <w:rPr>
          <w:rFonts w:hint="eastAsia"/>
          <w:bCs/>
          <w:snapToGrid/>
        </w:rPr>
        <w:t>作出规定</w:t>
      </w:r>
      <w:r>
        <w:rPr>
          <w:bCs/>
          <w:snapToGrid/>
        </w:rPr>
        <w:t>。</w:t>
      </w:r>
    </w:p>
    <w:p w:rsidR="00000000" w:rsidRDefault="00844A84">
      <w:pPr>
        <w:ind w:firstLine="510"/>
        <w:rPr>
          <w:rFonts w:hint="eastAsia"/>
          <w:bCs/>
          <w:snapToGrid/>
        </w:rPr>
      </w:pPr>
      <w:r>
        <w:rPr>
          <w:rFonts w:hint="eastAsia"/>
          <w:bCs/>
          <w:snapToGrid/>
        </w:rPr>
        <w:t xml:space="preserve">597.  </w:t>
      </w:r>
      <w:r>
        <w:rPr>
          <w:rFonts w:hint="eastAsia"/>
          <w:bCs/>
          <w:snapToGrid/>
        </w:rPr>
        <w:t>《家庭法》规定了合法的婚姻和婚姻关系类别、父母和子女关系、领养、监护、赡养费、家庭财产关系、婚姻和家庭关系诉讼特别法律程序，以及某些对家庭的社会和法律保护形式。</w:t>
      </w:r>
    </w:p>
    <w:p w:rsidR="00000000" w:rsidRDefault="00844A84">
      <w:pPr>
        <w:ind w:firstLine="510"/>
        <w:rPr>
          <w:rFonts w:hint="eastAsia"/>
          <w:bCs/>
          <w:snapToGrid/>
        </w:rPr>
      </w:pPr>
      <w:r>
        <w:rPr>
          <w:rFonts w:hint="eastAsia"/>
          <w:bCs/>
          <w:snapToGrid/>
        </w:rPr>
        <w:t xml:space="preserve">598.  </w:t>
      </w:r>
      <w:r>
        <w:rPr>
          <w:rFonts w:hint="eastAsia"/>
          <w:bCs/>
          <w:snapToGrid/>
        </w:rPr>
        <w:t>《家庭法》条款规定，家庭是父母、子女及其他家人的组合，这些人在相互关系方面享有权</w:t>
      </w:r>
      <w:r>
        <w:rPr>
          <w:rFonts w:hint="eastAsia"/>
          <w:bCs/>
          <w:snapToGrid/>
        </w:rPr>
        <w:t>利和义务。</w:t>
      </w:r>
    </w:p>
    <w:p w:rsidR="00000000" w:rsidRDefault="00844A84">
      <w:pPr>
        <w:ind w:firstLine="510"/>
        <w:rPr>
          <w:rFonts w:hint="eastAsia"/>
          <w:bCs/>
          <w:snapToGrid/>
        </w:rPr>
      </w:pPr>
      <w:r>
        <w:rPr>
          <w:rFonts w:hint="eastAsia"/>
          <w:bCs/>
          <w:snapToGrid/>
        </w:rPr>
        <w:t xml:space="preserve">599.  </w:t>
      </w:r>
      <w:r>
        <w:rPr>
          <w:rFonts w:hint="eastAsia"/>
          <w:bCs/>
          <w:snapToGrid/>
        </w:rPr>
        <w:t>通过以下措施为父母认真承担抚养责任提供了条件：社会保护、保健和法律保护、教养制度、教育、信息、就业政策、税收政策，以及有助于家庭及其成员福利的其他活动。</w:t>
      </w:r>
    </w:p>
    <w:p w:rsidR="00000000" w:rsidRDefault="00844A84">
      <w:pPr>
        <w:ind w:firstLine="510"/>
        <w:rPr>
          <w:rFonts w:hint="eastAsia"/>
          <w:bCs/>
          <w:snapToGrid/>
        </w:rPr>
      </w:pPr>
      <w:r>
        <w:rPr>
          <w:rFonts w:hint="eastAsia"/>
          <w:bCs/>
          <w:snapToGrid/>
        </w:rPr>
        <w:t xml:space="preserve">600.  </w:t>
      </w:r>
      <w:r>
        <w:rPr>
          <w:rFonts w:hint="eastAsia"/>
          <w:bCs/>
          <w:snapToGrid/>
        </w:rPr>
        <w:t>《家庭法》规定了保护家庭和家庭成员利益的权利。监护是一种保护形式，它对未成年但无法享受父母照料的儿童以及无法照料自己的成年人的权利和利益提供具体保护。</w:t>
      </w:r>
    </w:p>
    <w:p w:rsidR="00000000" w:rsidRDefault="00844A84">
      <w:pPr>
        <w:ind w:firstLine="510"/>
        <w:rPr>
          <w:rFonts w:hint="eastAsia"/>
          <w:bCs/>
          <w:snapToGrid/>
        </w:rPr>
      </w:pPr>
      <w:r>
        <w:rPr>
          <w:rFonts w:hint="eastAsia"/>
          <w:bCs/>
          <w:snapToGrid/>
        </w:rPr>
        <w:t xml:space="preserve">601.  </w:t>
      </w:r>
      <w:r>
        <w:rPr>
          <w:rFonts w:hint="eastAsia"/>
          <w:bCs/>
          <w:snapToGrid/>
        </w:rPr>
        <w:t>收养是确定养父养母与被领养子女间关系的过程，其目的是为被领养儿童提供与他们在正常家庭生活时同样的生活条件。</w:t>
      </w:r>
    </w:p>
    <w:p w:rsidR="00000000" w:rsidRDefault="00844A84">
      <w:pPr>
        <w:ind w:firstLine="510"/>
        <w:rPr>
          <w:rFonts w:hint="eastAsia"/>
          <w:bCs/>
          <w:snapToGrid/>
        </w:rPr>
      </w:pPr>
      <w:r>
        <w:rPr>
          <w:rFonts w:hint="eastAsia"/>
          <w:bCs/>
          <w:snapToGrid/>
        </w:rPr>
        <w:t xml:space="preserve">602.  </w:t>
      </w:r>
      <w:r>
        <w:rPr>
          <w:rFonts w:hint="eastAsia"/>
          <w:bCs/>
          <w:snapToGrid/>
        </w:rPr>
        <w:t>父母与其他亲属之间以及配偶和婚外伴侣之</w:t>
      </w:r>
      <w:r>
        <w:rPr>
          <w:rFonts w:hint="eastAsia"/>
          <w:bCs/>
          <w:snapToGrid/>
        </w:rPr>
        <w:t>间的赡养义务也是家庭团结的表现形式。赡养费按被赡养人的需求以及赡养人的能力计算。</w:t>
      </w:r>
    </w:p>
    <w:p w:rsidR="00000000" w:rsidRDefault="00844A84">
      <w:pPr>
        <w:ind w:firstLine="510"/>
        <w:rPr>
          <w:rFonts w:hint="eastAsia"/>
          <w:bCs/>
          <w:snapToGrid/>
        </w:rPr>
      </w:pPr>
      <w:r>
        <w:rPr>
          <w:rFonts w:hint="eastAsia"/>
          <w:bCs/>
          <w:snapToGrid/>
        </w:rPr>
        <w:t xml:space="preserve">603.  </w:t>
      </w:r>
      <w:r>
        <w:rPr>
          <w:rFonts w:hint="eastAsia"/>
          <w:bCs/>
          <w:snapToGrid/>
        </w:rPr>
        <w:t>家庭财产关系依据平等、互惠和团结的原则以及最有利于儿童的原则。婚外结合在赡养费和其他法律及财产关系的权利方面享有同等待遇。</w:t>
      </w:r>
    </w:p>
    <w:p w:rsidR="00000000" w:rsidRDefault="00844A84">
      <w:pPr>
        <w:ind w:firstLine="510"/>
        <w:rPr>
          <w:rFonts w:hint="eastAsia"/>
          <w:bCs/>
          <w:snapToGrid/>
        </w:rPr>
      </w:pPr>
      <w:r>
        <w:rPr>
          <w:rFonts w:hint="eastAsia"/>
          <w:bCs/>
          <w:snapToGrid/>
        </w:rPr>
        <w:t xml:space="preserve">604.  </w:t>
      </w:r>
      <w:r>
        <w:rPr>
          <w:rFonts w:hint="eastAsia"/>
          <w:bCs/>
          <w:snapToGrid/>
        </w:rPr>
        <w:t>《家庭法》明确规定，婚姻是一男一女按法律规定的结合。如配偶一方是在受到强迫、威胁或误导的情况下结婚，则该婚姻为非法。配偶一方不满</w:t>
      </w:r>
      <w:r>
        <w:rPr>
          <w:bCs/>
          <w:snapToGrid/>
        </w:rPr>
        <w:t>18</w:t>
      </w:r>
      <w:r>
        <w:rPr>
          <w:bCs/>
          <w:snapToGrid/>
        </w:rPr>
        <w:t>岁不</w:t>
      </w:r>
      <w:r>
        <w:rPr>
          <w:rFonts w:hint="eastAsia"/>
          <w:bCs/>
          <w:snapToGrid/>
        </w:rPr>
        <w:t>得</w:t>
      </w:r>
      <w:r>
        <w:rPr>
          <w:bCs/>
          <w:snapToGrid/>
        </w:rPr>
        <w:t>登记结婚。</w:t>
      </w:r>
      <w:r>
        <w:rPr>
          <w:rFonts w:hint="eastAsia"/>
          <w:bCs/>
          <w:snapToGrid/>
        </w:rPr>
        <w:t>但</w:t>
      </w:r>
      <w:r>
        <w:rPr>
          <w:bCs/>
          <w:snapToGrid/>
        </w:rPr>
        <w:t>在特殊情况下，法院可允许年满</w:t>
      </w:r>
      <w:r>
        <w:rPr>
          <w:bCs/>
          <w:snapToGrid/>
        </w:rPr>
        <w:t>16</w:t>
      </w:r>
      <w:r>
        <w:rPr>
          <w:bCs/>
          <w:snapToGrid/>
        </w:rPr>
        <w:t>岁的</w:t>
      </w:r>
      <w:r>
        <w:rPr>
          <w:rFonts w:hint="eastAsia"/>
          <w:bCs/>
          <w:snapToGrid/>
        </w:rPr>
        <w:t>未成年人</w:t>
      </w:r>
      <w:r>
        <w:rPr>
          <w:bCs/>
          <w:snapToGrid/>
        </w:rPr>
        <w:t>结婚。</w:t>
      </w:r>
    </w:p>
    <w:p w:rsidR="00000000" w:rsidRDefault="00844A84">
      <w:pPr>
        <w:spacing w:after="240"/>
        <w:ind w:firstLine="510"/>
        <w:rPr>
          <w:rFonts w:hint="eastAsia"/>
          <w:bCs/>
          <w:snapToGrid/>
        </w:rPr>
      </w:pPr>
      <w:r>
        <w:rPr>
          <w:rFonts w:hint="eastAsia"/>
          <w:bCs/>
          <w:snapToGrid/>
        </w:rPr>
        <w:t xml:space="preserve">605.  </w:t>
      </w:r>
      <w:r>
        <w:rPr>
          <w:rFonts w:hint="eastAsia"/>
          <w:bCs/>
          <w:snapToGrid/>
        </w:rPr>
        <w:t>社会保护事务主管当局</w:t>
      </w:r>
      <w:r>
        <w:rPr>
          <w:rFonts w:hint="eastAsia"/>
          <w:bCs/>
          <w:snapToGrid/>
        </w:rPr>
        <w:t>(</w:t>
      </w:r>
      <w:r>
        <w:rPr>
          <w:rFonts w:hint="eastAsia"/>
          <w:bCs/>
          <w:snapToGrid/>
        </w:rPr>
        <w:t>社会工作中心</w:t>
      </w:r>
      <w:r>
        <w:rPr>
          <w:rFonts w:hint="eastAsia"/>
          <w:bCs/>
          <w:snapToGrid/>
        </w:rPr>
        <w:t>)</w:t>
      </w:r>
      <w:r>
        <w:rPr>
          <w:rFonts w:hint="eastAsia"/>
          <w:bCs/>
          <w:snapToGrid/>
        </w:rPr>
        <w:t>和主管法院</w:t>
      </w:r>
      <w:r>
        <w:rPr>
          <w:rFonts w:hint="eastAsia"/>
          <w:bCs/>
          <w:snapToGrid/>
        </w:rPr>
        <w:t>(</w:t>
      </w:r>
      <w:r>
        <w:rPr>
          <w:rFonts w:hint="eastAsia"/>
          <w:bCs/>
          <w:snapToGrid/>
        </w:rPr>
        <w:t>在审理离婚、赡养费、</w:t>
      </w:r>
      <w:r>
        <w:rPr>
          <w:rFonts w:hint="eastAsia"/>
          <w:bCs/>
          <w:snapToGrid/>
        </w:rPr>
        <w:t>丧失工作能力和剥夺家长权利的案件时</w:t>
      </w:r>
      <w:r>
        <w:rPr>
          <w:rFonts w:hint="eastAsia"/>
          <w:bCs/>
          <w:snapToGrid/>
        </w:rPr>
        <w:t>)</w:t>
      </w:r>
      <w:r>
        <w:rPr>
          <w:rFonts w:hint="eastAsia"/>
          <w:bCs/>
          <w:snapToGrid/>
        </w:rPr>
        <w:t>对家庭作出保护。黑山共和国预算依法拨出经费，为家庭提供经济支助。</w:t>
      </w:r>
    </w:p>
    <w:p w:rsidR="00000000" w:rsidRDefault="00844A84">
      <w:pPr>
        <w:pStyle w:val="Heading3"/>
        <w:spacing w:after="160"/>
        <w:rPr>
          <w:rFonts w:hint="eastAsia"/>
          <w:kern w:val="0"/>
        </w:rPr>
      </w:pPr>
      <w:r>
        <w:rPr>
          <w:rFonts w:hint="eastAsia"/>
          <w:kern w:val="0"/>
        </w:rPr>
        <w:t>第</w:t>
      </w:r>
      <w:r>
        <w:rPr>
          <w:rFonts w:hint="eastAsia"/>
          <w:kern w:val="0"/>
        </w:rPr>
        <w:t xml:space="preserve"> </w:t>
      </w:r>
      <w:r>
        <w:rPr>
          <w:rFonts w:hint="eastAsia"/>
          <w:kern w:val="0"/>
        </w:rPr>
        <w:t>十一</w:t>
      </w:r>
      <w:r>
        <w:rPr>
          <w:rFonts w:hint="eastAsia"/>
          <w:kern w:val="0"/>
        </w:rPr>
        <w:t xml:space="preserve"> </w:t>
      </w:r>
      <w:r>
        <w:rPr>
          <w:rFonts w:hint="eastAsia"/>
          <w:kern w:val="0"/>
        </w:rPr>
        <w:t>条</w:t>
      </w:r>
    </w:p>
    <w:p w:rsidR="00000000" w:rsidRDefault="00844A84">
      <w:pPr>
        <w:pStyle w:val="Heading4"/>
        <w:spacing w:after="160"/>
        <w:rPr>
          <w:rFonts w:hint="eastAsia"/>
        </w:rPr>
      </w:pPr>
      <w:r>
        <w:rPr>
          <w:rFonts w:hint="eastAsia"/>
        </w:rPr>
        <w:t>第</w:t>
      </w:r>
      <w:r>
        <w:rPr>
          <w:rFonts w:hint="eastAsia"/>
        </w:rPr>
        <w:t>1</w:t>
      </w:r>
      <w:r>
        <w:rPr>
          <w:rFonts w:hint="eastAsia"/>
        </w:rPr>
        <w:t>款</w:t>
      </w:r>
    </w:p>
    <w:p w:rsidR="00000000" w:rsidRDefault="00844A84">
      <w:pPr>
        <w:ind w:firstLine="510"/>
        <w:rPr>
          <w:rFonts w:hint="eastAsia"/>
          <w:snapToGrid/>
        </w:rPr>
      </w:pPr>
      <w:r>
        <w:rPr>
          <w:rFonts w:hint="eastAsia"/>
          <w:snapToGrid/>
        </w:rPr>
        <w:t xml:space="preserve">606.  </w:t>
      </w:r>
      <w:r>
        <w:rPr>
          <w:rFonts w:hint="eastAsia"/>
          <w:snapToGrid/>
        </w:rPr>
        <w:t>黑山共和国没有有关营养和住房问题的国家方案。与这些问题相关的活动按保护最弱势人口群体的条例处理。</w:t>
      </w:r>
    </w:p>
    <w:p w:rsidR="00000000" w:rsidRDefault="00844A84">
      <w:pPr>
        <w:ind w:firstLine="510"/>
        <w:rPr>
          <w:rFonts w:hint="eastAsia"/>
          <w:snapToGrid/>
        </w:rPr>
      </w:pPr>
      <w:r>
        <w:rPr>
          <w:rFonts w:hint="eastAsia"/>
          <w:snapToGrid/>
        </w:rPr>
        <w:t xml:space="preserve">607.  </w:t>
      </w:r>
      <w:r>
        <w:rPr>
          <w:rFonts w:hint="eastAsia"/>
          <w:snapToGrid/>
        </w:rPr>
        <w:t>《社会和儿童福利法》规定了社会和儿童受保护的权利，其目的是确保最弱势人口群体受到保护。</w:t>
      </w:r>
    </w:p>
    <w:p w:rsidR="00000000" w:rsidRDefault="00844A84">
      <w:pPr>
        <w:ind w:firstLine="510"/>
        <w:rPr>
          <w:rFonts w:hint="eastAsia"/>
          <w:snapToGrid/>
        </w:rPr>
      </w:pPr>
      <w:r>
        <w:rPr>
          <w:rFonts w:hint="eastAsia"/>
          <w:snapToGrid/>
        </w:rPr>
        <w:t xml:space="preserve">608.  </w:t>
      </w:r>
      <w:r>
        <w:rPr>
          <w:rFonts w:hint="eastAsia"/>
          <w:snapToGrid/>
        </w:rPr>
        <w:t>社会福利方案规定的权利包向家庭提供经济援助，获得有工作资格的权利、在社会福利机构或另一个家庭居住的权利、为照料和协助他人提供津贴、保健、丧葬费用以及单项付款支助。</w:t>
      </w:r>
    </w:p>
    <w:p w:rsidR="00000000" w:rsidRDefault="00844A84">
      <w:pPr>
        <w:spacing w:after="320"/>
        <w:ind w:firstLine="510"/>
        <w:rPr>
          <w:rFonts w:hint="eastAsia"/>
          <w:snapToGrid/>
        </w:rPr>
      </w:pPr>
      <w:r>
        <w:rPr>
          <w:rFonts w:hint="eastAsia"/>
          <w:snapToGrid/>
        </w:rPr>
        <w:t>6</w:t>
      </w:r>
      <w:r>
        <w:rPr>
          <w:rFonts w:hint="eastAsia"/>
          <w:snapToGrid/>
        </w:rPr>
        <w:t>09.</w:t>
      </w:r>
      <w:r>
        <w:rPr>
          <w:snapToGrid/>
        </w:rPr>
        <w:t xml:space="preserve">  </w:t>
      </w:r>
      <w:r>
        <w:rPr>
          <w:rFonts w:hint="eastAsia"/>
          <w:snapToGrid/>
        </w:rPr>
        <w:t>儿童保护方案规定的权利包括儿童补助金、新生儿补助金、儿童娱乐补助金以及学生伙食补助。</w:t>
      </w:r>
    </w:p>
    <w:p w:rsidR="00000000" w:rsidRDefault="00844A84">
      <w:pPr>
        <w:pStyle w:val="Heading4"/>
        <w:rPr>
          <w:rFonts w:hint="eastAsia"/>
        </w:rPr>
      </w:pPr>
      <w:r>
        <w:rPr>
          <w:rFonts w:hint="eastAsia"/>
        </w:rPr>
        <w:t>一些权利的特点</w:t>
      </w:r>
    </w:p>
    <w:p w:rsidR="00000000" w:rsidRDefault="00844A84">
      <w:pPr>
        <w:ind w:firstLine="510"/>
        <w:rPr>
          <w:rFonts w:hint="eastAsia"/>
          <w:snapToGrid/>
        </w:rPr>
      </w:pPr>
      <w:r>
        <w:rPr>
          <w:rFonts w:hint="eastAsia"/>
          <w:snapToGrid/>
        </w:rPr>
        <w:t xml:space="preserve">610.  </w:t>
      </w:r>
      <w:r>
        <w:rPr>
          <w:rFonts w:hint="eastAsia"/>
          <w:snapToGrid/>
        </w:rPr>
        <w:t>为家庭提供的经济援助</w:t>
      </w:r>
      <w:r>
        <w:rPr>
          <w:rFonts w:hint="eastAsia"/>
          <w:snapToGrid/>
        </w:rPr>
        <w:t>(</w:t>
      </w:r>
      <w:r>
        <w:rPr>
          <w:rFonts w:hint="eastAsia"/>
          <w:snapToGrid/>
        </w:rPr>
        <w:t>下称“家庭经济援助”</w:t>
      </w:r>
      <w:r>
        <w:rPr>
          <w:rFonts w:hint="eastAsia"/>
          <w:snapToGrid/>
        </w:rPr>
        <w:t>)</w:t>
      </w:r>
      <w:r>
        <w:rPr>
          <w:rFonts w:hint="eastAsia"/>
          <w:snapToGrid/>
        </w:rPr>
        <w:t>：家庭经济援助是为贫穷个人或家庭提供的补助金，条件是他们必须符合法律规定的要求。家庭或家庭成员获得家庭援助权利的条件是：</w:t>
      </w:r>
    </w:p>
    <w:p w:rsidR="00000000" w:rsidRDefault="00844A84">
      <w:pPr>
        <w:pStyle w:val="a0"/>
        <w:ind w:left="1550"/>
        <w:rPr>
          <w:rFonts w:hint="eastAsia"/>
          <w:snapToGrid/>
        </w:rPr>
      </w:pPr>
      <w:r>
        <w:rPr>
          <w:rFonts w:hint="eastAsia"/>
          <w:snapToGrid/>
        </w:rPr>
        <w:t>他们没有工作能力，也没有依法抚养亲属义务，或亲属没有抚养他们的能力；</w:t>
      </w:r>
    </w:p>
    <w:p w:rsidR="00000000" w:rsidRDefault="00844A84">
      <w:pPr>
        <w:pStyle w:val="a0"/>
        <w:ind w:left="1550"/>
        <w:rPr>
          <w:rFonts w:hint="eastAsia"/>
          <w:snapToGrid/>
        </w:rPr>
      </w:pPr>
      <w:r>
        <w:rPr>
          <w:rFonts w:hint="eastAsia"/>
          <w:snapToGrid/>
        </w:rPr>
        <w:t>他们有工作能力，但必须是抚养未成年子女的家长，或必须是抚养没有工作能力赚钱的成年子女，但这些子女必须在</w:t>
      </w:r>
      <w:r>
        <w:rPr>
          <w:snapToGrid/>
        </w:rPr>
        <w:t>18</w:t>
      </w:r>
      <w:r>
        <w:rPr>
          <w:snapToGrid/>
        </w:rPr>
        <w:t>岁以前</w:t>
      </w:r>
      <w:r>
        <w:rPr>
          <w:rFonts w:hint="eastAsia"/>
          <w:snapToGrid/>
        </w:rPr>
        <w:t>就丧失了工作能力。</w:t>
      </w:r>
    </w:p>
    <w:p w:rsidR="00000000" w:rsidRDefault="00844A84">
      <w:pPr>
        <w:pStyle w:val="a0"/>
        <w:ind w:left="1550"/>
        <w:rPr>
          <w:rFonts w:hint="eastAsia"/>
          <w:snapToGrid/>
        </w:rPr>
      </w:pPr>
      <w:r>
        <w:rPr>
          <w:rFonts w:hint="eastAsia"/>
          <w:snapToGrid/>
        </w:rPr>
        <w:t>在无父母关照儿童收容</w:t>
      </w:r>
      <w:r>
        <w:rPr>
          <w:rFonts w:hint="eastAsia"/>
          <w:snapToGrid/>
        </w:rPr>
        <w:t>机构中生活的权利或在他人家庭居住的权利遭到暂停的人，但向其提协助的最高年限为取消上述权利之日后起算的两年。</w:t>
      </w:r>
    </w:p>
    <w:p w:rsidR="00000000" w:rsidRDefault="00844A84">
      <w:pPr>
        <w:pStyle w:val="a0"/>
        <w:ind w:left="1550"/>
        <w:rPr>
          <w:rFonts w:hint="eastAsia"/>
          <w:snapToGrid/>
        </w:rPr>
      </w:pPr>
      <w:r>
        <w:rPr>
          <w:rFonts w:hint="eastAsia"/>
          <w:snapToGrid/>
        </w:rPr>
        <w:t>已从特殊需求儿童学校或正规学校开设的特殊班级毕业的人；</w:t>
      </w:r>
    </w:p>
    <w:p w:rsidR="00000000" w:rsidRDefault="00844A84">
      <w:pPr>
        <w:pStyle w:val="a0"/>
        <w:ind w:left="1550"/>
        <w:rPr>
          <w:rFonts w:hint="eastAsia"/>
          <w:snapToGrid/>
        </w:rPr>
      </w:pPr>
      <w:r>
        <w:rPr>
          <w:rFonts w:hint="eastAsia"/>
          <w:snapToGrid/>
        </w:rPr>
        <w:t>家庭经济援助方案提供的补助金按黑山共和国前几个季度的平均薪水计算，补助金百分比取决于家庭成员人数。</w:t>
      </w:r>
    </w:p>
    <w:p w:rsidR="00000000" w:rsidRDefault="00844A84">
      <w:pPr>
        <w:rPr>
          <w:rFonts w:hint="eastAsia"/>
          <w:snapToGrid/>
        </w:rPr>
      </w:pPr>
      <w:r>
        <w:rPr>
          <w:rFonts w:hint="eastAsia"/>
          <w:snapToGrid/>
        </w:rPr>
        <w:tab/>
        <w:t xml:space="preserve">611.  </w:t>
      </w:r>
      <w:r>
        <w:rPr>
          <w:rFonts w:hint="eastAsia"/>
          <w:snapToGrid/>
        </w:rPr>
        <w:t>除了家庭收入是确定家庭经济援助金金额的标准外，家庭如拥有任何动产和不动产也对此有所影响。财产所有权的因素也由法律界定，并取决于家庭成员人数。</w:t>
      </w:r>
    </w:p>
    <w:p w:rsidR="00000000" w:rsidRDefault="00844A84">
      <w:pPr>
        <w:ind w:firstLine="510"/>
        <w:rPr>
          <w:rFonts w:hint="eastAsia"/>
          <w:snapToGrid/>
        </w:rPr>
      </w:pPr>
      <w:r>
        <w:rPr>
          <w:rFonts w:hint="eastAsia"/>
          <w:snapToGrid/>
        </w:rPr>
        <w:t xml:space="preserve">612.  </w:t>
      </w:r>
      <w:r>
        <w:rPr>
          <w:rFonts w:hint="eastAsia"/>
          <w:snapToGrid/>
        </w:rPr>
        <w:t>首先确定个人或家庭是否符合家庭经济援助方案的标准，然后根据黑山共和国前几个月的平</w:t>
      </w:r>
      <w:r>
        <w:rPr>
          <w:rFonts w:hint="eastAsia"/>
          <w:snapToGrid/>
        </w:rPr>
        <w:t>均薪金确定补助金金额。</w:t>
      </w:r>
    </w:p>
    <w:p w:rsidR="00000000" w:rsidRDefault="00844A84">
      <w:pPr>
        <w:ind w:firstLine="510"/>
        <w:rPr>
          <w:rFonts w:hint="eastAsia"/>
          <w:snapToGrid/>
        </w:rPr>
      </w:pPr>
      <w:r>
        <w:rPr>
          <w:rFonts w:hint="eastAsia"/>
          <w:snapToGrid/>
        </w:rPr>
        <w:t xml:space="preserve">613.  </w:t>
      </w:r>
      <w:r>
        <w:rPr>
          <w:rFonts w:hint="eastAsia"/>
          <w:snapToGrid/>
        </w:rPr>
        <w:t>按家庭经济援助方案规定应享有权利但仍有某些收入的个人或家庭，应根据家庭成员人数领取补助金差额。</w:t>
      </w:r>
    </w:p>
    <w:p w:rsidR="00000000" w:rsidRDefault="00844A84">
      <w:pPr>
        <w:ind w:firstLine="510"/>
        <w:rPr>
          <w:rFonts w:hint="eastAsia"/>
          <w:snapToGrid/>
        </w:rPr>
      </w:pPr>
      <w:r>
        <w:rPr>
          <w:rFonts w:hint="eastAsia"/>
          <w:snapToGrid/>
        </w:rPr>
        <w:t xml:space="preserve">614.  </w:t>
      </w:r>
      <w:r>
        <w:rPr>
          <w:snapToGrid/>
        </w:rPr>
        <w:t>2001</w:t>
      </w:r>
      <w:r>
        <w:rPr>
          <w:snapToGrid/>
        </w:rPr>
        <w:t>年</w:t>
      </w:r>
      <w:r>
        <w:rPr>
          <w:snapToGrid/>
        </w:rPr>
        <w:t>10</w:t>
      </w:r>
      <w:r>
        <w:rPr>
          <w:snapToGrid/>
        </w:rPr>
        <w:t>月</w:t>
      </w:r>
      <w:r>
        <w:rPr>
          <w:rFonts w:hint="eastAsia"/>
          <w:snapToGrid/>
        </w:rPr>
        <w:t>对该方案进行修改和修订</w:t>
      </w:r>
      <w:r>
        <w:rPr>
          <w:snapToGrid/>
        </w:rPr>
        <w:t>后，</w:t>
      </w:r>
      <w:r>
        <w:rPr>
          <w:rFonts w:hint="eastAsia"/>
          <w:snapToGrid/>
        </w:rPr>
        <w:t>已实施</w:t>
      </w:r>
      <w:r>
        <w:rPr>
          <w:snapToGrid/>
        </w:rPr>
        <w:t>了</w:t>
      </w:r>
      <w:r>
        <w:rPr>
          <w:rFonts w:hint="eastAsia"/>
          <w:snapToGrid/>
        </w:rPr>
        <w:t>酌处权。酌处权意味着即使不符合其中的要求，也可赋予这种权利。可根据社会工作者的建议，并在社会福利中心委员会核实后，在一定限期内发放这种补助金，并有可能延长发放补助金的期限。根据家庭成员的人数，发放的补助金可达设想金额的</w:t>
      </w:r>
      <w:r>
        <w:rPr>
          <w:snapToGrid/>
        </w:rPr>
        <w:t>50%</w:t>
      </w:r>
      <w:r>
        <w:rPr>
          <w:snapToGrid/>
        </w:rPr>
        <w:t>。酌处权也可用</w:t>
      </w:r>
      <w:r>
        <w:rPr>
          <w:rFonts w:hint="eastAsia"/>
          <w:snapToGrid/>
        </w:rPr>
        <w:t>以</w:t>
      </w:r>
      <w:r>
        <w:rPr>
          <w:snapToGrid/>
        </w:rPr>
        <w:t>拒绝给予或暂停某一权利</w:t>
      </w:r>
      <w:r>
        <w:rPr>
          <w:rFonts w:hint="eastAsia"/>
          <w:snapToGrid/>
        </w:rPr>
        <w:t>，但须</w:t>
      </w:r>
      <w:r>
        <w:rPr>
          <w:snapToGrid/>
        </w:rPr>
        <w:t>证明有理由</w:t>
      </w:r>
      <w:r>
        <w:rPr>
          <w:rFonts w:hint="eastAsia"/>
          <w:snapToGrid/>
        </w:rPr>
        <w:t>这样做</w:t>
      </w:r>
      <w:r>
        <w:rPr>
          <w:snapToGrid/>
        </w:rPr>
        <w:t>(</w:t>
      </w:r>
      <w:r>
        <w:rPr>
          <w:rFonts w:hint="eastAsia"/>
          <w:snapToGrid/>
        </w:rPr>
        <w:t>例如其</w:t>
      </w:r>
      <w:r>
        <w:rPr>
          <w:snapToGrid/>
        </w:rPr>
        <w:t>家庭收入足以</w:t>
      </w:r>
      <w:r>
        <w:rPr>
          <w:rFonts w:hint="eastAsia"/>
          <w:snapToGrid/>
        </w:rPr>
        <w:t>维生</w:t>
      </w:r>
      <w:r>
        <w:rPr>
          <w:snapToGrid/>
        </w:rPr>
        <w:t>，</w:t>
      </w:r>
      <w:r>
        <w:rPr>
          <w:rFonts w:hint="eastAsia"/>
          <w:snapToGrid/>
        </w:rPr>
        <w:t>只是</w:t>
      </w:r>
      <w:r>
        <w:rPr>
          <w:snapToGrid/>
        </w:rPr>
        <w:t>由于</w:t>
      </w:r>
      <w:r>
        <w:rPr>
          <w:snapToGrid/>
        </w:rPr>
        <w:t>在</w:t>
      </w:r>
      <w:r>
        <w:rPr>
          <w:rFonts w:hint="eastAsia"/>
          <w:snapToGrid/>
        </w:rPr>
        <w:t>灰色</w:t>
      </w:r>
      <w:r>
        <w:rPr>
          <w:snapToGrid/>
        </w:rPr>
        <w:t>市场工作</w:t>
      </w:r>
      <w:r>
        <w:rPr>
          <w:rFonts w:hint="eastAsia"/>
          <w:snapToGrid/>
        </w:rPr>
        <w:t>，因此无</w:t>
      </w:r>
      <w:r>
        <w:rPr>
          <w:snapToGrid/>
        </w:rPr>
        <w:t>正式的收入</w:t>
      </w:r>
      <w:r>
        <w:rPr>
          <w:rFonts w:hint="eastAsia"/>
          <w:snapToGrid/>
        </w:rPr>
        <w:t>记录</w:t>
      </w:r>
      <w:r>
        <w:rPr>
          <w:snapToGrid/>
        </w:rPr>
        <w:t>)</w:t>
      </w:r>
      <w:r>
        <w:rPr>
          <w:snapToGrid/>
        </w:rPr>
        <w:t>。</w:t>
      </w:r>
    </w:p>
    <w:p w:rsidR="00000000" w:rsidRDefault="00844A84">
      <w:pPr>
        <w:ind w:firstLine="510"/>
        <w:rPr>
          <w:rFonts w:hint="eastAsia"/>
          <w:snapToGrid/>
        </w:rPr>
      </w:pPr>
      <w:r>
        <w:rPr>
          <w:snapToGrid/>
        </w:rPr>
        <w:t>615.  2002</w:t>
      </w:r>
      <w:r>
        <w:rPr>
          <w:rFonts w:hint="eastAsia"/>
          <w:snapToGrid/>
        </w:rPr>
        <w:t>年</w:t>
      </w:r>
      <w:r>
        <w:rPr>
          <w:rFonts w:hint="eastAsia"/>
          <w:snapToGrid/>
        </w:rPr>
        <w:t>8</w:t>
      </w:r>
      <w:r>
        <w:rPr>
          <w:rFonts w:hint="eastAsia"/>
          <w:snapToGrid/>
        </w:rPr>
        <w:t>月，在黑山共和国有</w:t>
      </w:r>
      <w:r>
        <w:rPr>
          <w:rFonts w:hint="eastAsia"/>
          <w:snapToGrid/>
        </w:rPr>
        <w:t>9,843</w:t>
      </w:r>
      <w:r>
        <w:rPr>
          <w:rFonts w:hint="eastAsia"/>
          <w:snapToGrid/>
        </w:rPr>
        <w:t>个家庭获得了领取家庭经济援助金的权利。这些家庭的成员人数合计为</w:t>
      </w:r>
      <w:r>
        <w:rPr>
          <w:rFonts w:hint="eastAsia"/>
          <w:snapToGrid/>
        </w:rPr>
        <w:t>27,960</w:t>
      </w:r>
      <w:r>
        <w:rPr>
          <w:rFonts w:hint="eastAsia"/>
          <w:snapToGrid/>
        </w:rPr>
        <w:t>人，其中有</w:t>
      </w:r>
      <w:r>
        <w:rPr>
          <w:rFonts w:hint="eastAsia"/>
          <w:snapToGrid/>
        </w:rPr>
        <w:t>12,695</w:t>
      </w:r>
      <w:r>
        <w:rPr>
          <w:rFonts w:hint="eastAsia"/>
          <w:snapToGrid/>
        </w:rPr>
        <w:t>人为</w:t>
      </w:r>
      <w:r>
        <w:rPr>
          <w:rFonts w:hint="eastAsia"/>
          <w:snapToGrid/>
        </w:rPr>
        <w:t>16</w:t>
      </w:r>
      <w:r>
        <w:rPr>
          <w:rFonts w:hint="eastAsia"/>
          <w:snapToGrid/>
        </w:rPr>
        <w:t>岁以下的儿童；</w:t>
      </w:r>
      <w:r>
        <w:rPr>
          <w:rFonts w:hint="eastAsia"/>
          <w:snapToGrid/>
        </w:rPr>
        <w:t>16</w:t>
      </w:r>
      <w:r>
        <w:rPr>
          <w:rFonts w:hint="eastAsia"/>
          <w:snapToGrid/>
        </w:rPr>
        <w:t>岁以上的成员包括</w:t>
      </w:r>
      <w:r>
        <w:rPr>
          <w:rFonts w:hint="eastAsia"/>
          <w:snapToGrid/>
        </w:rPr>
        <w:t>7,574</w:t>
      </w:r>
      <w:r>
        <w:rPr>
          <w:rFonts w:hint="eastAsia"/>
          <w:snapToGrid/>
        </w:rPr>
        <w:t>名女子和</w:t>
      </w:r>
      <w:r>
        <w:rPr>
          <w:rFonts w:hint="eastAsia"/>
          <w:snapToGrid/>
        </w:rPr>
        <w:t>10,633</w:t>
      </w:r>
      <w:r>
        <w:rPr>
          <w:rFonts w:hint="eastAsia"/>
          <w:snapToGrid/>
        </w:rPr>
        <w:t>名男子。每月金额约为</w:t>
      </w:r>
      <w:r>
        <w:rPr>
          <w:rFonts w:hint="eastAsia"/>
          <w:snapToGrid/>
        </w:rPr>
        <w:t>621</w:t>
      </w:r>
      <w:r>
        <w:rPr>
          <w:rFonts w:hint="eastAsia"/>
          <w:snapToGrid/>
        </w:rPr>
        <w:t>欧元。</w:t>
      </w:r>
    </w:p>
    <w:p w:rsidR="00000000" w:rsidRDefault="00844A84">
      <w:pPr>
        <w:ind w:firstLine="510"/>
        <w:rPr>
          <w:rFonts w:hint="eastAsia"/>
          <w:snapToGrid/>
        </w:rPr>
      </w:pPr>
      <w:r>
        <w:rPr>
          <w:rFonts w:hint="eastAsia"/>
          <w:snapToGrid/>
        </w:rPr>
        <w:t>61</w:t>
      </w:r>
      <w:r>
        <w:rPr>
          <w:snapToGrid/>
        </w:rPr>
        <w:t>6.</w:t>
      </w:r>
      <w:r>
        <w:rPr>
          <w:rFonts w:hint="eastAsia"/>
          <w:snapToGrid/>
        </w:rPr>
        <w:t xml:space="preserve">  </w:t>
      </w:r>
      <w:r>
        <w:rPr>
          <w:rFonts w:hint="eastAsia"/>
          <w:snapToGrid/>
        </w:rPr>
        <w:t>儿童福利补助：该法律规定，应赋予以下儿童领取儿童福利补助的权利：</w:t>
      </w:r>
    </w:p>
    <w:p w:rsidR="00000000" w:rsidRDefault="00844A84">
      <w:pPr>
        <w:pStyle w:val="a0"/>
        <w:ind w:left="1550"/>
        <w:rPr>
          <w:rFonts w:hint="eastAsia"/>
          <w:snapToGrid/>
        </w:rPr>
      </w:pPr>
      <w:r>
        <w:rPr>
          <w:rFonts w:hint="eastAsia"/>
          <w:snapToGrid/>
        </w:rPr>
        <w:t>适用家庭经济援助方案的家庭前三名子女，按黑山共和国最低劳动率</w:t>
      </w:r>
      <w:r>
        <w:rPr>
          <w:snapToGrid/>
        </w:rPr>
        <w:t>30%</w:t>
      </w:r>
      <w:r>
        <w:rPr>
          <w:snapToGrid/>
        </w:rPr>
        <w:t>计算；</w:t>
      </w:r>
    </w:p>
    <w:p w:rsidR="00000000" w:rsidRDefault="00844A84">
      <w:pPr>
        <w:pStyle w:val="a0"/>
        <w:ind w:left="1550"/>
        <w:rPr>
          <w:rFonts w:hint="eastAsia"/>
          <w:snapToGrid/>
        </w:rPr>
      </w:pPr>
      <w:r>
        <w:rPr>
          <w:rFonts w:hint="eastAsia"/>
          <w:snapToGrid/>
        </w:rPr>
        <w:t>因轻度发展障碍而在特殊需求儿童学校或正规学校特殊班就学的儿童，而</w:t>
      </w:r>
      <w:r>
        <w:rPr>
          <w:rFonts w:hint="eastAsia"/>
          <w:snapToGrid/>
        </w:rPr>
        <w:t>不论其家庭儿童人数多少和经济状况如何，按黑山共和国最低劳动率</w:t>
      </w:r>
      <w:r>
        <w:rPr>
          <w:snapToGrid/>
        </w:rPr>
        <w:t>40%</w:t>
      </w:r>
      <w:r>
        <w:rPr>
          <w:snapToGrid/>
        </w:rPr>
        <w:t>计算；</w:t>
      </w:r>
    </w:p>
    <w:p w:rsidR="00000000" w:rsidRDefault="00844A84">
      <w:pPr>
        <w:pStyle w:val="a0"/>
        <w:ind w:left="1550"/>
        <w:rPr>
          <w:rFonts w:hint="eastAsia"/>
          <w:snapToGrid/>
        </w:rPr>
      </w:pPr>
      <w:r>
        <w:rPr>
          <w:rFonts w:hint="eastAsia"/>
          <w:snapToGrid/>
        </w:rPr>
        <w:t>有生理和心理障碍而无法工作且得不到生活援助的儿童，而不论其家庭儿童人数多少和经济状况如何，按黑山共和国最低劳动率</w:t>
      </w:r>
      <w:r>
        <w:rPr>
          <w:snapToGrid/>
        </w:rPr>
        <w:t>50%</w:t>
      </w:r>
      <w:r>
        <w:rPr>
          <w:snapToGrid/>
        </w:rPr>
        <w:t>计算。</w:t>
      </w:r>
    </w:p>
    <w:p w:rsidR="00000000" w:rsidRDefault="00844A84">
      <w:pPr>
        <w:ind w:firstLine="510"/>
        <w:rPr>
          <w:rFonts w:hint="eastAsia"/>
          <w:snapToGrid/>
        </w:rPr>
      </w:pPr>
      <w:r>
        <w:rPr>
          <w:rFonts w:hint="eastAsia"/>
          <w:snapToGrid/>
        </w:rPr>
        <w:t xml:space="preserve">617.  </w:t>
      </w:r>
      <w:r>
        <w:rPr>
          <w:rFonts w:hint="eastAsia"/>
          <w:snapToGrid/>
        </w:rPr>
        <w:t>劳动和社会福利部的数据显示，</w:t>
      </w:r>
      <w:r>
        <w:rPr>
          <w:snapToGrid/>
        </w:rPr>
        <w:t>2002</w:t>
      </w:r>
      <w:r>
        <w:rPr>
          <w:snapToGrid/>
        </w:rPr>
        <w:t>年</w:t>
      </w:r>
      <w:r>
        <w:rPr>
          <w:snapToGrid/>
        </w:rPr>
        <w:t>8</w:t>
      </w:r>
      <w:r>
        <w:rPr>
          <w:snapToGrid/>
        </w:rPr>
        <w:t>月，有资格领取儿童补助金的家庭</w:t>
      </w:r>
      <w:r>
        <w:rPr>
          <w:rFonts w:hint="eastAsia"/>
          <w:snapToGrid/>
        </w:rPr>
        <w:t>为</w:t>
      </w:r>
      <w:r>
        <w:rPr>
          <w:snapToGrid/>
        </w:rPr>
        <w:t>6,240</w:t>
      </w:r>
      <w:r>
        <w:rPr>
          <w:snapToGrid/>
        </w:rPr>
        <w:t>个，子女人数为</w:t>
      </w:r>
      <w:r>
        <w:rPr>
          <w:snapToGrid/>
        </w:rPr>
        <w:t>11,847</w:t>
      </w:r>
      <w:r>
        <w:rPr>
          <w:snapToGrid/>
        </w:rPr>
        <w:t>人，占儿童</w:t>
      </w:r>
      <w:r>
        <w:rPr>
          <w:rFonts w:hint="eastAsia"/>
          <w:snapToGrid/>
        </w:rPr>
        <w:t>总</w:t>
      </w:r>
      <w:r>
        <w:rPr>
          <w:snapToGrid/>
        </w:rPr>
        <w:t>数</w:t>
      </w:r>
      <w:r>
        <w:rPr>
          <w:snapToGrid/>
        </w:rPr>
        <w:t>7%</w:t>
      </w:r>
      <w:r>
        <w:rPr>
          <w:snapToGrid/>
        </w:rPr>
        <w:t>。</w:t>
      </w:r>
      <w:r>
        <w:rPr>
          <w:rFonts w:hint="eastAsia"/>
          <w:snapToGrid/>
        </w:rPr>
        <w:t>拨出</w:t>
      </w:r>
      <w:r>
        <w:rPr>
          <w:snapToGrid/>
        </w:rPr>
        <w:t>款项为</w:t>
      </w:r>
      <w:r>
        <w:rPr>
          <w:snapToGrid/>
        </w:rPr>
        <w:t>19</w:t>
      </w:r>
      <w:r>
        <w:rPr>
          <w:rFonts w:hint="eastAsia"/>
          <w:snapToGrid/>
        </w:rPr>
        <w:t>3,</w:t>
      </w:r>
      <w:r>
        <w:rPr>
          <w:snapToGrid/>
        </w:rPr>
        <w:t>55</w:t>
      </w:r>
      <w:r>
        <w:rPr>
          <w:rFonts w:hint="eastAsia"/>
          <w:snapToGrid/>
        </w:rPr>
        <w:t>5</w:t>
      </w:r>
      <w:r>
        <w:rPr>
          <w:snapToGrid/>
        </w:rPr>
        <w:t>欧元。</w:t>
      </w:r>
      <w:r>
        <w:rPr>
          <w:rFonts w:hint="eastAsia"/>
          <w:snapToGrid/>
        </w:rPr>
        <w:t>学前儿童为</w:t>
      </w:r>
      <w:r>
        <w:rPr>
          <w:snapToGrid/>
        </w:rPr>
        <w:t>4,073</w:t>
      </w:r>
      <w:r>
        <w:rPr>
          <w:rFonts w:hint="eastAsia"/>
          <w:snapToGrid/>
        </w:rPr>
        <w:t>人</w:t>
      </w:r>
      <w:r>
        <w:rPr>
          <w:snapToGrid/>
        </w:rPr>
        <w:t>，小学生</w:t>
      </w:r>
      <w:r>
        <w:rPr>
          <w:rFonts w:hint="eastAsia"/>
          <w:snapToGrid/>
        </w:rPr>
        <w:t>为</w:t>
      </w:r>
      <w:r>
        <w:rPr>
          <w:snapToGrid/>
        </w:rPr>
        <w:t>7,</w:t>
      </w:r>
      <w:r>
        <w:rPr>
          <w:rFonts w:hint="eastAsia"/>
          <w:snapToGrid/>
        </w:rPr>
        <w:t>1</w:t>
      </w:r>
      <w:r>
        <w:rPr>
          <w:snapToGrid/>
        </w:rPr>
        <w:t>57</w:t>
      </w:r>
      <w:r>
        <w:rPr>
          <w:snapToGrid/>
        </w:rPr>
        <w:t>人，</w:t>
      </w:r>
      <w:r>
        <w:rPr>
          <w:rFonts w:hint="eastAsia"/>
          <w:snapToGrid/>
        </w:rPr>
        <w:t>中</w:t>
      </w:r>
      <w:r>
        <w:rPr>
          <w:snapToGrid/>
        </w:rPr>
        <w:t>学生为</w:t>
      </w:r>
      <w:r>
        <w:rPr>
          <w:snapToGrid/>
        </w:rPr>
        <w:t>6</w:t>
      </w:r>
      <w:r>
        <w:rPr>
          <w:rFonts w:hint="eastAsia"/>
          <w:snapToGrid/>
        </w:rPr>
        <w:t>4</w:t>
      </w:r>
      <w:r>
        <w:rPr>
          <w:snapToGrid/>
        </w:rPr>
        <w:t>3</w:t>
      </w:r>
      <w:r>
        <w:rPr>
          <w:snapToGrid/>
        </w:rPr>
        <w:t>人。</w:t>
      </w:r>
    </w:p>
    <w:p w:rsidR="00000000" w:rsidRDefault="00844A84">
      <w:pPr>
        <w:ind w:firstLine="510"/>
        <w:rPr>
          <w:rFonts w:hint="eastAsia"/>
          <w:snapToGrid/>
        </w:rPr>
      </w:pPr>
      <w:r>
        <w:rPr>
          <w:rFonts w:hint="eastAsia"/>
          <w:snapToGrid/>
        </w:rPr>
        <w:t xml:space="preserve">618.  </w:t>
      </w:r>
      <w:r>
        <w:rPr>
          <w:rFonts w:hint="eastAsia"/>
          <w:snapToGrid/>
        </w:rPr>
        <w:t>照顾和协助他人补助金：照顾和协助他人补助金发放给智力发展障碍轻度</w:t>
      </w:r>
      <w:r>
        <w:rPr>
          <w:rFonts w:hint="eastAsia"/>
          <w:snapToGrid/>
        </w:rPr>
        <w:t>、严重或十分严重的人、孤独症患者，营养失调者、多重障碍者、盲人和患有严重障碍而需要第三者协助和照料的人，而不论其家庭收入多少。</w:t>
      </w:r>
    </w:p>
    <w:p w:rsidR="00000000" w:rsidRDefault="00844A84">
      <w:pPr>
        <w:ind w:firstLine="510"/>
        <w:rPr>
          <w:rFonts w:hint="eastAsia"/>
          <w:snapToGrid/>
        </w:rPr>
      </w:pPr>
      <w:r>
        <w:rPr>
          <w:rFonts w:hint="eastAsia"/>
          <w:snapToGrid/>
        </w:rPr>
        <w:t xml:space="preserve">619.  </w:t>
      </w:r>
      <w:r>
        <w:rPr>
          <w:rFonts w:hint="eastAsia"/>
          <w:snapToGrid/>
        </w:rPr>
        <w:t>这种补助金的金额为最低劳动率的</w:t>
      </w:r>
      <w:r>
        <w:rPr>
          <w:snapToGrid/>
        </w:rPr>
        <w:t>60%</w:t>
      </w:r>
      <w:r>
        <w:rPr>
          <w:snapToGrid/>
        </w:rPr>
        <w:t>。劳动和社会福利部资料显示，有资格获得这种</w:t>
      </w:r>
      <w:r>
        <w:rPr>
          <w:rFonts w:hint="eastAsia"/>
          <w:snapToGrid/>
        </w:rPr>
        <w:t>补助</w:t>
      </w:r>
      <w:r>
        <w:rPr>
          <w:snapToGrid/>
        </w:rPr>
        <w:t>的</w:t>
      </w:r>
      <w:r>
        <w:rPr>
          <w:rFonts w:hint="eastAsia"/>
          <w:snapToGrid/>
        </w:rPr>
        <w:t>有</w:t>
      </w:r>
      <w:r>
        <w:rPr>
          <w:snapToGrid/>
        </w:rPr>
        <w:t>5,147</w:t>
      </w:r>
      <w:r>
        <w:rPr>
          <w:snapToGrid/>
        </w:rPr>
        <w:t>人。如果这些人同时也是家庭经济援助方案的受益人，则补助金金额为劳动</w:t>
      </w:r>
      <w:r>
        <w:rPr>
          <w:rFonts w:hint="eastAsia"/>
          <w:snapToGrid/>
        </w:rPr>
        <w:t>率</w:t>
      </w:r>
      <w:r>
        <w:rPr>
          <w:snapToGrid/>
        </w:rPr>
        <w:t>的</w:t>
      </w:r>
      <w:r>
        <w:rPr>
          <w:snapToGrid/>
        </w:rPr>
        <w:t>100%</w:t>
      </w:r>
      <w:r>
        <w:rPr>
          <w:snapToGrid/>
        </w:rPr>
        <w:t>。有资格领取这种补助金</w:t>
      </w:r>
      <w:r>
        <w:rPr>
          <w:rFonts w:hint="eastAsia"/>
          <w:snapToGrid/>
        </w:rPr>
        <w:t>的有</w:t>
      </w:r>
      <w:r>
        <w:rPr>
          <w:snapToGrid/>
        </w:rPr>
        <w:t>976</w:t>
      </w:r>
      <w:r>
        <w:rPr>
          <w:snapToGrid/>
        </w:rPr>
        <w:t>人，拨出</w:t>
      </w:r>
      <w:r>
        <w:rPr>
          <w:rFonts w:hint="eastAsia"/>
          <w:snapToGrid/>
        </w:rPr>
        <w:t>的</w:t>
      </w:r>
      <w:r>
        <w:rPr>
          <w:snapToGrid/>
        </w:rPr>
        <w:t>总金额为</w:t>
      </w:r>
      <w:r>
        <w:rPr>
          <w:snapToGrid/>
        </w:rPr>
        <w:t>203,807</w:t>
      </w:r>
      <w:r>
        <w:rPr>
          <w:snapToGrid/>
        </w:rPr>
        <w:t>欧元。</w:t>
      </w:r>
    </w:p>
    <w:p w:rsidR="00000000" w:rsidRDefault="00844A84">
      <w:pPr>
        <w:ind w:firstLine="510"/>
        <w:rPr>
          <w:rFonts w:hint="eastAsia"/>
          <w:snapToGrid/>
        </w:rPr>
      </w:pPr>
      <w:r>
        <w:rPr>
          <w:rFonts w:hint="eastAsia"/>
          <w:snapToGrid/>
        </w:rPr>
        <w:t xml:space="preserve">620.  </w:t>
      </w:r>
      <w:r>
        <w:rPr>
          <w:rFonts w:hint="eastAsia"/>
          <w:snapToGrid/>
        </w:rPr>
        <w:t>单项付款支助：这一权利旨在向处境特别困难的家庭提供援助，而不论其是否已获得社会福利方案规定的补助。发放的金额取决于</w:t>
      </w:r>
      <w:r>
        <w:rPr>
          <w:rFonts w:hint="eastAsia"/>
          <w:snapToGrid/>
        </w:rPr>
        <w:t>家庭状况及现有资金的多少。</w:t>
      </w:r>
    </w:p>
    <w:p w:rsidR="00000000" w:rsidRDefault="00844A84">
      <w:pPr>
        <w:ind w:firstLine="510"/>
        <w:rPr>
          <w:rFonts w:hint="eastAsia"/>
          <w:snapToGrid/>
        </w:rPr>
      </w:pPr>
      <w:r>
        <w:rPr>
          <w:rFonts w:hint="eastAsia"/>
          <w:snapToGrid/>
        </w:rPr>
        <w:t xml:space="preserve">621.  </w:t>
      </w:r>
      <w:r>
        <w:rPr>
          <w:rFonts w:hint="eastAsia"/>
          <w:snapToGrid/>
        </w:rPr>
        <w:t>由社会福利机构或另一个家庭提供膳宿：这种膳宿权利提供给：</w:t>
      </w:r>
    </w:p>
    <w:p w:rsidR="00000000" w:rsidRDefault="00844A84">
      <w:pPr>
        <w:pStyle w:val="a0"/>
        <w:ind w:left="1550"/>
        <w:rPr>
          <w:rFonts w:hint="eastAsia"/>
          <w:snapToGrid/>
        </w:rPr>
      </w:pPr>
      <w:r>
        <w:rPr>
          <w:rFonts w:hint="eastAsia"/>
          <w:snapToGrid/>
        </w:rPr>
        <w:t>无父母照料的儿童和因家庭条件而发育受影响的儿童、有生理和心理障碍的儿童以及行为失常的儿童；</w:t>
      </w:r>
    </w:p>
    <w:p w:rsidR="00000000" w:rsidRDefault="00844A84">
      <w:pPr>
        <w:pStyle w:val="a0"/>
        <w:ind w:left="1550"/>
        <w:rPr>
          <w:rFonts w:hint="eastAsia"/>
          <w:snapToGrid/>
        </w:rPr>
      </w:pPr>
      <w:r>
        <w:rPr>
          <w:rFonts w:hint="eastAsia"/>
          <w:snapToGrid/>
        </w:rPr>
        <w:t>无法在没有协助下生活的养恤金领取者和其他老年人，患有严重慢性病的残疾成年人以及需要得到日常协助的精神病患者。</w:t>
      </w:r>
    </w:p>
    <w:p w:rsidR="00000000" w:rsidRDefault="00844A84">
      <w:pPr>
        <w:ind w:firstLine="510"/>
        <w:rPr>
          <w:rFonts w:hint="eastAsia"/>
          <w:snapToGrid/>
        </w:rPr>
      </w:pPr>
      <w:r>
        <w:rPr>
          <w:rFonts w:hint="eastAsia"/>
          <w:snapToGrid/>
        </w:rPr>
        <w:t xml:space="preserve">622.  </w:t>
      </w:r>
      <w:r>
        <w:rPr>
          <w:rFonts w:hint="eastAsia"/>
          <w:snapToGrid/>
        </w:rPr>
        <w:t>黑山共和国共有</w:t>
      </w:r>
      <w:r>
        <w:rPr>
          <w:snapToGrid/>
        </w:rPr>
        <w:t>900</w:t>
      </w:r>
      <w:r>
        <w:rPr>
          <w:rFonts w:hint="eastAsia"/>
          <w:snapToGrid/>
        </w:rPr>
        <w:t>人</w:t>
      </w:r>
      <w:r>
        <w:rPr>
          <w:snapToGrid/>
        </w:rPr>
        <w:t>在各种收容机构生活，另有</w:t>
      </w:r>
      <w:r>
        <w:rPr>
          <w:rFonts w:hint="eastAsia"/>
          <w:snapToGrid/>
        </w:rPr>
        <w:t>200</w:t>
      </w:r>
      <w:r>
        <w:rPr>
          <w:rFonts w:hint="eastAsia"/>
          <w:snapToGrid/>
        </w:rPr>
        <w:t>人住在他人家庭</w:t>
      </w:r>
      <w:r>
        <w:rPr>
          <w:snapToGrid/>
        </w:rPr>
        <w:t>。</w:t>
      </w:r>
    </w:p>
    <w:p w:rsidR="00000000" w:rsidRDefault="00844A84">
      <w:pPr>
        <w:ind w:firstLine="510"/>
        <w:rPr>
          <w:rFonts w:hint="eastAsia"/>
          <w:snapToGrid/>
        </w:rPr>
      </w:pPr>
      <w:r>
        <w:rPr>
          <w:rFonts w:hint="eastAsia"/>
          <w:snapToGrid/>
        </w:rPr>
        <w:t xml:space="preserve">623.  </w:t>
      </w:r>
      <w:r>
        <w:rPr>
          <w:rFonts w:hint="eastAsia"/>
          <w:snapToGrid/>
        </w:rPr>
        <w:t>在黑山共和国，住房问题的解决取决于劳动地位。这意味着员工的住房问题由其任职的公司予以解决；养恤金领取者通过共和国养恤基</w:t>
      </w:r>
      <w:r>
        <w:rPr>
          <w:rFonts w:hint="eastAsia"/>
          <w:snapToGrid/>
        </w:rPr>
        <w:t>金予以解决；获得社会福利支助的人则通过地方政府当局根据其经济状况予以解决。</w:t>
      </w:r>
    </w:p>
    <w:p w:rsidR="00000000" w:rsidRDefault="00844A84">
      <w:pPr>
        <w:spacing w:after="320"/>
        <w:ind w:firstLine="510"/>
        <w:rPr>
          <w:rFonts w:hint="eastAsia"/>
          <w:snapToGrid/>
        </w:rPr>
      </w:pPr>
      <w:r>
        <w:rPr>
          <w:rFonts w:hint="eastAsia"/>
          <w:snapToGrid/>
        </w:rPr>
        <w:t xml:space="preserve">624.  </w:t>
      </w:r>
      <w:r>
        <w:rPr>
          <w:rFonts w:hint="eastAsia"/>
          <w:snapToGrid/>
        </w:rPr>
        <w:t>由于实行了私有化，越来越多的人正在失去由公司解决住房问题的机会，这意味着迫切需要在共和国各级制定合理的住房计划，来解决这一问题。</w:t>
      </w:r>
    </w:p>
    <w:p w:rsidR="00000000" w:rsidRDefault="00844A84">
      <w:pPr>
        <w:pStyle w:val="Heading4"/>
        <w:rPr>
          <w:rFonts w:hint="eastAsia"/>
        </w:rPr>
      </w:pPr>
      <w:r>
        <w:rPr>
          <w:rFonts w:hint="eastAsia"/>
        </w:rPr>
        <w:t>第</w:t>
      </w:r>
      <w:r>
        <w:rPr>
          <w:rFonts w:hint="eastAsia"/>
        </w:rPr>
        <w:t>2</w:t>
      </w:r>
      <w:r>
        <w:rPr>
          <w:rFonts w:hint="eastAsia"/>
        </w:rPr>
        <w:t>款</w:t>
      </w:r>
    </w:p>
    <w:p w:rsidR="00000000" w:rsidRDefault="00844A84">
      <w:pPr>
        <w:spacing w:after="320"/>
        <w:ind w:firstLine="510"/>
        <w:rPr>
          <w:rFonts w:hint="eastAsia"/>
          <w:snapToGrid/>
        </w:rPr>
      </w:pPr>
      <w:r>
        <w:rPr>
          <w:rFonts w:hint="eastAsia"/>
          <w:snapToGrid/>
        </w:rPr>
        <w:t xml:space="preserve">625.  </w:t>
      </w:r>
      <w:r>
        <w:rPr>
          <w:rFonts w:hint="eastAsia"/>
          <w:snapToGrid/>
        </w:rPr>
        <w:t>黑山共和国没有国家粮食方案。住房活动通过社会福利方案进行，以此提高人口中最弱势群体的生活水平。此外已通过就业和税收政策等领域进行的若干活动，改善了家庭的生活条件。</w:t>
      </w:r>
    </w:p>
    <w:p w:rsidR="00000000" w:rsidRDefault="00844A84">
      <w:pPr>
        <w:pStyle w:val="Heading3"/>
        <w:rPr>
          <w:rFonts w:hint="eastAsia"/>
        </w:rPr>
      </w:pPr>
      <w:r>
        <w:rPr>
          <w:rFonts w:hint="eastAsia"/>
        </w:rPr>
        <w:t>第</w:t>
      </w:r>
      <w:r>
        <w:rPr>
          <w:rFonts w:hint="eastAsia"/>
        </w:rPr>
        <w:t xml:space="preserve"> </w:t>
      </w:r>
      <w:r>
        <w:rPr>
          <w:rFonts w:hint="eastAsia"/>
        </w:rPr>
        <w:t>十二</w:t>
      </w:r>
      <w:r>
        <w:rPr>
          <w:rFonts w:hint="eastAsia"/>
        </w:rPr>
        <w:t xml:space="preserve"> </w:t>
      </w:r>
      <w:r>
        <w:t>条</w:t>
      </w:r>
    </w:p>
    <w:p w:rsidR="00000000" w:rsidRDefault="00844A84">
      <w:pPr>
        <w:pStyle w:val="Heading4"/>
        <w:rPr>
          <w:rFonts w:hint="eastAsia"/>
        </w:rPr>
      </w:pPr>
      <w:r>
        <w:rPr>
          <w:rFonts w:hint="eastAsia"/>
        </w:rPr>
        <w:t>第</w:t>
      </w:r>
      <w:r>
        <w:rPr>
          <w:rFonts w:hint="eastAsia"/>
        </w:rPr>
        <w:t>1</w:t>
      </w:r>
      <w:r>
        <w:rPr>
          <w:rFonts w:hint="eastAsia"/>
        </w:rPr>
        <w:t>款</w:t>
      </w:r>
    </w:p>
    <w:p w:rsidR="00000000" w:rsidRDefault="00844A84">
      <w:pPr>
        <w:ind w:firstLine="510"/>
        <w:rPr>
          <w:rFonts w:hint="eastAsia"/>
          <w:snapToGrid/>
        </w:rPr>
      </w:pPr>
      <w:r>
        <w:rPr>
          <w:rFonts w:hint="eastAsia"/>
          <w:snapToGrid/>
        </w:rPr>
        <w:t xml:space="preserve">626.  </w:t>
      </w:r>
      <w:r>
        <w:rPr>
          <w:rFonts w:hint="eastAsia"/>
          <w:snapToGrid/>
        </w:rPr>
        <w:t>《黑山共和国宪法》第</w:t>
      </w:r>
      <w:r>
        <w:rPr>
          <w:snapToGrid/>
        </w:rPr>
        <w:t>57</w:t>
      </w:r>
      <w:r>
        <w:rPr>
          <w:snapToGrid/>
        </w:rPr>
        <w:t>条保障人民享有保健的权利，并保证儿童、孕妇和老年人享</w:t>
      </w:r>
      <w:r>
        <w:rPr>
          <w:snapToGrid/>
        </w:rPr>
        <w:t>有从公共收入中获得保健经费的权利，但他们必须按不同的方案行使这一权利。</w:t>
      </w:r>
    </w:p>
    <w:p w:rsidR="00000000" w:rsidRDefault="00844A84">
      <w:pPr>
        <w:ind w:firstLine="510"/>
        <w:rPr>
          <w:rFonts w:hint="eastAsia"/>
          <w:snapToGrid/>
        </w:rPr>
      </w:pPr>
      <w:r>
        <w:rPr>
          <w:rFonts w:hint="eastAsia"/>
          <w:snapToGrid/>
        </w:rPr>
        <w:t xml:space="preserve">627.  </w:t>
      </w:r>
      <w:r>
        <w:rPr>
          <w:rFonts w:hint="eastAsia"/>
          <w:snapToGrid/>
        </w:rPr>
        <w:t>国家保健政策提出了提高健康水平的目标，并规定了实现保健政策的措施和活动。《保健法》规定保健为有组织的总体社会活动，其目标是保护和提高卫生水平，以及预防、限制和早期发现疾病、伤痛和其他健康失调现象，并及时和有效地予以处理和康复。根据《保健和健康保险法》及各种附则，保健方案说明了社区的各种问题、确定了各种需求，并争取获得资源以满足这些需求，规定现实的和可实现的优先目标，并计划采取实现这些目标的行政行动。黑山保健政策的依据是《保健</w:t>
      </w:r>
      <w:r>
        <w:rPr>
          <w:rFonts w:hint="eastAsia"/>
          <w:snapToGrid/>
        </w:rPr>
        <w:t>和健康保险法》、关于建立公共卫生保健机构的决定以及详尽规定保健类别和范围的其他各种附则。</w:t>
      </w:r>
    </w:p>
    <w:p w:rsidR="00000000" w:rsidRDefault="00844A84">
      <w:pPr>
        <w:ind w:firstLine="510"/>
        <w:rPr>
          <w:rFonts w:hint="eastAsia"/>
          <w:snapToGrid/>
        </w:rPr>
      </w:pPr>
      <w:r>
        <w:rPr>
          <w:rFonts w:hint="eastAsia"/>
          <w:snapToGrid/>
        </w:rPr>
        <w:t xml:space="preserve">628.  </w:t>
      </w:r>
      <w:r>
        <w:rPr>
          <w:rFonts w:hint="eastAsia"/>
          <w:snapToGrid/>
        </w:rPr>
        <w:t>直到</w:t>
      </w:r>
      <w:r>
        <w:rPr>
          <w:snapToGrid/>
        </w:rPr>
        <w:t>2020</w:t>
      </w:r>
      <w:r>
        <w:rPr>
          <w:snapToGrid/>
        </w:rPr>
        <w:t>年</w:t>
      </w:r>
      <w:r>
        <w:rPr>
          <w:rFonts w:hint="eastAsia"/>
          <w:snapToGrid/>
        </w:rPr>
        <w:t>，</w:t>
      </w:r>
      <w:r>
        <w:rPr>
          <w:snapToGrid/>
        </w:rPr>
        <w:t>黑山共和国将通过的保健政策</w:t>
      </w:r>
      <w:r>
        <w:rPr>
          <w:rFonts w:hint="eastAsia"/>
          <w:snapToGrid/>
        </w:rPr>
        <w:t>的</w:t>
      </w:r>
      <w:r>
        <w:rPr>
          <w:snapToGrid/>
        </w:rPr>
        <w:t>依据</w:t>
      </w:r>
      <w:r>
        <w:rPr>
          <w:rFonts w:hint="eastAsia"/>
          <w:snapToGrid/>
        </w:rPr>
        <w:t>是</w:t>
      </w:r>
      <w:r>
        <w:rPr>
          <w:snapToGrid/>
        </w:rPr>
        <w:t>世界卫生组织大会的两项文件：</w:t>
      </w:r>
      <w:r>
        <w:rPr>
          <w:snapToGrid/>
        </w:rPr>
        <w:t>“</w:t>
      </w:r>
      <w:r>
        <w:rPr>
          <w:snapToGrid/>
        </w:rPr>
        <w:t>世界保健宣言</w:t>
      </w:r>
      <w:r>
        <w:rPr>
          <w:snapToGrid/>
        </w:rPr>
        <w:t>”</w:t>
      </w:r>
      <w:r>
        <w:rPr>
          <w:snapToGrid/>
        </w:rPr>
        <w:t>和</w:t>
      </w:r>
      <w:r>
        <w:rPr>
          <w:snapToGrid/>
        </w:rPr>
        <w:t>“21</w:t>
      </w:r>
      <w:r>
        <w:rPr>
          <w:rFonts w:hint="eastAsia"/>
          <w:snapToGrid/>
        </w:rPr>
        <w:t>世纪人人享有健康</w:t>
      </w:r>
      <w:r>
        <w:rPr>
          <w:snapToGrid/>
        </w:rPr>
        <w:t>”</w:t>
      </w:r>
      <w:r>
        <w:rPr>
          <w:rFonts w:hint="eastAsia"/>
          <w:snapToGrid/>
        </w:rPr>
        <w:t>。</w:t>
      </w:r>
    </w:p>
    <w:p w:rsidR="00000000" w:rsidRDefault="00844A84">
      <w:pPr>
        <w:ind w:firstLine="510"/>
        <w:rPr>
          <w:rFonts w:hint="eastAsia"/>
          <w:snapToGrid/>
        </w:rPr>
      </w:pPr>
      <w:r>
        <w:rPr>
          <w:rFonts w:hint="eastAsia"/>
          <w:snapToGrid/>
        </w:rPr>
        <w:t xml:space="preserve">629.  </w:t>
      </w:r>
      <w:r>
        <w:rPr>
          <w:rFonts w:hint="eastAsia"/>
          <w:snapToGrid/>
        </w:rPr>
        <w:t>直到</w:t>
      </w:r>
      <w:r>
        <w:rPr>
          <w:rFonts w:hint="eastAsia"/>
          <w:snapToGrid/>
        </w:rPr>
        <w:t>2020</w:t>
      </w:r>
      <w:r>
        <w:rPr>
          <w:rFonts w:hint="eastAsia"/>
          <w:snapToGrid/>
        </w:rPr>
        <w:t>年，黑山共和国的保健政策将包括一项立法框架、方案和其他具体活动，其目标是提高保健效益，改进保健质量，并使共和国的保健系统纳入欧洲和世界保健发展进程。</w:t>
      </w:r>
    </w:p>
    <w:p w:rsidR="00000000" w:rsidRDefault="00844A84">
      <w:pPr>
        <w:spacing w:line="288" w:lineRule="auto"/>
        <w:ind w:firstLine="510"/>
        <w:rPr>
          <w:rFonts w:hint="eastAsia"/>
          <w:snapToGrid/>
        </w:rPr>
      </w:pPr>
      <w:r>
        <w:rPr>
          <w:rFonts w:hint="eastAsia"/>
          <w:snapToGrid/>
        </w:rPr>
        <w:t xml:space="preserve">630.  </w:t>
      </w:r>
      <w:r>
        <w:rPr>
          <w:rFonts w:hint="eastAsia"/>
          <w:snapToGrid/>
        </w:rPr>
        <w:t>保健政策的目标：直到</w:t>
      </w:r>
      <w:r>
        <w:rPr>
          <w:rFonts w:hint="eastAsia"/>
          <w:snapToGrid/>
        </w:rPr>
        <w:t>2020</w:t>
      </w:r>
      <w:r>
        <w:rPr>
          <w:rFonts w:hint="eastAsia"/>
          <w:snapToGrid/>
        </w:rPr>
        <w:t>年，黑山共和国的保健政策规定了以下一般准则：</w:t>
      </w:r>
    </w:p>
    <w:p w:rsidR="00000000" w:rsidRDefault="00844A84">
      <w:pPr>
        <w:pStyle w:val="a0"/>
        <w:ind w:left="1550"/>
        <w:rPr>
          <w:rFonts w:hint="eastAsia"/>
          <w:snapToGrid/>
        </w:rPr>
      </w:pPr>
      <w:r>
        <w:rPr>
          <w:rFonts w:hint="eastAsia"/>
          <w:snapToGrid/>
        </w:rPr>
        <w:t>提高预期寿命；</w:t>
      </w:r>
    </w:p>
    <w:p w:rsidR="00000000" w:rsidRDefault="00844A84">
      <w:pPr>
        <w:pStyle w:val="a0"/>
        <w:ind w:left="1550"/>
        <w:rPr>
          <w:rFonts w:hint="eastAsia"/>
          <w:snapToGrid/>
        </w:rPr>
      </w:pPr>
      <w:r>
        <w:rPr>
          <w:rFonts w:hint="eastAsia"/>
          <w:snapToGrid/>
        </w:rPr>
        <w:t>通过保健改</w:t>
      </w:r>
      <w:r>
        <w:rPr>
          <w:rFonts w:hint="eastAsia"/>
          <w:snapToGrid/>
        </w:rPr>
        <w:t>善生活质量；</w:t>
      </w:r>
    </w:p>
    <w:p w:rsidR="00000000" w:rsidRDefault="00844A84">
      <w:pPr>
        <w:pStyle w:val="a0"/>
        <w:ind w:left="1550"/>
        <w:rPr>
          <w:rFonts w:hint="eastAsia"/>
          <w:snapToGrid/>
        </w:rPr>
      </w:pPr>
      <w:r>
        <w:rPr>
          <w:rFonts w:hint="eastAsia"/>
          <w:snapToGrid/>
        </w:rPr>
        <w:t>降低保健方面的差距；</w:t>
      </w:r>
    </w:p>
    <w:p w:rsidR="00000000" w:rsidRDefault="00844A84">
      <w:pPr>
        <w:pStyle w:val="a0"/>
        <w:ind w:left="1550"/>
        <w:rPr>
          <w:rFonts w:hint="eastAsia"/>
          <w:snapToGrid/>
        </w:rPr>
      </w:pPr>
      <w:r>
        <w:rPr>
          <w:rFonts w:hint="eastAsia"/>
          <w:snapToGrid/>
        </w:rPr>
        <w:t>提供金融风险保险；</w:t>
      </w:r>
    </w:p>
    <w:p w:rsidR="00000000" w:rsidRDefault="00844A84">
      <w:pPr>
        <w:pStyle w:val="a0"/>
        <w:ind w:left="1550"/>
        <w:rPr>
          <w:rFonts w:hint="eastAsia"/>
          <w:snapToGrid/>
        </w:rPr>
      </w:pPr>
      <w:r>
        <w:rPr>
          <w:rFonts w:hint="eastAsia"/>
          <w:snapToGrid/>
        </w:rPr>
        <w:t>发展初级保健；</w:t>
      </w:r>
    </w:p>
    <w:p w:rsidR="00000000" w:rsidRDefault="00844A84">
      <w:pPr>
        <w:pStyle w:val="a0"/>
        <w:ind w:left="1550"/>
        <w:rPr>
          <w:rFonts w:hint="eastAsia"/>
          <w:snapToGrid/>
        </w:rPr>
      </w:pPr>
      <w:r>
        <w:rPr>
          <w:rFonts w:hint="eastAsia"/>
          <w:snapToGrid/>
        </w:rPr>
        <w:t>发展信息系统。</w:t>
      </w:r>
    </w:p>
    <w:p w:rsidR="00000000" w:rsidRDefault="00844A84">
      <w:pPr>
        <w:ind w:firstLine="510"/>
        <w:rPr>
          <w:rFonts w:hint="eastAsia"/>
          <w:snapToGrid/>
        </w:rPr>
      </w:pPr>
      <w:r>
        <w:rPr>
          <w:rFonts w:hint="eastAsia"/>
          <w:snapToGrid/>
        </w:rPr>
        <w:t xml:space="preserve">631.  </w:t>
      </w:r>
      <w:r>
        <w:rPr>
          <w:rFonts w:hint="eastAsia"/>
          <w:snapToGrid/>
        </w:rPr>
        <w:t>人口保健状况的积极指标包括以下几点：出生率、人口自然增长率以及生命指数。鉴于近年来黑山活产婴儿数目有所减少，死亡人数则有所增加，因此人口自然增长率有所下降</w:t>
      </w:r>
      <w:r>
        <w:rPr>
          <w:rFonts w:hint="eastAsia"/>
          <w:snapToGrid/>
        </w:rPr>
        <w:t>(</w:t>
      </w:r>
      <w:r>
        <w:rPr>
          <w:rFonts w:hint="eastAsia"/>
          <w:snapToGrid/>
        </w:rPr>
        <w:t>从</w:t>
      </w:r>
      <w:r>
        <w:rPr>
          <w:rFonts w:hint="eastAsia"/>
          <w:snapToGrid/>
        </w:rPr>
        <w:t>9.10</w:t>
      </w:r>
      <w:r>
        <w:rPr>
          <w:rFonts w:hint="eastAsia"/>
          <w:snapToGrid/>
        </w:rPr>
        <w:t>下降到</w:t>
      </w:r>
      <w:r>
        <w:rPr>
          <w:snapToGrid/>
        </w:rPr>
        <w:t>5.3</w:t>
      </w:r>
      <w:r>
        <w:rPr>
          <w:rFonts w:hint="eastAsia"/>
          <w:snapToGrid/>
        </w:rPr>
        <w:t>)</w:t>
      </w:r>
      <w:r>
        <w:rPr>
          <w:rFonts w:hint="eastAsia"/>
          <w:snapToGrid/>
        </w:rPr>
        <w:t>，生命指数也有所下降</w:t>
      </w:r>
      <w:r>
        <w:rPr>
          <w:rFonts w:hint="eastAsia"/>
          <w:snapToGrid/>
        </w:rPr>
        <w:t>(</w:t>
      </w:r>
      <w:r>
        <w:rPr>
          <w:rFonts w:hint="eastAsia"/>
          <w:snapToGrid/>
        </w:rPr>
        <w:t>从</w:t>
      </w:r>
      <w:r>
        <w:rPr>
          <w:rFonts w:hint="eastAsia"/>
          <w:snapToGrid/>
        </w:rPr>
        <w:t>242</w:t>
      </w:r>
      <w:r>
        <w:rPr>
          <w:rFonts w:hint="eastAsia"/>
          <w:snapToGrid/>
        </w:rPr>
        <w:t>下降到</w:t>
      </w:r>
      <w:r>
        <w:rPr>
          <w:snapToGrid/>
        </w:rPr>
        <w:t>163.3</w:t>
      </w:r>
      <w:r>
        <w:rPr>
          <w:rFonts w:hint="eastAsia"/>
          <w:snapToGrid/>
        </w:rPr>
        <w:t>)</w:t>
      </w:r>
      <w:r>
        <w:rPr>
          <w:rFonts w:hint="eastAsia"/>
          <w:snapToGrid/>
        </w:rPr>
        <w:t>。所有这些积极指标也表明了</w:t>
      </w:r>
      <w:r>
        <w:rPr>
          <w:rFonts w:hint="eastAsia"/>
          <w:snapToGrid/>
        </w:rPr>
        <w:t>1999</w:t>
      </w:r>
      <w:r>
        <w:rPr>
          <w:rFonts w:hint="eastAsia"/>
          <w:snapToGrid/>
        </w:rPr>
        <w:t>年年龄结构的变化。</w:t>
      </w:r>
    </w:p>
    <w:p w:rsidR="00000000" w:rsidRDefault="00844A84">
      <w:pPr>
        <w:ind w:firstLine="510"/>
        <w:rPr>
          <w:rFonts w:hint="eastAsia"/>
          <w:snapToGrid/>
        </w:rPr>
      </w:pPr>
      <w:r>
        <w:rPr>
          <w:rFonts w:hint="eastAsia"/>
          <w:snapToGrid/>
        </w:rPr>
        <w:t xml:space="preserve">632.  </w:t>
      </w:r>
      <w:r>
        <w:rPr>
          <w:rFonts w:hint="eastAsia"/>
          <w:snapToGrid/>
        </w:rPr>
        <w:t>由于预期寿命超过了</w:t>
      </w:r>
      <w:r>
        <w:rPr>
          <w:snapToGrid/>
        </w:rPr>
        <w:t>75.16</w:t>
      </w:r>
      <w:r>
        <w:rPr>
          <w:snapToGrid/>
        </w:rPr>
        <w:t>岁</w:t>
      </w:r>
      <w:r>
        <w:rPr>
          <w:snapToGrid/>
        </w:rPr>
        <w:t>(</w:t>
      </w:r>
      <w:r>
        <w:rPr>
          <w:snapToGrid/>
        </w:rPr>
        <w:t>男子</w:t>
      </w:r>
      <w:r>
        <w:rPr>
          <w:snapToGrid/>
        </w:rPr>
        <w:t>71.5</w:t>
      </w:r>
      <w:r>
        <w:rPr>
          <w:snapToGrid/>
        </w:rPr>
        <w:t>岁，女子</w:t>
      </w:r>
      <w:r>
        <w:rPr>
          <w:snapToGrid/>
        </w:rPr>
        <w:t>78.7</w:t>
      </w:r>
      <w:r>
        <w:rPr>
          <w:snapToGrid/>
        </w:rPr>
        <w:t>岁</w:t>
      </w:r>
      <w:r>
        <w:rPr>
          <w:rFonts w:hint="eastAsia"/>
          <w:snapToGrid/>
        </w:rPr>
        <w:t>)</w:t>
      </w:r>
      <w:r>
        <w:rPr>
          <w:snapToGrid/>
        </w:rPr>
        <w:t>，在总人口中，</w:t>
      </w:r>
      <w:r>
        <w:rPr>
          <w:snapToGrid/>
        </w:rPr>
        <w:t>65</w:t>
      </w:r>
      <w:r>
        <w:rPr>
          <w:snapToGrid/>
        </w:rPr>
        <w:t>岁以上公民</w:t>
      </w:r>
      <w:r>
        <w:rPr>
          <w:rFonts w:hint="eastAsia"/>
          <w:snapToGrid/>
        </w:rPr>
        <w:t>占</w:t>
      </w:r>
      <w:r>
        <w:rPr>
          <w:snapToGrid/>
        </w:rPr>
        <w:t>8.3%</w:t>
      </w:r>
      <w:r>
        <w:rPr>
          <w:snapToGrid/>
        </w:rPr>
        <w:t>，</w:t>
      </w:r>
      <w:r>
        <w:rPr>
          <w:snapToGrid/>
        </w:rPr>
        <w:t>19</w:t>
      </w:r>
      <w:r>
        <w:rPr>
          <w:snapToGrid/>
        </w:rPr>
        <w:t>岁以下公民</w:t>
      </w:r>
      <w:r>
        <w:rPr>
          <w:rFonts w:hint="eastAsia"/>
          <w:snapToGrid/>
        </w:rPr>
        <w:t>占</w:t>
      </w:r>
      <w:r>
        <w:rPr>
          <w:snapToGrid/>
        </w:rPr>
        <w:t>28.6%</w:t>
      </w:r>
      <w:r>
        <w:rPr>
          <w:snapToGrid/>
        </w:rPr>
        <w:t>，黑山人</w:t>
      </w:r>
      <w:r>
        <w:rPr>
          <w:rFonts w:hint="eastAsia"/>
          <w:snapToGrid/>
        </w:rPr>
        <w:t>口</w:t>
      </w:r>
      <w:r>
        <w:rPr>
          <w:snapToGrid/>
        </w:rPr>
        <w:t>逐步老龄化的过程已显而易见。但由于黑山人口平均年龄</w:t>
      </w:r>
      <w:r>
        <w:rPr>
          <w:rFonts w:hint="eastAsia"/>
          <w:snapToGrid/>
        </w:rPr>
        <w:t>略</w:t>
      </w:r>
      <w:r>
        <w:rPr>
          <w:snapToGrid/>
        </w:rPr>
        <w:t>高于</w:t>
      </w:r>
      <w:r>
        <w:rPr>
          <w:snapToGrid/>
        </w:rPr>
        <w:t>30</w:t>
      </w:r>
      <w:r>
        <w:rPr>
          <w:snapToGrid/>
        </w:rPr>
        <w:t>岁，因此仍然被视为相对年轻</w:t>
      </w:r>
      <w:r>
        <w:rPr>
          <w:rFonts w:hint="eastAsia"/>
          <w:snapToGrid/>
        </w:rPr>
        <w:t>的人口</w:t>
      </w:r>
      <w:r>
        <w:rPr>
          <w:snapToGrid/>
        </w:rPr>
        <w:t>。</w:t>
      </w:r>
    </w:p>
    <w:p w:rsidR="00000000" w:rsidRDefault="00844A84">
      <w:pPr>
        <w:spacing w:after="240"/>
        <w:ind w:firstLine="510"/>
        <w:rPr>
          <w:rFonts w:hint="eastAsia"/>
          <w:snapToGrid/>
        </w:rPr>
      </w:pPr>
      <w:r>
        <w:rPr>
          <w:rFonts w:hint="eastAsia"/>
          <w:snapToGrid/>
        </w:rPr>
        <w:t xml:space="preserve">633.  </w:t>
      </w:r>
      <w:r>
        <w:rPr>
          <w:rFonts w:hint="eastAsia"/>
          <w:snapToGrid/>
        </w:rPr>
        <w:t>消极指标包括婴儿死亡率及总死亡率。报告所述期间，婴儿死亡人数有所增加，从</w:t>
      </w:r>
      <w:r>
        <w:rPr>
          <w:snapToGrid/>
        </w:rPr>
        <w:t>1991</w:t>
      </w:r>
      <w:r>
        <w:rPr>
          <w:snapToGrid/>
        </w:rPr>
        <w:t>年的</w:t>
      </w:r>
      <w:r>
        <w:rPr>
          <w:snapToGrid/>
        </w:rPr>
        <w:t>107</w:t>
      </w:r>
      <w:r>
        <w:rPr>
          <w:snapToGrid/>
        </w:rPr>
        <w:t>人增加到</w:t>
      </w:r>
      <w:r>
        <w:rPr>
          <w:snapToGrid/>
        </w:rPr>
        <w:t>1999</w:t>
      </w:r>
      <w:r>
        <w:rPr>
          <w:snapToGrid/>
        </w:rPr>
        <w:t>年的</w:t>
      </w:r>
      <w:r>
        <w:rPr>
          <w:snapToGrid/>
        </w:rPr>
        <w:t>118</w:t>
      </w:r>
      <w:r>
        <w:rPr>
          <w:snapToGrid/>
        </w:rPr>
        <w:t>人</w:t>
      </w:r>
      <w:r>
        <w:rPr>
          <w:snapToGrid/>
        </w:rPr>
        <w:t>)</w:t>
      </w:r>
      <w:r>
        <w:rPr>
          <w:snapToGrid/>
        </w:rPr>
        <w:t>，</w:t>
      </w:r>
      <w:r>
        <w:rPr>
          <w:rFonts w:hint="eastAsia"/>
          <w:snapToGrid/>
        </w:rPr>
        <w:t>因此</w:t>
      </w:r>
      <w:r>
        <w:rPr>
          <w:snapToGrid/>
        </w:rPr>
        <w:t>婴儿死亡率也</w:t>
      </w:r>
      <w:r>
        <w:rPr>
          <w:rFonts w:hint="eastAsia"/>
          <w:snapToGrid/>
        </w:rPr>
        <w:t>随之</w:t>
      </w:r>
      <w:r>
        <w:rPr>
          <w:snapToGrid/>
        </w:rPr>
        <w:t>增加</w:t>
      </w:r>
      <w:r>
        <w:rPr>
          <w:snapToGrid/>
        </w:rPr>
        <w:t>(1999</w:t>
      </w:r>
      <w:r>
        <w:rPr>
          <w:snapToGrid/>
        </w:rPr>
        <w:t>年为</w:t>
      </w:r>
      <w:r>
        <w:rPr>
          <w:snapToGrid/>
        </w:rPr>
        <w:t>13.4%)</w:t>
      </w:r>
      <w:r>
        <w:rPr>
          <w:snapToGrid/>
        </w:rPr>
        <w:t>。</w:t>
      </w:r>
    </w:p>
    <w:p w:rsidR="00000000" w:rsidRDefault="00844A84">
      <w:pPr>
        <w:pStyle w:val="Heading3"/>
        <w:spacing w:after="160"/>
        <w:rPr>
          <w:sz w:val="22"/>
        </w:rPr>
      </w:pPr>
      <w:r>
        <w:rPr>
          <w:rFonts w:hint="eastAsia"/>
          <w:sz w:val="22"/>
          <w:u w:val="none"/>
        </w:rPr>
        <w:t>表</w:t>
      </w:r>
      <w:r>
        <w:rPr>
          <w:rFonts w:hint="eastAsia"/>
          <w:sz w:val="22"/>
          <w:u w:val="none"/>
        </w:rPr>
        <w:t xml:space="preserve"> </w:t>
      </w:r>
      <w:r>
        <w:rPr>
          <w:sz w:val="22"/>
          <w:u w:val="none"/>
        </w:rPr>
        <w:t>1</w:t>
      </w:r>
      <w:r>
        <w:rPr>
          <w:sz w:val="22"/>
          <w:u w:val="none"/>
        </w:rPr>
        <w:br/>
      </w:r>
      <w:r>
        <w:rPr>
          <w:sz w:val="22"/>
        </w:rPr>
        <w:t>1991</w:t>
      </w:r>
      <w:r>
        <w:rPr>
          <w:rFonts w:hint="eastAsia"/>
          <w:sz w:val="22"/>
        </w:rPr>
        <w:t>和</w:t>
      </w:r>
      <w:r>
        <w:rPr>
          <w:sz w:val="22"/>
        </w:rPr>
        <w:t>1999</w:t>
      </w:r>
      <w:r>
        <w:rPr>
          <w:rFonts w:hint="eastAsia"/>
          <w:sz w:val="22"/>
        </w:rPr>
        <w:t>年黑山共和国人口基本生命指数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3"/>
        <w:gridCol w:w="1718"/>
        <w:gridCol w:w="1134"/>
        <w:gridCol w:w="1701"/>
        <w:gridCol w:w="1244"/>
      </w:tblGrid>
      <w:tr w:rsidR="00000000">
        <w:tblPrEx>
          <w:tblCellMar>
            <w:top w:w="0" w:type="dxa"/>
            <w:bottom w:w="0" w:type="dxa"/>
          </w:tblCellMar>
        </w:tblPrEx>
        <w:trPr>
          <w:cantSplit/>
          <w:jc w:val="center"/>
        </w:trPr>
        <w:tc>
          <w:tcPr>
            <w:tcW w:w="2313" w:type="dxa"/>
            <w:vMerge w:val="restart"/>
            <w:vAlign w:val="center"/>
          </w:tcPr>
          <w:p w:rsidR="00000000" w:rsidRDefault="00844A84">
            <w:pPr>
              <w:pStyle w:val="a2"/>
              <w:rPr>
                <w:rFonts w:hint="eastAsia"/>
                <w:snapToGrid/>
              </w:rPr>
            </w:pPr>
            <w:r>
              <w:rPr>
                <w:snapToGrid/>
              </w:rPr>
              <w:t xml:space="preserve"> </w:t>
            </w:r>
            <w:r>
              <w:rPr>
                <w:rFonts w:hint="eastAsia"/>
                <w:snapToGrid/>
              </w:rPr>
              <w:t>指</w:t>
            </w:r>
            <w:r>
              <w:rPr>
                <w:snapToGrid/>
              </w:rPr>
              <w:t xml:space="preserve">  </w:t>
            </w:r>
            <w:r>
              <w:rPr>
                <w:rFonts w:hint="eastAsia"/>
                <w:snapToGrid/>
              </w:rPr>
              <w:t>标</w:t>
            </w:r>
          </w:p>
        </w:tc>
        <w:tc>
          <w:tcPr>
            <w:tcW w:w="2852" w:type="dxa"/>
            <w:gridSpan w:val="2"/>
            <w:tcBorders>
              <w:bottom w:val="single" w:sz="4" w:space="0" w:color="auto"/>
            </w:tcBorders>
          </w:tcPr>
          <w:p w:rsidR="00000000" w:rsidRDefault="00844A84">
            <w:pPr>
              <w:pStyle w:val="a2"/>
              <w:jc w:val="center"/>
              <w:rPr>
                <w:rFonts w:hint="eastAsia"/>
                <w:snapToGrid/>
              </w:rPr>
            </w:pPr>
            <w:r>
              <w:rPr>
                <w:snapToGrid/>
              </w:rPr>
              <w:t>1991</w:t>
            </w:r>
            <w:r>
              <w:rPr>
                <w:rFonts w:hint="eastAsia"/>
                <w:snapToGrid/>
              </w:rPr>
              <w:t>年</w:t>
            </w:r>
          </w:p>
        </w:tc>
        <w:tc>
          <w:tcPr>
            <w:tcW w:w="2945" w:type="dxa"/>
            <w:gridSpan w:val="2"/>
            <w:tcBorders>
              <w:bottom w:val="single" w:sz="4" w:space="0" w:color="auto"/>
            </w:tcBorders>
          </w:tcPr>
          <w:p w:rsidR="00000000" w:rsidRDefault="00844A84">
            <w:pPr>
              <w:pStyle w:val="a2"/>
              <w:jc w:val="center"/>
              <w:rPr>
                <w:rFonts w:hint="eastAsia"/>
                <w:snapToGrid/>
              </w:rPr>
            </w:pPr>
            <w:r>
              <w:rPr>
                <w:snapToGrid/>
              </w:rPr>
              <w:t>2000</w:t>
            </w:r>
            <w:r>
              <w:rPr>
                <w:rFonts w:hint="eastAsia"/>
                <w:snapToGrid/>
              </w:rPr>
              <w:t>年</w:t>
            </w:r>
          </w:p>
        </w:tc>
      </w:tr>
      <w:tr w:rsidR="00000000">
        <w:tblPrEx>
          <w:tblCellMar>
            <w:top w:w="0" w:type="dxa"/>
            <w:bottom w:w="0" w:type="dxa"/>
          </w:tblCellMar>
        </w:tblPrEx>
        <w:trPr>
          <w:cantSplit/>
          <w:jc w:val="center"/>
        </w:trPr>
        <w:tc>
          <w:tcPr>
            <w:tcW w:w="2313" w:type="dxa"/>
            <w:vMerge/>
            <w:tcBorders>
              <w:bottom w:val="single" w:sz="4" w:space="0" w:color="auto"/>
            </w:tcBorders>
          </w:tcPr>
          <w:p w:rsidR="00000000" w:rsidRDefault="00844A84">
            <w:pPr>
              <w:pStyle w:val="a2"/>
              <w:rPr>
                <w:snapToGrid/>
              </w:rPr>
            </w:pPr>
          </w:p>
        </w:tc>
        <w:tc>
          <w:tcPr>
            <w:tcW w:w="1718" w:type="dxa"/>
            <w:tcBorders>
              <w:top w:val="single" w:sz="4" w:space="0" w:color="auto"/>
              <w:bottom w:val="single" w:sz="4" w:space="0" w:color="auto"/>
            </w:tcBorders>
          </w:tcPr>
          <w:p w:rsidR="00000000" w:rsidRDefault="00844A84">
            <w:pPr>
              <w:pStyle w:val="a2"/>
              <w:jc w:val="center"/>
              <w:rPr>
                <w:rFonts w:hint="eastAsia"/>
                <w:snapToGrid/>
              </w:rPr>
            </w:pPr>
            <w:r>
              <w:rPr>
                <w:rFonts w:hint="eastAsia"/>
                <w:snapToGrid/>
              </w:rPr>
              <w:t>人</w:t>
            </w:r>
            <w:r>
              <w:rPr>
                <w:snapToGrid/>
              </w:rPr>
              <w:t xml:space="preserve"> </w:t>
            </w:r>
            <w:r>
              <w:rPr>
                <w:rFonts w:hint="eastAsia"/>
                <w:snapToGrid/>
              </w:rPr>
              <w:t>数</w:t>
            </w:r>
          </w:p>
        </w:tc>
        <w:tc>
          <w:tcPr>
            <w:tcW w:w="1134" w:type="dxa"/>
            <w:tcBorders>
              <w:top w:val="single" w:sz="4" w:space="0" w:color="auto"/>
              <w:bottom w:val="single" w:sz="4" w:space="0" w:color="auto"/>
            </w:tcBorders>
          </w:tcPr>
          <w:p w:rsidR="00000000" w:rsidRDefault="00844A84">
            <w:pPr>
              <w:pStyle w:val="a2"/>
              <w:jc w:val="center"/>
              <w:rPr>
                <w:rFonts w:hint="eastAsia"/>
                <w:snapToGrid/>
              </w:rPr>
            </w:pPr>
            <w:r>
              <w:rPr>
                <w:rFonts w:hint="eastAsia"/>
                <w:snapToGrid/>
              </w:rPr>
              <w:t>比</w:t>
            </w:r>
            <w:r>
              <w:rPr>
                <w:snapToGrid/>
              </w:rPr>
              <w:t xml:space="preserve"> </w:t>
            </w:r>
            <w:r>
              <w:rPr>
                <w:rFonts w:hint="eastAsia"/>
                <w:snapToGrid/>
              </w:rPr>
              <w:t>率</w:t>
            </w:r>
          </w:p>
        </w:tc>
        <w:tc>
          <w:tcPr>
            <w:tcW w:w="1701" w:type="dxa"/>
            <w:tcBorders>
              <w:top w:val="single" w:sz="4" w:space="0" w:color="auto"/>
              <w:bottom w:val="single" w:sz="4" w:space="0" w:color="auto"/>
            </w:tcBorders>
          </w:tcPr>
          <w:p w:rsidR="00000000" w:rsidRDefault="00844A84">
            <w:pPr>
              <w:pStyle w:val="a2"/>
              <w:jc w:val="center"/>
              <w:rPr>
                <w:snapToGrid/>
              </w:rPr>
            </w:pPr>
            <w:r>
              <w:rPr>
                <w:rFonts w:hint="eastAsia"/>
                <w:snapToGrid/>
              </w:rPr>
              <w:t>人</w:t>
            </w:r>
            <w:r>
              <w:rPr>
                <w:snapToGrid/>
              </w:rPr>
              <w:t xml:space="preserve"> </w:t>
            </w:r>
            <w:r>
              <w:rPr>
                <w:rFonts w:hint="eastAsia"/>
                <w:snapToGrid/>
              </w:rPr>
              <w:t>数</w:t>
            </w:r>
          </w:p>
        </w:tc>
        <w:tc>
          <w:tcPr>
            <w:tcW w:w="1244" w:type="dxa"/>
            <w:tcBorders>
              <w:top w:val="single" w:sz="4" w:space="0" w:color="auto"/>
              <w:bottom w:val="single" w:sz="4" w:space="0" w:color="auto"/>
            </w:tcBorders>
          </w:tcPr>
          <w:p w:rsidR="00000000" w:rsidRDefault="00844A84">
            <w:pPr>
              <w:pStyle w:val="a2"/>
              <w:jc w:val="center"/>
              <w:rPr>
                <w:snapToGrid/>
              </w:rPr>
            </w:pPr>
            <w:r>
              <w:rPr>
                <w:rFonts w:hint="eastAsia"/>
                <w:snapToGrid/>
              </w:rPr>
              <w:t>比</w:t>
            </w:r>
            <w:r>
              <w:rPr>
                <w:snapToGrid/>
              </w:rPr>
              <w:t xml:space="preserve"> </w:t>
            </w:r>
            <w:r>
              <w:rPr>
                <w:rFonts w:hint="eastAsia"/>
                <w:snapToGrid/>
              </w:rPr>
              <w:t>率</w:t>
            </w:r>
          </w:p>
        </w:tc>
      </w:tr>
      <w:tr w:rsidR="00000000">
        <w:tblPrEx>
          <w:tblCellMar>
            <w:top w:w="0" w:type="dxa"/>
            <w:bottom w:w="0" w:type="dxa"/>
          </w:tblCellMar>
        </w:tblPrEx>
        <w:trPr>
          <w:jc w:val="center"/>
        </w:trPr>
        <w:tc>
          <w:tcPr>
            <w:tcW w:w="2313" w:type="dxa"/>
            <w:tcBorders>
              <w:top w:val="single" w:sz="4" w:space="0" w:color="auto"/>
              <w:bottom w:val="nil"/>
            </w:tcBorders>
          </w:tcPr>
          <w:p w:rsidR="00000000" w:rsidRDefault="00844A84">
            <w:pPr>
              <w:pStyle w:val="a2"/>
              <w:spacing w:line="280" w:lineRule="exact"/>
              <w:rPr>
                <w:snapToGrid/>
              </w:rPr>
            </w:pPr>
            <w:r>
              <w:rPr>
                <w:rFonts w:hint="eastAsia"/>
                <w:snapToGrid/>
              </w:rPr>
              <w:t>活</w:t>
            </w:r>
            <w:r>
              <w:rPr>
                <w:snapToGrid/>
              </w:rPr>
              <w:t xml:space="preserve"> </w:t>
            </w:r>
            <w:r>
              <w:rPr>
                <w:rFonts w:hint="eastAsia"/>
                <w:snapToGrid/>
              </w:rPr>
              <w:t>产</w:t>
            </w:r>
          </w:p>
        </w:tc>
        <w:tc>
          <w:tcPr>
            <w:tcW w:w="1718" w:type="dxa"/>
            <w:tcBorders>
              <w:top w:val="single" w:sz="4" w:space="0" w:color="auto"/>
              <w:bottom w:val="nil"/>
            </w:tcBorders>
          </w:tcPr>
          <w:p w:rsidR="00000000" w:rsidRDefault="00844A84">
            <w:pPr>
              <w:pStyle w:val="a2"/>
              <w:spacing w:line="280" w:lineRule="exact"/>
              <w:ind w:right="227"/>
              <w:jc w:val="right"/>
              <w:rPr>
                <w:snapToGrid/>
              </w:rPr>
            </w:pPr>
            <w:r>
              <w:rPr>
                <w:snapToGrid/>
              </w:rPr>
              <w:t>9,606</w:t>
            </w:r>
          </w:p>
        </w:tc>
        <w:tc>
          <w:tcPr>
            <w:tcW w:w="1134" w:type="dxa"/>
            <w:tcBorders>
              <w:top w:val="single" w:sz="4" w:space="0" w:color="auto"/>
              <w:bottom w:val="nil"/>
            </w:tcBorders>
          </w:tcPr>
          <w:p w:rsidR="00000000" w:rsidRDefault="00844A84">
            <w:pPr>
              <w:pStyle w:val="a2"/>
              <w:spacing w:line="280" w:lineRule="exact"/>
              <w:ind w:right="227"/>
              <w:jc w:val="right"/>
              <w:rPr>
                <w:snapToGrid/>
              </w:rPr>
            </w:pPr>
            <w:r>
              <w:rPr>
                <w:snapToGrid/>
              </w:rPr>
              <w:t>15.50</w:t>
            </w:r>
          </w:p>
        </w:tc>
        <w:tc>
          <w:tcPr>
            <w:tcW w:w="1701" w:type="dxa"/>
            <w:tcBorders>
              <w:top w:val="single" w:sz="4" w:space="0" w:color="auto"/>
              <w:bottom w:val="nil"/>
            </w:tcBorders>
          </w:tcPr>
          <w:p w:rsidR="00000000" w:rsidRDefault="00844A84">
            <w:pPr>
              <w:pStyle w:val="a2"/>
              <w:spacing w:line="280" w:lineRule="exact"/>
              <w:ind w:right="227"/>
              <w:jc w:val="right"/>
              <w:rPr>
                <w:snapToGrid/>
              </w:rPr>
            </w:pPr>
            <w:r>
              <w:rPr>
                <w:snapToGrid/>
              </w:rPr>
              <w:t>8,807</w:t>
            </w:r>
          </w:p>
        </w:tc>
        <w:tc>
          <w:tcPr>
            <w:tcW w:w="1244" w:type="dxa"/>
            <w:tcBorders>
              <w:top w:val="single" w:sz="4" w:space="0" w:color="auto"/>
              <w:bottom w:val="nil"/>
            </w:tcBorders>
          </w:tcPr>
          <w:p w:rsidR="00000000" w:rsidRDefault="00844A84">
            <w:pPr>
              <w:pStyle w:val="a2"/>
              <w:spacing w:line="280" w:lineRule="exact"/>
              <w:ind w:right="227"/>
              <w:jc w:val="right"/>
              <w:rPr>
                <w:snapToGrid/>
              </w:rPr>
            </w:pPr>
            <w:r>
              <w:rPr>
                <w:snapToGrid/>
              </w:rPr>
              <w:t>13.5</w:t>
            </w:r>
          </w:p>
        </w:tc>
      </w:tr>
      <w:tr w:rsidR="00000000">
        <w:tblPrEx>
          <w:tblCellMar>
            <w:top w:w="0" w:type="dxa"/>
            <w:bottom w:w="0" w:type="dxa"/>
          </w:tblCellMar>
        </w:tblPrEx>
        <w:trPr>
          <w:jc w:val="center"/>
        </w:trPr>
        <w:tc>
          <w:tcPr>
            <w:tcW w:w="2313" w:type="dxa"/>
            <w:tcBorders>
              <w:top w:val="nil"/>
              <w:bottom w:val="nil"/>
            </w:tcBorders>
          </w:tcPr>
          <w:p w:rsidR="00000000" w:rsidRDefault="00844A84">
            <w:pPr>
              <w:pStyle w:val="a2"/>
              <w:spacing w:line="280" w:lineRule="exact"/>
              <w:rPr>
                <w:snapToGrid/>
              </w:rPr>
            </w:pPr>
            <w:r>
              <w:rPr>
                <w:rFonts w:hint="eastAsia"/>
                <w:snapToGrid/>
              </w:rPr>
              <w:t>总死亡人数</w:t>
            </w:r>
          </w:p>
        </w:tc>
        <w:tc>
          <w:tcPr>
            <w:tcW w:w="1718" w:type="dxa"/>
            <w:tcBorders>
              <w:top w:val="nil"/>
              <w:bottom w:val="nil"/>
            </w:tcBorders>
          </w:tcPr>
          <w:p w:rsidR="00000000" w:rsidRDefault="00844A84">
            <w:pPr>
              <w:pStyle w:val="a2"/>
              <w:spacing w:line="280" w:lineRule="exact"/>
              <w:ind w:right="227"/>
              <w:jc w:val="right"/>
              <w:rPr>
                <w:snapToGrid/>
              </w:rPr>
            </w:pPr>
            <w:r>
              <w:rPr>
                <w:snapToGrid/>
              </w:rPr>
              <w:t>3,97</w:t>
            </w:r>
            <w:r>
              <w:rPr>
                <w:snapToGrid/>
              </w:rPr>
              <w:t>0</w:t>
            </w:r>
          </w:p>
        </w:tc>
        <w:tc>
          <w:tcPr>
            <w:tcW w:w="1134" w:type="dxa"/>
            <w:tcBorders>
              <w:top w:val="nil"/>
              <w:bottom w:val="nil"/>
            </w:tcBorders>
          </w:tcPr>
          <w:p w:rsidR="00000000" w:rsidRDefault="00844A84">
            <w:pPr>
              <w:pStyle w:val="a2"/>
              <w:spacing w:line="280" w:lineRule="exact"/>
              <w:ind w:right="227"/>
              <w:jc w:val="right"/>
              <w:rPr>
                <w:snapToGrid/>
              </w:rPr>
            </w:pPr>
            <w:r>
              <w:rPr>
                <w:snapToGrid/>
              </w:rPr>
              <w:t>6.40</w:t>
            </w:r>
          </w:p>
        </w:tc>
        <w:tc>
          <w:tcPr>
            <w:tcW w:w="1701" w:type="dxa"/>
            <w:tcBorders>
              <w:top w:val="nil"/>
              <w:bottom w:val="nil"/>
            </w:tcBorders>
          </w:tcPr>
          <w:p w:rsidR="00000000" w:rsidRDefault="00844A84">
            <w:pPr>
              <w:pStyle w:val="a2"/>
              <w:spacing w:line="280" w:lineRule="exact"/>
              <w:ind w:right="227"/>
              <w:jc w:val="right"/>
              <w:rPr>
                <w:snapToGrid/>
              </w:rPr>
            </w:pPr>
            <w:r>
              <w:rPr>
                <w:snapToGrid/>
              </w:rPr>
              <w:t>5,393</w:t>
            </w:r>
          </w:p>
        </w:tc>
        <w:tc>
          <w:tcPr>
            <w:tcW w:w="1244" w:type="dxa"/>
            <w:tcBorders>
              <w:top w:val="nil"/>
              <w:bottom w:val="nil"/>
            </w:tcBorders>
          </w:tcPr>
          <w:p w:rsidR="00000000" w:rsidRDefault="00844A84">
            <w:pPr>
              <w:pStyle w:val="a2"/>
              <w:spacing w:line="280" w:lineRule="exact"/>
              <w:ind w:right="227"/>
              <w:jc w:val="right"/>
              <w:rPr>
                <w:snapToGrid/>
              </w:rPr>
            </w:pPr>
            <w:r>
              <w:rPr>
                <w:snapToGrid/>
              </w:rPr>
              <w:t>8.2</w:t>
            </w:r>
          </w:p>
        </w:tc>
      </w:tr>
      <w:tr w:rsidR="00000000">
        <w:tblPrEx>
          <w:tblCellMar>
            <w:top w:w="0" w:type="dxa"/>
            <w:bottom w:w="0" w:type="dxa"/>
          </w:tblCellMar>
        </w:tblPrEx>
        <w:trPr>
          <w:jc w:val="center"/>
        </w:trPr>
        <w:tc>
          <w:tcPr>
            <w:tcW w:w="2313" w:type="dxa"/>
            <w:tcBorders>
              <w:top w:val="nil"/>
              <w:bottom w:val="nil"/>
            </w:tcBorders>
          </w:tcPr>
          <w:p w:rsidR="00000000" w:rsidRDefault="00844A84">
            <w:pPr>
              <w:pStyle w:val="a2"/>
              <w:spacing w:line="280" w:lineRule="exact"/>
              <w:rPr>
                <w:snapToGrid/>
              </w:rPr>
            </w:pPr>
            <w:r>
              <w:rPr>
                <w:rFonts w:hint="eastAsia"/>
                <w:snapToGrid/>
              </w:rPr>
              <w:t>死亡婴儿人数</w:t>
            </w:r>
          </w:p>
        </w:tc>
        <w:tc>
          <w:tcPr>
            <w:tcW w:w="1718" w:type="dxa"/>
            <w:tcBorders>
              <w:top w:val="nil"/>
              <w:bottom w:val="nil"/>
            </w:tcBorders>
          </w:tcPr>
          <w:p w:rsidR="00000000" w:rsidRDefault="00844A84">
            <w:pPr>
              <w:pStyle w:val="a2"/>
              <w:spacing w:line="280" w:lineRule="exact"/>
              <w:ind w:right="227"/>
              <w:jc w:val="right"/>
              <w:rPr>
                <w:snapToGrid/>
              </w:rPr>
            </w:pPr>
            <w:r>
              <w:rPr>
                <w:snapToGrid/>
              </w:rPr>
              <w:t>107</w:t>
            </w:r>
          </w:p>
        </w:tc>
        <w:tc>
          <w:tcPr>
            <w:tcW w:w="1134" w:type="dxa"/>
            <w:tcBorders>
              <w:top w:val="nil"/>
              <w:bottom w:val="nil"/>
            </w:tcBorders>
          </w:tcPr>
          <w:p w:rsidR="00000000" w:rsidRDefault="00844A84">
            <w:pPr>
              <w:pStyle w:val="a2"/>
              <w:spacing w:line="280" w:lineRule="exact"/>
              <w:ind w:right="227"/>
              <w:jc w:val="right"/>
              <w:rPr>
                <w:snapToGrid/>
              </w:rPr>
            </w:pPr>
            <w:r>
              <w:rPr>
                <w:snapToGrid/>
              </w:rPr>
              <w:t>11.14</w:t>
            </w:r>
          </w:p>
        </w:tc>
        <w:tc>
          <w:tcPr>
            <w:tcW w:w="1701" w:type="dxa"/>
            <w:tcBorders>
              <w:top w:val="nil"/>
              <w:bottom w:val="nil"/>
            </w:tcBorders>
          </w:tcPr>
          <w:p w:rsidR="00000000" w:rsidRDefault="00844A84">
            <w:pPr>
              <w:pStyle w:val="a2"/>
              <w:spacing w:line="280" w:lineRule="exact"/>
              <w:ind w:right="227"/>
              <w:jc w:val="right"/>
              <w:rPr>
                <w:snapToGrid/>
              </w:rPr>
            </w:pPr>
            <w:r>
              <w:rPr>
                <w:snapToGrid/>
              </w:rPr>
              <w:t>118</w:t>
            </w:r>
          </w:p>
        </w:tc>
        <w:tc>
          <w:tcPr>
            <w:tcW w:w="1244" w:type="dxa"/>
            <w:tcBorders>
              <w:top w:val="nil"/>
              <w:bottom w:val="nil"/>
            </w:tcBorders>
          </w:tcPr>
          <w:p w:rsidR="00000000" w:rsidRDefault="00844A84">
            <w:pPr>
              <w:pStyle w:val="a2"/>
              <w:spacing w:line="280" w:lineRule="exact"/>
              <w:ind w:right="227"/>
              <w:jc w:val="right"/>
              <w:rPr>
                <w:snapToGrid/>
              </w:rPr>
            </w:pPr>
            <w:r>
              <w:rPr>
                <w:snapToGrid/>
              </w:rPr>
              <w:t>13.4</w:t>
            </w:r>
          </w:p>
        </w:tc>
      </w:tr>
      <w:tr w:rsidR="00000000">
        <w:tblPrEx>
          <w:tblCellMar>
            <w:top w:w="0" w:type="dxa"/>
            <w:bottom w:w="0" w:type="dxa"/>
          </w:tblCellMar>
        </w:tblPrEx>
        <w:trPr>
          <w:jc w:val="center"/>
        </w:trPr>
        <w:tc>
          <w:tcPr>
            <w:tcW w:w="2313" w:type="dxa"/>
            <w:tcBorders>
              <w:top w:val="nil"/>
              <w:bottom w:val="nil"/>
            </w:tcBorders>
          </w:tcPr>
          <w:p w:rsidR="00000000" w:rsidRDefault="00844A84">
            <w:pPr>
              <w:pStyle w:val="a2"/>
              <w:spacing w:line="280" w:lineRule="exact"/>
              <w:rPr>
                <w:snapToGrid/>
              </w:rPr>
            </w:pPr>
            <w:r>
              <w:rPr>
                <w:rFonts w:hint="eastAsia"/>
                <w:snapToGrid/>
              </w:rPr>
              <w:t>自然增长率</w:t>
            </w:r>
          </w:p>
        </w:tc>
        <w:tc>
          <w:tcPr>
            <w:tcW w:w="1718" w:type="dxa"/>
            <w:tcBorders>
              <w:top w:val="nil"/>
              <w:bottom w:val="nil"/>
            </w:tcBorders>
          </w:tcPr>
          <w:p w:rsidR="00000000" w:rsidRDefault="00844A84">
            <w:pPr>
              <w:pStyle w:val="a2"/>
              <w:spacing w:line="280" w:lineRule="exact"/>
              <w:ind w:right="227"/>
              <w:jc w:val="right"/>
              <w:rPr>
                <w:snapToGrid/>
              </w:rPr>
            </w:pPr>
            <w:r>
              <w:rPr>
                <w:snapToGrid/>
              </w:rPr>
              <w:t>5,636</w:t>
            </w:r>
          </w:p>
        </w:tc>
        <w:tc>
          <w:tcPr>
            <w:tcW w:w="1134" w:type="dxa"/>
            <w:tcBorders>
              <w:top w:val="nil"/>
              <w:bottom w:val="nil"/>
            </w:tcBorders>
          </w:tcPr>
          <w:p w:rsidR="00000000" w:rsidRDefault="00844A84">
            <w:pPr>
              <w:pStyle w:val="a2"/>
              <w:spacing w:line="280" w:lineRule="exact"/>
              <w:ind w:right="227"/>
              <w:jc w:val="right"/>
              <w:rPr>
                <w:snapToGrid/>
              </w:rPr>
            </w:pPr>
            <w:r>
              <w:rPr>
                <w:snapToGrid/>
              </w:rPr>
              <w:t>9.10</w:t>
            </w:r>
          </w:p>
        </w:tc>
        <w:tc>
          <w:tcPr>
            <w:tcW w:w="1701" w:type="dxa"/>
            <w:tcBorders>
              <w:top w:val="nil"/>
              <w:bottom w:val="nil"/>
            </w:tcBorders>
          </w:tcPr>
          <w:p w:rsidR="00000000" w:rsidRDefault="00844A84">
            <w:pPr>
              <w:pStyle w:val="a2"/>
              <w:spacing w:line="280" w:lineRule="exact"/>
              <w:ind w:right="227"/>
              <w:jc w:val="right"/>
              <w:rPr>
                <w:snapToGrid/>
              </w:rPr>
            </w:pPr>
            <w:r>
              <w:rPr>
                <w:snapToGrid/>
              </w:rPr>
              <w:t>3,414</w:t>
            </w:r>
          </w:p>
        </w:tc>
        <w:tc>
          <w:tcPr>
            <w:tcW w:w="1244" w:type="dxa"/>
            <w:tcBorders>
              <w:top w:val="nil"/>
              <w:bottom w:val="nil"/>
            </w:tcBorders>
          </w:tcPr>
          <w:p w:rsidR="00000000" w:rsidRDefault="00844A84">
            <w:pPr>
              <w:pStyle w:val="a2"/>
              <w:spacing w:line="280" w:lineRule="exact"/>
              <w:ind w:right="227"/>
              <w:jc w:val="right"/>
              <w:rPr>
                <w:snapToGrid/>
              </w:rPr>
            </w:pPr>
            <w:r>
              <w:rPr>
                <w:snapToGrid/>
              </w:rPr>
              <w:t>5.3</w:t>
            </w:r>
          </w:p>
        </w:tc>
      </w:tr>
      <w:tr w:rsidR="00000000">
        <w:tblPrEx>
          <w:tblCellMar>
            <w:top w:w="0" w:type="dxa"/>
            <w:bottom w:w="0" w:type="dxa"/>
          </w:tblCellMar>
        </w:tblPrEx>
        <w:trPr>
          <w:jc w:val="center"/>
        </w:trPr>
        <w:tc>
          <w:tcPr>
            <w:tcW w:w="2313" w:type="dxa"/>
            <w:tcBorders>
              <w:top w:val="nil"/>
              <w:bottom w:val="single" w:sz="4" w:space="0" w:color="auto"/>
            </w:tcBorders>
          </w:tcPr>
          <w:p w:rsidR="00000000" w:rsidRDefault="00844A84">
            <w:pPr>
              <w:pStyle w:val="a2"/>
              <w:spacing w:after="60" w:line="280" w:lineRule="exact"/>
              <w:rPr>
                <w:snapToGrid/>
              </w:rPr>
            </w:pPr>
            <w:r>
              <w:rPr>
                <w:rFonts w:hint="eastAsia"/>
                <w:snapToGrid/>
              </w:rPr>
              <w:t>生命指数</w:t>
            </w:r>
          </w:p>
        </w:tc>
        <w:tc>
          <w:tcPr>
            <w:tcW w:w="1718" w:type="dxa"/>
            <w:tcBorders>
              <w:top w:val="nil"/>
              <w:bottom w:val="single" w:sz="4" w:space="0" w:color="auto"/>
            </w:tcBorders>
          </w:tcPr>
          <w:p w:rsidR="00000000" w:rsidRDefault="00844A84">
            <w:pPr>
              <w:pStyle w:val="a2"/>
              <w:spacing w:after="60" w:line="280" w:lineRule="exact"/>
              <w:ind w:right="227"/>
              <w:jc w:val="right"/>
              <w:rPr>
                <w:snapToGrid/>
              </w:rPr>
            </w:pPr>
            <w:r>
              <w:rPr>
                <w:snapToGrid/>
              </w:rPr>
              <w:t>9,606/3,970</w:t>
            </w:r>
          </w:p>
        </w:tc>
        <w:tc>
          <w:tcPr>
            <w:tcW w:w="1134" w:type="dxa"/>
            <w:tcBorders>
              <w:top w:val="nil"/>
              <w:bottom w:val="single" w:sz="4" w:space="0" w:color="auto"/>
            </w:tcBorders>
          </w:tcPr>
          <w:p w:rsidR="00000000" w:rsidRDefault="00844A84">
            <w:pPr>
              <w:pStyle w:val="a2"/>
              <w:spacing w:after="60" w:line="280" w:lineRule="exact"/>
              <w:ind w:right="227"/>
              <w:jc w:val="right"/>
              <w:rPr>
                <w:snapToGrid/>
              </w:rPr>
            </w:pPr>
            <w:r>
              <w:rPr>
                <w:snapToGrid/>
              </w:rPr>
              <w:t>242</w:t>
            </w:r>
          </w:p>
        </w:tc>
        <w:tc>
          <w:tcPr>
            <w:tcW w:w="1701" w:type="dxa"/>
            <w:tcBorders>
              <w:top w:val="nil"/>
              <w:bottom w:val="single" w:sz="4" w:space="0" w:color="auto"/>
            </w:tcBorders>
          </w:tcPr>
          <w:p w:rsidR="00000000" w:rsidRDefault="00844A84">
            <w:pPr>
              <w:pStyle w:val="a2"/>
              <w:spacing w:after="60" w:line="280" w:lineRule="exact"/>
              <w:ind w:right="227"/>
              <w:jc w:val="right"/>
              <w:rPr>
                <w:snapToGrid/>
              </w:rPr>
            </w:pPr>
            <w:r>
              <w:rPr>
                <w:snapToGrid/>
              </w:rPr>
              <w:t>8,807/5,393</w:t>
            </w:r>
          </w:p>
        </w:tc>
        <w:tc>
          <w:tcPr>
            <w:tcW w:w="1244" w:type="dxa"/>
            <w:tcBorders>
              <w:top w:val="nil"/>
              <w:bottom w:val="single" w:sz="4" w:space="0" w:color="auto"/>
            </w:tcBorders>
          </w:tcPr>
          <w:p w:rsidR="00000000" w:rsidRDefault="00844A84">
            <w:pPr>
              <w:pStyle w:val="a2"/>
              <w:spacing w:after="60" w:line="280" w:lineRule="exact"/>
              <w:ind w:right="227"/>
              <w:jc w:val="right"/>
              <w:rPr>
                <w:snapToGrid/>
              </w:rPr>
            </w:pPr>
            <w:r>
              <w:rPr>
                <w:snapToGrid/>
              </w:rPr>
              <w:t>163.3</w:t>
            </w:r>
          </w:p>
        </w:tc>
      </w:tr>
    </w:tbl>
    <w:p w:rsidR="00000000" w:rsidRDefault="00844A84">
      <w:pPr>
        <w:ind w:firstLine="510"/>
        <w:rPr>
          <w:rFonts w:hint="eastAsia"/>
          <w:snapToGrid/>
          <w:lang w:val="en-GB"/>
        </w:rPr>
      </w:pPr>
      <w:r>
        <w:rPr>
          <w:rFonts w:hint="eastAsia"/>
          <w:snapToGrid/>
          <w:lang w:val="en-GB"/>
        </w:rPr>
        <w:t>634.</w:t>
      </w:r>
      <w:r>
        <w:rPr>
          <w:rFonts w:hint="eastAsia"/>
          <w:snapToGrid/>
        </w:rPr>
        <w:t xml:space="preserve">  </w:t>
      </w:r>
      <w:r>
        <w:rPr>
          <w:rFonts w:hint="eastAsia"/>
          <w:snapToGrid/>
          <w:lang w:val="en-GB"/>
        </w:rPr>
        <w:t>新生儿死亡率是人口一般生活水平、社会经济力量和保健服务工作的一项十分敏感的指数，这一死亡率低于“</w:t>
      </w:r>
      <w:r>
        <w:rPr>
          <w:snapToGrid/>
          <w:lang w:val="en-GB"/>
        </w:rPr>
        <w:t>2000</w:t>
      </w:r>
      <w:r>
        <w:rPr>
          <w:snapToGrid/>
          <w:lang w:val="en-GB"/>
        </w:rPr>
        <w:t>年</w:t>
      </w:r>
      <w:r>
        <w:rPr>
          <w:rFonts w:hint="eastAsia"/>
          <w:snapToGrid/>
        </w:rPr>
        <w:t>人人享有健康</w:t>
      </w:r>
      <w:r>
        <w:rPr>
          <w:snapToGrid/>
          <w:lang w:val="en-GB"/>
        </w:rPr>
        <w:t>方案</w:t>
      </w:r>
      <w:r>
        <w:rPr>
          <w:snapToGrid/>
          <w:lang w:val="en-GB"/>
        </w:rPr>
        <w:t>”</w:t>
      </w:r>
      <w:r>
        <w:rPr>
          <w:snapToGrid/>
          <w:lang w:val="en-GB"/>
        </w:rPr>
        <w:t>的</w:t>
      </w:r>
      <w:r>
        <w:rPr>
          <w:rFonts w:hint="eastAsia"/>
          <w:snapToGrid/>
          <w:lang w:val="en-GB"/>
        </w:rPr>
        <w:t>设想指数</w:t>
      </w:r>
      <w:r>
        <w:rPr>
          <w:rFonts w:hint="eastAsia"/>
          <w:snapToGrid/>
          <w:lang w:val="en-GB"/>
        </w:rPr>
        <w:t>(</w:t>
      </w:r>
      <w:r>
        <w:rPr>
          <w:snapToGrid/>
          <w:lang w:val="en-GB"/>
        </w:rPr>
        <w:t>14%)</w:t>
      </w:r>
      <w:r>
        <w:rPr>
          <w:snapToGrid/>
          <w:lang w:val="en-GB"/>
        </w:rPr>
        <w:t>，而十分接近</w:t>
      </w:r>
      <w:r>
        <w:rPr>
          <w:rFonts w:hint="eastAsia"/>
          <w:snapToGrid/>
          <w:lang w:val="en-GB"/>
        </w:rPr>
        <w:t>《</w:t>
      </w:r>
      <w:r>
        <w:rPr>
          <w:snapToGrid/>
          <w:lang w:val="en-GB"/>
        </w:rPr>
        <w:t>黑山公民健康保</w:t>
      </w:r>
      <w:r>
        <w:rPr>
          <w:rFonts w:hint="eastAsia"/>
          <w:snapToGrid/>
          <w:lang w:val="en-GB"/>
        </w:rPr>
        <w:t>护方案》确定的死亡率</w:t>
      </w:r>
      <w:r>
        <w:rPr>
          <w:rFonts w:hint="eastAsia"/>
          <w:snapToGrid/>
          <w:lang w:val="en-GB"/>
        </w:rPr>
        <w:t>(</w:t>
      </w:r>
      <w:r>
        <w:rPr>
          <w:snapToGrid/>
          <w:lang w:val="en-GB"/>
        </w:rPr>
        <w:t>13%)</w:t>
      </w:r>
      <w:r>
        <w:rPr>
          <w:snapToGrid/>
          <w:lang w:val="en-GB"/>
        </w:rPr>
        <w:t>。人口</w:t>
      </w:r>
      <w:r>
        <w:rPr>
          <w:rFonts w:hint="eastAsia"/>
          <w:snapToGrid/>
          <w:lang w:val="en-GB"/>
        </w:rPr>
        <w:t>总体死亡率</w:t>
      </w:r>
      <w:r>
        <w:rPr>
          <w:snapToGrid/>
          <w:lang w:val="en-GB"/>
        </w:rPr>
        <w:t>1999</w:t>
      </w:r>
      <w:r>
        <w:rPr>
          <w:snapToGrid/>
          <w:lang w:val="en-GB"/>
        </w:rPr>
        <w:t>年</w:t>
      </w:r>
      <w:r>
        <w:rPr>
          <w:rFonts w:hint="eastAsia"/>
          <w:snapToGrid/>
          <w:lang w:val="en-GB"/>
        </w:rPr>
        <w:t>为</w:t>
      </w:r>
      <w:r>
        <w:rPr>
          <w:snapToGrid/>
          <w:lang w:val="en-GB"/>
        </w:rPr>
        <w:t>8.</w:t>
      </w:r>
      <w:r>
        <w:rPr>
          <w:rFonts w:hint="eastAsia"/>
          <w:snapToGrid/>
          <w:lang w:val="en-GB"/>
        </w:rPr>
        <w:t>2</w:t>
      </w:r>
      <w:r>
        <w:rPr>
          <w:snapToGrid/>
          <w:lang w:val="en-GB"/>
        </w:rPr>
        <w:t>%</w:t>
      </w:r>
      <w:r>
        <w:rPr>
          <w:snapToGrid/>
          <w:lang w:val="en-GB"/>
        </w:rPr>
        <w:t>，高于</w:t>
      </w:r>
      <w:r>
        <w:rPr>
          <w:snapToGrid/>
          <w:lang w:val="en-GB"/>
        </w:rPr>
        <w:t>1991</w:t>
      </w:r>
      <w:r>
        <w:rPr>
          <w:snapToGrid/>
          <w:lang w:val="en-GB"/>
        </w:rPr>
        <w:t>年的</w:t>
      </w:r>
      <w:r>
        <w:rPr>
          <w:snapToGrid/>
          <w:lang w:val="en-GB"/>
        </w:rPr>
        <w:t>6.4%</w:t>
      </w:r>
      <w:r>
        <w:rPr>
          <w:snapToGrid/>
          <w:lang w:val="en-GB"/>
        </w:rPr>
        <w:t>，</w:t>
      </w:r>
      <w:r>
        <w:rPr>
          <w:rFonts w:hint="eastAsia"/>
          <w:snapToGrid/>
          <w:lang w:val="en-GB"/>
        </w:rPr>
        <w:t>与</w:t>
      </w:r>
      <w:r>
        <w:rPr>
          <w:snapToGrid/>
          <w:lang w:val="en-GB"/>
        </w:rPr>
        <w:t>前几年</w:t>
      </w:r>
      <w:r>
        <w:rPr>
          <w:rFonts w:hint="eastAsia"/>
          <w:snapToGrid/>
          <w:lang w:val="en-GB"/>
        </w:rPr>
        <w:t>的</w:t>
      </w:r>
      <w:r>
        <w:rPr>
          <w:snapToGrid/>
          <w:lang w:val="en-GB"/>
        </w:rPr>
        <w:t>水平持平。平均死亡年</w:t>
      </w:r>
      <w:r>
        <w:rPr>
          <w:rFonts w:hint="eastAsia"/>
          <w:snapToGrid/>
          <w:lang w:val="en-GB"/>
        </w:rPr>
        <w:t>龄为</w:t>
      </w:r>
      <w:r>
        <w:rPr>
          <w:snapToGrid/>
          <w:lang w:val="en-GB"/>
        </w:rPr>
        <w:t>6</w:t>
      </w:r>
      <w:r>
        <w:rPr>
          <w:rFonts w:hint="eastAsia"/>
          <w:snapToGrid/>
          <w:lang w:val="en-GB"/>
        </w:rPr>
        <w:t>7.</w:t>
      </w:r>
      <w:r>
        <w:rPr>
          <w:snapToGrid/>
          <w:lang w:val="en-GB"/>
        </w:rPr>
        <w:t>44</w:t>
      </w:r>
      <w:r>
        <w:rPr>
          <w:rFonts w:hint="eastAsia"/>
          <w:snapToGrid/>
          <w:lang w:val="en-GB"/>
        </w:rPr>
        <w:t>岁</w:t>
      </w:r>
      <w:r>
        <w:rPr>
          <w:snapToGrid/>
          <w:lang w:val="en-GB"/>
        </w:rPr>
        <w:t>(</w:t>
      </w:r>
      <w:r>
        <w:rPr>
          <w:rFonts w:hint="eastAsia"/>
          <w:snapToGrid/>
          <w:lang w:val="en-GB"/>
        </w:rPr>
        <w:t>男子为</w:t>
      </w:r>
      <w:r>
        <w:rPr>
          <w:rFonts w:hint="eastAsia"/>
          <w:snapToGrid/>
          <w:lang w:val="en-GB"/>
        </w:rPr>
        <w:t>6</w:t>
      </w:r>
      <w:r>
        <w:rPr>
          <w:snapToGrid/>
          <w:lang w:val="en-GB"/>
        </w:rPr>
        <w:t>4.</w:t>
      </w:r>
      <w:r>
        <w:rPr>
          <w:rFonts w:hint="eastAsia"/>
          <w:snapToGrid/>
          <w:lang w:val="en-GB"/>
        </w:rPr>
        <w:t>4</w:t>
      </w:r>
      <w:r>
        <w:rPr>
          <w:snapToGrid/>
          <w:lang w:val="en-GB"/>
        </w:rPr>
        <w:t>3</w:t>
      </w:r>
      <w:r>
        <w:rPr>
          <w:rFonts w:hint="eastAsia"/>
          <w:snapToGrid/>
          <w:lang w:val="en-GB"/>
        </w:rPr>
        <w:t>岁，女子为</w:t>
      </w:r>
      <w:r>
        <w:rPr>
          <w:snapToGrid/>
          <w:lang w:val="en-GB"/>
        </w:rPr>
        <w:t>70.74</w:t>
      </w:r>
      <w:r>
        <w:rPr>
          <w:rFonts w:hint="eastAsia"/>
          <w:snapToGrid/>
          <w:lang w:val="en-GB"/>
        </w:rPr>
        <w:t>岁</w:t>
      </w:r>
      <w:r>
        <w:rPr>
          <w:rFonts w:hint="eastAsia"/>
          <w:snapToGrid/>
          <w:lang w:val="en-GB"/>
        </w:rPr>
        <w:t>)</w:t>
      </w:r>
      <w:r>
        <w:rPr>
          <w:rFonts w:hint="eastAsia"/>
          <w:snapToGrid/>
          <w:lang w:val="en-GB"/>
        </w:rPr>
        <w:t>。其中多数人死者属于</w:t>
      </w:r>
      <w:r>
        <w:rPr>
          <w:snapToGrid/>
          <w:lang w:val="en-GB"/>
        </w:rPr>
        <w:t>65</w:t>
      </w:r>
      <w:r>
        <w:rPr>
          <w:rFonts w:hint="eastAsia"/>
          <w:snapToGrid/>
          <w:lang w:val="en-GB"/>
        </w:rPr>
        <w:t>岁以上年龄组</w:t>
      </w:r>
      <w:r>
        <w:rPr>
          <w:rFonts w:hint="eastAsia"/>
          <w:snapToGrid/>
          <w:lang w:val="en-GB"/>
        </w:rPr>
        <w:t>(</w:t>
      </w:r>
      <w:r>
        <w:rPr>
          <w:snapToGrid/>
          <w:lang w:val="en-GB"/>
        </w:rPr>
        <w:t>81.81%)</w:t>
      </w:r>
      <w:r>
        <w:rPr>
          <w:snapToGrid/>
          <w:lang w:val="en-GB"/>
        </w:rPr>
        <w:t>，其次</w:t>
      </w:r>
      <w:r>
        <w:rPr>
          <w:rFonts w:hint="eastAsia"/>
          <w:snapToGrid/>
          <w:lang w:val="en-GB"/>
        </w:rPr>
        <w:t>为</w:t>
      </w:r>
      <w:r>
        <w:rPr>
          <w:rFonts w:hint="eastAsia"/>
          <w:snapToGrid/>
          <w:lang w:val="en-GB"/>
        </w:rPr>
        <w:t>4</w:t>
      </w:r>
      <w:r>
        <w:rPr>
          <w:snapToGrid/>
          <w:lang w:val="en-GB"/>
        </w:rPr>
        <w:t>4</w:t>
      </w:r>
      <w:r>
        <w:rPr>
          <w:rFonts w:hint="eastAsia"/>
          <w:snapToGrid/>
          <w:lang w:val="en-GB"/>
        </w:rPr>
        <w:t>至</w:t>
      </w:r>
      <w:r>
        <w:rPr>
          <w:snapToGrid/>
          <w:lang w:val="en-GB"/>
        </w:rPr>
        <w:t>65</w:t>
      </w:r>
      <w:r>
        <w:rPr>
          <w:rFonts w:hint="eastAsia"/>
          <w:snapToGrid/>
          <w:lang w:val="en-GB"/>
        </w:rPr>
        <w:t>岁年龄组</w:t>
      </w:r>
      <w:r>
        <w:rPr>
          <w:rFonts w:hint="eastAsia"/>
          <w:snapToGrid/>
          <w:lang w:val="en-GB"/>
        </w:rPr>
        <w:t>(</w:t>
      </w:r>
      <w:r>
        <w:rPr>
          <w:snapToGrid/>
          <w:lang w:val="en-GB"/>
        </w:rPr>
        <w:t>8.21%)</w:t>
      </w:r>
      <w:r>
        <w:rPr>
          <w:snapToGrid/>
          <w:lang w:val="en-GB"/>
        </w:rPr>
        <w:t>，以及</w:t>
      </w:r>
      <w:r>
        <w:rPr>
          <w:snapToGrid/>
          <w:lang w:val="en-GB"/>
        </w:rPr>
        <w:t>25</w:t>
      </w:r>
      <w:r>
        <w:rPr>
          <w:snapToGrid/>
          <w:lang w:val="en-GB"/>
        </w:rPr>
        <w:t>至</w:t>
      </w:r>
      <w:r>
        <w:rPr>
          <w:snapToGrid/>
          <w:lang w:val="en-GB"/>
        </w:rPr>
        <w:t>44</w:t>
      </w:r>
      <w:r>
        <w:rPr>
          <w:rFonts w:hint="eastAsia"/>
          <w:snapToGrid/>
          <w:lang w:val="en-GB"/>
        </w:rPr>
        <w:t>岁年龄组</w:t>
      </w:r>
      <w:r>
        <w:rPr>
          <w:rFonts w:hint="eastAsia"/>
          <w:snapToGrid/>
          <w:lang w:val="en-GB"/>
        </w:rPr>
        <w:t>(</w:t>
      </w:r>
      <w:r>
        <w:rPr>
          <w:snapToGrid/>
          <w:lang w:val="en-GB"/>
        </w:rPr>
        <w:t>5.64%)</w:t>
      </w:r>
      <w:r>
        <w:rPr>
          <w:snapToGrid/>
          <w:lang w:val="en-GB"/>
        </w:rPr>
        <w:t>。</w:t>
      </w:r>
    </w:p>
    <w:p w:rsidR="00000000" w:rsidRDefault="00844A84">
      <w:pPr>
        <w:spacing w:after="320"/>
        <w:ind w:firstLine="510"/>
        <w:rPr>
          <w:rFonts w:hint="eastAsia"/>
          <w:snapToGrid/>
          <w:lang w:val="en-GB"/>
        </w:rPr>
      </w:pPr>
      <w:r>
        <w:rPr>
          <w:rFonts w:hint="eastAsia"/>
          <w:snapToGrid/>
          <w:lang w:val="en-GB"/>
        </w:rPr>
        <w:t>635.</w:t>
      </w:r>
      <w:r>
        <w:rPr>
          <w:rFonts w:hint="eastAsia"/>
          <w:snapToGrid/>
        </w:rPr>
        <w:t xml:space="preserve">  </w:t>
      </w:r>
      <w:r>
        <w:rPr>
          <w:rFonts w:hint="eastAsia"/>
          <w:snapToGrid/>
          <w:lang w:val="en-GB"/>
        </w:rPr>
        <w:t>至于</w:t>
      </w:r>
      <w:r>
        <w:rPr>
          <w:rFonts w:hint="eastAsia"/>
          <w:snapToGrid/>
          <w:lang w:val="en-GB"/>
        </w:rPr>
        <w:t>MKB-10</w:t>
      </w:r>
      <w:r>
        <w:rPr>
          <w:rFonts w:hint="eastAsia"/>
          <w:snapToGrid/>
          <w:lang w:val="en-GB"/>
        </w:rPr>
        <w:t>所列的疾病类型，黑山共和国</w:t>
      </w:r>
      <w:r>
        <w:rPr>
          <w:snapToGrid/>
          <w:lang w:val="en-GB"/>
        </w:rPr>
        <w:t>1999</w:t>
      </w:r>
      <w:r>
        <w:rPr>
          <w:snapToGrid/>
          <w:lang w:val="en-GB"/>
        </w:rPr>
        <w:t>年的主</w:t>
      </w:r>
      <w:r>
        <w:rPr>
          <w:rFonts w:hint="eastAsia"/>
          <w:snapToGrid/>
          <w:lang w:val="en-GB"/>
        </w:rPr>
        <w:t>要死因为表</w:t>
      </w:r>
      <w:r>
        <w:rPr>
          <w:rFonts w:hint="eastAsia"/>
          <w:snapToGrid/>
          <w:lang w:val="en-GB"/>
        </w:rPr>
        <w:t>2</w:t>
      </w:r>
      <w:r>
        <w:rPr>
          <w:rFonts w:hint="eastAsia"/>
          <w:snapToGrid/>
          <w:lang w:val="en-GB"/>
        </w:rPr>
        <w:t>所列的疾病。</w:t>
      </w:r>
    </w:p>
    <w:p w:rsidR="00000000" w:rsidRDefault="00844A84">
      <w:pPr>
        <w:pStyle w:val="Heading3"/>
        <w:rPr>
          <w:rFonts w:hint="eastAsia"/>
          <w:sz w:val="22"/>
        </w:rPr>
      </w:pPr>
      <w:r>
        <w:rPr>
          <w:rFonts w:hint="eastAsia"/>
          <w:sz w:val="22"/>
          <w:u w:val="none"/>
        </w:rPr>
        <w:t>表</w:t>
      </w:r>
      <w:r>
        <w:rPr>
          <w:rFonts w:hint="eastAsia"/>
          <w:sz w:val="22"/>
          <w:u w:val="none"/>
        </w:rPr>
        <w:t xml:space="preserve"> </w:t>
      </w:r>
      <w:r>
        <w:rPr>
          <w:sz w:val="22"/>
          <w:u w:val="none"/>
        </w:rPr>
        <w:t>2</w:t>
      </w:r>
      <w:r>
        <w:rPr>
          <w:sz w:val="22"/>
          <w:u w:val="none"/>
        </w:rPr>
        <w:br/>
      </w:r>
      <w:r>
        <w:rPr>
          <w:rFonts w:hint="eastAsia"/>
          <w:sz w:val="22"/>
        </w:rPr>
        <w:t>黑山共和国</w:t>
      </w:r>
      <w:r>
        <w:rPr>
          <w:rFonts w:hint="eastAsia"/>
          <w:sz w:val="22"/>
        </w:rPr>
        <w:t>1999</w:t>
      </w:r>
      <w:r>
        <w:rPr>
          <w:rFonts w:hint="eastAsia"/>
          <w:sz w:val="22"/>
        </w:rPr>
        <w:t>年按疾病类别开列的死亡人数</w:t>
      </w:r>
    </w:p>
    <w:tbl>
      <w:tblPr>
        <w:tblW w:w="9320" w:type="dxa"/>
        <w:tblInd w:w="108" w:type="dxa"/>
        <w:tblBorders>
          <w:top w:val="single" w:sz="4" w:space="0" w:color="auto"/>
          <w:left w:val="single" w:sz="4" w:space="0" w:color="auto"/>
          <w:right w:val="single" w:sz="4" w:space="0" w:color="auto"/>
          <w:insideV w:val="single" w:sz="4" w:space="0" w:color="auto"/>
        </w:tblBorders>
        <w:tblLayout w:type="fixed"/>
        <w:tblLook w:val="0000" w:firstRow="0" w:lastRow="0" w:firstColumn="0" w:lastColumn="0" w:noHBand="0" w:noVBand="0"/>
      </w:tblPr>
      <w:tblGrid>
        <w:gridCol w:w="851"/>
        <w:gridCol w:w="1129"/>
        <w:gridCol w:w="5160"/>
        <w:gridCol w:w="1155"/>
        <w:gridCol w:w="1025"/>
      </w:tblGrid>
      <w:tr w:rsidR="00000000">
        <w:tblPrEx>
          <w:tblCellMar>
            <w:top w:w="0" w:type="dxa"/>
            <w:bottom w:w="0" w:type="dxa"/>
          </w:tblCellMar>
        </w:tblPrEx>
        <w:trPr>
          <w:cantSplit/>
        </w:trPr>
        <w:tc>
          <w:tcPr>
            <w:tcW w:w="851" w:type="dxa"/>
            <w:tcBorders>
              <w:top w:val="single" w:sz="4" w:space="0" w:color="auto"/>
              <w:bottom w:val="single" w:sz="4" w:space="0" w:color="auto"/>
            </w:tcBorders>
          </w:tcPr>
          <w:p w:rsidR="00000000" w:rsidRDefault="00844A84">
            <w:pPr>
              <w:pStyle w:val="a2"/>
              <w:rPr>
                <w:rFonts w:hint="eastAsia"/>
                <w:snapToGrid/>
              </w:rPr>
            </w:pPr>
            <w:r>
              <w:rPr>
                <w:rFonts w:hint="eastAsia"/>
                <w:snapToGrid/>
              </w:rPr>
              <w:t>序</w:t>
            </w:r>
            <w:r>
              <w:rPr>
                <w:snapToGrid/>
              </w:rPr>
              <w:t xml:space="preserve"> </w:t>
            </w:r>
            <w:r>
              <w:rPr>
                <w:rFonts w:hint="eastAsia"/>
                <w:snapToGrid/>
              </w:rPr>
              <w:t>号</w:t>
            </w:r>
          </w:p>
        </w:tc>
        <w:tc>
          <w:tcPr>
            <w:tcW w:w="6289" w:type="dxa"/>
            <w:gridSpan w:val="2"/>
            <w:tcBorders>
              <w:top w:val="single" w:sz="4" w:space="0" w:color="auto"/>
              <w:bottom w:val="single" w:sz="4" w:space="0" w:color="auto"/>
            </w:tcBorders>
          </w:tcPr>
          <w:p w:rsidR="00000000" w:rsidRDefault="00844A84">
            <w:pPr>
              <w:pStyle w:val="a2"/>
              <w:jc w:val="center"/>
              <w:rPr>
                <w:snapToGrid/>
              </w:rPr>
            </w:pPr>
            <w:r>
              <w:rPr>
                <w:rFonts w:hint="eastAsia"/>
                <w:snapToGrid/>
              </w:rPr>
              <w:t>疾</w:t>
            </w:r>
            <w:r>
              <w:rPr>
                <w:snapToGrid/>
              </w:rPr>
              <w:t xml:space="preserve"> </w:t>
            </w:r>
            <w:r>
              <w:rPr>
                <w:rFonts w:hint="eastAsia"/>
                <w:snapToGrid/>
              </w:rPr>
              <w:t>病</w:t>
            </w:r>
            <w:r>
              <w:rPr>
                <w:snapToGrid/>
              </w:rPr>
              <w:t xml:space="preserve"> </w:t>
            </w:r>
            <w:r>
              <w:rPr>
                <w:rFonts w:hint="eastAsia"/>
                <w:snapToGrid/>
              </w:rPr>
              <w:t>类</w:t>
            </w:r>
            <w:r>
              <w:rPr>
                <w:snapToGrid/>
              </w:rPr>
              <w:t xml:space="preserve"> </w:t>
            </w:r>
            <w:r>
              <w:rPr>
                <w:rFonts w:hint="eastAsia"/>
                <w:snapToGrid/>
              </w:rPr>
              <w:t>别</w:t>
            </w:r>
          </w:p>
        </w:tc>
        <w:tc>
          <w:tcPr>
            <w:tcW w:w="1155" w:type="dxa"/>
            <w:tcBorders>
              <w:top w:val="single" w:sz="4" w:space="0" w:color="auto"/>
              <w:bottom w:val="single" w:sz="4" w:space="0" w:color="auto"/>
            </w:tcBorders>
          </w:tcPr>
          <w:p w:rsidR="00000000" w:rsidRDefault="00844A84">
            <w:pPr>
              <w:pStyle w:val="a2"/>
              <w:rPr>
                <w:snapToGrid/>
                <w:spacing w:val="-6"/>
              </w:rPr>
            </w:pPr>
            <w:r>
              <w:rPr>
                <w:rFonts w:hint="eastAsia"/>
                <w:snapToGrid/>
                <w:spacing w:val="-6"/>
              </w:rPr>
              <w:t>死亡人数</w:t>
            </w:r>
          </w:p>
        </w:tc>
        <w:tc>
          <w:tcPr>
            <w:tcW w:w="1025" w:type="dxa"/>
            <w:tcBorders>
              <w:top w:val="single" w:sz="4" w:space="0" w:color="auto"/>
              <w:bottom w:val="single" w:sz="4" w:space="0" w:color="auto"/>
            </w:tcBorders>
          </w:tcPr>
          <w:p w:rsidR="00000000" w:rsidRDefault="00844A84">
            <w:pPr>
              <w:pStyle w:val="a2"/>
              <w:jc w:val="center"/>
              <w:rPr>
                <w:snapToGrid/>
              </w:rPr>
            </w:pPr>
            <w:r>
              <w:rPr>
                <w:snapToGrid/>
              </w:rPr>
              <w:t>%</w:t>
            </w:r>
          </w:p>
        </w:tc>
      </w:tr>
      <w:tr w:rsidR="00000000">
        <w:tblPrEx>
          <w:tblCellMar>
            <w:top w:w="0" w:type="dxa"/>
            <w:bottom w:w="0" w:type="dxa"/>
          </w:tblCellMar>
        </w:tblPrEx>
        <w:tc>
          <w:tcPr>
            <w:tcW w:w="851" w:type="dxa"/>
            <w:tcBorders>
              <w:top w:val="single" w:sz="4" w:space="0" w:color="auto"/>
            </w:tcBorders>
          </w:tcPr>
          <w:p w:rsidR="00000000" w:rsidRDefault="00844A84">
            <w:pPr>
              <w:pStyle w:val="a2"/>
              <w:jc w:val="center"/>
              <w:rPr>
                <w:rFonts w:hint="eastAsia"/>
                <w:snapToGrid/>
              </w:rPr>
            </w:pPr>
            <w:r>
              <w:rPr>
                <w:snapToGrid/>
              </w:rPr>
              <w:t>1</w:t>
            </w:r>
          </w:p>
        </w:tc>
        <w:tc>
          <w:tcPr>
            <w:tcW w:w="1129" w:type="dxa"/>
            <w:tcBorders>
              <w:top w:val="single" w:sz="4" w:space="0" w:color="auto"/>
            </w:tcBorders>
          </w:tcPr>
          <w:p w:rsidR="00000000" w:rsidRDefault="00844A84">
            <w:pPr>
              <w:pStyle w:val="a2"/>
              <w:rPr>
                <w:snapToGrid/>
              </w:rPr>
            </w:pPr>
            <w:r>
              <w:rPr>
                <w:snapToGrid/>
              </w:rPr>
              <w:t>IX</w:t>
            </w:r>
          </w:p>
        </w:tc>
        <w:tc>
          <w:tcPr>
            <w:tcW w:w="5160" w:type="dxa"/>
            <w:tcBorders>
              <w:top w:val="single" w:sz="4" w:space="0" w:color="auto"/>
            </w:tcBorders>
          </w:tcPr>
          <w:p w:rsidR="00000000" w:rsidRDefault="00844A84">
            <w:pPr>
              <w:pStyle w:val="a2"/>
              <w:rPr>
                <w:snapToGrid/>
              </w:rPr>
            </w:pPr>
            <w:r>
              <w:rPr>
                <w:rFonts w:hint="eastAsia"/>
                <w:snapToGrid/>
              </w:rPr>
              <w:t>血管系统疾病</w:t>
            </w:r>
            <w:r>
              <w:rPr>
                <w:snapToGrid/>
              </w:rPr>
              <w:t>(I00-I99)</w:t>
            </w:r>
          </w:p>
        </w:tc>
        <w:tc>
          <w:tcPr>
            <w:tcW w:w="1155" w:type="dxa"/>
            <w:tcBorders>
              <w:top w:val="single" w:sz="4" w:space="0" w:color="auto"/>
            </w:tcBorders>
          </w:tcPr>
          <w:p w:rsidR="00000000" w:rsidRDefault="00844A84">
            <w:pPr>
              <w:pStyle w:val="a2"/>
              <w:ind w:right="113"/>
              <w:jc w:val="center"/>
              <w:rPr>
                <w:snapToGrid/>
              </w:rPr>
            </w:pPr>
            <w:r>
              <w:rPr>
                <w:snapToGrid/>
              </w:rPr>
              <w:t>2,438</w:t>
            </w:r>
          </w:p>
        </w:tc>
        <w:tc>
          <w:tcPr>
            <w:tcW w:w="1025" w:type="dxa"/>
            <w:tcBorders>
              <w:top w:val="single" w:sz="4" w:space="0" w:color="auto"/>
            </w:tcBorders>
          </w:tcPr>
          <w:p w:rsidR="00000000" w:rsidRDefault="00844A84">
            <w:pPr>
              <w:pStyle w:val="a2"/>
              <w:ind w:right="113"/>
              <w:jc w:val="right"/>
              <w:rPr>
                <w:snapToGrid/>
              </w:rPr>
            </w:pPr>
            <w:r>
              <w:rPr>
                <w:snapToGrid/>
              </w:rPr>
              <w:t>45.21</w:t>
            </w:r>
          </w:p>
        </w:tc>
      </w:tr>
      <w:tr w:rsidR="00000000">
        <w:tblPrEx>
          <w:tblCellMar>
            <w:top w:w="0" w:type="dxa"/>
            <w:bottom w:w="0" w:type="dxa"/>
          </w:tblCellMar>
        </w:tblPrEx>
        <w:tc>
          <w:tcPr>
            <w:tcW w:w="851" w:type="dxa"/>
          </w:tcPr>
          <w:p w:rsidR="00000000" w:rsidRDefault="00844A84">
            <w:pPr>
              <w:pStyle w:val="a2"/>
              <w:jc w:val="center"/>
              <w:rPr>
                <w:snapToGrid/>
              </w:rPr>
            </w:pPr>
            <w:r>
              <w:rPr>
                <w:snapToGrid/>
              </w:rPr>
              <w:t>2</w:t>
            </w:r>
          </w:p>
        </w:tc>
        <w:tc>
          <w:tcPr>
            <w:tcW w:w="1129" w:type="dxa"/>
          </w:tcPr>
          <w:p w:rsidR="00000000" w:rsidRDefault="00844A84">
            <w:pPr>
              <w:pStyle w:val="a2"/>
              <w:rPr>
                <w:snapToGrid/>
              </w:rPr>
            </w:pPr>
            <w:r>
              <w:rPr>
                <w:snapToGrid/>
              </w:rPr>
              <w:t>II</w:t>
            </w:r>
          </w:p>
        </w:tc>
        <w:tc>
          <w:tcPr>
            <w:tcW w:w="5160" w:type="dxa"/>
          </w:tcPr>
          <w:p w:rsidR="00000000" w:rsidRDefault="00844A84">
            <w:pPr>
              <w:pStyle w:val="a2"/>
              <w:rPr>
                <w:snapToGrid/>
              </w:rPr>
            </w:pPr>
            <w:r>
              <w:rPr>
                <w:rFonts w:hint="eastAsia"/>
                <w:snapToGrid/>
              </w:rPr>
              <w:t>肿瘤</w:t>
            </w:r>
            <w:r>
              <w:rPr>
                <w:snapToGrid/>
              </w:rPr>
              <w:t>(C00-D48)</w:t>
            </w:r>
          </w:p>
        </w:tc>
        <w:tc>
          <w:tcPr>
            <w:tcW w:w="1155" w:type="dxa"/>
          </w:tcPr>
          <w:p w:rsidR="00000000" w:rsidRDefault="00844A84">
            <w:pPr>
              <w:pStyle w:val="a2"/>
              <w:ind w:right="113"/>
              <w:jc w:val="center"/>
              <w:rPr>
                <w:snapToGrid/>
              </w:rPr>
            </w:pPr>
            <w:r>
              <w:rPr>
                <w:snapToGrid/>
              </w:rPr>
              <w:t>1,09</w:t>
            </w:r>
            <w:r>
              <w:rPr>
                <w:snapToGrid/>
              </w:rPr>
              <w:t>7</w:t>
            </w:r>
          </w:p>
        </w:tc>
        <w:tc>
          <w:tcPr>
            <w:tcW w:w="1025" w:type="dxa"/>
          </w:tcPr>
          <w:p w:rsidR="00000000" w:rsidRDefault="00844A84">
            <w:pPr>
              <w:pStyle w:val="a2"/>
              <w:ind w:right="113"/>
              <w:jc w:val="right"/>
              <w:rPr>
                <w:snapToGrid/>
              </w:rPr>
            </w:pPr>
            <w:r>
              <w:rPr>
                <w:snapToGrid/>
              </w:rPr>
              <w:t>20.34</w:t>
            </w:r>
          </w:p>
        </w:tc>
      </w:tr>
      <w:tr w:rsidR="00000000">
        <w:tblPrEx>
          <w:tblCellMar>
            <w:top w:w="0" w:type="dxa"/>
            <w:bottom w:w="0" w:type="dxa"/>
          </w:tblCellMar>
        </w:tblPrEx>
        <w:tc>
          <w:tcPr>
            <w:tcW w:w="851" w:type="dxa"/>
          </w:tcPr>
          <w:p w:rsidR="00000000" w:rsidRDefault="00844A84">
            <w:pPr>
              <w:pStyle w:val="a2"/>
              <w:jc w:val="center"/>
              <w:rPr>
                <w:snapToGrid/>
              </w:rPr>
            </w:pPr>
            <w:r>
              <w:rPr>
                <w:snapToGrid/>
              </w:rPr>
              <w:t>3</w:t>
            </w:r>
          </w:p>
        </w:tc>
        <w:tc>
          <w:tcPr>
            <w:tcW w:w="1129" w:type="dxa"/>
          </w:tcPr>
          <w:p w:rsidR="00000000" w:rsidRDefault="00844A84">
            <w:pPr>
              <w:pStyle w:val="a2"/>
              <w:rPr>
                <w:snapToGrid/>
              </w:rPr>
            </w:pPr>
            <w:r>
              <w:rPr>
                <w:snapToGrid/>
              </w:rPr>
              <w:t>XIV II</w:t>
            </w:r>
          </w:p>
        </w:tc>
        <w:tc>
          <w:tcPr>
            <w:tcW w:w="5160" w:type="dxa"/>
          </w:tcPr>
          <w:p w:rsidR="00000000" w:rsidRDefault="00844A84">
            <w:pPr>
              <w:pStyle w:val="a2"/>
              <w:rPr>
                <w:snapToGrid/>
              </w:rPr>
            </w:pPr>
            <w:r>
              <w:rPr>
                <w:rFonts w:hint="eastAsia"/>
                <w:snapToGrid/>
              </w:rPr>
              <w:t>症状、征候、实验室和病理检验</w:t>
            </w:r>
            <w:r>
              <w:rPr>
                <w:rFonts w:hint="eastAsia"/>
                <w:snapToGrid/>
              </w:rPr>
              <w:t xml:space="preserve"> </w:t>
            </w:r>
            <w:r>
              <w:rPr>
                <w:snapToGrid/>
              </w:rPr>
              <w:t>(R00-R99)</w:t>
            </w:r>
          </w:p>
        </w:tc>
        <w:tc>
          <w:tcPr>
            <w:tcW w:w="1155" w:type="dxa"/>
          </w:tcPr>
          <w:p w:rsidR="00000000" w:rsidRDefault="00844A84">
            <w:pPr>
              <w:pStyle w:val="a2"/>
              <w:ind w:left="113" w:right="113"/>
              <w:jc w:val="center"/>
              <w:rPr>
                <w:snapToGrid/>
              </w:rPr>
            </w:pPr>
            <w:r>
              <w:rPr>
                <w:snapToGrid/>
              </w:rPr>
              <w:t>820</w:t>
            </w:r>
          </w:p>
        </w:tc>
        <w:tc>
          <w:tcPr>
            <w:tcW w:w="1025" w:type="dxa"/>
          </w:tcPr>
          <w:p w:rsidR="00000000" w:rsidRDefault="00844A84">
            <w:pPr>
              <w:pStyle w:val="a2"/>
              <w:ind w:right="113"/>
              <w:jc w:val="right"/>
              <w:rPr>
                <w:snapToGrid/>
              </w:rPr>
            </w:pPr>
            <w:r>
              <w:rPr>
                <w:snapToGrid/>
              </w:rPr>
              <w:t>15.20</w:t>
            </w:r>
          </w:p>
        </w:tc>
      </w:tr>
      <w:tr w:rsidR="00000000">
        <w:tblPrEx>
          <w:tblCellMar>
            <w:top w:w="0" w:type="dxa"/>
            <w:bottom w:w="0" w:type="dxa"/>
          </w:tblCellMar>
        </w:tblPrEx>
        <w:tc>
          <w:tcPr>
            <w:tcW w:w="851" w:type="dxa"/>
          </w:tcPr>
          <w:p w:rsidR="00000000" w:rsidRDefault="00844A84">
            <w:pPr>
              <w:pStyle w:val="a2"/>
              <w:jc w:val="center"/>
              <w:rPr>
                <w:snapToGrid/>
              </w:rPr>
            </w:pPr>
            <w:r>
              <w:rPr>
                <w:snapToGrid/>
              </w:rPr>
              <w:t>4</w:t>
            </w:r>
          </w:p>
        </w:tc>
        <w:tc>
          <w:tcPr>
            <w:tcW w:w="1129" w:type="dxa"/>
          </w:tcPr>
          <w:p w:rsidR="00000000" w:rsidRDefault="00844A84">
            <w:pPr>
              <w:pStyle w:val="a2"/>
              <w:rPr>
                <w:snapToGrid/>
              </w:rPr>
            </w:pPr>
            <w:r>
              <w:rPr>
                <w:snapToGrid/>
              </w:rPr>
              <w:t>XIX</w:t>
            </w:r>
          </w:p>
        </w:tc>
        <w:tc>
          <w:tcPr>
            <w:tcW w:w="5160" w:type="dxa"/>
          </w:tcPr>
          <w:p w:rsidR="00000000" w:rsidRDefault="00844A84">
            <w:pPr>
              <w:pStyle w:val="a2"/>
              <w:rPr>
                <w:snapToGrid/>
              </w:rPr>
            </w:pPr>
            <w:r>
              <w:rPr>
                <w:rFonts w:hint="eastAsia"/>
                <w:snapToGrid/>
              </w:rPr>
              <w:t>外伤、中毒、外在因素后果</w:t>
            </w:r>
            <w:r>
              <w:rPr>
                <w:snapToGrid/>
              </w:rPr>
              <w:t>(S00-T98)</w:t>
            </w:r>
          </w:p>
        </w:tc>
        <w:tc>
          <w:tcPr>
            <w:tcW w:w="1155" w:type="dxa"/>
          </w:tcPr>
          <w:p w:rsidR="00000000" w:rsidRDefault="00844A84">
            <w:pPr>
              <w:pStyle w:val="a2"/>
              <w:ind w:left="113" w:right="113"/>
              <w:jc w:val="center"/>
              <w:rPr>
                <w:snapToGrid/>
              </w:rPr>
            </w:pPr>
            <w:r>
              <w:rPr>
                <w:snapToGrid/>
              </w:rPr>
              <w:t>304</w:t>
            </w:r>
          </w:p>
        </w:tc>
        <w:tc>
          <w:tcPr>
            <w:tcW w:w="1025" w:type="dxa"/>
          </w:tcPr>
          <w:p w:rsidR="00000000" w:rsidRDefault="00844A84">
            <w:pPr>
              <w:pStyle w:val="a2"/>
              <w:ind w:right="113"/>
              <w:jc w:val="right"/>
              <w:rPr>
                <w:snapToGrid/>
              </w:rPr>
            </w:pPr>
            <w:r>
              <w:rPr>
                <w:snapToGrid/>
              </w:rPr>
              <w:t>5.64</w:t>
            </w:r>
          </w:p>
        </w:tc>
      </w:tr>
      <w:tr w:rsidR="00000000">
        <w:tblPrEx>
          <w:tblCellMar>
            <w:top w:w="0" w:type="dxa"/>
            <w:bottom w:w="0" w:type="dxa"/>
          </w:tblCellMar>
        </w:tblPrEx>
        <w:tc>
          <w:tcPr>
            <w:tcW w:w="851" w:type="dxa"/>
            <w:tcBorders>
              <w:bottom w:val="single" w:sz="4" w:space="0" w:color="auto"/>
            </w:tcBorders>
          </w:tcPr>
          <w:p w:rsidR="00000000" w:rsidRDefault="00844A84">
            <w:pPr>
              <w:pStyle w:val="a2"/>
              <w:jc w:val="center"/>
              <w:rPr>
                <w:snapToGrid/>
              </w:rPr>
            </w:pPr>
            <w:r>
              <w:rPr>
                <w:snapToGrid/>
              </w:rPr>
              <w:t>5</w:t>
            </w:r>
          </w:p>
        </w:tc>
        <w:tc>
          <w:tcPr>
            <w:tcW w:w="1129" w:type="dxa"/>
            <w:tcBorders>
              <w:bottom w:val="single" w:sz="4" w:space="0" w:color="auto"/>
            </w:tcBorders>
          </w:tcPr>
          <w:p w:rsidR="00000000" w:rsidRDefault="00844A84">
            <w:pPr>
              <w:pStyle w:val="a2"/>
              <w:rPr>
                <w:snapToGrid/>
              </w:rPr>
            </w:pPr>
            <w:r>
              <w:rPr>
                <w:snapToGrid/>
              </w:rPr>
              <w:t>X</w:t>
            </w:r>
          </w:p>
        </w:tc>
        <w:tc>
          <w:tcPr>
            <w:tcW w:w="5160" w:type="dxa"/>
            <w:tcBorders>
              <w:bottom w:val="single" w:sz="4" w:space="0" w:color="auto"/>
            </w:tcBorders>
          </w:tcPr>
          <w:p w:rsidR="00000000" w:rsidRDefault="00844A84">
            <w:pPr>
              <w:pStyle w:val="a2"/>
              <w:rPr>
                <w:snapToGrid/>
              </w:rPr>
            </w:pPr>
            <w:r>
              <w:rPr>
                <w:rFonts w:hint="eastAsia"/>
                <w:snapToGrid/>
              </w:rPr>
              <w:t>呼吸系统疾病</w:t>
            </w:r>
            <w:r>
              <w:rPr>
                <w:snapToGrid/>
              </w:rPr>
              <w:t>(J00-J99)</w:t>
            </w:r>
          </w:p>
        </w:tc>
        <w:tc>
          <w:tcPr>
            <w:tcW w:w="1155" w:type="dxa"/>
            <w:tcBorders>
              <w:bottom w:val="single" w:sz="4" w:space="0" w:color="auto"/>
            </w:tcBorders>
          </w:tcPr>
          <w:p w:rsidR="00000000" w:rsidRDefault="00844A84">
            <w:pPr>
              <w:pStyle w:val="a2"/>
              <w:ind w:left="113" w:right="113"/>
              <w:jc w:val="center"/>
              <w:rPr>
                <w:snapToGrid/>
              </w:rPr>
            </w:pPr>
            <w:r>
              <w:rPr>
                <w:snapToGrid/>
              </w:rPr>
              <w:t>183</w:t>
            </w:r>
          </w:p>
        </w:tc>
        <w:tc>
          <w:tcPr>
            <w:tcW w:w="1025" w:type="dxa"/>
            <w:tcBorders>
              <w:bottom w:val="single" w:sz="4" w:space="0" w:color="auto"/>
            </w:tcBorders>
          </w:tcPr>
          <w:p w:rsidR="00000000" w:rsidRDefault="00844A84">
            <w:pPr>
              <w:pStyle w:val="a2"/>
              <w:ind w:right="113"/>
              <w:jc w:val="right"/>
              <w:rPr>
                <w:snapToGrid/>
              </w:rPr>
            </w:pPr>
            <w:r>
              <w:rPr>
                <w:snapToGrid/>
              </w:rPr>
              <w:t>3.39</w:t>
            </w:r>
          </w:p>
        </w:tc>
      </w:tr>
      <w:tr w:rsidR="00000000">
        <w:tblPrEx>
          <w:tblCellMar>
            <w:top w:w="0" w:type="dxa"/>
            <w:bottom w:w="0" w:type="dxa"/>
          </w:tblCellMar>
        </w:tblPrEx>
        <w:trPr>
          <w:cantSplit/>
        </w:trPr>
        <w:tc>
          <w:tcPr>
            <w:tcW w:w="7140" w:type="dxa"/>
            <w:gridSpan w:val="3"/>
            <w:tcBorders>
              <w:top w:val="single" w:sz="4" w:space="0" w:color="auto"/>
              <w:bottom w:val="single" w:sz="4" w:space="0" w:color="auto"/>
            </w:tcBorders>
          </w:tcPr>
          <w:p w:rsidR="00000000" w:rsidRDefault="00844A84">
            <w:pPr>
              <w:pStyle w:val="a2"/>
              <w:spacing w:after="40"/>
              <w:rPr>
                <w:snapToGrid/>
              </w:rPr>
            </w:pPr>
            <w:r>
              <w:rPr>
                <w:snapToGrid/>
              </w:rPr>
              <w:t xml:space="preserve">        </w:t>
            </w:r>
            <w:r>
              <w:rPr>
                <w:rFonts w:hint="eastAsia"/>
                <w:snapToGrid/>
              </w:rPr>
              <w:t>死亡总人数</w:t>
            </w:r>
          </w:p>
        </w:tc>
        <w:tc>
          <w:tcPr>
            <w:tcW w:w="1155" w:type="dxa"/>
            <w:tcBorders>
              <w:top w:val="single" w:sz="4" w:space="0" w:color="auto"/>
              <w:bottom w:val="single" w:sz="4" w:space="0" w:color="auto"/>
            </w:tcBorders>
          </w:tcPr>
          <w:p w:rsidR="00000000" w:rsidRDefault="00844A84">
            <w:pPr>
              <w:pStyle w:val="a2"/>
              <w:spacing w:after="40"/>
              <w:ind w:right="113"/>
              <w:jc w:val="center"/>
              <w:rPr>
                <w:snapToGrid/>
              </w:rPr>
            </w:pPr>
            <w:r>
              <w:rPr>
                <w:snapToGrid/>
              </w:rPr>
              <w:t>5,393</w:t>
            </w:r>
          </w:p>
        </w:tc>
        <w:tc>
          <w:tcPr>
            <w:tcW w:w="1025" w:type="dxa"/>
            <w:tcBorders>
              <w:top w:val="single" w:sz="4" w:space="0" w:color="auto"/>
              <w:bottom w:val="single" w:sz="4" w:space="0" w:color="auto"/>
            </w:tcBorders>
          </w:tcPr>
          <w:p w:rsidR="00000000" w:rsidRDefault="00844A84">
            <w:pPr>
              <w:pStyle w:val="a2"/>
              <w:spacing w:after="40"/>
              <w:ind w:right="113"/>
              <w:jc w:val="right"/>
              <w:rPr>
                <w:snapToGrid/>
              </w:rPr>
            </w:pPr>
            <w:r>
              <w:rPr>
                <w:snapToGrid/>
              </w:rPr>
              <w:t>100.00</w:t>
            </w:r>
          </w:p>
        </w:tc>
      </w:tr>
    </w:tbl>
    <w:p w:rsidR="00000000" w:rsidRDefault="00844A84">
      <w:pPr>
        <w:spacing w:before="240"/>
        <w:ind w:firstLine="510"/>
        <w:rPr>
          <w:rFonts w:hint="eastAsia"/>
          <w:snapToGrid/>
          <w:lang w:val="en-GB"/>
        </w:rPr>
      </w:pPr>
      <w:r>
        <w:rPr>
          <w:rFonts w:hint="eastAsia"/>
          <w:snapToGrid/>
          <w:lang w:val="en-GB"/>
        </w:rPr>
        <w:t>636.</w:t>
      </w:r>
      <w:r>
        <w:rPr>
          <w:rFonts w:hint="eastAsia"/>
          <w:snapToGrid/>
        </w:rPr>
        <w:t xml:space="preserve">  </w:t>
      </w:r>
      <w:r>
        <w:rPr>
          <w:rFonts w:hint="eastAsia"/>
          <w:snapToGrid/>
          <w:lang w:val="en-GB"/>
        </w:rPr>
        <w:t>对黑山共和国境内某些年龄的人强制免疫接种计划正在不断实施，覆盖范围相当广泛。</w:t>
      </w:r>
      <w:r>
        <w:rPr>
          <w:snapToGrid/>
          <w:lang w:val="en-GB"/>
        </w:rPr>
        <w:t>1999</w:t>
      </w:r>
      <w:r>
        <w:rPr>
          <w:snapToGrid/>
          <w:lang w:val="en-GB"/>
        </w:rPr>
        <w:t>年，多</w:t>
      </w:r>
      <w:r>
        <w:rPr>
          <w:rFonts w:hint="eastAsia"/>
          <w:snapToGrid/>
          <w:lang w:val="en-GB"/>
        </w:rPr>
        <w:t>数市镇实现了满意的免疫接种覆盖率</w:t>
      </w:r>
      <w:r>
        <w:rPr>
          <w:rFonts w:hint="eastAsia"/>
          <w:snapToGrid/>
          <w:lang w:val="en-GB"/>
        </w:rPr>
        <w:t>(</w:t>
      </w:r>
      <w:r>
        <w:rPr>
          <w:snapToGrid/>
          <w:lang w:val="en-GB"/>
        </w:rPr>
        <w:t>95%)</w:t>
      </w:r>
      <w:r>
        <w:rPr>
          <w:snapToGrid/>
          <w:lang w:val="en-GB"/>
        </w:rPr>
        <w:t>。</w:t>
      </w:r>
    </w:p>
    <w:p w:rsidR="00000000" w:rsidRDefault="00844A84">
      <w:pPr>
        <w:ind w:firstLine="510"/>
        <w:rPr>
          <w:rFonts w:hint="eastAsia"/>
          <w:snapToGrid/>
          <w:lang w:val="en-GB"/>
        </w:rPr>
      </w:pPr>
      <w:r>
        <w:rPr>
          <w:rFonts w:hint="eastAsia"/>
          <w:snapToGrid/>
          <w:lang w:val="en-GB"/>
        </w:rPr>
        <w:t>637.</w:t>
      </w:r>
      <w:r>
        <w:rPr>
          <w:rFonts w:hint="eastAsia"/>
          <w:snapToGrid/>
        </w:rPr>
        <w:t xml:space="preserve">  </w:t>
      </w:r>
      <w:r>
        <w:rPr>
          <w:rFonts w:hint="eastAsia"/>
          <w:snapToGrid/>
          <w:lang w:val="en-GB"/>
        </w:rPr>
        <w:t>战争使大量难民和国内流离失所者流入黑山，造成传染病流</w:t>
      </w:r>
      <w:r>
        <w:rPr>
          <w:rFonts w:hint="eastAsia"/>
          <w:snapToGrid/>
          <w:lang w:val="en-GB"/>
        </w:rPr>
        <w:t>行。据报，</w:t>
      </w:r>
      <w:r>
        <w:rPr>
          <w:snapToGrid/>
          <w:lang w:val="en-GB"/>
        </w:rPr>
        <w:t>1999</w:t>
      </w:r>
      <w:r>
        <w:rPr>
          <w:snapToGrid/>
          <w:lang w:val="en-GB"/>
        </w:rPr>
        <w:t>年</w:t>
      </w:r>
      <w:r>
        <w:rPr>
          <w:rFonts w:hint="eastAsia"/>
          <w:snapToGrid/>
          <w:lang w:val="en-GB"/>
        </w:rPr>
        <w:t>黑山有</w:t>
      </w:r>
      <w:r>
        <w:rPr>
          <w:rFonts w:hint="eastAsia"/>
          <w:snapToGrid/>
          <w:lang w:val="en-GB"/>
        </w:rPr>
        <w:t>10,107</w:t>
      </w:r>
      <w:r>
        <w:rPr>
          <w:rFonts w:hint="eastAsia"/>
          <w:snapToGrid/>
          <w:lang w:val="en-GB"/>
        </w:rPr>
        <w:t>人患传染病，即每</w:t>
      </w:r>
      <w:r>
        <w:rPr>
          <w:snapToGrid/>
          <w:lang w:val="en-GB"/>
        </w:rPr>
        <w:t>10</w:t>
      </w:r>
      <w:r>
        <w:rPr>
          <w:rFonts w:hint="eastAsia"/>
          <w:snapToGrid/>
          <w:lang w:val="en-GB"/>
        </w:rPr>
        <w:t>万</w:t>
      </w:r>
      <w:r>
        <w:rPr>
          <w:snapToGrid/>
          <w:lang w:val="en-GB"/>
        </w:rPr>
        <w:t>居民有</w:t>
      </w:r>
      <w:r>
        <w:rPr>
          <w:snapToGrid/>
          <w:lang w:val="en-GB"/>
        </w:rPr>
        <w:t>0.3</w:t>
      </w:r>
      <w:r>
        <w:rPr>
          <w:rFonts w:hint="eastAsia"/>
          <w:snapToGrid/>
          <w:lang w:val="en-GB"/>
        </w:rPr>
        <w:t>1</w:t>
      </w:r>
      <w:r>
        <w:rPr>
          <w:rFonts w:hint="eastAsia"/>
          <w:snapToGrid/>
          <w:lang w:val="en-GB"/>
        </w:rPr>
        <w:t>人，相当于上</w:t>
      </w:r>
      <w:r>
        <w:rPr>
          <w:rFonts w:hint="eastAsia"/>
          <w:snapToGrid/>
          <w:lang w:val="en-GB"/>
        </w:rPr>
        <w:t>10</w:t>
      </w:r>
      <w:r>
        <w:rPr>
          <w:rFonts w:hint="eastAsia"/>
          <w:snapToGrid/>
          <w:lang w:val="en-GB"/>
        </w:rPr>
        <w:t>年期间的平均数。</w:t>
      </w:r>
    </w:p>
    <w:p w:rsidR="00000000" w:rsidRDefault="00844A84">
      <w:pPr>
        <w:ind w:firstLine="510"/>
        <w:rPr>
          <w:rFonts w:hint="eastAsia"/>
          <w:snapToGrid/>
          <w:lang w:val="en-GB"/>
        </w:rPr>
      </w:pPr>
      <w:r>
        <w:rPr>
          <w:rFonts w:hint="eastAsia"/>
          <w:snapToGrid/>
          <w:lang w:val="en-GB"/>
        </w:rPr>
        <w:t>638.</w:t>
      </w:r>
      <w:r>
        <w:rPr>
          <w:rFonts w:hint="eastAsia"/>
          <w:snapToGrid/>
        </w:rPr>
        <w:t xml:space="preserve">  </w:t>
      </w:r>
      <w:r>
        <w:rPr>
          <w:rFonts w:hint="eastAsia"/>
          <w:snapToGrid/>
          <w:lang w:val="en-GB"/>
        </w:rPr>
        <w:t>按传染病类别分析的结果表明，多数是属于传染性呼吸道疾病</w:t>
      </w:r>
      <w:r>
        <w:rPr>
          <w:rFonts w:hint="eastAsia"/>
          <w:snapToGrid/>
          <w:lang w:val="en-GB"/>
        </w:rPr>
        <w:t>(</w:t>
      </w:r>
      <w:r>
        <w:rPr>
          <w:snapToGrid/>
          <w:lang w:val="en-GB"/>
        </w:rPr>
        <w:t>41.6%)</w:t>
      </w:r>
      <w:r>
        <w:rPr>
          <w:snapToGrid/>
          <w:lang w:val="en-GB"/>
        </w:rPr>
        <w:t>、</w:t>
      </w:r>
      <w:r>
        <w:rPr>
          <w:rFonts w:hint="eastAsia"/>
          <w:snapToGrid/>
          <w:lang w:val="en-GB"/>
        </w:rPr>
        <w:t>传染性肠道病</w:t>
      </w:r>
      <w:r>
        <w:rPr>
          <w:rFonts w:hint="eastAsia"/>
          <w:snapToGrid/>
          <w:lang w:val="en-GB"/>
        </w:rPr>
        <w:t>(36.</w:t>
      </w:r>
      <w:r>
        <w:rPr>
          <w:snapToGrid/>
          <w:lang w:val="en-GB"/>
        </w:rPr>
        <w:t>17%)</w:t>
      </w:r>
      <w:r>
        <w:rPr>
          <w:snapToGrid/>
          <w:lang w:val="en-GB"/>
        </w:rPr>
        <w:t>、以及寄生虫</w:t>
      </w:r>
      <w:r>
        <w:rPr>
          <w:rFonts w:hint="eastAsia"/>
          <w:snapToGrid/>
          <w:lang w:val="en-GB"/>
        </w:rPr>
        <w:t>和真菌感染</w:t>
      </w:r>
      <w:r>
        <w:rPr>
          <w:snapToGrid/>
          <w:lang w:val="en-GB"/>
        </w:rPr>
        <w:t>疾病</w:t>
      </w:r>
      <w:r>
        <w:rPr>
          <w:snapToGrid/>
          <w:lang w:val="en-GB"/>
        </w:rPr>
        <w:t>(19.48%</w:t>
      </w:r>
      <w:r>
        <w:rPr>
          <w:rFonts w:hint="eastAsia"/>
          <w:snapToGrid/>
          <w:lang w:val="en-GB"/>
        </w:rPr>
        <w:t>)</w:t>
      </w:r>
      <w:r>
        <w:rPr>
          <w:snapToGrid/>
          <w:lang w:val="en-GB"/>
        </w:rPr>
        <w:t>。</w:t>
      </w:r>
      <w:r>
        <w:rPr>
          <w:snapToGrid/>
          <w:lang w:val="en-GB"/>
        </w:rPr>
        <w:t>1999</w:t>
      </w:r>
      <w:r>
        <w:rPr>
          <w:snapToGrid/>
          <w:lang w:val="en-GB"/>
        </w:rPr>
        <w:t>年</w:t>
      </w:r>
      <w:r>
        <w:rPr>
          <w:rFonts w:hint="eastAsia"/>
          <w:snapToGrid/>
          <w:lang w:val="en-GB"/>
        </w:rPr>
        <w:t>报告的传染病多数为水痘</w:t>
      </w:r>
      <w:r>
        <w:rPr>
          <w:rFonts w:hint="eastAsia"/>
          <w:snapToGrid/>
          <w:lang w:val="en-GB"/>
        </w:rPr>
        <w:t>(</w:t>
      </w:r>
      <w:r>
        <w:rPr>
          <w:snapToGrid/>
          <w:lang w:val="en-GB"/>
        </w:rPr>
        <w:t>28.54%)</w:t>
      </w:r>
      <w:r>
        <w:rPr>
          <w:rFonts w:hint="eastAsia"/>
          <w:snapToGrid/>
          <w:lang w:val="en-GB"/>
        </w:rPr>
        <w:t>、急性小肠结肠炎</w:t>
      </w:r>
      <w:r>
        <w:rPr>
          <w:snapToGrid/>
          <w:lang w:val="en-GB"/>
        </w:rPr>
        <w:t>(23.94%)</w:t>
      </w:r>
      <w:r>
        <w:rPr>
          <w:snapToGrid/>
          <w:lang w:val="en-GB"/>
        </w:rPr>
        <w:t>、</w:t>
      </w:r>
      <w:r>
        <w:rPr>
          <w:rFonts w:hint="eastAsia"/>
          <w:snapToGrid/>
          <w:lang w:val="en-GB"/>
        </w:rPr>
        <w:t>疥疮</w:t>
      </w:r>
      <w:r>
        <w:rPr>
          <w:snapToGrid/>
          <w:lang w:val="en-GB"/>
        </w:rPr>
        <w:t>(8.6%)</w:t>
      </w:r>
      <w:r>
        <w:rPr>
          <w:snapToGrid/>
          <w:lang w:val="en-GB"/>
        </w:rPr>
        <w:t>、</w:t>
      </w:r>
      <w:r>
        <w:rPr>
          <w:rFonts w:hint="eastAsia"/>
          <w:snapToGrid/>
          <w:lang w:val="en-GB"/>
        </w:rPr>
        <w:t>腮腺炎</w:t>
      </w:r>
      <w:r>
        <w:rPr>
          <w:snapToGrid/>
          <w:lang w:val="en-GB"/>
        </w:rPr>
        <w:t>(8.3%)</w:t>
      </w:r>
      <w:r>
        <w:rPr>
          <w:snapToGrid/>
          <w:lang w:val="en-GB"/>
        </w:rPr>
        <w:t>以及</w:t>
      </w:r>
      <w:r>
        <w:rPr>
          <w:rFonts w:hint="eastAsia"/>
          <w:snapToGrid/>
          <w:lang w:val="en-GB"/>
        </w:rPr>
        <w:t>虱病</w:t>
      </w:r>
      <w:r>
        <w:rPr>
          <w:snapToGrid/>
          <w:lang w:val="en-GB"/>
        </w:rPr>
        <w:t>(8.40%)</w:t>
      </w:r>
      <w:r>
        <w:rPr>
          <w:snapToGrid/>
          <w:lang w:val="en-GB"/>
        </w:rPr>
        <w:t>。</w:t>
      </w:r>
    </w:p>
    <w:p w:rsidR="00000000" w:rsidRDefault="00844A84">
      <w:pPr>
        <w:ind w:firstLine="510"/>
        <w:rPr>
          <w:rFonts w:hint="eastAsia"/>
          <w:snapToGrid/>
          <w:lang w:val="en-GB"/>
        </w:rPr>
      </w:pPr>
      <w:r>
        <w:rPr>
          <w:rFonts w:hint="eastAsia"/>
          <w:snapToGrid/>
          <w:lang w:val="en-GB"/>
        </w:rPr>
        <w:t>639.</w:t>
      </w:r>
      <w:r>
        <w:rPr>
          <w:rFonts w:hint="eastAsia"/>
          <w:snapToGrid/>
        </w:rPr>
        <w:t xml:space="preserve">  </w:t>
      </w:r>
      <w:r>
        <w:rPr>
          <w:rFonts w:hint="eastAsia"/>
          <w:snapToGrid/>
          <w:lang w:val="en-GB"/>
        </w:rPr>
        <w:t>从</w:t>
      </w:r>
      <w:r>
        <w:rPr>
          <w:snapToGrid/>
          <w:lang w:val="en-GB"/>
        </w:rPr>
        <w:t>1989</w:t>
      </w:r>
      <w:r>
        <w:rPr>
          <w:snapToGrid/>
          <w:lang w:val="en-GB"/>
        </w:rPr>
        <w:t>年</w:t>
      </w:r>
      <w:r>
        <w:rPr>
          <w:rFonts w:hint="eastAsia"/>
          <w:snapToGrid/>
          <w:lang w:val="en-GB"/>
        </w:rPr>
        <w:t>报告出现第一起艾滋病毒感染病例到</w:t>
      </w:r>
      <w:r>
        <w:rPr>
          <w:snapToGrid/>
          <w:lang w:val="en-GB"/>
        </w:rPr>
        <w:t>2000</w:t>
      </w:r>
      <w:r>
        <w:rPr>
          <w:snapToGrid/>
          <w:lang w:val="en-GB"/>
        </w:rPr>
        <w:t>年年底，</w:t>
      </w:r>
      <w:r>
        <w:rPr>
          <w:rFonts w:hint="eastAsia"/>
          <w:snapToGrid/>
          <w:lang w:val="en-GB"/>
        </w:rPr>
        <w:t>受</w:t>
      </w:r>
      <w:r>
        <w:rPr>
          <w:snapToGrid/>
          <w:lang w:val="en-GB"/>
        </w:rPr>
        <w:t>感染者共</w:t>
      </w:r>
      <w:r>
        <w:rPr>
          <w:rFonts w:hint="eastAsia"/>
          <w:snapToGrid/>
          <w:lang w:val="en-GB"/>
        </w:rPr>
        <w:t>有</w:t>
      </w:r>
      <w:r>
        <w:rPr>
          <w:snapToGrid/>
          <w:lang w:val="en-GB"/>
        </w:rPr>
        <w:t>29</w:t>
      </w:r>
      <w:r>
        <w:rPr>
          <w:snapToGrid/>
          <w:lang w:val="en-GB"/>
        </w:rPr>
        <w:t>人</w:t>
      </w:r>
      <w:r>
        <w:rPr>
          <w:snapToGrid/>
          <w:lang w:val="en-GB"/>
        </w:rPr>
        <w:t>(7</w:t>
      </w:r>
      <w:r>
        <w:rPr>
          <w:rFonts w:hint="eastAsia"/>
          <w:snapToGrid/>
          <w:lang w:val="en-GB"/>
        </w:rPr>
        <w:t>人为</w:t>
      </w:r>
      <w:r>
        <w:rPr>
          <w:snapToGrid/>
          <w:lang w:val="en-GB"/>
        </w:rPr>
        <w:t>新感染者</w:t>
      </w:r>
      <w:r>
        <w:rPr>
          <w:snapToGrid/>
          <w:lang w:val="en-GB"/>
        </w:rPr>
        <w:t>，但</w:t>
      </w:r>
      <w:r>
        <w:rPr>
          <w:snapToGrid/>
          <w:lang w:val="en-GB"/>
        </w:rPr>
        <w:t>2000</w:t>
      </w:r>
      <w:r>
        <w:rPr>
          <w:snapToGrid/>
          <w:lang w:val="en-GB"/>
        </w:rPr>
        <w:t>年</w:t>
      </w:r>
      <w:r>
        <w:rPr>
          <w:rFonts w:hint="eastAsia"/>
          <w:snapToGrid/>
          <w:lang w:val="en-GB"/>
        </w:rPr>
        <w:t>没有艾滋病毒抗体阳性者</w:t>
      </w:r>
      <w:r>
        <w:rPr>
          <w:rFonts w:hint="eastAsia"/>
          <w:snapToGrid/>
          <w:lang w:val="en-GB"/>
        </w:rPr>
        <w:t>)</w:t>
      </w:r>
      <w:r>
        <w:rPr>
          <w:rFonts w:hint="eastAsia"/>
          <w:snapToGrid/>
          <w:lang w:val="en-GB"/>
        </w:rPr>
        <w:t>。已登记的总人数中已有</w:t>
      </w:r>
      <w:r>
        <w:rPr>
          <w:snapToGrid/>
          <w:lang w:val="en-GB"/>
        </w:rPr>
        <w:t>16</w:t>
      </w:r>
      <w:r>
        <w:rPr>
          <w:snapToGrid/>
          <w:lang w:val="en-GB"/>
        </w:rPr>
        <w:t>人</w:t>
      </w:r>
      <w:r>
        <w:rPr>
          <w:rFonts w:hint="eastAsia"/>
          <w:snapToGrid/>
          <w:lang w:val="en-GB"/>
        </w:rPr>
        <w:t>死亡</w:t>
      </w:r>
      <w:r>
        <w:rPr>
          <w:snapToGrid/>
          <w:lang w:val="en-GB"/>
        </w:rPr>
        <w:t>(2000</w:t>
      </w:r>
      <w:r>
        <w:rPr>
          <w:snapToGrid/>
          <w:lang w:val="en-GB"/>
        </w:rPr>
        <w:t>年死亡</w:t>
      </w:r>
      <w:r>
        <w:rPr>
          <w:rFonts w:hint="eastAsia"/>
          <w:snapToGrid/>
          <w:lang w:val="en-GB"/>
        </w:rPr>
        <w:t>一人</w:t>
      </w:r>
      <w:r>
        <w:rPr>
          <w:rFonts w:hint="eastAsia"/>
          <w:snapToGrid/>
          <w:lang w:val="en-GB"/>
        </w:rPr>
        <w:t>)</w:t>
      </w:r>
      <w:r>
        <w:rPr>
          <w:rFonts w:hint="eastAsia"/>
          <w:snapToGrid/>
          <w:lang w:val="en-GB"/>
        </w:rPr>
        <w:t>，</w:t>
      </w:r>
      <w:r>
        <w:rPr>
          <w:snapToGrid/>
          <w:lang w:val="en-GB"/>
        </w:rPr>
        <w:t>14</w:t>
      </w:r>
      <w:r>
        <w:rPr>
          <w:rFonts w:hint="eastAsia"/>
          <w:snapToGrid/>
          <w:lang w:val="en-GB"/>
        </w:rPr>
        <w:t>人为艾滋病毒抗体阳性者。</w:t>
      </w:r>
    </w:p>
    <w:p w:rsidR="00000000" w:rsidRDefault="00844A84">
      <w:pPr>
        <w:ind w:firstLine="510"/>
        <w:rPr>
          <w:rFonts w:hint="eastAsia"/>
          <w:snapToGrid/>
          <w:lang w:val="en-GB"/>
        </w:rPr>
      </w:pPr>
      <w:r>
        <w:rPr>
          <w:rFonts w:hint="eastAsia"/>
          <w:snapToGrid/>
          <w:lang w:val="en-GB"/>
        </w:rPr>
        <w:t>640.</w:t>
      </w:r>
      <w:r>
        <w:rPr>
          <w:rFonts w:hint="eastAsia"/>
          <w:snapToGrid/>
        </w:rPr>
        <w:t xml:space="preserve">  </w:t>
      </w:r>
      <w:r>
        <w:rPr>
          <w:rFonts w:hint="eastAsia"/>
          <w:snapToGrid/>
          <w:lang w:val="en-GB"/>
        </w:rPr>
        <w:t>在社会医学方面，所有疾病中最突出的是肺结核。据报道，</w:t>
      </w:r>
      <w:r>
        <w:rPr>
          <w:snapToGrid/>
          <w:lang w:val="en-GB"/>
        </w:rPr>
        <w:t>1999</w:t>
      </w:r>
      <w:r>
        <w:rPr>
          <w:snapToGrid/>
          <w:lang w:val="en-GB"/>
        </w:rPr>
        <w:t>年</w:t>
      </w:r>
      <w:r>
        <w:rPr>
          <w:rFonts w:hint="eastAsia"/>
          <w:snapToGrid/>
          <w:lang w:val="en-GB"/>
        </w:rPr>
        <w:t>有</w:t>
      </w:r>
      <w:r>
        <w:rPr>
          <w:snapToGrid/>
          <w:lang w:val="en-GB"/>
        </w:rPr>
        <w:t>144</w:t>
      </w:r>
      <w:r>
        <w:rPr>
          <w:snapToGrid/>
          <w:lang w:val="en-GB"/>
        </w:rPr>
        <w:t>人患</w:t>
      </w:r>
      <w:r>
        <w:rPr>
          <w:rFonts w:hint="eastAsia"/>
          <w:snapToGrid/>
          <w:lang w:val="en-GB"/>
        </w:rPr>
        <w:t>开放性肺结核，死亡率为每</w:t>
      </w:r>
      <w:r>
        <w:rPr>
          <w:snapToGrid/>
          <w:lang w:val="en-GB"/>
        </w:rPr>
        <w:t>10</w:t>
      </w:r>
      <w:r>
        <w:rPr>
          <w:snapToGrid/>
          <w:lang w:val="en-GB"/>
        </w:rPr>
        <w:t>万</w:t>
      </w:r>
      <w:r>
        <w:rPr>
          <w:rFonts w:hint="eastAsia"/>
          <w:snapToGrid/>
          <w:lang w:val="en-GB"/>
        </w:rPr>
        <w:t>分之</w:t>
      </w:r>
      <w:r>
        <w:rPr>
          <w:snapToGrid/>
          <w:lang w:val="en-GB"/>
        </w:rPr>
        <w:t>22</w:t>
      </w:r>
      <w:r>
        <w:rPr>
          <w:snapToGrid/>
          <w:lang w:val="en-GB"/>
        </w:rPr>
        <w:t>。</w:t>
      </w:r>
    </w:p>
    <w:p w:rsidR="00000000" w:rsidRDefault="00844A84">
      <w:pPr>
        <w:spacing w:after="240"/>
        <w:ind w:firstLine="510"/>
        <w:rPr>
          <w:rFonts w:hint="eastAsia"/>
          <w:snapToGrid/>
          <w:lang w:val="en-GB"/>
        </w:rPr>
      </w:pPr>
      <w:r>
        <w:rPr>
          <w:rFonts w:hint="eastAsia"/>
          <w:snapToGrid/>
          <w:lang w:val="en-GB"/>
        </w:rPr>
        <w:t>641.</w:t>
      </w:r>
      <w:r>
        <w:rPr>
          <w:rFonts w:hint="eastAsia"/>
          <w:snapToGrid/>
        </w:rPr>
        <w:t xml:space="preserve">  </w:t>
      </w:r>
      <w:r>
        <w:rPr>
          <w:rFonts w:hint="eastAsia"/>
          <w:snapToGrid/>
          <w:lang w:val="en-GB"/>
        </w:rPr>
        <w:t>环境是直接或间接影响人民健康的最重要因素。所有其他的因素</w:t>
      </w:r>
      <w:r>
        <w:rPr>
          <w:rFonts w:hint="eastAsia"/>
          <w:snapToGrid/>
          <w:lang w:val="en-GB"/>
        </w:rPr>
        <w:t>(</w:t>
      </w:r>
      <w:r>
        <w:rPr>
          <w:rFonts w:hint="eastAsia"/>
          <w:snapToGrid/>
          <w:lang w:val="en-GB"/>
        </w:rPr>
        <w:t>保健服务、经济、文化等</w:t>
      </w:r>
      <w:r>
        <w:rPr>
          <w:rFonts w:hint="eastAsia"/>
          <w:snapToGrid/>
          <w:lang w:val="en-GB"/>
        </w:rPr>
        <w:t>)</w:t>
      </w:r>
      <w:r>
        <w:rPr>
          <w:rFonts w:hint="eastAsia"/>
          <w:snapToGrid/>
          <w:lang w:val="en-GB"/>
        </w:rPr>
        <w:t>的影响程度较小。通过对饮用水、食品和一般用途物品的控制，不断监测环境对居民健康的影响。</w:t>
      </w:r>
    </w:p>
    <w:p w:rsidR="00000000" w:rsidRDefault="00844A84">
      <w:pPr>
        <w:pStyle w:val="Heading4"/>
        <w:spacing w:after="160"/>
        <w:rPr>
          <w:rFonts w:hint="eastAsia"/>
          <w:lang w:val="en-GB"/>
        </w:rPr>
      </w:pPr>
      <w:r>
        <w:rPr>
          <w:rFonts w:hint="eastAsia"/>
          <w:lang w:val="en-GB"/>
        </w:rPr>
        <w:t>保健机构网络结构和能力</w:t>
      </w:r>
    </w:p>
    <w:p w:rsidR="00000000" w:rsidRDefault="00844A84">
      <w:pPr>
        <w:ind w:firstLine="510"/>
        <w:rPr>
          <w:rFonts w:hint="eastAsia"/>
          <w:snapToGrid/>
          <w:lang w:val="en-GB"/>
        </w:rPr>
      </w:pPr>
      <w:r>
        <w:rPr>
          <w:rFonts w:hint="eastAsia"/>
          <w:snapToGrid/>
          <w:lang w:val="en-GB"/>
        </w:rPr>
        <w:t>642.</w:t>
      </w:r>
      <w:r>
        <w:rPr>
          <w:rFonts w:hint="eastAsia"/>
          <w:snapToGrid/>
        </w:rPr>
        <w:t xml:space="preserve">  </w:t>
      </w:r>
      <w:r>
        <w:rPr>
          <w:rFonts w:hint="eastAsia"/>
          <w:snapToGrid/>
          <w:lang w:val="en-GB"/>
        </w:rPr>
        <w:t>黑山共和国境内保健机构网络结构包括</w:t>
      </w:r>
      <w:r>
        <w:rPr>
          <w:snapToGrid/>
          <w:lang w:val="en-GB"/>
        </w:rPr>
        <w:t>18</w:t>
      </w:r>
      <w:r>
        <w:rPr>
          <w:snapToGrid/>
          <w:lang w:val="en-GB"/>
        </w:rPr>
        <w:t>个门</w:t>
      </w:r>
      <w:r>
        <w:rPr>
          <w:snapToGrid/>
          <w:lang w:val="en-GB"/>
        </w:rPr>
        <w:t>诊诊所、</w:t>
      </w:r>
      <w:r>
        <w:rPr>
          <w:snapToGrid/>
          <w:lang w:val="en-GB"/>
        </w:rPr>
        <w:t>7</w:t>
      </w:r>
      <w:r>
        <w:rPr>
          <w:rFonts w:hint="eastAsia"/>
          <w:snapToGrid/>
          <w:lang w:val="en-GB"/>
        </w:rPr>
        <w:t>所</w:t>
      </w:r>
      <w:r>
        <w:rPr>
          <w:snapToGrid/>
          <w:lang w:val="en-GB"/>
        </w:rPr>
        <w:t>普通医院、</w:t>
      </w:r>
      <w:r>
        <w:rPr>
          <w:rFonts w:hint="eastAsia"/>
          <w:snapToGrid/>
          <w:lang w:val="en-GB"/>
        </w:rPr>
        <w:t>3</w:t>
      </w:r>
      <w:r>
        <w:rPr>
          <w:rFonts w:hint="eastAsia"/>
          <w:snapToGrid/>
          <w:lang w:val="en-GB"/>
        </w:rPr>
        <w:t>所</w:t>
      </w:r>
      <w:r>
        <w:rPr>
          <w:snapToGrid/>
          <w:lang w:val="en-GB"/>
        </w:rPr>
        <w:t>专科医院、</w:t>
      </w:r>
      <w:r>
        <w:rPr>
          <w:rFonts w:hint="eastAsia"/>
          <w:snapToGrid/>
          <w:lang w:val="en-GB"/>
        </w:rPr>
        <w:t>波德戈里察黑山诊疗中心、黑山卫生研究所、黑山公共药物研究所、“西蒙·米洛舍维奇医生</w:t>
      </w:r>
      <w:r>
        <w:rPr>
          <w:snapToGrid/>
          <w:lang w:val="en-GB"/>
        </w:rPr>
        <w:t>”</w:t>
      </w:r>
      <w:r>
        <w:rPr>
          <w:rFonts w:hint="eastAsia"/>
          <w:snapToGrid/>
          <w:lang w:val="en-GB"/>
        </w:rPr>
        <w:t xml:space="preserve"> </w:t>
      </w:r>
      <w:r>
        <w:rPr>
          <w:rFonts w:hint="eastAsia"/>
          <w:snapToGrid/>
          <w:lang w:val="en-GB"/>
        </w:rPr>
        <w:t>伊加洛研究所和各种私人外科手术所。</w:t>
      </w:r>
    </w:p>
    <w:p w:rsidR="00000000" w:rsidRDefault="00844A84">
      <w:pPr>
        <w:ind w:firstLine="510"/>
        <w:rPr>
          <w:rFonts w:hint="eastAsia"/>
          <w:snapToGrid/>
          <w:lang w:val="en-GB"/>
        </w:rPr>
      </w:pPr>
      <w:r>
        <w:rPr>
          <w:rFonts w:hint="eastAsia"/>
          <w:snapToGrid/>
          <w:lang w:val="en-GB"/>
        </w:rPr>
        <w:t>643.</w:t>
      </w:r>
      <w:r>
        <w:t xml:space="preserve">  </w:t>
      </w:r>
      <w:r>
        <w:rPr>
          <w:rFonts w:hint="eastAsia"/>
          <w:snapToGrid/>
          <w:lang w:val="en-GB"/>
        </w:rPr>
        <w:t>现已根据有关</w:t>
      </w:r>
      <w:r>
        <w:rPr>
          <w:snapToGrid/>
          <w:lang w:val="en-GB"/>
        </w:rPr>
        <w:t>黑山共和国医院</w:t>
      </w:r>
      <w:r>
        <w:rPr>
          <w:rFonts w:hint="eastAsia"/>
          <w:snapToGrid/>
          <w:lang w:val="en-GB"/>
        </w:rPr>
        <w:t>收治病人</w:t>
      </w:r>
      <w:r>
        <w:rPr>
          <w:snapToGrid/>
          <w:lang w:val="en-GB"/>
        </w:rPr>
        <w:t>能力</w:t>
      </w:r>
      <w:r>
        <w:rPr>
          <w:rFonts w:hint="eastAsia"/>
          <w:snapToGrid/>
          <w:lang w:val="en-GB"/>
        </w:rPr>
        <w:t>的附则，</w:t>
      </w:r>
      <w:r>
        <w:rPr>
          <w:snapToGrid/>
          <w:lang w:val="en-GB"/>
        </w:rPr>
        <w:t>计划</w:t>
      </w:r>
      <w:r>
        <w:rPr>
          <w:snapToGrid/>
          <w:lang w:val="en-GB"/>
        </w:rPr>
        <w:t>2020</w:t>
      </w:r>
      <w:r>
        <w:rPr>
          <w:snapToGrid/>
          <w:lang w:val="en-GB"/>
        </w:rPr>
        <w:t>年医院</w:t>
      </w:r>
      <w:r>
        <w:rPr>
          <w:rFonts w:hint="eastAsia"/>
          <w:snapToGrid/>
          <w:lang w:val="en-GB"/>
        </w:rPr>
        <w:t>收治病人的能力是为</w:t>
      </w:r>
      <w:r>
        <w:rPr>
          <w:snapToGrid/>
          <w:lang w:val="en-GB"/>
        </w:rPr>
        <w:t>每</w:t>
      </w:r>
      <w:r>
        <w:rPr>
          <w:snapToGrid/>
          <w:lang w:val="en-GB"/>
        </w:rPr>
        <w:t>1,000</w:t>
      </w:r>
      <w:r>
        <w:rPr>
          <w:snapToGrid/>
          <w:lang w:val="en-GB"/>
        </w:rPr>
        <w:t>人</w:t>
      </w:r>
      <w:r>
        <w:rPr>
          <w:rFonts w:hint="eastAsia"/>
          <w:snapToGrid/>
          <w:lang w:val="en-GB"/>
        </w:rPr>
        <w:t>提供</w:t>
      </w:r>
      <w:r>
        <w:rPr>
          <w:rFonts w:hint="eastAsia"/>
          <w:snapToGrid/>
          <w:lang w:val="en-GB"/>
        </w:rPr>
        <w:t>4</w:t>
      </w:r>
      <w:r>
        <w:rPr>
          <w:snapToGrid/>
          <w:lang w:val="en-GB"/>
        </w:rPr>
        <w:t>张病床。</w:t>
      </w:r>
    </w:p>
    <w:p w:rsidR="00000000" w:rsidRDefault="00844A84">
      <w:pPr>
        <w:spacing w:after="240"/>
        <w:ind w:firstLine="510"/>
        <w:rPr>
          <w:rFonts w:hint="eastAsia"/>
          <w:snapToGrid/>
          <w:lang w:val="en-GB"/>
        </w:rPr>
      </w:pPr>
      <w:r>
        <w:rPr>
          <w:rFonts w:hint="eastAsia"/>
          <w:snapToGrid/>
          <w:lang w:val="en-GB"/>
        </w:rPr>
        <w:t>644.</w:t>
      </w:r>
      <w:r>
        <w:t xml:space="preserve">  </w:t>
      </w:r>
      <w:r>
        <w:rPr>
          <w:rFonts w:hint="eastAsia"/>
          <w:snapToGrid/>
          <w:lang w:val="en-GB"/>
        </w:rPr>
        <w:t>在创办医学院后，采用了新的诊断方法，并获得了一切现代医疗设备，因此必须改变专科医院收治病人能力的结构，并使这些医院高度专门化，因为由于医学院是科学研究和培训基地，现在已有了高度合格的医务人员。这种情况减少了在共和国境外</w:t>
      </w:r>
      <w:r>
        <w:rPr>
          <w:rFonts w:hint="eastAsia"/>
          <w:snapToGrid/>
          <w:lang w:val="en-GB"/>
        </w:rPr>
        <w:t>接受治疗者的人数。</w:t>
      </w:r>
    </w:p>
    <w:p w:rsidR="00000000" w:rsidRDefault="00844A84">
      <w:pPr>
        <w:pStyle w:val="Heading4"/>
        <w:spacing w:after="160"/>
        <w:rPr>
          <w:rFonts w:hint="eastAsia"/>
          <w:lang w:val="en-GB"/>
        </w:rPr>
      </w:pPr>
      <w:r>
        <w:rPr>
          <w:rFonts w:hint="eastAsia"/>
          <w:lang w:val="en-GB"/>
        </w:rPr>
        <w:t>医务工作人员</w:t>
      </w:r>
    </w:p>
    <w:p w:rsidR="00000000" w:rsidRDefault="00844A84">
      <w:pPr>
        <w:spacing w:after="320"/>
        <w:ind w:firstLine="510"/>
        <w:rPr>
          <w:rFonts w:hint="eastAsia"/>
          <w:snapToGrid/>
          <w:lang w:val="en-GB"/>
        </w:rPr>
      </w:pPr>
      <w:r>
        <w:rPr>
          <w:rFonts w:hint="eastAsia"/>
          <w:snapToGrid/>
          <w:lang w:val="en-GB"/>
        </w:rPr>
        <w:t>645.</w:t>
      </w:r>
      <w:r>
        <w:t xml:space="preserve">  </w:t>
      </w:r>
      <w:r>
        <w:rPr>
          <w:rFonts w:hint="eastAsia"/>
          <w:snapToGrid/>
          <w:lang w:val="en-GB"/>
        </w:rPr>
        <w:t>医务工作人员培训方案旨在使保健工作人员更大程度地加入保健部门员工的一般结构，采用医学院的课程，使保健工作者重新获得工作资格，并实施适用于他们的初级保健进修方案。</w:t>
      </w:r>
    </w:p>
    <w:p w:rsidR="00000000" w:rsidRDefault="00844A84">
      <w:pPr>
        <w:pStyle w:val="Heading3"/>
        <w:rPr>
          <w:sz w:val="22"/>
        </w:rPr>
      </w:pPr>
      <w:r>
        <w:rPr>
          <w:rFonts w:hint="eastAsia"/>
          <w:sz w:val="22"/>
          <w:u w:val="none"/>
        </w:rPr>
        <w:t>表</w:t>
      </w:r>
      <w:r>
        <w:rPr>
          <w:sz w:val="22"/>
          <w:u w:val="none"/>
        </w:rPr>
        <w:t xml:space="preserve"> 3</w:t>
      </w:r>
      <w:r>
        <w:rPr>
          <w:sz w:val="22"/>
          <w:u w:val="none"/>
        </w:rPr>
        <w:br/>
      </w:r>
      <w:r>
        <w:rPr>
          <w:rFonts w:hint="eastAsia"/>
          <w:sz w:val="22"/>
        </w:rPr>
        <w:t>2002</w:t>
      </w:r>
      <w:r>
        <w:rPr>
          <w:rFonts w:hint="eastAsia"/>
          <w:sz w:val="22"/>
        </w:rPr>
        <w:t>年黑山保健工作人员和助理人员人数和结构</w:t>
      </w:r>
    </w:p>
    <w:tbl>
      <w:tblPr>
        <w:tblW w:w="7334" w:type="dxa"/>
        <w:jc w:val="center"/>
        <w:tblInd w:w="-12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134"/>
        <w:gridCol w:w="2200"/>
      </w:tblGrid>
      <w:tr w:rsidR="00000000">
        <w:tblPrEx>
          <w:tblCellMar>
            <w:top w:w="0" w:type="dxa"/>
            <w:bottom w:w="0" w:type="dxa"/>
          </w:tblCellMar>
        </w:tblPrEx>
        <w:trPr>
          <w:jc w:val="center"/>
        </w:trPr>
        <w:tc>
          <w:tcPr>
            <w:tcW w:w="5134" w:type="dxa"/>
            <w:tcBorders>
              <w:top w:val="single" w:sz="4" w:space="0" w:color="auto"/>
              <w:bottom w:val="single" w:sz="4" w:space="0" w:color="auto"/>
            </w:tcBorders>
          </w:tcPr>
          <w:p w:rsidR="00000000" w:rsidRDefault="00844A84">
            <w:pPr>
              <w:pStyle w:val="a2"/>
              <w:jc w:val="center"/>
              <w:rPr>
                <w:snapToGrid/>
              </w:rPr>
            </w:pPr>
            <w:r>
              <w:rPr>
                <w:rFonts w:hint="eastAsia"/>
                <w:snapToGrid/>
              </w:rPr>
              <w:t>医务工作人员</w:t>
            </w:r>
          </w:p>
        </w:tc>
        <w:tc>
          <w:tcPr>
            <w:tcW w:w="2200" w:type="dxa"/>
            <w:tcBorders>
              <w:top w:val="single" w:sz="4" w:space="0" w:color="auto"/>
              <w:bottom w:val="single" w:sz="4" w:space="0" w:color="auto"/>
            </w:tcBorders>
          </w:tcPr>
          <w:p w:rsidR="00000000" w:rsidRDefault="00844A84">
            <w:pPr>
              <w:pStyle w:val="a2"/>
              <w:jc w:val="center"/>
              <w:rPr>
                <w:snapToGrid/>
              </w:rPr>
            </w:pPr>
            <w:r>
              <w:rPr>
                <w:rFonts w:hint="eastAsia"/>
                <w:snapToGrid/>
              </w:rPr>
              <w:t>人</w:t>
            </w:r>
            <w:r>
              <w:rPr>
                <w:snapToGrid/>
              </w:rPr>
              <w:t xml:space="preserve">  </w:t>
            </w:r>
            <w:r>
              <w:rPr>
                <w:rFonts w:hint="eastAsia"/>
                <w:snapToGrid/>
              </w:rPr>
              <w:t>数</w:t>
            </w:r>
          </w:p>
        </w:tc>
      </w:tr>
      <w:tr w:rsidR="00000000">
        <w:tblPrEx>
          <w:tblCellMar>
            <w:top w:w="0" w:type="dxa"/>
            <w:bottom w:w="0" w:type="dxa"/>
          </w:tblCellMar>
        </w:tblPrEx>
        <w:trPr>
          <w:jc w:val="center"/>
        </w:trPr>
        <w:tc>
          <w:tcPr>
            <w:tcW w:w="5134" w:type="dxa"/>
            <w:tcBorders>
              <w:top w:val="single" w:sz="4" w:space="0" w:color="auto"/>
            </w:tcBorders>
          </w:tcPr>
          <w:p w:rsidR="00000000" w:rsidRDefault="00844A84">
            <w:pPr>
              <w:pStyle w:val="a2"/>
              <w:rPr>
                <w:snapToGrid/>
              </w:rPr>
            </w:pPr>
            <w:r>
              <w:rPr>
                <w:rFonts w:hint="eastAsia"/>
                <w:snapToGrid/>
              </w:rPr>
              <w:t>医生总数</w:t>
            </w:r>
          </w:p>
        </w:tc>
        <w:tc>
          <w:tcPr>
            <w:tcW w:w="2200" w:type="dxa"/>
            <w:tcBorders>
              <w:top w:val="single" w:sz="4" w:space="0" w:color="auto"/>
            </w:tcBorders>
          </w:tcPr>
          <w:p w:rsidR="00000000" w:rsidRDefault="00844A84">
            <w:pPr>
              <w:pStyle w:val="a2"/>
              <w:ind w:right="680"/>
              <w:jc w:val="right"/>
              <w:rPr>
                <w:snapToGrid/>
              </w:rPr>
            </w:pPr>
            <w:r>
              <w:rPr>
                <w:snapToGrid/>
              </w:rPr>
              <w:t>1,033</w:t>
            </w:r>
          </w:p>
        </w:tc>
      </w:tr>
      <w:tr w:rsidR="00000000">
        <w:tblPrEx>
          <w:tblCellMar>
            <w:top w:w="0" w:type="dxa"/>
            <w:bottom w:w="0" w:type="dxa"/>
          </w:tblCellMar>
        </w:tblPrEx>
        <w:trPr>
          <w:jc w:val="center"/>
        </w:trPr>
        <w:tc>
          <w:tcPr>
            <w:tcW w:w="5134" w:type="dxa"/>
          </w:tcPr>
          <w:p w:rsidR="00000000" w:rsidRDefault="00844A84">
            <w:pPr>
              <w:pStyle w:val="a2"/>
              <w:rPr>
                <w:snapToGrid/>
              </w:rPr>
            </w:pPr>
            <w:r>
              <w:rPr>
                <w:rFonts w:hint="eastAsia"/>
                <w:snapToGrid/>
              </w:rPr>
              <w:t>保健工作人员</w:t>
            </w:r>
          </w:p>
        </w:tc>
        <w:tc>
          <w:tcPr>
            <w:tcW w:w="2200" w:type="dxa"/>
          </w:tcPr>
          <w:p w:rsidR="00000000" w:rsidRDefault="00844A84">
            <w:pPr>
              <w:pStyle w:val="a2"/>
              <w:ind w:right="680"/>
              <w:jc w:val="right"/>
              <w:rPr>
                <w:snapToGrid/>
              </w:rPr>
            </w:pPr>
            <w:r>
              <w:rPr>
                <w:snapToGrid/>
              </w:rPr>
              <w:t>88</w:t>
            </w:r>
          </w:p>
        </w:tc>
      </w:tr>
      <w:tr w:rsidR="00000000">
        <w:tblPrEx>
          <w:tblCellMar>
            <w:top w:w="0" w:type="dxa"/>
            <w:bottom w:w="0" w:type="dxa"/>
          </w:tblCellMar>
        </w:tblPrEx>
        <w:trPr>
          <w:jc w:val="center"/>
        </w:trPr>
        <w:tc>
          <w:tcPr>
            <w:tcW w:w="5134" w:type="dxa"/>
          </w:tcPr>
          <w:p w:rsidR="00000000" w:rsidRDefault="00844A84">
            <w:pPr>
              <w:pStyle w:val="a2"/>
              <w:rPr>
                <w:snapToGrid/>
              </w:rPr>
            </w:pPr>
            <w:r>
              <w:rPr>
                <w:rFonts w:hint="eastAsia"/>
                <w:snapToGrid/>
              </w:rPr>
              <w:t>牙科医生</w:t>
            </w:r>
          </w:p>
        </w:tc>
        <w:tc>
          <w:tcPr>
            <w:tcW w:w="2200" w:type="dxa"/>
          </w:tcPr>
          <w:p w:rsidR="00000000" w:rsidRDefault="00844A84">
            <w:pPr>
              <w:pStyle w:val="a2"/>
              <w:ind w:right="680"/>
              <w:jc w:val="right"/>
              <w:rPr>
                <w:snapToGrid/>
              </w:rPr>
            </w:pPr>
            <w:r>
              <w:rPr>
                <w:snapToGrid/>
              </w:rPr>
              <w:t>285</w:t>
            </w:r>
          </w:p>
        </w:tc>
      </w:tr>
      <w:tr w:rsidR="00000000">
        <w:tblPrEx>
          <w:tblCellMar>
            <w:top w:w="0" w:type="dxa"/>
            <w:bottom w:w="0" w:type="dxa"/>
          </w:tblCellMar>
        </w:tblPrEx>
        <w:trPr>
          <w:jc w:val="center"/>
        </w:trPr>
        <w:tc>
          <w:tcPr>
            <w:tcW w:w="5134" w:type="dxa"/>
          </w:tcPr>
          <w:p w:rsidR="00000000" w:rsidRDefault="00844A84">
            <w:pPr>
              <w:pStyle w:val="a2"/>
              <w:rPr>
                <w:snapToGrid/>
              </w:rPr>
            </w:pPr>
            <w:r>
              <w:rPr>
                <w:rFonts w:hint="eastAsia"/>
                <w:snapToGrid/>
              </w:rPr>
              <w:t>药剂师</w:t>
            </w:r>
          </w:p>
        </w:tc>
        <w:tc>
          <w:tcPr>
            <w:tcW w:w="2200" w:type="dxa"/>
          </w:tcPr>
          <w:p w:rsidR="00000000" w:rsidRDefault="00844A84">
            <w:pPr>
              <w:pStyle w:val="a2"/>
              <w:ind w:right="680"/>
              <w:jc w:val="right"/>
              <w:rPr>
                <w:snapToGrid/>
              </w:rPr>
            </w:pPr>
            <w:r>
              <w:rPr>
                <w:snapToGrid/>
              </w:rPr>
              <w:t>148</w:t>
            </w:r>
          </w:p>
        </w:tc>
      </w:tr>
      <w:tr w:rsidR="00000000">
        <w:tblPrEx>
          <w:tblCellMar>
            <w:top w:w="0" w:type="dxa"/>
            <w:bottom w:w="0" w:type="dxa"/>
          </w:tblCellMar>
        </w:tblPrEx>
        <w:trPr>
          <w:jc w:val="center"/>
        </w:trPr>
        <w:tc>
          <w:tcPr>
            <w:tcW w:w="5134" w:type="dxa"/>
            <w:tcBorders>
              <w:bottom w:val="single" w:sz="4" w:space="0" w:color="auto"/>
            </w:tcBorders>
          </w:tcPr>
          <w:p w:rsidR="00000000" w:rsidRDefault="00844A84">
            <w:pPr>
              <w:pStyle w:val="a2"/>
              <w:rPr>
                <w:snapToGrid/>
              </w:rPr>
            </w:pPr>
            <w:r>
              <w:rPr>
                <w:rFonts w:hint="eastAsia"/>
                <w:snapToGrid/>
              </w:rPr>
              <w:t>受过中等教育或两年中等后教育的其他保健人员</w:t>
            </w:r>
          </w:p>
        </w:tc>
        <w:tc>
          <w:tcPr>
            <w:tcW w:w="2200" w:type="dxa"/>
            <w:tcBorders>
              <w:bottom w:val="single" w:sz="4" w:space="0" w:color="auto"/>
            </w:tcBorders>
          </w:tcPr>
          <w:p w:rsidR="00000000" w:rsidRDefault="00844A84">
            <w:pPr>
              <w:pStyle w:val="a2"/>
              <w:ind w:right="680"/>
              <w:jc w:val="right"/>
              <w:rPr>
                <w:snapToGrid/>
              </w:rPr>
            </w:pPr>
            <w:r>
              <w:rPr>
                <w:snapToGrid/>
              </w:rPr>
              <w:t>3,643</w:t>
            </w:r>
          </w:p>
        </w:tc>
      </w:tr>
      <w:tr w:rsidR="00000000">
        <w:tblPrEx>
          <w:tblCellMar>
            <w:top w:w="0" w:type="dxa"/>
            <w:bottom w:w="0" w:type="dxa"/>
          </w:tblCellMar>
        </w:tblPrEx>
        <w:trPr>
          <w:jc w:val="center"/>
        </w:trPr>
        <w:tc>
          <w:tcPr>
            <w:tcW w:w="5134" w:type="dxa"/>
            <w:tcBorders>
              <w:top w:val="single" w:sz="4" w:space="0" w:color="auto"/>
              <w:bottom w:val="single" w:sz="4" w:space="0" w:color="auto"/>
            </w:tcBorders>
          </w:tcPr>
          <w:p w:rsidR="00000000" w:rsidRDefault="00844A84">
            <w:pPr>
              <w:pStyle w:val="a2"/>
              <w:rPr>
                <w:snapToGrid/>
              </w:rPr>
            </w:pPr>
            <w:r>
              <w:rPr>
                <w:snapToGrid/>
              </w:rPr>
              <w:t xml:space="preserve">      </w:t>
            </w:r>
            <w:r>
              <w:rPr>
                <w:rFonts w:hint="eastAsia"/>
                <w:snapToGrid/>
              </w:rPr>
              <w:t>总</w:t>
            </w:r>
            <w:r>
              <w:rPr>
                <w:snapToGrid/>
              </w:rPr>
              <w:t xml:space="preserve">  </w:t>
            </w:r>
            <w:r>
              <w:rPr>
                <w:rFonts w:hint="eastAsia"/>
                <w:snapToGrid/>
              </w:rPr>
              <w:t>数</w:t>
            </w:r>
          </w:p>
        </w:tc>
        <w:tc>
          <w:tcPr>
            <w:tcW w:w="2200" w:type="dxa"/>
            <w:tcBorders>
              <w:top w:val="single" w:sz="4" w:space="0" w:color="auto"/>
              <w:bottom w:val="single" w:sz="4" w:space="0" w:color="auto"/>
            </w:tcBorders>
          </w:tcPr>
          <w:p w:rsidR="00000000" w:rsidRDefault="00844A84">
            <w:pPr>
              <w:pStyle w:val="a2"/>
              <w:ind w:right="680"/>
              <w:jc w:val="right"/>
              <w:rPr>
                <w:snapToGrid/>
              </w:rPr>
            </w:pPr>
            <w:r>
              <w:rPr>
                <w:snapToGrid/>
              </w:rPr>
              <w:t>5,197</w:t>
            </w:r>
          </w:p>
        </w:tc>
      </w:tr>
    </w:tbl>
    <w:p w:rsidR="00000000" w:rsidRDefault="00844A84">
      <w:pPr>
        <w:ind w:firstLine="510"/>
        <w:rPr>
          <w:rFonts w:hint="eastAsia"/>
          <w:snapToGrid/>
          <w:lang w:val="en-GB"/>
        </w:rPr>
      </w:pPr>
      <w:r>
        <w:rPr>
          <w:rFonts w:hint="eastAsia"/>
          <w:snapToGrid/>
          <w:lang w:val="en-GB"/>
        </w:rPr>
        <w:t>646.</w:t>
      </w:r>
      <w:r>
        <w:t xml:space="preserve">  </w:t>
      </w:r>
      <w:r>
        <w:rPr>
          <w:rFonts w:hint="eastAsia"/>
          <w:snapToGrid/>
          <w:lang w:val="en-GB"/>
        </w:rPr>
        <w:t>监测保健服务的关键因素之一以及提</w:t>
      </w:r>
      <w:r>
        <w:rPr>
          <w:rFonts w:hint="eastAsia"/>
          <w:snapToGrid/>
          <w:lang w:val="en-GB"/>
        </w:rPr>
        <w:t>高人民健康水平的必要条件，是保健工作人员提供服务的覆盖率。医务人员覆盖率包括以下统计数字：</w:t>
      </w:r>
    </w:p>
    <w:p w:rsidR="00000000" w:rsidRDefault="00844A84">
      <w:pPr>
        <w:pStyle w:val="a0"/>
        <w:ind w:left="1550"/>
        <w:rPr>
          <w:rFonts w:hint="eastAsia"/>
          <w:snapToGrid/>
          <w:lang w:val="en-GB"/>
        </w:rPr>
      </w:pPr>
      <w:r>
        <w:rPr>
          <w:rFonts w:hint="eastAsia"/>
          <w:snapToGrid/>
          <w:lang w:val="en-GB"/>
        </w:rPr>
        <w:t>每</w:t>
      </w:r>
      <w:r>
        <w:rPr>
          <w:snapToGrid/>
          <w:lang w:val="en-GB"/>
        </w:rPr>
        <w:t>632.6</w:t>
      </w:r>
      <w:r>
        <w:rPr>
          <w:snapToGrid/>
          <w:lang w:val="en-GB"/>
        </w:rPr>
        <w:t>人</w:t>
      </w:r>
      <w:r>
        <w:rPr>
          <w:rFonts w:hint="eastAsia"/>
          <w:snapToGrid/>
          <w:lang w:val="en-GB"/>
        </w:rPr>
        <w:t>有一名医生</w:t>
      </w:r>
      <w:r>
        <w:rPr>
          <w:snapToGrid/>
          <w:lang w:val="en-GB"/>
        </w:rPr>
        <w:t>；</w:t>
      </w:r>
    </w:p>
    <w:p w:rsidR="00000000" w:rsidRDefault="00844A84">
      <w:pPr>
        <w:pStyle w:val="a0"/>
        <w:ind w:left="1550"/>
        <w:rPr>
          <w:rFonts w:hint="eastAsia"/>
          <w:snapToGrid/>
          <w:lang w:val="en-GB"/>
        </w:rPr>
      </w:pPr>
      <w:r>
        <w:rPr>
          <w:rFonts w:hint="eastAsia"/>
          <w:snapToGrid/>
          <w:lang w:val="en-GB"/>
        </w:rPr>
        <w:t>每</w:t>
      </w:r>
      <w:r>
        <w:rPr>
          <w:snapToGrid/>
          <w:lang w:val="en-GB"/>
        </w:rPr>
        <w:t>1,162.8</w:t>
      </w:r>
      <w:r>
        <w:rPr>
          <w:snapToGrid/>
          <w:lang w:val="en-GB"/>
        </w:rPr>
        <w:t>人</w:t>
      </w:r>
      <w:r>
        <w:rPr>
          <w:rFonts w:hint="eastAsia"/>
          <w:snapToGrid/>
          <w:lang w:val="en-GB"/>
        </w:rPr>
        <w:t>有一名初级保健医生；</w:t>
      </w:r>
    </w:p>
    <w:p w:rsidR="00000000" w:rsidRDefault="00844A84">
      <w:pPr>
        <w:pStyle w:val="a0"/>
        <w:ind w:left="1550"/>
        <w:rPr>
          <w:rFonts w:hint="eastAsia"/>
          <w:snapToGrid/>
          <w:lang w:val="en-GB"/>
        </w:rPr>
      </w:pPr>
      <w:r>
        <w:rPr>
          <w:rFonts w:hint="eastAsia"/>
          <w:snapToGrid/>
          <w:lang w:val="en-GB"/>
        </w:rPr>
        <w:t>每</w:t>
      </w:r>
      <w:r>
        <w:rPr>
          <w:snapToGrid/>
          <w:lang w:val="en-GB"/>
        </w:rPr>
        <w:t>2,269.</w:t>
      </w:r>
      <w:r>
        <w:rPr>
          <w:rFonts w:hint="eastAsia"/>
          <w:snapToGrid/>
          <w:lang w:val="en-GB"/>
        </w:rPr>
        <w:t>2</w:t>
      </w:r>
      <w:r>
        <w:rPr>
          <w:snapToGrid/>
          <w:lang w:val="en-GB"/>
        </w:rPr>
        <w:t>人有一名中级保健医生；</w:t>
      </w:r>
    </w:p>
    <w:p w:rsidR="00000000" w:rsidRDefault="00844A84">
      <w:pPr>
        <w:pStyle w:val="a0"/>
        <w:ind w:left="1550"/>
        <w:rPr>
          <w:rFonts w:hint="eastAsia"/>
          <w:snapToGrid/>
          <w:lang w:val="en-GB"/>
        </w:rPr>
      </w:pPr>
      <w:r>
        <w:rPr>
          <w:snapToGrid/>
          <w:lang w:val="en-GB"/>
        </w:rPr>
        <w:t>每</w:t>
      </w:r>
      <w:r>
        <w:rPr>
          <w:snapToGrid/>
          <w:lang w:val="en-GB"/>
        </w:rPr>
        <w:t>3,571.2</w:t>
      </w:r>
      <w:r>
        <w:rPr>
          <w:snapToGrid/>
          <w:lang w:val="en-GB"/>
        </w:rPr>
        <w:t>人有一名专科和副专科保健医生、</w:t>
      </w:r>
    </w:p>
    <w:p w:rsidR="00000000" w:rsidRDefault="00844A84">
      <w:pPr>
        <w:pStyle w:val="a0"/>
        <w:ind w:left="1550"/>
        <w:rPr>
          <w:rFonts w:hint="eastAsia"/>
          <w:snapToGrid/>
          <w:lang w:val="en-GB"/>
        </w:rPr>
      </w:pPr>
      <w:r>
        <w:rPr>
          <w:rFonts w:hint="eastAsia"/>
          <w:snapToGrid/>
          <w:lang w:val="en-GB"/>
        </w:rPr>
        <w:t>每</w:t>
      </w:r>
      <w:r>
        <w:rPr>
          <w:snapToGrid/>
          <w:lang w:val="en-GB"/>
        </w:rPr>
        <w:t>2,</w:t>
      </w:r>
      <w:r>
        <w:rPr>
          <w:rFonts w:hint="eastAsia"/>
          <w:snapToGrid/>
          <w:lang w:val="en-GB"/>
        </w:rPr>
        <w:t>293.1</w:t>
      </w:r>
      <w:r>
        <w:rPr>
          <w:snapToGrid/>
          <w:lang w:val="en-GB"/>
        </w:rPr>
        <w:t>人有一名药剂</w:t>
      </w:r>
      <w:r>
        <w:rPr>
          <w:rFonts w:hint="eastAsia"/>
          <w:snapToGrid/>
          <w:lang w:val="en-GB"/>
        </w:rPr>
        <w:t>师；</w:t>
      </w:r>
    </w:p>
    <w:p w:rsidR="00000000" w:rsidRDefault="00844A84">
      <w:pPr>
        <w:pStyle w:val="a0"/>
        <w:ind w:left="1550"/>
        <w:rPr>
          <w:rFonts w:hint="eastAsia"/>
          <w:snapToGrid/>
          <w:lang w:val="en-GB"/>
        </w:rPr>
      </w:pPr>
      <w:r>
        <w:rPr>
          <w:rFonts w:hint="eastAsia"/>
          <w:snapToGrid/>
          <w:lang w:val="en-GB"/>
        </w:rPr>
        <w:t>每</w:t>
      </w:r>
      <w:r>
        <w:rPr>
          <w:snapToGrid/>
          <w:lang w:val="en-GB"/>
        </w:rPr>
        <w:t>181.2</w:t>
      </w:r>
      <w:r>
        <w:rPr>
          <w:snapToGrid/>
          <w:lang w:val="en-GB"/>
        </w:rPr>
        <w:t>人有一名受过中等教育和中等后教育的保健工作者。</w:t>
      </w:r>
    </w:p>
    <w:p w:rsidR="00000000" w:rsidRDefault="00844A84">
      <w:pPr>
        <w:ind w:firstLine="510"/>
        <w:rPr>
          <w:rFonts w:hint="eastAsia"/>
          <w:snapToGrid/>
          <w:lang w:val="en-GB"/>
        </w:rPr>
      </w:pPr>
      <w:r>
        <w:rPr>
          <w:rFonts w:hint="eastAsia"/>
          <w:snapToGrid/>
          <w:lang w:val="en-GB"/>
        </w:rPr>
        <w:t>647.</w:t>
      </w:r>
      <w:r>
        <w:t xml:space="preserve">  </w:t>
      </w:r>
      <w:r>
        <w:rPr>
          <w:rFonts w:hint="eastAsia"/>
          <w:snapToGrid/>
          <w:lang w:val="en-GB"/>
        </w:rPr>
        <w:t>对医务工作人员的审查工作按现行标准根据人口及病床的数目进行。审查结果表明，工作人员的人数赶不上居民或病床数目的增长速度，因为医院收治病人的能力以及服务项目没有</w:t>
      </w:r>
      <w:r>
        <w:rPr>
          <w:rFonts w:hint="eastAsia"/>
          <w:snapToGrid/>
          <w:lang w:val="en-GB"/>
        </w:rPr>
        <w:t>达到设想的标准。</w:t>
      </w:r>
    </w:p>
    <w:p w:rsidR="00000000" w:rsidRDefault="00844A84">
      <w:pPr>
        <w:ind w:firstLine="510"/>
        <w:rPr>
          <w:rFonts w:hint="eastAsia"/>
          <w:snapToGrid/>
          <w:lang w:val="en-GB"/>
        </w:rPr>
      </w:pPr>
      <w:r>
        <w:rPr>
          <w:rFonts w:hint="eastAsia"/>
          <w:snapToGrid/>
          <w:lang w:val="en-GB"/>
        </w:rPr>
        <w:t>648.</w:t>
      </w:r>
      <w:r>
        <w:t xml:space="preserve">  </w:t>
      </w:r>
      <w:r>
        <w:rPr>
          <w:rFonts w:hint="eastAsia"/>
          <w:snapToGrid/>
          <w:lang w:val="en-GB"/>
        </w:rPr>
        <w:t>过去两年多以来，黑山更加重视了监测和跟进现代医学和技术趋势，提供现代设备，发展信息系统并培训医务人员，因此我国认为必须开始对规约保健部门活动所有的条例草拟修改和订正案。在这种情况下，有关条例支持增加保健工作人员的人数。保健部门现有工作人员总数为</w:t>
      </w:r>
      <w:r>
        <w:rPr>
          <w:snapToGrid/>
          <w:lang w:val="en-GB"/>
        </w:rPr>
        <w:t>7,696</w:t>
      </w:r>
      <w:r>
        <w:rPr>
          <w:snapToGrid/>
          <w:lang w:val="en-GB"/>
        </w:rPr>
        <w:t>人，其中</w:t>
      </w:r>
      <w:r>
        <w:rPr>
          <w:snapToGrid/>
          <w:lang w:val="en-GB"/>
        </w:rPr>
        <w:t>5,570</w:t>
      </w:r>
      <w:r>
        <w:rPr>
          <w:rFonts w:hint="eastAsia"/>
          <w:snapToGrid/>
          <w:lang w:val="en-GB"/>
        </w:rPr>
        <w:t>人为</w:t>
      </w:r>
      <w:r>
        <w:rPr>
          <w:snapToGrid/>
          <w:lang w:val="en-GB"/>
        </w:rPr>
        <w:t>医务人员，</w:t>
      </w:r>
      <w:r>
        <w:rPr>
          <w:snapToGrid/>
          <w:lang w:val="en-GB"/>
        </w:rPr>
        <w:t>2,126</w:t>
      </w:r>
      <w:r>
        <w:rPr>
          <w:snapToGrid/>
          <w:lang w:val="en-GB"/>
        </w:rPr>
        <w:t>人是非医务人员。卫生研究所于</w:t>
      </w:r>
      <w:r>
        <w:rPr>
          <w:snapToGrid/>
          <w:lang w:val="en-GB"/>
        </w:rPr>
        <w:t>2001</w:t>
      </w:r>
      <w:r>
        <w:rPr>
          <w:snapToGrid/>
          <w:lang w:val="en-GB"/>
        </w:rPr>
        <w:t>年开始</w:t>
      </w:r>
      <w:r>
        <w:rPr>
          <w:rFonts w:hint="eastAsia"/>
          <w:snapToGrid/>
          <w:lang w:val="en-GB"/>
        </w:rPr>
        <w:t>执行这项</w:t>
      </w:r>
      <w:r>
        <w:rPr>
          <w:snapToGrid/>
          <w:lang w:val="en-GB"/>
        </w:rPr>
        <w:t>任务。</w:t>
      </w:r>
    </w:p>
    <w:p w:rsidR="00000000" w:rsidRDefault="00844A84">
      <w:pPr>
        <w:spacing w:after="320"/>
        <w:ind w:firstLine="510"/>
        <w:rPr>
          <w:rFonts w:hint="eastAsia"/>
          <w:snapToGrid/>
          <w:lang w:val="en-GB"/>
        </w:rPr>
      </w:pPr>
      <w:r>
        <w:rPr>
          <w:rFonts w:hint="eastAsia"/>
          <w:snapToGrid/>
          <w:lang w:val="en-GB"/>
        </w:rPr>
        <w:t>649.</w:t>
      </w:r>
      <w:r>
        <w:t xml:space="preserve">  </w:t>
      </w:r>
      <w:r>
        <w:rPr>
          <w:snapToGrid/>
          <w:lang w:val="en-GB"/>
        </w:rPr>
        <w:t>2002</w:t>
      </w:r>
      <w:r>
        <w:rPr>
          <w:snapToGrid/>
          <w:lang w:val="en-GB"/>
        </w:rPr>
        <w:t>年第一季度完成了草拟初级保健服务和工作人员条例的工作。</w:t>
      </w:r>
      <w:r>
        <w:rPr>
          <w:snapToGrid/>
          <w:lang w:val="en-GB"/>
        </w:rPr>
        <w:t>2002</w:t>
      </w:r>
      <w:r>
        <w:rPr>
          <w:snapToGrid/>
          <w:lang w:val="en-GB"/>
        </w:rPr>
        <w:t>年</w:t>
      </w:r>
      <w:r>
        <w:rPr>
          <w:snapToGrid/>
          <w:lang w:val="en-GB"/>
        </w:rPr>
        <w:t>6</w:t>
      </w:r>
      <w:r>
        <w:rPr>
          <w:snapToGrid/>
          <w:lang w:val="en-GB"/>
        </w:rPr>
        <w:t>月底最后确定了中级和第三</w:t>
      </w:r>
      <w:r>
        <w:rPr>
          <w:rFonts w:hint="eastAsia"/>
          <w:snapToGrid/>
          <w:lang w:val="en-GB"/>
        </w:rPr>
        <w:t>级</w:t>
      </w:r>
      <w:r>
        <w:rPr>
          <w:snapToGrid/>
          <w:lang w:val="en-GB"/>
        </w:rPr>
        <w:t>保健条例的部分工</w:t>
      </w:r>
      <w:r>
        <w:rPr>
          <w:snapToGrid/>
          <w:lang w:val="en-GB"/>
        </w:rPr>
        <w:t>作。</w:t>
      </w:r>
    </w:p>
    <w:p w:rsidR="00000000" w:rsidRDefault="00844A84">
      <w:pPr>
        <w:pStyle w:val="Heading4"/>
        <w:rPr>
          <w:rFonts w:hint="eastAsia"/>
          <w:lang w:val="en-GB"/>
        </w:rPr>
      </w:pPr>
      <w:r>
        <w:rPr>
          <w:rFonts w:hint="eastAsia"/>
          <w:lang w:val="en-GB"/>
        </w:rPr>
        <w:t>第</w:t>
      </w:r>
      <w:r>
        <w:rPr>
          <w:rFonts w:hint="eastAsia"/>
          <w:lang w:val="en-GB"/>
        </w:rPr>
        <w:t>2</w:t>
      </w:r>
      <w:r>
        <w:rPr>
          <w:rFonts w:hint="eastAsia"/>
          <w:lang w:val="en-GB"/>
        </w:rPr>
        <w:t>款</w:t>
      </w:r>
      <w:r>
        <w:rPr>
          <w:lang w:val="en-GB"/>
        </w:rPr>
        <w:t>(a</w:t>
      </w:r>
      <w:r>
        <w:rPr>
          <w:u w:val="none"/>
          <w:lang w:val="en-GB"/>
        </w:rPr>
        <w:t>)</w:t>
      </w:r>
    </w:p>
    <w:p w:rsidR="00000000" w:rsidRDefault="00844A84">
      <w:pPr>
        <w:ind w:firstLine="510"/>
        <w:rPr>
          <w:rFonts w:hint="eastAsia"/>
          <w:snapToGrid/>
          <w:lang w:val="en-GB"/>
        </w:rPr>
      </w:pPr>
      <w:r>
        <w:rPr>
          <w:snapToGrid/>
          <w:lang w:val="en-GB"/>
        </w:rPr>
        <w:t>6</w:t>
      </w:r>
      <w:r>
        <w:rPr>
          <w:rFonts w:hint="eastAsia"/>
          <w:snapToGrid/>
          <w:lang w:val="en-GB"/>
        </w:rPr>
        <w:t>5</w:t>
      </w:r>
      <w:r>
        <w:rPr>
          <w:snapToGrid/>
          <w:lang w:val="en-GB"/>
        </w:rPr>
        <w:t>0.</w:t>
      </w:r>
      <w:r>
        <w:t xml:space="preserve">  </w:t>
      </w:r>
      <w:r>
        <w:rPr>
          <w:snapToGrid/>
          <w:lang w:val="en-GB"/>
        </w:rPr>
        <w:t>我们掌握的有关儿童死亡率的唯一数据</w:t>
      </w:r>
      <w:r>
        <w:rPr>
          <w:rFonts w:hint="eastAsia"/>
          <w:snapToGrid/>
          <w:lang w:val="en-GB"/>
        </w:rPr>
        <w:t>，</w:t>
      </w:r>
      <w:r>
        <w:rPr>
          <w:snapToGrid/>
          <w:lang w:val="en-GB"/>
        </w:rPr>
        <w:t>可见于</w:t>
      </w:r>
      <w:r>
        <w:rPr>
          <w:snapToGrid/>
          <w:lang w:val="en-GB"/>
        </w:rPr>
        <w:t>2001</w:t>
      </w:r>
      <w:r>
        <w:rPr>
          <w:snapToGrid/>
          <w:lang w:val="en-GB"/>
        </w:rPr>
        <w:t>年生命统计一般资料，其中表明：</w:t>
      </w:r>
    </w:p>
    <w:p w:rsidR="00000000" w:rsidRDefault="00844A84">
      <w:pPr>
        <w:pStyle w:val="a0"/>
        <w:ind w:left="1550"/>
        <w:rPr>
          <w:rFonts w:hint="eastAsia"/>
          <w:snapToGrid/>
          <w:lang w:val="en-GB"/>
        </w:rPr>
      </w:pPr>
      <w:r>
        <w:rPr>
          <w:rFonts w:hint="eastAsia"/>
          <w:snapToGrid/>
          <w:lang w:val="en-GB"/>
        </w:rPr>
        <w:t>总出生率为</w:t>
      </w:r>
      <w:r>
        <w:rPr>
          <w:snapToGrid/>
          <w:lang w:val="en-GB"/>
        </w:rPr>
        <w:t>13.3%(2000</w:t>
      </w:r>
      <w:r>
        <w:rPr>
          <w:snapToGrid/>
          <w:lang w:val="en-GB"/>
        </w:rPr>
        <w:t>年为</w:t>
      </w:r>
      <w:r>
        <w:rPr>
          <w:snapToGrid/>
          <w:lang w:val="en-GB"/>
        </w:rPr>
        <w:t>13.9%)</w:t>
      </w:r>
      <w:r>
        <w:rPr>
          <w:snapToGrid/>
          <w:lang w:val="en-GB"/>
        </w:rPr>
        <w:t>；</w:t>
      </w:r>
    </w:p>
    <w:p w:rsidR="00000000" w:rsidRDefault="00844A84">
      <w:pPr>
        <w:pStyle w:val="a0"/>
        <w:ind w:left="1550"/>
        <w:rPr>
          <w:rFonts w:hint="eastAsia"/>
          <w:snapToGrid/>
          <w:lang w:val="en-GB"/>
        </w:rPr>
      </w:pPr>
      <w:r>
        <w:rPr>
          <w:snapToGrid/>
          <w:lang w:val="en-GB"/>
        </w:rPr>
        <w:t>总死亡率为</w:t>
      </w:r>
      <w:r>
        <w:rPr>
          <w:snapToGrid/>
          <w:lang w:val="en-GB"/>
        </w:rPr>
        <w:t>8.2%(</w:t>
      </w:r>
      <w:r>
        <w:rPr>
          <w:rFonts w:hint="eastAsia"/>
          <w:snapToGrid/>
          <w:lang w:val="en-GB"/>
        </w:rPr>
        <w:t>与</w:t>
      </w:r>
      <w:r>
        <w:rPr>
          <w:snapToGrid/>
          <w:lang w:val="en-GB"/>
        </w:rPr>
        <w:t>2000</w:t>
      </w:r>
      <w:r>
        <w:rPr>
          <w:snapToGrid/>
          <w:lang w:val="en-GB"/>
        </w:rPr>
        <w:t>年相同</w:t>
      </w:r>
      <w:r>
        <w:rPr>
          <w:snapToGrid/>
          <w:lang w:val="en-GB"/>
        </w:rPr>
        <w:t>)</w:t>
      </w:r>
      <w:r>
        <w:rPr>
          <w:snapToGrid/>
          <w:lang w:val="en-GB"/>
        </w:rPr>
        <w:t>；</w:t>
      </w:r>
    </w:p>
    <w:p w:rsidR="00000000" w:rsidRDefault="00844A84">
      <w:pPr>
        <w:pStyle w:val="a0"/>
        <w:ind w:left="1550"/>
        <w:rPr>
          <w:rFonts w:hint="eastAsia"/>
          <w:snapToGrid/>
          <w:lang w:val="en-GB"/>
        </w:rPr>
      </w:pPr>
      <w:r>
        <w:rPr>
          <w:snapToGrid/>
          <w:lang w:val="en-GB"/>
        </w:rPr>
        <w:t>人口自然增长率为</w:t>
      </w:r>
      <w:r>
        <w:rPr>
          <w:snapToGrid/>
          <w:lang w:val="en-GB"/>
        </w:rPr>
        <w:t>5.1%(2000</w:t>
      </w:r>
      <w:r>
        <w:rPr>
          <w:snapToGrid/>
          <w:lang w:val="en-GB"/>
        </w:rPr>
        <w:t>年为</w:t>
      </w:r>
      <w:r>
        <w:rPr>
          <w:snapToGrid/>
          <w:lang w:val="en-GB"/>
        </w:rPr>
        <w:t>5.7%)</w:t>
      </w:r>
      <w:r>
        <w:rPr>
          <w:snapToGrid/>
          <w:lang w:val="en-GB"/>
        </w:rPr>
        <w:t>；</w:t>
      </w:r>
    </w:p>
    <w:p w:rsidR="00000000" w:rsidRDefault="00844A84">
      <w:pPr>
        <w:pStyle w:val="a0"/>
        <w:ind w:left="1550"/>
        <w:rPr>
          <w:rFonts w:hint="eastAsia"/>
          <w:snapToGrid/>
          <w:lang w:val="en-GB"/>
        </w:rPr>
      </w:pPr>
      <w:r>
        <w:rPr>
          <w:rFonts w:hint="eastAsia"/>
          <w:snapToGrid/>
          <w:lang w:val="en-GB"/>
        </w:rPr>
        <w:t>婴儿</w:t>
      </w:r>
      <w:r>
        <w:rPr>
          <w:snapToGrid/>
          <w:lang w:val="en-GB"/>
        </w:rPr>
        <w:t>死亡率为</w:t>
      </w:r>
      <w:r>
        <w:rPr>
          <w:snapToGrid/>
          <w:lang w:val="en-GB"/>
        </w:rPr>
        <w:t>12.9%(2000</w:t>
      </w:r>
      <w:r>
        <w:rPr>
          <w:snapToGrid/>
          <w:lang w:val="en-GB"/>
        </w:rPr>
        <w:t>年为</w:t>
      </w:r>
      <w:r>
        <w:rPr>
          <w:snapToGrid/>
          <w:lang w:val="en-GB"/>
        </w:rPr>
        <w:t>10.9%)</w:t>
      </w:r>
      <w:r>
        <w:rPr>
          <w:snapToGrid/>
          <w:lang w:val="en-GB"/>
        </w:rPr>
        <w:t>；</w:t>
      </w:r>
    </w:p>
    <w:p w:rsidR="00000000" w:rsidRDefault="00844A84">
      <w:pPr>
        <w:pStyle w:val="a0"/>
        <w:ind w:left="1550"/>
        <w:rPr>
          <w:rFonts w:hint="eastAsia"/>
          <w:snapToGrid/>
          <w:lang w:val="en-GB"/>
        </w:rPr>
      </w:pPr>
      <w:r>
        <w:rPr>
          <w:snapToGrid/>
          <w:lang w:val="en-GB"/>
        </w:rPr>
        <w:t>生命指数为</w:t>
      </w:r>
      <w:r>
        <w:rPr>
          <w:snapToGrid/>
          <w:lang w:val="en-GB"/>
        </w:rPr>
        <w:t>162.4(2000</w:t>
      </w:r>
      <w:r>
        <w:rPr>
          <w:snapToGrid/>
          <w:lang w:val="en-GB"/>
        </w:rPr>
        <w:t>年为</w:t>
      </w:r>
      <w:r>
        <w:rPr>
          <w:snapToGrid/>
          <w:lang w:val="en-GB"/>
        </w:rPr>
        <w:t>169.9)</w:t>
      </w:r>
      <w:r>
        <w:rPr>
          <w:snapToGrid/>
          <w:lang w:val="en-GB"/>
        </w:rPr>
        <w:t>。</w:t>
      </w:r>
    </w:p>
    <w:p w:rsidR="00000000" w:rsidRDefault="00844A84">
      <w:pPr>
        <w:ind w:firstLine="510"/>
        <w:rPr>
          <w:rFonts w:hint="eastAsia"/>
          <w:snapToGrid/>
          <w:lang w:val="en-GB"/>
        </w:rPr>
      </w:pPr>
      <w:r>
        <w:rPr>
          <w:rFonts w:hint="eastAsia"/>
          <w:snapToGrid/>
          <w:lang w:val="en-GB"/>
        </w:rPr>
        <w:t>651.</w:t>
      </w:r>
      <w:r>
        <w:t xml:space="preserve">  </w:t>
      </w:r>
      <w:r>
        <w:rPr>
          <w:rFonts w:hint="eastAsia"/>
          <w:snapToGrid/>
          <w:lang w:val="en-GB"/>
        </w:rPr>
        <w:t>联盟统计部为共和国统计部编写了死因数据。这些数据按年龄、性别、死因和不同市镇</w:t>
      </w:r>
      <w:r>
        <w:rPr>
          <w:rFonts w:hint="eastAsia"/>
          <w:snapToGrid/>
          <w:lang w:val="en-GB"/>
        </w:rPr>
        <w:t>(</w:t>
      </w:r>
      <w:r>
        <w:rPr>
          <w:rFonts w:hint="eastAsia"/>
          <w:snapToGrid/>
          <w:lang w:val="en-GB"/>
        </w:rPr>
        <w:t>城镇和乡村</w:t>
      </w:r>
      <w:r>
        <w:rPr>
          <w:rFonts w:hint="eastAsia"/>
          <w:snapToGrid/>
          <w:lang w:val="en-GB"/>
        </w:rPr>
        <w:t>)</w:t>
      </w:r>
      <w:r>
        <w:rPr>
          <w:rFonts w:hint="eastAsia"/>
          <w:snapToGrid/>
          <w:lang w:val="en-GB"/>
        </w:rPr>
        <w:t>等开列。</w:t>
      </w:r>
      <w:r>
        <w:rPr>
          <w:snapToGrid/>
          <w:lang w:val="en-GB"/>
        </w:rPr>
        <w:t>2001</w:t>
      </w:r>
      <w:r>
        <w:rPr>
          <w:snapToGrid/>
          <w:lang w:val="en-GB"/>
        </w:rPr>
        <w:t>年</w:t>
      </w:r>
      <w:r>
        <w:rPr>
          <w:rFonts w:hint="eastAsia"/>
          <w:snapToGrid/>
          <w:lang w:val="en-GB"/>
        </w:rPr>
        <w:t>，南斯拉夫联盟共和国或塞尔维亚和</w:t>
      </w:r>
      <w:r>
        <w:rPr>
          <w:rFonts w:hint="eastAsia"/>
          <w:snapToGrid/>
          <w:lang w:val="en-GB"/>
        </w:rPr>
        <w:t>黑山两个共和国</w:t>
      </w:r>
      <w:r>
        <w:rPr>
          <w:snapToGrid/>
          <w:lang w:val="en-GB"/>
        </w:rPr>
        <w:t>都没有编制这种数据，因此无法满足这方面的要求。</w:t>
      </w:r>
    </w:p>
    <w:p w:rsidR="00000000" w:rsidRDefault="00844A84">
      <w:pPr>
        <w:ind w:firstLine="510"/>
        <w:rPr>
          <w:snapToGrid/>
          <w:lang w:val="en-GB"/>
        </w:rPr>
      </w:pPr>
      <w:r>
        <w:rPr>
          <w:rFonts w:hint="eastAsia"/>
          <w:snapToGrid/>
          <w:lang w:val="en-GB"/>
        </w:rPr>
        <w:t>652.</w:t>
      </w:r>
      <w:r>
        <w:t xml:space="preserve">  </w:t>
      </w:r>
      <w:r>
        <w:rPr>
          <w:rFonts w:hint="eastAsia"/>
          <w:snapToGrid/>
          <w:lang w:val="en-GB"/>
        </w:rPr>
        <w:t>根据现有资料得出的结论如下：</w:t>
      </w:r>
    </w:p>
    <w:p w:rsidR="00000000" w:rsidRDefault="00844A84">
      <w:pPr>
        <w:numPr>
          <w:ilvl w:val="1"/>
          <w:numId w:val="518"/>
        </w:numPr>
        <w:ind w:left="1531"/>
        <w:rPr>
          <w:snapToGrid/>
          <w:lang w:val="en-GB"/>
        </w:rPr>
      </w:pPr>
      <w:r>
        <w:rPr>
          <w:rFonts w:hint="eastAsia"/>
          <w:snapToGrid/>
          <w:lang w:val="en-GB"/>
        </w:rPr>
        <w:t>在总死亡人数</w:t>
      </w:r>
      <w:r>
        <w:rPr>
          <w:rFonts w:hint="eastAsia"/>
          <w:snapToGrid/>
          <w:lang w:val="en-GB"/>
        </w:rPr>
        <w:t>(</w:t>
      </w:r>
      <w:r>
        <w:rPr>
          <w:snapToGrid/>
          <w:lang w:val="en-GB"/>
        </w:rPr>
        <w:t>5,412)</w:t>
      </w:r>
      <w:r>
        <w:rPr>
          <w:snapToGrid/>
          <w:lang w:val="en-GB"/>
        </w:rPr>
        <w:t>中，按年龄统计的儿童死亡</w:t>
      </w:r>
      <w:r>
        <w:rPr>
          <w:rFonts w:hint="eastAsia"/>
          <w:snapToGrid/>
          <w:lang w:val="en-GB"/>
        </w:rPr>
        <w:t>人数</w:t>
      </w:r>
      <w:r>
        <w:rPr>
          <w:snapToGrid/>
          <w:lang w:val="en-GB"/>
        </w:rPr>
        <w:t>如下：</w:t>
      </w:r>
    </w:p>
    <w:p w:rsidR="00000000" w:rsidRDefault="00844A84">
      <w:pPr>
        <w:pStyle w:val="a0"/>
        <w:ind w:left="2070"/>
        <w:rPr>
          <w:rFonts w:hint="eastAsia"/>
          <w:snapToGrid/>
          <w:spacing w:val="-8"/>
          <w:lang w:val="en-GB"/>
        </w:rPr>
      </w:pPr>
      <w:r>
        <w:rPr>
          <w:rFonts w:hint="eastAsia"/>
          <w:snapToGrid/>
          <w:lang w:val="en-GB"/>
        </w:rPr>
        <w:t>0</w:t>
      </w:r>
      <w:r>
        <w:rPr>
          <w:rFonts w:hint="eastAsia"/>
          <w:snapToGrid/>
          <w:lang w:val="en-GB"/>
        </w:rPr>
        <w:t>至</w:t>
      </w:r>
      <w:r>
        <w:rPr>
          <w:snapToGrid/>
          <w:lang w:val="en-GB"/>
        </w:rPr>
        <w:t>14</w:t>
      </w:r>
      <w:r>
        <w:rPr>
          <w:snapToGrid/>
          <w:lang w:val="en-GB"/>
        </w:rPr>
        <w:t>岁，死亡</w:t>
      </w:r>
      <w:r>
        <w:rPr>
          <w:snapToGrid/>
          <w:lang w:val="en-GB"/>
        </w:rPr>
        <w:t>130</w:t>
      </w:r>
      <w:r>
        <w:rPr>
          <w:snapToGrid/>
          <w:lang w:val="en-GB"/>
        </w:rPr>
        <w:t>人，占</w:t>
      </w:r>
      <w:r>
        <w:rPr>
          <w:snapToGrid/>
          <w:lang w:val="en-GB"/>
        </w:rPr>
        <w:t>2.4% (</w:t>
      </w:r>
      <w:r>
        <w:rPr>
          <w:snapToGrid/>
          <w:lang w:val="en-GB"/>
        </w:rPr>
        <w:t>男童为</w:t>
      </w:r>
      <w:r>
        <w:rPr>
          <w:snapToGrid/>
          <w:lang w:val="en-GB"/>
        </w:rPr>
        <w:t>2.78%</w:t>
      </w:r>
      <w:r>
        <w:rPr>
          <w:snapToGrid/>
          <w:lang w:val="en-GB"/>
        </w:rPr>
        <w:t>；女童为</w:t>
      </w:r>
      <w:r>
        <w:rPr>
          <w:snapToGrid/>
          <w:lang w:val="en-GB"/>
        </w:rPr>
        <w:t>1.99%)</w:t>
      </w:r>
      <w:r>
        <w:rPr>
          <w:snapToGrid/>
          <w:lang w:val="en-GB"/>
        </w:rPr>
        <w:t>；</w:t>
      </w:r>
    </w:p>
    <w:p w:rsidR="00000000" w:rsidRDefault="00844A84">
      <w:pPr>
        <w:pStyle w:val="a0"/>
        <w:ind w:left="2070"/>
        <w:rPr>
          <w:rFonts w:hint="eastAsia"/>
          <w:snapToGrid/>
          <w:lang w:val="en-GB"/>
        </w:rPr>
      </w:pPr>
      <w:r>
        <w:rPr>
          <w:snapToGrid/>
          <w:lang w:val="en-GB"/>
        </w:rPr>
        <w:t>15</w:t>
      </w:r>
      <w:r>
        <w:rPr>
          <w:snapToGrid/>
          <w:lang w:val="en-GB"/>
        </w:rPr>
        <w:t>至</w:t>
      </w:r>
      <w:r>
        <w:rPr>
          <w:snapToGrid/>
          <w:lang w:val="en-GB"/>
        </w:rPr>
        <w:t>19</w:t>
      </w:r>
      <w:r>
        <w:rPr>
          <w:snapToGrid/>
          <w:lang w:val="en-GB"/>
        </w:rPr>
        <w:t>岁，死亡</w:t>
      </w:r>
      <w:r>
        <w:rPr>
          <w:snapToGrid/>
          <w:lang w:val="en-GB"/>
        </w:rPr>
        <w:t>22</w:t>
      </w:r>
      <w:r>
        <w:rPr>
          <w:snapToGrid/>
          <w:lang w:val="en-GB"/>
        </w:rPr>
        <w:t>人，占</w:t>
      </w:r>
      <w:r>
        <w:rPr>
          <w:snapToGrid/>
          <w:lang w:val="en-GB"/>
        </w:rPr>
        <w:t>0.41% (</w:t>
      </w:r>
      <w:r>
        <w:rPr>
          <w:snapToGrid/>
          <w:lang w:val="en-GB"/>
        </w:rPr>
        <w:t>男童为</w:t>
      </w:r>
      <w:r>
        <w:rPr>
          <w:snapToGrid/>
          <w:lang w:val="en-GB"/>
        </w:rPr>
        <w:t>0.54%</w:t>
      </w:r>
      <w:r>
        <w:rPr>
          <w:snapToGrid/>
          <w:lang w:val="en-GB"/>
        </w:rPr>
        <w:t>；女童为</w:t>
      </w:r>
      <w:r>
        <w:rPr>
          <w:snapToGrid/>
          <w:lang w:val="en-GB"/>
        </w:rPr>
        <w:t>0.27%)</w:t>
      </w:r>
      <w:r>
        <w:rPr>
          <w:snapToGrid/>
          <w:lang w:val="en-GB"/>
        </w:rPr>
        <w:t>；</w:t>
      </w:r>
    </w:p>
    <w:p w:rsidR="00000000" w:rsidRDefault="00844A84">
      <w:pPr>
        <w:pStyle w:val="a0"/>
        <w:ind w:left="2070"/>
        <w:rPr>
          <w:rFonts w:hint="eastAsia"/>
          <w:snapToGrid/>
          <w:lang w:val="en-GB"/>
        </w:rPr>
      </w:pPr>
      <w:r>
        <w:rPr>
          <w:rFonts w:hint="eastAsia"/>
          <w:snapToGrid/>
          <w:lang w:val="en-GB"/>
        </w:rPr>
        <w:t>0</w:t>
      </w:r>
      <w:r>
        <w:rPr>
          <w:rFonts w:hint="eastAsia"/>
          <w:snapToGrid/>
          <w:lang w:val="en-GB"/>
        </w:rPr>
        <w:t>至</w:t>
      </w:r>
      <w:r>
        <w:rPr>
          <w:snapToGrid/>
          <w:lang w:val="en-GB"/>
        </w:rPr>
        <w:t>19</w:t>
      </w:r>
      <w:r>
        <w:rPr>
          <w:snapToGrid/>
          <w:lang w:val="en-GB"/>
        </w:rPr>
        <w:t>岁，死亡</w:t>
      </w:r>
      <w:r>
        <w:rPr>
          <w:snapToGrid/>
          <w:lang w:val="en-GB"/>
        </w:rPr>
        <w:t>152</w:t>
      </w:r>
      <w:r>
        <w:rPr>
          <w:snapToGrid/>
          <w:lang w:val="en-GB"/>
        </w:rPr>
        <w:t>人，占</w:t>
      </w:r>
      <w:r>
        <w:rPr>
          <w:snapToGrid/>
          <w:lang w:val="en-GB"/>
        </w:rPr>
        <w:t>2.81% (</w:t>
      </w:r>
      <w:r>
        <w:rPr>
          <w:snapToGrid/>
          <w:lang w:val="en-GB"/>
        </w:rPr>
        <w:t>男童为</w:t>
      </w:r>
      <w:r>
        <w:rPr>
          <w:snapToGrid/>
          <w:lang w:val="en-GB"/>
        </w:rPr>
        <w:t>3.3</w:t>
      </w:r>
      <w:r>
        <w:rPr>
          <w:rFonts w:hint="eastAsia"/>
          <w:snapToGrid/>
          <w:lang w:val="en-GB"/>
        </w:rPr>
        <w:t>2</w:t>
      </w:r>
      <w:r>
        <w:rPr>
          <w:snapToGrid/>
          <w:lang w:val="en-GB"/>
        </w:rPr>
        <w:t>%</w:t>
      </w:r>
      <w:r>
        <w:rPr>
          <w:snapToGrid/>
          <w:lang w:val="en-GB"/>
        </w:rPr>
        <w:t>；女童为</w:t>
      </w:r>
      <w:r>
        <w:rPr>
          <w:snapToGrid/>
          <w:lang w:val="en-GB"/>
        </w:rPr>
        <w:t>2.26%)</w:t>
      </w:r>
      <w:r>
        <w:rPr>
          <w:snapToGrid/>
          <w:lang w:val="en-GB"/>
        </w:rPr>
        <w:t>。</w:t>
      </w:r>
    </w:p>
    <w:p w:rsidR="00000000" w:rsidRDefault="00844A84">
      <w:pPr>
        <w:pStyle w:val="ac"/>
        <w:rPr>
          <w:rFonts w:hint="eastAsia"/>
          <w:snapToGrid/>
          <w:lang w:val="en-GB"/>
        </w:rPr>
      </w:pPr>
      <w:r>
        <w:rPr>
          <w:snapToGrid/>
          <w:lang w:val="en-GB"/>
        </w:rPr>
        <w:t>(b)</w:t>
      </w:r>
      <w:r>
        <w:rPr>
          <w:snapToGrid/>
          <w:lang w:val="en-GB"/>
        </w:rPr>
        <w:tab/>
      </w:r>
      <w:r>
        <w:rPr>
          <w:rFonts w:hint="eastAsia"/>
          <w:snapToGrid/>
          <w:lang w:val="en-GB"/>
        </w:rPr>
        <w:t>在死亡结构方面，按死亡类别开列的儿童死亡人数如下：</w:t>
      </w:r>
    </w:p>
    <w:p w:rsidR="00000000" w:rsidRDefault="00844A84">
      <w:pPr>
        <w:pStyle w:val="a0"/>
        <w:tabs>
          <w:tab w:val="clear" w:pos="510"/>
        </w:tabs>
        <w:ind w:left="2070"/>
        <w:rPr>
          <w:rFonts w:hint="eastAsia"/>
          <w:snapToGrid/>
          <w:lang w:val="en-GB"/>
        </w:rPr>
      </w:pPr>
      <w:r>
        <w:rPr>
          <w:rFonts w:hint="eastAsia"/>
          <w:snapToGrid/>
          <w:lang w:val="en-GB"/>
        </w:rPr>
        <w:t>肿瘤，死亡</w:t>
      </w:r>
      <w:r>
        <w:rPr>
          <w:rFonts w:hint="eastAsia"/>
          <w:snapToGrid/>
          <w:lang w:val="en-GB"/>
        </w:rPr>
        <w:t>6</w:t>
      </w:r>
      <w:r>
        <w:rPr>
          <w:rFonts w:hint="eastAsia"/>
          <w:snapToGrid/>
          <w:lang w:val="en-GB"/>
        </w:rPr>
        <w:t>人，占</w:t>
      </w:r>
      <w:r>
        <w:rPr>
          <w:snapToGrid/>
          <w:lang w:val="en-GB"/>
        </w:rPr>
        <w:t>0.68%(</w:t>
      </w:r>
      <w:r>
        <w:rPr>
          <w:snapToGrid/>
          <w:lang w:val="en-GB"/>
        </w:rPr>
        <w:t>男童为</w:t>
      </w:r>
      <w:r>
        <w:rPr>
          <w:snapToGrid/>
          <w:lang w:val="en-GB"/>
        </w:rPr>
        <w:t>1.1</w:t>
      </w:r>
      <w:r>
        <w:rPr>
          <w:snapToGrid/>
          <w:lang w:val="en-GB"/>
        </w:rPr>
        <w:t>4%</w:t>
      </w:r>
      <w:r>
        <w:rPr>
          <w:snapToGrid/>
          <w:lang w:val="en-GB"/>
        </w:rPr>
        <w:t>；女童为</w:t>
      </w:r>
      <w:r>
        <w:rPr>
          <w:snapToGrid/>
          <w:lang w:val="en-GB"/>
        </w:rPr>
        <w:t>0.00%)</w:t>
      </w:r>
      <w:r>
        <w:rPr>
          <w:snapToGrid/>
          <w:lang w:val="en-GB"/>
        </w:rPr>
        <w:t>；</w:t>
      </w:r>
    </w:p>
    <w:p w:rsidR="00000000" w:rsidRDefault="00844A84">
      <w:pPr>
        <w:pStyle w:val="a0"/>
        <w:tabs>
          <w:tab w:val="clear" w:pos="510"/>
        </w:tabs>
        <w:ind w:left="2070"/>
        <w:rPr>
          <w:rFonts w:hint="eastAsia"/>
          <w:snapToGrid/>
          <w:lang w:val="en-GB"/>
        </w:rPr>
      </w:pPr>
      <w:r>
        <w:rPr>
          <w:snapToGrid/>
          <w:lang w:val="en-GB"/>
        </w:rPr>
        <w:t>血管疾病，死亡</w:t>
      </w:r>
      <w:r>
        <w:rPr>
          <w:snapToGrid/>
          <w:lang w:val="en-GB"/>
        </w:rPr>
        <w:t>14</w:t>
      </w:r>
      <w:r>
        <w:rPr>
          <w:snapToGrid/>
          <w:lang w:val="en-GB"/>
        </w:rPr>
        <w:t>人，占</w:t>
      </w:r>
      <w:r>
        <w:rPr>
          <w:snapToGrid/>
          <w:lang w:val="en-GB"/>
        </w:rPr>
        <w:t>0.48%(</w:t>
      </w:r>
      <w:r>
        <w:rPr>
          <w:snapToGrid/>
          <w:lang w:val="en-GB"/>
        </w:rPr>
        <w:t>男童为</w:t>
      </w:r>
      <w:r>
        <w:rPr>
          <w:snapToGrid/>
          <w:lang w:val="en-GB"/>
        </w:rPr>
        <w:t>0.35%</w:t>
      </w:r>
      <w:r>
        <w:rPr>
          <w:snapToGrid/>
          <w:lang w:val="en-GB"/>
        </w:rPr>
        <w:t>；女童为</w:t>
      </w:r>
      <w:r>
        <w:rPr>
          <w:snapToGrid/>
          <w:lang w:val="en-GB"/>
        </w:rPr>
        <w:t>0.60%)</w:t>
      </w:r>
      <w:r>
        <w:rPr>
          <w:snapToGrid/>
          <w:lang w:val="en-GB"/>
        </w:rPr>
        <w:t>；</w:t>
      </w:r>
    </w:p>
    <w:p w:rsidR="00000000" w:rsidRDefault="00844A84">
      <w:pPr>
        <w:pStyle w:val="a0"/>
        <w:tabs>
          <w:tab w:val="clear" w:pos="510"/>
        </w:tabs>
        <w:ind w:left="2070"/>
        <w:rPr>
          <w:rFonts w:hint="eastAsia"/>
          <w:snapToGrid/>
          <w:lang w:val="en-GB"/>
        </w:rPr>
      </w:pPr>
      <w:r>
        <w:rPr>
          <w:rFonts w:hint="eastAsia"/>
          <w:snapToGrid/>
          <w:lang w:val="en-GB"/>
        </w:rPr>
        <w:t>围产期</w:t>
      </w:r>
      <w:r>
        <w:rPr>
          <w:snapToGrid/>
          <w:lang w:val="en-GB"/>
        </w:rPr>
        <w:t>疾病，死亡</w:t>
      </w:r>
      <w:r>
        <w:rPr>
          <w:snapToGrid/>
          <w:lang w:val="en-GB"/>
        </w:rPr>
        <w:t>12</w:t>
      </w:r>
      <w:r>
        <w:rPr>
          <w:snapToGrid/>
          <w:lang w:val="en-GB"/>
        </w:rPr>
        <w:t>人；</w:t>
      </w:r>
    </w:p>
    <w:p w:rsidR="00000000" w:rsidRDefault="00844A84">
      <w:pPr>
        <w:pStyle w:val="a0"/>
        <w:tabs>
          <w:tab w:val="clear" w:pos="510"/>
        </w:tabs>
        <w:ind w:left="2070"/>
        <w:rPr>
          <w:rFonts w:hint="eastAsia"/>
          <w:snapToGrid/>
          <w:lang w:val="en-GB"/>
        </w:rPr>
      </w:pPr>
      <w:r>
        <w:rPr>
          <w:rFonts w:hint="eastAsia"/>
          <w:snapToGrid/>
          <w:lang w:val="en-GB"/>
        </w:rPr>
        <w:t>先天</w:t>
      </w:r>
      <w:r>
        <w:rPr>
          <w:snapToGrid/>
          <w:lang w:val="en-GB"/>
        </w:rPr>
        <w:t>缺陷和异常，死亡</w:t>
      </w:r>
      <w:r>
        <w:rPr>
          <w:snapToGrid/>
          <w:lang w:val="en-GB"/>
        </w:rPr>
        <w:t>12</w:t>
      </w:r>
      <w:r>
        <w:rPr>
          <w:snapToGrid/>
          <w:lang w:val="en-GB"/>
        </w:rPr>
        <w:t>人；</w:t>
      </w:r>
    </w:p>
    <w:p w:rsidR="00000000" w:rsidRDefault="00844A84">
      <w:pPr>
        <w:pStyle w:val="a0"/>
        <w:tabs>
          <w:tab w:val="clear" w:pos="510"/>
        </w:tabs>
        <w:ind w:left="2070"/>
        <w:rPr>
          <w:rFonts w:hint="eastAsia"/>
          <w:snapToGrid/>
          <w:lang w:val="en-GB"/>
        </w:rPr>
      </w:pPr>
      <w:r>
        <w:rPr>
          <w:rFonts w:hint="eastAsia"/>
          <w:snapToGrid/>
          <w:lang w:val="en-GB"/>
        </w:rPr>
        <w:t>出现死亡</w:t>
      </w:r>
      <w:r>
        <w:rPr>
          <w:snapToGrid/>
          <w:lang w:val="en-GB"/>
        </w:rPr>
        <w:t>症状</w:t>
      </w:r>
      <w:r>
        <w:rPr>
          <w:rFonts w:hint="eastAsia"/>
          <w:snapToGrid/>
          <w:lang w:val="en-GB"/>
        </w:rPr>
        <w:t>、症候、病理</w:t>
      </w:r>
      <w:r>
        <w:rPr>
          <w:snapToGrid/>
          <w:lang w:val="en-GB"/>
        </w:rPr>
        <w:t>和实验室</w:t>
      </w:r>
      <w:r>
        <w:rPr>
          <w:rFonts w:hint="eastAsia"/>
          <w:snapToGrid/>
          <w:lang w:val="en-GB"/>
        </w:rPr>
        <w:t>化验结果证明</w:t>
      </w:r>
      <w:r>
        <w:rPr>
          <w:snapToGrid/>
          <w:lang w:val="en-GB"/>
        </w:rPr>
        <w:t>死亡</w:t>
      </w:r>
      <w:r>
        <w:rPr>
          <w:snapToGrid/>
          <w:lang w:val="en-GB"/>
        </w:rPr>
        <w:t>14</w:t>
      </w:r>
      <w:r>
        <w:rPr>
          <w:snapToGrid/>
          <w:lang w:val="en-GB"/>
        </w:rPr>
        <w:t>人，占</w:t>
      </w:r>
      <w:r>
        <w:rPr>
          <w:snapToGrid/>
          <w:lang w:val="en-GB"/>
        </w:rPr>
        <w:t>2.06%(</w:t>
      </w:r>
      <w:r>
        <w:rPr>
          <w:snapToGrid/>
          <w:lang w:val="en-GB"/>
        </w:rPr>
        <w:t>男童</w:t>
      </w:r>
      <w:r>
        <w:rPr>
          <w:snapToGrid/>
          <w:lang w:val="en-GB"/>
        </w:rPr>
        <w:t>2.48%</w:t>
      </w:r>
      <w:r>
        <w:rPr>
          <w:snapToGrid/>
          <w:lang w:val="en-GB"/>
        </w:rPr>
        <w:t>，女童</w:t>
      </w:r>
      <w:r>
        <w:rPr>
          <w:snapToGrid/>
          <w:lang w:val="en-GB"/>
        </w:rPr>
        <w:t>1.68%)</w:t>
      </w:r>
      <w:r>
        <w:rPr>
          <w:snapToGrid/>
          <w:lang w:val="en-GB"/>
        </w:rPr>
        <w:t>；</w:t>
      </w:r>
    </w:p>
    <w:p w:rsidR="00000000" w:rsidRDefault="00844A84">
      <w:pPr>
        <w:pStyle w:val="a0"/>
        <w:tabs>
          <w:tab w:val="clear" w:pos="510"/>
        </w:tabs>
        <w:ind w:left="2070"/>
        <w:rPr>
          <w:rFonts w:hint="eastAsia"/>
          <w:snapToGrid/>
          <w:lang w:val="en-GB"/>
        </w:rPr>
      </w:pPr>
      <w:r>
        <w:rPr>
          <w:snapToGrid/>
          <w:lang w:val="en-GB"/>
        </w:rPr>
        <w:t>神经系统疾病，死亡</w:t>
      </w:r>
      <w:r>
        <w:rPr>
          <w:snapToGrid/>
          <w:lang w:val="en-GB"/>
        </w:rPr>
        <w:t>3</w:t>
      </w:r>
      <w:r>
        <w:rPr>
          <w:snapToGrid/>
          <w:lang w:val="en-GB"/>
        </w:rPr>
        <w:t>人，占</w:t>
      </w:r>
      <w:r>
        <w:rPr>
          <w:snapToGrid/>
          <w:lang w:val="en-GB"/>
        </w:rPr>
        <w:t>11.11%(</w:t>
      </w:r>
      <w:r>
        <w:rPr>
          <w:snapToGrid/>
          <w:lang w:val="en-GB"/>
        </w:rPr>
        <w:t>男童</w:t>
      </w:r>
      <w:r>
        <w:rPr>
          <w:snapToGrid/>
          <w:lang w:val="en-GB"/>
        </w:rPr>
        <w:t>27.27%</w:t>
      </w:r>
      <w:r>
        <w:rPr>
          <w:snapToGrid/>
          <w:lang w:val="en-GB"/>
        </w:rPr>
        <w:t>；女童</w:t>
      </w:r>
      <w:r>
        <w:rPr>
          <w:snapToGrid/>
          <w:lang w:val="en-GB"/>
        </w:rPr>
        <w:t>0.00%)</w:t>
      </w:r>
      <w:r>
        <w:rPr>
          <w:snapToGrid/>
          <w:lang w:val="en-GB"/>
        </w:rPr>
        <w:t>；</w:t>
      </w:r>
    </w:p>
    <w:p w:rsidR="00000000" w:rsidRDefault="00844A84">
      <w:pPr>
        <w:pStyle w:val="a0"/>
        <w:tabs>
          <w:tab w:val="clear" w:pos="510"/>
        </w:tabs>
        <w:ind w:left="2070"/>
        <w:rPr>
          <w:rFonts w:hint="eastAsia"/>
          <w:snapToGrid/>
          <w:lang w:val="en-GB"/>
        </w:rPr>
      </w:pPr>
      <w:r>
        <w:rPr>
          <w:snapToGrid/>
          <w:lang w:val="en-GB"/>
        </w:rPr>
        <w:t>呼吸道系统疾病，死亡</w:t>
      </w:r>
      <w:r>
        <w:rPr>
          <w:snapToGrid/>
          <w:lang w:val="en-GB"/>
        </w:rPr>
        <w:t>2</w:t>
      </w:r>
      <w:r>
        <w:rPr>
          <w:snapToGrid/>
          <w:lang w:val="en-GB"/>
        </w:rPr>
        <w:t>人，占</w:t>
      </w:r>
      <w:r>
        <w:rPr>
          <w:snapToGrid/>
          <w:lang w:val="en-GB"/>
        </w:rPr>
        <w:t>0.91%(</w:t>
      </w:r>
      <w:r>
        <w:rPr>
          <w:snapToGrid/>
          <w:lang w:val="en-GB"/>
        </w:rPr>
        <w:t>男童</w:t>
      </w:r>
      <w:r>
        <w:rPr>
          <w:snapToGrid/>
          <w:lang w:val="en-GB"/>
        </w:rPr>
        <w:t>0.76%</w:t>
      </w:r>
      <w:r>
        <w:rPr>
          <w:snapToGrid/>
          <w:lang w:val="en-GB"/>
        </w:rPr>
        <w:t>；女童</w:t>
      </w:r>
      <w:r>
        <w:rPr>
          <w:snapToGrid/>
          <w:lang w:val="en-GB"/>
        </w:rPr>
        <w:t>1.15%)</w:t>
      </w:r>
      <w:r>
        <w:rPr>
          <w:snapToGrid/>
          <w:lang w:val="en-GB"/>
        </w:rPr>
        <w:t>；</w:t>
      </w:r>
    </w:p>
    <w:p w:rsidR="00000000" w:rsidRDefault="00844A84">
      <w:pPr>
        <w:pStyle w:val="a0"/>
        <w:tabs>
          <w:tab w:val="clear" w:pos="510"/>
        </w:tabs>
        <w:ind w:left="2070"/>
        <w:rPr>
          <w:rFonts w:hint="eastAsia"/>
          <w:snapToGrid/>
          <w:lang w:val="en-GB"/>
        </w:rPr>
      </w:pPr>
      <w:r>
        <w:rPr>
          <w:snapToGrid/>
          <w:lang w:val="en-GB"/>
        </w:rPr>
        <w:t>传染疾病和寄生虫病，死亡</w:t>
      </w:r>
      <w:r>
        <w:rPr>
          <w:snapToGrid/>
          <w:lang w:val="en-GB"/>
        </w:rPr>
        <w:t>2</w:t>
      </w:r>
      <w:r>
        <w:rPr>
          <w:snapToGrid/>
          <w:lang w:val="en-GB"/>
        </w:rPr>
        <w:t>人，占</w:t>
      </w:r>
      <w:r>
        <w:rPr>
          <w:snapToGrid/>
          <w:lang w:val="en-GB"/>
        </w:rPr>
        <w:t>16.67%(</w:t>
      </w:r>
      <w:r>
        <w:rPr>
          <w:snapToGrid/>
          <w:lang w:val="en-GB"/>
        </w:rPr>
        <w:t>男童</w:t>
      </w:r>
      <w:r>
        <w:rPr>
          <w:snapToGrid/>
          <w:lang w:val="en-GB"/>
        </w:rPr>
        <w:t>25%</w:t>
      </w:r>
      <w:r>
        <w:rPr>
          <w:snapToGrid/>
          <w:lang w:val="en-GB"/>
        </w:rPr>
        <w:t>；女童</w:t>
      </w:r>
      <w:r>
        <w:rPr>
          <w:snapToGrid/>
          <w:lang w:val="en-GB"/>
        </w:rPr>
        <w:t>0.00%)</w:t>
      </w:r>
      <w:r>
        <w:rPr>
          <w:rFonts w:hint="eastAsia"/>
          <w:snapToGrid/>
          <w:lang w:val="en-GB"/>
        </w:rPr>
        <w:t>；</w:t>
      </w:r>
    </w:p>
    <w:p w:rsidR="00000000" w:rsidRDefault="00844A84">
      <w:pPr>
        <w:pStyle w:val="a0"/>
        <w:tabs>
          <w:tab w:val="clear" w:pos="510"/>
        </w:tabs>
        <w:ind w:left="2070"/>
        <w:rPr>
          <w:rFonts w:hint="eastAsia"/>
          <w:snapToGrid/>
          <w:lang w:val="en-GB"/>
        </w:rPr>
      </w:pPr>
      <w:r>
        <w:rPr>
          <w:rFonts w:hint="eastAsia"/>
          <w:snapToGrid/>
          <w:lang w:val="en-GB"/>
        </w:rPr>
        <w:t>外伤</w:t>
      </w:r>
      <w:r>
        <w:rPr>
          <w:snapToGrid/>
          <w:lang w:val="en-GB"/>
        </w:rPr>
        <w:t>、</w:t>
      </w:r>
      <w:r>
        <w:rPr>
          <w:rFonts w:hint="eastAsia"/>
          <w:snapToGrid/>
          <w:lang w:val="en-GB"/>
        </w:rPr>
        <w:t>中毒</w:t>
      </w:r>
      <w:r>
        <w:rPr>
          <w:snapToGrid/>
          <w:lang w:val="en-GB"/>
        </w:rPr>
        <w:t>和</w:t>
      </w:r>
      <w:r>
        <w:rPr>
          <w:rFonts w:hint="eastAsia"/>
          <w:snapToGrid/>
          <w:lang w:val="en-GB"/>
        </w:rPr>
        <w:t>各</w:t>
      </w:r>
      <w:r>
        <w:rPr>
          <w:rFonts w:hint="eastAsia"/>
          <w:snapToGrid/>
          <w:lang w:val="en-GB"/>
        </w:rPr>
        <w:t>种</w:t>
      </w:r>
      <w:r>
        <w:rPr>
          <w:snapToGrid/>
          <w:lang w:val="en-GB"/>
        </w:rPr>
        <w:t>外因</w:t>
      </w:r>
      <w:r>
        <w:rPr>
          <w:rFonts w:hint="eastAsia"/>
          <w:snapToGrid/>
          <w:lang w:val="en-GB"/>
        </w:rPr>
        <w:t>，</w:t>
      </w:r>
      <w:r>
        <w:rPr>
          <w:snapToGrid/>
          <w:lang w:val="en-GB"/>
        </w:rPr>
        <w:t>死亡</w:t>
      </w:r>
      <w:r>
        <w:rPr>
          <w:snapToGrid/>
          <w:lang w:val="en-GB"/>
        </w:rPr>
        <w:t>4</w:t>
      </w:r>
      <w:r>
        <w:rPr>
          <w:snapToGrid/>
          <w:lang w:val="en-GB"/>
        </w:rPr>
        <w:t>人，占</w:t>
      </w:r>
      <w:r>
        <w:rPr>
          <w:snapToGrid/>
          <w:lang w:val="en-GB"/>
        </w:rPr>
        <w:t>1.63%(</w:t>
      </w:r>
      <w:r>
        <w:rPr>
          <w:snapToGrid/>
          <w:lang w:val="en-GB"/>
        </w:rPr>
        <w:t>男童</w:t>
      </w:r>
      <w:r>
        <w:rPr>
          <w:snapToGrid/>
          <w:lang w:val="en-GB"/>
        </w:rPr>
        <w:t>1.70%</w:t>
      </w:r>
      <w:r>
        <w:rPr>
          <w:snapToGrid/>
          <w:lang w:val="en-GB"/>
        </w:rPr>
        <w:t>；女童</w:t>
      </w:r>
      <w:r>
        <w:rPr>
          <w:snapToGrid/>
          <w:lang w:val="en-GB"/>
        </w:rPr>
        <w:t>1.40%)</w:t>
      </w:r>
      <w:r>
        <w:rPr>
          <w:snapToGrid/>
          <w:lang w:val="en-GB"/>
        </w:rPr>
        <w:t>；</w:t>
      </w:r>
    </w:p>
    <w:p w:rsidR="00000000" w:rsidRDefault="00844A84">
      <w:pPr>
        <w:pStyle w:val="a0"/>
        <w:tabs>
          <w:tab w:val="clear" w:pos="510"/>
        </w:tabs>
        <w:ind w:left="2070"/>
        <w:rPr>
          <w:rFonts w:hint="eastAsia"/>
          <w:snapToGrid/>
          <w:lang w:val="en-GB"/>
        </w:rPr>
      </w:pPr>
      <w:r>
        <w:rPr>
          <w:snapToGrid/>
          <w:lang w:val="en-GB"/>
        </w:rPr>
        <w:t>一名儿童死于消化系统疾病和内分泌</w:t>
      </w:r>
      <w:r>
        <w:rPr>
          <w:rFonts w:hint="eastAsia"/>
          <w:snapToGrid/>
          <w:lang w:val="en-GB"/>
        </w:rPr>
        <w:t>腺</w:t>
      </w:r>
      <w:r>
        <w:rPr>
          <w:snapToGrid/>
          <w:lang w:val="en-GB"/>
        </w:rPr>
        <w:t>疾病。</w:t>
      </w:r>
    </w:p>
    <w:p w:rsidR="00000000" w:rsidRDefault="00844A84">
      <w:pPr>
        <w:ind w:firstLine="510"/>
        <w:rPr>
          <w:rFonts w:hint="eastAsia"/>
          <w:snapToGrid/>
          <w:lang w:val="en-GB"/>
        </w:rPr>
      </w:pPr>
      <w:r>
        <w:rPr>
          <w:rFonts w:hint="eastAsia"/>
          <w:snapToGrid/>
          <w:lang w:val="en-GB"/>
        </w:rPr>
        <w:t>653.</w:t>
      </w:r>
      <w:r>
        <w:t xml:space="preserve">  </w:t>
      </w:r>
      <w:r>
        <w:rPr>
          <w:snapToGrid/>
          <w:lang w:val="en-GB"/>
        </w:rPr>
        <w:t>15</w:t>
      </w:r>
      <w:r>
        <w:rPr>
          <w:snapToGrid/>
          <w:lang w:val="en-GB"/>
        </w:rPr>
        <w:t>至</w:t>
      </w:r>
      <w:r>
        <w:rPr>
          <w:snapToGrid/>
          <w:lang w:val="en-GB"/>
        </w:rPr>
        <w:t>19</w:t>
      </w:r>
      <w:r>
        <w:rPr>
          <w:snapToGrid/>
          <w:lang w:val="en-GB"/>
        </w:rPr>
        <w:t>岁年龄</w:t>
      </w:r>
      <w:r>
        <w:rPr>
          <w:rFonts w:hint="eastAsia"/>
          <w:snapToGrid/>
          <w:lang w:val="en-GB"/>
        </w:rPr>
        <w:t>组</w:t>
      </w:r>
      <w:r>
        <w:rPr>
          <w:snapToGrid/>
          <w:lang w:val="en-GB"/>
        </w:rPr>
        <w:t>的死亡人数为</w:t>
      </w:r>
      <w:r>
        <w:rPr>
          <w:snapToGrid/>
          <w:lang w:val="en-GB"/>
        </w:rPr>
        <w:t>22</w:t>
      </w:r>
      <w:r>
        <w:rPr>
          <w:snapToGrid/>
          <w:lang w:val="en-GB"/>
        </w:rPr>
        <w:t>人，</w:t>
      </w:r>
      <w:r>
        <w:rPr>
          <w:snapToGrid/>
          <w:lang w:val="en-GB"/>
        </w:rPr>
        <w:t>15</w:t>
      </w:r>
      <w:r>
        <w:rPr>
          <w:snapToGrid/>
          <w:lang w:val="en-GB"/>
        </w:rPr>
        <w:t>至</w:t>
      </w:r>
      <w:r>
        <w:rPr>
          <w:snapToGrid/>
          <w:lang w:val="en-GB"/>
        </w:rPr>
        <w:t>24</w:t>
      </w:r>
      <w:r>
        <w:rPr>
          <w:snapToGrid/>
          <w:lang w:val="en-GB"/>
        </w:rPr>
        <w:t>岁年龄</w:t>
      </w:r>
      <w:r>
        <w:rPr>
          <w:rFonts w:hint="eastAsia"/>
          <w:snapToGrid/>
          <w:lang w:val="en-GB"/>
        </w:rPr>
        <w:t>组</w:t>
      </w:r>
      <w:r>
        <w:rPr>
          <w:snapToGrid/>
          <w:lang w:val="en-GB"/>
        </w:rPr>
        <w:t>的死亡人数为</w:t>
      </w:r>
      <w:r>
        <w:rPr>
          <w:snapToGrid/>
          <w:lang w:val="en-GB"/>
        </w:rPr>
        <w:t>59</w:t>
      </w:r>
      <w:r>
        <w:rPr>
          <w:snapToGrid/>
          <w:lang w:val="en-GB"/>
        </w:rPr>
        <w:t>人。由于在死亡的</w:t>
      </w:r>
      <w:r>
        <w:rPr>
          <w:snapToGrid/>
          <w:lang w:val="en-GB"/>
        </w:rPr>
        <w:t>51</w:t>
      </w:r>
      <w:r>
        <w:rPr>
          <w:snapToGrid/>
          <w:lang w:val="en-GB"/>
        </w:rPr>
        <w:t>人中，</w:t>
      </w:r>
      <w:r>
        <w:rPr>
          <w:snapToGrid/>
          <w:lang w:val="en-GB"/>
        </w:rPr>
        <w:t>11</w:t>
      </w:r>
      <w:r>
        <w:rPr>
          <w:rFonts w:hint="eastAsia"/>
          <w:snapToGrid/>
          <w:lang w:val="en-GB"/>
        </w:rPr>
        <w:t>人</w:t>
      </w:r>
      <w:r>
        <w:rPr>
          <w:snapToGrid/>
          <w:lang w:val="en-GB"/>
        </w:rPr>
        <w:t>死于心血管病，</w:t>
      </w:r>
      <w:r>
        <w:rPr>
          <w:snapToGrid/>
          <w:lang w:val="en-GB"/>
        </w:rPr>
        <w:t>11</w:t>
      </w:r>
      <w:r>
        <w:rPr>
          <w:rFonts w:hint="eastAsia"/>
          <w:snapToGrid/>
          <w:lang w:val="en-GB"/>
        </w:rPr>
        <w:t>人出现死亡</w:t>
      </w:r>
      <w:r>
        <w:rPr>
          <w:snapToGrid/>
          <w:lang w:val="en-GB"/>
        </w:rPr>
        <w:t>症状</w:t>
      </w:r>
      <w:r>
        <w:rPr>
          <w:rFonts w:hint="eastAsia"/>
          <w:snapToGrid/>
          <w:lang w:val="en-GB"/>
        </w:rPr>
        <w:t>、症候、病理</w:t>
      </w:r>
      <w:r>
        <w:rPr>
          <w:snapToGrid/>
          <w:lang w:val="en-GB"/>
        </w:rPr>
        <w:t>和实验室</w:t>
      </w:r>
      <w:r>
        <w:rPr>
          <w:rFonts w:hint="eastAsia"/>
          <w:snapToGrid/>
          <w:lang w:val="en-GB"/>
        </w:rPr>
        <w:t>化验结果证明</w:t>
      </w:r>
      <w:r>
        <w:rPr>
          <w:snapToGrid/>
          <w:lang w:val="en-GB"/>
        </w:rPr>
        <w:t>死亡</w:t>
      </w:r>
      <w:r>
        <w:rPr>
          <w:rFonts w:hint="eastAsia"/>
          <w:snapToGrid/>
          <w:lang w:val="en-GB"/>
        </w:rPr>
        <w:t>，</w:t>
      </w:r>
      <w:r>
        <w:rPr>
          <w:snapToGrid/>
          <w:lang w:val="en-GB"/>
        </w:rPr>
        <w:t>29</w:t>
      </w:r>
      <w:r>
        <w:rPr>
          <w:snapToGrid/>
          <w:lang w:val="en-GB"/>
        </w:rPr>
        <w:t>人死于外伤、中毒和外因，因此</w:t>
      </w:r>
      <w:r>
        <w:rPr>
          <w:rFonts w:hint="eastAsia"/>
          <w:snapToGrid/>
          <w:lang w:val="en-GB"/>
        </w:rPr>
        <w:t>可以</w:t>
      </w:r>
      <w:r>
        <w:rPr>
          <w:snapToGrid/>
          <w:lang w:val="en-GB"/>
        </w:rPr>
        <w:t>认为，死亡</w:t>
      </w:r>
      <w:r>
        <w:rPr>
          <w:rFonts w:hint="eastAsia"/>
          <w:snapToGrid/>
          <w:lang w:val="en-GB"/>
        </w:rPr>
        <w:t>者</w:t>
      </w:r>
      <w:r>
        <w:rPr>
          <w:snapToGrid/>
          <w:lang w:val="en-GB"/>
        </w:rPr>
        <w:t>多数</w:t>
      </w:r>
      <w:r>
        <w:rPr>
          <w:rFonts w:hint="eastAsia"/>
          <w:snapToGrid/>
          <w:lang w:val="en-GB"/>
        </w:rPr>
        <w:t>属</w:t>
      </w:r>
      <w:r>
        <w:rPr>
          <w:snapToGrid/>
          <w:lang w:val="en-GB"/>
        </w:rPr>
        <w:t>15</w:t>
      </w:r>
      <w:r>
        <w:rPr>
          <w:snapToGrid/>
          <w:lang w:val="en-GB"/>
        </w:rPr>
        <w:t>至</w:t>
      </w:r>
      <w:r>
        <w:rPr>
          <w:snapToGrid/>
          <w:lang w:val="en-GB"/>
        </w:rPr>
        <w:t>19</w:t>
      </w:r>
      <w:r>
        <w:rPr>
          <w:snapToGrid/>
          <w:lang w:val="en-GB"/>
        </w:rPr>
        <w:t>岁年龄组，其中</w:t>
      </w:r>
      <w:r>
        <w:rPr>
          <w:snapToGrid/>
          <w:lang w:val="en-GB"/>
        </w:rPr>
        <w:t>22</w:t>
      </w:r>
      <w:r>
        <w:rPr>
          <w:snapToGrid/>
          <w:lang w:val="en-GB"/>
        </w:rPr>
        <w:t>人死于</w:t>
      </w:r>
      <w:r>
        <w:rPr>
          <w:rFonts w:hint="eastAsia"/>
          <w:snapToGrid/>
          <w:lang w:val="en-GB"/>
        </w:rPr>
        <w:t>上述</w:t>
      </w:r>
      <w:r>
        <w:rPr>
          <w:snapToGrid/>
          <w:lang w:val="en-GB"/>
        </w:rPr>
        <w:t>三种死因。</w:t>
      </w:r>
    </w:p>
    <w:p w:rsidR="00000000" w:rsidRDefault="00844A84">
      <w:pPr>
        <w:ind w:firstLine="510"/>
        <w:rPr>
          <w:rFonts w:hint="eastAsia"/>
          <w:snapToGrid/>
          <w:lang w:val="en-GB"/>
        </w:rPr>
      </w:pPr>
      <w:r>
        <w:rPr>
          <w:rFonts w:hint="eastAsia"/>
          <w:snapToGrid/>
          <w:lang w:val="en-GB"/>
        </w:rPr>
        <w:t>654.</w:t>
      </w:r>
      <w:r>
        <w:t xml:space="preserve">  </w:t>
      </w:r>
      <w:r>
        <w:rPr>
          <w:rFonts w:hint="eastAsia"/>
          <w:snapToGrid/>
          <w:lang w:val="en-GB"/>
        </w:rPr>
        <w:t>据</w:t>
      </w:r>
      <w:r>
        <w:rPr>
          <w:snapToGrid/>
          <w:lang w:val="en-GB"/>
        </w:rPr>
        <w:t>2000</w:t>
      </w:r>
      <w:r>
        <w:rPr>
          <w:snapToGrid/>
          <w:lang w:val="en-GB"/>
        </w:rPr>
        <w:t>年人口预测</w:t>
      </w:r>
      <w:r>
        <w:rPr>
          <w:snapToGrid/>
          <w:lang w:val="en-GB"/>
        </w:rPr>
        <w:t>(</w:t>
      </w:r>
      <w:r>
        <w:rPr>
          <w:snapToGrid/>
          <w:lang w:val="en-GB"/>
        </w:rPr>
        <w:t>《</w:t>
      </w:r>
      <w:r>
        <w:rPr>
          <w:snapToGrid/>
          <w:lang w:val="en-GB"/>
        </w:rPr>
        <w:t>2000</w:t>
      </w:r>
      <w:r>
        <w:rPr>
          <w:snapToGrid/>
          <w:lang w:val="en-GB"/>
        </w:rPr>
        <w:t>年黑山保健方案》</w:t>
      </w:r>
      <w:r>
        <w:rPr>
          <w:snapToGrid/>
          <w:lang w:val="en-GB"/>
        </w:rPr>
        <w:t>)</w:t>
      </w:r>
      <w:r>
        <w:rPr>
          <w:snapToGrid/>
          <w:lang w:val="en-GB"/>
        </w:rPr>
        <w:t>，</w:t>
      </w:r>
      <w:r>
        <w:rPr>
          <w:snapToGrid/>
          <w:lang w:val="en-GB"/>
        </w:rPr>
        <w:t>0</w:t>
      </w:r>
      <w:r>
        <w:rPr>
          <w:rFonts w:hint="eastAsia"/>
          <w:snapToGrid/>
          <w:lang w:val="en-GB"/>
        </w:rPr>
        <w:t>至</w:t>
      </w:r>
      <w:r>
        <w:rPr>
          <w:snapToGrid/>
          <w:lang w:val="en-GB"/>
        </w:rPr>
        <w:t>18</w:t>
      </w:r>
      <w:r>
        <w:rPr>
          <w:snapToGrid/>
          <w:lang w:val="en-GB"/>
        </w:rPr>
        <w:t>岁年龄组的儿童为</w:t>
      </w:r>
      <w:r>
        <w:rPr>
          <w:snapToGrid/>
          <w:lang w:val="en-GB"/>
        </w:rPr>
        <w:t>188,000</w:t>
      </w:r>
      <w:r>
        <w:rPr>
          <w:snapToGrid/>
          <w:lang w:val="en-GB"/>
        </w:rPr>
        <w:t>人。我们可</w:t>
      </w:r>
      <w:r>
        <w:rPr>
          <w:snapToGrid/>
          <w:lang w:val="en-GB"/>
        </w:rPr>
        <w:t>以根据个别</w:t>
      </w:r>
      <w:r>
        <w:rPr>
          <w:rFonts w:hint="eastAsia"/>
          <w:snapToGrid/>
          <w:lang w:val="en-GB"/>
        </w:rPr>
        <w:t>疾病造成的死亡率，</w:t>
      </w:r>
      <w:r>
        <w:rPr>
          <w:snapToGrid/>
          <w:lang w:val="en-GB"/>
        </w:rPr>
        <w:t>估计这一年龄组</w:t>
      </w:r>
      <w:r>
        <w:rPr>
          <w:rFonts w:hint="eastAsia"/>
          <w:snapToGrid/>
          <w:lang w:val="en-GB"/>
        </w:rPr>
        <w:t>所有</w:t>
      </w:r>
      <w:r>
        <w:rPr>
          <w:snapToGrid/>
          <w:lang w:val="en-GB"/>
        </w:rPr>
        <w:t>人口的相应死亡率。</w:t>
      </w:r>
    </w:p>
    <w:p w:rsidR="00000000" w:rsidRDefault="00844A84">
      <w:pPr>
        <w:spacing w:after="320"/>
        <w:ind w:firstLine="510"/>
        <w:rPr>
          <w:rFonts w:hint="eastAsia"/>
          <w:snapToGrid/>
          <w:lang w:val="en-GB"/>
        </w:rPr>
      </w:pPr>
      <w:r>
        <w:rPr>
          <w:rFonts w:hint="eastAsia"/>
          <w:snapToGrid/>
          <w:lang w:val="en-GB"/>
        </w:rPr>
        <w:t>655.</w:t>
      </w:r>
      <w:r>
        <w:t xml:space="preserve">  </w:t>
      </w:r>
      <w:r>
        <w:rPr>
          <w:snapToGrid/>
          <w:lang w:val="en-GB"/>
        </w:rPr>
        <w:t>2001</w:t>
      </w:r>
      <w:r>
        <w:rPr>
          <w:snapToGrid/>
          <w:lang w:val="en-GB"/>
        </w:rPr>
        <w:t>年</w:t>
      </w:r>
      <w:r>
        <w:rPr>
          <w:rFonts w:hint="eastAsia"/>
          <w:snapToGrid/>
          <w:lang w:val="en-GB"/>
        </w:rPr>
        <w:t>黑山</w:t>
      </w:r>
      <w:r>
        <w:rPr>
          <w:snapToGrid/>
          <w:lang w:val="en-GB"/>
        </w:rPr>
        <w:t>保健方案包括婴儿</w:t>
      </w:r>
      <w:r>
        <w:rPr>
          <w:rFonts w:hint="eastAsia"/>
          <w:snapToGrid/>
          <w:lang w:val="en-GB"/>
        </w:rPr>
        <w:t>和</w:t>
      </w:r>
      <w:r>
        <w:rPr>
          <w:snapToGrid/>
          <w:lang w:val="en-GB"/>
        </w:rPr>
        <w:t>学龄前儿童保健，以此作为健康保护的形式。按照在方案执行中确定目标</w:t>
      </w:r>
      <w:r>
        <w:rPr>
          <w:rFonts w:hint="eastAsia"/>
          <w:snapToGrid/>
          <w:lang w:val="en-GB"/>
        </w:rPr>
        <w:t>的计划</w:t>
      </w:r>
      <w:r>
        <w:rPr>
          <w:snapToGrid/>
          <w:lang w:val="en-GB"/>
        </w:rPr>
        <w:t>进展</w:t>
      </w:r>
      <w:r>
        <w:rPr>
          <w:rFonts w:hint="eastAsia"/>
          <w:snapToGrid/>
          <w:lang w:val="en-GB"/>
        </w:rPr>
        <w:t>指标，确定该</w:t>
      </w:r>
      <w:r>
        <w:rPr>
          <w:snapToGrid/>
          <w:lang w:val="en-GB"/>
        </w:rPr>
        <w:t>部门目标的依据是世界卫生组织在</w:t>
      </w:r>
      <w:r>
        <w:rPr>
          <w:rFonts w:hint="eastAsia"/>
          <w:snapToGrid/>
          <w:lang w:val="en-GB"/>
        </w:rPr>
        <w:t>《</w:t>
      </w:r>
      <w:r>
        <w:rPr>
          <w:snapToGrid/>
          <w:lang w:val="en-GB"/>
        </w:rPr>
        <w:t>21</w:t>
      </w:r>
      <w:r>
        <w:rPr>
          <w:snapToGrid/>
          <w:lang w:val="en-GB"/>
        </w:rPr>
        <w:t>世纪</w:t>
      </w:r>
      <w:r>
        <w:rPr>
          <w:snapToGrid/>
          <w:lang w:val="en-GB"/>
        </w:rPr>
        <w:t>21</w:t>
      </w:r>
      <w:r>
        <w:rPr>
          <w:rFonts w:hint="eastAsia"/>
          <w:snapToGrid/>
          <w:lang w:val="en-GB"/>
        </w:rPr>
        <w:t>项</w:t>
      </w:r>
      <w:r>
        <w:rPr>
          <w:snapToGrid/>
          <w:lang w:val="en-GB"/>
        </w:rPr>
        <w:t>目标》中提出的战略。</w:t>
      </w:r>
      <w:r>
        <w:rPr>
          <w:rFonts w:hint="eastAsia"/>
          <w:snapToGrid/>
          <w:lang w:val="en-GB"/>
        </w:rPr>
        <w:t>该</w:t>
      </w:r>
      <w:r>
        <w:rPr>
          <w:snapToGrid/>
          <w:lang w:val="en-GB"/>
        </w:rPr>
        <w:t>方案包括</w:t>
      </w:r>
      <w:r>
        <w:rPr>
          <w:snapToGrid/>
          <w:lang w:val="en-GB"/>
        </w:rPr>
        <w:t>2001</w:t>
      </w:r>
      <w:r>
        <w:rPr>
          <w:snapToGrid/>
          <w:lang w:val="en-GB"/>
        </w:rPr>
        <w:t>年黑山境内</w:t>
      </w:r>
      <w:r>
        <w:rPr>
          <w:rFonts w:hint="eastAsia"/>
          <w:snapToGrid/>
          <w:lang w:val="en-GB"/>
        </w:rPr>
        <w:t>的</w:t>
      </w:r>
      <w:r>
        <w:rPr>
          <w:rFonts w:hint="eastAsia"/>
          <w:snapToGrid/>
          <w:lang w:val="en-GB"/>
        </w:rPr>
        <w:t>0</w:t>
      </w:r>
      <w:r>
        <w:rPr>
          <w:rFonts w:hint="eastAsia"/>
          <w:snapToGrid/>
          <w:lang w:val="en-GB"/>
        </w:rPr>
        <w:t>至</w:t>
      </w:r>
      <w:r>
        <w:rPr>
          <w:rFonts w:hint="eastAsia"/>
          <w:snapToGrid/>
          <w:lang w:val="en-GB"/>
        </w:rPr>
        <w:t>7</w:t>
      </w:r>
      <w:r>
        <w:rPr>
          <w:snapToGrid/>
          <w:lang w:val="en-GB"/>
        </w:rPr>
        <w:t>岁的</w:t>
      </w:r>
      <w:r>
        <w:rPr>
          <w:snapToGrid/>
          <w:lang w:val="en-GB"/>
        </w:rPr>
        <w:t>64,509</w:t>
      </w:r>
      <w:r>
        <w:rPr>
          <w:snapToGrid/>
          <w:lang w:val="en-GB"/>
        </w:rPr>
        <w:t>名儿童</w:t>
      </w:r>
      <w:r>
        <w:rPr>
          <w:snapToGrid/>
          <w:lang w:val="en-GB"/>
        </w:rPr>
        <w:t>(</w:t>
      </w:r>
      <w:r>
        <w:rPr>
          <w:snapToGrid/>
          <w:lang w:val="en-GB"/>
        </w:rPr>
        <w:t>占总人口</w:t>
      </w:r>
      <w:r>
        <w:rPr>
          <w:snapToGrid/>
          <w:lang w:val="en-GB"/>
        </w:rPr>
        <w:t>9.74%</w:t>
      </w:r>
      <w:r>
        <w:rPr>
          <w:rFonts w:hint="eastAsia"/>
          <w:snapToGrid/>
          <w:lang w:val="en-GB"/>
        </w:rPr>
        <w:t>)</w:t>
      </w:r>
      <w:r>
        <w:rPr>
          <w:snapToGrid/>
          <w:lang w:val="en-GB"/>
        </w:rPr>
        <w:t>。</w:t>
      </w:r>
    </w:p>
    <w:p w:rsidR="00000000" w:rsidRDefault="00844A84">
      <w:pPr>
        <w:pStyle w:val="Heading4"/>
        <w:ind w:left="510"/>
        <w:rPr>
          <w:rFonts w:hint="eastAsia"/>
          <w:lang w:val="en-GB"/>
        </w:rPr>
      </w:pPr>
      <w:r>
        <w:rPr>
          <w:rFonts w:hint="eastAsia"/>
          <w:lang w:val="en-GB"/>
        </w:rPr>
        <w:t>主要方案目标</w:t>
      </w:r>
    </w:p>
    <w:p w:rsidR="00000000" w:rsidRDefault="00844A84">
      <w:pPr>
        <w:ind w:firstLine="510"/>
        <w:rPr>
          <w:rFonts w:hint="eastAsia"/>
          <w:snapToGrid/>
          <w:lang w:val="en-GB"/>
        </w:rPr>
      </w:pPr>
      <w:r>
        <w:rPr>
          <w:snapToGrid/>
          <w:lang w:val="en-GB"/>
        </w:rPr>
        <w:t>6</w:t>
      </w:r>
      <w:r>
        <w:rPr>
          <w:rFonts w:hint="eastAsia"/>
          <w:snapToGrid/>
          <w:lang w:val="en-GB"/>
        </w:rPr>
        <w:t>56.</w:t>
      </w:r>
      <w:r>
        <w:t xml:space="preserve">  </w:t>
      </w:r>
      <w:r>
        <w:rPr>
          <w:rFonts w:hint="eastAsia"/>
          <w:snapToGrid/>
          <w:lang w:val="en-GB"/>
        </w:rPr>
        <w:t>黑山的计划旨在将婴儿死亡率下降到千分之十三以下。评估实现这一目标的进展指标是婴儿死亡率</w:t>
      </w:r>
      <w:r>
        <w:rPr>
          <w:rFonts w:hint="eastAsia"/>
          <w:snapToGrid/>
          <w:lang w:val="en-GB"/>
        </w:rPr>
        <w:t>(</w:t>
      </w:r>
      <w:r>
        <w:rPr>
          <w:rFonts w:hint="eastAsia"/>
          <w:snapToGrid/>
          <w:lang w:val="en-GB"/>
        </w:rPr>
        <w:t>每</w:t>
      </w:r>
      <w:r>
        <w:rPr>
          <w:snapToGrid/>
          <w:lang w:val="en-GB"/>
        </w:rPr>
        <w:t>1,000</w:t>
      </w:r>
      <w:r>
        <w:rPr>
          <w:rFonts w:hint="eastAsia"/>
          <w:snapToGrid/>
          <w:lang w:val="en-GB"/>
        </w:rPr>
        <w:t>名</w:t>
      </w:r>
      <w:r>
        <w:rPr>
          <w:snapToGrid/>
          <w:lang w:val="en-GB"/>
        </w:rPr>
        <w:t>活产婴儿</w:t>
      </w:r>
      <w:r>
        <w:rPr>
          <w:rFonts w:hint="eastAsia"/>
          <w:snapToGrid/>
          <w:lang w:val="en-GB"/>
        </w:rPr>
        <w:t>的</w:t>
      </w:r>
      <w:r>
        <w:rPr>
          <w:snapToGrid/>
          <w:lang w:val="en-GB"/>
        </w:rPr>
        <w:t>死亡人数</w:t>
      </w:r>
      <w:r>
        <w:rPr>
          <w:snapToGrid/>
          <w:lang w:val="en-GB"/>
        </w:rPr>
        <w:t>)</w:t>
      </w:r>
      <w:r>
        <w:rPr>
          <w:snapToGrid/>
          <w:lang w:val="en-GB"/>
        </w:rPr>
        <w:t>、新生儿死亡率</w:t>
      </w:r>
      <w:r>
        <w:rPr>
          <w:snapToGrid/>
          <w:lang w:val="en-GB"/>
        </w:rPr>
        <w:t>(</w:t>
      </w:r>
      <w:r>
        <w:rPr>
          <w:snapToGrid/>
          <w:lang w:val="en-GB"/>
        </w:rPr>
        <w:t>每</w:t>
      </w:r>
      <w:r>
        <w:rPr>
          <w:snapToGrid/>
          <w:lang w:val="en-GB"/>
        </w:rPr>
        <w:t>1,000</w:t>
      </w:r>
      <w:r>
        <w:rPr>
          <w:rFonts w:hint="eastAsia"/>
          <w:snapToGrid/>
          <w:lang w:val="en-GB"/>
        </w:rPr>
        <w:t>名</w:t>
      </w:r>
      <w:r>
        <w:rPr>
          <w:snapToGrid/>
          <w:lang w:val="en-GB"/>
        </w:rPr>
        <w:t>活产婴儿在</w:t>
      </w:r>
      <w:r>
        <w:rPr>
          <w:rFonts w:hint="eastAsia"/>
          <w:snapToGrid/>
          <w:lang w:val="en-GB"/>
        </w:rPr>
        <w:t>存活</w:t>
      </w:r>
      <w:r>
        <w:rPr>
          <w:snapToGrid/>
          <w:lang w:val="en-GB"/>
        </w:rPr>
        <w:t>28</w:t>
      </w:r>
      <w:r>
        <w:rPr>
          <w:rFonts w:hint="eastAsia"/>
          <w:snapToGrid/>
          <w:lang w:val="en-GB"/>
        </w:rPr>
        <w:t>天</w:t>
      </w:r>
      <w:r>
        <w:rPr>
          <w:snapToGrid/>
          <w:lang w:val="en-GB"/>
        </w:rPr>
        <w:t>前死亡的人数</w:t>
      </w:r>
      <w:r>
        <w:rPr>
          <w:snapToGrid/>
          <w:lang w:val="en-GB"/>
        </w:rPr>
        <w:t>)</w:t>
      </w:r>
      <w:r>
        <w:rPr>
          <w:snapToGrid/>
          <w:lang w:val="en-GB"/>
        </w:rPr>
        <w:t>、新生</w:t>
      </w:r>
      <w:r>
        <w:rPr>
          <w:rFonts w:hint="eastAsia"/>
          <w:snapToGrid/>
          <w:lang w:val="en-GB"/>
        </w:rPr>
        <w:t>期后</w:t>
      </w:r>
      <w:r>
        <w:rPr>
          <w:snapToGrid/>
          <w:lang w:val="en-GB"/>
        </w:rPr>
        <w:t>婴儿死亡率</w:t>
      </w:r>
      <w:r>
        <w:rPr>
          <w:snapToGrid/>
          <w:lang w:val="en-GB"/>
        </w:rPr>
        <w:t>(</w:t>
      </w:r>
      <w:r>
        <w:rPr>
          <w:snapToGrid/>
          <w:lang w:val="en-GB"/>
        </w:rPr>
        <w:t>每</w:t>
      </w:r>
      <w:r>
        <w:rPr>
          <w:snapToGrid/>
          <w:lang w:val="en-GB"/>
        </w:rPr>
        <w:t>1,000</w:t>
      </w:r>
      <w:r>
        <w:rPr>
          <w:rFonts w:hint="eastAsia"/>
          <w:snapToGrid/>
          <w:lang w:val="en-GB"/>
        </w:rPr>
        <w:t>名</w:t>
      </w:r>
      <w:r>
        <w:rPr>
          <w:snapToGrid/>
          <w:lang w:val="en-GB"/>
        </w:rPr>
        <w:t>活产婴儿在存活第</w:t>
      </w:r>
      <w:r>
        <w:rPr>
          <w:snapToGrid/>
          <w:lang w:val="en-GB"/>
        </w:rPr>
        <w:t>29</w:t>
      </w:r>
      <w:r>
        <w:rPr>
          <w:snapToGrid/>
          <w:lang w:val="en-GB"/>
        </w:rPr>
        <w:t>天到第一个生日期间死亡的人数</w:t>
      </w:r>
      <w:r>
        <w:rPr>
          <w:snapToGrid/>
          <w:lang w:val="en-GB"/>
        </w:rPr>
        <w:t>)</w:t>
      </w:r>
      <w:r>
        <w:rPr>
          <w:snapToGrid/>
          <w:lang w:val="en-GB"/>
        </w:rPr>
        <w:t>，以及婴儿</w:t>
      </w:r>
      <w:r>
        <w:rPr>
          <w:rFonts w:hint="eastAsia"/>
          <w:snapToGrid/>
          <w:lang w:val="en-GB"/>
        </w:rPr>
        <w:t>总</w:t>
      </w:r>
      <w:r>
        <w:rPr>
          <w:snapToGrid/>
          <w:lang w:val="en-GB"/>
        </w:rPr>
        <w:t>死亡率。</w:t>
      </w:r>
    </w:p>
    <w:p w:rsidR="00000000" w:rsidRDefault="00844A84">
      <w:pPr>
        <w:ind w:firstLine="510"/>
        <w:rPr>
          <w:rFonts w:hint="eastAsia"/>
          <w:snapToGrid/>
          <w:lang w:val="en-GB"/>
        </w:rPr>
      </w:pPr>
      <w:r>
        <w:rPr>
          <w:rFonts w:hint="eastAsia"/>
          <w:snapToGrid/>
          <w:lang w:val="en-GB"/>
        </w:rPr>
        <w:t>657.</w:t>
      </w:r>
      <w:r>
        <w:t xml:space="preserve">  </w:t>
      </w:r>
      <w:r>
        <w:rPr>
          <w:rFonts w:hint="eastAsia"/>
          <w:snapToGrid/>
          <w:lang w:val="en-GB"/>
        </w:rPr>
        <w:t>该计划还力图将出生时体重不足的婴儿人数下降到</w:t>
      </w:r>
      <w:r>
        <w:rPr>
          <w:rFonts w:hint="eastAsia"/>
          <w:snapToGrid/>
          <w:lang w:val="en-GB"/>
        </w:rPr>
        <w:t>10</w:t>
      </w:r>
      <w:r>
        <w:rPr>
          <w:snapToGrid/>
          <w:lang w:val="en-GB"/>
        </w:rPr>
        <w:t>%</w:t>
      </w:r>
      <w:r>
        <w:rPr>
          <w:snapToGrid/>
          <w:lang w:val="en-GB"/>
        </w:rPr>
        <w:t>以</w:t>
      </w:r>
      <w:r>
        <w:rPr>
          <w:rFonts w:hint="eastAsia"/>
          <w:snapToGrid/>
          <w:lang w:val="en-GB"/>
        </w:rPr>
        <w:t>下</w:t>
      </w:r>
      <w:r>
        <w:rPr>
          <w:snapToGrid/>
          <w:lang w:val="en-GB"/>
        </w:rPr>
        <w:t>。监测实现这项目标的指标是体重不足</w:t>
      </w:r>
      <w:r>
        <w:rPr>
          <w:snapToGrid/>
          <w:lang w:val="en-GB"/>
        </w:rPr>
        <w:t>2,500</w:t>
      </w:r>
      <w:r>
        <w:rPr>
          <w:snapToGrid/>
          <w:lang w:val="en-GB"/>
        </w:rPr>
        <w:t>克婴儿的百分比。</w:t>
      </w:r>
    </w:p>
    <w:p w:rsidR="00000000" w:rsidRDefault="00844A84">
      <w:pPr>
        <w:ind w:firstLine="510"/>
        <w:rPr>
          <w:rFonts w:hint="eastAsia"/>
          <w:snapToGrid/>
          <w:lang w:val="en-GB"/>
        </w:rPr>
      </w:pPr>
      <w:r>
        <w:rPr>
          <w:rFonts w:hint="eastAsia"/>
          <w:snapToGrid/>
          <w:lang w:val="en-GB"/>
        </w:rPr>
        <w:t>658.</w:t>
      </w:r>
      <w:r>
        <w:t xml:space="preserve">  </w:t>
      </w:r>
      <w:r>
        <w:rPr>
          <w:rFonts w:hint="eastAsia"/>
          <w:snapToGrid/>
          <w:lang w:val="en-GB"/>
        </w:rPr>
        <w:t>另一项目标是继续实施有利于婴儿的方案，其目标是鼓励妇女以母乳育婴，并对她们进行健康食品对儿童发育重要性的教育。鉴于这一目标，尚未实施这一方案的医院有义务在</w:t>
      </w:r>
      <w:r>
        <w:rPr>
          <w:snapToGrid/>
          <w:lang w:val="en-GB"/>
        </w:rPr>
        <w:t>2001</w:t>
      </w:r>
      <w:r>
        <w:rPr>
          <w:snapToGrid/>
          <w:lang w:val="en-GB"/>
        </w:rPr>
        <w:t>年期间强制实施这项方案。</w:t>
      </w:r>
    </w:p>
    <w:p w:rsidR="00000000" w:rsidRDefault="00844A84">
      <w:pPr>
        <w:ind w:firstLine="510"/>
        <w:rPr>
          <w:rFonts w:hint="eastAsia"/>
          <w:snapToGrid/>
          <w:lang w:val="en-GB"/>
        </w:rPr>
      </w:pPr>
      <w:r>
        <w:rPr>
          <w:rFonts w:hint="eastAsia"/>
          <w:snapToGrid/>
          <w:lang w:val="en-GB"/>
        </w:rPr>
        <w:t>659.</w:t>
      </w:r>
      <w:r>
        <w:t xml:space="preserve">  </w:t>
      </w:r>
      <w:r>
        <w:rPr>
          <w:rFonts w:hint="eastAsia"/>
          <w:snapToGrid/>
          <w:lang w:val="en-GB"/>
        </w:rPr>
        <w:t>另一些目标是降低五</w:t>
      </w:r>
      <w:r>
        <w:rPr>
          <w:rFonts w:hint="eastAsia"/>
          <w:snapToGrid/>
          <w:lang w:val="en-GB"/>
        </w:rPr>
        <w:t>岁以下儿童死亡率</w:t>
      </w:r>
      <w:r>
        <w:rPr>
          <w:rFonts w:hint="eastAsia"/>
          <w:snapToGrid/>
          <w:lang w:val="en-GB"/>
        </w:rPr>
        <w:t>(</w:t>
      </w:r>
      <w:r>
        <w:rPr>
          <w:rFonts w:hint="eastAsia"/>
          <w:snapToGrid/>
          <w:lang w:val="en-GB"/>
        </w:rPr>
        <w:t>比以前的死亡率降低</w:t>
      </w:r>
      <w:r>
        <w:rPr>
          <w:snapToGrid/>
          <w:lang w:val="en-GB"/>
        </w:rPr>
        <w:t>15%)</w:t>
      </w:r>
      <w:r>
        <w:rPr>
          <w:snapToGrid/>
          <w:lang w:val="en-GB"/>
        </w:rPr>
        <w:t>，将因</w:t>
      </w:r>
      <w:r>
        <w:rPr>
          <w:rFonts w:hint="eastAsia"/>
          <w:snapToGrid/>
          <w:lang w:val="en-GB"/>
        </w:rPr>
        <w:t>急性</w:t>
      </w:r>
      <w:r>
        <w:rPr>
          <w:snapToGrid/>
          <w:lang w:val="en-GB"/>
        </w:rPr>
        <w:t>呼吸道感染而死亡的人数减少</w:t>
      </w:r>
      <w:r>
        <w:rPr>
          <w:rFonts w:hint="eastAsia"/>
          <w:snapToGrid/>
          <w:lang w:val="en-GB"/>
        </w:rPr>
        <w:t>三分之一</w:t>
      </w:r>
      <w:r>
        <w:rPr>
          <w:snapToGrid/>
          <w:lang w:val="en-GB"/>
        </w:rPr>
        <w:t>，将因</w:t>
      </w:r>
      <w:r>
        <w:rPr>
          <w:rFonts w:hint="eastAsia"/>
          <w:snapToGrid/>
          <w:lang w:val="en-GB"/>
        </w:rPr>
        <w:t>腹泻</w:t>
      </w:r>
      <w:r>
        <w:rPr>
          <w:snapToGrid/>
          <w:lang w:val="en-GB"/>
        </w:rPr>
        <w:t>死亡的人数减少</w:t>
      </w:r>
      <w:r>
        <w:rPr>
          <w:snapToGrid/>
          <w:lang w:val="en-GB"/>
        </w:rPr>
        <w:t>50%</w:t>
      </w:r>
      <w:r>
        <w:rPr>
          <w:snapToGrid/>
          <w:lang w:val="en-GB"/>
        </w:rPr>
        <w:t>，</w:t>
      </w:r>
      <w:r>
        <w:rPr>
          <w:rFonts w:hint="eastAsia"/>
          <w:snapToGrid/>
          <w:lang w:val="en-GB"/>
        </w:rPr>
        <w:t>并</w:t>
      </w:r>
      <w:r>
        <w:rPr>
          <w:snapToGrid/>
          <w:lang w:val="en-GB"/>
        </w:rPr>
        <w:t>将患痢疾的儿童人数减少</w:t>
      </w:r>
      <w:r>
        <w:rPr>
          <w:snapToGrid/>
          <w:lang w:val="en-GB"/>
        </w:rPr>
        <w:t>25%</w:t>
      </w:r>
      <w:r>
        <w:rPr>
          <w:snapToGrid/>
          <w:lang w:val="en-GB"/>
        </w:rPr>
        <w:t>。</w:t>
      </w:r>
    </w:p>
    <w:p w:rsidR="00000000" w:rsidRDefault="00844A84">
      <w:pPr>
        <w:ind w:firstLine="510"/>
        <w:rPr>
          <w:rFonts w:hint="eastAsia"/>
          <w:snapToGrid/>
          <w:lang w:val="en-GB"/>
        </w:rPr>
      </w:pPr>
      <w:r>
        <w:rPr>
          <w:snapToGrid/>
          <w:lang w:val="en-GB"/>
        </w:rPr>
        <w:t>660.</w:t>
      </w:r>
      <w:r>
        <w:t xml:space="preserve">  </w:t>
      </w:r>
      <w:r>
        <w:rPr>
          <w:snapToGrid/>
          <w:lang w:val="en-GB"/>
        </w:rPr>
        <w:t>按传染病强制免疫接种方案规定，儿童免疫接种必须包括农村地区</w:t>
      </w:r>
      <w:r>
        <w:rPr>
          <w:snapToGrid/>
          <w:lang w:val="en-GB"/>
        </w:rPr>
        <w:t>95%</w:t>
      </w:r>
      <w:r>
        <w:rPr>
          <w:snapToGrid/>
          <w:lang w:val="en-GB"/>
        </w:rPr>
        <w:t>的婴儿</w:t>
      </w:r>
      <w:r>
        <w:rPr>
          <w:rFonts w:hint="eastAsia"/>
          <w:snapToGrid/>
          <w:lang w:val="en-GB"/>
        </w:rPr>
        <w:t>，并</w:t>
      </w:r>
      <w:r>
        <w:rPr>
          <w:snapToGrid/>
          <w:lang w:val="en-GB"/>
        </w:rPr>
        <w:t>至少包括黑山全国</w:t>
      </w:r>
      <w:r>
        <w:rPr>
          <w:snapToGrid/>
          <w:lang w:val="en-GB"/>
        </w:rPr>
        <w:t>90%</w:t>
      </w:r>
      <w:r>
        <w:rPr>
          <w:snapToGrid/>
          <w:lang w:val="en-GB"/>
        </w:rPr>
        <w:t>的婴儿。</w:t>
      </w:r>
      <w:r>
        <w:rPr>
          <w:rFonts w:hint="eastAsia"/>
          <w:snapToGrid/>
          <w:lang w:val="en-GB"/>
        </w:rPr>
        <w:t>总的</w:t>
      </w:r>
      <w:r>
        <w:rPr>
          <w:snapToGrid/>
          <w:lang w:val="en-GB"/>
        </w:rPr>
        <w:t>目标是在</w:t>
      </w:r>
      <w:r>
        <w:rPr>
          <w:snapToGrid/>
          <w:lang w:val="en-GB"/>
        </w:rPr>
        <w:t>2001</w:t>
      </w:r>
      <w:r>
        <w:rPr>
          <w:snapToGrid/>
          <w:lang w:val="en-GB"/>
        </w:rPr>
        <w:t>年年底前消灭</w:t>
      </w:r>
      <w:r>
        <w:rPr>
          <w:rFonts w:hint="eastAsia"/>
          <w:snapToGrid/>
          <w:lang w:val="en-GB"/>
        </w:rPr>
        <w:t>小儿麻痹症</w:t>
      </w:r>
      <w:r>
        <w:rPr>
          <w:snapToGrid/>
          <w:lang w:val="en-GB"/>
        </w:rPr>
        <w:t>，将</w:t>
      </w:r>
      <w:r>
        <w:rPr>
          <w:rFonts w:hint="eastAsia"/>
          <w:snapToGrid/>
          <w:lang w:val="en-GB"/>
        </w:rPr>
        <w:t>麻疹</w:t>
      </w:r>
      <w:r>
        <w:rPr>
          <w:snapToGrid/>
          <w:lang w:val="en-GB"/>
        </w:rPr>
        <w:t>患者减少</w:t>
      </w:r>
      <w:r>
        <w:rPr>
          <w:snapToGrid/>
          <w:lang w:val="en-GB"/>
        </w:rPr>
        <w:t>90%</w:t>
      </w:r>
      <w:r>
        <w:rPr>
          <w:snapToGrid/>
          <w:lang w:val="en-GB"/>
        </w:rPr>
        <w:t>，并将</w:t>
      </w:r>
      <w:r>
        <w:rPr>
          <w:rFonts w:hint="eastAsia"/>
          <w:snapToGrid/>
          <w:lang w:val="en-GB"/>
        </w:rPr>
        <w:t>因麻疹</w:t>
      </w:r>
      <w:r>
        <w:rPr>
          <w:snapToGrid/>
          <w:lang w:val="en-GB"/>
        </w:rPr>
        <w:t>死亡</w:t>
      </w:r>
      <w:r>
        <w:rPr>
          <w:rFonts w:hint="eastAsia"/>
          <w:snapToGrid/>
          <w:lang w:val="en-GB"/>
        </w:rPr>
        <w:t>的</w:t>
      </w:r>
      <w:r>
        <w:rPr>
          <w:snapToGrid/>
          <w:lang w:val="en-GB"/>
        </w:rPr>
        <w:t>人数减少</w:t>
      </w:r>
      <w:r>
        <w:rPr>
          <w:snapToGrid/>
          <w:lang w:val="en-GB"/>
        </w:rPr>
        <w:t>95%</w:t>
      </w:r>
      <w:r>
        <w:rPr>
          <w:snapToGrid/>
          <w:lang w:val="en-GB"/>
        </w:rPr>
        <w:t>。</w:t>
      </w:r>
    </w:p>
    <w:p w:rsidR="00000000" w:rsidRDefault="00844A84">
      <w:pPr>
        <w:ind w:firstLine="510"/>
        <w:rPr>
          <w:rFonts w:hint="eastAsia"/>
          <w:snapToGrid/>
          <w:lang w:val="en-GB"/>
        </w:rPr>
      </w:pPr>
      <w:r>
        <w:rPr>
          <w:rFonts w:hint="eastAsia"/>
          <w:snapToGrid/>
          <w:lang w:val="en-GB"/>
        </w:rPr>
        <w:t>661.</w:t>
      </w:r>
      <w:r>
        <w:t xml:space="preserve">  </w:t>
      </w:r>
      <w:r>
        <w:rPr>
          <w:rFonts w:hint="eastAsia"/>
          <w:snapToGrid/>
          <w:lang w:val="en-GB"/>
        </w:rPr>
        <w:t>其他目标是减少五岁以下儿童感染急性呼吸道疾病和痢疾的发生率，并防止因缺乏化学物质</w:t>
      </w:r>
      <w:r>
        <w:rPr>
          <w:rFonts w:hint="eastAsia"/>
          <w:snapToGrid/>
          <w:lang w:val="en-GB"/>
        </w:rPr>
        <w:t>(</w:t>
      </w:r>
      <w:r>
        <w:rPr>
          <w:rFonts w:hint="eastAsia"/>
          <w:snapToGrid/>
          <w:lang w:val="en-GB"/>
        </w:rPr>
        <w:t>碘、维生素</w:t>
      </w:r>
      <w:r>
        <w:rPr>
          <w:rFonts w:hint="eastAsia"/>
          <w:snapToGrid/>
          <w:lang w:val="en-GB"/>
        </w:rPr>
        <w:t>A</w:t>
      </w:r>
      <w:r>
        <w:rPr>
          <w:rFonts w:hint="eastAsia"/>
          <w:snapToGrid/>
          <w:lang w:val="en-GB"/>
        </w:rPr>
        <w:t>和</w:t>
      </w:r>
      <w:r>
        <w:rPr>
          <w:rFonts w:hint="eastAsia"/>
          <w:snapToGrid/>
          <w:lang w:val="en-GB"/>
        </w:rPr>
        <w:t>D</w:t>
      </w:r>
      <w:r>
        <w:rPr>
          <w:rFonts w:hint="eastAsia"/>
          <w:snapToGrid/>
          <w:lang w:val="en-GB"/>
        </w:rPr>
        <w:t>及血清铁</w:t>
      </w:r>
      <w:r>
        <w:rPr>
          <w:rFonts w:hint="eastAsia"/>
          <w:snapToGrid/>
          <w:lang w:val="en-GB"/>
        </w:rPr>
        <w:t>)</w:t>
      </w:r>
      <w:r>
        <w:rPr>
          <w:rFonts w:hint="eastAsia"/>
          <w:snapToGrid/>
          <w:lang w:val="en-GB"/>
        </w:rPr>
        <w:t>而造成的疾病。</w:t>
      </w:r>
    </w:p>
    <w:p w:rsidR="00000000" w:rsidRDefault="00844A84">
      <w:pPr>
        <w:ind w:firstLine="510"/>
        <w:rPr>
          <w:rFonts w:hint="eastAsia"/>
          <w:snapToGrid/>
          <w:lang w:val="en-GB"/>
        </w:rPr>
      </w:pPr>
      <w:r>
        <w:rPr>
          <w:rFonts w:hint="eastAsia"/>
          <w:snapToGrid/>
          <w:lang w:val="en-GB"/>
        </w:rPr>
        <w:t>662</w:t>
      </w:r>
      <w:r>
        <w:rPr>
          <w:rFonts w:hint="eastAsia"/>
          <w:snapToGrid/>
          <w:lang w:val="en-GB"/>
        </w:rPr>
        <w:t>.</w:t>
      </w:r>
      <w:r>
        <w:t xml:space="preserve">  </w:t>
      </w:r>
      <w:r>
        <w:rPr>
          <w:rFonts w:hint="eastAsia"/>
          <w:snapToGrid/>
          <w:lang w:val="en-GB"/>
        </w:rPr>
        <w:t>我国人口牙科保健工作的组成部分是减少环流性龋齿，使</w:t>
      </w:r>
      <w:r>
        <w:rPr>
          <w:rFonts w:hint="eastAsia"/>
          <w:snapToGrid/>
          <w:lang w:val="en-GB"/>
        </w:rPr>
        <w:t>70%</w:t>
      </w:r>
      <w:r>
        <w:rPr>
          <w:rFonts w:hint="eastAsia"/>
          <w:snapToGrid/>
          <w:lang w:val="en-GB"/>
        </w:rPr>
        <w:t>的</w:t>
      </w:r>
      <w:r>
        <w:rPr>
          <w:rFonts w:hint="eastAsia"/>
          <w:snapToGrid/>
          <w:lang w:val="en-GB"/>
        </w:rPr>
        <w:t>3</w:t>
      </w:r>
      <w:r>
        <w:rPr>
          <w:rFonts w:hint="eastAsia"/>
          <w:snapToGrid/>
          <w:lang w:val="en-GB"/>
        </w:rPr>
        <w:t>岁儿童和</w:t>
      </w:r>
      <w:r>
        <w:rPr>
          <w:rFonts w:hint="eastAsia"/>
          <w:snapToGrid/>
          <w:lang w:val="en-GB"/>
        </w:rPr>
        <w:t>50%</w:t>
      </w:r>
      <w:r>
        <w:rPr>
          <w:rFonts w:hint="eastAsia"/>
          <w:snapToGrid/>
          <w:lang w:val="en-GB"/>
        </w:rPr>
        <w:t>的</w:t>
      </w:r>
      <w:r>
        <w:rPr>
          <w:rFonts w:hint="eastAsia"/>
          <w:snapToGrid/>
          <w:lang w:val="en-GB"/>
        </w:rPr>
        <w:t>6</w:t>
      </w:r>
      <w:r>
        <w:rPr>
          <w:rFonts w:hint="eastAsia"/>
          <w:snapToGrid/>
          <w:lang w:val="en-GB"/>
        </w:rPr>
        <w:t>岁儿童拥有健康的牙齿。</w:t>
      </w:r>
    </w:p>
    <w:p w:rsidR="00000000" w:rsidRDefault="00844A84">
      <w:pPr>
        <w:ind w:firstLine="510"/>
        <w:rPr>
          <w:rFonts w:hint="eastAsia"/>
          <w:snapToGrid/>
          <w:lang w:val="en-GB"/>
        </w:rPr>
      </w:pPr>
      <w:r>
        <w:rPr>
          <w:rFonts w:hint="eastAsia"/>
          <w:snapToGrid/>
          <w:lang w:val="en-GB"/>
        </w:rPr>
        <w:t>663.</w:t>
      </w:r>
      <w:r>
        <w:t xml:space="preserve">  </w:t>
      </w:r>
      <w:r>
        <w:rPr>
          <w:rFonts w:hint="eastAsia"/>
          <w:snapToGrid/>
          <w:lang w:val="en-GB"/>
        </w:rPr>
        <w:t>这项方案旨在确保以人口增长图表的形式，不断监测我国人口增长和发展情况，使之成为健康纪录的组成部分。这将使保健工作者和母亲能定期监测儿童的成长和发育情况。</w:t>
      </w:r>
    </w:p>
    <w:p w:rsidR="00000000" w:rsidRDefault="00844A84">
      <w:pPr>
        <w:spacing w:after="320"/>
        <w:ind w:firstLine="510"/>
        <w:rPr>
          <w:rFonts w:hint="eastAsia"/>
          <w:snapToGrid/>
          <w:lang w:val="en-GB"/>
        </w:rPr>
      </w:pPr>
      <w:r>
        <w:rPr>
          <w:rFonts w:hint="eastAsia"/>
          <w:snapToGrid/>
          <w:lang w:val="en-GB"/>
        </w:rPr>
        <w:t>664.</w:t>
      </w:r>
      <w:r>
        <w:t xml:space="preserve">  </w:t>
      </w:r>
      <w:r>
        <w:rPr>
          <w:rFonts w:hint="eastAsia"/>
          <w:snapToGrid/>
          <w:lang w:val="en-GB"/>
        </w:rPr>
        <w:t>最后，为了监测处境危险的儿童和残疾儿童的发展情况，必须组织和不断扩大咨询中心网络组织，确保处境困难儿童的保健工作，并消除导致出现这种处境的主要原因。</w:t>
      </w:r>
    </w:p>
    <w:p w:rsidR="00000000" w:rsidRDefault="00844A84">
      <w:pPr>
        <w:pStyle w:val="Heading4"/>
        <w:ind w:left="510"/>
        <w:rPr>
          <w:rFonts w:hint="eastAsia"/>
          <w:lang w:val="en-GB"/>
        </w:rPr>
      </w:pPr>
      <w:r>
        <w:rPr>
          <w:rFonts w:hint="eastAsia"/>
          <w:lang w:val="en-GB"/>
        </w:rPr>
        <w:t>实现这些目标的措施</w:t>
      </w:r>
    </w:p>
    <w:p w:rsidR="00000000" w:rsidRDefault="00844A84">
      <w:pPr>
        <w:ind w:firstLine="510"/>
        <w:rPr>
          <w:rFonts w:hint="eastAsia"/>
          <w:snapToGrid/>
          <w:lang w:val="en-GB"/>
        </w:rPr>
      </w:pPr>
      <w:r>
        <w:rPr>
          <w:rFonts w:hint="eastAsia"/>
          <w:snapToGrid/>
          <w:lang w:val="en-GB"/>
        </w:rPr>
        <w:t>665.</w:t>
      </w:r>
      <w:r>
        <w:t xml:space="preserve">  </w:t>
      </w:r>
      <w:r>
        <w:rPr>
          <w:rFonts w:hint="eastAsia"/>
          <w:snapToGrid/>
          <w:lang w:val="en-GB"/>
        </w:rPr>
        <w:t>实现这些目标的基本措施是健康教育，包括有组织</w:t>
      </w:r>
      <w:r>
        <w:rPr>
          <w:rFonts w:hint="eastAsia"/>
          <w:snapToGrid/>
          <w:lang w:val="en-GB"/>
        </w:rPr>
        <w:t>和有系统地教育家长、儿童和教育机构工作人员，保护和改善最年幼者的健康。这些措施已在家庭、保健机构、学前机构和其他地方得到实施。</w:t>
      </w:r>
    </w:p>
    <w:p w:rsidR="00000000" w:rsidRDefault="00844A84">
      <w:pPr>
        <w:ind w:firstLine="510"/>
        <w:rPr>
          <w:rFonts w:hint="eastAsia"/>
          <w:snapToGrid/>
          <w:lang w:val="en-GB"/>
        </w:rPr>
      </w:pPr>
      <w:r>
        <w:rPr>
          <w:rFonts w:hint="eastAsia"/>
          <w:snapToGrid/>
          <w:lang w:val="en-GB"/>
        </w:rPr>
        <w:t>666.</w:t>
      </w:r>
      <w:r>
        <w:t xml:space="preserve">  </w:t>
      </w:r>
      <w:r>
        <w:rPr>
          <w:rFonts w:hint="eastAsia"/>
          <w:snapToGrid/>
          <w:lang w:val="en-GB"/>
        </w:rPr>
        <w:t>至关重要的是必须通过对每起死亡案例进行专业分析，必要时还分析法医调查结果，以此监测婴儿死亡率。另一个关键是定期进行体格检查，用以监测成长、发育、营养和健康状况，并及早查出刚出生、出生后第</w:t>
      </w:r>
      <w:r>
        <w:rPr>
          <w:rFonts w:hint="eastAsia"/>
          <w:snapToGrid/>
          <w:lang w:val="en-GB"/>
        </w:rPr>
        <w:t>3</w:t>
      </w:r>
      <w:r>
        <w:rPr>
          <w:rFonts w:hint="eastAsia"/>
          <w:snapToGrid/>
          <w:lang w:val="en-GB"/>
        </w:rPr>
        <w:t>、第</w:t>
      </w:r>
      <w:r>
        <w:rPr>
          <w:rFonts w:hint="eastAsia"/>
          <w:snapToGrid/>
          <w:lang w:val="en-GB"/>
        </w:rPr>
        <w:t>6</w:t>
      </w:r>
      <w:r>
        <w:rPr>
          <w:rFonts w:hint="eastAsia"/>
          <w:snapToGrid/>
          <w:lang w:val="en-GB"/>
        </w:rPr>
        <w:t>、第</w:t>
      </w:r>
      <w:r>
        <w:rPr>
          <w:snapToGrid/>
          <w:lang w:val="en-GB"/>
        </w:rPr>
        <w:t>9</w:t>
      </w:r>
      <w:r>
        <w:rPr>
          <w:snapToGrid/>
          <w:lang w:val="en-GB"/>
        </w:rPr>
        <w:t>和第</w:t>
      </w:r>
      <w:r>
        <w:rPr>
          <w:snapToGrid/>
          <w:lang w:val="en-GB"/>
        </w:rPr>
        <w:t>12</w:t>
      </w:r>
      <w:r>
        <w:rPr>
          <w:snapToGrid/>
          <w:lang w:val="en-GB"/>
        </w:rPr>
        <w:t>个的婴儿以及</w:t>
      </w:r>
      <w:r>
        <w:rPr>
          <w:rFonts w:hint="eastAsia"/>
          <w:snapToGrid/>
          <w:lang w:val="en-GB"/>
        </w:rPr>
        <w:t>两岁</w:t>
      </w:r>
      <w:r>
        <w:rPr>
          <w:snapToGrid/>
          <w:lang w:val="en-GB"/>
        </w:rPr>
        <w:t>、</w:t>
      </w:r>
      <w:r>
        <w:rPr>
          <w:snapToGrid/>
          <w:lang w:val="en-GB"/>
        </w:rPr>
        <w:t>4</w:t>
      </w:r>
      <w:r>
        <w:rPr>
          <w:rFonts w:hint="eastAsia"/>
          <w:snapToGrid/>
          <w:lang w:val="en-GB"/>
        </w:rPr>
        <w:t>岁和</w:t>
      </w:r>
      <w:r>
        <w:rPr>
          <w:rFonts w:hint="eastAsia"/>
          <w:snapToGrid/>
          <w:lang w:val="en-GB"/>
        </w:rPr>
        <w:t>6</w:t>
      </w:r>
      <w:r>
        <w:rPr>
          <w:snapToGrid/>
          <w:lang w:val="en-GB"/>
        </w:rPr>
        <w:t>岁</w:t>
      </w:r>
      <w:r>
        <w:rPr>
          <w:rFonts w:hint="eastAsia"/>
          <w:snapToGrid/>
          <w:lang w:val="en-GB"/>
        </w:rPr>
        <w:t>儿童的健康问题。系统的体格检查涉及</w:t>
      </w:r>
      <w:r>
        <w:rPr>
          <w:snapToGrid/>
          <w:lang w:val="en-GB"/>
        </w:rPr>
        <w:t>98%</w:t>
      </w:r>
      <w:r>
        <w:rPr>
          <w:snapToGrid/>
          <w:lang w:val="en-GB"/>
        </w:rPr>
        <w:t>刚出生</w:t>
      </w:r>
      <w:r>
        <w:rPr>
          <w:rFonts w:hint="eastAsia"/>
          <w:snapToGrid/>
          <w:lang w:val="en-GB"/>
        </w:rPr>
        <w:t>的</w:t>
      </w:r>
      <w:r>
        <w:rPr>
          <w:snapToGrid/>
          <w:lang w:val="en-GB"/>
        </w:rPr>
        <w:t>婴儿，</w:t>
      </w:r>
      <w:r>
        <w:rPr>
          <w:snapToGrid/>
          <w:lang w:val="en-GB"/>
        </w:rPr>
        <w:t>92%</w:t>
      </w:r>
      <w:r>
        <w:rPr>
          <w:rFonts w:hint="eastAsia"/>
          <w:snapToGrid/>
          <w:lang w:val="en-GB"/>
        </w:rPr>
        <w:t>的两岁</w:t>
      </w:r>
      <w:r>
        <w:rPr>
          <w:snapToGrid/>
          <w:lang w:val="en-GB"/>
        </w:rPr>
        <w:t>和四岁儿童，以及至少</w:t>
      </w:r>
      <w:r>
        <w:rPr>
          <w:snapToGrid/>
          <w:lang w:val="en-GB"/>
        </w:rPr>
        <w:t>98%</w:t>
      </w:r>
      <w:r>
        <w:rPr>
          <w:snapToGrid/>
          <w:lang w:val="en-GB"/>
        </w:rPr>
        <w:t>开始上学前的儿童。</w:t>
      </w:r>
    </w:p>
    <w:p w:rsidR="00000000" w:rsidRDefault="00844A84">
      <w:pPr>
        <w:ind w:firstLine="510"/>
        <w:rPr>
          <w:rFonts w:hint="eastAsia"/>
          <w:snapToGrid/>
          <w:lang w:val="en-GB"/>
        </w:rPr>
      </w:pPr>
      <w:r>
        <w:rPr>
          <w:rFonts w:hint="eastAsia"/>
          <w:snapToGrid/>
          <w:lang w:val="en-GB"/>
        </w:rPr>
        <w:t>667.</w:t>
      </w:r>
      <w:r>
        <w:t xml:space="preserve">  </w:t>
      </w:r>
      <w:r>
        <w:rPr>
          <w:rFonts w:hint="eastAsia"/>
          <w:snapToGrid/>
          <w:lang w:val="en-GB"/>
        </w:rPr>
        <w:t>控制性体格检</w:t>
      </w:r>
      <w:r>
        <w:rPr>
          <w:rFonts w:hint="eastAsia"/>
          <w:snapToGrid/>
          <w:lang w:val="en-GB"/>
        </w:rPr>
        <w:t>查很有必要，出生后第一年至少应进行三次，在</w:t>
      </w:r>
      <w:r>
        <w:rPr>
          <w:rFonts w:hint="eastAsia"/>
          <w:snapToGrid/>
          <w:lang w:val="en-GB"/>
        </w:rPr>
        <w:t>3</w:t>
      </w:r>
      <w:r>
        <w:rPr>
          <w:rFonts w:hint="eastAsia"/>
          <w:snapToGrid/>
          <w:lang w:val="en-GB"/>
        </w:rPr>
        <w:t>岁和</w:t>
      </w:r>
      <w:r>
        <w:rPr>
          <w:rFonts w:hint="eastAsia"/>
          <w:snapToGrid/>
          <w:lang w:val="en-GB"/>
        </w:rPr>
        <w:t>5</w:t>
      </w:r>
      <w:r>
        <w:rPr>
          <w:rFonts w:hint="eastAsia"/>
          <w:snapToGrid/>
          <w:lang w:val="en-GB"/>
        </w:rPr>
        <w:t>岁时各进行一次，以便监测成长和发育情况，并在有系统的和其他的体格检查中深入了解环境卫生情况。应按规定的强制免疫接种方案进行免疫接种，以此作为有系统的控制性体格检查的组成部分。</w:t>
      </w:r>
    </w:p>
    <w:p w:rsidR="00000000" w:rsidRDefault="00844A84">
      <w:pPr>
        <w:ind w:firstLine="510"/>
        <w:rPr>
          <w:rFonts w:hint="eastAsia"/>
          <w:snapToGrid/>
          <w:lang w:val="en-GB"/>
        </w:rPr>
      </w:pPr>
      <w:r>
        <w:rPr>
          <w:rFonts w:hint="eastAsia"/>
          <w:snapToGrid/>
          <w:lang w:val="en-GB"/>
        </w:rPr>
        <w:t>668.</w:t>
      </w:r>
      <w:r>
        <w:t xml:space="preserve">  </w:t>
      </w:r>
      <w:r>
        <w:rPr>
          <w:rFonts w:hint="eastAsia"/>
          <w:snapToGrid/>
          <w:lang w:val="en-GB"/>
        </w:rPr>
        <w:t>必须对出生后</w:t>
      </w:r>
      <w:r>
        <w:rPr>
          <w:snapToGrid/>
          <w:lang w:val="en-GB"/>
        </w:rPr>
        <w:t>4</w:t>
      </w:r>
      <w:r>
        <w:rPr>
          <w:rFonts w:hint="eastAsia"/>
          <w:snapToGrid/>
          <w:lang w:val="en-GB"/>
        </w:rPr>
        <w:t>至</w:t>
      </w:r>
      <w:r>
        <w:rPr>
          <w:snapToGrid/>
          <w:lang w:val="en-GB"/>
        </w:rPr>
        <w:t>5</w:t>
      </w:r>
      <w:r>
        <w:rPr>
          <w:snapToGrid/>
          <w:lang w:val="en-GB"/>
        </w:rPr>
        <w:t>天</w:t>
      </w:r>
      <w:r>
        <w:rPr>
          <w:rFonts w:hint="eastAsia"/>
          <w:snapToGrid/>
          <w:lang w:val="en-GB"/>
        </w:rPr>
        <w:t>的所有儿童进行筛选检查，检查是否有新陈代谢异常</w:t>
      </w:r>
      <w:r>
        <w:rPr>
          <w:rFonts w:hint="eastAsia"/>
          <w:snapToGrid/>
          <w:lang w:val="en-GB"/>
        </w:rPr>
        <w:t>(</w:t>
      </w:r>
      <w:r>
        <w:rPr>
          <w:rFonts w:hint="eastAsia"/>
          <w:snapToGrid/>
          <w:lang w:val="en-GB"/>
        </w:rPr>
        <w:t>苯丙酮酸尿症和甲状腺机能减退</w:t>
      </w:r>
      <w:r>
        <w:rPr>
          <w:rFonts w:hint="eastAsia"/>
          <w:snapToGrid/>
          <w:lang w:val="en-GB"/>
        </w:rPr>
        <w:t>)</w:t>
      </w:r>
      <w:r>
        <w:rPr>
          <w:rFonts w:hint="eastAsia"/>
          <w:snapToGrid/>
          <w:lang w:val="en-GB"/>
        </w:rPr>
        <w:t>；在出生后两至三个月作临床和超声波检查，查明髋关节是否先天脱位；六个月后检查是否贫血；出生后第一年及上学前检查视力和听力；四至五岁时由语言纠正治疗专家检查是否有语言和发音障碍。</w:t>
      </w:r>
    </w:p>
    <w:p w:rsidR="00000000" w:rsidRDefault="00844A84">
      <w:pPr>
        <w:ind w:firstLine="510"/>
        <w:rPr>
          <w:rFonts w:hint="eastAsia"/>
          <w:snapToGrid/>
          <w:lang w:val="en-GB"/>
        </w:rPr>
      </w:pPr>
      <w:r>
        <w:rPr>
          <w:rFonts w:hint="eastAsia"/>
          <w:snapToGrid/>
          <w:lang w:val="en-GB"/>
        </w:rPr>
        <w:t>669.</w:t>
      </w:r>
      <w:r>
        <w:t xml:space="preserve">  </w:t>
      </w:r>
      <w:r>
        <w:rPr>
          <w:rFonts w:hint="eastAsia"/>
          <w:snapToGrid/>
          <w:lang w:val="en-GB"/>
        </w:rPr>
        <w:t>必须在发现缺陷后立即采取措施，通过治疗和康复程序，治疗查明的健康问题，并监测治疗效果。必须按照心理和生理发展障碍对儿童进行分类，防止出现严重并发症和后果。</w:t>
      </w:r>
    </w:p>
    <w:p w:rsidR="00000000" w:rsidRDefault="00844A84">
      <w:pPr>
        <w:ind w:firstLine="510"/>
        <w:rPr>
          <w:rFonts w:hint="eastAsia"/>
          <w:snapToGrid/>
          <w:lang w:val="en-GB"/>
        </w:rPr>
      </w:pPr>
      <w:r>
        <w:rPr>
          <w:rFonts w:hint="eastAsia"/>
          <w:snapToGrid/>
          <w:lang w:val="en-GB"/>
        </w:rPr>
        <w:t>670.</w:t>
      </w:r>
      <w:r>
        <w:t xml:space="preserve">  </w:t>
      </w:r>
      <w:r>
        <w:rPr>
          <w:rFonts w:hint="eastAsia"/>
          <w:snapToGrid/>
          <w:lang w:val="en-GB"/>
        </w:rPr>
        <w:t>通过有组织地实施现代预防措施，改善和保护口腔和牙齿健康。每三年进行一次系统的牙科检查。在牙科保健方面，</w:t>
      </w:r>
      <w:r>
        <w:rPr>
          <w:snapToGrid/>
          <w:lang w:val="en-GB"/>
        </w:rPr>
        <w:t>75%</w:t>
      </w:r>
      <w:r>
        <w:rPr>
          <w:snapToGrid/>
          <w:lang w:val="en-GB"/>
        </w:rPr>
        <w:t>的人获得</w:t>
      </w:r>
      <w:r>
        <w:rPr>
          <w:rFonts w:hint="eastAsia"/>
          <w:snapToGrid/>
          <w:lang w:val="en-GB"/>
        </w:rPr>
        <w:t>了</w:t>
      </w:r>
      <w:r>
        <w:rPr>
          <w:snapToGrid/>
          <w:lang w:val="en-GB"/>
        </w:rPr>
        <w:t>系统</w:t>
      </w:r>
      <w:r>
        <w:rPr>
          <w:rFonts w:hint="eastAsia"/>
          <w:snapToGrid/>
          <w:lang w:val="en-GB"/>
        </w:rPr>
        <w:t>的</w:t>
      </w:r>
      <w:r>
        <w:rPr>
          <w:snapToGrid/>
          <w:lang w:val="en-GB"/>
        </w:rPr>
        <w:t>检查，至少</w:t>
      </w:r>
      <w:r>
        <w:rPr>
          <w:rFonts w:hint="eastAsia"/>
          <w:snapToGrid/>
          <w:lang w:val="en-GB"/>
        </w:rPr>
        <w:t>对</w:t>
      </w:r>
      <w:r>
        <w:rPr>
          <w:snapToGrid/>
          <w:lang w:val="en-GB"/>
        </w:rPr>
        <w:t>40%</w:t>
      </w:r>
      <w:r>
        <w:rPr>
          <w:snapToGrid/>
          <w:lang w:val="en-GB"/>
        </w:rPr>
        <w:t>的</w:t>
      </w:r>
      <w:r>
        <w:rPr>
          <w:rFonts w:hint="eastAsia"/>
          <w:snapToGrid/>
          <w:lang w:val="en-GB"/>
        </w:rPr>
        <w:t>患者进行了</w:t>
      </w:r>
      <w:r>
        <w:rPr>
          <w:snapToGrid/>
          <w:lang w:val="en-GB"/>
        </w:rPr>
        <w:t>必要的</w:t>
      </w:r>
      <w:r>
        <w:rPr>
          <w:rFonts w:hint="eastAsia"/>
          <w:snapToGrid/>
          <w:lang w:val="en-GB"/>
        </w:rPr>
        <w:t>洁齿手术</w:t>
      </w:r>
      <w:r>
        <w:rPr>
          <w:snapToGrid/>
          <w:lang w:val="en-GB"/>
        </w:rPr>
        <w:t>。</w:t>
      </w:r>
    </w:p>
    <w:p w:rsidR="00000000" w:rsidRDefault="00844A84">
      <w:pPr>
        <w:ind w:firstLine="510"/>
        <w:rPr>
          <w:rFonts w:hint="eastAsia"/>
          <w:snapToGrid/>
          <w:spacing w:val="6"/>
          <w:lang w:val="en-GB"/>
        </w:rPr>
      </w:pPr>
      <w:r>
        <w:rPr>
          <w:rFonts w:hint="eastAsia"/>
          <w:snapToGrid/>
          <w:lang w:val="en-GB"/>
        </w:rPr>
        <w:t>671.</w:t>
      </w:r>
      <w:r>
        <w:t xml:space="preserve">  </w:t>
      </w:r>
      <w:r>
        <w:rPr>
          <w:rFonts w:hint="eastAsia"/>
          <w:snapToGrid/>
          <w:spacing w:val="6"/>
          <w:lang w:val="en-GB"/>
        </w:rPr>
        <w:t>在儿童进入学前机构和青年营之前，必须进行规定的健康检查，包括细菌检查，并签发免疫接种证书。应每年对学前机构儿童的一般健康状况进行四次检查。</w:t>
      </w:r>
    </w:p>
    <w:p w:rsidR="00000000" w:rsidRDefault="00844A84">
      <w:pPr>
        <w:ind w:firstLine="510"/>
        <w:rPr>
          <w:rFonts w:hint="eastAsia"/>
          <w:snapToGrid/>
          <w:lang w:val="en-GB"/>
        </w:rPr>
      </w:pPr>
      <w:r>
        <w:rPr>
          <w:rFonts w:hint="eastAsia"/>
          <w:snapToGrid/>
          <w:lang w:val="en-GB"/>
        </w:rPr>
        <w:t>672</w:t>
      </w:r>
      <w:r>
        <w:rPr>
          <w:rFonts w:hint="eastAsia"/>
          <w:snapToGrid/>
          <w:lang w:val="en-GB"/>
        </w:rPr>
        <w:t>.</w:t>
      </w:r>
      <w:r>
        <w:t xml:space="preserve">  </w:t>
      </w:r>
      <w:r>
        <w:rPr>
          <w:rFonts w:hint="eastAsia"/>
          <w:snapToGrid/>
          <w:lang w:val="en-GB"/>
        </w:rPr>
        <w:t>应该对所有学前机构的公共卫生情况进行检查，至少每月检查一次。护士家访有助于实现保健目标，发展住院治疗的替代方式</w:t>
      </w:r>
      <w:r>
        <w:rPr>
          <w:rFonts w:hint="eastAsia"/>
          <w:snapToGrid/>
          <w:lang w:val="en-GB"/>
        </w:rPr>
        <w:t>(</w:t>
      </w:r>
      <w:r>
        <w:rPr>
          <w:rFonts w:hint="eastAsia"/>
          <w:snapToGrid/>
          <w:lang w:val="en-GB"/>
        </w:rPr>
        <w:t>在家治疗、综合诊所专家和咨询活动</w:t>
      </w:r>
      <w:r>
        <w:rPr>
          <w:rFonts w:hint="eastAsia"/>
          <w:snapToGrid/>
          <w:lang w:val="en-GB"/>
        </w:rPr>
        <w:t>)</w:t>
      </w:r>
      <w:r>
        <w:rPr>
          <w:rFonts w:hint="eastAsia"/>
          <w:snapToGrid/>
          <w:lang w:val="en-GB"/>
        </w:rPr>
        <w:t>也是如此。</w:t>
      </w:r>
    </w:p>
    <w:p w:rsidR="00000000" w:rsidRDefault="00844A84">
      <w:pPr>
        <w:spacing w:after="320"/>
        <w:ind w:firstLine="510"/>
        <w:rPr>
          <w:rFonts w:hint="eastAsia"/>
          <w:snapToGrid/>
          <w:lang w:val="en-GB"/>
        </w:rPr>
      </w:pPr>
      <w:r>
        <w:rPr>
          <w:rFonts w:hint="eastAsia"/>
          <w:snapToGrid/>
          <w:lang w:val="en-GB"/>
        </w:rPr>
        <w:t>673.</w:t>
      </w:r>
      <w:r>
        <w:t xml:space="preserve">  </w:t>
      </w:r>
      <w:r>
        <w:rPr>
          <w:rFonts w:hint="eastAsia"/>
          <w:snapToGrid/>
          <w:lang w:val="en-GB"/>
        </w:rPr>
        <w:t>对黑山婴儿和幼童这一年龄组人口的保健工作也在各门诊部开展，以便在各诊所以及黑山</w:t>
      </w:r>
      <w:r>
        <w:rPr>
          <w:rFonts w:hint="eastAsia"/>
          <w:snapToGrid/>
          <w:lang w:val="en-GB"/>
        </w:rPr>
        <w:t>7</w:t>
      </w:r>
      <w:r>
        <w:rPr>
          <w:rFonts w:hint="eastAsia"/>
          <w:snapToGrid/>
          <w:lang w:val="en-GB"/>
        </w:rPr>
        <w:t>所综合医院和波德戈里察门诊中心治疗婴儿和幼童。</w:t>
      </w:r>
    </w:p>
    <w:p w:rsidR="00000000" w:rsidRDefault="00844A84">
      <w:pPr>
        <w:pStyle w:val="Heading4"/>
        <w:rPr>
          <w:lang w:val="en-GB"/>
        </w:rPr>
      </w:pPr>
      <w:r>
        <w:rPr>
          <w:rFonts w:hint="eastAsia"/>
          <w:lang w:val="en-GB"/>
        </w:rPr>
        <w:t>第</w:t>
      </w:r>
      <w:r>
        <w:rPr>
          <w:rFonts w:hint="eastAsia"/>
          <w:lang w:val="en-GB"/>
        </w:rPr>
        <w:t>2</w:t>
      </w:r>
      <w:r>
        <w:rPr>
          <w:rFonts w:hint="eastAsia"/>
          <w:lang w:val="en-GB"/>
        </w:rPr>
        <w:t>款</w:t>
      </w:r>
      <w:r>
        <w:rPr>
          <w:lang w:val="en-GB"/>
        </w:rPr>
        <w:t>(b</w:t>
      </w:r>
      <w:r>
        <w:rPr>
          <w:u w:val="none"/>
          <w:lang w:val="en-GB"/>
        </w:rPr>
        <w:t>)</w:t>
      </w:r>
    </w:p>
    <w:p w:rsidR="00000000" w:rsidRDefault="00844A84">
      <w:pPr>
        <w:ind w:firstLine="510"/>
        <w:rPr>
          <w:rFonts w:hint="eastAsia"/>
          <w:snapToGrid/>
          <w:lang w:val="en-GB"/>
        </w:rPr>
      </w:pPr>
      <w:r>
        <w:rPr>
          <w:rFonts w:hint="eastAsia"/>
          <w:snapToGrid/>
          <w:lang w:val="en-GB"/>
        </w:rPr>
        <w:t>674.</w:t>
      </w:r>
      <w:r>
        <w:t xml:space="preserve">  </w:t>
      </w:r>
      <w:r>
        <w:rPr>
          <w:rFonts w:hint="eastAsia"/>
          <w:snapToGrid/>
          <w:lang w:val="en-GB"/>
        </w:rPr>
        <w:t>黑山所有的大型工业设施都位于城市地区附近，并对环境产生威胁。这方面的活动包括重工业、钢铁工厂、金属工业、啤酒酿造业、玻璃、造纸、肥皂和洗衣粉制造业。中小型公司的数量正在日益增加。</w:t>
      </w:r>
    </w:p>
    <w:p w:rsidR="00000000" w:rsidRDefault="00844A84">
      <w:pPr>
        <w:ind w:firstLine="510"/>
        <w:rPr>
          <w:rFonts w:hint="eastAsia"/>
          <w:snapToGrid/>
          <w:lang w:val="en-GB"/>
        </w:rPr>
      </w:pPr>
      <w:r>
        <w:rPr>
          <w:rFonts w:hint="eastAsia"/>
          <w:snapToGrid/>
          <w:lang w:val="en-GB"/>
        </w:rPr>
        <w:t>6</w:t>
      </w:r>
      <w:r>
        <w:rPr>
          <w:rFonts w:hint="eastAsia"/>
          <w:snapToGrid/>
          <w:lang w:val="en-GB"/>
        </w:rPr>
        <w:t>75.</w:t>
      </w:r>
      <w:r>
        <w:t xml:space="preserve">  </w:t>
      </w:r>
      <w:r>
        <w:rPr>
          <w:snapToGrid/>
          <w:lang w:val="en-GB"/>
        </w:rPr>
        <w:t>1989</w:t>
      </w:r>
      <w:r>
        <w:rPr>
          <w:snapToGrid/>
          <w:lang w:val="en-GB"/>
        </w:rPr>
        <w:t>年开始</w:t>
      </w:r>
      <w:r>
        <w:rPr>
          <w:rFonts w:hint="eastAsia"/>
          <w:snapToGrid/>
          <w:lang w:val="en-GB"/>
        </w:rPr>
        <w:t>了</w:t>
      </w:r>
      <w:r>
        <w:rPr>
          <w:snapToGrid/>
          <w:lang w:val="en-GB"/>
        </w:rPr>
        <w:t>私有化进程。</w:t>
      </w:r>
      <w:r>
        <w:rPr>
          <w:snapToGrid/>
          <w:lang w:val="en-GB"/>
        </w:rPr>
        <w:t>1996</w:t>
      </w:r>
      <w:r>
        <w:rPr>
          <w:snapToGrid/>
          <w:lang w:val="en-GB"/>
        </w:rPr>
        <w:t>年年中完成了私有化的第一阶段，</w:t>
      </w:r>
      <w:r>
        <w:rPr>
          <w:snapToGrid/>
          <w:lang w:val="en-GB"/>
        </w:rPr>
        <w:t>86%</w:t>
      </w:r>
      <w:r>
        <w:rPr>
          <w:snapToGrid/>
          <w:lang w:val="en-GB"/>
        </w:rPr>
        <w:t>的公司已转变成为私营公司，从国营部门</w:t>
      </w:r>
      <w:r>
        <w:rPr>
          <w:rFonts w:hint="eastAsia"/>
          <w:snapToGrid/>
          <w:lang w:val="en-GB"/>
        </w:rPr>
        <w:t>转为</w:t>
      </w:r>
      <w:r>
        <w:rPr>
          <w:snapToGrid/>
          <w:lang w:val="en-GB"/>
        </w:rPr>
        <w:t>私营部门。</w:t>
      </w:r>
    </w:p>
    <w:p w:rsidR="00000000" w:rsidRDefault="00844A84">
      <w:pPr>
        <w:ind w:firstLine="510"/>
        <w:rPr>
          <w:rFonts w:hint="eastAsia"/>
          <w:snapToGrid/>
          <w:lang w:val="en-GB"/>
        </w:rPr>
      </w:pPr>
      <w:r>
        <w:rPr>
          <w:rFonts w:hint="eastAsia"/>
          <w:snapToGrid/>
          <w:lang w:val="en-GB"/>
        </w:rPr>
        <w:t>676.</w:t>
      </w:r>
      <w:r>
        <w:t xml:space="preserve">  </w:t>
      </w:r>
      <w:r>
        <w:rPr>
          <w:rFonts w:hint="eastAsia"/>
          <w:snapToGrid/>
          <w:lang w:val="en-GB"/>
        </w:rPr>
        <w:t>黑山多数工业的生产技术较为落后，并缺乏生态保护意识，因此对环境产生了威胁。这意味着没有对环境进行充分管理，也没有培训和对废物进行处理。</w:t>
      </w:r>
    </w:p>
    <w:p w:rsidR="00000000" w:rsidRDefault="00844A84">
      <w:pPr>
        <w:ind w:firstLine="510"/>
        <w:rPr>
          <w:rFonts w:hint="eastAsia"/>
          <w:snapToGrid/>
          <w:lang w:val="en-GB"/>
        </w:rPr>
      </w:pPr>
      <w:r>
        <w:rPr>
          <w:rFonts w:hint="eastAsia"/>
          <w:snapToGrid/>
          <w:lang w:val="en-GB"/>
        </w:rPr>
        <w:t>677.</w:t>
      </w:r>
      <w:r>
        <w:t xml:space="preserve">  </w:t>
      </w:r>
      <w:r>
        <w:rPr>
          <w:rFonts w:hint="eastAsia"/>
          <w:snapToGrid/>
          <w:lang w:val="en-GB"/>
        </w:rPr>
        <w:t>最大的工业污染源是波德戈里察铝业联合企业，该企业有</w:t>
      </w:r>
      <w:r>
        <w:rPr>
          <w:snapToGrid/>
          <w:lang w:val="en-GB"/>
        </w:rPr>
        <w:t>4,000</w:t>
      </w:r>
      <w:r>
        <w:rPr>
          <w:snapToGrid/>
          <w:lang w:val="en-GB"/>
        </w:rPr>
        <w:t>名员工，</w:t>
      </w:r>
      <w:r>
        <w:rPr>
          <w:snapToGrid/>
          <w:lang w:val="en-GB"/>
        </w:rPr>
        <w:t>96%</w:t>
      </w:r>
      <w:r>
        <w:rPr>
          <w:rFonts w:hint="eastAsia"/>
          <w:snapToGrid/>
          <w:lang w:val="en-GB"/>
        </w:rPr>
        <w:t>的</w:t>
      </w:r>
      <w:r>
        <w:rPr>
          <w:snapToGrid/>
          <w:lang w:val="en-GB"/>
        </w:rPr>
        <w:t>产品供出口。黑山共和国</w:t>
      </w:r>
      <w:r>
        <w:rPr>
          <w:snapToGrid/>
          <w:lang w:val="en-GB"/>
        </w:rPr>
        <w:t>53%</w:t>
      </w:r>
      <w:r>
        <w:rPr>
          <w:snapToGrid/>
          <w:lang w:val="en-GB"/>
        </w:rPr>
        <w:t>的经济依靠这家联合企业。</w:t>
      </w:r>
      <w:r>
        <w:rPr>
          <w:rFonts w:hint="eastAsia"/>
          <w:snapToGrid/>
          <w:lang w:val="en-GB"/>
        </w:rPr>
        <w:t>该</w:t>
      </w:r>
      <w:r>
        <w:rPr>
          <w:snapToGrid/>
          <w:lang w:val="en-GB"/>
        </w:rPr>
        <w:t>企业位于</w:t>
      </w:r>
      <w:r>
        <w:rPr>
          <w:rFonts w:hint="eastAsia"/>
          <w:snapToGrid/>
          <w:lang w:val="en-GB"/>
        </w:rPr>
        <w:t>波德戈里察和斯卡达尔湖</w:t>
      </w:r>
      <w:r>
        <w:rPr>
          <w:snapToGrid/>
          <w:lang w:val="en-GB"/>
        </w:rPr>
        <w:t>自然保护区附近，对环境产生了</w:t>
      </w:r>
      <w:r>
        <w:rPr>
          <w:rFonts w:hint="eastAsia"/>
          <w:snapToGrid/>
          <w:lang w:val="en-GB"/>
        </w:rPr>
        <w:t>有害</w:t>
      </w:r>
      <w:r>
        <w:rPr>
          <w:snapToGrid/>
          <w:lang w:val="en-GB"/>
        </w:rPr>
        <w:t>影响。</w:t>
      </w:r>
    </w:p>
    <w:p w:rsidR="00000000" w:rsidRDefault="00844A84">
      <w:pPr>
        <w:ind w:firstLine="510"/>
        <w:rPr>
          <w:rFonts w:hint="eastAsia"/>
          <w:snapToGrid/>
          <w:lang w:val="en-GB"/>
        </w:rPr>
      </w:pPr>
      <w:r>
        <w:rPr>
          <w:rFonts w:hint="eastAsia"/>
          <w:snapToGrid/>
          <w:lang w:val="en-GB"/>
        </w:rPr>
        <w:t>678.</w:t>
      </w:r>
      <w:r>
        <w:t xml:space="preserve">  </w:t>
      </w:r>
      <w:r>
        <w:rPr>
          <w:rFonts w:hint="eastAsia"/>
          <w:snapToGrid/>
          <w:lang w:val="en-GB"/>
        </w:rPr>
        <w:t>铝是在</w:t>
      </w:r>
      <w:r>
        <w:rPr>
          <w:rFonts w:hint="eastAsia"/>
          <w:snapToGrid/>
          <w:lang w:val="en-GB"/>
        </w:rPr>
        <w:t>没有任何有效防污染措施的情况下生产的。电解过程和氧化极生产过程以氟化物、苯酚和多环芳烃污染空气。这一过程产生了所谓的“红泥”，其中的成分还对地下水产生有害影响。在制铝工厂全力运作时，产生的红泥达</w:t>
      </w:r>
      <w:r>
        <w:rPr>
          <w:snapToGrid/>
          <w:lang w:val="en-GB"/>
        </w:rPr>
        <w:t>350,000</w:t>
      </w:r>
      <w:r>
        <w:rPr>
          <w:snapToGrid/>
          <w:lang w:val="en-GB"/>
        </w:rPr>
        <w:t>至</w:t>
      </w:r>
      <w:r>
        <w:rPr>
          <w:snapToGrid/>
          <w:lang w:val="en-GB"/>
        </w:rPr>
        <w:t>420,00</w:t>
      </w:r>
      <w:r>
        <w:rPr>
          <w:rFonts w:hint="eastAsia"/>
          <w:snapToGrid/>
          <w:lang w:val="en-GB"/>
        </w:rPr>
        <w:t>0</w:t>
      </w:r>
      <w:r>
        <w:rPr>
          <w:snapToGrid/>
          <w:lang w:val="en-GB"/>
        </w:rPr>
        <w:t>吨。另一种影响</w:t>
      </w:r>
      <w:r>
        <w:rPr>
          <w:rFonts w:hint="eastAsia"/>
          <w:snapToGrid/>
          <w:lang w:val="en-GB"/>
        </w:rPr>
        <w:t>是废水</w:t>
      </w:r>
      <w:r>
        <w:rPr>
          <w:snapToGrid/>
          <w:lang w:val="en-GB"/>
        </w:rPr>
        <w:t>直接</w:t>
      </w:r>
      <w:r>
        <w:rPr>
          <w:rFonts w:hint="eastAsia"/>
          <w:snapToGrid/>
          <w:lang w:val="en-GB"/>
        </w:rPr>
        <w:t>倾入</w:t>
      </w:r>
      <w:r>
        <w:rPr>
          <w:snapToGrid/>
          <w:lang w:val="en-GB"/>
        </w:rPr>
        <w:t>斯卡达尔湖。</w:t>
      </w:r>
    </w:p>
    <w:p w:rsidR="00000000" w:rsidRDefault="00844A84">
      <w:pPr>
        <w:ind w:firstLine="510"/>
        <w:rPr>
          <w:rFonts w:hint="eastAsia"/>
          <w:snapToGrid/>
          <w:lang w:val="en-GB"/>
        </w:rPr>
      </w:pPr>
      <w:r>
        <w:rPr>
          <w:rFonts w:hint="eastAsia"/>
          <w:snapToGrid/>
          <w:lang w:val="en-GB"/>
        </w:rPr>
        <w:t>679.</w:t>
      </w:r>
      <w:r>
        <w:t xml:space="preserve">  </w:t>
      </w:r>
      <w:r>
        <w:rPr>
          <w:rFonts w:hint="eastAsia"/>
          <w:snapToGrid/>
          <w:lang w:val="en-GB"/>
        </w:rPr>
        <w:t>黑山共和国政府于</w:t>
      </w:r>
      <w:r>
        <w:rPr>
          <w:snapToGrid/>
          <w:lang w:val="en-GB"/>
        </w:rPr>
        <w:t>1993</w:t>
      </w:r>
      <w:r>
        <w:rPr>
          <w:snapToGrid/>
          <w:lang w:val="en-GB"/>
        </w:rPr>
        <w:t>年通过了保护</w:t>
      </w:r>
      <w:r>
        <w:rPr>
          <w:rFonts w:hint="eastAsia"/>
          <w:snapToGrid/>
          <w:lang w:val="en-GB"/>
        </w:rPr>
        <w:t>Zeta</w:t>
      </w:r>
      <w:r>
        <w:rPr>
          <w:rFonts w:hint="eastAsia"/>
          <w:snapToGrid/>
          <w:lang w:val="en-GB"/>
        </w:rPr>
        <w:t>流域</w:t>
      </w:r>
      <w:r>
        <w:rPr>
          <w:snapToGrid/>
          <w:lang w:val="en-GB"/>
        </w:rPr>
        <w:t>的行动计划。</w:t>
      </w:r>
      <w:r>
        <w:rPr>
          <w:rFonts w:hint="eastAsia"/>
          <w:snapToGrid/>
          <w:lang w:val="en-GB"/>
        </w:rPr>
        <w:t>涉及制铝</w:t>
      </w:r>
      <w:r>
        <w:rPr>
          <w:snapToGrid/>
          <w:lang w:val="en-GB"/>
        </w:rPr>
        <w:t>联合企业的行动计划包括</w:t>
      </w:r>
      <w:r>
        <w:rPr>
          <w:rFonts w:hint="eastAsia"/>
          <w:snapToGrid/>
          <w:lang w:val="en-GB"/>
        </w:rPr>
        <w:t>51</w:t>
      </w:r>
      <w:r>
        <w:rPr>
          <w:snapToGrid/>
          <w:lang w:val="en-GB"/>
        </w:rPr>
        <w:t>项保护措施。</w:t>
      </w:r>
      <w:r>
        <w:rPr>
          <w:rFonts w:hint="eastAsia"/>
          <w:snapToGrid/>
          <w:lang w:val="en-GB"/>
        </w:rPr>
        <w:t>制铝</w:t>
      </w:r>
      <w:r>
        <w:rPr>
          <w:snapToGrid/>
          <w:lang w:val="en-GB"/>
        </w:rPr>
        <w:t>联合企业应该实施</w:t>
      </w:r>
      <w:r>
        <w:rPr>
          <w:rFonts w:hint="eastAsia"/>
          <w:snapToGrid/>
          <w:lang w:val="en-GB"/>
        </w:rPr>
        <w:t>其中的</w:t>
      </w:r>
      <w:r>
        <w:rPr>
          <w:rFonts w:hint="eastAsia"/>
          <w:snapToGrid/>
          <w:lang w:val="en-GB"/>
        </w:rPr>
        <w:t>34</w:t>
      </w:r>
      <w:r>
        <w:rPr>
          <w:rFonts w:hint="eastAsia"/>
          <w:snapToGrid/>
          <w:lang w:val="en-GB"/>
        </w:rPr>
        <w:t>项</w:t>
      </w:r>
      <w:r>
        <w:rPr>
          <w:snapToGrid/>
          <w:lang w:val="en-GB"/>
        </w:rPr>
        <w:t>，</w:t>
      </w:r>
      <w:r>
        <w:rPr>
          <w:rFonts w:hint="eastAsia"/>
          <w:snapToGrid/>
          <w:lang w:val="en-GB"/>
        </w:rPr>
        <w:t>其余的</w:t>
      </w:r>
      <w:r>
        <w:rPr>
          <w:snapToGrid/>
          <w:lang w:val="en-GB"/>
        </w:rPr>
        <w:t>措施</w:t>
      </w:r>
      <w:r>
        <w:rPr>
          <w:rFonts w:hint="eastAsia"/>
          <w:snapToGrid/>
          <w:lang w:val="en-GB"/>
        </w:rPr>
        <w:t>则由</w:t>
      </w:r>
      <w:r>
        <w:rPr>
          <w:snapToGrid/>
          <w:lang w:val="en-GB"/>
        </w:rPr>
        <w:t>黑山共和国政府和</w:t>
      </w:r>
      <w:r>
        <w:rPr>
          <w:rFonts w:hint="eastAsia"/>
          <w:snapToGrid/>
          <w:lang w:val="en-GB"/>
        </w:rPr>
        <w:t>波德戈里察</w:t>
      </w:r>
      <w:r>
        <w:rPr>
          <w:snapToGrid/>
          <w:lang w:val="en-GB"/>
        </w:rPr>
        <w:t>市政当局</w:t>
      </w:r>
      <w:r>
        <w:rPr>
          <w:rFonts w:hint="eastAsia"/>
          <w:snapToGrid/>
          <w:lang w:val="en-GB"/>
        </w:rPr>
        <w:t>实施</w:t>
      </w:r>
      <w:r>
        <w:rPr>
          <w:snapToGrid/>
          <w:lang w:val="en-GB"/>
        </w:rPr>
        <w:t>。</w:t>
      </w:r>
    </w:p>
    <w:p w:rsidR="00000000" w:rsidRDefault="00844A84">
      <w:pPr>
        <w:ind w:firstLine="510"/>
        <w:rPr>
          <w:rFonts w:hint="eastAsia"/>
          <w:snapToGrid/>
          <w:lang w:val="en-GB"/>
        </w:rPr>
      </w:pPr>
      <w:r>
        <w:rPr>
          <w:rFonts w:hint="eastAsia"/>
          <w:snapToGrid/>
          <w:lang w:val="en-GB"/>
        </w:rPr>
        <w:t>680.</w:t>
      </w:r>
      <w:r>
        <w:t xml:space="preserve">  </w:t>
      </w:r>
      <w:r>
        <w:rPr>
          <w:rFonts w:hint="eastAsia"/>
          <w:snapToGrid/>
          <w:lang w:val="en-GB"/>
        </w:rPr>
        <w:t>由于该联合企业未实施所述措</w:t>
      </w:r>
      <w:r>
        <w:rPr>
          <w:rFonts w:hint="eastAsia"/>
          <w:snapToGrid/>
          <w:lang w:val="en-GB"/>
        </w:rPr>
        <w:t>施，附近村庄的处境出现恶化。</w:t>
      </w:r>
      <w:r>
        <w:rPr>
          <w:snapToGrid/>
          <w:lang w:val="en-GB"/>
        </w:rPr>
        <w:t>2000</w:t>
      </w:r>
      <w:r>
        <w:rPr>
          <w:snapToGrid/>
          <w:lang w:val="en-GB"/>
        </w:rPr>
        <w:t>年</w:t>
      </w:r>
      <w:r>
        <w:rPr>
          <w:rFonts w:hint="eastAsia"/>
          <w:snapToGrid/>
          <w:lang w:val="en-GB"/>
        </w:rPr>
        <w:t>，</w:t>
      </w:r>
      <w:r>
        <w:rPr>
          <w:snapToGrid/>
          <w:lang w:val="en-GB"/>
        </w:rPr>
        <w:t>由于防止红</w:t>
      </w:r>
      <w:r>
        <w:rPr>
          <w:rFonts w:hint="eastAsia"/>
          <w:snapToGrid/>
          <w:lang w:val="en-GB"/>
        </w:rPr>
        <w:t>泥尘埃</w:t>
      </w:r>
      <w:r>
        <w:rPr>
          <w:snapToGrid/>
          <w:lang w:val="en-GB"/>
        </w:rPr>
        <w:t>弥漫的喷射器发生故障</w:t>
      </w:r>
      <w:r>
        <w:rPr>
          <w:rFonts w:hint="eastAsia"/>
          <w:snapToGrid/>
          <w:lang w:val="en-GB"/>
        </w:rPr>
        <w:t>，</w:t>
      </w:r>
      <w:r>
        <w:rPr>
          <w:snapToGrid/>
          <w:lang w:val="en-GB"/>
        </w:rPr>
        <w:t>在</w:t>
      </w:r>
      <w:r>
        <w:rPr>
          <w:rFonts w:hint="eastAsia"/>
          <w:snapToGrid/>
          <w:lang w:val="en-GB"/>
        </w:rPr>
        <w:t>Velji Brijeg</w:t>
      </w:r>
      <w:r>
        <w:rPr>
          <w:rFonts w:hint="eastAsia"/>
          <w:snapToGrid/>
          <w:lang w:val="en-GB"/>
        </w:rPr>
        <w:t>部落的</w:t>
      </w:r>
      <w:r>
        <w:rPr>
          <w:rFonts w:hint="eastAsia"/>
          <w:snapToGrid/>
          <w:lang w:val="en-GB"/>
        </w:rPr>
        <w:t>Botun</w:t>
      </w:r>
      <w:r>
        <w:rPr>
          <w:rFonts w:hint="eastAsia"/>
          <w:snapToGrid/>
          <w:lang w:val="en-GB"/>
        </w:rPr>
        <w:t>村</w:t>
      </w:r>
      <w:r>
        <w:rPr>
          <w:snapToGrid/>
          <w:lang w:val="en-GB"/>
        </w:rPr>
        <w:t>发生了一起事件。黑山政府作出决定，</w:t>
      </w:r>
      <w:r>
        <w:rPr>
          <w:rFonts w:hint="eastAsia"/>
          <w:snapToGrid/>
          <w:lang w:val="en-GB"/>
        </w:rPr>
        <w:t>从</w:t>
      </w:r>
      <w:r>
        <w:rPr>
          <w:snapToGrid/>
          <w:lang w:val="en-GB"/>
        </w:rPr>
        <w:t>受影响地区迁出</w:t>
      </w:r>
      <w:r>
        <w:rPr>
          <w:snapToGrid/>
          <w:lang w:val="en-GB"/>
        </w:rPr>
        <w:t>20</w:t>
      </w:r>
      <w:r>
        <w:rPr>
          <w:snapToGrid/>
          <w:lang w:val="en-GB"/>
        </w:rPr>
        <w:t>来</w:t>
      </w:r>
      <w:r>
        <w:rPr>
          <w:rFonts w:hint="eastAsia"/>
          <w:snapToGrid/>
          <w:lang w:val="en-GB"/>
        </w:rPr>
        <w:t>户</w:t>
      </w:r>
      <w:r>
        <w:rPr>
          <w:snapToGrid/>
          <w:lang w:val="en-GB"/>
        </w:rPr>
        <w:t>家庭，草拟</w:t>
      </w:r>
      <w:r>
        <w:rPr>
          <w:rFonts w:hint="eastAsia"/>
          <w:snapToGrid/>
          <w:lang w:val="en-GB"/>
        </w:rPr>
        <w:t>了征用</w:t>
      </w:r>
      <w:r>
        <w:rPr>
          <w:snapToGrid/>
          <w:lang w:val="en-GB"/>
        </w:rPr>
        <w:t>土地计划，并建造了防护</w:t>
      </w:r>
      <w:r>
        <w:rPr>
          <w:rFonts w:hint="eastAsia"/>
          <w:snapToGrid/>
          <w:lang w:val="en-GB"/>
        </w:rPr>
        <w:t>林带</w:t>
      </w:r>
      <w:r>
        <w:rPr>
          <w:snapToGrid/>
          <w:lang w:val="en-GB"/>
        </w:rPr>
        <w:t>。</w:t>
      </w:r>
    </w:p>
    <w:p w:rsidR="00000000" w:rsidRDefault="00844A84">
      <w:pPr>
        <w:ind w:firstLine="510"/>
        <w:rPr>
          <w:rFonts w:hint="eastAsia"/>
          <w:snapToGrid/>
          <w:lang w:val="en-GB"/>
        </w:rPr>
      </w:pPr>
      <w:r>
        <w:rPr>
          <w:rFonts w:hint="eastAsia"/>
          <w:snapToGrid/>
          <w:lang w:val="en-GB"/>
        </w:rPr>
        <w:t>681.</w:t>
      </w:r>
      <w:r>
        <w:t xml:space="preserve">  </w:t>
      </w:r>
      <w:r>
        <w:rPr>
          <w:rFonts w:hint="eastAsia"/>
          <w:snapToGrid/>
          <w:lang w:val="en-GB"/>
        </w:rPr>
        <w:t>在燃油流入</w:t>
      </w:r>
      <w:r>
        <w:rPr>
          <w:rFonts w:hint="eastAsia"/>
          <w:snapToGrid/>
          <w:lang w:val="en-GB"/>
        </w:rPr>
        <w:t>Moraca</w:t>
      </w:r>
      <w:r>
        <w:rPr>
          <w:rFonts w:hint="eastAsia"/>
          <w:snapToGrid/>
          <w:lang w:val="en-GB"/>
        </w:rPr>
        <w:t>河之后，共和国环境保护视察员命令该联合企业遵守规定的生产工序，防止燃油流入河流。由于联合企业管理层没有遵守这一措施，已经对该企业法人和负责管理人员提出了轻罪诉讼。</w:t>
      </w:r>
    </w:p>
    <w:p w:rsidR="00000000" w:rsidRDefault="00844A84">
      <w:pPr>
        <w:ind w:firstLine="510"/>
        <w:rPr>
          <w:rFonts w:hint="eastAsia"/>
          <w:snapToGrid/>
          <w:lang w:val="en-GB"/>
        </w:rPr>
      </w:pPr>
      <w:r>
        <w:rPr>
          <w:rFonts w:hint="eastAsia"/>
          <w:snapToGrid/>
          <w:lang w:val="en-GB"/>
        </w:rPr>
        <w:t>682.</w:t>
      </w:r>
      <w:r>
        <w:t xml:space="preserve">  </w:t>
      </w:r>
      <w:r>
        <w:rPr>
          <w:rFonts w:hint="eastAsia"/>
          <w:snapToGrid/>
          <w:lang w:val="en-GB"/>
        </w:rPr>
        <w:t>Pljevlja</w:t>
      </w:r>
      <w:r>
        <w:rPr>
          <w:rFonts w:hint="eastAsia"/>
          <w:snapToGrid/>
          <w:lang w:val="en-GB"/>
        </w:rPr>
        <w:t>河流域的火力发电站、煤矿、</w:t>
      </w:r>
      <w:r>
        <w:rPr>
          <w:rFonts w:hint="eastAsia"/>
          <w:snapToGrid/>
          <w:lang w:val="en-GB"/>
        </w:rPr>
        <w:t>Velimir Jakic</w:t>
      </w:r>
      <w:r>
        <w:rPr>
          <w:rFonts w:hint="eastAsia"/>
          <w:snapToGrid/>
          <w:lang w:val="en-GB"/>
        </w:rPr>
        <w:t>家具厂、</w:t>
      </w:r>
      <w:r>
        <w:rPr>
          <w:rFonts w:hint="eastAsia"/>
          <w:snapToGrid/>
          <w:lang w:val="en-GB"/>
        </w:rPr>
        <w:t>Suplja Stijena</w:t>
      </w:r>
      <w:r>
        <w:rPr>
          <w:rFonts w:hint="eastAsia"/>
          <w:snapToGrid/>
          <w:lang w:val="en-GB"/>
        </w:rPr>
        <w:t>煤矿和大量的锅炉工厂，使</w:t>
      </w:r>
      <w:r>
        <w:rPr>
          <w:rFonts w:hint="eastAsia"/>
          <w:snapToGrid/>
          <w:lang w:val="en-GB"/>
        </w:rPr>
        <w:t xml:space="preserve">Pljevlja </w:t>
      </w:r>
      <w:r>
        <w:rPr>
          <w:rFonts w:hint="eastAsia"/>
          <w:snapToGrid/>
          <w:lang w:val="en-GB"/>
        </w:rPr>
        <w:t>河流域成为黑山的另一个事故多发地区。火力发电站于</w:t>
      </w:r>
      <w:r>
        <w:rPr>
          <w:snapToGrid/>
          <w:lang w:val="en-GB"/>
        </w:rPr>
        <w:t>1981</w:t>
      </w:r>
      <w:r>
        <w:rPr>
          <w:snapToGrid/>
          <w:lang w:val="en-GB"/>
        </w:rPr>
        <w:t>年开始发电以来，已倾倒了大约</w:t>
      </w:r>
      <w:r>
        <w:rPr>
          <w:snapToGrid/>
          <w:lang w:val="en-GB"/>
        </w:rPr>
        <w:t>350</w:t>
      </w:r>
      <w:r>
        <w:rPr>
          <w:snapToGrid/>
          <w:lang w:val="en-GB"/>
        </w:rPr>
        <w:t>万吨</w:t>
      </w:r>
      <w:r>
        <w:rPr>
          <w:rFonts w:hint="eastAsia"/>
          <w:snapToGrid/>
          <w:lang w:val="en-GB"/>
        </w:rPr>
        <w:t>灰烬</w:t>
      </w:r>
      <w:r>
        <w:rPr>
          <w:snapToGrid/>
          <w:lang w:val="en-GB"/>
        </w:rPr>
        <w:t>和</w:t>
      </w:r>
      <w:r>
        <w:rPr>
          <w:rFonts w:hint="eastAsia"/>
          <w:snapToGrid/>
          <w:lang w:val="en-GB"/>
        </w:rPr>
        <w:t>废渣。埋填废渣的土地占</w:t>
      </w:r>
      <w:r>
        <w:rPr>
          <w:snapToGrid/>
          <w:lang w:val="en-GB"/>
        </w:rPr>
        <w:t>15</w:t>
      </w:r>
      <w:r>
        <w:rPr>
          <w:snapToGrid/>
          <w:lang w:val="en-GB"/>
        </w:rPr>
        <w:t>公顷。污染物包括气</w:t>
      </w:r>
      <w:r>
        <w:rPr>
          <w:rFonts w:hint="eastAsia"/>
          <w:snapToGrid/>
          <w:lang w:val="en-GB"/>
        </w:rPr>
        <w:t>态</w:t>
      </w:r>
      <w:r>
        <w:rPr>
          <w:snapToGrid/>
          <w:lang w:val="en-GB"/>
        </w:rPr>
        <w:t>、固</w:t>
      </w:r>
      <w:r>
        <w:rPr>
          <w:rFonts w:hint="eastAsia"/>
          <w:snapToGrid/>
          <w:lang w:val="en-GB"/>
        </w:rPr>
        <w:t>态</w:t>
      </w:r>
      <w:r>
        <w:rPr>
          <w:snapToGrid/>
          <w:lang w:val="en-GB"/>
        </w:rPr>
        <w:t>和</w:t>
      </w:r>
      <w:r>
        <w:rPr>
          <w:rFonts w:hint="eastAsia"/>
          <w:snapToGrid/>
          <w:lang w:val="en-GB"/>
        </w:rPr>
        <w:t>液态危险</w:t>
      </w:r>
      <w:r>
        <w:rPr>
          <w:snapToGrid/>
          <w:lang w:val="en-GB"/>
        </w:rPr>
        <w:t>物质，</w:t>
      </w:r>
      <w:r>
        <w:rPr>
          <w:rFonts w:hint="eastAsia"/>
          <w:snapToGrid/>
          <w:lang w:val="en-GB"/>
        </w:rPr>
        <w:t>以</w:t>
      </w:r>
      <w:r>
        <w:rPr>
          <w:snapToGrid/>
          <w:lang w:val="en-GB"/>
        </w:rPr>
        <w:t>这种或那种方式影响环境某些重要部分的质量。同样，在观察到的</w:t>
      </w:r>
      <w:r>
        <w:rPr>
          <w:rFonts w:hint="eastAsia"/>
          <w:snapToGrid/>
          <w:lang w:val="en-GB"/>
        </w:rPr>
        <w:t>地区</w:t>
      </w:r>
      <w:r>
        <w:rPr>
          <w:snapToGrid/>
          <w:lang w:val="en-GB"/>
        </w:rPr>
        <w:t>进行</w:t>
      </w:r>
      <w:r>
        <w:rPr>
          <w:rFonts w:hint="eastAsia"/>
          <w:snapToGrid/>
          <w:lang w:val="en-GB"/>
        </w:rPr>
        <w:t>的有害</w:t>
      </w:r>
      <w:r>
        <w:rPr>
          <w:snapToGrid/>
          <w:lang w:val="en-GB"/>
        </w:rPr>
        <w:t>活动</w:t>
      </w:r>
      <w:r>
        <w:rPr>
          <w:rFonts w:hint="eastAsia"/>
          <w:snapToGrid/>
          <w:lang w:val="en-GB"/>
        </w:rPr>
        <w:t>使环境遭受</w:t>
      </w:r>
      <w:r>
        <w:rPr>
          <w:snapToGrid/>
          <w:lang w:val="en-GB"/>
        </w:rPr>
        <w:t>破坏和</w:t>
      </w:r>
      <w:r>
        <w:rPr>
          <w:rFonts w:hint="eastAsia"/>
          <w:snapToGrid/>
          <w:lang w:val="en-GB"/>
        </w:rPr>
        <w:t>恶化，这主要</w:t>
      </w:r>
      <w:r>
        <w:rPr>
          <w:snapToGrid/>
          <w:lang w:val="en-GB"/>
        </w:rPr>
        <w:t>表现在</w:t>
      </w:r>
      <w:r>
        <w:rPr>
          <w:rFonts w:hint="eastAsia"/>
          <w:snapToGrid/>
          <w:lang w:val="en-GB"/>
        </w:rPr>
        <w:t>对</w:t>
      </w:r>
      <w:r>
        <w:rPr>
          <w:snapToGrid/>
          <w:lang w:val="en-GB"/>
        </w:rPr>
        <w:t>环境</w:t>
      </w:r>
      <w:r>
        <w:rPr>
          <w:rFonts w:hint="eastAsia"/>
          <w:snapToGrid/>
          <w:lang w:val="en-GB"/>
        </w:rPr>
        <w:t>主要</w:t>
      </w:r>
      <w:r>
        <w:rPr>
          <w:snapToGrid/>
          <w:lang w:val="en-GB"/>
        </w:rPr>
        <w:t>是</w:t>
      </w:r>
      <w:r>
        <w:rPr>
          <w:rFonts w:hint="eastAsia"/>
          <w:snapToGrid/>
          <w:lang w:val="en-GB"/>
        </w:rPr>
        <w:t>对</w:t>
      </w:r>
      <w:r>
        <w:rPr>
          <w:snapToGrid/>
          <w:lang w:val="en-GB"/>
        </w:rPr>
        <w:t>土地</w:t>
      </w:r>
      <w:r>
        <w:rPr>
          <w:rFonts w:hint="eastAsia"/>
          <w:snapToGrid/>
          <w:lang w:val="en-GB"/>
        </w:rPr>
        <w:t>和</w:t>
      </w:r>
      <w:r>
        <w:rPr>
          <w:snapToGrid/>
          <w:lang w:val="en-GB"/>
        </w:rPr>
        <w:t>气候</w:t>
      </w:r>
      <w:r>
        <w:rPr>
          <w:rFonts w:hint="eastAsia"/>
          <w:snapToGrid/>
          <w:lang w:val="en-GB"/>
        </w:rPr>
        <w:t>的损害</w:t>
      </w:r>
      <w:r>
        <w:rPr>
          <w:snapToGrid/>
          <w:lang w:val="en-GB"/>
        </w:rPr>
        <w:t>、扰乱和变化</w:t>
      </w:r>
      <w:r>
        <w:rPr>
          <w:rFonts w:hint="eastAsia"/>
          <w:snapToGrid/>
          <w:lang w:val="en-GB"/>
        </w:rPr>
        <w:t>以及产生</w:t>
      </w:r>
      <w:r>
        <w:rPr>
          <w:snapToGrid/>
          <w:lang w:val="en-GB"/>
        </w:rPr>
        <w:t>噪音。</w:t>
      </w:r>
    </w:p>
    <w:p w:rsidR="00000000" w:rsidRDefault="00844A84">
      <w:pPr>
        <w:ind w:firstLine="510"/>
        <w:rPr>
          <w:rFonts w:hint="eastAsia"/>
          <w:snapToGrid/>
          <w:lang w:val="en-GB"/>
        </w:rPr>
      </w:pPr>
      <w:r>
        <w:rPr>
          <w:rFonts w:hint="eastAsia"/>
          <w:snapToGrid/>
          <w:lang w:val="en-GB"/>
        </w:rPr>
        <w:t>683.</w:t>
      </w:r>
      <w:r>
        <w:t xml:space="preserve">  </w:t>
      </w:r>
      <w:r>
        <w:rPr>
          <w:rFonts w:hint="eastAsia"/>
          <w:snapToGrid/>
          <w:lang w:val="en-GB"/>
        </w:rPr>
        <w:t>黑山共和国政府通过了《综合保护</w:t>
      </w:r>
      <w:r>
        <w:rPr>
          <w:rFonts w:hint="eastAsia"/>
          <w:snapToGrid/>
          <w:lang w:val="en-GB"/>
        </w:rPr>
        <w:t xml:space="preserve">Pljevlja </w:t>
      </w:r>
      <w:r>
        <w:rPr>
          <w:rFonts w:hint="eastAsia"/>
          <w:snapToGrid/>
          <w:lang w:val="en-GB"/>
        </w:rPr>
        <w:t>河流域行动方案》。这一方案确定了所述的污染者</w:t>
      </w:r>
      <w:r>
        <w:rPr>
          <w:rFonts w:hint="eastAsia"/>
          <w:snapToGrid/>
          <w:lang w:val="en-GB"/>
        </w:rPr>
        <w:t>、中央和地方政府当局应该在</w:t>
      </w:r>
      <w:r>
        <w:rPr>
          <w:snapToGrid/>
          <w:lang w:val="en-GB"/>
        </w:rPr>
        <w:t>1997</w:t>
      </w:r>
      <w:r>
        <w:rPr>
          <w:snapToGrid/>
          <w:lang w:val="en-GB"/>
        </w:rPr>
        <w:t>至</w:t>
      </w:r>
      <w:r>
        <w:rPr>
          <w:snapToGrid/>
          <w:lang w:val="en-GB"/>
        </w:rPr>
        <w:t>2007</w:t>
      </w:r>
      <w:r>
        <w:rPr>
          <w:snapToGrid/>
          <w:lang w:val="en-GB"/>
        </w:rPr>
        <w:t>年实施的</w:t>
      </w:r>
      <w:r>
        <w:rPr>
          <w:snapToGrid/>
          <w:lang w:val="en-GB"/>
        </w:rPr>
        <w:t>57</w:t>
      </w:r>
      <w:r>
        <w:rPr>
          <w:snapToGrid/>
          <w:lang w:val="en-GB"/>
        </w:rPr>
        <w:t>项措施。</w:t>
      </w:r>
    </w:p>
    <w:p w:rsidR="00000000" w:rsidRDefault="00844A84">
      <w:pPr>
        <w:ind w:firstLine="510"/>
        <w:rPr>
          <w:rFonts w:hint="eastAsia"/>
          <w:snapToGrid/>
          <w:lang w:val="en-GB"/>
        </w:rPr>
      </w:pPr>
      <w:r>
        <w:rPr>
          <w:rFonts w:hint="eastAsia"/>
          <w:snapToGrid/>
          <w:lang w:val="en-GB"/>
        </w:rPr>
        <w:t>684.</w:t>
      </w:r>
      <w:r>
        <w:t xml:space="preserve">  </w:t>
      </w:r>
      <w:r>
        <w:rPr>
          <w:rFonts w:hint="eastAsia"/>
          <w:snapToGrid/>
          <w:lang w:val="en-GB"/>
        </w:rPr>
        <w:t>Niksic</w:t>
      </w:r>
      <w:r>
        <w:rPr>
          <w:rFonts w:hint="eastAsia"/>
          <w:snapToGrid/>
          <w:lang w:val="en-GB"/>
        </w:rPr>
        <w:t>的</w:t>
      </w:r>
      <w:r>
        <w:rPr>
          <w:rFonts w:hint="eastAsia"/>
          <w:snapToGrid/>
          <w:lang w:val="en-GB"/>
        </w:rPr>
        <w:t>Boris Kidric</w:t>
      </w:r>
      <w:r>
        <w:rPr>
          <w:rFonts w:hint="eastAsia"/>
          <w:snapToGrid/>
          <w:lang w:val="en-GB"/>
        </w:rPr>
        <w:t>炼钢厂是对环境产生重大影响的另一座工厂。该炼钢厂几乎没有任何过滤装置，不时排放重金属、气体和其他有害物质。周围地区的空气质量低于所有的标准。</w:t>
      </w:r>
    </w:p>
    <w:p w:rsidR="00000000" w:rsidRDefault="00844A84">
      <w:pPr>
        <w:ind w:firstLine="510"/>
        <w:rPr>
          <w:rFonts w:hint="eastAsia"/>
          <w:snapToGrid/>
          <w:lang w:val="en-GB"/>
        </w:rPr>
      </w:pPr>
      <w:r>
        <w:rPr>
          <w:rFonts w:hint="eastAsia"/>
          <w:snapToGrid/>
          <w:lang w:val="en-GB"/>
        </w:rPr>
        <w:t>685.</w:t>
      </w:r>
      <w:r>
        <w:t xml:space="preserve">  </w:t>
      </w:r>
      <w:r>
        <w:rPr>
          <w:rFonts w:hint="eastAsia"/>
          <w:snapToGrid/>
          <w:lang w:val="en-GB"/>
        </w:rPr>
        <w:t>在</w:t>
      </w:r>
      <w:r>
        <w:rPr>
          <w:rFonts w:hint="eastAsia"/>
          <w:snapToGrid/>
          <w:lang w:val="en-GB"/>
        </w:rPr>
        <w:t>Vojkovac</w:t>
      </w:r>
      <w:r>
        <w:rPr>
          <w:rFonts w:hint="eastAsia"/>
          <w:snapToGrid/>
          <w:lang w:val="en-GB"/>
        </w:rPr>
        <w:t>邻近地区，有一座名为“</w:t>
      </w:r>
      <w:r>
        <w:rPr>
          <w:rFonts w:hint="eastAsia"/>
          <w:snapToGrid/>
          <w:lang w:val="en-GB"/>
        </w:rPr>
        <w:t>Brskovo</w:t>
      </w:r>
      <w:r>
        <w:rPr>
          <w:rFonts w:hint="eastAsia"/>
          <w:snapToGrid/>
          <w:lang w:val="en-GB"/>
        </w:rPr>
        <w:t>”的铅矿和锌矿。在采矿期间，矿物废料就填埋在塔拉河河畔。几年前出现了水坝倒塌的危险，结果废料倾入河中。这起事故后建造了混凝土河坝，并用砂石封盖了部分矿物废料。</w:t>
      </w:r>
    </w:p>
    <w:p w:rsidR="00000000" w:rsidRDefault="00844A84">
      <w:pPr>
        <w:ind w:firstLine="510"/>
        <w:rPr>
          <w:snapToGrid/>
          <w:lang w:val="en-GB"/>
        </w:rPr>
      </w:pPr>
      <w:r>
        <w:rPr>
          <w:rFonts w:hint="eastAsia"/>
          <w:snapToGrid/>
          <w:lang w:val="en-GB"/>
        </w:rPr>
        <w:t>686.</w:t>
      </w:r>
      <w:r>
        <w:t xml:space="preserve">  </w:t>
      </w:r>
      <w:r>
        <w:rPr>
          <w:rFonts w:hint="eastAsia"/>
          <w:snapToGrid/>
          <w:lang w:val="en-GB"/>
        </w:rPr>
        <w:t>黑山所有工业的一</w:t>
      </w:r>
      <w:r>
        <w:rPr>
          <w:rFonts w:hint="eastAsia"/>
          <w:snapToGrid/>
          <w:lang w:val="en-GB"/>
        </w:rPr>
        <w:t>个共同问题，是缺乏废水处理设备和足够的废水收集器具。据</w:t>
      </w:r>
      <w:r>
        <w:rPr>
          <w:snapToGrid/>
          <w:lang w:val="en-GB"/>
        </w:rPr>
        <w:t>1998</w:t>
      </w:r>
      <w:r>
        <w:rPr>
          <w:snapToGrid/>
          <w:lang w:val="en-GB"/>
        </w:rPr>
        <w:t>年</w:t>
      </w:r>
      <w:r>
        <w:rPr>
          <w:rFonts w:hint="eastAsia"/>
          <w:snapToGrid/>
          <w:lang w:val="en-GB"/>
        </w:rPr>
        <w:t>估计，每年</w:t>
      </w:r>
      <w:r>
        <w:rPr>
          <w:snapToGrid/>
          <w:lang w:val="en-GB"/>
        </w:rPr>
        <w:t>至少有</w:t>
      </w:r>
      <w:r>
        <w:rPr>
          <w:snapToGrid/>
          <w:lang w:val="en-GB"/>
        </w:rPr>
        <w:t>2,700</w:t>
      </w:r>
      <w:r>
        <w:rPr>
          <w:snapToGrid/>
          <w:lang w:val="en-GB"/>
        </w:rPr>
        <w:t>万立方米的城市废水被排放流入河流和海洋，直接</w:t>
      </w:r>
      <w:r>
        <w:rPr>
          <w:rFonts w:hint="eastAsia"/>
          <w:snapToGrid/>
          <w:lang w:val="en-GB"/>
        </w:rPr>
        <w:t>流入</w:t>
      </w:r>
      <w:r>
        <w:rPr>
          <w:snapToGrid/>
          <w:lang w:val="en-GB"/>
        </w:rPr>
        <w:t>地下的废水数量不详。</w:t>
      </w:r>
    </w:p>
    <w:p w:rsidR="00000000" w:rsidRDefault="00844A84">
      <w:pPr>
        <w:ind w:firstLine="510"/>
        <w:rPr>
          <w:rFonts w:hint="eastAsia"/>
          <w:snapToGrid/>
          <w:lang w:val="en-GB"/>
        </w:rPr>
      </w:pPr>
      <w:r>
        <w:rPr>
          <w:rFonts w:hint="eastAsia"/>
          <w:snapToGrid/>
          <w:lang w:val="en-GB"/>
        </w:rPr>
        <w:t>687.</w:t>
      </w:r>
      <w:r>
        <w:t xml:space="preserve">  </w:t>
      </w:r>
      <w:r>
        <w:rPr>
          <w:rFonts w:hint="eastAsia"/>
          <w:snapToGrid/>
          <w:lang w:val="en-GB"/>
        </w:rPr>
        <w:t>黑山约有</w:t>
      </w:r>
      <w:r>
        <w:rPr>
          <w:snapToGrid/>
          <w:lang w:val="en-GB"/>
        </w:rPr>
        <w:t>20</w:t>
      </w:r>
      <w:r>
        <w:rPr>
          <w:snapToGrid/>
          <w:lang w:val="en-GB"/>
        </w:rPr>
        <w:t>个</w:t>
      </w:r>
      <w:r>
        <w:rPr>
          <w:rFonts w:hint="eastAsia"/>
          <w:snapToGrid/>
          <w:lang w:val="en-GB"/>
        </w:rPr>
        <w:t>经</w:t>
      </w:r>
      <w:r>
        <w:rPr>
          <w:snapToGrid/>
          <w:lang w:val="en-GB"/>
        </w:rPr>
        <w:t>登记的固态废料填埋地，但都没有按废料填埋地卫生条例建造。埋置在这些废料填埋地的废料数量约为每月</w:t>
      </w:r>
      <w:r>
        <w:rPr>
          <w:snapToGrid/>
          <w:lang w:val="en-GB"/>
        </w:rPr>
        <w:t>35,000</w:t>
      </w:r>
      <w:r>
        <w:rPr>
          <w:snapToGrid/>
          <w:lang w:val="en-GB"/>
        </w:rPr>
        <w:t>立方米。最大的废料填埋地位于</w:t>
      </w:r>
      <w:r>
        <w:rPr>
          <w:rFonts w:hint="eastAsia"/>
          <w:snapToGrid/>
          <w:lang w:val="en-GB"/>
        </w:rPr>
        <w:t>波德戈里察和</w:t>
      </w:r>
      <w:r>
        <w:rPr>
          <w:rFonts w:hint="eastAsia"/>
          <w:snapToGrid/>
          <w:lang w:val="en-GB"/>
        </w:rPr>
        <w:t>Niksic</w:t>
      </w:r>
      <w:r>
        <w:rPr>
          <w:snapToGrid/>
          <w:lang w:val="en-GB"/>
        </w:rPr>
        <w:t>。</w:t>
      </w:r>
      <w:r>
        <w:rPr>
          <w:rFonts w:hint="eastAsia"/>
          <w:snapToGrid/>
          <w:lang w:val="en-GB"/>
        </w:rPr>
        <w:t>波德戈里察</w:t>
      </w:r>
      <w:r>
        <w:rPr>
          <w:snapToGrid/>
          <w:lang w:val="en-GB"/>
        </w:rPr>
        <w:t>每月</w:t>
      </w:r>
      <w:r>
        <w:rPr>
          <w:rFonts w:hint="eastAsia"/>
          <w:snapToGrid/>
          <w:lang w:val="en-GB"/>
        </w:rPr>
        <w:t>埋置来自波德戈里察</w:t>
      </w:r>
      <w:r>
        <w:rPr>
          <w:snapToGrid/>
          <w:lang w:val="en-GB"/>
        </w:rPr>
        <w:t>和</w:t>
      </w:r>
      <w:r>
        <w:rPr>
          <w:rFonts w:hint="eastAsia"/>
          <w:snapToGrid/>
          <w:lang w:val="en-GB"/>
        </w:rPr>
        <w:t>Danilovgrad</w:t>
      </w:r>
      <w:r>
        <w:rPr>
          <w:snapToGrid/>
          <w:lang w:val="en-GB"/>
        </w:rPr>
        <w:t>(</w:t>
      </w:r>
      <w:r>
        <w:rPr>
          <w:snapToGrid/>
          <w:lang w:val="en-GB"/>
        </w:rPr>
        <w:t>该地没有废料填埋地</w:t>
      </w:r>
      <w:r>
        <w:rPr>
          <w:snapToGrid/>
          <w:lang w:val="en-GB"/>
        </w:rPr>
        <w:t>)</w:t>
      </w:r>
      <w:r>
        <w:rPr>
          <w:snapToGrid/>
          <w:lang w:val="en-GB"/>
        </w:rPr>
        <w:t>的废料约为</w:t>
      </w:r>
      <w:r>
        <w:rPr>
          <w:snapToGrid/>
          <w:lang w:val="en-GB"/>
        </w:rPr>
        <w:t>8,000</w:t>
      </w:r>
      <w:r>
        <w:rPr>
          <w:snapToGrid/>
          <w:lang w:val="en-GB"/>
        </w:rPr>
        <w:t>至</w:t>
      </w:r>
      <w:r>
        <w:rPr>
          <w:snapToGrid/>
          <w:lang w:val="en-GB"/>
        </w:rPr>
        <w:t>9,000</w:t>
      </w:r>
      <w:r>
        <w:rPr>
          <w:snapToGrid/>
          <w:lang w:val="en-GB"/>
        </w:rPr>
        <w:t>立方米，</w:t>
      </w:r>
      <w:r>
        <w:rPr>
          <w:rFonts w:hint="eastAsia"/>
          <w:snapToGrid/>
          <w:lang w:val="en-GB"/>
        </w:rPr>
        <w:t>Niksic</w:t>
      </w:r>
      <w:r>
        <w:rPr>
          <w:rFonts w:hint="eastAsia"/>
          <w:snapToGrid/>
          <w:lang w:val="en-GB"/>
        </w:rPr>
        <w:t>约为</w:t>
      </w:r>
      <w:r>
        <w:rPr>
          <w:snapToGrid/>
          <w:lang w:val="en-GB"/>
        </w:rPr>
        <w:t>每月</w:t>
      </w:r>
      <w:r>
        <w:rPr>
          <w:snapToGrid/>
          <w:lang w:val="en-GB"/>
        </w:rPr>
        <w:t>7,000</w:t>
      </w:r>
      <w:r>
        <w:rPr>
          <w:snapToGrid/>
          <w:lang w:val="en-GB"/>
        </w:rPr>
        <w:t>立方米。其他</w:t>
      </w:r>
      <w:r>
        <w:rPr>
          <w:rFonts w:hint="eastAsia"/>
          <w:snapToGrid/>
          <w:lang w:val="en-GB"/>
        </w:rPr>
        <w:t>的</w:t>
      </w:r>
      <w:r>
        <w:rPr>
          <w:snapToGrid/>
          <w:lang w:val="en-GB"/>
        </w:rPr>
        <w:t>大</w:t>
      </w:r>
      <w:r>
        <w:rPr>
          <w:snapToGrid/>
          <w:lang w:val="en-GB"/>
        </w:rPr>
        <w:t>型废料填埋地是在</w:t>
      </w:r>
      <w:r>
        <w:rPr>
          <w:snapToGrid/>
          <w:lang w:val="en-GB"/>
        </w:rPr>
        <w:t>Herceg Novi</w:t>
      </w:r>
      <w:r>
        <w:rPr>
          <w:snapToGrid/>
          <w:lang w:val="en-GB"/>
        </w:rPr>
        <w:t>、</w:t>
      </w:r>
      <w:r>
        <w:rPr>
          <w:rFonts w:hint="eastAsia"/>
          <w:snapToGrid/>
          <w:lang w:val="en-GB"/>
        </w:rPr>
        <w:t>Tivat</w:t>
      </w:r>
      <w:r>
        <w:rPr>
          <w:rFonts w:hint="eastAsia"/>
          <w:snapToGrid/>
          <w:lang w:val="en-GB"/>
        </w:rPr>
        <w:t>和</w:t>
      </w:r>
      <w:r>
        <w:rPr>
          <w:rFonts w:hint="eastAsia"/>
          <w:snapToGrid/>
          <w:lang w:val="en-GB"/>
        </w:rPr>
        <w:t>Budva</w:t>
      </w:r>
      <w:r>
        <w:rPr>
          <w:snapToGrid/>
          <w:lang w:val="en-GB"/>
        </w:rPr>
        <w:t>(</w:t>
      </w:r>
      <w:r>
        <w:rPr>
          <w:snapToGrid/>
          <w:lang w:val="en-GB"/>
        </w:rPr>
        <w:t>每月</w:t>
      </w:r>
      <w:r>
        <w:rPr>
          <w:rFonts w:hint="eastAsia"/>
          <w:snapToGrid/>
          <w:lang w:val="en-GB"/>
        </w:rPr>
        <w:t>为</w:t>
      </w:r>
      <w:r>
        <w:rPr>
          <w:snapToGrid/>
          <w:lang w:val="en-GB"/>
        </w:rPr>
        <w:t>2,500</w:t>
      </w:r>
      <w:r>
        <w:rPr>
          <w:snapToGrid/>
          <w:lang w:val="en-GB"/>
        </w:rPr>
        <w:t>立方米或以上</w:t>
      </w:r>
      <w:r>
        <w:rPr>
          <w:snapToGrid/>
          <w:lang w:val="en-GB"/>
        </w:rPr>
        <w:t>)</w:t>
      </w:r>
      <w:r>
        <w:rPr>
          <w:snapToGrid/>
          <w:lang w:val="en-GB"/>
        </w:rPr>
        <w:t>。</w:t>
      </w:r>
    </w:p>
    <w:p w:rsidR="00000000" w:rsidRDefault="00844A84">
      <w:pPr>
        <w:ind w:firstLine="510"/>
        <w:rPr>
          <w:rFonts w:hint="eastAsia"/>
          <w:snapToGrid/>
          <w:lang w:val="en-GB"/>
        </w:rPr>
      </w:pPr>
      <w:r>
        <w:rPr>
          <w:rFonts w:hint="eastAsia"/>
          <w:snapToGrid/>
          <w:lang w:val="en-GB"/>
        </w:rPr>
        <w:t>688.</w:t>
      </w:r>
      <w:r>
        <w:t xml:space="preserve">  </w:t>
      </w:r>
      <w:r>
        <w:rPr>
          <w:rFonts w:hint="eastAsia"/>
          <w:snapToGrid/>
          <w:lang w:val="en-GB"/>
        </w:rPr>
        <w:t>黑山没有有组织收集和处理危险废料的方案。这种废料一部分埋置在未受保护的废料填埋地，对环境产生直接的影响。</w:t>
      </w:r>
    </w:p>
    <w:p w:rsidR="00000000" w:rsidRDefault="00844A84">
      <w:pPr>
        <w:ind w:firstLine="510"/>
        <w:rPr>
          <w:rFonts w:hint="eastAsia"/>
          <w:snapToGrid/>
          <w:lang w:val="en-GB"/>
        </w:rPr>
      </w:pPr>
      <w:r>
        <w:rPr>
          <w:rFonts w:hint="eastAsia"/>
          <w:snapToGrid/>
          <w:lang w:val="en-GB"/>
        </w:rPr>
        <w:t>689.</w:t>
      </w:r>
      <w:r>
        <w:t xml:space="preserve">  </w:t>
      </w:r>
      <w:r>
        <w:rPr>
          <w:rFonts w:hint="eastAsia"/>
          <w:snapToGrid/>
          <w:lang w:val="en-GB"/>
        </w:rPr>
        <w:t>必须一提的是，工业厂房的环境卫生很差，也没有认识到予以改善的必要性。但对于这一问题，私营部门和公营部门的态度各不相同，私营部门的状况要好得多。这种不卫生的状况可造成一系列传染病。</w:t>
      </w:r>
    </w:p>
    <w:p w:rsidR="00000000" w:rsidRDefault="00844A84">
      <w:pPr>
        <w:ind w:firstLine="510"/>
        <w:rPr>
          <w:rFonts w:hint="eastAsia"/>
          <w:snapToGrid/>
          <w:lang w:val="en-GB"/>
        </w:rPr>
      </w:pPr>
      <w:r>
        <w:rPr>
          <w:rFonts w:hint="eastAsia"/>
          <w:snapToGrid/>
          <w:lang w:val="en-GB"/>
        </w:rPr>
        <w:t>690.</w:t>
      </w:r>
      <w:r>
        <w:t xml:space="preserve">  </w:t>
      </w:r>
      <w:r>
        <w:rPr>
          <w:rFonts w:hint="eastAsia"/>
          <w:snapToGrid/>
          <w:lang w:val="en-GB"/>
        </w:rPr>
        <w:t>极其重要的是必须指出，</w:t>
      </w:r>
      <w:r>
        <w:rPr>
          <w:snapToGrid/>
          <w:lang w:val="en-GB"/>
        </w:rPr>
        <w:t>1999</w:t>
      </w:r>
      <w:r>
        <w:rPr>
          <w:snapToGrid/>
          <w:lang w:val="en-GB"/>
        </w:rPr>
        <w:t>年北约空袭期间，大约发射</w:t>
      </w:r>
      <w:r>
        <w:rPr>
          <w:rFonts w:hint="eastAsia"/>
          <w:snapToGrid/>
          <w:lang w:val="en-GB"/>
        </w:rPr>
        <w:t>了</w:t>
      </w:r>
      <w:r>
        <w:rPr>
          <w:snapToGrid/>
          <w:lang w:val="en-GB"/>
        </w:rPr>
        <w:t>400</w:t>
      </w:r>
      <w:r>
        <w:rPr>
          <w:snapToGrid/>
          <w:lang w:val="en-GB"/>
        </w:rPr>
        <w:t>枚</w:t>
      </w:r>
      <w:r>
        <w:rPr>
          <w:rFonts w:hint="eastAsia"/>
          <w:snapToGrid/>
          <w:lang w:val="en-GB"/>
        </w:rPr>
        <w:t>含铀</w:t>
      </w:r>
      <w:r>
        <w:rPr>
          <w:snapToGrid/>
          <w:lang w:val="en-GB"/>
        </w:rPr>
        <w:t>导弹。</w:t>
      </w:r>
      <w:r>
        <w:rPr>
          <w:rFonts w:hint="eastAsia"/>
          <w:snapToGrid/>
          <w:lang w:val="en-GB"/>
        </w:rPr>
        <w:t>Boka</w:t>
      </w:r>
      <w:r>
        <w:rPr>
          <w:rFonts w:hint="eastAsia"/>
          <w:snapToGrid/>
          <w:lang w:val="en-GB"/>
        </w:rPr>
        <w:t>湾</w:t>
      </w:r>
      <w:r>
        <w:rPr>
          <w:rFonts w:hint="eastAsia"/>
          <w:snapToGrid/>
          <w:lang w:val="en-GB"/>
        </w:rPr>
        <w:t>Lust</w:t>
      </w:r>
      <w:r>
        <w:rPr>
          <w:rFonts w:hint="eastAsia"/>
          <w:snapToGrid/>
          <w:lang w:val="en-GB"/>
        </w:rPr>
        <w:t>ica</w:t>
      </w:r>
      <w:r>
        <w:rPr>
          <w:rFonts w:hint="eastAsia"/>
          <w:snapToGrid/>
          <w:lang w:val="en-GB"/>
        </w:rPr>
        <w:t>半岛的</w:t>
      </w:r>
      <w:r>
        <w:rPr>
          <w:rFonts w:hint="eastAsia"/>
          <w:snapToGrid/>
          <w:lang w:val="en-GB"/>
        </w:rPr>
        <w:t>Arza</w:t>
      </w:r>
      <w:r>
        <w:rPr>
          <w:rFonts w:hint="eastAsia"/>
          <w:snapToGrid/>
          <w:lang w:val="en-GB"/>
        </w:rPr>
        <w:t>海角</w:t>
      </w:r>
      <w:r>
        <w:rPr>
          <w:snapToGrid/>
          <w:lang w:val="en-GB"/>
        </w:rPr>
        <w:t>6</w:t>
      </w:r>
      <w:r>
        <w:rPr>
          <w:snapToGrid/>
          <w:lang w:val="en-GB"/>
        </w:rPr>
        <w:t>万平方米的地区受到了污染。去年，一个专家组清理</w:t>
      </w:r>
      <w:r>
        <w:rPr>
          <w:rFonts w:hint="eastAsia"/>
          <w:snapToGrid/>
          <w:lang w:val="en-GB"/>
        </w:rPr>
        <w:t>了约</w:t>
      </w:r>
      <w:r>
        <w:rPr>
          <w:snapToGrid/>
          <w:lang w:val="en-GB"/>
        </w:rPr>
        <w:t>20,000</w:t>
      </w:r>
      <w:r>
        <w:rPr>
          <w:snapToGrid/>
          <w:lang w:val="en-GB"/>
        </w:rPr>
        <w:t>平方米</w:t>
      </w:r>
      <w:r>
        <w:rPr>
          <w:rFonts w:hint="eastAsia"/>
          <w:snapToGrid/>
          <w:lang w:val="en-GB"/>
        </w:rPr>
        <w:t>土地中</w:t>
      </w:r>
      <w:r>
        <w:rPr>
          <w:snapToGrid/>
          <w:lang w:val="en-GB"/>
        </w:rPr>
        <w:t>130</w:t>
      </w:r>
      <w:r>
        <w:rPr>
          <w:snapToGrid/>
          <w:lang w:val="en-GB"/>
        </w:rPr>
        <w:t>枚</w:t>
      </w:r>
      <w:r>
        <w:rPr>
          <w:rFonts w:hint="eastAsia"/>
          <w:snapToGrid/>
          <w:lang w:val="en-GB"/>
        </w:rPr>
        <w:t>含铀</w:t>
      </w:r>
      <w:r>
        <w:rPr>
          <w:snapToGrid/>
          <w:lang w:val="en-GB"/>
        </w:rPr>
        <w:t>导弹及碎片，收集后送到贝尔格莱德的</w:t>
      </w:r>
      <w:r>
        <w:rPr>
          <w:snapToGrid/>
          <w:lang w:val="en-GB"/>
        </w:rPr>
        <w:t>“</w:t>
      </w:r>
      <w:r>
        <w:rPr>
          <w:rFonts w:hint="eastAsia"/>
          <w:snapToGrid/>
          <w:lang w:val="en-GB"/>
        </w:rPr>
        <w:t>Vinca</w:t>
      </w:r>
      <w:r>
        <w:rPr>
          <w:snapToGrid/>
          <w:lang w:val="en-GB"/>
        </w:rPr>
        <w:t>”</w:t>
      </w:r>
      <w:r>
        <w:rPr>
          <w:snapToGrid/>
          <w:lang w:val="en-GB"/>
        </w:rPr>
        <w:t>研究所。两</w:t>
      </w:r>
      <w:r>
        <w:rPr>
          <w:rFonts w:hint="eastAsia"/>
          <w:snapToGrid/>
          <w:lang w:val="en-GB"/>
        </w:rPr>
        <w:t>吨</w:t>
      </w:r>
      <w:r>
        <w:rPr>
          <w:snapToGrid/>
          <w:lang w:val="en-GB"/>
        </w:rPr>
        <w:t>受污染的土壤和其他物质</w:t>
      </w:r>
      <w:r>
        <w:rPr>
          <w:rFonts w:hint="eastAsia"/>
          <w:snapToGrid/>
          <w:lang w:val="en-GB"/>
        </w:rPr>
        <w:t>被</w:t>
      </w:r>
      <w:r>
        <w:rPr>
          <w:snapToGrid/>
          <w:lang w:val="en-GB"/>
        </w:rPr>
        <w:t>埋置在位于</w:t>
      </w:r>
      <w:r>
        <w:rPr>
          <w:rFonts w:hint="eastAsia"/>
          <w:snapToGrid/>
          <w:lang w:val="en-GB"/>
        </w:rPr>
        <w:t>Arza</w:t>
      </w:r>
      <w:r>
        <w:rPr>
          <w:rFonts w:hint="eastAsia"/>
          <w:snapToGrid/>
          <w:lang w:val="en-GB"/>
        </w:rPr>
        <w:t>海角当地</w:t>
      </w:r>
      <w:r>
        <w:rPr>
          <w:snapToGrid/>
          <w:lang w:val="en-GB"/>
        </w:rPr>
        <w:t>的</w:t>
      </w:r>
      <w:r>
        <w:rPr>
          <w:rFonts w:hint="eastAsia"/>
          <w:snapToGrid/>
          <w:lang w:val="en-GB"/>
        </w:rPr>
        <w:t>贮藏库</w:t>
      </w:r>
      <w:r>
        <w:rPr>
          <w:snapToGrid/>
          <w:lang w:val="en-GB"/>
        </w:rPr>
        <w:t>。计划定于今年</w:t>
      </w:r>
      <w:r>
        <w:rPr>
          <w:snapToGrid/>
          <w:lang w:val="en-GB"/>
        </w:rPr>
        <w:t>3</w:t>
      </w:r>
      <w:r>
        <w:rPr>
          <w:snapToGrid/>
          <w:lang w:val="en-GB"/>
        </w:rPr>
        <w:t>月</w:t>
      </w:r>
      <w:r>
        <w:rPr>
          <w:rFonts w:hint="eastAsia"/>
          <w:snapToGrid/>
          <w:lang w:val="en-GB"/>
        </w:rPr>
        <w:t>清除</w:t>
      </w:r>
      <w:r>
        <w:rPr>
          <w:snapToGrid/>
          <w:lang w:val="en-GB"/>
        </w:rPr>
        <w:t>污染，但由于没有及时提供项目经费，清除污染的工作在</w:t>
      </w:r>
      <w:r>
        <w:rPr>
          <w:snapToGrid/>
          <w:lang w:val="en-GB"/>
        </w:rPr>
        <w:t>9</w:t>
      </w:r>
      <w:r>
        <w:rPr>
          <w:snapToGrid/>
          <w:lang w:val="en-GB"/>
        </w:rPr>
        <w:t>月初才继续进行。</w:t>
      </w:r>
    </w:p>
    <w:p w:rsidR="00000000" w:rsidRDefault="00844A84">
      <w:pPr>
        <w:ind w:firstLine="510"/>
        <w:rPr>
          <w:rFonts w:hint="eastAsia"/>
          <w:snapToGrid/>
          <w:lang w:val="en-GB"/>
        </w:rPr>
      </w:pPr>
      <w:r>
        <w:rPr>
          <w:rFonts w:hint="eastAsia"/>
          <w:snapToGrid/>
          <w:lang w:val="en-GB"/>
        </w:rPr>
        <w:t>691.</w:t>
      </w:r>
      <w:r>
        <w:t xml:space="preserve">  </w:t>
      </w:r>
      <w:r>
        <w:rPr>
          <w:rFonts w:hint="eastAsia"/>
          <w:snapToGrid/>
          <w:lang w:val="en-GB"/>
        </w:rPr>
        <w:t>为了组织良好的合作来解决这一问题，丹麦政府收集了黑山提供的数据，编写了有关环境问题的报告。</w:t>
      </w:r>
    </w:p>
    <w:p w:rsidR="00000000" w:rsidRDefault="00844A84">
      <w:pPr>
        <w:ind w:firstLine="510"/>
        <w:rPr>
          <w:rFonts w:hint="eastAsia"/>
          <w:snapToGrid/>
          <w:lang w:val="en-GB"/>
        </w:rPr>
      </w:pPr>
      <w:r>
        <w:rPr>
          <w:rFonts w:hint="eastAsia"/>
          <w:snapToGrid/>
          <w:lang w:val="en-GB"/>
        </w:rPr>
        <w:t>692.</w:t>
      </w:r>
      <w:r>
        <w:t xml:space="preserve">  </w:t>
      </w:r>
      <w:r>
        <w:rPr>
          <w:rFonts w:hint="eastAsia"/>
          <w:snapToGrid/>
          <w:lang w:val="en-GB"/>
        </w:rPr>
        <w:t>另一份重要的文件，是</w:t>
      </w:r>
      <w:r>
        <w:rPr>
          <w:snapToGrid/>
          <w:lang w:val="en-GB"/>
        </w:rPr>
        <w:t>2002</w:t>
      </w:r>
      <w:r>
        <w:rPr>
          <w:snapToGrid/>
          <w:lang w:val="en-GB"/>
        </w:rPr>
        <w:t>年</w:t>
      </w:r>
      <w:r>
        <w:rPr>
          <w:snapToGrid/>
          <w:lang w:val="en-GB"/>
        </w:rPr>
        <w:t>11</w:t>
      </w:r>
      <w:r>
        <w:rPr>
          <w:snapToGrid/>
          <w:lang w:val="en-GB"/>
        </w:rPr>
        <w:t>月</w:t>
      </w:r>
      <w:r>
        <w:rPr>
          <w:snapToGrid/>
          <w:lang w:val="en-GB"/>
        </w:rPr>
        <w:t>5</w:t>
      </w:r>
      <w:r>
        <w:rPr>
          <w:snapToGrid/>
          <w:lang w:val="en-GB"/>
        </w:rPr>
        <w:t>日在日内瓦通过的对南斯拉夫环境状况的</w:t>
      </w:r>
      <w:r>
        <w:rPr>
          <w:snapToGrid/>
          <w:lang w:val="en-GB"/>
        </w:rPr>
        <w:t>审查报告。联合国欧洲经济委员会专家组在两次访问黑山和塞尔维亚后，与我国专家合作编写</w:t>
      </w:r>
      <w:r>
        <w:rPr>
          <w:rFonts w:hint="eastAsia"/>
          <w:snapToGrid/>
          <w:lang w:val="en-GB"/>
        </w:rPr>
        <w:t>了</w:t>
      </w:r>
      <w:r>
        <w:rPr>
          <w:snapToGrid/>
          <w:lang w:val="en-GB"/>
        </w:rPr>
        <w:t>这份报告。报告</w:t>
      </w:r>
      <w:r>
        <w:rPr>
          <w:rFonts w:hint="eastAsia"/>
          <w:snapToGrid/>
          <w:lang w:val="en-GB"/>
        </w:rPr>
        <w:t>第</w:t>
      </w:r>
      <w:r>
        <w:rPr>
          <w:snapToGrid/>
          <w:lang w:val="en-GB"/>
        </w:rPr>
        <w:t>15</w:t>
      </w:r>
      <w:r>
        <w:rPr>
          <w:snapToGrid/>
          <w:lang w:val="en-GB"/>
        </w:rPr>
        <w:t>章提供了</w:t>
      </w:r>
      <w:r>
        <w:rPr>
          <w:rFonts w:hint="eastAsia"/>
          <w:snapToGrid/>
          <w:lang w:val="en-GB"/>
        </w:rPr>
        <w:t>有关</w:t>
      </w:r>
      <w:r>
        <w:rPr>
          <w:snapToGrid/>
          <w:lang w:val="en-GB"/>
        </w:rPr>
        <w:t>黑山和塞尔维亚环境方面的所有资料，并</w:t>
      </w:r>
      <w:r>
        <w:rPr>
          <w:rFonts w:hint="eastAsia"/>
          <w:snapToGrid/>
          <w:lang w:val="en-GB"/>
        </w:rPr>
        <w:t>载有</w:t>
      </w:r>
      <w:r>
        <w:rPr>
          <w:snapToGrid/>
          <w:lang w:val="en-GB"/>
        </w:rPr>
        <w:t>如何克服这些问题的建议。</w:t>
      </w:r>
    </w:p>
    <w:p w:rsidR="00000000" w:rsidRDefault="00844A84">
      <w:pPr>
        <w:ind w:firstLine="510"/>
        <w:rPr>
          <w:rFonts w:hint="eastAsia"/>
          <w:snapToGrid/>
          <w:lang w:val="en-GB"/>
        </w:rPr>
      </w:pPr>
      <w:r>
        <w:rPr>
          <w:rFonts w:hint="eastAsia"/>
          <w:snapToGrid/>
          <w:lang w:val="en-GB"/>
        </w:rPr>
        <w:t>693.</w:t>
      </w:r>
      <w:r>
        <w:t xml:space="preserve">  </w:t>
      </w:r>
      <w:r>
        <w:rPr>
          <w:rFonts w:hint="eastAsia"/>
          <w:snapToGrid/>
          <w:lang w:val="en-GB"/>
        </w:rPr>
        <w:t>我国与之合作改善和促进保护环境工作的国际组织包括：世界银行，我国与世界银行的合作项目是解决</w:t>
      </w:r>
      <w:r>
        <w:rPr>
          <w:rFonts w:hint="eastAsia"/>
          <w:snapToGrid/>
          <w:lang w:val="en-GB"/>
        </w:rPr>
        <w:t>Kotor</w:t>
      </w:r>
      <w:r>
        <w:rPr>
          <w:rFonts w:hint="eastAsia"/>
          <w:snapToGrid/>
          <w:lang w:val="en-GB"/>
        </w:rPr>
        <w:t>、</w:t>
      </w:r>
      <w:r>
        <w:rPr>
          <w:rFonts w:hint="eastAsia"/>
          <w:snapToGrid/>
          <w:lang w:val="en-GB"/>
        </w:rPr>
        <w:t>Tivat</w:t>
      </w:r>
      <w:r>
        <w:rPr>
          <w:rFonts w:hint="eastAsia"/>
          <w:snapToGrid/>
          <w:lang w:val="en-GB"/>
        </w:rPr>
        <w:t>和</w:t>
      </w:r>
      <w:r>
        <w:rPr>
          <w:rFonts w:hint="eastAsia"/>
          <w:snapToGrid/>
          <w:lang w:val="en-GB"/>
        </w:rPr>
        <w:t>Budva</w:t>
      </w:r>
      <w:r>
        <w:rPr>
          <w:rFonts w:hint="eastAsia"/>
          <w:snapToGrid/>
          <w:lang w:val="en-GB"/>
        </w:rPr>
        <w:t>各市公用废水问题，获得的赠款为</w:t>
      </w:r>
      <w:r>
        <w:rPr>
          <w:snapToGrid/>
          <w:lang w:val="en-GB"/>
        </w:rPr>
        <w:t>200</w:t>
      </w:r>
      <w:r>
        <w:rPr>
          <w:snapToGrid/>
          <w:lang w:val="en-GB"/>
        </w:rPr>
        <w:t>万美元</w:t>
      </w:r>
      <w:r>
        <w:rPr>
          <w:rFonts w:hint="eastAsia"/>
          <w:snapToGrid/>
          <w:lang w:val="en-GB"/>
        </w:rPr>
        <w:t>，用于建造</w:t>
      </w:r>
      <w:r>
        <w:rPr>
          <w:rFonts w:hint="eastAsia"/>
          <w:snapToGrid/>
          <w:lang w:val="en-GB"/>
        </w:rPr>
        <w:t>Upper Zeta</w:t>
      </w:r>
      <w:r>
        <w:rPr>
          <w:rFonts w:hint="eastAsia"/>
          <w:snapToGrid/>
          <w:lang w:val="en-GB"/>
        </w:rPr>
        <w:t>流域的供水系统，</w:t>
      </w:r>
      <w:r>
        <w:rPr>
          <w:snapToGrid/>
          <w:lang w:val="en-GB"/>
        </w:rPr>
        <w:t>以及综合管理</w:t>
      </w:r>
      <w:r>
        <w:rPr>
          <w:rFonts w:hint="eastAsia"/>
          <w:snapToGrid/>
          <w:lang w:val="en-GB"/>
        </w:rPr>
        <w:t>斯卡达尔湖</w:t>
      </w:r>
      <w:r>
        <w:rPr>
          <w:snapToGrid/>
          <w:lang w:val="en-GB"/>
        </w:rPr>
        <w:t>生态系统综合管理项目；区域环境中心，正在进行的若干项目是加强国家环境保护机构，并成立</w:t>
      </w:r>
      <w:r>
        <w:rPr>
          <w:snapToGrid/>
          <w:lang w:val="en-GB"/>
        </w:rPr>
        <w:t>区域</w:t>
      </w:r>
      <w:r>
        <w:rPr>
          <w:snapToGrid/>
          <w:lang w:val="en-GB"/>
        </w:rPr>
        <w:t>“</w:t>
      </w:r>
      <w:r>
        <w:rPr>
          <w:rFonts w:hint="eastAsia"/>
          <w:snapToGrid/>
          <w:lang w:val="en-GB"/>
        </w:rPr>
        <w:t>巴尔干</w:t>
      </w:r>
      <w:r>
        <w:rPr>
          <w:snapToGrid/>
          <w:lang w:val="en-GB"/>
        </w:rPr>
        <w:t>协调和执行环境保护条例网络</w:t>
      </w:r>
      <w:r>
        <w:rPr>
          <w:snapToGrid/>
          <w:lang w:val="en-GB"/>
        </w:rPr>
        <w:t>”</w:t>
      </w:r>
      <w:r>
        <w:rPr>
          <w:snapToGrid/>
          <w:lang w:val="en-GB"/>
        </w:rPr>
        <w:t>；以及联合国开发计划署</w:t>
      </w:r>
      <w:r>
        <w:rPr>
          <w:snapToGrid/>
          <w:lang w:val="en-GB"/>
        </w:rPr>
        <w:t>(</w:t>
      </w:r>
      <w:r>
        <w:rPr>
          <w:snapToGrid/>
          <w:lang w:val="en-GB"/>
        </w:rPr>
        <w:t>开发计划署</w:t>
      </w:r>
      <w:r>
        <w:rPr>
          <w:snapToGrid/>
          <w:lang w:val="en-GB"/>
        </w:rPr>
        <w:t>)</w:t>
      </w:r>
      <w:r>
        <w:rPr>
          <w:snapToGrid/>
          <w:lang w:val="en-GB"/>
        </w:rPr>
        <w:t>，</w:t>
      </w:r>
      <w:r>
        <w:rPr>
          <w:rFonts w:hint="eastAsia"/>
          <w:snapToGrid/>
          <w:lang w:val="en-GB"/>
        </w:rPr>
        <w:t>该机构</w:t>
      </w:r>
      <w:r>
        <w:rPr>
          <w:snapToGrid/>
          <w:lang w:val="en-GB"/>
        </w:rPr>
        <w:t>是若干项目</w:t>
      </w:r>
      <w:r>
        <w:rPr>
          <w:snapToGrid/>
          <w:lang w:val="en-GB"/>
        </w:rPr>
        <w:t>(</w:t>
      </w:r>
      <w:r>
        <w:rPr>
          <w:snapToGrid/>
          <w:lang w:val="en-GB"/>
        </w:rPr>
        <w:t>气候变化和生物多样性项目</w:t>
      </w:r>
      <w:r>
        <w:rPr>
          <w:snapToGrid/>
          <w:lang w:val="en-GB"/>
        </w:rPr>
        <w:t>)</w:t>
      </w:r>
      <w:r>
        <w:rPr>
          <w:snapToGrid/>
          <w:lang w:val="en-GB"/>
        </w:rPr>
        <w:t>的执行机构。</w:t>
      </w:r>
    </w:p>
    <w:p w:rsidR="00000000" w:rsidRDefault="00844A84">
      <w:pPr>
        <w:ind w:firstLine="510"/>
        <w:rPr>
          <w:rFonts w:hint="eastAsia"/>
          <w:snapToGrid/>
          <w:lang w:val="en-GB"/>
        </w:rPr>
      </w:pPr>
      <w:r>
        <w:rPr>
          <w:rFonts w:hint="eastAsia"/>
          <w:snapToGrid/>
          <w:lang w:val="en-GB"/>
        </w:rPr>
        <w:t>694.</w:t>
      </w:r>
      <w:r>
        <w:t xml:space="preserve">  </w:t>
      </w:r>
      <w:r>
        <w:rPr>
          <w:rFonts w:hint="eastAsia"/>
          <w:snapToGrid/>
          <w:lang w:val="en-GB"/>
        </w:rPr>
        <w:t>黑山共和国政府每年都通过关于环境保护问题的报告，用以监测基本环境部门的状况如空气、水、土地和生物多样性。已经实施的以下方案已载入本报告：</w:t>
      </w:r>
    </w:p>
    <w:p w:rsidR="00000000" w:rsidRDefault="00844A84">
      <w:pPr>
        <w:pStyle w:val="a0"/>
        <w:tabs>
          <w:tab w:val="clear" w:pos="510"/>
          <w:tab w:val="num" w:pos="1550"/>
        </w:tabs>
        <w:ind w:left="1550"/>
        <w:rPr>
          <w:rFonts w:hint="eastAsia"/>
          <w:snapToGrid/>
          <w:lang w:val="en-GB"/>
        </w:rPr>
      </w:pPr>
      <w:r>
        <w:rPr>
          <w:rFonts w:hint="eastAsia"/>
          <w:snapToGrid/>
          <w:lang w:val="en-GB"/>
        </w:rPr>
        <w:t>空气质量管制方案；</w:t>
      </w:r>
    </w:p>
    <w:p w:rsidR="00000000" w:rsidRDefault="00844A84">
      <w:pPr>
        <w:pStyle w:val="a0"/>
        <w:tabs>
          <w:tab w:val="clear" w:pos="510"/>
          <w:tab w:val="num" w:pos="1550"/>
        </w:tabs>
        <w:ind w:left="1550"/>
        <w:rPr>
          <w:rFonts w:hint="eastAsia"/>
          <w:snapToGrid/>
          <w:lang w:val="en-GB"/>
        </w:rPr>
      </w:pPr>
      <w:r>
        <w:rPr>
          <w:rFonts w:hint="eastAsia"/>
          <w:snapToGrid/>
          <w:lang w:val="en-GB"/>
        </w:rPr>
        <w:t>地下水和地表水质量和数量检查方案；</w:t>
      </w:r>
    </w:p>
    <w:p w:rsidR="00000000" w:rsidRDefault="00844A84">
      <w:pPr>
        <w:pStyle w:val="a0"/>
        <w:tabs>
          <w:tab w:val="clear" w:pos="510"/>
          <w:tab w:val="num" w:pos="1550"/>
        </w:tabs>
        <w:ind w:left="1550"/>
        <w:rPr>
          <w:rFonts w:hint="eastAsia"/>
          <w:snapToGrid/>
          <w:lang w:val="en-GB"/>
        </w:rPr>
      </w:pPr>
      <w:r>
        <w:rPr>
          <w:rFonts w:hint="eastAsia"/>
          <w:snapToGrid/>
          <w:lang w:val="en-GB"/>
        </w:rPr>
        <w:t>放射性核素含量系统控制方案；</w:t>
      </w:r>
    </w:p>
    <w:p w:rsidR="00000000" w:rsidRDefault="00844A84">
      <w:pPr>
        <w:pStyle w:val="a0"/>
        <w:tabs>
          <w:tab w:val="clear" w:pos="510"/>
          <w:tab w:val="num" w:pos="1550"/>
        </w:tabs>
        <w:ind w:left="1550"/>
        <w:rPr>
          <w:rFonts w:hint="eastAsia"/>
          <w:snapToGrid/>
          <w:lang w:val="en-GB"/>
        </w:rPr>
      </w:pPr>
      <w:r>
        <w:rPr>
          <w:rFonts w:hint="eastAsia"/>
          <w:snapToGrid/>
          <w:lang w:val="en-GB"/>
        </w:rPr>
        <w:t>控制土壤内发现的危险和有害物质方案；</w:t>
      </w:r>
    </w:p>
    <w:p w:rsidR="00000000" w:rsidRDefault="00844A84">
      <w:pPr>
        <w:pStyle w:val="a0"/>
        <w:tabs>
          <w:tab w:val="clear" w:pos="510"/>
          <w:tab w:val="num" w:pos="1550"/>
        </w:tabs>
        <w:ind w:left="1550"/>
        <w:rPr>
          <w:rFonts w:hint="eastAsia"/>
          <w:snapToGrid/>
          <w:lang w:val="en-GB"/>
        </w:rPr>
      </w:pPr>
      <w:r>
        <w:rPr>
          <w:rFonts w:hint="eastAsia"/>
          <w:snapToGrid/>
          <w:lang w:val="en-GB"/>
        </w:rPr>
        <w:t>生物多样性检查方案。</w:t>
      </w:r>
    </w:p>
    <w:p w:rsidR="00000000" w:rsidRDefault="00844A84">
      <w:pPr>
        <w:ind w:firstLine="510"/>
        <w:rPr>
          <w:rFonts w:hint="eastAsia"/>
          <w:snapToGrid/>
          <w:lang w:val="en-GB"/>
        </w:rPr>
      </w:pPr>
      <w:r>
        <w:rPr>
          <w:rFonts w:hint="eastAsia"/>
          <w:snapToGrid/>
          <w:lang w:val="en-GB"/>
        </w:rPr>
        <w:t>695.</w:t>
      </w:r>
      <w:r>
        <w:t xml:space="preserve">  </w:t>
      </w:r>
      <w:r>
        <w:rPr>
          <w:rFonts w:hint="eastAsia"/>
          <w:snapToGrid/>
          <w:lang w:val="en-GB"/>
        </w:rPr>
        <w:t>依照本报告提出的结论，黑山政府建议根据监测期间查明的各种条件采取措施</w:t>
      </w:r>
      <w:r>
        <w:rPr>
          <w:rFonts w:hint="eastAsia"/>
          <w:snapToGrid/>
          <w:lang w:val="en-GB"/>
        </w:rPr>
        <w:t>。</w:t>
      </w:r>
    </w:p>
    <w:p w:rsidR="00000000" w:rsidRDefault="00844A84">
      <w:pPr>
        <w:ind w:firstLine="510"/>
        <w:rPr>
          <w:rFonts w:hint="eastAsia"/>
          <w:snapToGrid/>
          <w:lang w:val="en-GB"/>
        </w:rPr>
      </w:pPr>
      <w:r>
        <w:rPr>
          <w:rFonts w:hint="eastAsia"/>
          <w:snapToGrid/>
          <w:lang w:val="en-GB"/>
        </w:rPr>
        <w:t>696.</w:t>
      </w:r>
      <w:r>
        <w:rPr>
          <w:snapToGrid/>
          <w:lang w:val="en-GB"/>
        </w:rPr>
        <w:t xml:space="preserve"> </w:t>
      </w:r>
      <w:r>
        <w:rPr>
          <w:rFonts w:hint="eastAsia"/>
          <w:snapToGrid/>
          <w:lang w:val="en-GB"/>
        </w:rPr>
        <w:t xml:space="preserve"> </w:t>
      </w:r>
      <w:r>
        <w:rPr>
          <w:snapToGrid/>
          <w:lang w:val="en-GB"/>
        </w:rPr>
        <w:t>2002</w:t>
      </w:r>
      <w:r>
        <w:rPr>
          <w:snapToGrid/>
          <w:lang w:val="en-GB"/>
        </w:rPr>
        <w:t>年拨给环境保护</w:t>
      </w:r>
      <w:r>
        <w:rPr>
          <w:rFonts w:hint="eastAsia"/>
          <w:snapToGrid/>
          <w:lang w:val="en-GB"/>
        </w:rPr>
        <w:t>项目</w:t>
      </w:r>
      <w:r>
        <w:rPr>
          <w:snapToGrid/>
          <w:lang w:val="en-GB"/>
        </w:rPr>
        <w:t>的预算经费如下：</w:t>
      </w:r>
    </w:p>
    <w:p w:rsidR="00000000" w:rsidRDefault="00844A84">
      <w:pPr>
        <w:pStyle w:val="a0"/>
        <w:tabs>
          <w:tab w:val="clear" w:pos="510"/>
          <w:tab w:val="num" w:pos="1550"/>
        </w:tabs>
        <w:ind w:left="1550"/>
        <w:rPr>
          <w:rFonts w:hint="eastAsia"/>
          <w:snapToGrid/>
          <w:lang w:val="en-GB"/>
        </w:rPr>
      </w:pPr>
      <w:r>
        <w:rPr>
          <w:rFonts w:hint="eastAsia"/>
          <w:snapToGrid/>
          <w:lang w:val="en-GB"/>
        </w:rPr>
        <w:t>购置实验室设备</w:t>
      </w:r>
      <w:r>
        <w:rPr>
          <w:rFonts w:hint="eastAsia"/>
          <w:snapToGrid/>
          <w:lang w:val="en-GB"/>
        </w:rPr>
        <w:t>(</w:t>
      </w:r>
      <w:r>
        <w:rPr>
          <w:rFonts w:hint="eastAsia"/>
          <w:snapToGrid/>
          <w:lang w:val="en-GB"/>
        </w:rPr>
        <w:t>生态毒物学中心</w:t>
      </w:r>
      <w:r>
        <w:rPr>
          <w:rFonts w:hint="eastAsia"/>
          <w:snapToGrid/>
          <w:lang w:val="en-GB"/>
        </w:rPr>
        <w:t>)</w:t>
      </w:r>
      <w:r>
        <w:rPr>
          <w:rFonts w:hint="eastAsia"/>
          <w:snapToGrid/>
          <w:lang w:val="en-GB"/>
        </w:rPr>
        <w:t>，</w:t>
      </w:r>
      <w:r>
        <w:rPr>
          <w:snapToGrid/>
          <w:lang w:val="en-GB"/>
        </w:rPr>
        <w:t>50,000</w:t>
      </w:r>
      <w:r>
        <w:rPr>
          <w:snapToGrid/>
          <w:lang w:val="en-GB"/>
        </w:rPr>
        <w:t>马克；</w:t>
      </w:r>
    </w:p>
    <w:p w:rsidR="00000000" w:rsidRDefault="00844A84">
      <w:pPr>
        <w:pStyle w:val="a0"/>
        <w:tabs>
          <w:tab w:val="clear" w:pos="510"/>
          <w:tab w:val="num" w:pos="1550"/>
        </w:tabs>
        <w:ind w:left="1550"/>
        <w:rPr>
          <w:rFonts w:hint="eastAsia"/>
          <w:snapToGrid/>
          <w:lang w:val="en-GB"/>
        </w:rPr>
      </w:pPr>
      <w:r>
        <w:rPr>
          <w:snapToGrid/>
          <w:lang w:val="en-GB"/>
        </w:rPr>
        <w:t>设立黑山国家公园方案，</w:t>
      </w:r>
      <w:r>
        <w:rPr>
          <w:snapToGrid/>
          <w:lang w:val="en-GB"/>
        </w:rPr>
        <w:t>200,</w:t>
      </w:r>
      <w:r>
        <w:rPr>
          <w:rFonts w:hint="eastAsia"/>
          <w:snapToGrid/>
          <w:lang w:val="en-GB"/>
        </w:rPr>
        <w:t>0</w:t>
      </w:r>
      <w:r>
        <w:rPr>
          <w:snapToGrid/>
          <w:lang w:val="en-GB"/>
        </w:rPr>
        <w:t>00</w:t>
      </w:r>
      <w:r>
        <w:rPr>
          <w:snapToGrid/>
          <w:lang w:val="en-GB"/>
        </w:rPr>
        <w:t>马克；</w:t>
      </w:r>
    </w:p>
    <w:p w:rsidR="00000000" w:rsidRDefault="00844A84">
      <w:pPr>
        <w:pStyle w:val="a0"/>
        <w:tabs>
          <w:tab w:val="clear" w:pos="510"/>
          <w:tab w:val="num" w:pos="1550"/>
        </w:tabs>
        <w:ind w:left="1550"/>
        <w:rPr>
          <w:rFonts w:hint="eastAsia"/>
          <w:snapToGrid/>
          <w:lang w:val="en-GB"/>
        </w:rPr>
      </w:pPr>
      <w:r>
        <w:rPr>
          <w:snapToGrid/>
          <w:lang w:val="en-GB"/>
        </w:rPr>
        <w:t>建立黑山海岸区域供水系统，</w:t>
      </w:r>
      <w:r>
        <w:rPr>
          <w:snapToGrid/>
          <w:lang w:val="en-GB"/>
        </w:rPr>
        <w:t>390,000</w:t>
      </w:r>
      <w:r>
        <w:rPr>
          <w:snapToGrid/>
          <w:lang w:val="en-GB"/>
        </w:rPr>
        <w:t>马克；</w:t>
      </w:r>
    </w:p>
    <w:p w:rsidR="00000000" w:rsidRDefault="00844A84">
      <w:pPr>
        <w:pStyle w:val="a0"/>
        <w:tabs>
          <w:tab w:val="clear" w:pos="510"/>
          <w:tab w:val="num" w:pos="1550"/>
        </w:tabs>
        <w:spacing w:after="320"/>
        <w:ind w:left="1550"/>
        <w:rPr>
          <w:rFonts w:hint="eastAsia"/>
          <w:snapToGrid/>
          <w:lang w:val="en-GB"/>
        </w:rPr>
      </w:pPr>
      <w:r>
        <w:rPr>
          <w:snapToGrid/>
          <w:lang w:val="en-GB"/>
        </w:rPr>
        <w:t>计划用于监测的经费为</w:t>
      </w:r>
      <w:r>
        <w:rPr>
          <w:snapToGrid/>
          <w:lang w:val="en-GB"/>
        </w:rPr>
        <w:t>340,000</w:t>
      </w:r>
      <w:r>
        <w:rPr>
          <w:snapToGrid/>
          <w:lang w:val="en-GB"/>
        </w:rPr>
        <w:t>欧元，其中在</w:t>
      </w:r>
      <w:r>
        <w:rPr>
          <w:snapToGrid/>
          <w:lang w:val="en-GB"/>
        </w:rPr>
        <w:t>11</w:t>
      </w:r>
      <w:r>
        <w:rPr>
          <w:snapToGrid/>
          <w:lang w:val="en-GB"/>
        </w:rPr>
        <w:t>月下旬</w:t>
      </w:r>
      <w:r>
        <w:rPr>
          <w:rFonts w:hint="eastAsia"/>
          <w:snapToGrid/>
          <w:lang w:val="en-GB"/>
        </w:rPr>
        <w:t>仅拨出</w:t>
      </w:r>
      <w:r>
        <w:rPr>
          <w:snapToGrid/>
          <w:lang w:val="en-GB"/>
        </w:rPr>
        <w:t>191,000</w:t>
      </w:r>
      <w:r>
        <w:rPr>
          <w:snapToGrid/>
          <w:lang w:val="en-GB"/>
        </w:rPr>
        <w:t>欧元。</w:t>
      </w:r>
    </w:p>
    <w:p w:rsidR="00000000" w:rsidRDefault="00844A84">
      <w:pPr>
        <w:pStyle w:val="Heading4"/>
        <w:rPr>
          <w:lang w:val="en-GB"/>
        </w:rPr>
      </w:pPr>
      <w:r>
        <w:rPr>
          <w:rFonts w:hint="eastAsia"/>
          <w:lang w:val="en-GB"/>
        </w:rPr>
        <w:t>第</w:t>
      </w:r>
      <w:r>
        <w:rPr>
          <w:rFonts w:hint="eastAsia"/>
          <w:lang w:val="en-GB"/>
        </w:rPr>
        <w:t>2</w:t>
      </w:r>
      <w:r>
        <w:rPr>
          <w:rFonts w:hint="eastAsia"/>
          <w:lang w:val="en-GB"/>
        </w:rPr>
        <w:t>款</w:t>
      </w:r>
      <w:r>
        <w:rPr>
          <w:lang w:val="en-GB"/>
        </w:rPr>
        <w:t>(c</w:t>
      </w:r>
      <w:r>
        <w:rPr>
          <w:u w:val="none"/>
          <w:lang w:val="en-GB"/>
        </w:rPr>
        <w:t>)</w:t>
      </w:r>
    </w:p>
    <w:p w:rsidR="00000000" w:rsidRDefault="00844A84">
      <w:pPr>
        <w:ind w:firstLine="510"/>
        <w:rPr>
          <w:rFonts w:hint="eastAsia"/>
          <w:snapToGrid/>
          <w:lang w:val="en-GB"/>
        </w:rPr>
      </w:pPr>
      <w:r>
        <w:rPr>
          <w:snapToGrid/>
          <w:lang w:val="en-GB"/>
        </w:rPr>
        <w:t>697.</w:t>
      </w:r>
      <w:r>
        <w:t xml:space="preserve">  </w:t>
      </w:r>
      <w:r>
        <w:rPr>
          <w:snapToGrid/>
          <w:lang w:val="en-GB"/>
        </w:rPr>
        <w:t>注意到联合国的最高标准，尤其是</w:t>
      </w:r>
      <w:r>
        <w:rPr>
          <w:snapToGrid/>
          <w:lang w:val="en-GB"/>
        </w:rPr>
        <w:t>“</w:t>
      </w:r>
      <w:r>
        <w:rPr>
          <w:snapToGrid/>
          <w:lang w:val="en-GB"/>
        </w:rPr>
        <w:t>健康权，包括一系列促进人民健康生活条件的社会经济因素，并包括</w:t>
      </w:r>
      <w:r>
        <w:rPr>
          <w:rFonts w:hint="eastAsia"/>
          <w:snapToGrid/>
          <w:lang w:val="en-GB"/>
        </w:rPr>
        <w:t>食物</w:t>
      </w:r>
      <w:r>
        <w:rPr>
          <w:snapToGrid/>
          <w:lang w:val="en-GB"/>
        </w:rPr>
        <w:t>和</w:t>
      </w:r>
      <w:r>
        <w:rPr>
          <w:rFonts w:hint="eastAsia"/>
          <w:snapToGrid/>
          <w:lang w:val="en-GB"/>
        </w:rPr>
        <w:t>有益</w:t>
      </w:r>
      <w:r>
        <w:rPr>
          <w:snapToGrid/>
          <w:lang w:val="en-GB"/>
        </w:rPr>
        <w:t>健康的营养、住房、享用安全饮水和</w:t>
      </w:r>
      <w:r>
        <w:rPr>
          <w:rFonts w:hint="eastAsia"/>
          <w:snapToGrid/>
          <w:lang w:val="en-GB"/>
        </w:rPr>
        <w:t>适足</w:t>
      </w:r>
      <w:r>
        <w:rPr>
          <w:snapToGrid/>
          <w:lang w:val="en-GB"/>
        </w:rPr>
        <w:t>的卫生设施、安全和健康的工作条件以及健康的环境等因素</w:t>
      </w:r>
      <w:r>
        <w:rPr>
          <w:snapToGrid/>
          <w:lang w:val="en-GB"/>
        </w:rPr>
        <w:t>”(</w:t>
      </w:r>
      <w:r>
        <w:rPr>
          <w:snapToGrid/>
          <w:lang w:val="en-GB"/>
        </w:rPr>
        <w:t>《</w:t>
      </w:r>
      <w:r>
        <w:rPr>
          <w:snapToGrid/>
          <w:lang w:val="en-GB"/>
        </w:rPr>
        <w:t>经济、社会、文化权利国际公约》第</w:t>
      </w:r>
      <w:r>
        <w:rPr>
          <w:snapToGrid/>
          <w:lang w:val="en-GB"/>
        </w:rPr>
        <w:t>12</w:t>
      </w:r>
      <w:r>
        <w:rPr>
          <w:snapToGrid/>
          <w:lang w:val="en-GB"/>
        </w:rPr>
        <w:t>条</w:t>
      </w:r>
      <w:r>
        <w:rPr>
          <w:snapToGrid/>
          <w:lang w:val="en-GB"/>
        </w:rPr>
        <w:t>)</w:t>
      </w:r>
      <w:r>
        <w:rPr>
          <w:snapToGrid/>
          <w:lang w:val="en-GB"/>
        </w:rPr>
        <w:t>，黑山组织</w:t>
      </w:r>
      <w:r>
        <w:rPr>
          <w:rFonts w:hint="eastAsia"/>
          <w:snapToGrid/>
          <w:lang w:val="en-GB"/>
        </w:rPr>
        <w:t>了</w:t>
      </w:r>
      <w:r>
        <w:rPr>
          <w:snapToGrid/>
          <w:lang w:val="en-GB"/>
        </w:rPr>
        <w:t>健康保护系统，旨在确保个人健康和社会健康条件，并确保实现健康权这</w:t>
      </w:r>
      <w:r>
        <w:rPr>
          <w:rFonts w:hint="eastAsia"/>
          <w:snapToGrid/>
          <w:lang w:val="en-GB"/>
        </w:rPr>
        <w:t>一</w:t>
      </w:r>
      <w:r>
        <w:rPr>
          <w:snapToGrid/>
          <w:lang w:val="en-GB"/>
        </w:rPr>
        <w:t>基本人权。</w:t>
      </w:r>
    </w:p>
    <w:p w:rsidR="00000000" w:rsidRDefault="00844A84">
      <w:pPr>
        <w:ind w:firstLine="510"/>
        <w:rPr>
          <w:rFonts w:hint="eastAsia"/>
          <w:snapToGrid/>
          <w:szCs w:val="21"/>
          <w:lang w:val="en-GB"/>
        </w:rPr>
      </w:pPr>
      <w:r>
        <w:rPr>
          <w:rFonts w:hint="eastAsia"/>
          <w:snapToGrid/>
          <w:szCs w:val="21"/>
          <w:lang w:val="en-GB"/>
        </w:rPr>
        <w:t>698.</w:t>
      </w:r>
      <w:r>
        <w:t xml:space="preserve">  </w:t>
      </w:r>
      <w:r>
        <w:rPr>
          <w:rFonts w:hint="eastAsia"/>
          <w:snapToGrid/>
          <w:szCs w:val="21"/>
          <w:lang w:val="en-GB"/>
        </w:rPr>
        <w:t>黑山国家保健战略和措施方案依据的是经医学和科学处理的数据，这些数据是有关全国人口及流行病学资料的记录和由公共卫生机构收集、监测和发表的其他数据。</w:t>
      </w:r>
    </w:p>
    <w:p w:rsidR="00000000" w:rsidRDefault="00844A84">
      <w:pPr>
        <w:ind w:firstLine="510"/>
        <w:rPr>
          <w:rFonts w:hint="eastAsia"/>
          <w:snapToGrid/>
          <w:szCs w:val="21"/>
          <w:lang w:val="en-GB"/>
        </w:rPr>
      </w:pPr>
      <w:r>
        <w:rPr>
          <w:rFonts w:hint="eastAsia"/>
          <w:snapToGrid/>
          <w:szCs w:val="21"/>
          <w:lang w:val="en-GB"/>
        </w:rPr>
        <w:t>699.</w:t>
      </w:r>
      <w:r>
        <w:t xml:space="preserve">  </w:t>
      </w:r>
      <w:r>
        <w:rPr>
          <w:rFonts w:hint="eastAsia"/>
          <w:snapToGrid/>
          <w:szCs w:val="21"/>
          <w:lang w:val="en-GB"/>
        </w:rPr>
        <w:t>为了全面了解全国人口的健康状况，卫生统计部门已收集了各种指数并进行了分析。初级保健机构和专门保健单位记录、收集和分析了这些数据。</w:t>
      </w:r>
    </w:p>
    <w:p w:rsidR="00000000" w:rsidRDefault="00844A84">
      <w:pPr>
        <w:ind w:firstLine="510"/>
        <w:rPr>
          <w:rFonts w:hint="eastAsia"/>
          <w:snapToGrid/>
          <w:szCs w:val="21"/>
          <w:lang w:val="en-GB"/>
        </w:rPr>
      </w:pPr>
      <w:r>
        <w:rPr>
          <w:rFonts w:hint="eastAsia"/>
          <w:snapToGrid/>
          <w:szCs w:val="21"/>
          <w:lang w:val="en-GB"/>
        </w:rPr>
        <w:t>700.</w:t>
      </w:r>
      <w:r>
        <w:t xml:space="preserve">  </w:t>
      </w:r>
      <w:r>
        <w:rPr>
          <w:rFonts w:hint="eastAsia"/>
          <w:snapToGrid/>
          <w:szCs w:val="21"/>
          <w:lang w:val="en-GB"/>
        </w:rPr>
        <w:t>除了监测人口指数</w:t>
      </w:r>
      <w:r>
        <w:rPr>
          <w:rFonts w:hint="eastAsia"/>
          <w:snapToGrid/>
          <w:szCs w:val="21"/>
          <w:lang w:val="en-GB"/>
        </w:rPr>
        <w:t>(</w:t>
      </w:r>
      <w:r>
        <w:rPr>
          <w:rFonts w:hint="eastAsia"/>
          <w:snapToGrid/>
          <w:szCs w:val="21"/>
          <w:lang w:val="en-GB"/>
        </w:rPr>
        <w:t>人口、出生率、人口自然增长率、死亡率、结婚登记</w:t>
      </w:r>
      <w:r>
        <w:rPr>
          <w:rFonts w:hint="eastAsia"/>
          <w:snapToGrid/>
          <w:szCs w:val="21"/>
          <w:lang w:val="en-GB"/>
        </w:rPr>
        <w:t>)</w:t>
      </w:r>
      <w:r>
        <w:rPr>
          <w:rFonts w:hint="eastAsia"/>
          <w:snapToGrid/>
          <w:szCs w:val="21"/>
          <w:lang w:val="en-GB"/>
        </w:rPr>
        <w:t>之外</w:t>
      </w:r>
      <w:r>
        <w:rPr>
          <w:rFonts w:hint="eastAsia"/>
          <w:snapToGrid/>
          <w:szCs w:val="21"/>
          <w:lang w:val="en-GB"/>
        </w:rPr>
        <w:t>，还透明地概述了医务人员、保健工作者和助理人员的情况，并概述了医疗机构、医疗服务部门工作人员的任职人数，工作情况，以及医院和门诊诊所的保健服务。</w:t>
      </w:r>
    </w:p>
    <w:p w:rsidR="00000000" w:rsidRDefault="00844A84">
      <w:pPr>
        <w:ind w:firstLine="510"/>
        <w:rPr>
          <w:rFonts w:hint="eastAsia"/>
          <w:snapToGrid/>
          <w:szCs w:val="21"/>
          <w:lang w:val="en-GB"/>
        </w:rPr>
      </w:pPr>
      <w:r>
        <w:rPr>
          <w:rFonts w:hint="eastAsia"/>
          <w:snapToGrid/>
          <w:szCs w:val="21"/>
          <w:lang w:val="en-GB"/>
        </w:rPr>
        <w:t>701.</w:t>
      </w:r>
      <w:r>
        <w:t xml:space="preserve">  </w:t>
      </w:r>
      <w:r>
        <w:rPr>
          <w:rFonts w:hint="eastAsia"/>
          <w:snapToGrid/>
          <w:szCs w:val="21"/>
          <w:lang w:val="en-GB"/>
        </w:rPr>
        <w:t>已经收集和处理了有关环境的数据，作为影响公民健康状况的重要参数。这些参数包括食物质量、饮用水卫生状况以及其他指数，包括对确定的卫生条件标准的评价。</w:t>
      </w:r>
    </w:p>
    <w:p w:rsidR="00000000" w:rsidRDefault="00844A84">
      <w:pPr>
        <w:ind w:firstLine="510"/>
        <w:rPr>
          <w:rFonts w:hint="eastAsia"/>
          <w:snapToGrid/>
          <w:szCs w:val="21"/>
          <w:lang w:val="en-GB"/>
        </w:rPr>
      </w:pPr>
      <w:r>
        <w:rPr>
          <w:rFonts w:hint="eastAsia"/>
          <w:snapToGrid/>
          <w:szCs w:val="21"/>
          <w:lang w:val="en-GB"/>
        </w:rPr>
        <w:t>702.</w:t>
      </w:r>
      <w:r>
        <w:t xml:space="preserve">  </w:t>
      </w:r>
      <w:r>
        <w:rPr>
          <w:rFonts w:hint="eastAsia"/>
          <w:snapToGrid/>
          <w:szCs w:val="21"/>
          <w:lang w:val="en-GB"/>
        </w:rPr>
        <w:t>最重要的医疗指数包括免疫接种方案执行情况以及传染病流行趋势的记录和报告，以及对卫生和流行病的评价。多数市镇过去几年在免疫接种方面已达到了令人满意的程度。某些流行病如肺结核、白喉、破伤风和百日咳、</w:t>
      </w:r>
      <w:r>
        <w:rPr>
          <w:rFonts w:hint="eastAsia"/>
          <w:snapToGrid/>
          <w:szCs w:val="21"/>
          <w:lang w:val="en-GB"/>
        </w:rPr>
        <w:t>小儿麻痹症、麻疹</w:t>
      </w:r>
      <w:r>
        <w:rPr>
          <w:snapToGrid/>
          <w:szCs w:val="21"/>
          <w:lang w:val="en-GB"/>
        </w:rPr>
        <w:t>、红麻疹和腮腺炎</w:t>
      </w:r>
      <w:r>
        <w:rPr>
          <w:rFonts w:hint="eastAsia"/>
          <w:snapToGrid/>
          <w:szCs w:val="21"/>
          <w:lang w:val="en-GB"/>
        </w:rPr>
        <w:t>等，</w:t>
      </w:r>
      <w:r>
        <w:rPr>
          <w:snapToGrid/>
          <w:szCs w:val="21"/>
          <w:lang w:val="en-GB"/>
        </w:rPr>
        <w:t>在初次免疫接种和</w:t>
      </w:r>
      <w:r>
        <w:rPr>
          <w:rFonts w:hint="eastAsia"/>
          <w:snapToGrid/>
          <w:szCs w:val="21"/>
          <w:lang w:val="en-GB"/>
        </w:rPr>
        <w:t>再次</w:t>
      </w:r>
      <w:r>
        <w:rPr>
          <w:rFonts w:hint="eastAsia"/>
          <w:snapToGrid/>
          <w:szCs w:val="21"/>
          <w:lang w:val="en-GB"/>
        </w:rPr>
        <w:t>(</w:t>
      </w:r>
      <w:r>
        <w:rPr>
          <w:snapToGrid/>
          <w:szCs w:val="21"/>
          <w:lang w:val="en-GB"/>
        </w:rPr>
        <w:t>强化</w:t>
      </w:r>
      <w:r>
        <w:rPr>
          <w:rFonts w:hint="eastAsia"/>
          <w:snapToGrid/>
          <w:szCs w:val="21"/>
          <w:lang w:val="en-GB"/>
        </w:rPr>
        <w:t>)</w:t>
      </w:r>
      <w:r>
        <w:rPr>
          <w:snapToGrid/>
          <w:szCs w:val="21"/>
          <w:lang w:val="en-GB"/>
        </w:rPr>
        <w:t>接种方面已达到了满意程度。</w:t>
      </w:r>
    </w:p>
    <w:p w:rsidR="00000000" w:rsidRDefault="00844A84">
      <w:pPr>
        <w:spacing w:after="320"/>
        <w:ind w:firstLine="510"/>
        <w:rPr>
          <w:snapToGrid/>
          <w:szCs w:val="21"/>
          <w:lang w:val="en-GB"/>
        </w:rPr>
      </w:pPr>
      <w:r>
        <w:rPr>
          <w:rFonts w:hint="eastAsia"/>
          <w:snapToGrid/>
          <w:szCs w:val="21"/>
          <w:lang w:val="en-GB"/>
        </w:rPr>
        <w:t>703.</w:t>
      </w:r>
      <w:r>
        <w:t xml:space="preserve">  </w:t>
      </w:r>
      <w:r>
        <w:rPr>
          <w:rFonts w:hint="eastAsia"/>
          <w:snapToGrid/>
          <w:szCs w:val="21"/>
          <w:lang w:val="en-GB"/>
        </w:rPr>
        <w:t>直接深入观察报告传染病的方式和程序使我们认识到，实际感染人数多于报告人数。保健服务机构报告和记录传染病的效率低下，这是监测传染病总体进程中最薄弱环节之一。</w:t>
      </w:r>
    </w:p>
    <w:p w:rsidR="00000000" w:rsidRDefault="00844A84">
      <w:pPr>
        <w:pStyle w:val="Heading3"/>
        <w:spacing w:after="160"/>
        <w:rPr>
          <w:sz w:val="22"/>
        </w:rPr>
      </w:pPr>
      <w:r>
        <w:rPr>
          <w:rFonts w:hint="eastAsia"/>
          <w:sz w:val="22"/>
          <w:u w:val="none"/>
        </w:rPr>
        <w:t>表</w:t>
      </w:r>
      <w:r>
        <w:rPr>
          <w:sz w:val="22"/>
          <w:u w:val="none"/>
        </w:rPr>
        <w:t xml:space="preserve">  4 </w:t>
      </w:r>
    </w:p>
    <w:p w:rsidR="00000000" w:rsidRDefault="00844A84">
      <w:pPr>
        <w:pStyle w:val="Heading3"/>
        <w:rPr>
          <w:rFonts w:hint="eastAsia"/>
          <w:sz w:val="22"/>
        </w:rPr>
      </w:pPr>
      <w:r>
        <w:rPr>
          <w:sz w:val="22"/>
        </w:rPr>
        <w:t>1992-2001</w:t>
      </w:r>
      <w:r>
        <w:rPr>
          <w:rFonts w:hint="eastAsia"/>
          <w:sz w:val="22"/>
        </w:rPr>
        <w:t>年黑山传染病</w:t>
      </w:r>
      <w:r>
        <w:rPr>
          <w:sz w:val="22"/>
          <w:u w:val="none"/>
        </w:rPr>
        <w:t>(</w:t>
      </w:r>
      <w:r>
        <w:rPr>
          <w:rFonts w:hint="eastAsia"/>
          <w:sz w:val="22"/>
        </w:rPr>
        <w:t>不包括流行性感冒和艾滋病</w:t>
      </w:r>
      <w:r>
        <w:rPr>
          <w:sz w:val="22"/>
        </w:rPr>
        <w:t>)</w:t>
      </w:r>
      <w:r>
        <w:rPr>
          <w:rFonts w:hint="eastAsia"/>
          <w:sz w:val="22"/>
        </w:rPr>
        <w:t>数据</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560"/>
        <w:gridCol w:w="2182"/>
        <w:gridCol w:w="1871"/>
        <w:gridCol w:w="1871"/>
        <w:gridCol w:w="1872"/>
      </w:tblGrid>
      <w:tr w:rsidR="00000000">
        <w:tblPrEx>
          <w:tblCellMar>
            <w:top w:w="0" w:type="dxa"/>
            <w:bottom w:w="0" w:type="dxa"/>
          </w:tblCellMar>
        </w:tblPrEx>
        <w:tc>
          <w:tcPr>
            <w:tcW w:w="1560" w:type="dxa"/>
            <w:tcBorders>
              <w:bottom w:val="single" w:sz="6" w:space="0" w:color="auto"/>
            </w:tcBorders>
          </w:tcPr>
          <w:p w:rsidR="00000000" w:rsidRDefault="00844A84">
            <w:pPr>
              <w:pStyle w:val="a2"/>
              <w:jc w:val="center"/>
              <w:rPr>
                <w:rFonts w:hint="eastAsia"/>
                <w:snapToGrid/>
              </w:rPr>
            </w:pPr>
            <w:r>
              <w:rPr>
                <w:rFonts w:hint="eastAsia"/>
                <w:snapToGrid/>
              </w:rPr>
              <w:t>年</w:t>
            </w:r>
            <w:r>
              <w:rPr>
                <w:snapToGrid/>
              </w:rPr>
              <w:t xml:space="preserve"> </w:t>
            </w:r>
            <w:r>
              <w:rPr>
                <w:rFonts w:hint="eastAsia"/>
                <w:snapToGrid/>
              </w:rPr>
              <w:t>份</w:t>
            </w:r>
          </w:p>
        </w:tc>
        <w:tc>
          <w:tcPr>
            <w:tcW w:w="2182" w:type="dxa"/>
            <w:tcBorders>
              <w:bottom w:val="single" w:sz="6" w:space="0" w:color="auto"/>
            </w:tcBorders>
          </w:tcPr>
          <w:p w:rsidR="00000000" w:rsidRDefault="00844A84">
            <w:pPr>
              <w:pStyle w:val="a2"/>
              <w:jc w:val="center"/>
              <w:rPr>
                <w:snapToGrid/>
              </w:rPr>
            </w:pPr>
            <w:r>
              <w:rPr>
                <w:rFonts w:hint="eastAsia"/>
                <w:snapToGrid/>
              </w:rPr>
              <w:t>传染人数</w:t>
            </w:r>
          </w:p>
        </w:tc>
        <w:tc>
          <w:tcPr>
            <w:tcW w:w="1871" w:type="dxa"/>
            <w:tcBorders>
              <w:bottom w:val="single" w:sz="6" w:space="0" w:color="auto"/>
            </w:tcBorders>
          </w:tcPr>
          <w:p w:rsidR="00000000" w:rsidRDefault="00844A84">
            <w:pPr>
              <w:pStyle w:val="a2"/>
              <w:jc w:val="center"/>
              <w:rPr>
                <w:snapToGrid/>
              </w:rPr>
            </w:pPr>
            <w:r>
              <w:rPr>
                <w:rFonts w:hint="eastAsia"/>
                <w:snapToGrid/>
              </w:rPr>
              <w:t>每十万人发病率</w:t>
            </w:r>
          </w:p>
        </w:tc>
        <w:tc>
          <w:tcPr>
            <w:tcW w:w="1871" w:type="dxa"/>
            <w:tcBorders>
              <w:bottom w:val="single" w:sz="6" w:space="0" w:color="auto"/>
            </w:tcBorders>
          </w:tcPr>
          <w:p w:rsidR="00000000" w:rsidRDefault="00844A84">
            <w:pPr>
              <w:pStyle w:val="a2"/>
              <w:jc w:val="center"/>
              <w:rPr>
                <w:snapToGrid/>
              </w:rPr>
            </w:pPr>
            <w:r>
              <w:rPr>
                <w:rFonts w:hint="eastAsia"/>
                <w:snapToGrid/>
              </w:rPr>
              <w:t>死亡人数</w:t>
            </w:r>
          </w:p>
        </w:tc>
        <w:tc>
          <w:tcPr>
            <w:tcW w:w="1872" w:type="dxa"/>
            <w:tcBorders>
              <w:bottom w:val="single" w:sz="6" w:space="0" w:color="auto"/>
            </w:tcBorders>
          </w:tcPr>
          <w:p w:rsidR="00000000" w:rsidRDefault="00844A84">
            <w:pPr>
              <w:pStyle w:val="a2"/>
              <w:jc w:val="center"/>
              <w:rPr>
                <w:snapToGrid/>
              </w:rPr>
            </w:pPr>
            <w:r>
              <w:rPr>
                <w:rFonts w:hint="eastAsia"/>
                <w:snapToGrid/>
              </w:rPr>
              <w:t>死亡率</w:t>
            </w:r>
            <w:r>
              <w:rPr>
                <w:snapToGrid/>
              </w:rPr>
              <w:t>/100,000</w:t>
            </w:r>
          </w:p>
        </w:tc>
      </w:tr>
      <w:tr w:rsidR="00000000">
        <w:tblPrEx>
          <w:tblCellMar>
            <w:top w:w="0" w:type="dxa"/>
            <w:bottom w:w="0" w:type="dxa"/>
          </w:tblCellMar>
        </w:tblPrEx>
        <w:tc>
          <w:tcPr>
            <w:tcW w:w="1560" w:type="dxa"/>
            <w:tcBorders>
              <w:top w:val="single" w:sz="6" w:space="0" w:color="auto"/>
              <w:bottom w:val="nil"/>
            </w:tcBorders>
          </w:tcPr>
          <w:p w:rsidR="00000000" w:rsidRDefault="00844A84">
            <w:pPr>
              <w:pStyle w:val="a2"/>
              <w:ind w:left="227" w:right="-454"/>
              <w:rPr>
                <w:snapToGrid/>
              </w:rPr>
            </w:pPr>
            <w:r>
              <w:rPr>
                <w:snapToGrid/>
              </w:rPr>
              <w:t>1992</w:t>
            </w:r>
          </w:p>
        </w:tc>
        <w:tc>
          <w:tcPr>
            <w:tcW w:w="2182" w:type="dxa"/>
            <w:tcBorders>
              <w:top w:val="single" w:sz="6" w:space="0" w:color="auto"/>
              <w:bottom w:val="nil"/>
            </w:tcBorders>
          </w:tcPr>
          <w:p w:rsidR="00000000" w:rsidRDefault="00844A84">
            <w:pPr>
              <w:pStyle w:val="a2"/>
              <w:ind w:right="737"/>
              <w:jc w:val="right"/>
              <w:rPr>
                <w:snapToGrid/>
              </w:rPr>
            </w:pPr>
            <w:r>
              <w:rPr>
                <w:snapToGrid/>
              </w:rPr>
              <w:t>13,563</w:t>
            </w:r>
          </w:p>
        </w:tc>
        <w:tc>
          <w:tcPr>
            <w:tcW w:w="1871" w:type="dxa"/>
            <w:tcBorders>
              <w:top w:val="single" w:sz="6" w:space="0" w:color="auto"/>
              <w:bottom w:val="nil"/>
            </w:tcBorders>
          </w:tcPr>
          <w:p w:rsidR="00000000" w:rsidRDefault="00844A84">
            <w:pPr>
              <w:pStyle w:val="a2"/>
              <w:ind w:right="567"/>
              <w:jc w:val="right"/>
              <w:rPr>
                <w:snapToGrid/>
              </w:rPr>
            </w:pPr>
            <w:r>
              <w:rPr>
                <w:snapToGrid/>
              </w:rPr>
              <w:t>2,166.6</w:t>
            </w:r>
          </w:p>
        </w:tc>
        <w:tc>
          <w:tcPr>
            <w:tcW w:w="1871" w:type="dxa"/>
            <w:tcBorders>
              <w:top w:val="single" w:sz="6" w:space="0" w:color="auto"/>
              <w:bottom w:val="nil"/>
            </w:tcBorders>
          </w:tcPr>
          <w:p w:rsidR="00000000" w:rsidRDefault="00844A84">
            <w:pPr>
              <w:pStyle w:val="a2"/>
              <w:jc w:val="center"/>
              <w:rPr>
                <w:snapToGrid/>
              </w:rPr>
            </w:pPr>
            <w:r>
              <w:rPr>
                <w:snapToGrid/>
              </w:rPr>
              <w:t>1</w:t>
            </w:r>
          </w:p>
        </w:tc>
        <w:tc>
          <w:tcPr>
            <w:tcW w:w="1872" w:type="dxa"/>
            <w:tcBorders>
              <w:top w:val="single" w:sz="6" w:space="0" w:color="auto"/>
              <w:bottom w:val="nil"/>
            </w:tcBorders>
          </w:tcPr>
          <w:p w:rsidR="00000000" w:rsidRDefault="00844A84">
            <w:pPr>
              <w:pStyle w:val="a2"/>
              <w:jc w:val="center"/>
              <w:rPr>
                <w:snapToGrid/>
              </w:rPr>
            </w:pPr>
            <w:r>
              <w:rPr>
                <w:snapToGrid/>
              </w:rPr>
              <w:t>0.16</w:t>
            </w:r>
          </w:p>
        </w:tc>
      </w:tr>
      <w:tr w:rsidR="00000000">
        <w:tblPrEx>
          <w:tblCellMar>
            <w:top w:w="0" w:type="dxa"/>
            <w:bottom w:w="0" w:type="dxa"/>
          </w:tblCellMar>
        </w:tblPrEx>
        <w:tc>
          <w:tcPr>
            <w:tcW w:w="1560" w:type="dxa"/>
            <w:tcBorders>
              <w:top w:val="nil"/>
            </w:tcBorders>
          </w:tcPr>
          <w:p w:rsidR="00000000" w:rsidRDefault="00844A84">
            <w:pPr>
              <w:pStyle w:val="a2"/>
              <w:ind w:left="227" w:right="-454"/>
              <w:rPr>
                <w:snapToGrid/>
              </w:rPr>
            </w:pPr>
            <w:r>
              <w:rPr>
                <w:snapToGrid/>
              </w:rPr>
              <w:t>1993</w:t>
            </w:r>
          </w:p>
        </w:tc>
        <w:tc>
          <w:tcPr>
            <w:tcW w:w="2182" w:type="dxa"/>
            <w:tcBorders>
              <w:top w:val="nil"/>
            </w:tcBorders>
          </w:tcPr>
          <w:p w:rsidR="00000000" w:rsidRDefault="00844A84">
            <w:pPr>
              <w:pStyle w:val="a2"/>
              <w:ind w:right="737"/>
              <w:jc w:val="right"/>
              <w:rPr>
                <w:snapToGrid/>
              </w:rPr>
            </w:pPr>
            <w:r>
              <w:rPr>
                <w:snapToGrid/>
              </w:rPr>
              <w:t>9,559</w:t>
            </w:r>
          </w:p>
        </w:tc>
        <w:tc>
          <w:tcPr>
            <w:tcW w:w="1871" w:type="dxa"/>
            <w:tcBorders>
              <w:top w:val="nil"/>
            </w:tcBorders>
          </w:tcPr>
          <w:p w:rsidR="00000000" w:rsidRDefault="00844A84">
            <w:pPr>
              <w:pStyle w:val="a2"/>
              <w:ind w:right="567"/>
              <w:jc w:val="right"/>
              <w:rPr>
                <w:snapToGrid/>
              </w:rPr>
            </w:pPr>
            <w:r>
              <w:rPr>
                <w:snapToGrid/>
              </w:rPr>
              <w:t>1,514.9</w:t>
            </w:r>
          </w:p>
        </w:tc>
        <w:tc>
          <w:tcPr>
            <w:tcW w:w="1871" w:type="dxa"/>
            <w:tcBorders>
              <w:top w:val="nil"/>
            </w:tcBorders>
          </w:tcPr>
          <w:p w:rsidR="00000000" w:rsidRDefault="00844A84">
            <w:pPr>
              <w:pStyle w:val="a2"/>
              <w:jc w:val="center"/>
              <w:rPr>
                <w:snapToGrid/>
              </w:rPr>
            </w:pPr>
            <w:r>
              <w:rPr>
                <w:snapToGrid/>
              </w:rPr>
              <w:t>3</w:t>
            </w:r>
          </w:p>
        </w:tc>
        <w:tc>
          <w:tcPr>
            <w:tcW w:w="1872" w:type="dxa"/>
            <w:tcBorders>
              <w:top w:val="nil"/>
            </w:tcBorders>
          </w:tcPr>
          <w:p w:rsidR="00000000" w:rsidRDefault="00844A84">
            <w:pPr>
              <w:pStyle w:val="a2"/>
              <w:jc w:val="center"/>
              <w:rPr>
                <w:snapToGrid/>
              </w:rPr>
            </w:pPr>
            <w:r>
              <w:rPr>
                <w:snapToGrid/>
              </w:rPr>
              <w:t>0.48</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1994</w:t>
            </w:r>
          </w:p>
        </w:tc>
        <w:tc>
          <w:tcPr>
            <w:tcW w:w="2182" w:type="dxa"/>
          </w:tcPr>
          <w:p w:rsidR="00000000" w:rsidRDefault="00844A84">
            <w:pPr>
              <w:pStyle w:val="a2"/>
              <w:ind w:right="737"/>
              <w:jc w:val="right"/>
              <w:rPr>
                <w:snapToGrid/>
              </w:rPr>
            </w:pPr>
            <w:r>
              <w:rPr>
                <w:snapToGrid/>
              </w:rPr>
              <w:t>13,450</w:t>
            </w:r>
          </w:p>
        </w:tc>
        <w:tc>
          <w:tcPr>
            <w:tcW w:w="1871" w:type="dxa"/>
          </w:tcPr>
          <w:p w:rsidR="00000000" w:rsidRDefault="00844A84">
            <w:pPr>
              <w:pStyle w:val="a2"/>
              <w:ind w:right="567"/>
              <w:jc w:val="right"/>
              <w:rPr>
                <w:snapToGrid/>
              </w:rPr>
            </w:pPr>
            <w:r>
              <w:rPr>
                <w:snapToGrid/>
              </w:rPr>
              <w:t>2,118.1</w:t>
            </w:r>
          </w:p>
        </w:tc>
        <w:tc>
          <w:tcPr>
            <w:tcW w:w="1871" w:type="dxa"/>
          </w:tcPr>
          <w:p w:rsidR="00000000" w:rsidRDefault="00844A84">
            <w:pPr>
              <w:pStyle w:val="a2"/>
              <w:jc w:val="center"/>
              <w:rPr>
                <w:snapToGrid/>
              </w:rPr>
            </w:pPr>
            <w:r>
              <w:rPr>
                <w:snapToGrid/>
              </w:rPr>
              <w:t>8</w:t>
            </w:r>
          </w:p>
        </w:tc>
        <w:tc>
          <w:tcPr>
            <w:tcW w:w="1872" w:type="dxa"/>
          </w:tcPr>
          <w:p w:rsidR="00000000" w:rsidRDefault="00844A84">
            <w:pPr>
              <w:pStyle w:val="a2"/>
              <w:jc w:val="center"/>
              <w:rPr>
                <w:snapToGrid/>
              </w:rPr>
            </w:pPr>
            <w:r>
              <w:rPr>
                <w:snapToGrid/>
              </w:rPr>
              <w:t>1.25</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1995</w:t>
            </w:r>
          </w:p>
        </w:tc>
        <w:tc>
          <w:tcPr>
            <w:tcW w:w="2182" w:type="dxa"/>
          </w:tcPr>
          <w:p w:rsidR="00000000" w:rsidRDefault="00844A84">
            <w:pPr>
              <w:pStyle w:val="a2"/>
              <w:ind w:right="737"/>
              <w:jc w:val="right"/>
              <w:rPr>
                <w:snapToGrid/>
              </w:rPr>
            </w:pPr>
            <w:r>
              <w:rPr>
                <w:snapToGrid/>
              </w:rPr>
              <w:t>12,863</w:t>
            </w:r>
          </w:p>
        </w:tc>
        <w:tc>
          <w:tcPr>
            <w:tcW w:w="1871" w:type="dxa"/>
          </w:tcPr>
          <w:p w:rsidR="00000000" w:rsidRDefault="00844A84">
            <w:pPr>
              <w:pStyle w:val="a2"/>
              <w:ind w:right="567"/>
              <w:jc w:val="right"/>
              <w:rPr>
                <w:snapToGrid/>
              </w:rPr>
            </w:pPr>
            <w:r>
              <w:rPr>
                <w:snapToGrid/>
              </w:rPr>
              <w:t>2,026.4</w:t>
            </w:r>
          </w:p>
        </w:tc>
        <w:tc>
          <w:tcPr>
            <w:tcW w:w="1871" w:type="dxa"/>
          </w:tcPr>
          <w:p w:rsidR="00000000" w:rsidRDefault="00844A84">
            <w:pPr>
              <w:pStyle w:val="a2"/>
              <w:jc w:val="center"/>
              <w:rPr>
                <w:snapToGrid/>
              </w:rPr>
            </w:pPr>
            <w:r>
              <w:rPr>
                <w:snapToGrid/>
              </w:rPr>
              <w:t>11</w:t>
            </w:r>
          </w:p>
        </w:tc>
        <w:tc>
          <w:tcPr>
            <w:tcW w:w="1872" w:type="dxa"/>
          </w:tcPr>
          <w:p w:rsidR="00000000" w:rsidRDefault="00844A84">
            <w:pPr>
              <w:pStyle w:val="a2"/>
              <w:jc w:val="center"/>
              <w:rPr>
                <w:snapToGrid/>
              </w:rPr>
            </w:pPr>
            <w:r>
              <w:rPr>
                <w:snapToGrid/>
              </w:rPr>
              <w:t>1.73</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1996</w:t>
            </w:r>
          </w:p>
        </w:tc>
        <w:tc>
          <w:tcPr>
            <w:tcW w:w="2182" w:type="dxa"/>
          </w:tcPr>
          <w:p w:rsidR="00000000" w:rsidRDefault="00844A84">
            <w:pPr>
              <w:pStyle w:val="a2"/>
              <w:ind w:right="737"/>
              <w:jc w:val="right"/>
              <w:rPr>
                <w:snapToGrid/>
              </w:rPr>
            </w:pPr>
            <w:r>
              <w:rPr>
                <w:snapToGrid/>
              </w:rPr>
              <w:t>9,035</w:t>
            </w:r>
          </w:p>
        </w:tc>
        <w:tc>
          <w:tcPr>
            <w:tcW w:w="1871" w:type="dxa"/>
          </w:tcPr>
          <w:p w:rsidR="00000000" w:rsidRDefault="00844A84">
            <w:pPr>
              <w:pStyle w:val="a2"/>
              <w:ind w:right="567"/>
              <w:jc w:val="right"/>
              <w:rPr>
                <w:snapToGrid/>
              </w:rPr>
            </w:pPr>
            <w:r>
              <w:rPr>
                <w:snapToGrid/>
              </w:rPr>
              <w:t>1,427.8</w:t>
            </w:r>
          </w:p>
        </w:tc>
        <w:tc>
          <w:tcPr>
            <w:tcW w:w="1871" w:type="dxa"/>
          </w:tcPr>
          <w:p w:rsidR="00000000" w:rsidRDefault="00844A84">
            <w:pPr>
              <w:pStyle w:val="a2"/>
              <w:jc w:val="center"/>
              <w:rPr>
                <w:snapToGrid/>
              </w:rPr>
            </w:pPr>
            <w:r>
              <w:rPr>
                <w:snapToGrid/>
              </w:rPr>
              <w:t>2</w:t>
            </w:r>
          </w:p>
        </w:tc>
        <w:tc>
          <w:tcPr>
            <w:tcW w:w="1872" w:type="dxa"/>
          </w:tcPr>
          <w:p w:rsidR="00000000" w:rsidRDefault="00844A84">
            <w:pPr>
              <w:pStyle w:val="a2"/>
              <w:jc w:val="center"/>
              <w:rPr>
                <w:snapToGrid/>
              </w:rPr>
            </w:pPr>
            <w:r>
              <w:rPr>
                <w:snapToGrid/>
              </w:rPr>
              <w:t>0.31</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1997</w:t>
            </w:r>
          </w:p>
        </w:tc>
        <w:tc>
          <w:tcPr>
            <w:tcW w:w="2182" w:type="dxa"/>
          </w:tcPr>
          <w:p w:rsidR="00000000" w:rsidRDefault="00844A84">
            <w:pPr>
              <w:pStyle w:val="a2"/>
              <w:ind w:right="737"/>
              <w:jc w:val="right"/>
              <w:rPr>
                <w:snapToGrid/>
              </w:rPr>
            </w:pPr>
            <w:r>
              <w:rPr>
                <w:snapToGrid/>
              </w:rPr>
              <w:t>9,049</w:t>
            </w:r>
          </w:p>
        </w:tc>
        <w:tc>
          <w:tcPr>
            <w:tcW w:w="1871" w:type="dxa"/>
          </w:tcPr>
          <w:p w:rsidR="00000000" w:rsidRDefault="00844A84">
            <w:pPr>
              <w:pStyle w:val="a2"/>
              <w:ind w:right="567"/>
              <w:jc w:val="right"/>
              <w:rPr>
                <w:snapToGrid/>
              </w:rPr>
            </w:pPr>
            <w:r>
              <w:rPr>
                <w:snapToGrid/>
              </w:rPr>
              <w:t>1,430.0</w:t>
            </w:r>
          </w:p>
        </w:tc>
        <w:tc>
          <w:tcPr>
            <w:tcW w:w="1871" w:type="dxa"/>
          </w:tcPr>
          <w:p w:rsidR="00000000" w:rsidRDefault="00844A84">
            <w:pPr>
              <w:pStyle w:val="a2"/>
              <w:jc w:val="center"/>
              <w:rPr>
                <w:snapToGrid/>
              </w:rPr>
            </w:pPr>
            <w:r>
              <w:rPr>
                <w:snapToGrid/>
              </w:rPr>
              <w:t>1</w:t>
            </w:r>
          </w:p>
        </w:tc>
        <w:tc>
          <w:tcPr>
            <w:tcW w:w="1872" w:type="dxa"/>
          </w:tcPr>
          <w:p w:rsidR="00000000" w:rsidRDefault="00844A84">
            <w:pPr>
              <w:pStyle w:val="a2"/>
              <w:jc w:val="center"/>
              <w:rPr>
                <w:snapToGrid/>
              </w:rPr>
            </w:pPr>
            <w:r>
              <w:rPr>
                <w:snapToGrid/>
              </w:rPr>
              <w:t>0.16</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1998</w:t>
            </w:r>
          </w:p>
        </w:tc>
        <w:tc>
          <w:tcPr>
            <w:tcW w:w="2182" w:type="dxa"/>
          </w:tcPr>
          <w:p w:rsidR="00000000" w:rsidRDefault="00844A84">
            <w:pPr>
              <w:pStyle w:val="a2"/>
              <w:ind w:right="737"/>
              <w:jc w:val="right"/>
              <w:rPr>
                <w:snapToGrid/>
              </w:rPr>
            </w:pPr>
            <w:r>
              <w:rPr>
                <w:snapToGrid/>
              </w:rPr>
              <w:t>8,408</w:t>
            </w:r>
          </w:p>
        </w:tc>
        <w:tc>
          <w:tcPr>
            <w:tcW w:w="1871" w:type="dxa"/>
          </w:tcPr>
          <w:p w:rsidR="00000000" w:rsidRDefault="00844A84">
            <w:pPr>
              <w:pStyle w:val="a2"/>
              <w:ind w:right="567"/>
              <w:jc w:val="right"/>
              <w:rPr>
                <w:snapToGrid/>
              </w:rPr>
            </w:pPr>
            <w:r>
              <w:rPr>
                <w:snapToGrid/>
              </w:rPr>
              <w:t>1,328.7</w:t>
            </w:r>
          </w:p>
        </w:tc>
        <w:tc>
          <w:tcPr>
            <w:tcW w:w="1871" w:type="dxa"/>
          </w:tcPr>
          <w:p w:rsidR="00000000" w:rsidRDefault="00844A84">
            <w:pPr>
              <w:pStyle w:val="a2"/>
              <w:jc w:val="center"/>
              <w:rPr>
                <w:snapToGrid/>
              </w:rPr>
            </w:pPr>
            <w:r>
              <w:rPr>
                <w:snapToGrid/>
              </w:rPr>
              <w:t>4</w:t>
            </w:r>
          </w:p>
        </w:tc>
        <w:tc>
          <w:tcPr>
            <w:tcW w:w="1872" w:type="dxa"/>
          </w:tcPr>
          <w:p w:rsidR="00000000" w:rsidRDefault="00844A84">
            <w:pPr>
              <w:pStyle w:val="a2"/>
              <w:jc w:val="center"/>
              <w:rPr>
                <w:snapToGrid/>
              </w:rPr>
            </w:pPr>
            <w:r>
              <w:rPr>
                <w:snapToGrid/>
              </w:rPr>
              <w:t>0.63</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1999</w:t>
            </w:r>
          </w:p>
        </w:tc>
        <w:tc>
          <w:tcPr>
            <w:tcW w:w="2182" w:type="dxa"/>
          </w:tcPr>
          <w:p w:rsidR="00000000" w:rsidRDefault="00844A84">
            <w:pPr>
              <w:pStyle w:val="a2"/>
              <w:ind w:right="737"/>
              <w:jc w:val="right"/>
              <w:rPr>
                <w:snapToGrid/>
              </w:rPr>
            </w:pPr>
            <w:r>
              <w:rPr>
                <w:snapToGrid/>
              </w:rPr>
              <w:t>10,107</w:t>
            </w:r>
          </w:p>
        </w:tc>
        <w:tc>
          <w:tcPr>
            <w:tcW w:w="1871" w:type="dxa"/>
          </w:tcPr>
          <w:p w:rsidR="00000000" w:rsidRDefault="00844A84">
            <w:pPr>
              <w:pStyle w:val="a2"/>
              <w:ind w:right="567"/>
              <w:jc w:val="right"/>
              <w:rPr>
                <w:snapToGrid/>
              </w:rPr>
            </w:pPr>
            <w:r>
              <w:rPr>
                <w:snapToGrid/>
              </w:rPr>
              <w:t>1,579.2</w:t>
            </w:r>
          </w:p>
        </w:tc>
        <w:tc>
          <w:tcPr>
            <w:tcW w:w="1871" w:type="dxa"/>
          </w:tcPr>
          <w:p w:rsidR="00000000" w:rsidRDefault="00844A84">
            <w:pPr>
              <w:pStyle w:val="a2"/>
              <w:jc w:val="center"/>
              <w:rPr>
                <w:snapToGrid/>
              </w:rPr>
            </w:pPr>
            <w:r>
              <w:rPr>
                <w:snapToGrid/>
              </w:rPr>
              <w:t>2</w:t>
            </w:r>
          </w:p>
        </w:tc>
        <w:tc>
          <w:tcPr>
            <w:tcW w:w="1872" w:type="dxa"/>
          </w:tcPr>
          <w:p w:rsidR="00000000" w:rsidRDefault="00844A84">
            <w:pPr>
              <w:pStyle w:val="a2"/>
              <w:jc w:val="center"/>
              <w:rPr>
                <w:snapToGrid/>
              </w:rPr>
            </w:pPr>
            <w:r>
              <w:rPr>
                <w:snapToGrid/>
              </w:rPr>
              <w:t>0.31</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2000</w:t>
            </w:r>
          </w:p>
        </w:tc>
        <w:tc>
          <w:tcPr>
            <w:tcW w:w="2182" w:type="dxa"/>
          </w:tcPr>
          <w:p w:rsidR="00000000" w:rsidRDefault="00844A84">
            <w:pPr>
              <w:pStyle w:val="a2"/>
              <w:ind w:right="737"/>
              <w:jc w:val="right"/>
              <w:rPr>
                <w:snapToGrid/>
              </w:rPr>
            </w:pPr>
            <w:r>
              <w:rPr>
                <w:snapToGrid/>
              </w:rPr>
              <w:t>9,583</w:t>
            </w:r>
          </w:p>
        </w:tc>
        <w:tc>
          <w:tcPr>
            <w:tcW w:w="1871" w:type="dxa"/>
          </w:tcPr>
          <w:p w:rsidR="00000000" w:rsidRDefault="00844A84">
            <w:pPr>
              <w:pStyle w:val="a2"/>
              <w:ind w:right="567"/>
              <w:jc w:val="right"/>
              <w:rPr>
                <w:snapToGrid/>
              </w:rPr>
            </w:pPr>
            <w:r>
              <w:rPr>
                <w:snapToGrid/>
              </w:rPr>
              <w:t>1,455.4</w:t>
            </w:r>
          </w:p>
        </w:tc>
        <w:tc>
          <w:tcPr>
            <w:tcW w:w="1871" w:type="dxa"/>
          </w:tcPr>
          <w:p w:rsidR="00000000" w:rsidRDefault="00844A84">
            <w:pPr>
              <w:pStyle w:val="a2"/>
              <w:jc w:val="center"/>
              <w:rPr>
                <w:snapToGrid/>
              </w:rPr>
            </w:pPr>
            <w:r>
              <w:rPr>
                <w:snapToGrid/>
              </w:rPr>
              <w:t>0</w:t>
            </w:r>
          </w:p>
        </w:tc>
        <w:tc>
          <w:tcPr>
            <w:tcW w:w="1872" w:type="dxa"/>
          </w:tcPr>
          <w:p w:rsidR="00000000" w:rsidRDefault="00844A84">
            <w:pPr>
              <w:pStyle w:val="a2"/>
              <w:jc w:val="center"/>
              <w:rPr>
                <w:snapToGrid/>
              </w:rPr>
            </w:pPr>
            <w:r>
              <w:rPr>
                <w:snapToGrid/>
              </w:rPr>
              <w:t>0.0</w:t>
            </w:r>
          </w:p>
        </w:tc>
      </w:tr>
      <w:tr w:rsidR="00000000">
        <w:tblPrEx>
          <w:tblCellMar>
            <w:top w:w="0" w:type="dxa"/>
            <w:bottom w:w="0" w:type="dxa"/>
          </w:tblCellMar>
        </w:tblPrEx>
        <w:tc>
          <w:tcPr>
            <w:tcW w:w="1560" w:type="dxa"/>
          </w:tcPr>
          <w:p w:rsidR="00000000" w:rsidRDefault="00844A84">
            <w:pPr>
              <w:pStyle w:val="a2"/>
              <w:ind w:left="227" w:right="-454"/>
              <w:rPr>
                <w:snapToGrid/>
              </w:rPr>
            </w:pPr>
            <w:r>
              <w:rPr>
                <w:snapToGrid/>
              </w:rPr>
              <w:t>2001</w:t>
            </w:r>
          </w:p>
        </w:tc>
        <w:tc>
          <w:tcPr>
            <w:tcW w:w="2182" w:type="dxa"/>
          </w:tcPr>
          <w:p w:rsidR="00000000" w:rsidRDefault="00844A84">
            <w:pPr>
              <w:pStyle w:val="a2"/>
              <w:ind w:right="737"/>
              <w:jc w:val="right"/>
              <w:rPr>
                <w:snapToGrid/>
              </w:rPr>
            </w:pPr>
            <w:r>
              <w:rPr>
                <w:snapToGrid/>
              </w:rPr>
              <w:t>7,610</w:t>
            </w:r>
          </w:p>
        </w:tc>
        <w:tc>
          <w:tcPr>
            <w:tcW w:w="1871" w:type="dxa"/>
          </w:tcPr>
          <w:p w:rsidR="00000000" w:rsidRDefault="00844A84">
            <w:pPr>
              <w:pStyle w:val="a2"/>
              <w:ind w:right="737"/>
              <w:jc w:val="right"/>
              <w:rPr>
                <w:snapToGrid/>
              </w:rPr>
            </w:pPr>
            <w:r>
              <w:rPr>
                <w:snapToGrid/>
              </w:rPr>
              <w:t>1,073</w:t>
            </w:r>
          </w:p>
        </w:tc>
        <w:tc>
          <w:tcPr>
            <w:tcW w:w="1871" w:type="dxa"/>
          </w:tcPr>
          <w:p w:rsidR="00000000" w:rsidRDefault="00844A84">
            <w:pPr>
              <w:pStyle w:val="a2"/>
              <w:jc w:val="center"/>
              <w:rPr>
                <w:snapToGrid/>
              </w:rPr>
            </w:pPr>
            <w:r>
              <w:rPr>
                <w:snapToGrid/>
              </w:rPr>
              <w:t>2</w:t>
            </w:r>
          </w:p>
        </w:tc>
        <w:tc>
          <w:tcPr>
            <w:tcW w:w="1872" w:type="dxa"/>
          </w:tcPr>
          <w:p w:rsidR="00000000" w:rsidRDefault="00844A84">
            <w:pPr>
              <w:pStyle w:val="a2"/>
              <w:jc w:val="center"/>
              <w:rPr>
                <w:snapToGrid/>
              </w:rPr>
            </w:pPr>
            <w:r>
              <w:rPr>
                <w:snapToGrid/>
              </w:rPr>
              <w:t>0.28</w:t>
            </w:r>
          </w:p>
        </w:tc>
      </w:tr>
    </w:tbl>
    <w:p w:rsidR="00000000" w:rsidRDefault="00844A84">
      <w:pPr>
        <w:pStyle w:val="a2"/>
        <w:spacing w:before="160"/>
        <w:rPr>
          <w:rFonts w:hint="eastAsia"/>
          <w:snapToGrid/>
          <w:lang w:val="en-GB"/>
        </w:rPr>
      </w:pPr>
    </w:p>
    <w:p w:rsidR="00000000" w:rsidRDefault="00844A84">
      <w:pPr>
        <w:pStyle w:val="Heading4"/>
        <w:rPr>
          <w:rFonts w:hint="eastAsia"/>
          <w:lang w:val="en-GB"/>
        </w:rPr>
      </w:pPr>
      <w:r>
        <w:rPr>
          <w:lang w:val="en-GB"/>
        </w:rPr>
        <w:t>2001</w:t>
      </w:r>
      <w:r>
        <w:rPr>
          <w:lang w:val="en-GB"/>
        </w:rPr>
        <w:t>年黑山共和国急性传染病</w:t>
      </w:r>
    </w:p>
    <w:p w:rsidR="00000000" w:rsidRDefault="00844A84">
      <w:pPr>
        <w:spacing w:after="320"/>
        <w:ind w:firstLine="510"/>
        <w:rPr>
          <w:snapToGrid/>
          <w:lang w:val="en-GB"/>
        </w:rPr>
      </w:pPr>
      <w:r>
        <w:rPr>
          <w:snapToGrid/>
          <w:lang w:val="en-GB"/>
        </w:rPr>
        <w:t>704.</w:t>
      </w:r>
      <w:r>
        <w:t xml:space="preserve">  </w:t>
      </w:r>
      <w:r>
        <w:rPr>
          <w:rFonts w:hint="eastAsia"/>
          <w:snapToGrid/>
          <w:lang w:val="en-GB"/>
        </w:rPr>
        <w:t>在</w:t>
      </w:r>
      <w:r>
        <w:rPr>
          <w:snapToGrid/>
          <w:lang w:val="en-GB"/>
        </w:rPr>
        <w:t>按照南斯拉夫联盟共和国现行</w:t>
      </w:r>
      <w:r>
        <w:rPr>
          <w:snapToGrid/>
          <w:lang w:val="en-GB"/>
        </w:rPr>
        <w:t>法律</w:t>
      </w:r>
      <w:r>
        <w:rPr>
          <w:snapToGrid/>
          <w:lang w:val="en-GB"/>
        </w:rPr>
        <w:t>(</w:t>
      </w:r>
      <w:r>
        <w:rPr>
          <w:snapToGrid/>
          <w:lang w:val="en-GB"/>
        </w:rPr>
        <w:t>《南斯拉夫联盟共和国政府公报》，第</w:t>
      </w:r>
      <w:r>
        <w:rPr>
          <w:snapToGrid/>
          <w:lang w:val="en-GB"/>
        </w:rPr>
        <w:t>46/96</w:t>
      </w:r>
      <w:r>
        <w:rPr>
          <w:snapToGrid/>
          <w:lang w:val="en-GB"/>
        </w:rPr>
        <w:t>号</w:t>
      </w:r>
      <w:r>
        <w:rPr>
          <w:snapToGrid/>
          <w:lang w:val="en-GB"/>
        </w:rPr>
        <w:t>)</w:t>
      </w:r>
      <w:r>
        <w:rPr>
          <w:snapToGrid/>
          <w:lang w:val="en-GB"/>
        </w:rPr>
        <w:t>必须报告的传染病方面，我国</w:t>
      </w:r>
      <w:r>
        <w:rPr>
          <w:rFonts w:hint="eastAsia"/>
          <w:snapToGrid/>
          <w:lang w:val="en-GB"/>
        </w:rPr>
        <w:t>报告</w:t>
      </w:r>
      <w:r>
        <w:rPr>
          <w:snapToGrid/>
          <w:lang w:val="en-GB"/>
        </w:rPr>
        <w:t>的传染病</w:t>
      </w:r>
      <w:r>
        <w:rPr>
          <w:rFonts w:hint="eastAsia"/>
          <w:snapToGrid/>
          <w:lang w:val="en-GB"/>
        </w:rPr>
        <w:t>病例</w:t>
      </w:r>
      <w:r>
        <w:rPr>
          <w:snapToGrid/>
          <w:lang w:val="en-GB"/>
        </w:rPr>
        <w:t>数目受到若干因素影响：</w:t>
      </w:r>
      <w:r>
        <w:rPr>
          <w:rFonts w:hint="eastAsia"/>
          <w:snapToGrid/>
          <w:lang w:val="en-GB"/>
        </w:rPr>
        <w:t>各地</w:t>
      </w:r>
      <w:r>
        <w:rPr>
          <w:snapToGrid/>
          <w:lang w:val="en-GB"/>
        </w:rPr>
        <w:t>疾病</w:t>
      </w:r>
      <w:r>
        <w:rPr>
          <w:rFonts w:hint="eastAsia"/>
          <w:snapToGrid/>
          <w:lang w:val="en-GB"/>
        </w:rPr>
        <w:t>的</w:t>
      </w:r>
      <w:r>
        <w:rPr>
          <w:snapToGrid/>
          <w:lang w:val="en-GB"/>
        </w:rPr>
        <w:t>实际流行情况；</w:t>
      </w:r>
      <w:r>
        <w:rPr>
          <w:rFonts w:hint="eastAsia"/>
          <w:snapToGrid/>
          <w:lang w:val="en-GB"/>
        </w:rPr>
        <w:t>患者人</w:t>
      </w:r>
      <w:r>
        <w:rPr>
          <w:snapToGrid/>
          <w:lang w:val="en-GB"/>
        </w:rPr>
        <w:t>数众多的</w:t>
      </w:r>
      <w:r>
        <w:rPr>
          <w:rFonts w:hint="eastAsia"/>
          <w:snapToGrid/>
          <w:lang w:val="en-GB"/>
        </w:rPr>
        <w:t>传染病流行情况</w:t>
      </w:r>
      <w:r>
        <w:rPr>
          <w:snapToGrid/>
          <w:lang w:val="en-GB"/>
        </w:rPr>
        <w:t>、保健服务的发展；</w:t>
      </w:r>
      <w:r>
        <w:rPr>
          <w:rFonts w:hint="eastAsia"/>
          <w:snapToGrid/>
          <w:lang w:val="en-GB"/>
        </w:rPr>
        <w:t>以</w:t>
      </w:r>
      <w:r>
        <w:rPr>
          <w:snapToGrid/>
          <w:lang w:val="en-GB"/>
        </w:rPr>
        <w:t>实验室诊断技术作为确诊</w:t>
      </w:r>
      <w:r>
        <w:rPr>
          <w:rFonts w:hint="eastAsia"/>
          <w:snapToGrid/>
          <w:lang w:val="en-GB"/>
        </w:rPr>
        <w:t>疾病</w:t>
      </w:r>
      <w:r>
        <w:rPr>
          <w:snapToGrid/>
          <w:lang w:val="en-GB"/>
        </w:rPr>
        <w:t>的</w:t>
      </w:r>
      <w:r>
        <w:rPr>
          <w:rFonts w:hint="eastAsia"/>
          <w:snapToGrid/>
          <w:lang w:val="en-GB"/>
        </w:rPr>
        <w:t>手段</w:t>
      </w:r>
      <w:r>
        <w:rPr>
          <w:snapToGrid/>
          <w:lang w:val="en-GB"/>
        </w:rPr>
        <w:t>；保健服务</w:t>
      </w:r>
      <w:r>
        <w:rPr>
          <w:rFonts w:hint="eastAsia"/>
          <w:snapToGrid/>
          <w:lang w:val="en-GB"/>
        </w:rPr>
        <w:t>机构是否及时</w:t>
      </w:r>
      <w:r>
        <w:rPr>
          <w:snapToGrid/>
          <w:lang w:val="en-GB"/>
        </w:rPr>
        <w:t>记录传染病</w:t>
      </w:r>
      <w:r>
        <w:rPr>
          <w:rFonts w:hint="eastAsia"/>
          <w:snapToGrid/>
          <w:lang w:val="en-GB"/>
        </w:rPr>
        <w:t>的发生情况</w:t>
      </w:r>
      <w:r>
        <w:rPr>
          <w:snapToGrid/>
          <w:lang w:val="en-GB"/>
        </w:rPr>
        <w:t>；公民对卫生保健的认识</w:t>
      </w:r>
      <w:r>
        <w:rPr>
          <w:rFonts w:hint="eastAsia"/>
          <w:snapToGrid/>
          <w:lang w:val="en-GB"/>
        </w:rPr>
        <w:t>程度，</w:t>
      </w:r>
      <w:r>
        <w:rPr>
          <w:snapToGrid/>
          <w:lang w:val="en-GB"/>
        </w:rPr>
        <w:t>以及他们生病</w:t>
      </w:r>
      <w:r>
        <w:rPr>
          <w:rFonts w:hint="eastAsia"/>
          <w:snapToGrid/>
          <w:lang w:val="en-GB"/>
        </w:rPr>
        <w:t>时是否有</w:t>
      </w:r>
      <w:r>
        <w:rPr>
          <w:snapToGrid/>
          <w:lang w:val="en-GB"/>
        </w:rPr>
        <w:t>看医生</w:t>
      </w:r>
      <w:r>
        <w:rPr>
          <w:rFonts w:hint="eastAsia"/>
          <w:snapToGrid/>
          <w:lang w:val="en-GB"/>
        </w:rPr>
        <w:t>的</w:t>
      </w:r>
      <w:r>
        <w:rPr>
          <w:snapToGrid/>
          <w:lang w:val="en-GB"/>
        </w:rPr>
        <w:t>习惯；必须依法报告的传染病数目</w:t>
      </w:r>
      <w:r>
        <w:rPr>
          <w:rFonts w:hint="eastAsia"/>
          <w:snapToGrid/>
          <w:lang w:val="en-GB"/>
        </w:rPr>
        <w:t>。</w:t>
      </w:r>
    </w:p>
    <w:p w:rsidR="00000000" w:rsidRDefault="00844A84">
      <w:pPr>
        <w:pStyle w:val="Heading3"/>
      </w:pPr>
      <w:r>
        <w:rPr>
          <w:rFonts w:hint="eastAsia"/>
          <w:u w:val="none"/>
          <w:lang w:val="en-GB"/>
        </w:rPr>
        <w:t>表</w:t>
      </w:r>
      <w:r>
        <w:rPr>
          <w:u w:val="none"/>
          <w:lang w:val="en-GB"/>
        </w:rPr>
        <w:t xml:space="preserve"> </w:t>
      </w:r>
      <w:r>
        <w:rPr>
          <w:rFonts w:hint="eastAsia"/>
          <w:u w:val="none"/>
          <w:lang w:val="en-GB"/>
        </w:rPr>
        <w:t>5</w:t>
      </w:r>
      <w:r>
        <w:rPr>
          <w:u w:val="none"/>
          <w:lang w:val="en-GB"/>
        </w:rPr>
        <w:br/>
      </w:r>
      <w:r>
        <w:rPr>
          <w:rFonts w:hint="eastAsia"/>
        </w:rPr>
        <w:t>按月份和</w:t>
      </w:r>
      <w:r>
        <w:rPr>
          <w:rFonts w:hint="eastAsia"/>
          <w:szCs w:val="24"/>
        </w:rPr>
        <w:t>市镇报告的</w:t>
      </w:r>
      <w:r>
        <w:rPr>
          <w:rFonts w:hint="eastAsia"/>
        </w:rPr>
        <w:t>黑山传染病数</w:t>
      </w:r>
      <w:r>
        <w:rPr>
          <w:rFonts w:hint="eastAsia"/>
          <w:lang w:val="en-GB"/>
        </w:rPr>
        <w:t>，</w:t>
      </w:r>
      <w:r>
        <w:rPr>
          <w:lang w:val="en-GB"/>
        </w:rPr>
        <w:br/>
      </w:r>
      <w:r>
        <w:rPr>
          <w:rFonts w:hint="eastAsia"/>
        </w:rPr>
        <w:t>不包括流行性感冒数据</w:t>
      </w:r>
      <w:r>
        <w:br/>
      </w:r>
      <w:r>
        <w:rPr>
          <w:rFonts w:hint="eastAsia"/>
          <w:u w:val="none"/>
        </w:rPr>
        <w:t>(</w:t>
      </w:r>
      <w:r>
        <w:rPr>
          <w:rFonts w:hint="eastAsia"/>
        </w:rPr>
        <w:t>2001</w:t>
      </w:r>
      <w:r>
        <w:rPr>
          <w:rFonts w:hint="eastAsia"/>
        </w:rPr>
        <w:t>年月份报告摘要</w:t>
      </w:r>
      <w:r>
        <w:rPr>
          <w:rFonts w:hint="eastAsia"/>
          <w:u w:val="none"/>
        </w:rPr>
        <w:t>)</w:t>
      </w:r>
    </w:p>
    <w:tbl>
      <w:tblPr>
        <w:tblW w:w="9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75"/>
        <w:gridCol w:w="735"/>
        <w:gridCol w:w="630"/>
        <w:gridCol w:w="596"/>
        <w:gridCol w:w="675"/>
        <w:gridCol w:w="583"/>
        <w:gridCol w:w="683"/>
        <w:gridCol w:w="593"/>
        <w:gridCol w:w="709"/>
        <w:gridCol w:w="582"/>
        <w:gridCol w:w="724"/>
        <w:gridCol w:w="671"/>
        <w:gridCol w:w="716"/>
      </w:tblGrid>
      <w:tr w:rsidR="00000000">
        <w:tblPrEx>
          <w:tblCellMar>
            <w:top w:w="0" w:type="dxa"/>
            <w:bottom w:w="0" w:type="dxa"/>
          </w:tblCellMar>
        </w:tblPrEx>
        <w:trPr>
          <w:cantSplit/>
        </w:trPr>
        <w:tc>
          <w:tcPr>
            <w:tcW w:w="1575" w:type="dxa"/>
            <w:vMerge w:val="restart"/>
            <w:tcBorders>
              <w:top w:val="single" w:sz="4" w:space="0" w:color="auto"/>
              <w:right w:val="single" w:sz="4" w:space="0" w:color="auto"/>
            </w:tcBorders>
            <w:vAlign w:val="center"/>
          </w:tcPr>
          <w:p w:rsidR="00000000" w:rsidRDefault="00844A84">
            <w:pPr>
              <w:pStyle w:val="a2"/>
              <w:spacing w:before="120" w:after="40" w:line="240" w:lineRule="auto"/>
              <w:jc w:val="center"/>
              <w:rPr>
                <w:snapToGrid/>
              </w:rPr>
            </w:pPr>
            <w:r>
              <w:br w:type="page"/>
            </w:r>
            <w:r>
              <w:rPr>
                <w:rFonts w:hint="eastAsia"/>
                <w:snapToGrid/>
              </w:rPr>
              <w:t>市</w:t>
            </w:r>
            <w:r>
              <w:rPr>
                <w:rFonts w:hint="eastAsia"/>
                <w:snapToGrid/>
              </w:rPr>
              <w:t xml:space="preserve">  </w:t>
            </w:r>
            <w:r>
              <w:rPr>
                <w:rFonts w:hint="eastAsia"/>
                <w:snapToGrid/>
              </w:rPr>
              <w:t>镇</w:t>
            </w:r>
          </w:p>
        </w:tc>
        <w:tc>
          <w:tcPr>
            <w:tcW w:w="7897" w:type="dxa"/>
            <w:gridSpan w:val="12"/>
            <w:tcBorders>
              <w:top w:val="single" w:sz="4" w:space="0" w:color="auto"/>
              <w:left w:val="single" w:sz="4" w:space="0" w:color="auto"/>
              <w:bottom w:val="single" w:sz="4" w:space="0" w:color="auto"/>
            </w:tcBorders>
          </w:tcPr>
          <w:p w:rsidR="00000000" w:rsidRDefault="00844A84">
            <w:pPr>
              <w:pStyle w:val="a2"/>
              <w:spacing w:before="120" w:after="40" w:line="240" w:lineRule="auto"/>
              <w:jc w:val="center"/>
              <w:rPr>
                <w:rFonts w:hint="eastAsia"/>
                <w:snapToGrid/>
              </w:rPr>
            </w:pPr>
            <w:r>
              <w:rPr>
                <w:rFonts w:hint="eastAsia"/>
                <w:snapToGrid/>
              </w:rPr>
              <w:t>月</w:t>
            </w:r>
            <w:r>
              <w:rPr>
                <w:snapToGrid/>
              </w:rPr>
              <w:t xml:space="preserve">      </w:t>
            </w:r>
            <w:r>
              <w:rPr>
                <w:rFonts w:hint="eastAsia"/>
                <w:snapToGrid/>
              </w:rPr>
              <w:t>份</w:t>
            </w:r>
          </w:p>
        </w:tc>
      </w:tr>
      <w:tr w:rsidR="00000000">
        <w:tblPrEx>
          <w:tblCellMar>
            <w:top w:w="0" w:type="dxa"/>
            <w:bottom w:w="0" w:type="dxa"/>
          </w:tblCellMar>
        </w:tblPrEx>
        <w:trPr>
          <w:cantSplit/>
        </w:trPr>
        <w:tc>
          <w:tcPr>
            <w:tcW w:w="1575" w:type="dxa"/>
            <w:vMerge/>
            <w:tcBorders>
              <w:bottom w:val="single" w:sz="4" w:space="0" w:color="auto"/>
              <w:right w:val="single" w:sz="4" w:space="0" w:color="auto"/>
            </w:tcBorders>
          </w:tcPr>
          <w:p w:rsidR="00000000" w:rsidRDefault="00844A84">
            <w:pPr>
              <w:pStyle w:val="a2"/>
              <w:spacing w:before="120" w:after="40" w:line="240" w:lineRule="auto"/>
              <w:rPr>
                <w:snapToGrid/>
              </w:rPr>
            </w:pPr>
          </w:p>
        </w:tc>
        <w:tc>
          <w:tcPr>
            <w:tcW w:w="735"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snapToGrid/>
                <w:sz w:val="20"/>
              </w:rPr>
              <w:t>1</w:t>
            </w:r>
            <w:r>
              <w:rPr>
                <w:rFonts w:hint="eastAsia"/>
                <w:snapToGrid/>
                <w:sz w:val="20"/>
              </w:rPr>
              <w:t>月</w:t>
            </w:r>
          </w:p>
        </w:tc>
        <w:tc>
          <w:tcPr>
            <w:tcW w:w="630"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2</w:t>
            </w:r>
            <w:r>
              <w:rPr>
                <w:rFonts w:hint="eastAsia"/>
                <w:snapToGrid/>
                <w:sz w:val="20"/>
              </w:rPr>
              <w:t>月</w:t>
            </w:r>
          </w:p>
        </w:tc>
        <w:tc>
          <w:tcPr>
            <w:tcW w:w="596"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3</w:t>
            </w:r>
            <w:r>
              <w:rPr>
                <w:rFonts w:hint="eastAsia"/>
                <w:snapToGrid/>
                <w:sz w:val="20"/>
              </w:rPr>
              <w:t>月</w:t>
            </w:r>
          </w:p>
        </w:tc>
        <w:tc>
          <w:tcPr>
            <w:tcW w:w="675"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4</w:t>
            </w:r>
            <w:r>
              <w:rPr>
                <w:rFonts w:hint="eastAsia"/>
                <w:snapToGrid/>
                <w:sz w:val="20"/>
              </w:rPr>
              <w:t>月</w:t>
            </w:r>
          </w:p>
        </w:tc>
        <w:tc>
          <w:tcPr>
            <w:tcW w:w="583"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5</w:t>
            </w:r>
            <w:r>
              <w:rPr>
                <w:rFonts w:hint="eastAsia"/>
                <w:snapToGrid/>
                <w:sz w:val="20"/>
              </w:rPr>
              <w:t>月</w:t>
            </w:r>
          </w:p>
        </w:tc>
        <w:tc>
          <w:tcPr>
            <w:tcW w:w="683"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6</w:t>
            </w:r>
            <w:r>
              <w:rPr>
                <w:rFonts w:hint="eastAsia"/>
                <w:snapToGrid/>
                <w:sz w:val="20"/>
              </w:rPr>
              <w:t>月</w:t>
            </w:r>
          </w:p>
        </w:tc>
        <w:tc>
          <w:tcPr>
            <w:tcW w:w="593"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7</w:t>
            </w:r>
            <w:r>
              <w:rPr>
                <w:rFonts w:hint="eastAsia"/>
                <w:snapToGrid/>
                <w:sz w:val="20"/>
              </w:rPr>
              <w:t>月</w:t>
            </w:r>
          </w:p>
        </w:tc>
        <w:tc>
          <w:tcPr>
            <w:tcW w:w="709"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snapToGrid/>
                <w:sz w:val="20"/>
              </w:rPr>
            </w:pPr>
            <w:r>
              <w:rPr>
                <w:rFonts w:hint="eastAsia"/>
                <w:snapToGrid/>
                <w:sz w:val="20"/>
              </w:rPr>
              <w:t>8</w:t>
            </w:r>
            <w:r>
              <w:rPr>
                <w:rFonts w:hint="eastAsia"/>
                <w:snapToGrid/>
                <w:sz w:val="20"/>
              </w:rPr>
              <w:t>月</w:t>
            </w:r>
          </w:p>
        </w:tc>
        <w:tc>
          <w:tcPr>
            <w:tcW w:w="582"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snapToGrid/>
                <w:sz w:val="20"/>
              </w:rPr>
            </w:pPr>
            <w:r>
              <w:rPr>
                <w:rFonts w:hint="eastAsia"/>
                <w:snapToGrid/>
                <w:sz w:val="20"/>
              </w:rPr>
              <w:t>9</w:t>
            </w:r>
            <w:r>
              <w:rPr>
                <w:rFonts w:hint="eastAsia"/>
                <w:snapToGrid/>
                <w:sz w:val="20"/>
              </w:rPr>
              <w:t>月</w:t>
            </w:r>
          </w:p>
        </w:tc>
        <w:tc>
          <w:tcPr>
            <w:tcW w:w="724"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10</w:t>
            </w:r>
            <w:r>
              <w:rPr>
                <w:rFonts w:hint="eastAsia"/>
                <w:snapToGrid/>
                <w:sz w:val="20"/>
              </w:rPr>
              <w:t>月</w:t>
            </w:r>
          </w:p>
        </w:tc>
        <w:tc>
          <w:tcPr>
            <w:tcW w:w="671" w:type="dxa"/>
            <w:tcBorders>
              <w:top w:val="single" w:sz="4" w:space="0" w:color="auto"/>
              <w:left w:val="single" w:sz="4" w:space="0" w:color="auto"/>
              <w:bottom w:val="single" w:sz="4" w:space="0" w:color="auto"/>
              <w:right w:val="single" w:sz="4" w:space="0" w:color="auto"/>
            </w:tcBorders>
          </w:tcPr>
          <w:p w:rsidR="00000000" w:rsidRDefault="00844A84">
            <w:pPr>
              <w:pStyle w:val="a2"/>
              <w:spacing w:before="120" w:after="40" w:line="240" w:lineRule="auto"/>
              <w:ind w:left="-57" w:right="-57"/>
              <w:jc w:val="center"/>
              <w:rPr>
                <w:rFonts w:hint="eastAsia"/>
                <w:snapToGrid/>
                <w:sz w:val="20"/>
              </w:rPr>
            </w:pPr>
            <w:r>
              <w:rPr>
                <w:rFonts w:hint="eastAsia"/>
                <w:snapToGrid/>
                <w:sz w:val="20"/>
              </w:rPr>
              <w:t>11</w:t>
            </w:r>
            <w:r>
              <w:rPr>
                <w:rFonts w:hint="eastAsia"/>
                <w:snapToGrid/>
                <w:sz w:val="20"/>
              </w:rPr>
              <w:t>月</w:t>
            </w:r>
          </w:p>
        </w:tc>
        <w:tc>
          <w:tcPr>
            <w:tcW w:w="716" w:type="dxa"/>
            <w:tcBorders>
              <w:top w:val="single" w:sz="4" w:space="0" w:color="auto"/>
              <w:left w:val="single" w:sz="4" w:space="0" w:color="auto"/>
              <w:bottom w:val="single" w:sz="4" w:space="0" w:color="auto"/>
            </w:tcBorders>
          </w:tcPr>
          <w:p w:rsidR="00000000" w:rsidRDefault="00844A84">
            <w:pPr>
              <w:pStyle w:val="a2"/>
              <w:spacing w:before="120" w:after="40" w:line="240" w:lineRule="auto"/>
              <w:jc w:val="center"/>
              <w:rPr>
                <w:rFonts w:hint="eastAsia"/>
                <w:snapToGrid/>
                <w:sz w:val="20"/>
              </w:rPr>
            </w:pPr>
            <w:r>
              <w:rPr>
                <w:rFonts w:hint="eastAsia"/>
                <w:snapToGrid/>
                <w:sz w:val="20"/>
              </w:rPr>
              <w:t>12</w:t>
            </w:r>
            <w:r>
              <w:rPr>
                <w:rFonts w:hint="eastAsia"/>
                <w:snapToGrid/>
                <w:sz w:val="20"/>
              </w:rPr>
              <w:t>月</w:t>
            </w:r>
          </w:p>
        </w:tc>
      </w:tr>
      <w:tr w:rsidR="00000000">
        <w:tblPrEx>
          <w:tblCellMar>
            <w:top w:w="0" w:type="dxa"/>
            <w:bottom w:w="0" w:type="dxa"/>
          </w:tblCellMar>
        </w:tblPrEx>
        <w:tc>
          <w:tcPr>
            <w:tcW w:w="1575" w:type="dxa"/>
            <w:tcBorders>
              <w:top w:val="single" w:sz="4" w:space="0" w:color="auto"/>
              <w:bottom w:val="nil"/>
              <w:right w:val="single" w:sz="4" w:space="0" w:color="auto"/>
            </w:tcBorders>
          </w:tcPr>
          <w:p w:rsidR="00000000" w:rsidRDefault="00844A84">
            <w:pPr>
              <w:pStyle w:val="a2"/>
              <w:spacing w:before="120" w:after="40" w:line="240" w:lineRule="auto"/>
              <w:rPr>
                <w:snapToGrid/>
              </w:rPr>
            </w:pPr>
            <w:r>
              <w:rPr>
                <w:snapToGrid/>
              </w:rPr>
              <w:t>Andrijevica</w:t>
            </w:r>
          </w:p>
        </w:tc>
        <w:tc>
          <w:tcPr>
            <w:tcW w:w="735"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1</w:t>
            </w:r>
          </w:p>
        </w:tc>
        <w:tc>
          <w:tcPr>
            <w:tcW w:w="630"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596"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w:t>
            </w:r>
          </w:p>
        </w:tc>
        <w:tc>
          <w:tcPr>
            <w:tcW w:w="675"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w:t>
            </w:r>
          </w:p>
        </w:tc>
        <w:tc>
          <w:tcPr>
            <w:tcW w:w="583"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0</w:t>
            </w:r>
          </w:p>
        </w:tc>
        <w:tc>
          <w:tcPr>
            <w:tcW w:w="683"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0</w:t>
            </w:r>
          </w:p>
        </w:tc>
        <w:tc>
          <w:tcPr>
            <w:tcW w:w="593"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0</w:t>
            </w:r>
          </w:p>
        </w:tc>
        <w:tc>
          <w:tcPr>
            <w:tcW w:w="709"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0</w:t>
            </w:r>
          </w:p>
        </w:tc>
        <w:tc>
          <w:tcPr>
            <w:tcW w:w="582"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0</w:t>
            </w:r>
          </w:p>
        </w:tc>
        <w:tc>
          <w:tcPr>
            <w:tcW w:w="724"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w:t>
            </w:r>
          </w:p>
        </w:tc>
        <w:tc>
          <w:tcPr>
            <w:tcW w:w="671" w:type="dxa"/>
            <w:tcBorders>
              <w:top w:val="single" w:sz="4" w:space="0" w:color="auto"/>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6</w:t>
            </w:r>
          </w:p>
        </w:tc>
        <w:tc>
          <w:tcPr>
            <w:tcW w:w="716" w:type="dxa"/>
            <w:tcBorders>
              <w:top w:val="single" w:sz="4" w:space="0" w:color="auto"/>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5</w:t>
            </w:r>
          </w:p>
        </w:tc>
      </w:tr>
      <w:tr w:rsidR="00000000">
        <w:tblPrEx>
          <w:tblCellMar>
            <w:top w:w="0" w:type="dxa"/>
            <w:bottom w:w="0" w:type="dxa"/>
          </w:tblCellMar>
        </w:tblPrEx>
        <w:tc>
          <w:tcPr>
            <w:tcW w:w="1575" w:type="dxa"/>
            <w:tcBorders>
              <w:top w:val="nil"/>
              <w:right w:val="single" w:sz="4" w:space="0" w:color="auto"/>
            </w:tcBorders>
          </w:tcPr>
          <w:p w:rsidR="00000000" w:rsidRDefault="00844A84">
            <w:pPr>
              <w:pStyle w:val="a2"/>
              <w:spacing w:before="120" w:after="40" w:line="240" w:lineRule="auto"/>
              <w:rPr>
                <w:snapToGrid/>
              </w:rPr>
            </w:pPr>
            <w:r>
              <w:rPr>
                <w:snapToGrid/>
              </w:rPr>
              <w:t>Bar</w:t>
            </w:r>
          </w:p>
        </w:tc>
        <w:tc>
          <w:tcPr>
            <w:tcW w:w="735" w:type="dxa"/>
            <w:tcBorders>
              <w:top w:val="nil"/>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33</w:t>
            </w:r>
          </w:p>
        </w:tc>
        <w:tc>
          <w:tcPr>
            <w:tcW w:w="630"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14</w:t>
            </w:r>
          </w:p>
        </w:tc>
        <w:tc>
          <w:tcPr>
            <w:tcW w:w="596"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19</w:t>
            </w:r>
          </w:p>
        </w:tc>
        <w:tc>
          <w:tcPr>
            <w:tcW w:w="675"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11</w:t>
            </w:r>
          </w:p>
        </w:tc>
        <w:tc>
          <w:tcPr>
            <w:tcW w:w="583"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21</w:t>
            </w:r>
          </w:p>
        </w:tc>
        <w:tc>
          <w:tcPr>
            <w:tcW w:w="683"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16</w:t>
            </w:r>
          </w:p>
        </w:tc>
        <w:tc>
          <w:tcPr>
            <w:tcW w:w="593"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237</w:t>
            </w:r>
          </w:p>
        </w:tc>
        <w:tc>
          <w:tcPr>
            <w:tcW w:w="709" w:type="dxa"/>
            <w:tcBorders>
              <w:top w:val="nil"/>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105</w:t>
            </w:r>
          </w:p>
        </w:tc>
        <w:tc>
          <w:tcPr>
            <w:tcW w:w="582" w:type="dxa"/>
            <w:tcBorders>
              <w:top w:val="nil"/>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214</w:t>
            </w:r>
          </w:p>
        </w:tc>
        <w:tc>
          <w:tcPr>
            <w:tcW w:w="724" w:type="dxa"/>
            <w:tcBorders>
              <w:top w:val="nil"/>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46</w:t>
            </w:r>
          </w:p>
        </w:tc>
        <w:tc>
          <w:tcPr>
            <w:tcW w:w="671"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30</w:t>
            </w:r>
          </w:p>
        </w:tc>
        <w:tc>
          <w:tcPr>
            <w:tcW w:w="716" w:type="dxa"/>
            <w:tcBorders>
              <w:top w:val="nil"/>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9</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Berane</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19</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11</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14</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18</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19</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16</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13</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48</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22</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32</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25</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26/1</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Bijelo polje</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53</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43</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30</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34</w:t>
            </w:r>
          </w:p>
        </w:tc>
        <w:tc>
          <w:tcPr>
            <w:tcW w:w="583"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18</w:t>
            </w:r>
          </w:p>
        </w:tc>
        <w:tc>
          <w:tcPr>
            <w:tcW w:w="683"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19</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22</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29</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69</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66</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67</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46</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 xml:space="preserve">Budva </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2</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5</w:t>
            </w:r>
          </w:p>
        </w:tc>
        <w:tc>
          <w:tcPr>
            <w:tcW w:w="583" w:type="dxa"/>
            <w:tcBorders>
              <w:top w:val="nil"/>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20</w:t>
            </w:r>
          </w:p>
        </w:tc>
        <w:tc>
          <w:tcPr>
            <w:tcW w:w="683"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59</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130</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127</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55</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10</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70</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3</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Danilovgrad</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23</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6</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6</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w:t>
            </w:r>
          </w:p>
        </w:tc>
        <w:tc>
          <w:tcPr>
            <w:tcW w:w="583" w:type="dxa"/>
            <w:tcBorders>
              <w:top w:val="nil"/>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13</w:t>
            </w:r>
          </w:p>
        </w:tc>
        <w:tc>
          <w:tcPr>
            <w:tcW w:w="683" w:type="dxa"/>
            <w:tcBorders>
              <w:top w:val="nil"/>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15</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17</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4</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14</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83</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166</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134</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Žabljak</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83"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68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136</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Kolašin</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5</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w:t>
            </w:r>
          </w:p>
        </w:tc>
        <w:tc>
          <w:tcPr>
            <w:tcW w:w="583"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68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2</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2</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Kotor</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28</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12</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20</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12</w:t>
            </w:r>
          </w:p>
        </w:tc>
        <w:tc>
          <w:tcPr>
            <w:tcW w:w="583"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9</w:t>
            </w:r>
          </w:p>
        </w:tc>
        <w:tc>
          <w:tcPr>
            <w:tcW w:w="68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7</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17</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29</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45</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15</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21</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11</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Mojkovac</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10</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7</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583"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3</w:t>
            </w:r>
          </w:p>
        </w:tc>
        <w:tc>
          <w:tcPr>
            <w:tcW w:w="68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5</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6</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w:t>
            </w:r>
          </w:p>
        </w:tc>
      </w:tr>
      <w:tr w:rsidR="00000000">
        <w:tblPrEx>
          <w:tblCellMar>
            <w:top w:w="0" w:type="dxa"/>
            <w:bottom w:w="0" w:type="dxa"/>
          </w:tblCellMar>
        </w:tblPrEx>
        <w:tc>
          <w:tcPr>
            <w:tcW w:w="1575" w:type="dxa"/>
            <w:tcBorders>
              <w:right w:val="single" w:sz="4" w:space="0" w:color="auto"/>
            </w:tcBorders>
          </w:tcPr>
          <w:p w:rsidR="00000000" w:rsidRDefault="00844A84">
            <w:pPr>
              <w:pStyle w:val="a2"/>
              <w:spacing w:before="120" w:after="40" w:line="240" w:lineRule="auto"/>
              <w:rPr>
                <w:snapToGrid/>
              </w:rPr>
            </w:pPr>
            <w:r>
              <w:rPr>
                <w:snapToGrid/>
              </w:rPr>
              <w:t>Nikšić</w:t>
            </w:r>
          </w:p>
        </w:tc>
        <w:tc>
          <w:tcPr>
            <w:tcW w:w="735" w:type="dxa"/>
            <w:tcBorders>
              <w:left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52</w:t>
            </w:r>
          </w:p>
        </w:tc>
        <w:tc>
          <w:tcPr>
            <w:tcW w:w="630"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21</w:t>
            </w:r>
          </w:p>
        </w:tc>
        <w:tc>
          <w:tcPr>
            <w:tcW w:w="596"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30</w:t>
            </w:r>
          </w:p>
        </w:tc>
        <w:tc>
          <w:tcPr>
            <w:tcW w:w="675"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9</w:t>
            </w:r>
          </w:p>
        </w:tc>
        <w:tc>
          <w:tcPr>
            <w:tcW w:w="583"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20</w:t>
            </w:r>
          </w:p>
        </w:tc>
        <w:tc>
          <w:tcPr>
            <w:tcW w:w="68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13</w:t>
            </w:r>
          </w:p>
        </w:tc>
        <w:tc>
          <w:tcPr>
            <w:tcW w:w="593"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709"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4</w:t>
            </w:r>
          </w:p>
        </w:tc>
        <w:tc>
          <w:tcPr>
            <w:tcW w:w="582"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8</w:t>
            </w:r>
          </w:p>
        </w:tc>
        <w:tc>
          <w:tcPr>
            <w:tcW w:w="724" w:type="dxa"/>
            <w:tcBorders>
              <w:left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7</w:t>
            </w:r>
          </w:p>
        </w:tc>
        <w:tc>
          <w:tcPr>
            <w:tcW w:w="671" w:type="dxa"/>
            <w:tcBorders>
              <w:left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23</w:t>
            </w:r>
          </w:p>
        </w:tc>
        <w:tc>
          <w:tcPr>
            <w:tcW w:w="716" w:type="dxa"/>
            <w:tcBorders>
              <w:left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27</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Plav</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41</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32</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27</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24</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21</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11</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42</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93</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30</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33</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28</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25</w:t>
            </w:r>
          </w:p>
        </w:tc>
      </w:tr>
      <w:tr w:rsidR="00000000">
        <w:tblPrEx>
          <w:tblCellMar>
            <w:top w:w="0" w:type="dxa"/>
            <w:bottom w:w="0" w:type="dxa"/>
          </w:tblCellMar>
        </w:tblPrEx>
        <w:tc>
          <w:tcPr>
            <w:tcW w:w="1575" w:type="dxa"/>
            <w:tcBorders>
              <w:top w:val="nil"/>
              <w:bottom w:val="nil"/>
              <w:right w:val="single" w:sz="4" w:space="0" w:color="auto"/>
            </w:tcBorders>
          </w:tcPr>
          <w:p w:rsidR="00000000" w:rsidRDefault="00844A84">
            <w:pPr>
              <w:pStyle w:val="a2"/>
              <w:spacing w:before="120" w:after="40" w:line="240" w:lineRule="auto"/>
              <w:rPr>
                <w:snapToGrid/>
              </w:rPr>
            </w:pPr>
            <w:r>
              <w:rPr>
                <w:snapToGrid/>
              </w:rPr>
              <w:t>Plužine</w:t>
            </w:r>
          </w:p>
        </w:tc>
        <w:tc>
          <w:tcPr>
            <w:tcW w:w="735" w:type="dxa"/>
            <w:tcBorders>
              <w:top w:val="nil"/>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3</w:t>
            </w:r>
          </w:p>
        </w:tc>
        <w:tc>
          <w:tcPr>
            <w:tcW w:w="630"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7</w:t>
            </w:r>
          </w:p>
        </w:tc>
        <w:tc>
          <w:tcPr>
            <w:tcW w:w="596"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w:t>
            </w:r>
          </w:p>
        </w:tc>
        <w:tc>
          <w:tcPr>
            <w:tcW w:w="675"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83" w:type="dxa"/>
            <w:tcBorders>
              <w:top w:val="nil"/>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683"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10</w:t>
            </w:r>
          </w:p>
        </w:tc>
        <w:tc>
          <w:tcPr>
            <w:tcW w:w="593"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709" w:type="dxa"/>
            <w:tcBorders>
              <w:top w:val="nil"/>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12</w:t>
            </w:r>
          </w:p>
        </w:tc>
        <w:tc>
          <w:tcPr>
            <w:tcW w:w="582" w:type="dxa"/>
            <w:tcBorders>
              <w:top w:val="nil"/>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10</w:t>
            </w:r>
          </w:p>
        </w:tc>
        <w:tc>
          <w:tcPr>
            <w:tcW w:w="724" w:type="dxa"/>
            <w:tcBorders>
              <w:top w:val="nil"/>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5</w:t>
            </w:r>
          </w:p>
        </w:tc>
        <w:tc>
          <w:tcPr>
            <w:tcW w:w="671" w:type="dxa"/>
            <w:tcBorders>
              <w:top w:val="nil"/>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716" w:type="dxa"/>
            <w:tcBorders>
              <w:top w:val="nil"/>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9</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Pljevlja</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16</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14</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20</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43</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17</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42</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25</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7</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27</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46</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Podgorica</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177</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130</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119</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105</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108</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139</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110</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106</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120</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130</w:t>
            </w:r>
            <w:r>
              <w:rPr>
                <w:rFonts w:hint="eastAsia"/>
                <w:snapToGrid/>
                <w:spacing w:val="0"/>
              </w:rPr>
              <w:t>/</w:t>
            </w:r>
            <w:r>
              <w:rPr>
                <w:snapToGrid/>
                <w:spacing w:val="0"/>
              </w:rPr>
              <w:t>1</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191</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287</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Rožaje</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45</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33</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29</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26</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21</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21</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29</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95</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83</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64</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39</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40</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Tivat</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26</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15</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8</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4</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12</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61</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191</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22</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5</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6</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11</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Ulcinj</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9</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8</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6</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5</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7</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8</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41</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30</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9</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13</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9</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Herceg Novi</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29</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8</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10</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11</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10</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21</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44</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276</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156</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26</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53</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133</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Cetinje</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8</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12</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13</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16</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13</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35</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35</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14</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30</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10</w:t>
            </w:r>
          </w:p>
        </w:tc>
      </w:tr>
      <w:tr w:rsidR="00000000">
        <w:tblPrEx>
          <w:tblCellMar>
            <w:top w:w="0" w:type="dxa"/>
            <w:bottom w:w="0" w:type="dxa"/>
          </w:tblCellMar>
        </w:tblPrEx>
        <w:tc>
          <w:tcPr>
            <w:tcW w:w="1575" w:type="dxa"/>
            <w:tcBorders>
              <w:bottom w:val="nil"/>
              <w:right w:val="single" w:sz="4" w:space="0" w:color="auto"/>
            </w:tcBorders>
          </w:tcPr>
          <w:p w:rsidR="00000000" w:rsidRDefault="00844A84">
            <w:pPr>
              <w:pStyle w:val="a2"/>
              <w:spacing w:before="120" w:after="40" w:line="240" w:lineRule="auto"/>
              <w:rPr>
                <w:snapToGrid/>
              </w:rPr>
            </w:pPr>
            <w:r>
              <w:rPr>
                <w:snapToGrid/>
              </w:rPr>
              <w:t>Šavnik</w:t>
            </w:r>
          </w:p>
        </w:tc>
        <w:tc>
          <w:tcPr>
            <w:tcW w:w="735" w:type="dxa"/>
            <w:tcBorders>
              <w:left w:val="single" w:sz="4" w:space="0" w:color="auto"/>
              <w:bottom w:val="nil"/>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w:t>
            </w:r>
          </w:p>
        </w:tc>
        <w:tc>
          <w:tcPr>
            <w:tcW w:w="630"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96"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675"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83"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68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593"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709"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582"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724" w:type="dxa"/>
            <w:tcBorders>
              <w:left w:val="single" w:sz="4" w:space="0" w:color="auto"/>
              <w:bottom w:val="nil"/>
              <w:right w:val="single" w:sz="4" w:space="0" w:color="auto"/>
            </w:tcBorders>
          </w:tcPr>
          <w:p w:rsidR="00000000" w:rsidRDefault="00844A84">
            <w:pPr>
              <w:pStyle w:val="a2"/>
              <w:spacing w:before="120" w:after="40" w:line="240" w:lineRule="auto"/>
              <w:jc w:val="right"/>
              <w:rPr>
                <w:snapToGrid/>
                <w:spacing w:val="0"/>
              </w:rPr>
            </w:pPr>
            <w:r>
              <w:rPr>
                <w:snapToGrid/>
                <w:spacing w:val="0"/>
              </w:rPr>
              <w:t>-</w:t>
            </w:r>
          </w:p>
        </w:tc>
        <w:tc>
          <w:tcPr>
            <w:tcW w:w="671" w:type="dxa"/>
            <w:tcBorders>
              <w:left w:val="single" w:sz="4" w:space="0" w:color="auto"/>
              <w:bottom w:val="nil"/>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w:t>
            </w:r>
          </w:p>
        </w:tc>
        <w:tc>
          <w:tcPr>
            <w:tcW w:w="716" w:type="dxa"/>
            <w:tcBorders>
              <w:left w:val="single" w:sz="4" w:space="0" w:color="auto"/>
              <w:bottom w:val="nil"/>
            </w:tcBorders>
          </w:tcPr>
          <w:p w:rsidR="00000000" w:rsidRDefault="00844A84">
            <w:pPr>
              <w:pStyle w:val="a2"/>
              <w:spacing w:before="120" w:after="40" w:line="240" w:lineRule="auto"/>
              <w:ind w:left="-45" w:right="113"/>
              <w:jc w:val="right"/>
              <w:rPr>
                <w:snapToGrid/>
                <w:spacing w:val="0"/>
              </w:rPr>
            </w:pPr>
            <w:r>
              <w:rPr>
                <w:snapToGrid/>
                <w:spacing w:val="0"/>
              </w:rPr>
              <w:t>-</w:t>
            </w:r>
          </w:p>
        </w:tc>
      </w:tr>
      <w:tr w:rsidR="00000000">
        <w:tblPrEx>
          <w:tblCellMar>
            <w:top w:w="0" w:type="dxa"/>
            <w:bottom w:w="0" w:type="dxa"/>
          </w:tblCellMar>
        </w:tblPrEx>
        <w:tc>
          <w:tcPr>
            <w:tcW w:w="1575" w:type="dxa"/>
            <w:tcBorders>
              <w:top w:val="nil"/>
              <w:bottom w:val="single" w:sz="4" w:space="0" w:color="auto"/>
              <w:right w:val="single" w:sz="4" w:space="0" w:color="auto"/>
            </w:tcBorders>
          </w:tcPr>
          <w:p w:rsidR="00000000" w:rsidRDefault="00844A84">
            <w:pPr>
              <w:pStyle w:val="a2"/>
              <w:spacing w:before="120" w:after="40" w:line="240" w:lineRule="auto"/>
              <w:rPr>
                <w:snapToGrid/>
              </w:rPr>
            </w:pPr>
            <w:r>
              <w:rPr>
                <w:snapToGrid/>
              </w:rPr>
              <w:t>Ukupno u CG</w:t>
            </w:r>
          </w:p>
        </w:tc>
        <w:tc>
          <w:tcPr>
            <w:tcW w:w="735"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ind w:right="113"/>
              <w:jc w:val="right"/>
              <w:rPr>
                <w:snapToGrid/>
                <w:spacing w:val="0"/>
              </w:rPr>
            </w:pPr>
            <w:r>
              <w:rPr>
                <w:snapToGrid/>
                <w:spacing w:val="0"/>
              </w:rPr>
              <w:t>580</w:t>
            </w:r>
          </w:p>
        </w:tc>
        <w:tc>
          <w:tcPr>
            <w:tcW w:w="630"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348</w:t>
            </w:r>
          </w:p>
        </w:tc>
        <w:tc>
          <w:tcPr>
            <w:tcW w:w="596"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365</w:t>
            </w:r>
          </w:p>
        </w:tc>
        <w:tc>
          <w:tcPr>
            <w:tcW w:w="675"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301</w:t>
            </w:r>
          </w:p>
        </w:tc>
        <w:tc>
          <w:tcPr>
            <w:tcW w:w="583"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348</w:t>
            </w:r>
          </w:p>
        </w:tc>
        <w:tc>
          <w:tcPr>
            <w:tcW w:w="683"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406</w:t>
            </w:r>
          </w:p>
        </w:tc>
        <w:tc>
          <w:tcPr>
            <w:tcW w:w="593"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791</w:t>
            </w:r>
          </w:p>
        </w:tc>
        <w:tc>
          <w:tcPr>
            <w:tcW w:w="709"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1,221</w:t>
            </w:r>
          </w:p>
        </w:tc>
        <w:tc>
          <w:tcPr>
            <w:tcW w:w="582"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921</w:t>
            </w:r>
          </w:p>
        </w:tc>
        <w:tc>
          <w:tcPr>
            <w:tcW w:w="724"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jc w:val="right"/>
              <w:rPr>
                <w:snapToGrid/>
                <w:spacing w:val="0"/>
              </w:rPr>
            </w:pPr>
            <w:r>
              <w:rPr>
                <w:snapToGrid/>
                <w:spacing w:val="0"/>
              </w:rPr>
              <w:t>561</w:t>
            </w:r>
          </w:p>
        </w:tc>
        <w:tc>
          <w:tcPr>
            <w:tcW w:w="671" w:type="dxa"/>
            <w:tcBorders>
              <w:top w:val="nil"/>
              <w:left w:val="single" w:sz="4" w:space="0" w:color="auto"/>
              <w:bottom w:val="single" w:sz="4" w:space="0" w:color="auto"/>
              <w:right w:val="single" w:sz="4" w:space="0" w:color="auto"/>
            </w:tcBorders>
          </w:tcPr>
          <w:p w:rsidR="00000000" w:rsidRDefault="00844A84">
            <w:pPr>
              <w:pStyle w:val="a2"/>
              <w:spacing w:before="120" w:after="40" w:line="240" w:lineRule="auto"/>
              <w:ind w:right="57"/>
              <w:jc w:val="right"/>
              <w:rPr>
                <w:snapToGrid/>
                <w:spacing w:val="0"/>
              </w:rPr>
            </w:pPr>
            <w:r>
              <w:rPr>
                <w:snapToGrid/>
                <w:spacing w:val="0"/>
              </w:rPr>
              <w:t>801</w:t>
            </w:r>
          </w:p>
        </w:tc>
        <w:tc>
          <w:tcPr>
            <w:tcW w:w="716" w:type="dxa"/>
            <w:tcBorders>
              <w:top w:val="nil"/>
              <w:left w:val="single" w:sz="4" w:space="0" w:color="auto"/>
              <w:bottom w:val="single" w:sz="4" w:space="0" w:color="auto"/>
            </w:tcBorders>
          </w:tcPr>
          <w:p w:rsidR="00000000" w:rsidRDefault="00844A84">
            <w:pPr>
              <w:pStyle w:val="a2"/>
              <w:spacing w:before="120" w:after="40" w:line="240" w:lineRule="auto"/>
              <w:ind w:left="-45" w:right="113"/>
              <w:jc w:val="right"/>
              <w:rPr>
                <w:snapToGrid/>
                <w:spacing w:val="0"/>
              </w:rPr>
            </w:pPr>
            <w:r>
              <w:rPr>
                <w:snapToGrid/>
                <w:spacing w:val="0"/>
              </w:rPr>
              <w:t>967</w:t>
            </w:r>
          </w:p>
        </w:tc>
      </w:tr>
    </w:tbl>
    <w:p w:rsidR="00000000" w:rsidRDefault="00844A84">
      <w:pPr>
        <w:pStyle w:val="a2"/>
        <w:rPr>
          <w:rFonts w:hint="eastAsia"/>
          <w:snapToGrid/>
          <w:lang w:val="en-GB"/>
        </w:rPr>
      </w:pPr>
    </w:p>
    <w:p w:rsidR="00000000" w:rsidRDefault="00844A84">
      <w:pPr>
        <w:ind w:firstLine="510"/>
        <w:rPr>
          <w:rFonts w:hint="eastAsia"/>
          <w:snapToGrid/>
          <w:lang w:val="en-GB"/>
        </w:rPr>
      </w:pPr>
      <w:r>
        <w:rPr>
          <w:snapToGrid/>
          <w:lang w:val="en-GB"/>
        </w:rPr>
        <w:br w:type="page"/>
      </w:r>
      <w:r>
        <w:rPr>
          <w:rFonts w:hint="eastAsia"/>
          <w:snapToGrid/>
          <w:lang w:val="en-GB"/>
        </w:rPr>
        <w:t xml:space="preserve">705.  </w:t>
      </w:r>
      <w:r>
        <w:rPr>
          <w:rFonts w:hint="eastAsia"/>
          <w:snapToGrid/>
          <w:lang w:val="en-GB"/>
        </w:rPr>
        <w:t>在这种情况下，没有可及时采取必要措施的任何条件。此外还难以在特定地区作出疾病流行预报。尽管事实上报告卡提供的传染病</w:t>
      </w:r>
      <w:r>
        <w:rPr>
          <w:rFonts w:hint="eastAsia"/>
          <w:snapToGrid/>
          <w:lang w:val="en-GB"/>
        </w:rPr>
        <w:t>数据并不包括必须报告的患者实际人数，但依然可以较可靠地断定某些传染病的流行趋势和动态。关于报告传染病的决定</w:t>
      </w:r>
      <w:r>
        <w:rPr>
          <w:rFonts w:hint="eastAsia"/>
          <w:snapToGrid/>
          <w:lang w:val="en-GB"/>
        </w:rPr>
        <w:t>(</w:t>
      </w:r>
      <w:r>
        <w:rPr>
          <w:rFonts w:hint="eastAsia"/>
          <w:snapToGrid/>
          <w:lang w:val="en-GB"/>
        </w:rPr>
        <w:t>《南斯拉夫联盟共和国政府公报》</w:t>
      </w:r>
      <w:r>
        <w:rPr>
          <w:snapToGrid/>
          <w:lang w:val="en-GB"/>
        </w:rPr>
        <w:t>，第</w:t>
      </w:r>
      <w:r>
        <w:rPr>
          <w:snapToGrid/>
          <w:lang w:val="en-GB"/>
        </w:rPr>
        <w:t>27/97</w:t>
      </w:r>
      <w:r>
        <w:rPr>
          <w:snapToGrid/>
          <w:lang w:val="en-GB"/>
        </w:rPr>
        <w:t>号</w:t>
      </w:r>
      <w:r>
        <w:rPr>
          <w:snapToGrid/>
          <w:lang w:val="en-GB"/>
        </w:rPr>
        <w:t>)</w:t>
      </w:r>
      <w:r>
        <w:rPr>
          <w:snapToGrid/>
          <w:lang w:val="en-GB"/>
        </w:rPr>
        <w:t>规定了报告传染病的程序。</w:t>
      </w:r>
    </w:p>
    <w:p w:rsidR="00000000" w:rsidRDefault="00844A84">
      <w:pPr>
        <w:ind w:firstLine="510"/>
        <w:rPr>
          <w:rFonts w:hint="eastAsia"/>
          <w:snapToGrid/>
          <w:lang w:val="en-GB"/>
        </w:rPr>
      </w:pPr>
      <w:r>
        <w:rPr>
          <w:rFonts w:hint="eastAsia"/>
          <w:snapToGrid/>
          <w:lang w:val="en-GB"/>
        </w:rPr>
        <w:t xml:space="preserve">706.  </w:t>
      </w:r>
      <w:r>
        <w:rPr>
          <w:rFonts w:hint="eastAsia"/>
          <w:snapToGrid/>
          <w:lang w:val="en-GB"/>
        </w:rPr>
        <w:t>还必须在此指出，去年有若干国内流离失所者离开了黑山，因此留在黑山</w:t>
      </w:r>
      <w:r>
        <w:rPr>
          <w:snapToGrid/>
          <w:lang w:val="en-GB"/>
        </w:rPr>
        <w:t>的国内流离失所者的</w:t>
      </w:r>
      <w:r>
        <w:rPr>
          <w:rFonts w:hint="eastAsia"/>
          <w:snapToGrid/>
          <w:lang w:val="en-GB"/>
        </w:rPr>
        <w:t>食宿条件</w:t>
      </w:r>
      <w:r>
        <w:rPr>
          <w:snapToGrid/>
          <w:lang w:val="en-GB"/>
        </w:rPr>
        <w:t>有所改善。目前正在实施一项改善他们一般生活条件的计划，改</w:t>
      </w:r>
      <w:r>
        <w:rPr>
          <w:rFonts w:hint="eastAsia"/>
          <w:snapToGrid/>
          <w:lang w:val="en-GB"/>
        </w:rPr>
        <w:t>进</w:t>
      </w:r>
      <w:r>
        <w:rPr>
          <w:snapToGrid/>
          <w:lang w:val="en-GB"/>
        </w:rPr>
        <w:t>他们个人和</w:t>
      </w:r>
      <w:r>
        <w:rPr>
          <w:rFonts w:hint="eastAsia"/>
          <w:snapToGrid/>
          <w:lang w:val="en-GB"/>
        </w:rPr>
        <w:t>总体卫生</w:t>
      </w:r>
      <w:r>
        <w:rPr>
          <w:snapToGrid/>
          <w:lang w:val="en-GB"/>
        </w:rPr>
        <w:t>，改善食品质量，并改善</w:t>
      </w:r>
      <w:r>
        <w:rPr>
          <w:rFonts w:hint="eastAsia"/>
          <w:snapToGrid/>
          <w:lang w:val="en-GB"/>
        </w:rPr>
        <w:t>环境</w:t>
      </w:r>
      <w:r>
        <w:rPr>
          <w:snapToGrid/>
          <w:lang w:val="en-GB"/>
        </w:rPr>
        <w:t>卫生条件，从而必然</w:t>
      </w:r>
      <w:r>
        <w:rPr>
          <w:rFonts w:hint="eastAsia"/>
          <w:snapToGrid/>
          <w:lang w:val="en-GB"/>
        </w:rPr>
        <w:t>会降低</w:t>
      </w:r>
      <w:r>
        <w:rPr>
          <w:snapToGrid/>
          <w:lang w:val="en-GB"/>
        </w:rPr>
        <w:t>急性传染病的发病率。</w:t>
      </w:r>
    </w:p>
    <w:p w:rsidR="00000000" w:rsidRDefault="00844A84">
      <w:pPr>
        <w:spacing w:after="320"/>
        <w:ind w:firstLine="510"/>
        <w:rPr>
          <w:rFonts w:hint="eastAsia"/>
          <w:snapToGrid/>
          <w:lang w:val="en-GB"/>
        </w:rPr>
      </w:pPr>
      <w:r>
        <w:rPr>
          <w:rFonts w:hint="eastAsia"/>
          <w:snapToGrid/>
          <w:lang w:val="en-GB"/>
        </w:rPr>
        <w:t xml:space="preserve">707.  </w:t>
      </w:r>
      <w:r>
        <w:rPr>
          <w:snapToGrid/>
          <w:lang w:val="en-GB"/>
        </w:rPr>
        <w:t>2001</w:t>
      </w:r>
      <w:r>
        <w:rPr>
          <w:snapToGrid/>
          <w:lang w:val="en-GB"/>
        </w:rPr>
        <w:t>年，黑山</w:t>
      </w:r>
      <w:r>
        <w:rPr>
          <w:rFonts w:hint="eastAsia"/>
          <w:snapToGrid/>
          <w:lang w:val="en-GB"/>
        </w:rPr>
        <w:t>有</w:t>
      </w:r>
      <w:r>
        <w:rPr>
          <w:snapToGrid/>
          <w:lang w:val="en-GB"/>
        </w:rPr>
        <w:t>16</w:t>
      </w:r>
      <w:r>
        <w:rPr>
          <w:rFonts w:hint="eastAsia"/>
          <w:snapToGrid/>
          <w:lang w:val="en-GB"/>
        </w:rPr>
        <w:t>起</w:t>
      </w:r>
      <w:r>
        <w:rPr>
          <w:snapToGrid/>
          <w:lang w:val="en-GB"/>
        </w:rPr>
        <w:t>流行疾病</w:t>
      </w:r>
      <w:r>
        <w:rPr>
          <w:rFonts w:hint="eastAsia"/>
          <w:snapToGrid/>
          <w:lang w:val="en-GB"/>
        </w:rPr>
        <w:t>的</w:t>
      </w:r>
      <w:r>
        <w:rPr>
          <w:snapToGrid/>
          <w:lang w:val="en-GB"/>
        </w:rPr>
        <w:t>报告。问题在于没有</w:t>
      </w:r>
      <w:r>
        <w:rPr>
          <w:rFonts w:hint="eastAsia"/>
          <w:snapToGrid/>
          <w:lang w:val="en-GB"/>
        </w:rPr>
        <w:t>将</w:t>
      </w:r>
      <w:r>
        <w:rPr>
          <w:snapToGrid/>
          <w:lang w:val="en-GB"/>
        </w:rPr>
        <w:t>流行</w:t>
      </w:r>
      <w:r>
        <w:rPr>
          <w:rFonts w:hint="eastAsia"/>
          <w:snapToGrid/>
          <w:lang w:val="en-GB"/>
        </w:rPr>
        <w:t>病</w:t>
      </w:r>
      <w:r>
        <w:rPr>
          <w:snapToGrid/>
          <w:lang w:val="en-GB"/>
        </w:rPr>
        <w:t>正式予以</w:t>
      </w:r>
      <w:r>
        <w:rPr>
          <w:snapToGrid/>
          <w:lang w:val="en-GB"/>
        </w:rPr>
        <w:t>登记</w:t>
      </w:r>
      <w:r>
        <w:rPr>
          <w:snapToGrid/>
          <w:lang w:val="en-GB"/>
        </w:rPr>
        <w:t>(</w:t>
      </w:r>
      <w:r>
        <w:rPr>
          <w:rFonts w:hint="eastAsia"/>
          <w:snapToGrid/>
          <w:lang w:val="en-GB"/>
        </w:rPr>
        <w:t>报告</w:t>
      </w:r>
      <w:r>
        <w:rPr>
          <w:snapToGrid/>
          <w:lang w:val="en-GB"/>
        </w:rPr>
        <w:t>机构没有</w:t>
      </w:r>
      <w:r>
        <w:rPr>
          <w:rFonts w:hint="eastAsia"/>
          <w:snapToGrid/>
          <w:lang w:val="en-GB"/>
        </w:rPr>
        <w:t>收</w:t>
      </w:r>
      <w:r>
        <w:rPr>
          <w:snapToGrid/>
          <w:lang w:val="en-GB"/>
        </w:rPr>
        <w:t>到保健</w:t>
      </w:r>
      <w:r>
        <w:rPr>
          <w:rFonts w:hint="eastAsia"/>
          <w:snapToGrid/>
          <w:lang w:val="en-GB"/>
        </w:rPr>
        <w:t>服务</w:t>
      </w:r>
      <w:r>
        <w:rPr>
          <w:snapToGrid/>
          <w:lang w:val="en-GB"/>
        </w:rPr>
        <w:t>机构正式</w:t>
      </w:r>
      <w:r>
        <w:rPr>
          <w:rFonts w:hint="eastAsia"/>
          <w:snapToGrid/>
          <w:lang w:val="en-GB"/>
        </w:rPr>
        <w:t>提出</w:t>
      </w:r>
      <w:r>
        <w:rPr>
          <w:snapToGrid/>
          <w:lang w:val="en-GB"/>
        </w:rPr>
        <w:t>的流行</w:t>
      </w:r>
      <w:r>
        <w:rPr>
          <w:rFonts w:hint="eastAsia"/>
          <w:snapToGrid/>
          <w:lang w:val="en-GB"/>
        </w:rPr>
        <w:t>病</w:t>
      </w:r>
      <w:r>
        <w:rPr>
          <w:snapToGrid/>
          <w:lang w:val="en-GB"/>
        </w:rPr>
        <w:t>报告</w:t>
      </w:r>
      <w:r>
        <w:rPr>
          <w:snapToGrid/>
          <w:lang w:val="en-GB"/>
        </w:rPr>
        <w:t>)</w:t>
      </w:r>
      <w:r>
        <w:rPr>
          <w:snapToGrid/>
          <w:lang w:val="en-GB"/>
        </w:rPr>
        <w:t>。反之，在</w:t>
      </w:r>
      <w:r>
        <w:rPr>
          <w:rFonts w:hint="eastAsia"/>
          <w:snapToGrid/>
          <w:lang w:val="en-GB"/>
        </w:rPr>
        <w:t>收</w:t>
      </w:r>
      <w:r>
        <w:rPr>
          <w:snapToGrid/>
          <w:lang w:val="en-GB"/>
        </w:rPr>
        <w:t>到报告卡之后</w:t>
      </w:r>
      <w:r>
        <w:rPr>
          <w:rFonts w:hint="eastAsia"/>
          <w:snapToGrid/>
          <w:lang w:val="en-GB"/>
        </w:rPr>
        <w:t>(</w:t>
      </w:r>
      <w:r>
        <w:rPr>
          <w:rFonts w:hint="eastAsia"/>
          <w:snapToGrid/>
          <w:lang w:val="en-GB"/>
        </w:rPr>
        <w:t>这种</w:t>
      </w:r>
      <w:r>
        <w:rPr>
          <w:snapToGrid/>
          <w:lang w:val="en-GB"/>
        </w:rPr>
        <w:t>报告卡通常在推迟了几个月后</w:t>
      </w:r>
      <w:r>
        <w:rPr>
          <w:rFonts w:hint="eastAsia"/>
          <w:snapToGrid/>
          <w:lang w:val="en-GB"/>
        </w:rPr>
        <w:t>才</w:t>
      </w:r>
      <w:r>
        <w:rPr>
          <w:snapToGrid/>
          <w:lang w:val="en-GB"/>
        </w:rPr>
        <w:t>提交</w:t>
      </w:r>
      <w:r>
        <w:rPr>
          <w:rFonts w:hint="eastAsia"/>
          <w:snapToGrid/>
          <w:lang w:val="en-GB"/>
        </w:rPr>
        <w:t>)</w:t>
      </w:r>
      <w:r>
        <w:rPr>
          <w:snapToGrid/>
          <w:lang w:val="en-GB"/>
        </w:rPr>
        <w:t>，该机构</w:t>
      </w:r>
      <w:r>
        <w:rPr>
          <w:rFonts w:hint="eastAsia"/>
          <w:snapToGrid/>
          <w:lang w:val="en-GB"/>
        </w:rPr>
        <w:t>才</w:t>
      </w:r>
      <w:r>
        <w:rPr>
          <w:snapToGrid/>
          <w:lang w:val="en-GB"/>
        </w:rPr>
        <w:t>评估是否</w:t>
      </w:r>
      <w:r>
        <w:rPr>
          <w:rFonts w:hint="eastAsia"/>
          <w:snapToGrid/>
          <w:lang w:val="en-GB"/>
        </w:rPr>
        <w:t>已</w:t>
      </w:r>
      <w:r>
        <w:rPr>
          <w:snapToGrid/>
          <w:lang w:val="en-GB"/>
        </w:rPr>
        <w:t>发生了传染病。我们认识到，随后对流行病</w:t>
      </w:r>
      <w:r>
        <w:rPr>
          <w:rFonts w:hint="eastAsia"/>
          <w:snapToGrid/>
          <w:lang w:val="en-GB"/>
        </w:rPr>
        <w:t>进行的一般</w:t>
      </w:r>
      <w:r>
        <w:rPr>
          <w:snapToGrid/>
          <w:lang w:val="en-GB"/>
        </w:rPr>
        <w:t>观察存在着许多</w:t>
      </w:r>
      <w:r>
        <w:rPr>
          <w:rFonts w:hint="eastAsia"/>
          <w:snapToGrid/>
          <w:lang w:val="en-GB"/>
        </w:rPr>
        <w:t>缺陷</w:t>
      </w:r>
      <w:r>
        <w:rPr>
          <w:snapToGrid/>
          <w:lang w:val="en-GB"/>
        </w:rPr>
        <w:t>(</w:t>
      </w:r>
      <w:r>
        <w:rPr>
          <w:snapToGrid/>
          <w:lang w:val="en-GB"/>
        </w:rPr>
        <w:t>因为对多数列出</w:t>
      </w:r>
      <w:r>
        <w:rPr>
          <w:rFonts w:hint="eastAsia"/>
          <w:snapToGrid/>
          <w:lang w:val="en-GB"/>
        </w:rPr>
        <w:t>的</w:t>
      </w:r>
      <w:r>
        <w:rPr>
          <w:snapToGrid/>
          <w:lang w:val="en-GB"/>
        </w:rPr>
        <w:t>流行病没有正式</w:t>
      </w:r>
      <w:r>
        <w:rPr>
          <w:rFonts w:hint="eastAsia"/>
          <w:snapToGrid/>
          <w:lang w:val="en-GB"/>
        </w:rPr>
        <w:t>的</w:t>
      </w:r>
      <w:r>
        <w:rPr>
          <w:snapToGrid/>
          <w:lang w:val="en-GB"/>
        </w:rPr>
        <w:t>报告</w:t>
      </w:r>
      <w:r>
        <w:rPr>
          <w:snapToGrid/>
          <w:lang w:val="en-GB"/>
        </w:rPr>
        <w:t>)</w:t>
      </w:r>
      <w:r>
        <w:rPr>
          <w:snapToGrid/>
          <w:lang w:val="en-GB"/>
        </w:rPr>
        <w:t>，并认识到必须</w:t>
      </w:r>
      <w:r>
        <w:rPr>
          <w:rFonts w:hint="eastAsia"/>
          <w:snapToGrid/>
          <w:lang w:val="en-GB"/>
        </w:rPr>
        <w:t>在某种程度上对</w:t>
      </w:r>
      <w:r>
        <w:rPr>
          <w:snapToGrid/>
          <w:lang w:val="en-GB"/>
        </w:rPr>
        <w:t>这些报告</w:t>
      </w:r>
      <w:r>
        <w:rPr>
          <w:rFonts w:hint="eastAsia"/>
          <w:snapToGrid/>
          <w:lang w:val="en-GB"/>
        </w:rPr>
        <w:t>有所</w:t>
      </w:r>
      <w:r>
        <w:rPr>
          <w:snapToGrid/>
          <w:lang w:val="en-GB"/>
        </w:rPr>
        <w:t>保留。但我们认为，据实提出报告</w:t>
      </w:r>
      <w:r>
        <w:rPr>
          <w:rFonts w:hint="eastAsia"/>
          <w:snapToGrid/>
          <w:lang w:val="en-GB"/>
        </w:rPr>
        <w:t>，总比说根本没有</w:t>
      </w:r>
      <w:r>
        <w:rPr>
          <w:snapToGrid/>
          <w:lang w:val="en-GB"/>
        </w:rPr>
        <w:t>流行病要好，</w:t>
      </w:r>
      <w:r>
        <w:rPr>
          <w:rFonts w:hint="eastAsia"/>
          <w:snapToGrid/>
          <w:lang w:val="en-GB"/>
        </w:rPr>
        <w:t>因为这不符合实际情况</w:t>
      </w:r>
      <w:r>
        <w:rPr>
          <w:snapToGrid/>
          <w:lang w:val="en-GB"/>
        </w:rPr>
        <w:t>。</w:t>
      </w:r>
    </w:p>
    <w:p w:rsidR="00000000" w:rsidRDefault="00844A84">
      <w:pPr>
        <w:pStyle w:val="Heading3"/>
        <w:rPr>
          <w:rFonts w:hint="eastAsia"/>
          <w:sz w:val="22"/>
        </w:rPr>
      </w:pPr>
      <w:r>
        <w:rPr>
          <w:rFonts w:hint="eastAsia"/>
          <w:sz w:val="22"/>
          <w:u w:val="none"/>
        </w:rPr>
        <w:t>表</w:t>
      </w:r>
      <w:r>
        <w:rPr>
          <w:rFonts w:hint="eastAsia"/>
          <w:sz w:val="22"/>
          <w:u w:val="none"/>
        </w:rPr>
        <w:t xml:space="preserve"> </w:t>
      </w:r>
      <w:r>
        <w:rPr>
          <w:sz w:val="22"/>
          <w:u w:val="none"/>
        </w:rPr>
        <w:t>6</w:t>
      </w:r>
      <w:r>
        <w:rPr>
          <w:sz w:val="22"/>
          <w:u w:val="none"/>
        </w:rPr>
        <w:br/>
      </w:r>
      <w:r>
        <w:rPr>
          <w:sz w:val="22"/>
        </w:rPr>
        <w:t>2001</w:t>
      </w:r>
      <w:r>
        <w:rPr>
          <w:rFonts w:hint="eastAsia"/>
          <w:sz w:val="22"/>
        </w:rPr>
        <w:t>年黑山流行病类型</w:t>
      </w:r>
      <w:r>
        <w:rPr>
          <w:rFonts w:hint="eastAsia"/>
          <w:sz w:val="22"/>
        </w:rPr>
        <w:t>(</w:t>
      </w:r>
      <w:r>
        <w:rPr>
          <w:rFonts w:hint="eastAsia"/>
          <w:sz w:val="22"/>
        </w:rPr>
        <w:t>按流行次数开列</w:t>
      </w:r>
      <w:r>
        <w:rPr>
          <w:rFonts w:hint="eastAsia"/>
          <w:sz w:val="22"/>
          <w:u w:val="none"/>
        </w:rPr>
        <w:t>)</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339"/>
        <w:gridCol w:w="2339"/>
        <w:gridCol w:w="2339"/>
        <w:gridCol w:w="2339"/>
      </w:tblGrid>
      <w:tr w:rsidR="00000000">
        <w:tblPrEx>
          <w:tblCellMar>
            <w:top w:w="0" w:type="dxa"/>
            <w:bottom w:w="0" w:type="dxa"/>
          </w:tblCellMar>
        </w:tblPrEx>
        <w:tc>
          <w:tcPr>
            <w:tcW w:w="2339" w:type="dxa"/>
            <w:tcBorders>
              <w:bottom w:val="single" w:sz="4" w:space="0" w:color="auto"/>
            </w:tcBorders>
          </w:tcPr>
          <w:p w:rsidR="00000000" w:rsidRDefault="00844A84">
            <w:pPr>
              <w:pStyle w:val="a2"/>
              <w:spacing w:before="120" w:after="40" w:line="240" w:lineRule="auto"/>
              <w:jc w:val="center"/>
              <w:rPr>
                <w:snapToGrid/>
              </w:rPr>
            </w:pPr>
            <w:r>
              <w:rPr>
                <w:rFonts w:hint="eastAsia"/>
                <w:snapToGrid/>
              </w:rPr>
              <w:t>流行病类型</w:t>
            </w:r>
          </w:p>
        </w:tc>
        <w:tc>
          <w:tcPr>
            <w:tcW w:w="2339" w:type="dxa"/>
            <w:tcBorders>
              <w:bottom w:val="single" w:sz="4" w:space="0" w:color="auto"/>
            </w:tcBorders>
          </w:tcPr>
          <w:p w:rsidR="00000000" w:rsidRDefault="00844A84">
            <w:pPr>
              <w:pStyle w:val="a2"/>
              <w:spacing w:before="120" w:after="40" w:line="240" w:lineRule="auto"/>
              <w:jc w:val="center"/>
              <w:rPr>
                <w:rFonts w:hint="eastAsia"/>
                <w:snapToGrid/>
              </w:rPr>
            </w:pPr>
            <w:r>
              <w:rPr>
                <w:rFonts w:hint="eastAsia"/>
                <w:snapToGrid/>
              </w:rPr>
              <w:t>流行病次数</w:t>
            </w:r>
          </w:p>
        </w:tc>
        <w:tc>
          <w:tcPr>
            <w:tcW w:w="2339" w:type="dxa"/>
            <w:tcBorders>
              <w:bottom w:val="single" w:sz="4" w:space="0" w:color="auto"/>
            </w:tcBorders>
          </w:tcPr>
          <w:p w:rsidR="00000000" w:rsidRDefault="00844A84">
            <w:pPr>
              <w:pStyle w:val="a2"/>
              <w:spacing w:before="120" w:after="40" w:line="240" w:lineRule="auto"/>
              <w:jc w:val="center"/>
              <w:rPr>
                <w:snapToGrid/>
              </w:rPr>
            </w:pPr>
            <w:r>
              <w:rPr>
                <w:snapToGrid/>
              </w:rPr>
              <w:t>%</w:t>
            </w:r>
          </w:p>
        </w:tc>
        <w:tc>
          <w:tcPr>
            <w:tcW w:w="2339" w:type="dxa"/>
            <w:tcBorders>
              <w:bottom w:val="single" w:sz="4" w:space="0" w:color="auto"/>
            </w:tcBorders>
          </w:tcPr>
          <w:p w:rsidR="00000000" w:rsidRDefault="00844A84">
            <w:pPr>
              <w:pStyle w:val="a2"/>
              <w:spacing w:before="120" w:after="40" w:line="240" w:lineRule="auto"/>
              <w:jc w:val="center"/>
              <w:rPr>
                <w:rFonts w:hint="eastAsia"/>
                <w:snapToGrid/>
              </w:rPr>
            </w:pPr>
            <w:r>
              <w:rPr>
                <w:rFonts w:hint="eastAsia"/>
                <w:snapToGrid/>
              </w:rPr>
              <w:t>患者人数</w:t>
            </w:r>
          </w:p>
        </w:tc>
      </w:tr>
      <w:tr w:rsidR="00000000">
        <w:tblPrEx>
          <w:tblCellMar>
            <w:top w:w="0" w:type="dxa"/>
            <w:bottom w:w="0" w:type="dxa"/>
          </w:tblCellMar>
        </w:tblPrEx>
        <w:tc>
          <w:tcPr>
            <w:tcW w:w="2339" w:type="dxa"/>
            <w:tcBorders>
              <w:top w:val="single" w:sz="4" w:space="0" w:color="auto"/>
              <w:bottom w:val="nil"/>
            </w:tcBorders>
          </w:tcPr>
          <w:p w:rsidR="00000000" w:rsidRDefault="00844A84">
            <w:pPr>
              <w:pStyle w:val="a2"/>
              <w:spacing w:before="120" w:after="40" w:line="240" w:lineRule="auto"/>
              <w:rPr>
                <w:rFonts w:hint="eastAsia"/>
                <w:snapToGrid/>
              </w:rPr>
            </w:pPr>
            <w:r>
              <w:rPr>
                <w:rFonts w:hint="eastAsia"/>
                <w:snapToGrid/>
              </w:rPr>
              <w:t>呼吸道疾病</w:t>
            </w:r>
          </w:p>
        </w:tc>
        <w:tc>
          <w:tcPr>
            <w:tcW w:w="2339" w:type="dxa"/>
            <w:tcBorders>
              <w:top w:val="single" w:sz="4" w:space="0" w:color="auto"/>
              <w:bottom w:val="nil"/>
            </w:tcBorders>
          </w:tcPr>
          <w:p w:rsidR="00000000" w:rsidRDefault="00844A84">
            <w:pPr>
              <w:pStyle w:val="a2"/>
              <w:spacing w:before="120" w:after="40" w:line="240" w:lineRule="auto"/>
              <w:ind w:right="964"/>
              <w:jc w:val="right"/>
              <w:rPr>
                <w:snapToGrid/>
              </w:rPr>
            </w:pPr>
            <w:r>
              <w:rPr>
                <w:snapToGrid/>
              </w:rPr>
              <w:t>5</w:t>
            </w:r>
          </w:p>
        </w:tc>
        <w:tc>
          <w:tcPr>
            <w:tcW w:w="2339" w:type="dxa"/>
            <w:tcBorders>
              <w:top w:val="single" w:sz="4" w:space="0" w:color="auto"/>
              <w:bottom w:val="nil"/>
            </w:tcBorders>
          </w:tcPr>
          <w:p w:rsidR="00000000" w:rsidRDefault="00844A84">
            <w:pPr>
              <w:pStyle w:val="a2"/>
              <w:spacing w:before="120" w:after="40" w:line="240" w:lineRule="auto"/>
              <w:ind w:right="964"/>
              <w:jc w:val="right"/>
              <w:rPr>
                <w:snapToGrid/>
              </w:rPr>
            </w:pPr>
            <w:r>
              <w:rPr>
                <w:snapToGrid/>
              </w:rPr>
              <w:t>47.8</w:t>
            </w:r>
          </w:p>
        </w:tc>
        <w:tc>
          <w:tcPr>
            <w:tcW w:w="2339" w:type="dxa"/>
            <w:tcBorders>
              <w:top w:val="single" w:sz="4" w:space="0" w:color="auto"/>
              <w:bottom w:val="nil"/>
            </w:tcBorders>
          </w:tcPr>
          <w:p w:rsidR="00000000" w:rsidRDefault="00844A84">
            <w:pPr>
              <w:pStyle w:val="a2"/>
              <w:spacing w:before="120" w:after="40" w:line="240" w:lineRule="auto"/>
              <w:ind w:right="851"/>
              <w:jc w:val="right"/>
              <w:rPr>
                <w:snapToGrid/>
              </w:rPr>
            </w:pPr>
            <w:r>
              <w:rPr>
                <w:snapToGrid/>
              </w:rPr>
              <w:t>740</w:t>
            </w:r>
          </w:p>
        </w:tc>
      </w:tr>
      <w:tr w:rsidR="00000000">
        <w:tblPrEx>
          <w:tblCellMar>
            <w:top w:w="0" w:type="dxa"/>
            <w:bottom w:w="0" w:type="dxa"/>
          </w:tblCellMar>
        </w:tblPrEx>
        <w:tc>
          <w:tcPr>
            <w:tcW w:w="2339" w:type="dxa"/>
            <w:tcBorders>
              <w:top w:val="nil"/>
            </w:tcBorders>
          </w:tcPr>
          <w:p w:rsidR="00000000" w:rsidRDefault="00844A84">
            <w:pPr>
              <w:pStyle w:val="a2"/>
              <w:spacing w:before="120" w:after="40" w:line="240" w:lineRule="auto"/>
              <w:rPr>
                <w:rFonts w:hint="eastAsia"/>
                <w:snapToGrid/>
              </w:rPr>
            </w:pPr>
            <w:r>
              <w:rPr>
                <w:rFonts w:hint="eastAsia"/>
                <w:snapToGrid/>
              </w:rPr>
              <w:t>消化系统疾病</w:t>
            </w:r>
          </w:p>
        </w:tc>
        <w:tc>
          <w:tcPr>
            <w:tcW w:w="2339" w:type="dxa"/>
            <w:tcBorders>
              <w:top w:val="nil"/>
            </w:tcBorders>
          </w:tcPr>
          <w:p w:rsidR="00000000" w:rsidRDefault="00844A84">
            <w:pPr>
              <w:pStyle w:val="a2"/>
              <w:spacing w:before="120" w:after="40" w:line="240" w:lineRule="auto"/>
              <w:ind w:right="964"/>
              <w:jc w:val="right"/>
              <w:rPr>
                <w:snapToGrid/>
              </w:rPr>
            </w:pPr>
            <w:r>
              <w:rPr>
                <w:snapToGrid/>
              </w:rPr>
              <w:t>6</w:t>
            </w:r>
          </w:p>
        </w:tc>
        <w:tc>
          <w:tcPr>
            <w:tcW w:w="2339" w:type="dxa"/>
            <w:tcBorders>
              <w:top w:val="nil"/>
            </w:tcBorders>
          </w:tcPr>
          <w:p w:rsidR="00000000" w:rsidRDefault="00844A84">
            <w:pPr>
              <w:pStyle w:val="a2"/>
              <w:spacing w:before="120" w:after="40" w:line="240" w:lineRule="auto"/>
              <w:ind w:right="964"/>
              <w:jc w:val="right"/>
              <w:rPr>
                <w:snapToGrid/>
              </w:rPr>
            </w:pPr>
            <w:r>
              <w:rPr>
                <w:snapToGrid/>
              </w:rPr>
              <w:t>11.2</w:t>
            </w:r>
          </w:p>
        </w:tc>
        <w:tc>
          <w:tcPr>
            <w:tcW w:w="2339" w:type="dxa"/>
            <w:tcBorders>
              <w:top w:val="nil"/>
            </w:tcBorders>
          </w:tcPr>
          <w:p w:rsidR="00000000" w:rsidRDefault="00844A84">
            <w:pPr>
              <w:pStyle w:val="a2"/>
              <w:spacing w:before="120" w:after="40" w:line="240" w:lineRule="auto"/>
              <w:ind w:right="851"/>
              <w:jc w:val="right"/>
              <w:rPr>
                <w:snapToGrid/>
              </w:rPr>
            </w:pPr>
            <w:r>
              <w:rPr>
                <w:snapToGrid/>
              </w:rPr>
              <w:t>174</w:t>
            </w:r>
          </w:p>
        </w:tc>
      </w:tr>
      <w:tr w:rsidR="00000000">
        <w:tblPrEx>
          <w:tblCellMar>
            <w:top w:w="0" w:type="dxa"/>
            <w:bottom w:w="0" w:type="dxa"/>
          </w:tblCellMar>
        </w:tblPrEx>
        <w:tc>
          <w:tcPr>
            <w:tcW w:w="2339" w:type="dxa"/>
          </w:tcPr>
          <w:p w:rsidR="00000000" w:rsidRDefault="00844A84">
            <w:pPr>
              <w:pStyle w:val="a2"/>
              <w:spacing w:before="120" w:after="40" w:line="240" w:lineRule="auto"/>
              <w:rPr>
                <w:rFonts w:hint="eastAsia"/>
                <w:snapToGrid/>
              </w:rPr>
            </w:pPr>
            <w:r>
              <w:rPr>
                <w:rFonts w:hint="eastAsia"/>
                <w:snapToGrid/>
              </w:rPr>
              <w:t>接触传染疾病</w:t>
            </w:r>
          </w:p>
        </w:tc>
        <w:tc>
          <w:tcPr>
            <w:tcW w:w="2339" w:type="dxa"/>
          </w:tcPr>
          <w:p w:rsidR="00000000" w:rsidRDefault="00844A84">
            <w:pPr>
              <w:pStyle w:val="a2"/>
              <w:spacing w:before="120" w:after="40" w:line="240" w:lineRule="auto"/>
              <w:ind w:right="964"/>
              <w:jc w:val="right"/>
              <w:rPr>
                <w:snapToGrid/>
              </w:rPr>
            </w:pPr>
            <w:r>
              <w:rPr>
                <w:snapToGrid/>
              </w:rPr>
              <w:t>1</w:t>
            </w:r>
          </w:p>
        </w:tc>
        <w:tc>
          <w:tcPr>
            <w:tcW w:w="2339" w:type="dxa"/>
          </w:tcPr>
          <w:p w:rsidR="00000000" w:rsidRDefault="00844A84">
            <w:pPr>
              <w:pStyle w:val="a2"/>
              <w:spacing w:before="120" w:after="40" w:line="240" w:lineRule="auto"/>
              <w:ind w:right="964"/>
              <w:jc w:val="right"/>
              <w:rPr>
                <w:snapToGrid/>
              </w:rPr>
            </w:pPr>
            <w:r>
              <w:rPr>
                <w:snapToGrid/>
              </w:rPr>
              <w:t>0.3</w:t>
            </w:r>
          </w:p>
        </w:tc>
        <w:tc>
          <w:tcPr>
            <w:tcW w:w="2339" w:type="dxa"/>
          </w:tcPr>
          <w:p w:rsidR="00000000" w:rsidRDefault="00844A84">
            <w:pPr>
              <w:pStyle w:val="a2"/>
              <w:spacing w:before="120" w:after="40" w:line="240" w:lineRule="auto"/>
              <w:ind w:right="851"/>
              <w:jc w:val="right"/>
              <w:rPr>
                <w:snapToGrid/>
              </w:rPr>
            </w:pPr>
            <w:r>
              <w:rPr>
                <w:snapToGrid/>
              </w:rPr>
              <w:t>5</w:t>
            </w:r>
          </w:p>
        </w:tc>
      </w:tr>
      <w:tr w:rsidR="00000000">
        <w:tblPrEx>
          <w:tblCellMar>
            <w:top w:w="0" w:type="dxa"/>
            <w:bottom w:w="0" w:type="dxa"/>
          </w:tblCellMar>
        </w:tblPrEx>
        <w:tc>
          <w:tcPr>
            <w:tcW w:w="2339" w:type="dxa"/>
            <w:tcBorders>
              <w:bottom w:val="single" w:sz="4" w:space="0" w:color="auto"/>
            </w:tcBorders>
          </w:tcPr>
          <w:p w:rsidR="00000000" w:rsidRDefault="00844A84">
            <w:pPr>
              <w:pStyle w:val="a2"/>
              <w:spacing w:before="120" w:after="40" w:line="240" w:lineRule="auto"/>
              <w:rPr>
                <w:rFonts w:hint="eastAsia"/>
                <w:snapToGrid/>
              </w:rPr>
            </w:pPr>
            <w:r>
              <w:rPr>
                <w:rFonts w:hint="eastAsia"/>
                <w:snapToGrid/>
              </w:rPr>
              <w:t>混合传染疾病</w:t>
            </w:r>
          </w:p>
        </w:tc>
        <w:tc>
          <w:tcPr>
            <w:tcW w:w="2339" w:type="dxa"/>
            <w:tcBorders>
              <w:bottom w:val="single" w:sz="4" w:space="0" w:color="auto"/>
            </w:tcBorders>
          </w:tcPr>
          <w:p w:rsidR="00000000" w:rsidRDefault="00844A84">
            <w:pPr>
              <w:pStyle w:val="a2"/>
              <w:spacing w:before="120" w:after="40" w:line="240" w:lineRule="auto"/>
              <w:ind w:right="964"/>
              <w:jc w:val="right"/>
              <w:rPr>
                <w:snapToGrid/>
              </w:rPr>
            </w:pPr>
            <w:r>
              <w:rPr>
                <w:snapToGrid/>
              </w:rPr>
              <w:t>4</w:t>
            </w:r>
          </w:p>
        </w:tc>
        <w:tc>
          <w:tcPr>
            <w:tcW w:w="2339" w:type="dxa"/>
            <w:tcBorders>
              <w:bottom w:val="single" w:sz="4" w:space="0" w:color="auto"/>
            </w:tcBorders>
          </w:tcPr>
          <w:p w:rsidR="00000000" w:rsidRDefault="00844A84">
            <w:pPr>
              <w:pStyle w:val="a2"/>
              <w:spacing w:before="120" w:after="40" w:line="240" w:lineRule="auto"/>
              <w:ind w:right="964"/>
              <w:jc w:val="right"/>
              <w:rPr>
                <w:snapToGrid/>
              </w:rPr>
            </w:pPr>
            <w:r>
              <w:rPr>
                <w:snapToGrid/>
              </w:rPr>
              <w:t>40.7</w:t>
            </w:r>
          </w:p>
        </w:tc>
        <w:tc>
          <w:tcPr>
            <w:tcW w:w="2339" w:type="dxa"/>
            <w:tcBorders>
              <w:bottom w:val="single" w:sz="4" w:space="0" w:color="auto"/>
            </w:tcBorders>
          </w:tcPr>
          <w:p w:rsidR="00000000" w:rsidRDefault="00844A84">
            <w:pPr>
              <w:pStyle w:val="a2"/>
              <w:spacing w:before="120" w:after="40" w:line="240" w:lineRule="auto"/>
              <w:ind w:right="851"/>
              <w:jc w:val="right"/>
              <w:rPr>
                <w:snapToGrid/>
              </w:rPr>
            </w:pPr>
            <w:r>
              <w:rPr>
                <w:snapToGrid/>
              </w:rPr>
              <w:t>627</w:t>
            </w:r>
          </w:p>
        </w:tc>
      </w:tr>
      <w:tr w:rsidR="00000000">
        <w:tblPrEx>
          <w:tblCellMar>
            <w:top w:w="0" w:type="dxa"/>
            <w:bottom w:w="0" w:type="dxa"/>
          </w:tblCellMar>
        </w:tblPrEx>
        <w:tc>
          <w:tcPr>
            <w:tcW w:w="2339" w:type="dxa"/>
            <w:tcBorders>
              <w:top w:val="single" w:sz="4" w:space="0" w:color="auto"/>
              <w:bottom w:val="single" w:sz="6" w:space="0" w:color="auto"/>
            </w:tcBorders>
          </w:tcPr>
          <w:p w:rsidR="00000000" w:rsidRDefault="00844A84">
            <w:pPr>
              <w:pStyle w:val="a2"/>
              <w:spacing w:before="120" w:after="40" w:line="240" w:lineRule="auto"/>
              <w:rPr>
                <w:rFonts w:hint="eastAsia"/>
                <w:snapToGrid/>
              </w:rPr>
            </w:pPr>
            <w:r>
              <w:rPr>
                <w:snapToGrid/>
              </w:rPr>
              <w:t xml:space="preserve">  </w:t>
            </w:r>
            <w:r>
              <w:rPr>
                <w:rFonts w:hint="eastAsia"/>
                <w:snapToGrid/>
              </w:rPr>
              <w:t>共</w:t>
            </w:r>
            <w:r>
              <w:rPr>
                <w:rFonts w:hint="eastAsia"/>
                <w:snapToGrid/>
              </w:rPr>
              <w:t xml:space="preserve">  </w:t>
            </w:r>
            <w:r>
              <w:rPr>
                <w:rFonts w:hint="eastAsia"/>
                <w:snapToGrid/>
              </w:rPr>
              <w:t>计</w:t>
            </w:r>
          </w:p>
        </w:tc>
        <w:tc>
          <w:tcPr>
            <w:tcW w:w="2339" w:type="dxa"/>
            <w:tcBorders>
              <w:top w:val="single" w:sz="4" w:space="0" w:color="auto"/>
              <w:bottom w:val="single" w:sz="6" w:space="0" w:color="auto"/>
            </w:tcBorders>
          </w:tcPr>
          <w:p w:rsidR="00000000" w:rsidRDefault="00844A84">
            <w:pPr>
              <w:pStyle w:val="a2"/>
              <w:spacing w:before="120" w:after="40" w:line="240" w:lineRule="auto"/>
              <w:ind w:right="964"/>
              <w:jc w:val="right"/>
              <w:rPr>
                <w:snapToGrid/>
              </w:rPr>
            </w:pPr>
            <w:r>
              <w:rPr>
                <w:snapToGrid/>
              </w:rPr>
              <w:t>16</w:t>
            </w:r>
          </w:p>
        </w:tc>
        <w:tc>
          <w:tcPr>
            <w:tcW w:w="2339" w:type="dxa"/>
            <w:tcBorders>
              <w:top w:val="single" w:sz="4" w:space="0" w:color="auto"/>
              <w:bottom w:val="single" w:sz="6" w:space="0" w:color="auto"/>
            </w:tcBorders>
          </w:tcPr>
          <w:p w:rsidR="00000000" w:rsidRDefault="00844A84">
            <w:pPr>
              <w:pStyle w:val="a2"/>
              <w:spacing w:before="120" w:after="40" w:line="240" w:lineRule="auto"/>
              <w:ind w:right="964"/>
              <w:jc w:val="right"/>
              <w:rPr>
                <w:snapToGrid/>
              </w:rPr>
            </w:pPr>
            <w:r>
              <w:rPr>
                <w:snapToGrid/>
              </w:rPr>
              <w:t>100.0</w:t>
            </w:r>
          </w:p>
        </w:tc>
        <w:tc>
          <w:tcPr>
            <w:tcW w:w="2339" w:type="dxa"/>
            <w:tcBorders>
              <w:top w:val="single" w:sz="4" w:space="0" w:color="auto"/>
              <w:bottom w:val="single" w:sz="6" w:space="0" w:color="auto"/>
            </w:tcBorders>
          </w:tcPr>
          <w:p w:rsidR="00000000" w:rsidRDefault="00844A84">
            <w:pPr>
              <w:pStyle w:val="a2"/>
              <w:spacing w:before="120" w:after="40" w:line="240" w:lineRule="auto"/>
              <w:ind w:right="851"/>
              <w:jc w:val="right"/>
              <w:rPr>
                <w:snapToGrid/>
              </w:rPr>
            </w:pPr>
            <w:r>
              <w:rPr>
                <w:snapToGrid/>
              </w:rPr>
              <w:t>1,546</w:t>
            </w:r>
          </w:p>
        </w:tc>
      </w:tr>
    </w:tbl>
    <w:p w:rsidR="00000000" w:rsidRDefault="00844A84">
      <w:pPr>
        <w:pStyle w:val="Heading3"/>
        <w:rPr>
          <w:sz w:val="22"/>
        </w:rPr>
      </w:pPr>
    </w:p>
    <w:p w:rsidR="00000000" w:rsidRDefault="00844A84">
      <w:pPr>
        <w:pStyle w:val="Heading3"/>
        <w:rPr>
          <w:rFonts w:hint="eastAsia"/>
        </w:rPr>
      </w:pPr>
      <w:r>
        <w:br w:type="page"/>
      </w:r>
      <w:r>
        <w:rPr>
          <w:rFonts w:hint="eastAsia"/>
          <w:u w:val="none"/>
        </w:rPr>
        <w:t>表</w:t>
      </w:r>
      <w:r>
        <w:rPr>
          <w:rFonts w:hint="eastAsia"/>
          <w:u w:val="none"/>
        </w:rPr>
        <w:t xml:space="preserve"> </w:t>
      </w:r>
      <w:r>
        <w:rPr>
          <w:u w:val="none"/>
        </w:rPr>
        <w:t>7</w:t>
      </w:r>
      <w:r>
        <w:rPr>
          <w:u w:val="none"/>
        </w:rPr>
        <w:br/>
      </w:r>
      <w:r>
        <w:rPr>
          <w:rFonts w:hint="eastAsia"/>
        </w:rPr>
        <w:t>2001</w:t>
      </w:r>
      <w:r>
        <w:rPr>
          <w:rFonts w:hint="eastAsia"/>
        </w:rPr>
        <w:t>年黑山流行疾病状况</w:t>
      </w:r>
    </w:p>
    <w:tbl>
      <w:tblPr>
        <w:tblW w:w="940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bottom w:w="57" w:type="dxa"/>
          <w:right w:w="57" w:type="dxa"/>
        </w:tblCellMar>
        <w:tblLook w:val="0000" w:firstRow="0" w:lastRow="0" w:firstColumn="0" w:lastColumn="0" w:noHBand="0" w:noVBand="0"/>
      </w:tblPr>
      <w:tblGrid>
        <w:gridCol w:w="582"/>
        <w:gridCol w:w="1313"/>
        <w:gridCol w:w="1522"/>
        <w:gridCol w:w="2625"/>
        <w:gridCol w:w="630"/>
        <w:gridCol w:w="1470"/>
        <w:gridCol w:w="1260"/>
      </w:tblGrid>
      <w:tr w:rsidR="00000000">
        <w:tblPrEx>
          <w:tblCellMar>
            <w:top w:w="0" w:type="dxa"/>
          </w:tblCellMar>
        </w:tblPrEx>
        <w:tc>
          <w:tcPr>
            <w:tcW w:w="582" w:type="dxa"/>
            <w:tcBorders>
              <w:top w:val="single" w:sz="4" w:space="0" w:color="auto"/>
              <w:bottom w:val="single" w:sz="4" w:space="0" w:color="auto"/>
            </w:tcBorders>
            <w:shd w:val="clear" w:color="auto" w:fill="FFFFFF"/>
            <w:vAlign w:val="center"/>
          </w:tcPr>
          <w:p w:rsidR="00000000" w:rsidRDefault="00844A84">
            <w:pPr>
              <w:pStyle w:val="a2"/>
              <w:spacing w:line="240" w:lineRule="auto"/>
              <w:jc w:val="center"/>
              <w:rPr>
                <w:rFonts w:hint="eastAsia"/>
                <w:snapToGrid/>
                <w:sz w:val="20"/>
              </w:rPr>
            </w:pPr>
            <w:r>
              <w:rPr>
                <w:rFonts w:hint="eastAsia"/>
                <w:snapToGrid/>
                <w:sz w:val="20"/>
              </w:rPr>
              <w:t>序号</w:t>
            </w:r>
          </w:p>
        </w:tc>
        <w:tc>
          <w:tcPr>
            <w:tcW w:w="1313" w:type="dxa"/>
            <w:tcBorders>
              <w:top w:val="single" w:sz="4" w:space="0" w:color="auto"/>
              <w:bottom w:val="single" w:sz="4" w:space="0" w:color="auto"/>
            </w:tcBorders>
            <w:shd w:val="clear" w:color="auto" w:fill="FFFFFF"/>
            <w:vAlign w:val="center"/>
          </w:tcPr>
          <w:p w:rsidR="00000000" w:rsidRDefault="00844A84">
            <w:pPr>
              <w:pStyle w:val="a2"/>
              <w:spacing w:line="240" w:lineRule="auto"/>
              <w:jc w:val="center"/>
              <w:rPr>
                <w:rFonts w:hint="eastAsia"/>
                <w:snapToGrid/>
                <w:sz w:val="20"/>
              </w:rPr>
            </w:pPr>
            <w:r>
              <w:rPr>
                <w:rFonts w:hint="eastAsia"/>
                <w:snapToGrid/>
                <w:sz w:val="20"/>
              </w:rPr>
              <w:t>疾</w:t>
            </w:r>
            <w:r>
              <w:rPr>
                <w:snapToGrid/>
                <w:sz w:val="20"/>
              </w:rPr>
              <w:t xml:space="preserve"> </w:t>
            </w:r>
            <w:r>
              <w:rPr>
                <w:rFonts w:hint="eastAsia"/>
                <w:snapToGrid/>
                <w:sz w:val="20"/>
              </w:rPr>
              <w:t>病</w:t>
            </w:r>
          </w:p>
        </w:tc>
        <w:tc>
          <w:tcPr>
            <w:tcW w:w="1522" w:type="dxa"/>
            <w:tcBorders>
              <w:top w:val="single" w:sz="4" w:space="0" w:color="auto"/>
              <w:bottom w:val="single" w:sz="4" w:space="0" w:color="auto"/>
            </w:tcBorders>
            <w:shd w:val="clear" w:color="auto" w:fill="FFFFFF"/>
            <w:vAlign w:val="center"/>
          </w:tcPr>
          <w:p w:rsidR="00000000" w:rsidRDefault="00844A84">
            <w:pPr>
              <w:pStyle w:val="a2"/>
              <w:spacing w:line="240" w:lineRule="auto"/>
              <w:jc w:val="center"/>
              <w:rPr>
                <w:rFonts w:hint="eastAsia"/>
                <w:snapToGrid/>
                <w:sz w:val="20"/>
              </w:rPr>
            </w:pPr>
            <w:r>
              <w:rPr>
                <w:rFonts w:hint="eastAsia"/>
                <w:snapToGrid/>
                <w:sz w:val="20"/>
              </w:rPr>
              <w:t>流行时期</w:t>
            </w:r>
          </w:p>
        </w:tc>
        <w:tc>
          <w:tcPr>
            <w:tcW w:w="2625" w:type="dxa"/>
            <w:tcBorders>
              <w:top w:val="single" w:sz="4" w:space="0" w:color="auto"/>
              <w:bottom w:val="single" w:sz="4" w:space="0" w:color="auto"/>
            </w:tcBorders>
            <w:shd w:val="clear" w:color="auto" w:fill="FFFFFF"/>
            <w:vAlign w:val="center"/>
          </w:tcPr>
          <w:p w:rsidR="00000000" w:rsidRDefault="00844A84">
            <w:pPr>
              <w:pStyle w:val="a2"/>
              <w:spacing w:line="240" w:lineRule="auto"/>
              <w:jc w:val="center"/>
              <w:rPr>
                <w:rFonts w:hint="eastAsia"/>
                <w:snapToGrid/>
                <w:sz w:val="20"/>
              </w:rPr>
            </w:pPr>
            <w:r>
              <w:rPr>
                <w:rFonts w:hint="eastAsia"/>
                <w:snapToGrid/>
                <w:sz w:val="20"/>
              </w:rPr>
              <w:t>流</w:t>
            </w:r>
            <w:r>
              <w:rPr>
                <w:snapToGrid/>
                <w:sz w:val="20"/>
              </w:rPr>
              <w:t xml:space="preserve"> </w:t>
            </w:r>
            <w:r>
              <w:rPr>
                <w:rFonts w:hint="eastAsia"/>
                <w:snapToGrid/>
                <w:sz w:val="20"/>
              </w:rPr>
              <w:t>行</w:t>
            </w:r>
            <w:r>
              <w:rPr>
                <w:snapToGrid/>
                <w:sz w:val="20"/>
              </w:rPr>
              <w:t xml:space="preserve"> </w:t>
            </w:r>
            <w:r>
              <w:rPr>
                <w:rFonts w:hint="eastAsia"/>
                <w:snapToGrid/>
                <w:sz w:val="20"/>
              </w:rPr>
              <w:t>地</w:t>
            </w:r>
            <w:r>
              <w:rPr>
                <w:snapToGrid/>
                <w:sz w:val="20"/>
              </w:rPr>
              <w:t xml:space="preserve"> </w:t>
            </w:r>
            <w:r>
              <w:rPr>
                <w:rFonts w:hint="eastAsia"/>
                <w:snapToGrid/>
                <w:sz w:val="20"/>
              </w:rPr>
              <w:t>点</w:t>
            </w:r>
          </w:p>
        </w:tc>
        <w:tc>
          <w:tcPr>
            <w:tcW w:w="630" w:type="dxa"/>
            <w:tcBorders>
              <w:top w:val="single" w:sz="4" w:space="0" w:color="auto"/>
              <w:bottom w:val="single" w:sz="4" w:space="0" w:color="auto"/>
            </w:tcBorders>
            <w:shd w:val="clear" w:color="auto" w:fill="FFFFFF"/>
          </w:tcPr>
          <w:p w:rsidR="00000000" w:rsidRDefault="00844A84">
            <w:pPr>
              <w:pStyle w:val="a2"/>
              <w:spacing w:line="240" w:lineRule="auto"/>
              <w:jc w:val="center"/>
              <w:rPr>
                <w:rFonts w:hint="eastAsia"/>
                <w:snapToGrid/>
                <w:sz w:val="20"/>
              </w:rPr>
            </w:pPr>
            <w:r>
              <w:rPr>
                <w:rFonts w:hint="eastAsia"/>
                <w:snapToGrid/>
                <w:sz w:val="20"/>
              </w:rPr>
              <w:t>患者人数</w:t>
            </w:r>
          </w:p>
        </w:tc>
        <w:tc>
          <w:tcPr>
            <w:tcW w:w="1470" w:type="dxa"/>
            <w:tcBorders>
              <w:top w:val="single" w:sz="4" w:space="0" w:color="auto"/>
              <w:bottom w:val="single" w:sz="4" w:space="0" w:color="auto"/>
            </w:tcBorders>
            <w:shd w:val="clear" w:color="auto" w:fill="FFFFFF"/>
            <w:vAlign w:val="center"/>
          </w:tcPr>
          <w:p w:rsidR="00000000" w:rsidRDefault="00844A84">
            <w:pPr>
              <w:pStyle w:val="a2"/>
              <w:spacing w:line="240" w:lineRule="auto"/>
              <w:jc w:val="center"/>
              <w:rPr>
                <w:rFonts w:hint="eastAsia"/>
                <w:snapToGrid/>
                <w:sz w:val="20"/>
              </w:rPr>
            </w:pPr>
            <w:r>
              <w:rPr>
                <w:rFonts w:hint="eastAsia"/>
                <w:snapToGrid/>
                <w:sz w:val="20"/>
              </w:rPr>
              <w:t>病</w:t>
            </w:r>
            <w:r>
              <w:rPr>
                <w:snapToGrid/>
                <w:sz w:val="20"/>
              </w:rPr>
              <w:t xml:space="preserve">  </w:t>
            </w:r>
            <w:r>
              <w:rPr>
                <w:rFonts w:hint="eastAsia"/>
                <w:snapToGrid/>
                <w:sz w:val="20"/>
              </w:rPr>
              <w:t>因</w:t>
            </w:r>
          </w:p>
        </w:tc>
        <w:tc>
          <w:tcPr>
            <w:tcW w:w="1260" w:type="dxa"/>
            <w:tcBorders>
              <w:top w:val="single" w:sz="4" w:space="0" w:color="auto"/>
              <w:bottom w:val="single" w:sz="4" w:space="0" w:color="auto"/>
            </w:tcBorders>
            <w:shd w:val="clear" w:color="auto" w:fill="FFFFFF"/>
            <w:vAlign w:val="center"/>
          </w:tcPr>
          <w:p w:rsidR="00000000" w:rsidRDefault="00844A84">
            <w:pPr>
              <w:pStyle w:val="a2"/>
              <w:spacing w:line="240" w:lineRule="auto"/>
              <w:jc w:val="center"/>
              <w:rPr>
                <w:rFonts w:hint="eastAsia"/>
                <w:snapToGrid/>
                <w:spacing w:val="-10"/>
                <w:sz w:val="20"/>
              </w:rPr>
            </w:pPr>
            <w:r>
              <w:rPr>
                <w:rFonts w:hint="eastAsia"/>
                <w:snapToGrid/>
                <w:spacing w:val="-10"/>
                <w:sz w:val="20"/>
              </w:rPr>
              <w:t>感染和传染源</w:t>
            </w:r>
          </w:p>
        </w:tc>
      </w:tr>
      <w:tr w:rsidR="00000000">
        <w:tblPrEx>
          <w:tblCellMar>
            <w:top w:w="0" w:type="dxa"/>
          </w:tblCellMar>
        </w:tblPrEx>
        <w:tc>
          <w:tcPr>
            <w:tcW w:w="582" w:type="dxa"/>
            <w:tcBorders>
              <w:top w:val="single" w:sz="4" w:space="0" w:color="auto"/>
              <w:bottom w:val="nil"/>
            </w:tcBorders>
            <w:shd w:val="clear" w:color="auto" w:fill="FFFFFF"/>
          </w:tcPr>
          <w:p w:rsidR="00000000" w:rsidRDefault="00844A84">
            <w:pPr>
              <w:pStyle w:val="a2"/>
              <w:spacing w:before="40" w:line="240" w:lineRule="auto"/>
              <w:jc w:val="center"/>
              <w:rPr>
                <w:snapToGrid/>
                <w:sz w:val="20"/>
              </w:rPr>
            </w:pPr>
            <w:r>
              <w:rPr>
                <w:snapToGrid/>
                <w:sz w:val="20"/>
              </w:rPr>
              <w:t>1</w:t>
            </w:r>
          </w:p>
        </w:tc>
        <w:tc>
          <w:tcPr>
            <w:tcW w:w="1313" w:type="dxa"/>
            <w:tcBorders>
              <w:top w:val="single" w:sz="4" w:space="0" w:color="auto"/>
              <w:bottom w:val="nil"/>
            </w:tcBorders>
          </w:tcPr>
          <w:p w:rsidR="00000000" w:rsidRDefault="00844A84">
            <w:pPr>
              <w:pStyle w:val="a2"/>
              <w:spacing w:before="40" w:line="240" w:lineRule="auto"/>
              <w:rPr>
                <w:snapToGrid/>
                <w:sz w:val="20"/>
              </w:rPr>
            </w:pPr>
            <w:r>
              <w:rPr>
                <w:rFonts w:hint="eastAsia"/>
                <w:snapToGrid/>
                <w:sz w:val="20"/>
              </w:rPr>
              <w:t>咽炎链球菌</w:t>
            </w:r>
          </w:p>
        </w:tc>
        <w:tc>
          <w:tcPr>
            <w:tcW w:w="1522" w:type="dxa"/>
            <w:tcBorders>
              <w:top w:val="single" w:sz="4" w:space="0" w:color="auto"/>
              <w:bottom w:val="nil"/>
            </w:tcBorders>
          </w:tcPr>
          <w:p w:rsidR="00000000" w:rsidRDefault="00844A84">
            <w:pPr>
              <w:pStyle w:val="a2"/>
              <w:spacing w:before="40" w:line="240" w:lineRule="auto"/>
              <w:rPr>
                <w:rFonts w:hint="eastAsia"/>
                <w:snapToGrid/>
                <w:sz w:val="20"/>
              </w:rPr>
            </w:pPr>
            <w:r>
              <w:rPr>
                <w:snapToGrid/>
                <w:spacing w:val="-10"/>
                <w:sz w:val="20"/>
              </w:rPr>
              <w:t>2001</w:t>
            </w:r>
            <w:r>
              <w:rPr>
                <w:rFonts w:hint="eastAsia"/>
                <w:snapToGrid/>
                <w:spacing w:val="-10"/>
                <w:sz w:val="20"/>
              </w:rPr>
              <w:t>年</w:t>
            </w:r>
            <w:r>
              <w:rPr>
                <w:rFonts w:hint="eastAsia"/>
                <w:snapToGrid/>
                <w:spacing w:val="-10"/>
                <w:sz w:val="20"/>
              </w:rPr>
              <w:t>4</w:t>
            </w:r>
            <w:r>
              <w:rPr>
                <w:rFonts w:hint="eastAsia"/>
                <w:snapToGrid/>
                <w:spacing w:val="-10"/>
                <w:sz w:val="20"/>
              </w:rPr>
              <w:t>－</w:t>
            </w:r>
            <w:r>
              <w:rPr>
                <w:rFonts w:hint="eastAsia"/>
                <w:snapToGrid/>
                <w:spacing w:val="-10"/>
                <w:sz w:val="20"/>
              </w:rPr>
              <w:t>5</w:t>
            </w:r>
            <w:r>
              <w:rPr>
                <w:rFonts w:hint="eastAsia"/>
                <w:snapToGrid/>
                <w:spacing w:val="-10"/>
                <w:sz w:val="20"/>
              </w:rPr>
              <w:t>月</w:t>
            </w:r>
          </w:p>
        </w:tc>
        <w:tc>
          <w:tcPr>
            <w:tcW w:w="2625" w:type="dxa"/>
            <w:tcBorders>
              <w:top w:val="single" w:sz="4" w:space="0" w:color="auto"/>
              <w:bottom w:val="nil"/>
            </w:tcBorders>
          </w:tcPr>
          <w:p w:rsidR="00000000" w:rsidRDefault="00844A84">
            <w:pPr>
              <w:pStyle w:val="a2"/>
              <w:spacing w:before="40" w:line="240" w:lineRule="auto"/>
              <w:rPr>
                <w:rFonts w:hint="eastAsia"/>
                <w:snapToGrid/>
                <w:sz w:val="20"/>
              </w:rPr>
            </w:pPr>
            <w:r>
              <w:rPr>
                <w:snapToGrid/>
                <w:sz w:val="20"/>
              </w:rPr>
              <w:t xml:space="preserve">Pljevlja – </w:t>
            </w:r>
            <w:r>
              <w:rPr>
                <w:rFonts w:hint="eastAsia"/>
                <w:snapToGrid/>
                <w:sz w:val="20"/>
              </w:rPr>
              <w:t>学龄儿童</w:t>
            </w:r>
          </w:p>
        </w:tc>
        <w:tc>
          <w:tcPr>
            <w:tcW w:w="630" w:type="dxa"/>
            <w:tcBorders>
              <w:top w:val="single" w:sz="4" w:space="0" w:color="auto"/>
              <w:bottom w:val="nil"/>
            </w:tcBorders>
          </w:tcPr>
          <w:p w:rsidR="00000000" w:rsidRDefault="00844A84">
            <w:pPr>
              <w:pStyle w:val="a2"/>
              <w:spacing w:before="40" w:line="240" w:lineRule="auto"/>
              <w:ind w:right="113"/>
              <w:jc w:val="right"/>
              <w:rPr>
                <w:snapToGrid/>
                <w:sz w:val="20"/>
              </w:rPr>
            </w:pPr>
            <w:r>
              <w:rPr>
                <w:snapToGrid/>
                <w:sz w:val="20"/>
              </w:rPr>
              <w:t>50</w:t>
            </w:r>
          </w:p>
        </w:tc>
        <w:tc>
          <w:tcPr>
            <w:tcW w:w="1470" w:type="dxa"/>
            <w:tcBorders>
              <w:top w:val="single" w:sz="4" w:space="0" w:color="auto"/>
              <w:bottom w:val="nil"/>
            </w:tcBorders>
          </w:tcPr>
          <w:p w:rsidR="00000000" w:rsidRDefault="00844A84">
            <w:pPr>
              <w:pStyle w:val="a2"/>
              <w:spacing w:before="40" w:line="240" w:lineRule="auto"/>
              <w:jc w:val="left"/>
              <w:rPr>
                <w:snapToGrid/>
                <w:sz w:val="20"/>
              </w:rPr>
            </w:pPr>
            <w:r>
              <w:rPr>
                <w:rFonts w:hint="eastAsia"/>
                <w:snapToGrid/>
                <w:sz w:val="20"/>
              </w:rPr>
              <w:t>链球菌</w:t>
            </w:r>
            <w:r>
              <w:rPr>
                <w:snapToGrid/>
                <w:sz w:val="20"/>
              </w:rPr>
              <w:t>βhaemol. gr A</w:t>
            </w:r>
          </w:p>
        </w:tc>
        <w:tc>
          <w:tcPr>
            <w:tcW w:w="1260" w:type="dxa"/>
            <w:tcBorders>
              <w:top w:val="single" w:sz="4" w:space="0" w:color="auto"/>
              <w:bottom w:val="nil"/>
            </w:tcBorders>
          </w:tcPr>
          <w:p w:rsidR="00000000" w:rsidRDefault="00844A84">
            <w:pPr>
              <w:pStyle w:val="a2"/>
              <w:spacing w:before="40" w:line="240" w:lineRule="auto"/>
              <w:rPr>
                <w:rFonts w:hint="eastAsia"/>
                <w:snapToGrid/>
                <w:sz w:val="20"/>
              </w:rPr>
            </w:pPr>
            <w:r>
              <w:rPr>
                <w:rFonts w:hint="eastAsia"/>
                <w:snapToGrid/>
                <w:sz w:val="20"/>
              </w:rPr>
              <w:t>呼吸道</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2</w:t>
            </w:r>
          </w:p>
        </w:tc>
        <w:tc>
          <w:tcPr>
            <w:tcW w:w="1313" w:type="dxa"/>
            <w:tcBorders>
              <w:top w:val="nil"/>
            </w:tcBorders>
          </w:tcPr>
          <w:p w:rsidR="00000000" w:rsidRDefault="00844A84">
            <w:pPr>
              <w:pStyle w:val="a2"/>
              <w:spacing w:line="240" w:lineRule="auto"/>
              <w:rPr>
                <w:snapToGrid/>
                <w:sz w:val="20"/>
              </w:rPr>
            </w:pPr>
            <w:r>
              <w:rPr>
                <w:rFonts w:hint="eastAsia"/>
                <w:snapToGrid/>
                <w:sz w:val="20"/>
              </w:rPr>
              <w:t>沙门氏菌病</w:t>
            </w:r>
          </w:p>
        </w:tc>
        <w:tc>
          <w:tcPr>
            <w:tcW w:w="1522" w:type="dxa"/>
            <w:tcBorders>
              <w:top w:val="nil"/>
            </w:tcBorders>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5-6</w:t>
            </w:r>
            <w:r>
              <w:rPr>
                <w:rFonts w:hint="eastAsia"/>
                <w:snapToGrid/>
                <w:sz w:val="20"/>
              </w:rPr>
              <w:t>月</w:t>
            </w:r>
          </w:p>
        </w:tc>
        <w:tc>
          <w:tcPr>
            <w:tcW w:w="2625" w:type="dxa"/>
            <w:tcBorders>
              <w:top w:val="nil"/>
            </w:tcBorders>
          </w:tcPr>
          <w:p w:rsidR="00000000" w:rsidRDefault="00844A84">
            <w:pPr>
              <w:pStyle w:val="a2"/>
              <w:spacing w:line="240" w:lineRule="auto"/>
              <w:rPr>
                <w:snapToGrid/>
                <w:sz w:val="20"/>
              </w:rPr>
            </w:pPr>
            <w:r>
              <w:rPr>
                <w:snapToGrid/>
                <w:sz w:val="20"/>
              </w:rPr>
              <w:t xml:space="preserve">Budva - </w:t>
            </w:r>
            <w:r>
              <w:rPr>
                <w:rFonts w:hint="eastAsia"/>
                <w:snapToGrid/>
                <w:sz w:val="20"/>
              </w:rPr>
              <w:t>青少年和成人</w:t>
            </w:r>
          </w:p>
        </w:tc>
        <w:tc>
          <w:tcPr>
            <w:tcW w:w="630" w:type="dxa"/>
            <w:tcBorders>
              <w:top w:val="nil"/>
            </w:tcBorders>
          </w:tcPr>
          <w:p w:rsidR="00000000" w:rsidRDefault="00844A84">
            <w:pPr>
              <w:pStyle w:val="a2"/>
              <w:spacing w:line="240" w:lineRule="auto"/>
              <w:ind w:right="113"/>
              <w:jc w:val="right"/>
              <w:rPr>
                <w:snapToGrid/>
                <w:sz w:val="20"/>
              </w:rPr>
            </w:pPr>
            <w:r>
              <w:rPr>
                <w:snapToGrid/>
                <w:sz w:val="20"/>
              </w:rPr>
              <w:t>22</w:t>
            </w:r>
          </w:p>
        </w:tc>
        <w:tc>
          <w:tcPr>
            <w:tcW w:w="1470" w:type="dxa"/>
            <w:tcBorders>
              <w:top w:val="nil"/>
            </w:tcBorders>
          </w:tcPr>
          <w:p w:rsidR="00000000" w:rsidRDefault="00844A84">
            <w:pPr>
              <w:pStyle w:val="a2"/>
              <w:spacing w:line="240" w:lineRule="auto"/>
              <w:rPr>
                <w:snapToGrid/>
                <w:sz w:val="20"/>
              </w:rPr>
            </w:pPr>
            <w:r>
              <w:rPr>
                <w:rFonts w:hint="eastAsia"/>
                <w:snapToGrid/>
                <w:sz w:val="20"/>
              </w:rPr>
              <w:t>沙门氏菌肠炎</w:t>
            </w:r>
          </w:p>
        </w:tc>
        <w:tc>
          <w:tcPr>
            <w:tcW w:w="1260" w:type="dxa"/>
            <w:tcBorders>
              <w:top w:val="nil"/>
            </w:tcBorders>
          </w:tcPr>
          <w:p w:rsidR="00000000" w:rsidRDefault="00844A84">
            <w:pPr>
              <w:pStyle w:val="a2"/>
              <w:spacing w:line="240" w:lineRule="auto"/>
              <w:rPr>
                <w:rFonts w:hint="eastAsia"/>
                <w:snapToGrid/>
                <w:sz w:val="20"/>
              </w:rPr>
            </w:pPr>
            <w:r>
              <w:rPr>
                <w:rFonts w:hint="eastAsia"/>
                <w:snapToGrid/>
                <w:sz w:val="20"/>
              </w:rPr>
              <w:t>食物</w:t>
            </w:r>
          </w:p>
        </w:tc>
      </w:tr>
      <w:tr w:rsidR="00000000">
        <w:tblPrEx>
          <w:tblCellMar>
            <w:top w:w="0" w:type="dxa"/>
          </w:tblCellMar>
        </w:tblPrEx>
        <w:trPr>
          <w:trHeight w:val="385"/>
        </w:trPr>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3</w:t>
            </w:r>
          </w:p>
        </w:tc>
        <w:tc>
          <w:tcPr>
            <w:tcW w:w="1313" w:type="dxa"/>
          </w:tcPr>
          <w:p w:rsidR="00000000" w:rsidRDefault="00844A84">
            <w:pPr>
              <w:pStyle w:val="a2"/>
              <w:spacing w:line="240" w:lineRule="auto"/>
              <w:rPr>
                <w:snapToGrid/>
                <w:sz w:val="20"/>
              </w:rPr>
            </w:pPr>
            <w:r>
              <w:rPr>
                <w:rFonts w:hint="eastAsia"/>
                <w:snapToGrid/>
                <w:sz w:val="20"/>
              </w:rPr>
              <w:t>沙门氏菌病</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6</w:t>
            </w:r>
            <w:r>
              <w:rPr>
                <w:rFonts w:hint="eastAsia"/>
                <w:snapToGrid/>
                <w:sz w:val="20"/>
              </w:rPr>
              <w:t>月</w:t>
            </w:r>
          </w:p>
        </w:tc>
        <w:tc>
          <w:tcPr>
            <w:tcW w:w="2625" w:type="dxa"/>
          </w:tcPr>
          <w:p w:rsidR="00000000" w:rsidRDefault="00844A84">
            <w:pPr>
              <w:pStyle w:val="a2"/>
              <w:spacing w:line="240" w:lineRule="auto"/>
              <w:rPr>
                <w:rFonts w:hint="eastAsia"/>
                <w:snapToGrid/>
                <w:sz w:val="20"/>
              </w:rPr>
            </w:pPr>
            <w:r>
              <w:rPr>
                <w:snapToGrid/>
                <w:sz w:val="20"/>
              </w:rPr>
              <w:t>Podgori</w:t>
            </w:r>
            <w:r>
              <w:rPr>
                <w:snapToGrid/>
                <w:sz w:val="20"/>
              </w:rPr>
              <w:t xml:space="preserve">ca – </w:t>
            </w:r>
            <w:r>
              <w:rPr>
                <w:rFonts w:hint="eastAsia"/>
                <w:snapToGrid/>
                <w:sz w:val="20"/>
              </w:rPr>
              <w:t>家庭</w:t>
            </w:r>
          </w:p>
        </w:tc>
        <w:tc>
          <w:tcPr>
            <w:tcW w:w="630" w:type="dxa"/>
          </w:tcPr>
          <w:p w:rsidR="00000000" w:rsidRDefault="00844A84">
            <w:pPr>
              <w:pStyle w:val="a2"/>
              <w:spacing w:line="240" w:lineRule="auto"/>
              <w:ind w:right="113"/>
              <w:jc w:val="right"/>
              <w:rPr>
                <w:snapToGrid/>
                <w:sz w:val="20"/>
              </w:rPr>
            </w:pPr>
            <w:r>
              <w:rPr>
                <w:snapToGrid/>
                <w:sz w:val="20"/>
              </w:rPr>
              <w:t>3</w:t>
            </w:r>
          </w:p>
        </w:tc>
        <w:tc>
          <w:tcPr>
            <w:tcW w:w="1470" w:type="dxa"/>
          </w:tcPr>
          <w:p w:rsidR="00000000" w:rsidRDefault="00844A84">
            <w:pPr>
              <w:pStyle w:val="a2"/>
              <w:spacing w:line="240" w:lineRule="auto"/>
              <w:rPr>
                <w:snapToGrid/>
                <w:sz w:val="20"/>
              </w:rPr>
            </w:pPr>
            <w:r>
              <w:rPr>
                <w:rFonts w:hint="eastAsia"/>
                <w:snapToGrid/>
                <w:sz w:val="20"/>
              </w:rPr>
              <w:t>沙门氏菌肠炎</w:t>
            </w:r>
          </w:p>
        </w:tc>
        <w:tc>
          <w:tcPr>
            <w:tcW w:w="1260" w:type="dxa"/>
          </w:tcPr>
          <w:p w:rsidR="00000000" w:rsidRDefault="00844A84">
            <w:pPr>
              <w:pStyle w:val="a2"/>
              <w:spacing w:line="240" w:lineRule="auto"/>
              <w:rPr>
                <w:snapToGrid/>
                <w:sz w:val="20"/>
              </w:rPr>
            </w:pPr>
            <w:r>
              <w:rPr>
                <w:rFonts w:hint="eastAsia"/>
                <w:snapToGrid/>
                <w:sz w:val="20"/>
              </w:rPr>
              <w:t>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4</w:t>
            </w:r>
          </w:p>
        </w:tc>
        <w:tc>
          <w:tcPr>
            <w:tcW w:w="1313" w:type="dxa"/>
          </w:tcPr>
          <w:p w:rsidR="00000000" w:rsidRDefault="00844A84">
            <w:pPr>
              <w:pStyle w:val="a2"/>
              <w:spacing w:line="240" w:lineRule="auto"/>
              <w:rPr>
                <w:snapToGrid/>
                <w:sz w:val="20"/>
              </w:rPr>
            </w:pPr>
            <w:r>
              <w:rPr>
                <w:rFonts w:hint="eastAsia"/>
                <w:snapToGrid/>
                <w:sz w:val="20"/>
              </w:rPr>
              <w:t>食物中毒</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snapToGrid/>
                <w:sz w:val="20"/>
              </w:rPr>
              <w:t xml:space="preserve"> </w:t>
            </w:r>
            <w:r>
              <w:rPr>
                <w:rFonts w:hint="eastAsia"/>
                <w:snapToGrid/>
                <w:sz w:val="20"/>
              </w:rPr>
              <w:t>6</w:t>
            </w:r>
            <w:r>
              <w:rPr>
                <w:rFonts w:hint="eastAsia"/>
                <w:snapToGrid/>
                <w:sz w:val="20"/>
              </w:rPr>
              <w:t>月</w:t>
            </w:r>
          </w:p>
        </w:tc>
        <w:tc>
          <w:tcPr>
            <w:tcW w:w="2625" w:type="dxa"/>
          </w:tcPr>
          <w:p w:rsidR="00000000" w:rsidRDefault="00844A84">
            <w:pPr>
              <w:pStyle w:val="a2"/>
              <w:spacing w:line="240" w:lineRule="auto"/>
              <w:rPr>
                <w:rFonts w:hint="eastAsia"/>
                <w:snapToGrid/>
                <w:sz w:val="20"/>
              </w:rPr>
            </w:pPr>
            <w:r>
              <w:rPr>
                <w:snapToGrid/>
                <w:sz w:val="20"/>
              </w:rPr>
              <w:t xml:space="preserve">Podgorica – </w:t>
            </w:r>
            <w:r>
              <w:rPr>
                <w:rFonts w:hint="eastAsia"/>
                <w:snapToGrid/>
                <w:sz w:val="20"/>
              </w:rPr>
              <w:t>成人制铝厂</w:t>
            </w:r>
          </w:p>
        </w:tc>
        <w:tc>
          <w:tcPr>
            <w:tcW w:w="630" w:type="dxa"/>
          </w:tcPr>
          <w:p w:rsidR="00000000" w:rsidRDefault="00844A84">
            <w:pPr>
              <w:pStyle w:val="a2"/>
              <w:spacing w:line="240" w:lineRule="auto"/>
              <w:ind w:right="113"/>
              <w:jc w:val="right"/>
              <w:rPr>
                <w:snapToGrid/>
                <w:sz w:val="20"/>
              </w:rPr>
            </w:pPr>
            <w:r>
              <w:rPr>
                <w:snapToGrid/>
                <w:sz w:val="20"/>
              </w:rPr>
              <w:t>47</w:t>
            </w:r>
          </w:p>
        </w:tc>
        <w:tc>
          <w:tcPr>
            <w:tcW w:w="1470" w:type="dxa"/>
          </w:tcPr>
          <w:p w:rsidR="00000000" w:rsidRDefault="00844A84">
            <w:pPr>
              <w:pStyle w:val="a2"/>
              <w:spacing w:line="240" w:lineRule="auto"/>
              <w:rPr>
                <w:snapToGrid/>
                <w:sz w:val="20"/>
              </w:rPr>
            </w:pPr>
            <w:r>
              <w:rPr>
                <w:snapToGrid/>
                <w:sz w:val="20"/>
              </w:rPr>
              <w:t>nepoznat</w:t>
            </w:r>
          </w:p>
        </w:tc>
        <w:tc>
          <w:tcPr>
            <w:tcW w:w="1260" w:type="dxa"/>
          </w:tcPr>
          <w:p w:rsidR="00000000" w:rsidRDefault="00844A84">
            <w:pPr>
              <w:pStyle w:val="a2"/>
              <w:spacing w:line="240" w:lineRule="auto"/>
              <w:rPr>
                <w:snapToGrid/>
                <w:sz w:val="20"/>
              </w:rPr>
            </w:pPr>
            <w:r>
              <w:rPr>
                <w:rFonts w:hint="eastAsia"/>
                <w:snapToGrid/>
                <w:sz w:val="20"/>
              </w:rPr>
              <w:t>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5</w:t>
            </w:r>
          </w:p>
        </w:tc>
        <w:tc>
          <w:tcPr>
            <w:tcW w:w="1313" w:type="dxa"/>
          </w:tcPr>
          <w:p w:rsidR="00000000" w:rsidRDefault="00844A84">
            <w:pPr>
              <w:pStyle w:val="a2"/>
              <w:spacing w:line="240" w:lineRule="auto"/>
              <w:rPr>
                <w:rFonts w:hint="eastAsia"/>
                <w:snapToGrid/>
                <w:sz w:val="20"/>
              </w:rPr>
            </w:pPr>
            <w:r>
              <w:rPr>
                <w:rFonts w:hint="eastAsia"/>
                <w:snapToGrid/>
                <w:sz w:val="20"/>
              </w:rPr>
              <w:t>小肠结肠炎</w:t>
            </w:r>
          </w:p>
        </w:tc>
        <w:tc>
          <w:tcPr>
            <w:tcW w:w="1522" w:type="dxa"/>
          </w:tcPr>
          <w:p w:rsidR="00000000" w:rsidRDefault="00844A84">
            <w:pPr>
              <w:pStyle w:val="a2"/>
              <w:spacing w:line="240" w:lineRule="auto"/>
              <w:rPr>
                <w:snapToGrid/>
                <w:sz w:val="20"/>
              </w:rPr>
            </w:pPr>
            <w:r>
              <w:rPr>
                <w:snapToGrid/>
                <w:sz w:val="20"/>
              </w:rPr>
              <w:t>2001</w:t>
            </w:r>
            <w:r>
              <w:rPr>
                <w:rFonts w:hint="eastAsia"/>
                <w:snapToGrid/>
                <w:sz w:val="20"/>
              </w:rPr>
              <w:t>年</w:t>
            </w:r>
            <w:r>
              <w:rPr>
                <w:rFonts w:hint="eastAsia"/>
                <w:snapToGrid/>
                <w:sz w:val="20"/>
              </w:rPr>
              <w:t xml:space="preserve"> 7</w:t>
            </w:r>
            <w:r>
              <w:rPr>
                <w:rFonts w:hint="eastAsia"/>
                <w:snapToGrid/>
                <w:sz w:val="20"/>
              </w:rPr>
              <w:t>月</w:t>
            </w:r>
          </w:p>
        </w:tc>
        <w:tc>
          <w:tcPr>
            <w:tcW w:w="2625" w:type="dxa"/>
          </w:tcPr>
          <w:p w:rsidR="00000000" w:rsidRDefault="00844A84">
            <w:pPr>
              <w:pStyle w:val="a2"/>
              <w:spacing w:line="240" w:lineRule="auto"/>
              <w:rPr>
                <w:rFonts w:hint="eastAsia"/>
                <w:snapToGrid/>
                <w:sz w:val="20"/>
              </w:rPr>
            </w:pPr>
            <w:r>
              <w:rPr>
                <w:snapToGrid/>
                <w:sz w:val="20"/>
              </w:rPr>
              <w:t xml:space="preserve">Bar – </w:t>
            </w:r>
            <w:r>
              <w:rPr>
                <w:rFonts w:hint="eastAsia"/>
                <w:snapToGrid/>
                <w:sz w:val="20"/>
              </w:rPr>
              <w:t>所有年龄的人</w:t>
            </w:r>
          </w:p>
        </w:tc>
        <w:tc>
          <w:tcPr>
            <w:tcW w:w="630" w:type="dxa"/>
          </w:tcPr>
          <w:p w:rsidR="00000000" w:rsidRDefault="00844A84">
            <w:pPr>
              <w:pStyle w:val="a2"/>
              <w:spacing w:line="240" w:lineRule="auto"/>
              <w:ind w:right="113"/>
              <w:jc w:val="right"/>
              <w:rPr>
                <w:snapToGrid/>
                <w:sz w:val="20"/>
              </w:rPr>
            </w:pPr>
            <w:r>
              <w:rPr>
                <w:snapToGrid/>
                <w:sz w:val="20"/>
              </w:rPr>
              <w:t>175</w:t>
            </w:r>
          </w:p>
        </w:tc>
        <w:tc>
          <w:tcPr>
            <w:tcW w:w="1470" w:type="dxa"/>
          </w:tcPr>
          <w:p w:rsidR="00000000" w:rsidRDefault="00844A84">
            <w:pPr>
              <w:pStyle w:val="a2"/>
              <w:spacing w:line="240" w:lineRule="auto"/>
              <w:rPr>
                <w:snapToGrid/>
                <w:sz w:val="20"/>
              </w:rPr>
            </w:pPr>
            <w:r>
              <w:rPr>
                <w:snapToGrid/>
                <w:sz w:val="20"/>
              </w:rPr>
              <w:t>nepoznat</w:t>
            </w:r>
          </w:p>
        </w:tc>
        <w:tc>
          <w:tcPr>
            <w:tcW w:w="1260" w:type="dxa"/>
          </w:tcPr>
          <w:p w:rsidR="00000000" w:rsidRDefault="00844A84">
            <w:pPr>
              <w:pStyle w:val="a2"/>
              <w:spacing w:line="240" w:lineRule="auto"/>
              <w:rPr>
                <w:snapToGrid/>
                <w:sz w:val="20"/>
              </w:rPr>
            </w:pPr>
            <w:r>
              <w:rPr>
                <w:rFonts w:hint="eastAsia"/>
                <w:snapToGrid/>
                <w:sz w:val="20"/>
              </w:rPr>
              <w:t>接触和食物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6</w:t>
            </w:r>
          </w:p>
        </w:tc>
        <w:tc>
          <w:tcPr>
            <w:tcW w:w="1313" w:type="dxa"/>
          </w:tcPr>
          <w:p w:rsidR="00000000" w:rsidRDefault="00844A84">
            <w:pPr>
              <w:pStyle w:val="a2"/>
              <w:spacing w:line="240" w:lineRule="auto"/>
              <w:rPr>
                <w:rFonts w:hint="eastAsia"/>
                <w:snapToGrid/>
                <w:sz w:val="20"/>
              </w:rPr>
            </w:pPr>
            <w:r>
              <w:rPr>
                <w:rFonts w:hint="eastAsia"/>
                <w:snapToGrid/>
                <w:sz w:val="20"/>
              </w:rPr>
              <w:t>小肠结肠炎</w:t>
            </w:r>
          </w:p>
        </w:tc>
        <w:tc>
          <w:tcPr>
            <w:tcW w:w="1522" w:type="dxa"/>
          </w:tcPr>
          <w:p w:rsidR="00000000" w:rsidRDefault="00844A84">
            <w:pPr>
              <w:pStyle w:val="a2"/>
              <w:spacing w:line="240" w:lineRule="auto"/>
              <w:rPr>
                <w:rFonts w:hint="eastAsia"/>
                <w:snapToGrid/>
                <w:sz w:val="20"/>
              </w:rPr>
            </w:pPr>
            <w:r>
              <w:rPr>
                <w:snapToGrid/>
                <w:sz w:val="20"/>
              </w:rPr>
              <w:t xml:space="preserve">2001 </w:t>
            </w:r>
            <w:r>
              <w:rPr>
                <w:rFonts w:hint="eastAsia"/>
                <w:snapToGrid/>
                <w:sz w:val="20"/>
              </w:rPr>
              <w:t>年</w:t>
            </w:r>
            <w:r>
              <w:rPr>
                <w:rFonts w:hint="eastAsia"/>
                <w:snapToGrid/>
                <w:sz w:val="20"/>
              </w:rPr>
              <w:t>8</w:t>
            </w:r>
            <w:r>
              <w:rPr>
                <w:rFonts w:hint="eastAsia"/>
                <w:snapToGrid/>
                <w:sz w:val="20"/>
              </w:rPr>
              <w:t>月</w:t>
            </w:r>
          </w:p>
        </w:tc>
        <w:tc>
          <w:tcPr>
            <w:tcW w:w="2625" w:type="dxa"/>
          </w:tcPr>
          <w:p w:rsidR="00000000" w:rsidRDefault="00844A84">
            <w:pPr>
              <w:pStyle w:val="a2"/>
              <w:spacing w:line="240" w:lineRule="auto"/>
              <w:rPr>
                <w:snapToGrid/>
                <w:sz w:val="20"/>
              </w:rPr>
            </w:pPr>
            <w:r>
              <w:rPr>
                <w:snapToGrid/>
                <w:sz w:val="20"/>
              </w:rPr>
              <w:t xml:space="preserve">H. Novi - </w:t>
            </w:r>
            <w:r>
              <w:rPr>
                <w:rFonts w:hint="eastAsia"/>
                <w:snapToGrid/>
                <w:sz w:val="20"/>
              </w:rPr>
              <w:t>所有年龄的人</w:t>
            </w:r>
          </w:p>
        </w:tc>
        <w:tc>
          <w:tcPr>
            <w:tcW w:w="630" w:type="dxa"/>
          </w:tcPr>
          <w:p w:rsidR="00000000" w:rsidRDefault="00844A84">
            <w:pPr>
              <w:pStyle w:val="a2"/>
              <w:spacing w:line="240" w:lineRule="auto"/>
              <w:ind w:right="113"/>
              <w:jc w:val="right"/>
              <w:rPr>
                <w:snapToGrid/>
                <w:sz w:val="20"/>
              </w:rPr>
            </w:pPr>
            <w:r>
              <w:rPr>
                <w:snapToGrid/>
                <w:sz w:val="20"/>
              </w:rPr>
              <w:t>250</w:t>
            </w:r>
          </w:p>
        </w:tc>
        <w:tc>
          <w:tcPr>
            <w:tcW w:w="1470" w:type="dxa"/>
          </w:tcPr>
          <w:p w:rsidR="00000000" w:rsidRDefault="00844A84">
            <w:pPr>
              <w:pStyle w:val="a2"/>
              <w:spacing w:line="240" w:lineRule="auto"/>
              <w:rPr>
                <w:snapToGrid/>
                <w:sz w:val="20"/>
              </w:rPr>
            </w:pPr>
            <w:r>
              <w:rPr>
                <w:snapToGrid/>
                <w:sz w:val="20"/>
              </w:rPr>
              <w:t>nepoznat</w:t>
            </w:r>
          </w:p>
        </w:tc>
        <w:tc>
          <w:tcPr>
            <w:tcW w:w="1260" w:type="dxa"/>
          </w:tcPr>
          <w:p w:rsidR="00000000" w:rsidRDefault="00844A84">
            <w:pPr>
              <w:pStyle w:val="a2"/>
              <w:spacing w:line="240" w:lineRule="auto"/>
              <w:rPr>
                <w:snapToGrid/>
                <w:sz w:val="20"/>
              </w:rPr>
            </w:pPr>
            <w:r>
              <w:rPr>
                <w:rFonts w:hint="eastAsia"/>
                <w:snapToGrid/>
                <w:sz w:val="20"/>
              </w:rPr>
              <w:t>接触和食物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7</w:t>
            </w:r>
          </w:p>
        </w:tc>
        <w:tc>
          <w:tcPr>
            <w:tcW w:w="1313" w:type="dxa"/>
          </w:tcPr>
          <w:p w:rsidR="00000000" w:rsidRDefault="00844A84">
            <w:pPr>
              <w:pStyle w:val="a2"/>
              <w:spacing w:line="240" w:lineRule="auto"/>
              <w:rPr>
                <w:rFonts w:hint="eastAsia"/>
                <w:snapToGrid/>
                <w:sz w:val="20"/>
              </w:rPr>
            </w:pPr>
            <w:r>
              <w:rPr>
                <w:rFonts w:hint="eastAsia"/>
                <w:snapToGrid/>
                <w:sz w:val="20"/>
              </w:rPr>
              <w:t>小肠结肠炎</w:t>
            </w:r>
          </w:p>
        </w:tc>
        <w:tc>
          <w:tcPr>
            <w:tcW w:w="1522" w:type="dxa"/>
          </w:tcPr>
          <w:p w:rsidR="00000000" w:rsidRDefault="00844A84">
            <w:pPr>
              <w:pStyle w:val="a2"/>
              <w:spacing w:line="240" w:lineRule="auto"/>
              <w:rPr>
                <w:snapToGrid/>
                <w:sz w:val="20"/>
              </w:rPr>
            </w:pPr>
            <w:r>
              <w:rPr>
                <w:snapToGrid/>
                <w:sz w:val="20"/>
              </w:rPr>
              <w:t xml:space="preserve">2001 </w:t>
            </w:r>
            <w:r>
              <w:rPr>
                <w:rFonts w:hint="eastAsia"/>
                <w:snapToGrid/>
                <w:sz w:val="20"/>
              </w:rPr>
              <w:t>年</w:t>
            </w:r>
            <w:r>
              <w:rPr>
                <w:rFonts w:hint="eastAsia"/>
                <w:snapToGrid/>
                <w:sz w:val="20"/>
              </w:rPr>
              <w:t>8</w:t>
            </w:r>
            <w:r>
              <w:rPr>
                <w:rFonts w:hint="eastAsia"/>
                <w:snapToGrid/>
                <w:sz w:val="20"/>
              </w:rPr>
              <w:t>月</w:t>
            </w:r>
          </w:p>
        </w:tc>
        <w:tc>
          <w:tcPr>
            <w:tcW w:w="2625" w:type="dxa"/>
          </w:tcPr>
          <w:p w:rsidR="00000000" w:rsidRDefault="00844A84">
            <w:pPr>
              <w:pStyle w:val="a2"/>
              <w:spacing w:line="240" w:lineRule="auto"/>
              <w:rPr>
                <w:snapToGrid/>
                <w:sz w:val="20"/>
              </w:rPr>
            </w:pPr>
            <w:r>
              <w:rPr>
                <w:snapToGrid/>
                <w:sz w:val="20"/>
              </w:rPr>
              <w:t xml:space="preserve">Tivat - </w:t>
            </w:r>
            <w:r>
              <w:rPr>
                <w:rFonts w:hint="eastAsia"/>
                <w:snapToGrid/>
                <w:sz w:val="20"/>
              </w:rPr>
              <w:t>所有年龄的人</w:t>
            </w:r>
          </w:p>
        </w:tc>
        <w:tc>
          <w:tcPr>
            <w:tcW w:w="630" w:type="dxa"/>
          </w:tcPr>
          <w:p w:rsidR="00000000" w:rsidRDefault="00844A84">
            <w:pPr>
              <w:pStyle w:val="a2"/>
              <w:spacing w:line="240" w:lineRule="auto"/>
              <w:ind w:right="113"/>
              <w:jc w:val="right"/>
              <w:rPr>
                <w:snapToGrid/>
                <w:sz w:val="20"/>
              </w:rPr>
            </w:pPr>
            <w:r>
              <w:rPr>
                <w:snapToGrid/>
                <w:sz w:val="20"/>
              </w:rPr>
              <w:t>180</w:t>
            </w:r>
          </w:p>
        </w:tc>
        <w:tc>
          <w:tcPr>
            <w:tcW w:w="1470" w:type="dxa"/>
          </w:tcPr>
          <w:p w:rsidR="00000000" w:rsidRDefault="00844A84">
            <w:pPr>
              <w:pStyle w:val="a2"/>
              <w:spacing w:line="240" w:lineRule="auto"/>
              <w:rPr>
                <w:snapToGrid/>
                <w:sz w:val="20"/>
              </w:rPr>
            </w:pPr>
            <w:r>
              <w:rPr>
                <w:snapToGrid/>
                <w:sz w:val="20"/>
              </w:rPr>
              <w:t>nepoznat</w:t>
            </w:r>
          </w:p>
        </w:tc>
        <w:tc>
          <w:tcPr>
            <w:tcW w:w="1260" w:type="dxa"/>
          </w:tcPr>
          <w:p w:rsidR="00000000" w:rsidRDefault="00844A84">
            <w:pPr>
              <w:pStyle w:val="a2"/>
              <w:spacing w:line="240" w:lineRule="auto"/>
              <w:rPr>
                <w:snapToGrid/>
                <w:sz w:val="20"/>
              </w:rPr>
            </w:pPr>
            <w:r>
              <w:rPr>
                <w:rFonts w:hint="eastAsia"/>
                <w:snapToGrid/>
                <w:sz w:val="20"/>
              </w:rPr>
              <w:t>接触和食物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8</w:t>
            </w:r>
          </w:p>
        </w:tc>
        <w:tc>
          <w:tcPr>
            <w:tcW w:w="1313" w:type="dxa"/>
          </w:tcPr>
          <w:p w:rsidR="00000000" w:rsidRDefault="00844A84">
            <w:pPr>
              <w:pStyle w:val="a2"/>
              <w:spacing w:line="240" w:lineRule="auto"/>
              <w:rPr>
                <w:snapToGrid/>
                <w:sz w:val="20"/>
              </w:rPr>
            </w:pPr>
            <w:r>
              <w:rPr>
                <w:rFonts w:hint="eastAsia"/>
                <w:snapToGrid/>
                <w:sz w:val="20"/>
              </w:rPr>
              <w:t>食物中毒</w:t>
            </w:r>
          </w:p>
        </w:tc>
        <w:tc>
          <w:tcPr>
            <w:tcW w:w="1522" w:type="dxa"/>
          </w:tcPr>
          <w:p w:rsidR="00000000" w:rsidRDefault="00844A84">
            <w:pPr>
              <w:pStyle w:val="a2"/>
              <w:spacing w:line="240" w:lineRule="auto"/>
              <w:rPr>
                <w:snapToGrid/>
                <w:sz w:val="20"/>
              </w:rPr>
            </w:pPr>
            <w:r>
              <w:rPr>
                <w:snapToGrid/>
                <w:sz w:val="20"/>
              </w:rPr>
              <w:t>2001</w:t>
            </w:r>
            <w:r>
              <w:rPr>
                <w:rFonts w:hint="eastAsia"/>
                <w:snapToGrid/>
                <w:sz w:val="20"/>
              </w:rPr>
              <w:t>年</w:t>
            </w:r>
            <w:r>
              <w:rPr>
                <w:rFonts w:hint="eastAsia"/>
                <w:snapToGrid/>
                <w:sz w:val="20"/>
              </w:rPr>
              <w:t>9</w:t>
            </w:r>
            <w:r>
              <w:rPr>
                <w:rFonts w:hint="eastAsia"/>
                <w:snapToGrid/>
                <w:sz w:val="20"/>
              </w:rPr>
              <w:t>月</w:t>
            </w:r>
          </w:p>
        </w:tc>
        <w:tc>
          <w:tcPr>
            <w:tcW w:w="2625" w:type="dxa"/>
          </w:tcPr>
          <w:p w:rsidR="00000000" w:rsidRDefault="00844A84">
            <w:pPr>
              <w:pStyle w:val="a2"/>
              <w:spacing w:line="240" w:lineRule="auto"/>
              <w:rPr>
                <w:rFonts w:hint="eastAsia"/>
                <w:snapToGrid/>
                <w:sz w:val="20"/>
              </w:rPr>
            </w:pPr>
            <w:r>
              <w:rPr>
                <w:snapToGrid/>
                <w:sz w:val="20"/>
              </w:rPr>
              <w:t xml:space="preserve">Podgorica – </w:t>
            </w:r>
            <w:r>
              <w:rPr>
                <w:rFonts w:hint="eastAsia"/>
                <w:snapToGrid/>
                <w:sz w:val="20"/>
              </w:rPr>
              <w:t>家庭</w:t>
            </w:r>
          </w:p>
        </w:tc>
        <w:tc>
          <w:tcPr>
            <w:tcW w:w="630" w:type="dxa"/>
          </w:tcPr>
          <w:p w:rsidR="00000000" w:rsidRDefault="00844A84">
            <w:pPr>
              <w:pStyle w:val="a2"/>
              <w:spacing w:line="240" w:lineRule="auto"/>
              <w:ind w:right="113"/>
              <w:jc w:val="right"/>
              <w:rPr>
                <w:snapToGrid/>
                <w:sz w:val="20"/>
              </w:rPr>
            </w:pPr>
            <w:r>
              <w:rPr>
                <w:snapToGrid/>
                <w:sz w:val="20"/>
              </w:rPr>
              <w:t>8</w:t>
            </w:r>
          </w:p>
        </w:tc>
        <w:tc>
          <w:tcPr>
            <w:tcW w:w="1470" w:type="dxa"/>
          </w:tcPr>
          <w:p w:rsidR="00000000" w:rsidRDefault="00844A84">
            <w:pPr>
              <w:pStyle w:val="a2"/>
              <w:spacing w:line="240" w:lineRule="auto"/>
              <w:rPr>
                <w:snapToGrid/>
                <w:sz w:val="20"/>
              </w:rPr>
            </w:pPr>
            <w:r>
              <w:rPr>
                <w:rFonts w:hint="eastAsia"/>
                <w:snapToGrid/>
                <w:sz w:val="20"/>
              </w:rPr>
              <w:t>沙门氏菌肠炎</w:t>
            </w:r>
          </w:p>
        </w:tc>
        <w:tc>
          <w:tcPr>
            <w:tcW w:w="1260" w:type="dxa"/>
          </w:tcPr>
          <w:p w:rsidR="00000000" w:rsidRDefault="00844A84">
            <w:pPr>
              <w:pStyle w:val="a2"/>
              <w:spacing w:line="240" w:lineRule="auto"/>
              <w:rPr>
                <w:snapToGrid/>
                <w:sz w:val="20"/>
              </w:rPr>
            </w:pPr>
            <w:r>
              <w:rPr>
                <w:rFonts w:hint="eastAsia"/>
                <w:snapToGrid/>
                <w:sz w:val="20"/>
              </w:rPr>
              <w:t>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9</w:t>
            </w:r>
          </w:p>
        </w:tc>
        <w:tc>
          <w:tcPr>
            <w:tcW w:w="1313" w:type="dxa"/>
          </w:tcPr>
          <w:p w:rsidR="00000000" w:rsidRDefault="00844A84">
            <w:pPr>
              <w:pStyle w:val="a2"/>
              <w:spacing w:line="240" w:lineRule="auto"/>
              <w:rPr>
                <w:snapToGrid/>
                <w:sz w:val="20"/>
              </w:rPr>
            </w:pPr>
            <w:r>
              <w:rPr>
                <w:rFonts w:hint="eastAsia"/>
                <w:snapToGrid/>
                <w:sz w:val="20"/>
              </w:rPr>
              <w:t>食物中毒</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9</w:t>
            </w:r>
            <w:r>
              <w:rPr>
                <w:rFonts w:hint="eastAsia"/>
                <w:snapToGrid/>
                <w:sz w:val="20"/>
              </w:rPr>
              <w:t>月</w:t>
            </w:r>
          </w:p>
        </w:tc>
        <w:tc>
          <w:tcPr>
            <w:tcW w:w="2625" w:type="dxa"/>
          </w:tcPr>
          <w:p w:rsidR="00000000" w:rsidRDefault="00844A84">
            <w:pPr>
              <w:pStyle w:val="a2"/>
              <w:spacing w:line="240" w:lineRule="auto"/>
              <w:rPr>
                <w:rFonts w:hint="eastAsia"/>
                <w:snapToGrid/>
                <w:sz w:val="20"/>
              </w:rPr>
            </w:pPr>
            <w:r>
              <w:rPr>
                <w:snapToGrid/>
                <w:sz w:val="20"/>
              </w:rPr>
              <w:t xml:space="preserve">Podgorica – </w:t>
            </w:r>
            <w:r>
              <w:rPr>
                <w:rFonts w:hint="eastAsia"/>
                <w:snapToGrid/>
                <w:sz w:val="20"/>
              </w:rPr>
              <w:t>家庭</w:t>
            </w:r>
          </w:p>
        </w:tc>
        <w:tc>
          <w:tcPr>
            <w:tcW w:w="630" w:type="dxa"/>
          </w:tcPr>
          <w:p w:rsidR="00000000" w:rsidRDefault="00844A84">
            <w:pPr>
              <w:pStyle w:val="a2"/>
              <w:spacing w:line="240" w:lineRule="auto"/>
              <w:ind w:right="113"/>
              <w:jc w:val="right"/>
              <w:rPr>
                <w:snapToGrid/>
                <w:sz w:val="20"/>
              </w:rPr>
            </w:pPr>
            <w:r>
              <w:rPr>
                <w:snapToGrid/>
                <w:sz w:val="20"/>
              </w:rPr>
              <w:t>13</w:t>
            </w:r>
          </w:p>
        </w:tc>
        <w:tc>
          <w:tcPr>
            <w:tcW w:w="1470" w:type="dxa"/>
          </w:tcPr>
          <w:p w:rsidR="00000000" w:rsidRDefault="00844A84">
            <w:pPr>
              <w:pStyle w:val="a2"/>
              <w:spacing w:line="240" w:lineRule="auto"/>
              <w:rPr>
                <w:snapToGrid/>
                <w:sz w:val="20"/>
              </w:rPr>
            </w:pPr>
            <w:r>
              <w:rPr>
                <w:rFonts w:hint="eastAsia"/>
                <w:snapToGrid/>
                <w:sz w:val="20"/>
              </w:rPr>
              <w:t>沙门氏菌肠炎</w:t>
            </w:r>
          </w:p>
        </w:tc>
        <w:tc>
          <w:tcPr>
            <w:tcW w:w="1260" w:type="dxa"/>
          </w:tcPr>
          <w:p w:rsidR="00000000" w:rsidRDefault="00844A84">
            <w:pPr>
              <w:pStyle w:val="a2"/>
              <w:spacing w:line="240" w:lineRule="auto"/>
              <w:rPr>
                <w:snapToGrid/>
                <w:sz w:val="20"/>
              </w:rPr>
            </w:pPr>
            <w:r>
              <w:rPr>
                <w:rFonts w:hint="eastAsia"/>
                <w:snapToGrid/>
                <w:sz w:val="20"/>
              </w:rPr>
              <w:t>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10</w:t>
            </w:r>
          </w:p>
        </w:tc>
        <w:tc>
          <w:tcPr>
            <w:tcW w:w="1313" w:type="dxa"/>
          </w:tcPr>
          <w:p w:rsidR="00000000" w:rsidRDefault="00844A84">
            <w:pPr>
              <w:pStyle w:val="a2"/>
              <w:spacing w:line="240" w:lineRule="auto"/>
              <w:rPr>
                <w:snapToGrid/>
                <w:sz w:val="20"/>
              </w:rPr>
            </w:pPr>
            <w:r>
              <w:rPr>
                <w:rFonts w:hint="eastAsia"/>
                <w:snapToGrid/>
                <w:sz w:val="20"/>
              </w:rPr>
              <w:t>食物中毒</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9</w:t>
            </w:r>
            <w:r>
              <w:rPr>
                <w:rFonts w:hint="eastAsia"/>
                <w:snapToGrid/>
                <w:sz w:val="20"/>
              </w:rPr>
              <w:t>月</w:t>
            </w:r>
          </w:p>
        </w:tc>
        <w:tc>
          <w:tcPr>
            <w:tcW w:w="2625" w:type="dxa"/>
          </w:tcPr>
          <w:p w:rsidR="00000000" w:rsidRDefault="00844A84">
            <w:pPr>
              <w:pStyle w:val="a2"/>
              <w:spacing w:line="240" w:lineRule="auto"/>
              <w:rPr>
                <w:snapToGrid/>
                <w:sz w:val="20"/>
              </w:rPr>
            </w:pPr>
            <w:r>
              <w:rPr>
                <w:snapToGrid/>
                <w:sz w:val="20"/>
              </w:rPr>
              <w:t xml:space="preserve">H. Novi – </w:t>
            </w:r>
            <w:r>
              <w:rPr>
                <w:rFonts w:hint="eastAsia"/>
                <w:snapToGrid/>
                <w:sz w:val="20"/>
              </w:rPr>
              <w:t>青少年远足队</w:t>
            </w:r>
          </w:p>
        </w:tc>
        <w:tc>
          <w:tcPr>
            <w:tcW w:w="630" w:type="dxa"/>
          </w:tcPr>
          <w:p w:rsidR="00000000" w:rsidRDefault="00844A84">
            <w:pPr>
              <w:pStyle w:val="a2"/>
              <w:spacing w:line="240" w:lineRule="auto"/>
              <w:ind w:right="113"/>
              <w:jc w:val="right"/>
              <w:rPr>
                <w:snapToGrid/>
                <w:sz w:val="20"/>
              </w:rPr>
            </w:pPr>
            <w:r>
              <w:rPr>
                <w:snapToGrid/>
                <w:sz w:val="20"/>
              </w:rPr>
              <w:t>81</w:t>
            </w:r>
          </w:p>
        </w:tc>
        <w:tc>
          <w:tcPr>
            <w:tcW w:w="1470" w:type="dxa"/>
          </w:tcPr>
          <w:p w:rsidR="00000000" w:rsidRDefault="00844A84">
            <w:pPr>
              <w:pStyle w:val="a2"/>
              <w:spacing w:line="240" w:lineRule="auto"/>
              <w:rPr>
                <w:snapToGrid/>
                <w:sz w:val="20"/>
              </w:rPr>
            </w:pPr>
            <w:r>
              <w:rPr>
                <w:rFonts w:hint="eastAsia"/>
                <w:snapToGrid/>
                <w:sz w:val="20"/>
              </w:rPr>
              <w:t>沙门氏菌肠炎</w:t>
            </w:r>
          </w:p>
        </w:tc>
        <w:tc>
          <w:tcPr>
            <w:tcW w:w="1260" w:type="dxa"/>
          </w:tcPr>
          <w:p w:rsidR="00000000" w:rsidRDefault="00844A84">
            <w:pPr>
              <w:pStyle w:val="a2"/>
              <w:spacing w:line="240" w:lineRule="auto"/>
              <w:rPr>
                <w:snapToGrid/>
                <w:sz w:val="20"/>
              </w:rPr>
            </w:pPr>
            <w:r>
              <w:rPr>
                <w:rFonts w:hint="eastAsia"/>
                <w:snapToGrid/>
                <w:sz w:val="20"/>
              </w:rPr>
              <w:t>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11</w:t>
            </w:r>
          </w:p>
        </w:tc>
        <w:tc>
          <w:tcPr>
            <w:tcW w:w="1313" w:type="dxa"/>
          </w:tcPr>
          <w:p w:rsidR="00000000" w:rsidRDefault="00844A84">
            <w:pPr>
              <w:pStyle w:val="a2"/>
              <w:spacing w:line="240" w:lineRule="auto"/>
              <w:rPr>
                <w:snapToGrid/>
                <w:sz w:val="20"/>
              </w:rPr>
            </w:pPr>
            <w:r>
              <w:rPr>
                <w:rFonts w:hint="eastAsia"/>
                <w:snapToGrid/>
                <w:sz w:val="20"/>
              </w:rPr>
              <w:t>丙型肝炎</w:t>
            </w:r>
            <w:r>
              <w:rPr>
                <w:snapToGrid/>
                <w:sz w:val="20"/>
              </w:rPr>
              <w:t xml:space="preserve"> </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9-10</w:t>
            </w:r>
            <w:r>
              <w:rPr>
                <w:rFonts w:hint="eastAsia"/>
                <w:snapToGrid/>
                <w:sz w:val="20"/>
              </w:rPr>
              <w:t>月</w:t>
            </w:r>
          </w:p>
        </w:tc>
        <w:tc>
          <w:tcPr>
            <w:tcW w:w="2625" w:type="dxa"/>
          </w:tcPr>
          <w:p w:rsidR="00000000" w:rsidRDefault="00844A84">
            <w:pPr>
              <w:pStyle w:val="a2"/>
              <w:spacing w:line="240" w:lineRule="auto"/>
              <w:rPr>
                <w:snapToGrid/>
                <w:sz w:val="20"/>
              </w:rPr>
            </w:pPr>
            <w:r>
              <w:rPr>
                <w:snapToGrid/>
                <w:sz w:val="20"/>
              </w:rPr>
              <w:t xml:space="preserve">Nikšić – </w:t>
            </w:r>
            <w:r>
              <w:rPr>
                <w:rFonts w:hint="eastAsia"/>
                <w:snapToGrid/>
                <w:sz w:val="20"/>
              </w:rPr>
              <w:t>青少年静脉注射毒品者</w:t>
            </w:r>
          </w:p>
        </w:tc>
        <w:tc>
          <w:tcPr>
            <w:tcW w:w="630" w:type="dxa"/>
          </w:tcPr>
          <w:p w:rsidR="00000000" w:rsidRDefault="00844A84">
            <w:pPr>
              <w:pStyle w:val="a2"/>
              <w:spacing w:line="240" w:lineRule="auto"/>
              <w:ind w:right="113"/>
              <w:jc w:val="right"/>
              <w:rPr>
                <w:snapToGrid/>
                <w:sz w:val="20"/>
              </w:rPr>
            </w:pPr>
            <w:r>
              <w:rPr>
                <w:snapToGrid/>
                <w:sz w:val="20"/>
              </w:rPr>
              <w:t>5</w:t>
            </w:r>
          </w:p>
        </w:tc>
        <w:tc>
          <w:tcPr>
            <w:tcW w:w="1470" w:type="dxa"/>
          </w:tcPr>
          <w:p w:rsidR="00000000" w:rsidRDefault="00844A84">
            <w:pPr>
              <w:pStyle w:val="a2"/>
              <w:spacing w:line="240" w:lineRule="auto"/>
              <w:rPr>
                <w:snapToGrid/>
                <w:sz w:val="20"/>
              </w:rPr>
            </w:pPr>
            <w:r>
              <w:rPr>
                <w:rFonts w:hint="eastAsia"/>
                <w:snapToGrid/>
                <w:sz w:val="20"/>
              </w:rPr>
              <w:t>丙肝病毒</w:t>
            </w:r>
          </w:p>
        </w:tc>
        <w:tc>
          <w:tcPr>
            <w:tcW w:w="1260" w:type="dxa"/>
          </w:tcPr>
          <w:p w:rsidR="00000000" w:rsidRDefault="00844A84">
            <w:pPr>
              <w:pStyle w:val="a2"/>
              <w:spacing w:line="240" w:lineRule="auto"/>
              <w:rPr>
                <w:snapToGrid/>
                <w:sz w:val="20"/>
              </w:rPr>
            </w:pPr>
            <w:r>
              <w:rPr>
                <w:rFonts w:hint="eastAsia"/>
                <w:snapToGrid/>
                <w:sz w:val="20"/>
              </w:rPr>
              <w:t>接触和食物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12</w:t>
            </w:r>
          </w:p>
        </w:tc>
        <w:tc>
          <w:tcPr>
            <w:tcW w:w="1313" w:type="dxa"/>
          </w:tcPr>
          <w:p w:rsidR="00000000" w:rsidRDefault="00844A84">
            <w:pPr>
              <w:pStyle w:val="a2"/>
              <w:spacing w:line="240" w:lineRule="auto"/>
              <w:rPr>
                <w:snapToGrid/>
                <w:sz w:val="20"/>
              </w:rPr>
            </w:pPr>
            <w:r>
              <w:rPr>
                <w:rFonts w:hint="eastAsia"/>
                <w:snapToGrid/>
                <w:sz w:val="20"/>
              </w:rPr>
              <w:t>水痘</w:t>
            </w:r>
          </w:p>
        </w:tc>
        <w:tc>
          <w:tcPr>
            <w:tcW w:w="1522" w:type="dxa"/>
          </w:tcPr>
          <w:p w:rsidR="00000000" w:rsidRDefault="00844A84">
            <w:pPr>
              <w:pStyle w:val="a2"/>
              <w:spacing w:line="240" w:lineRule="auto"/>
              <w:rPr>
                <w:rFonts w:hint="eastAsia"/>
                <w:snapToGrid/>
                <w:sz w:val="20"/>
              </w:rPr>
            </w:pPr>
            <w:r>
              <w:rPr>
                <w:snapToGrid/>
                <w:spacing w:val="-10"/>
                <w:sz w:val="20"/>
              </w:rPr>
              <w:t>2001</w:t>
            </w:r>
            <w:r>
              <w:rPr>
                <w:rFonts w:hint="eastAsia"/>
                <w:snapToGrid/>
                <w:spacing w:val="-10"/>
                <w:sz w:val="20"/>
              </w:rPr>
              <w:t>年</w:t>
            </w:r>
            <w:r>
              <w:rPr>
                <w:rFonts w:hint="eastAsia"/>
                <w:snapToGrid/>
                <w:spacing w:val="-10"/>
                <w:sz w:val="20"/>
              </w:rPr>
              <w:t>10-12</w:t>
            </w:r>
            <w:r>
              <w:rPr>
                <w:rFonts w:hint="eastAsia"/>
                <w:snapToGrid/>
                <w:spacing w:val="-10"/>
                <w:sz w:val="20"/>
              </w:rPr>
              <w:t>月</w:t>
            </w:r>
          </w:p>
        </w:tc>
        <w:tc>
          <w:tcPr>
            <w:tcW w:w="2625" w:type="dxa"/>
          </w:tcPr>
          <w:p w:rsidR="00000000" w:rsidRDefault="00844A84">
            <w:pPr>
              <w:pStyle w:val="a2"/>
              <w:spacing w:line="240" w:lineRule="auto"/>
              <w:rPr>
                <w:rFonts w:hint="eastAsia"/>
                <w:snapToGrid/>
                <w:sz w:val="20"/>
              </w:rPr>
            </w:pPr>
            <w:r>
              <w:rPr>
                <w:snapToGrid/>
                <w:sz w:val="20"/>
              </w:rPr>
              <w:t xml:space="preserve">Danilovgrad – </w:t>
            </w:r>
            <w:r>
              <w:rPr>
                <w:rFonts w:hint="eastAsia"/>
                <w:snapToGrid/>
                <w:sz w:val="20"/>
              </w:rPr>
              <w:t>学龄儿童</w:t>
            </w:r>
          </w:p>
        </w:tc>
        <w:tc>
          <w:tcPr>
            <w:tcW w:w="630" w:type="dxa"/>
          </w:tcPr>
          <w:p w:rsidR="00000000" w:rsidRDefault="00844A84">
            <w:pPr>
              <w:pStyle w:val="a2"/>
              <w:spacing w:line="240" w:lineRule="auto"/>
              <w:ind w:right="113"/>
              <w:jc w:val="right"/>
              <w:rPr>
                <w:snapToGrid/>
                <w:sz w:val="20"/>
              </w:rPr>
            </w:pPr>
            <w:r>
              <w:rPr>
                <w:snapToGrid/>
                <w:sz w:val="20"/>
              </w:rPr>
              <w:t>370</w:t>
            </w:r>
          </w:p>
        </w:tc>
        <w:tc>
          <w:tcPr>
            <w:tcW w:w="1470" w:type="dxa"/>
          </w:tcPr>
          <w:p w:rsidR="00000000" w:rsidRDefault="00844A84">
            <w:pPr>
              <w:pStyle w:val="a2"/>
              <w:spacing w:line="240" w:lineRule="auto"/>
              <w:rPr>
                <w:snapToGrid/>
                <w:spacing w:val="-10"/>
                <w:sz w:val="20"/>
              </w:rPr>
            </w:pPr>
            <w:r>
              <w:rPr>
                <w:rFonts w:hint="eastAsia"/>
                <w:snapToGrid/>
                <w:spacing w:val="-10"/>
                <w:sz w:val="20"/>
              </w:rPr>
              <w:t>人体疱疹病毒</w:t>
            </w:r>
            <w:r>
              <w:rPr>
                <w:rFonts w:hint="eastAsia"/>
                <w:snapToGrid/>
                <w:spacing w:val="-10"/>
                <w:sz w:val="20"/>
              </w:rPr>
              <w:t xml:space="preserve"> 3</w:t>
            </w:r>
          </w:p>
        </w:tc>
        <w:tc>
          <w:tcPr>
            <w:tcW w:w="1260" w:type="dxa"/>
          </w:tcPr>
          <w:p w:rsidR="00000000" w:rsidRDefault="00844A84">
            <w:pPr>
              <w:pStyle w:val="a2"/>
              <w:spacing w:line="240" w:lineRule="auto"/>
              <w:rPr>
                <w:rFonts w:hint="eastAsia"/>
                <w:snapToGrid/>
                <w:sz w:val="20"/>
              </w:rPr>
            </w:pPr>
            <w:r>
              <w:rPr>
                <w:rFonts w:hint="eastAsia"/>
                <w:snapToGrid/>
                <w:sz w:val="20"/>
              </w:rPr>
              <w:t>呼吸道</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13</w:t>
            </w:r>
          </w:p>
        </w:tc>
        <w:tc>
          <w:tcPr>
            <w:tcW w:w="1313" w:type="dxa"/>
          </w:tcPr>
          <w:p w:rsidR="00000000" w:rsidRDefault="00844A84">
            <w:pPr>
              <w:pStyle w:val="a2"/>
              <w:spacing w:line="240" w:lineRule="auto"/>
              <w:rPr>
                <w:snapToGrid/>
                <w:sz w:val="20"/>
              </w:rPr>
            </w:pPr>
            <w:r>
              <w:rPr>
                <w:rFonts w:hint="eastAsia"/>
                <w:snapToGrid/>
                <w:sz w:val="20"/>
              </w:rPr>
              <w:t>小肠结肠炎</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9</w:t>
            </w:r>
            <w:r>
              <w:rPr>
                <w:rFonts w:hint="eastAsia"/>
                <w:snapToGrid/>
                <w:sz w:val="20"/>
              </w:rPr>
              <w:t>月</w:t>
            </w:r>
          </w:p>
        </w:tc>
        <w:tc>
          <w:tcPr>
            <w:tcW w:w="2625" w:type="dxa"/>
          </w:tcPr>
          <w:p w:rsidR="00000000" w:rsidRDefault="00844A84">
            <w:pPr>
              <w:pStyle w:val="a2"/>
              <w:spacing w:line="240" w:lineRule="auto"/>
              <w:rPr>
                <w:rFonts w:hint="eastAsia"/>
                <w:snapToGrid/>
                <w:sz w:val="20"/>
              </w:rPr>
            </w:pPr>
            <w:r>
              <w:rPr>
                <w:snapToGrid/>
                <w:spacing w:val="-10"/>
                <w:sz w:val="20"/>
              </w:rPr>
              <w:t xml:space="preserve">Podgorica – </w:t>
            </w:r>
            <w:r>
              <w:rPr>
                <w:rFonts w:hint="eastAsia"/>
                <w:snapToGrid/>
                <w:spacing w:val="-10"/>
                <w:sz w:val="20"/>
              </w:rPr>
              <w:t>所有年龄的人</w:t>
            </w:r>
          </w:p>
        </w:tc>
        <w:tc>
          <w:tcPr>
            <w:tcW w:w="630" w:type="dxa"/>
          </w:tcPr>
          <w:p w:rsidR="00000000" w:rsidRDefault="00844A84">
            <w:pPr>
              <w:pStyle w:val="a2"/>
              <w:spacing w:line="240" w:lineRule="auto"/>
              <w:ind w:right="113"/>
              <w:jc w:val="right"/>
              <w:rPr>
                <w:snapToGrid/>
                <w:sz w:val="20"/>
              </w:rPr>
            </w:pPr>
            <w:r>
              <w:rPr>
                <w:snapToGrid/>
                <w:sz w:val="20"/>
              </w:rPr>
              <w:t>22</w:t>
            </w:r>
          </w:p>
        </w:tc>
        <w:tc>
          <w:tcPr>
            <w:tcW w:w="1470" w:type="dxa"/>
          </w:tcPr>
          <w:p w:rsidR="00000000" w:rsidRDefault="00844A84">
            <w:pPr>
              <w:pStyle w:val="a2"/>
              <w:spacing w:line="240" w:lineRule="auto"/>
              <w:rPr>
                <w:snapToGrid/>
                <w:sz w:val="20"/>
              </w:rPr>
            </w:pPr>
            <w:r>
              <w:rPr>
                <w:snapToGrid/>
                <w:sz w:val="20"/>
              </w:rPr>
              <w:t xml:space="preserve">E. </w:t>
            </w:r>
            <w:r>
              <w:rPr>
                <w:snapToGrid/>
                <w:sz w:val="20"/>
              </w:rPr>
              <w:t>Coli</w:t>
            </w:r>
          </w:p>
        </w:tc>
        <w:tc>
          <w:tcPr>
            <w:tcW w:w="1260" w:type="dxa"/>
          </w:tcPr>
          <w:p w:rsidR="00000000" w:rsidRDefault="00844A84">
            <w:pPr>
              <w:pStyle w:val="a2"/>
              <w:spacing w:line="240" w:lineRule="auto"/>
              <w:rPr>
                <w:snapToGrid/>
                <w:sz w:val="20"/>
              </w:rPr>
            </w:pPr>
            <w:r>
              <w:rPr>
                <w:rFonts w:hint="eastAsia"/>
                <w:snapToGrid/>
                <w:sz w:val="20"/>
              </w:rPr>
              <w:t>接触和食物</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14</w:t>
            </w:r>
          </w:p>
        </w:tc>
        <w:tc>
          <w:tcPr>
            <w:tcW w:w="1313" w:type="dxa"/>
          </w:tcPr>
          <w:p w:rsidR="00000000" w:rsidRDefault="00844A84">
            <w:pPr>
              <w:pStyle w:val="a2"/>
              <w:spacing w:line="240" w:lineRule="auto"/>
              <w:rPr>
                <w:snapToGrid/>
                <w:sz w:val="20"/>
              </w:rPr>
            </w:pPr>
            <w:r>
              <w:rPr>
                <w:rFonts w:hint="eastAsia"/>
                <w:snapToGrid/>
                <w:sz w:val="20"/>
              </w:rPr>
              <w:t>链球菌咽炎</w:t>
            </w:r>
          </w:p>
        </w:tc>
        <w:tc>
          <w:tcPr>
            <w:tcW w:w="1522" w:type="dxa"/>
          </w:tcPr>
          <w:p w:rsidR="00000000" w:rsidRDefault="00844A84">
            <w:pPr>
              <w:pStyle w:val="a2"/>
              <w:spacing w:line="240" w:lineRule="auto"/>
              <w:rPr>
                <w:rFonts w:hint="eastAsia"/>
                <w:snapToGrid/>
                <w:sz w:val="20"/>
              </w:rPr>
            </w:pPr>
            <w:r>
              <w:rPr>
                <w:snapToGrid/>
                <w:spacing w:val="-10"/>
                <w:sz w:val="20"/>
              </w:rPr>
              <w:t>2001</w:t>
            </w:r>
            <w:r>
              <w:rPr>
                <w:rFonts w:hint="eastAsia"/>
                <w:snapToGrid/>
                <w:spacing w:val="-10"/>
                <w:sz w:val="20"/>
              </w:rPr>
              <w:t>年</w:t>
            </w:r>
            <w:r>
              <w:rPr>
                <w:rFonts w:hint="eastAsia"/>
                <w:snapToGrid/>
                <w:spacing w:val="-10"/>
                <w:sz w:val="20"/>
              </w:rPr>
              <w:t>11-12</w:t>
            </w:r>
            <w:r>
              <w:rPr>
                <w:rFonts w:hint="eastAsia"/>
                <w:snapToGrid/>
                <w:spacing w:val="-10"/>
                <w:sz w:val="20"/>
              </w:rPr>
              <w:t>月</w:t>
            </w:r>
          </w:p>
        </w:tc>
        <w:tc>
          <w:tcPr>
            <w:tcW w:w="2625" w:type="dxa"/>
          </w:tcPr>
          <w:p w:rsidR="00000000" w:rsidRDefault="00844A84">
            <w:pPr>
              <w:pStyle w:val="a2"/>
              <w:spacing w:line="240" w:lineRule="auto"/>
              <w:rPr>
                <w:snapToGrid/>
                <w:sz w:val="20"/>
              </w:rPr>
            </w:pPr>
            <w:r>
              <w:rPr>
                <w:snapToGrid/>
                <w:sz w:val="20"/>
              </w:rPr>
              <w:t>Pljevlja -</w:t>
            </w:r>
            <w:r>
              <w:rPr>
                <w:rFonts w:hint="eastAsia"/>
                <w:snapToGrid/>
                <w:sz w:val="20"/>
              </w:rPr>
              <w:t>学龄儿童</w:t>
            </w:r>
          </w:p>
        </w:tc>
        <w:tc>
          <w:tcPr>
            <w:tcW w:w="630" w:type="dxa"/>
          </w:tcPr>
          <w:p w:rsidR="00000000" w:rsidRDefault="00844A84">
            <w:pPr>
              <w:pStyle w:val="a2"/>
              <w:spacing w:line="240" w:lineRule="auto"/>
              <w:ind w:right="113"/>
              <w:jc w:val="right"/>
              <w:rPr>
                <w:snapToGrid/>
                <w:sz w:val="20"/>
              </w:rPr>
            </w:pPr>
            <w:r>
              <w:rPr>
                <w:snapToGrid/>
                <w:sz w:val="20"/>
              </w:rPr>
              <w:t>65</w:t>
            </w:r>
          </w:p>
        </w:tc>
        <w:tc>
          <w:tcPr>
            <w:tcW w:w="1470" w:type="dxa"/>
          </w:tcPr>
          <w:p w:rsidR="00000000" w:rsidRDefault="00844A84">
            <w:pPr>
              <w:pStyle w:val="a2"/>
              <w:spacing w:line="240" w:lineRule="auto"/>
              <w:jc w:val="left"/>
              <w:rPr>
                <w:snapToGrid/>
                <w:sz w:val="20"/>
              </w:rPr>
            </w:pPr>
            <w:r>
              <w:rPr>
                <w:rFonts w:hint="eastAsia"/>
                <w:snapToGrid/>
                <w:sz w:val="20"/>
              </w:rPr>
              <w:t>链球菌</w:t>
            </w:r>
            <w:r>
              <w:rPr>
                <w:snapToGrid/>
                <w:sz w:val="20"/>
              </w:rPr>
              <w:t>βhaemol.gr A</w:t>
            </w:r>
          </w:p>
        </w:tc>
        <w:tc>
          <w:tcPr>
            <w:tcW w:w="1260" w:type="dxa"/>
          </w:tcPr>
          <w:p w:rsidR="00000000" w:rsidRDefault="00844A84">
            <w:pPr>
              <w:pStyle w:val="a2"/>
              <w:spacing w:line="240" w:lineRule="auto"/>
              <w:rPr>
                <w:snapToGrid/>
                <w:sz w:val="20"/>
              </w:rPr>
            </w:pPr>
            <w:r>
              <w:rPr>
                <w:rFonts w:hint="eastAsia"/>
                <w:snapToGrid/>
                <w:sz w:val="20"/>
              </w:rPr>
              <w:t>呼吸道</w:t>
            </w:r>
          </w:p>
        </w:tc>
      </w:tr>
      <w:tr w:rsidR="00000000">
        <w:tblPrEx>
          <w:tblCellMar>
            <w:top w:w="0" w:type="dxa"/>
          </w:tblCellMar>
        </w:tblPrEx>
        <w:tc>
          <w:tcPr>
            <w:tcW w:w="582" w:type="dxa"/>
            <w:tcBorders>
              <w:top w:val="nil"/>
              <w:bottom w:val="nil"/>
            </w:tcBorders>
            <w:shd w:val="clear" w:color="auto" w:fill="FFFFFF"/>
          </w:tcPr>
          <w:p w:rsidR="00000000" w:rsidRDefault="00844A84">
            <w:pPr>
              <w:pStyle w:val="a2"/>
              <w:spacing w:line="240" w:lineRule="auto"/>
              <w:jc w:val="center"/>
              <w:rPr>
                <w:snapToGrid/>
                <w:sz w:val="20"/>
              </w:rPr>
            </w:pPr>
            <w:r>
              <w:rPr>
                <w:snapToGrid/>
                <w:sz w:val="20"/>
              </w:rPr>
              <w:t>15</w:t>
            </w:r>
          </w:p>
        </w:tc>
        <w:tc>
          <w:tcPr>
            <w:tcW w:w="1313" w:type="dxa"/>
          </w:tcPr>
          <w:p w:rsidR="00000000" w:rsidRDefault="00844A84">
            <w:pPr>
              <w:pStyle w:val="a2"/>
              <w:spacing w:line="240" w:lineRule="auto"/>
              <w:rPr>
                <w:snapToGrid/>
                <w:sz w:val="20"/>
              </w:rPr>
            </w:pPr>
            <w:r>
              <w:rPr>
                <w:rFonts w:hint="eastAsia"/>
                <w:snapToGrid/>
                <w:sz w:val="20"/>
              </w:rPr>
              <w:t>水痘</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12</w:t>
            </w:r>
            <w:r>
              <w:rPr>
                <w:rFonts w:hint="eastAsia"/>
                <w:snapToGrid/>
                <w:sz w:val="20"/>
              </w:rPr>
              <w:t>月</w:t>
            </w:r>
          </w:p>
        </w:tc>
        <w:tc>
          <w:tcPr>
            <w:tcW w:w="2625" w:type="dxa"/>
          </w:tcPr>
          <w:p w:rsidR="00000000" w:rsidRDefault="00844A84">
            <w:pPr>
              <w:pStyle w:val="a2"/>
              <w:spacing w:line="240" w:lineRule="auto"/>
              <w:rPr>
                <w:snapToGrid/>
                <w:sz w:val="20"/>
              </w:rPr>
            </w:pPr>
            <w:r>
              <w:rPr>
                <w:snapToGrid/>
                <w:sz w:val="20"/>
              </w:rPr>
              <w:t>Žabljak -</w:t>
            </w:r>
            <w:r>
              <w:rPr>
                <w:rFonts w:hint="eastAsia"/>
                <w:snapToGrid/>
                <w:sz w:val="20"/>
              </w:rPr>
              <w:t>学龄儿童</w:t>
            </w:r>
          </w:p>
        </w:tc>
        <w:tc>
          <w:tcPr>
            <w:tcW w:w="630" w:type="dxa"/>
          </w:tcPr>
          <w:p w:rsidR="00000000" w:rsidRDefault="00844A84">
            <w:pPr>
              <w:pStyle w:val="a2"/>
              <w:spacing w:line="240" w:lineRule="auto"/>
              <w:ind w:right="113"/>
              <w:jc w:val="right"/>
              <w:rPr>
                <w:snapToGrid/>
                <w:sz w:val="20"/>
              </w:rPr>
            </w:pPr>
            <w:r>
              <w:rPr>
                <w:snapToGrid/>
                <w:sz w:val="20"/>
              </w:rPr>
              <w:t>136</w:t>
            </w:r>
          </w:p>
        </w:tc>
        <w:tc>
          <w:tcPr>
            <w:tcW w:w="1470" w:type="dxa"/>
          </w:tcPr>
          <w:p w:rsidR="00000000" w:rsidRDefault="00844A84">
            <w:pPr>
              <w:pStyle w:val="a2"/>
              <w:spacing w:line="240" w:lineRule="auto"/>
              <w:rPr>
                <w:snapToGrid/>
                <w:sz w:val="20"/>
              </w:rPr>
            </w:pPr>
            <w:r>
              <w:rPr>
                <w:rFonts w:hint="eastAsia"/>
                <w:snapToGrid/>
                <w:spacing w:val="-10"/>
                <w:sz w:val="20"/>
              </w:rPr>
              <w:t>人体疱疹病毒</w:t>
            </w:r>
            <w:r>
              <w:rPr>
                <w:rFonts w:hint="eastAsia"/>
                <w:snapToGrid/>
                <w:sz w:val="20"/>
              </w:rPr>
              <w:t xml:space="preserve"> 3</w:t>
            </w:r>
          </w:p>
        </w:tc>
        <w:tc>
          <w:tcPr>
            <w:tcW w:w="1260" w:type="dxa"/>
          </w:tcPr>
          <w:p w:rsidR="00000000" w:rsidRDefault="00844A84">
            <w:pPr>
              <w:pStyle w:val="a2"/>
              <w:spacing w:line="240" w:lineRule="auto"/>
              <w:rPr>
                <w:snapToGrid/>
                <w:sz w:val="20"/>
              </w:rPr>
            </w:pPr>
            <w:r>
              <w:rPr>
                <w:rFonts w:hint="eastAsia"/>
                <w:snapToGrid/>
                <w:sz w:val="20"/>
              </w:rPr>
              <w:t>呼吸道</w:t>
            </w:r>
          </w:p>
        </w:tc>
      </w:tr>
      <w:tr w:rsidR="00000000">
        <w:tblPrEx>
          <w:tblCellMar>
            <w:top w:w="0" w:type="dxa"/>
          </w:tblCellMar>
        </w:tblPrEx>
        <w:tc>
          <w:tcPr>
            <w:tcW w:w="582" w:type="dxa"/>
            <w:tcBorders>
              <w:top w:val="nil"/>
              <w:bottom w:val="single" w:sz="4" w:space="0" w:color="auto"/>
            </w:tcBorders>
            <w:shd w:val="clear" w:color="auto" w:fill="FFFFFF"/>
          </w:tcPr>
          <w:p w:rsidR="00000000" w:rsidRDefault="00844A84">
            <w:pPr>
              <w:pStyle w:val="a2"/>
              <w:spacing w:line="240" w:lineRule="auto"/>
              <w:jc w:val="center"/>
              <w:rPr>
                <w:snapToGrid/>
                <w:sz w:val="20"/>
              </w:rPr>
            </w:pPr>
            <w:r>
              <w:rPr>
                <w:snapToGrid/>
                <w:sz w:val="20"/>
              </w:rPr>
              <w:t>16</w:t>
            </w:r>
          </w:p>
        </w:tc>
        <w:tc>
          <w:tcPr>
            <w:tcW w:w="1313" w:type="dxa"/>
          </w:tcPr>
          <w:p w:rsidR="00000000" w:rsidRDefault="00844A84">
            <w:pPr>
              <w:pStyle w:val="a2"/>
              <w:spacing w:line="240" w:lineRule="auto"/>
              <w:rPr>
                <w:snapToGrid/>
                <w:sz w:val="20"/>
              </w:rPr>
            </w:pPr>
            <w:r>
              <w:rPr>
                <w:rFonts w:hint="eastAsia"/>
                <w:snapToGrid/>
                <w:sz w:val="20"/>
              </w:rPr>
              <w:t>水痘</w:t>
            </w:r>
          </w:p>
        </w:tc>
        <w:tc>
          <w:tcPr>
            <w:tcW w:w="1522" w:type="dxa"/>
          </w:tcPr>
          <w:p w:rsidR="00000000" w:rsidRDefault="00844A84">
            <w:pPr>
              <w:pStyle w:val="a2"/>
              <w:spacing w:line="240" w:lineRule="auto"/>
              <w:rPr>
                <w:rFonts w:hint="eastAsia"/>
                <w:snapToGrid/>
                <w:sz w:val="20"/>
              </w:rPr>
            </w:pPr>
            <w:r>
              <w:rPr>
                <w:snapToGrid/>
                <w:sz w:val="20"/>
              </w:rPr>
              <w:t>2001</w:t>
            </w:r>
            <w:r>
              <w:rPr>
                <w:rFonts w:hint="eastAsia"/>
                <w:snapToGrid/>
                <w:sz w:val="20"/>
              </w:rPr>
              <w:t>年</w:t>
            </w:r>
            <w:r>
              <w:rPr>
                <w:rFonts w:hint="eastAsia"/>
                <w:snapToGrid/>
                <w:sz w:val="20"/>
              </w:rPr>
              <w:t>12</w:t>
            </w:r>
            <w:r>
              <w:rPr>
                <w:rFonts w:hint="eastAsia"/>
                <w:snapToGrid/>
                <w:sz w:val="20"/>
              </w:rPr>
              <w:t>月</w:t>
            </w:r>
          </w:p>
        </w:tc>
        <w:tc>
          <w:tcPr>
            <w:tcW w:w="2625" w:type="dxa"/>
          </w:tcPr>
          <w:p w:rsidR="00000000" w:rsidRDefault="00844A84">
            <w:pPr>
              <w:pStyle w:val="a2"/>
              <w:spacing w:line="240" w:lineRule="auto"/>
              <w:rPr>
                <w:snapToGrid/>
                <w:sz w:val="20"/>
              </w:rPr>
            </w:pPr>
            <w:r>
              <w:rPr>
                <w:snapToGrid/>
                <w:sz w:val="20"/>
              </w:rPr>
              <w:t>H. Novi -</w:t>
            </w:r>
            <w:r>
              <w:rPr>
                <w:rFonts w:hint="eastAsia"/>
                <w:snapToGrid/>
                <w:sz w:val="20"/>
              </w:rPr>
              <w:t>学龄儿童</w:t>
            </w:r>
          </w:p>
        </w:tc>
        <w:tc>
          <w:tcPr>
            <w:tcW w:w="630" w:type="dxa"/>
          </w:tcPr>
          <w:p w:rsidR="00000000" w:rsidRDefault="00844A84">
            <w:pPr>
              <w:pStyle w:val="a2"/>
              <w:spacing w:line="240" w:lineRule="auto"/>
              <w:ind w:right="113"/>
              <w:jc w:val="right"/>
              <w:rPr>
                <w:snapToGrid/>
                <w:sz w:val="20"/>
              </w:rPr>
            </w:pPr>
            <w:r>
              <w:rPr>
                <w:snapToGrid/>
                <w:sz w:val="20"/>
              </w:rPr>
              <w:t>119</w:t>
            </w:r>
          </w:p>
        </w:tc>
        <w:tc>
          <w:tcPr>
            <w:tcW w:w="1470" w:type="dxa"/>
          </w:tcPr>
          <w:p w:rsidR="00000000" w:rsidRDefault="00844A84">
            <w:pPr>
              <w:pStyle w:val="a2"/>
              <w:spacing w:line="240" w:lineRule="auto"/>
              <w:rPr>
                <w:snapToGrid/>
                <w:sz w:val="20"/>
              </w:rPr>
            </w:pPr>
            <w:r>
              <w:rPr>
                <w:rFonts w:hint="eastAsia"/>
                <w:snapToGrid/>
                <w:spacing w:val="-10"/>
                <w:sz w:val="20"/>
              </w:rPr>
              <w:t>人体疱疹病毒</w:t>
            </w:r>
            <w:r>
              <w:rPr>
                <w:rFonts w:hint="eastAsia"/>
                <w:snapToGrid/>
                <w:spacing w:val="-10"/>
                <w:sz w:val="20"/>
              </w:rPr>
              <w:t xml:space="preserve"> 3</w:t>
            </w:r>
          </w:p>
        </w:tc>
        <w:tc>
          <w:tcPr>
            <w:tcW w:w="1260" w:type="dxa"/>
          </w:tcPr>
          <w:p w:rsidR="00000000" w:rsidRDefault="00844A84">
            <w:pPr>
              <w:pStyle w:val="a2"/>
              <w:spacing w:line="240" w:lineRule="auto"/>
              <w:rPr>
                <w:snapToGrid/>
                <w:sz w:val="20"/>
              </w:rPr>
            </w:pPr>
            <w:r>
              <w:rPr>
                <w:rFonts w:hint="eastAsia"/>
                <w:snapToGrid/>
                <w:sz w:val="20"/>
              </w:rPr>
              <w:t>呼吸道</w:t>
            </w:r>
          </w:p>
        </w:tc>
      </w:tr>
    </w:tbl>
    <w:p w:rsidR="00000000" w:rsidRDefault="00844A84">
      <w:pPr>
        <w:pStyle w:val="a2"/>
        <w:rPr>
          <w:rFonts w:hint="eastAsia"/>
          <w:snapToGrid/>
          <w:lang w:val="en-GB"/>
        </w:rPr>
      </w:pPr>
    </w:p>
    <w:p w:rsidR="00000000" w:rsidRDefault="00844A84">
      <w:pPr>
        <w:ind w:firstLine="510"/>
        <w:rPr>
          <w:rFonts w:hint="eastAsia"/>
          <w:snapToGrid/>
          <w:lang w:val="en-GB"/>
        </w:rPr>
      </w:pPr>
      <w:r>
        <w:rPr>
          <w:snapToGrid/>
          <w:lang w:val="en-GB"/>
        </w:rPr>
        <w:t>708.  2001</w:t>
      </w:r>
      <w:r>
        <w:rPr>
          <w:snapToGrid/>
          <w:lang w:val="en-GB"/>
        </w:rPr>
        <w:t>年</w:t>
      </w:r>
      <w:r>
        <w:rPr>
          <w:rFonts w:hint="eastAsia"/>
          <w:snapToGrid/>
          <w:lang w:val="en-GB"/>
        </w:rPr>
        <w:t>，</w:t>
      </w:r>
      <w:r>
        <w:rPr>
          <w:snapToGrid/>
          <w:lang w:val="en-GB"/>
        </w:rPr>
        <w:t>这些流行病</w:t>
      </w:r>
      <w:r>
        <w:rPr>
          <w:rFonts w:hint="eastAsia"/>
          <w:snapToGrid/>
          <w:lang w:val="en-GB"/>
        </w:rPr>
        <w:t>患者</w:t>
      </w:r>
      <w:r>
        <w:rPr>
          <w:snapToGrid/>
          <w:lang w:val="en-GB"/>
        </w:rPr>
        <w:t>共有</w:t>
      </w:r>
      <w:r>
        <w:rPr>
          <w:snapToGrid/>
          <w:lang w:val="en-GB"/>
        </w:rPr>
        <w:t>1,546</w:t>
      </w:r>
      <w:r>
        <w:rPr>
          <w:snapToGrid/>
          <w:lang w:val="en-GB"/>
        </w:rPr>
        <w:t>人。与前一年比，患者人数</w:t>
      </w:r>
      <w:r>
        <w:rPr>
          <w:rFonts w:hint="eastAsia"/>
          <w:snapToGrid/>
          <w:lang w:val="en-GB"/>
        </w:rPr>
        <w:t>略</w:t>
      </w:r>
      <w:r>
        <w:rPr>
          <w:snapToGrid/>
          <w:lang w:val="en-GB"/>
        </w:rPr>
        <w:t>有下降，主要原因是该期间没有发生流感。去年和今年都没有发现</w:t>
      </w:r>
      <w:r>
        <w:rPr>
          <w:snapToGrid/>
          <w:lang w:val="en-GB"/>
        </w:rPr>
        <w:t>“</w:t>
      </w:r>
      <w:r>
        <w:rPr>
          <w:rFonts w:hint="eastAsia"/>
          <w:snapToGrid/>
          <w:lang w:val="en-GB"/>
        </w:rPr>
        <w:t>湿</w:t>
      </w:r>
      <w:r>
        <w:rPr>
          <w:snapToGrid/>
          <w:lang w:val="en-GB"/>
        </w:rPr>
        <w:t>”</w:t>
      </w:r>
      <w:r>
        <w:rPr>
          <w:rFonts w:hint="eastAsia"/>
          <w:snapToGrid/>
          <w:lang w:val="en-GB"/>
        </w:rPr>
        <w:t>型流行病。蔓延最严重的是呼吸道疾病，</w:t>
      </w:r>
      <w:r>
        <w:rPr>
          <w:rFonts w:hint="eastAsia"/>
          <w:snapToGrid/>
          <w:lang w:val="en-GB"/>
        </w:rPr>
        <w:t>其次是混合病症和食物中毒。</w:t>
      </w:r>
    </w:p>
    <w:p w:rsidR="00000000" w:rsidRDefault="00844A84">
      <w:pPr>
        <w:ind w:firstLine="510"/>
        <w:rPr>
          <w:rFonts w:hint="eastAsia"/>
          <w:snapToGrid/>
          <w:lang w:val="en-GB"/>
        </w:rPr>
      </w:pPr>
      <w:r>
        <w:rPr>
          <w:snapToGrid/>
          <w:lang w:val="en-GB"/>
        </w:rPr>
        <w:t>709.  200</w:t>
      </w:r>
      <w:r>
        <w:rPr>
          <w:rFonts w:hint="eastAsia"/>
          <w:snapToGrid/>
          <w:lang w:val="en-GB"/>
        </w:rPr>
        <w:t>0</w:t>
      </w:r>
      <w:r>
        <w:rPr>
          <w:snapToGrid/>
          <w:lang w:val="en-GB"/>
        </w:rPr>
        <w:t>年没有因传染病死亡的</w:t>
      </w:r>
      <w:r>
        <w:rPr>
          <w:rFonts w:hint="eastAsia"/>
          <w:snapToGrid/>
          <w:lang w:val="en-GB"/>
        </w:rPr>
        <w:t>病例</w:t>
      </w:r>
      <w:r>
        <w:rPr>
          <w:snapToGrid/>
          <w:lang w:val="en-GB"/>
        </w:rPr>
        <w:t>报告。</w:t>
      </w:r>
      <w:r>
        <w:rPr>
          <w:snapToGrid/>
          <w:lang w:val="en-GB"/>
        </w:rPr>
        <w:t>2001</w:t>
      </w:r>
      <w:r>
        <w:rPr>
          <w:snapToGrid/>
          <w:lang w:val="en-GB"/>
        </w:rPr>
        <w:t>年</w:t>
      </w:r>
      <w:r>
        <w:rPr>
          <w:rFonts w:hint="eastAsia"/>
          <w:snapToGrid/>
          <w:lang w:val="en-GB"/>
        </w:rPr>
        <w:t>有两人死于传染病</w:t>
      </w:r>
      <w:r>
        <w:rPr>
          <w:snapToGrid/>
          <w:lang w:val="en-GB"/>
        </w:rPr>
        <w:t>(</w:t>
      </w:r>
      <w:r>
        <w:rPr>
          <w:rFonts w:hint="eastAsia"/>
          <w:snapToGrid/>
          <w:lang w:val="en-GB"/>
        </w:rPr>
        <w:t>不</w:t>
      </w:r>
      <w:r>
        <w:rPr>
          <w:snapToGrid/>
          <w:lang w:val="en-GB"/>
        </w:rPr>
        <w:t>包括</w:t>
      </w:r>
      <w:r>
        <w:rPr>
          <w:rFonts w:hint="eastAsia"/>
          <w:snapToGrid/>
          <w:lang w:val="en-GB"/>
        </w:rPr>
        <w:t>死于</w:t>
      </w:r>
      <w:r>
        <w:rPr>
          <w:snapToGrid/>
          <w:lang w:val="en-GB"/>
        </w:rPr>
        <w:t>艾滋病</w:t>
      </w:r>
      <w:r>
        <w:rPr>
          <w:rFonts w:hint="eastAsia"/>
          <w:snapToGrid/>
          <w:lang w:val="en-GB"/>
        </w:rPr>
        <w:t>者</w:t>
      </w:r>
      <w:r>
        <w:rPr>
          <w:snapToGrid/>
          <w:lang w:val="en-GB"/>
        </w:rPr>
        <w:t>，</w:t>
      </w:r>
      <w:r>
        <w:rPr>
          <w:rFonts w:hint="eastAsia"/>
          <w:snapToGrid/>
          <w:lang w:val="en-GB"/>
        </w:rPr>
        <w:t>因为艾滋病</w:t>
      </w:r>
      <w:r>
        <w:rPr>
          <w:snapToGrid/>
          <w:lang w:val="en-GB"/>
        </w:rPr>
        <w:t>未列入本报告，也不包括</w:t>
      </w:r>
      <w:r>
        <w:rPr>
          <w:rFonts w:hint="eastAsia"/>
          <w:snapToGrid/>
          <w:lang w:val="en-GB"/>
        </w:rPr>
        <w:t>死于</w:t>
      </w:r>
      <w:r>
        <w:rPr>
          <w:snapToGrid/>
          <w:lang w:val="en-GB"/>
        </w:rPr>
        <w:t>流感的人，</w:t>
      </w:r>
      <w:r>
        <w:rPr>
          <w:rFonts w:hint="eastAsia"/>
          <w:snapToGrid/>
          <w:lang w:val="en-GB"/>
        </w:rPr>
        <w:t>因为流感</w:t>
      </w:r>
      <w:r>
        <w:rPr>
          <w:snapToGrid/>
          <w:lang w:val="en-GB"/>
        </w:rPr>
        <w:t>列入</w:t>
      </w:r>
      <w:r>
        <w:rPr>
          <w:rFonts w:hint="eastAsia"/>
          <w:snapToGrid/>
          <w:lang w:val="en-GB"/>
        </w:rPr>
        <w:t>另一份</w:t>
      </w:r>
      <w:r>
        <w:rPr>
          <w:snapToGrid/>
          <w:lang w:val="en-GB"/>
        </w:rPr>
        <w:t>报告</w:t>
      </w:r>
      <w:r>
        <w:rPr>
          <w:rFonts w:hint="eastAsia"/>
          <w:snapToGrid/>
          <w:lang w:val="en-GB"/>
        </w:rPr>
        <w:t>)</w:t>
      </w:r>
      <w:r>
        <w:rPr>
          <w:snapToGrid/>
          <w:lang w:val="en-GB"/>
        </w:rPr>
        <w:t>，急性传染病死亡率为</w:t>
      </w:r>
      <w:r>
        <w:rPr>
          <w:snapToGrid/>
          <w:lang w:val="en-GB"/>
        </w:rPr>
        <w:t>10</w:t>
      </w:r>
      <w:r>
        <w:rPr>
          <w:snapToGrid/>
          <w:lang w:val="en-GB"/>
        </w:rPr>
        <w:t>万分之</w:t>
      </w:r>
      <w:r>
        <w:rPr>
          <w:snapToGrid/>
          <w:lang w:val="en-GB"/>
        </w:rPr>
        <w:t>0.28</w:t>
      </w:r>
      <w:r>
        <w:rPr>
          <w:snapToGrid/>
          <w:lang w:val="en-GB"/>
        </w:rPr>
        <w:t>。</w:t>
      </w:r>
      <w:r>
        <w:rPr>
          <w:rFonts w:hint="eastAsia"/>
          <w:snapToGrid/>
          <w:lang w:val="en-GB"/>
        </w:rPr>
        <w:t>有一人死于结核性脑膜炎，另一人死于葡萄状球菌脓毒病。</w:t>
      </w:r>
      <w:r>
        <w:rPr>
          <w:snapToGrid/>
          <w:lang w:val="en-GB"/>
        </w:rPr>
        <w:t>2001</w:t>
      </w:r>
      <w:r>
        <w:rPr>
          <w:snapToGrid/>
          <w:lang w:val="en-GB"/>
        </w:rPr>
        <w:t>年报告登记了</w:t>
      </w:r>
      <w:r>
        <w:rPr>
          <w:snapToGrid/>
          <w:lang w:val="en-GB"/>
        </w:rPr>
        <w:t>16</w:t>
      </w:r>
      <w:r>
        <w:rPr>
          <w:rFonts w:hint="eastAsia"/>
          <w:snapToGrid/>
          <w:lang w:val="en-GB"/>
        </w:rPr>
        <w:t>起</w:t>
      </w:r>
      <w:r>
        <w:rPr>
          <w:snapToGrid/>
          <w:lang w:val="en-GB"/>
        </w:rPr>
        <w:t>急性传染流行病病例，患者达</w:t>
      </w:r>
      <w:r>
        <w:rPr>
          <w:snapToGrid/>
          <w:lang w:val="en-GB"/>
        </w:rPr>
        <w:t>1,546</w:t>
      </w:r>
      <w:r>
        <w:rPr>
          <w:snapToGrid/>
          <w:lang w:val="en-GB"/>
        </w:rPr>
        <w:t>人。其中多数患</w:t>
      </w:r>
      <w:r>
        <w:rPr>
          <w:rFonts w:hint="eastAsia"/>
          <w:snapToGrid/>
          <w:lang w:val="en-GB"/>
        </w:rPr>
        <w:t>小肠结肠炎</w:t>
      </w:r>
      <w:r>
        <w:rPr>
          <w:rFonts w:hint="eastAsia"/>
          <w:snapToGrid/>
          <w:lang w:val="en-GB"/>
        </w:rPr>
        <w:t>(</w:t>
      </w:r>
      <w:r>
        <w:rPr>
          <w:snapToGrid/>
          <w:lang w:val="en-GB"/>
        </w:rPr>
        <w:t>627</w:t>
      </w:r>
      <w:r>
        <w:rPr>
          <w:snapToGrid/>
          <w:lang w:val="en-GB"/>
        </w:rPr>
        <w:t>人</w:t>
      </w:r>
      <w:r>
        <w:rPr>
          <w:rFonts w:hint="eastAsia"/>
          <w:snapToGrid/>
          <w:lang w:val="en-GB"/>
        </w:rPr>
        <w:t>)</w:t>
      </w:r>
      <w:r>
        <w:rPr>
          <w:rFonts w:hint="eastAsia"/>
          <w:snapToGrid/>
          <w:lang w:val="en-GB"/>
        </w:rPr>
        <w:t>和水痘</w:t>
      </w:r>
      <w:r>
        <w:rPr>
          <w:rFonts w:hint="eastAsia"/>
          <w:snapToGrid/>
          <w:lang w:val="en-GB"/>
        </w:rPr>
        <w:t>(625</w:t>
      </w:r>
      <w:r>
        <w:rPr>
          <w:rFonts w:hint="eastAsia"/>
          <w:snapToGrid/>
          <w:lang w:val="en-GB"/>
        </w:rPr>
        <w:t>人</w:t>
      </w:r>
      <w:r>
        <w:rPr>
          <w:snapToGrid/>
          <w:lang w:val="en-GB"/>
        </w:rPr>
        <w:t>)</w:t>
      </w:r>
      <w:r>
        <w:rPr>
          <w:snapToGrid/>
          <w:lang w:val="en-GB"/>
        </w:rPr>
        <w:t>。</w:t>
      </w:r>
    </w:p>
    <w:p w:rsidR="00000000" w:rsidRDefault="00844A84">
      <w:pPr>
        <w:ind w:firstLine="510"/>
        <w:rPr>
          <w:rFonts w:hint="eastAsia"/>
          <w:snapToGrid/>
          <w:lang w:val="en-GB"/>
        </w:rPr>
      </w:pPr>
      <w:r>
        <w:rPr>
          <w:snapToGrid/>
          <w:lang w:val="en-GB"/>
        </w:rPr>
        <w:t xml:space="preserve">710.  </w:t>
      </w:r>
      <w:r>
        <w:rPr>
          <w:rFonts w:hint="eastAsia"/>
          <w:snapToGrid/>
          <w:lang w:val="en-GB"/>
        </w:rPr>
        <w:t>就</w:t>
      </w:r>
      <w:r>
        <w:rPr>
          <w:snapToGrid/>
          <w:lang w:val="en-GB"/>
        </w:rPr>
        <w:t>传染病类别</w:t>
      </w:r>
      <w:r>
        <w:rPr>
          <w:rFonts w:hint="eastAsia"/>
          <w:snapToGrid/>
          <w:lang w:val="en-GB"/>
        </w:rPr>
        <w:t>而言</w:t>
      </w:r>
      <w:r>
        <w:rPr>
          <w:snapToGrid/>
          <w:lang w:val="en-GB"/>
        </w:rPr>
        <w:t>，</w:t>
      </w:r>
      <w:r>
        <w:rPr>
          <w:snapToGrid/>
          <w:lang w:val="en-GB"/>
        </w:rPr>
        <w:t>2001</w:t>
      </w:r>
      <w:r>
        <w:rPr>
          <w:snapToGrid/>
          <w:lang w:val="en-GB"/>
        </w:rPr>
        <w:t>年报告登记的传染病</w:t>
      </w:r>
      <w:r>
        <w:rPr>
          <w:rFonts w:hint="eastAsia"/>
          <w:snapToGrid/>
          <w:lang w:val="en-GB"/>
        </w:rPr>
        <w:t>数以</w:t>
      </w:r>
      <w:r>
        <w:rPr>
          <w:snapToGrid/>
          <w:lang w:val="en-GB"/>
        </w:rPr>
        <w:t>呼吸道</w:t>
      </w:r>
      <w:r>
        <w:rPr>
          <w:rFonts w:hint="eastAsia"/>
          <w:snapToGrid/>
          <w:lang w:val="en-GB"/>
        </w:rPr>
        <w:t>传染病</w:t>
      </w:r>
      <w:r>
        <w:rPr>
          <w:snapToGrid/>
          <w:lang w:val="en-GB"/>
        </w:rPr>
        <w:t>最多，占</w:t>
      </w:r>
      <w:r>
        <w:rPr>
          <w:rFonts w:hint="eastAsia"/>
          <w:snapToGrid/>
          <w:lang w:val="en-GB"/>
        </w:rPr>
        <w:t>报告的</w:t>
      </w:r>
      <w:r>
        <w:rPr>
          <w:snapToGrid/>
          <w:lang w:val="en-GB"/>
        </w:rPr>
        <w:t>传染病病例总数</w:t>
      </w:r>
      <w:r>
        <w:rPr>
          <w:rFonts w:hint="eastAsia"/>
          <w:snapToGrid/>
          <w:lang w:val="en-GB"/>
        </w:rPr>
        <w:t>4</w:t>
      </w:r>
      <w:r>
        <w:rPr>
          <w:snapToGrid/>
          <w:lang w:val="en-GB"/>
        </w:rPr>
        <w:t>4</w:t>
      </w:r>
      <w:r>
        <w:rPr>
          <w:snapToGrid/>
          <w:lang w:val="en-GB"/>
        </w:rPr>
        <w:t>.3%</w:t>
      </w:r>
      <w:r>
        <w:rPr>
          <w:snapToGrid/>
          <w:lang w:val="en-GB"/>
        </w:rPr>
        <w:t>。这表明这类传染病同前一年一样依然占据首位，其百分比几乎</w:t>
      </w:r>
      <w:r>
        <w:rPr>
          <w:rFonts w:hint="eastAsia"/>
          <w:snapToGrid/>
          <w:lang w:val="en-GB"/>
        </w:rPr>
        <w:t>与前一年</w:t>
      </w:r>
      <w:r>
        <w:rPr>
          <w:snapToGrid/>
          <w:lang w:val="en-GB"/>
        </w:rPr>
        <w:t>相同。</w:t>
      </w:r>
    </w:p>
    <w:p w:rsidR="00000000" w:rsidRDefault="00844A84">
      <w:pPr>
        <w:ind w:firstLine="510"/>
        <w:rPr>
          <w:rFonts w:hint="eastAsia"/>
          <w:snapToGrid/>
          <w:lang w:val="en-GB"/>
        </w:rPr>
      </w:pPr>
      <w:r>
        <w:rPr>
          <w:rFonts w:hint="eastAsia"/>
          <w:snapToGrid/>
          <w:lang w:val="en-GB"/>
        </w:rPr>
        <w:t>711.</w:t>
      </w:r>
      <w:r>
        <w:rPr>
          <w:snapToGrid/>
          <w:lang w:val="en-GB"/>
        </w:rPr>
        <w:t xml:space="preserve">  </w:t>
      </w:r>
      <w:r>
        <w:rPr>
          <w:rFonts w:hint="eastAsia"/>
          <w:snapToGrid/>
          <w:lang w:val="en-GB"/>
        </w:rPr>
        <w:t>肠道感染病位居第二位，占患病总人数的</w:t>
      </w:r>
      <w:r>
        <w:rPr>
          <w:snapToGrid/>
          <w:lang w:val="en-GB"/>
        </w:rPr>
        <w:t>41.3%</w:t>
      </w:r>
      <w:r>
        <w:rPr>
          <w:snapToGrid/>
          <w:lang w:val="en-GB"/>
        </w:rPr>
        <w:t>，</w:t>
      </w:r>
      <w:r>
        <w:rPr>
          <w:rFonts w:hint="eastAsia"/>
          <w:snapToGrid/>
          <w:lang w:val="en-GB"/>
        </w:rPr>
        <w:t>居</w:t>
      </w:r>
      <w:r>
        <w:rPr>
          <w:snapToGrid/>
          <w:lang w:val="en-GB"/>
        </w:rPr>
        <w:t>第三位</w:t>
      </w:r>
      <w:r>
        <w:rPr>
          <w:rFonts w:hint="eastAsia"/>
          <w:snapToGrid/>
          <w:lang w:val="en-GB"/>
        </w:rPr>
        <w:t>的</w:t>
      </w:r>
      <w:r>
        <w:rPr>
          <w:snapToGrid/>
          <w:lang w:val="en-GB"/>
        </w:rPr>
        <w:t>是寄生虫病，占</w:t>
      </w:r>
      <w:r>
        <w:rPr>
          <w:snapToGrid/>
          <w:lang w:val="en-GB"/>
        </w:rPr>
        <w:t>11.96%</w:t>
      </w:r>
      <w:r>
        <w:rPr>
          <w:snapToGrid/>
          <w:lang w:val="en-GB"/>
        </w:rPr>
        <w:t>。其他传染病</w:t>
      </w:r>
      <w:r>
        <w:rPr>
          <w:snapToGrid/>
          <w:lang w:val="en-GB"/>
        </w:rPr>
        <w:t>(</w:t>
      </w:r>
      <w:r>
        <w:rPr>
          <w:rFonts w:hint="eastAsia"/>
          <w:snapToGrid/>
          <w:lang w:val="en-GB"/>
        </w:rPr>
        <w:t>人源动物源传播疾病</w:t>
      </w:r>
      <w:r>
        <w:rPr>
          <w:snapToGrid/>
          <w:lang w:val="en-GB"/>
        </w:rPr>
        <w:t>、</w:t>
      </w:r>
      <w:r>
        <w:rPr>
          <w:rFonts w:hint="eastAsia"/>
          <w:snapToGrid/>
          <w:lang w:val="en-GB"/>
        </w:rPr>
        <w:t>性</w:t>
      </w:r>
      <w:r>
        <w:rPr>
          <w:snapToGrid/>
          <w:lang w:val="en-GB"/>
        </w:rPr>
        <w:t>传染疾病、</w:t>
      </w:r>
      <w:r>
        <w:rPr>
          <w:rFonts w:hint="eastAsia"/>
          <w:snapToGrid/>
          <w:lang w:val="en-GB"/>
        </w:rPr>
        <w:t>接触传播疾病、细菌传播疾病及其他传播疾病</w:t>
      </w:r>
      <w:r>
        <w:rPr>
          <w:rFonts w:hint="eastAsia"/>
          <w:snapToGrid/>
          <w:lang w:val="en-GB"/>
        </w:rPr>
        <w:t>)</w:t>
      </w:r>
      <w:r>
        <w:rPr>
          <w:rFonts w:hint="eastAsia"/>
          <w:snapToGrid/>
          <w:lang w:val="en-GB"/>
        </w:rPr>
        <w:t>蔓延程度很低，共计占患病总人数</w:t>
      </w:r>
      <w:r>
        <w:rPr>
          <w:snapToGrid/>
          <w:lang w:val="en-GB"/>
        </w:rPr>
        <w:t>3%</w:t>
      </w:r>
      <w:r>
        <w:rPr>
          <w:snapToGrid/>
          <w:lang w:val="en-GB"/>
        </w:rPr>
        <w:t>以下。</w:t>
      </w:r>
    </w:p>
    <w:p w:rsidR="00000000" w:rsidRDefault="00844A84">
      <w:pPr>
        <w:ind w:firstLine="510"/>
        <w:rPr>
          <w:rFonts w:hint="eastAsia"/>
          <w:snapToGrid/>
          <w:lang w:val="en-GB"/>
        </w:rPr>
      </w:pPr>
      <w:r>
        <w:rPr>
          <w:rFonts w:hint="eastAsia"/>
          <w:snapToGrid/>
          <w:lang w:val="en-GB"/>
        </w:rPr>
        <w:t>712.</w:t>
      </w:r>
      <w:r>
        <w:rPr>
          <w:snapToGrid/>
          <w:lang w:val="en-GB"/>
        </w:rPr>
        <w:t xml:space="preserve">  </w:t>
      </w:r>
      <w:r>
        <w:rPr>
          <w:rFonts w:hint="eastAsia"/>
          <w:snapToGrid/>
          <w:lang w:val="en-GB"/>
        </w:rPr>
        <w:t>在</w:t>
      </w:r>
      <w:r>
        <w:rPr>
          <w:snapToGrid/>
          <w:lang w:val="en-GB"/>
        </w:rPr>
        <w:t>2001</w:t>
      </w:r>
      <w:r>
        <w:rPr>
          <w:snapToGrid/>
          <w:lang w:val="en-GB"/>
        </w:rPr>
        <w:t>年按</w:t>
      </w:r>
      <w:r>
        <w:rPr>
          <w:rFonts w:hint="eastAsia"/>
          <w:snapToGrid/>
          <w:lang w:val="en-GB"/>
        </w:rPr>
        <w:t>患者</w:t>
      </w:r>
      <w:r>
        <w:rPr>
          <w:snapToGrid/>
          <w:lang w:val="en-GB"/>
        </w:rPr>
        <w:t>人数计算</w:t>
      </w:r>
      <w:r>
        <w:rPr>
          <w:rFonts w:hint="eastAsia"/>
          <w:snapToGrid/>
          <w:lang w:val="en-GB"/>
        </w:rPr>
        <w:t>流行最</w:t>
      </w:r>
      <w:r>
        <w:rPr>
          <w:snapToGrid/>
          <w:lang w:val="en-GB"/>
        </w:rPr>
        <w:t>严重的</w:t>
      </w:r>
      <w:r>
        <w:rPr>
          <w:snapToGrid/>
          <w:lang w:val="en-GB"/>
        </w:rPr>
        <w:t>10</w:t>
      </w:r>
      <w:r>
        <w:rPr>
          <w:snapToGrid/>
          <w:lang w:val="en-GB"/>
        </w:rPr>
        <w:t>种传染病中，</w:t>
      </w:r>
      <w:r>
        <w:rPr>
          <w:rFonts w:hint="eastAsia"/>
          <w:snapToGrid/>
          <w:lang w:val="en-GB"/>
        </w:rPr>
        <w:t>小肠结肠炎取代了水痘而位居首位</w:t>
      </w:r>
      <w:r>
        <w:rPr>
          <w:snapToGrid/>
          <w:lang w:val="en-GB"/>
        </w:rPr>
        <w:t>。这很可能是</w:t>
      </w:r>
      <w:r>
        <w:rPr>
          <w:rFonts w:hint="eastAsia"/>
          <w:snapToGrid/>
          <w:lang w:val="en-GB"/>
        </w:rPr>
        <w:t>由于</w:t>
      </w:r>
      <w:r>
        <w:rPr>
          <w:snapToGrid/>
          <w:lang w:val="en-GB"/>
        </w:rPr>
        <w:t>夏季</w:t>
      </w:r>
      <w:r>
        <w:rPr>
          <w:rFonts w:hint="eastAsia"/>
          <w:snapToGrid/>
          <w:lang w:val="en-GB"/>
        </w:rPr>
        <w:t>的</w:t>
      </w:r>
      <w:r>
        <w:rPr>
          <w:snapToGrid/>
          <w:lang w:val="en-GB"/>
        </w:rPr>
        <w:t>报告</w:t>
      </w:r>
      <w:r>
        <w:rPr>
          <w:rFonts w:hint="eastAsia"/>
          <w:snapToGrid/>
          <w:lang w:val="en-GB"/>
        </w:rPr>
        <w:t>工作效率较高，因此报告的</w:t>
      </w:r>
      <w:r>
        <w:rPr>
          <w:snapToGrid/>
          <w:lang w:val="en-GB"/>
        </w:rPr>
        <w:t>某些流行病</w:t>
      </w:r>
      <w:r>
        <w:rPr>
          <w:rFonts w:hint="eastAsia"/>
          <w:snapToGrid/>
          <w:lang w:val="en-GB"/>
        </w:rPr>
        <w:t>患者人</w:t>
      </w:r>
      <w:r>
        <w:rPr>
          <w:snapToGrid/>
          <w:lang w:val="en-GB"/>
        </w:rPr>
        <w:t>数较多。</w:t>
      </w:r>
      <w:r>
        <w:rPr>
          <w:rFonts w:hint="eastAsia"/>
          <w:snapToGrid/>
          <w:lang w:val="en-GB"/>
        </w:rPr>
        <w:t>疱疹病毒</w:t>
      </w:r>
      <w:r>
        <w:rPr>
          <w:snapToGrid/>
          <w:lang w:val="en-GB"/>
        </w:rPr>
        <w:t>感染</w:t>
      </w:r>
      <w:r>
        <w:rPr>
          <w:rFonts w:hint="eastAsia"/>
          <w:snapToGrid/>
          <w:lang w:val="en-GB"/>
        </w:rPr>
        <w:t>者人数增加的原因是登记手续</w:t>
      </w:r>
      <w:r>
        <w:rPr>
          <w:rFonts w:hint="eastAsia"/>
          <w:snapToGrid/>
          <w:lang w:val="en-GB"/>
        </w:rPr>
        <w:t>有所改善，而并非流行更为广泛所致。类型未定的急性肝炎以及甲型肝炎</w:t>
      </w:r>
      <w:r>
        <w:rPr>
          <w:rFonts w:hint="eastAsia"/>
          <w:snapToGrid/>
          <w:lang w:val="en-GB"/>
        </w:rPr>
        <w:t>(</w:t>
      </w:r>
      <w:r>
        <w:rPr>
          <w:rFonts w:hint="eastAsia"/>
          <w:snapToGrid/>
          <w:lang w:val="en-GB"/>
        </w:rPr>
        <w:t>位居第九位</w:t>
      </w:r>
      <w:r>
        <w:rPr>
          <w:rFonts w:hint="eastAsia"/>
          <w:snapToGrid/>
          <w:lang w:val="en-GB"/>
        </w:rPr>
        <w:t>)</w:t>
      </w:r>
      <w:r>
        <w:rPr>
          <w:rFonts w:hint="eastAsia"/>
          <w:snapToGrid/>
          <w:lang w:val="en-GB"/>
        </w:rPr>
        <w:t>已成为共和国境内的流行病。位居第十位的是传染性单核细胞增多症，这种疾病在传染病名单中一直位居前</w:t>
      </w:r>
      <w:r>
        <w:rPr>
          <w:rFonts w:hint="eastAsia"/>
          <w:snapToGrid/>
          <w:lang w:val="en-GB"/>
        </w:rPr>
        <w:t>10</w:t>
      </w:r>
      <w:r>
        <w:rPr>
          <w:rFonts w:hint="eastAsia"/>
          <w:snapToGrid/>
          <w:lang w:val="en-GB"/>
        </w:rPr>
        <w:t>位。</w:t>
      </w:r>
    </w:p>
    <w:p w:rsidR="00000000" w:rsidRDefault="00844A84">
      <w:pPr>
        <w:spacing w:after="240"/>
        <w:ind w:firstLine="510"/>
        <w:rPr>
          <w:rFonts w:hint="eastAsia"/>
          <w:snapToGrid/>
          <w:lang w:val="en-GB"/>
        </w:rPr>
      </w:pPr>
      <w:r>
        <w:rPr>
          <w:rFonts w:hint="eastAsia"/>
          <w:snapToGrid/>
          <w:lang w:val="en-GB"/>
        </w:rPr>
        <w:t>713.</w:t>
      </w:r>
      <w:r>
        <w:rPr>
          <w:snapToGrid/>
          <w:lang w:val="en-GB"/>
        </w:rPr>
        <w:t xml:space="preserve">  </w:t>
      </w:r>
      <w:r>
        <w:rPr>
          <w:rFonts w:hint="eastAsia"/>
          <w:snapToGrid/>
          <w:lang w:val="en-GB"/>
        </w:rPr>
        <w:t>报告患者人数最多的前</w:t>
      </w:r>
      <w:r>
        <w:rPr>
          <w:rFonts w:hint="eastAsia"/>
          <w:snapToGrid/>
          <w:lang w:val="en-GB"/>
        </w:rPr>
        <w:t>5</w:t>
      </w:r>
      <w:r>
        <w:rPr>
          <w:rFonts w:hint="eastAsia"/>
          <w:snapToGrid/>
          <w:lang w:val="en-GB"/>
        </w:rPr>
        <w:t>种传染病占登记的传染病总数</w:t>
      </w:r>
      <w:r>
        <w:rPr>
          <w:snapToGrid/>
          <w:lang w:val="en-GB"/>
        </w:rPr>
        <w:t>85.7%</w:t>
      </w:r>
      <w:r>
        <w:rPr>
          <w:snapToGrid/>
          <w:lang w:val="en-GB"/>
        </w:rPr>
        <w:t>，</w:t>
      </w:r>
      <w:r>
        <w:rPr>
          <w:rFonts w:hint="eastAsia"/>
          <w:snapToGrid/>
          <w:lang w:val="en-GB"/>
        </w:rPr>
        <w:t>而位居</w:t>
      </w:r>
      <w:r>
        <w:rPr>
          <w:snapToGrid/>
          <w:lang w:val="en-GB"/>
        </w:rPr>
        <w:t>10</w:t>
      </w:r>
      <w:r>
        <w:rPr>
          <w:snapToGrid/>
          <w:lang w:val="en-GB"/>
        </w:rPr>
        <w:t>位</w:t>
      </w:r>
      <w:r>
        <w:rPr>
          <w:rFonts w:hint="eastAsia"/>
          <w:snapToGrid/>
          <w:lang w:val="en-GB"/>
        </w:rPr>
        <w:t>的</w:t>
      </w:r>
      <w:r>
        <w:rPr>
          <w:snapToGrid/>
          <w:lang w:val="en-GB"/>
        </w:rPr>
        <w:t>急性传染病</w:t>
      </w:r>
      <w:r>
        <w:rPr>
          <w:rFonts w:hint="eastAsia"/>
          <w:snapToGrid/>
          <w:lang w:val="en-GB"/>
        </w:rPr>
        <w:t>患者</w:t>
      </w:r>
      <w:r>
        <w:rPr>
          <w:snapToGrid/>
          <w:lang w:val="en-GB"/>
        </w:rPr>
        <w:t>为</w:t>
      </w:r>
      <w:r>
        <w:rPr>
          <w:rFonts w:hint="eastAsia"/>
          <w:snapToGrid/>
          <w:lang w:val="en-GB"/>
        </w:rPr>
        <w:t>前</w:t>
      </w:r>
      <w:r>
        <w:rPr>
          <w:snapToGrid/>
          <w:lang w:val="en-GB"/>
        </w:rPr>
        <w:t>一年的</w:t>
      </w:r>
      <w:r>
        <w:rPr>
          <w:snapToGrid/>
          <w:lang w:val="en-GB"/>
        </w:rPr>
        <w:t>9</w:t>
      </w:r>
      <w:r>
        <w:rPr>
          <w:rFonts w:hint="eastAsia"/>
          <w:snapToGrid/>
          <w:lang w:val="en-GB"/>
        </w:rPr>
        <w:t>2.</w:t>
      </w:r>
      <w:r>
        <w:rPr>
          <w:snapToGrid/>
          <w:lang w:val="en-GB"/>
        </w:rPr>
        <w:t>2%</w:t>
      </w:r>
      <w:r>
        <w:rPr>
          <w:snapToGrid/>
          <w:lang w:val="en-GB"/>
        </w:rPr>
        <w:t>。</w:t>
      </w:r>
    </w:p>
    <w:p w:rsidR="00000000" w:rsidRDefault="00844A84">
      <w:pPr>
        <w:pStyle w:val="Heading3"/>
        <w:rPr>
          <w:rFonts w:hint="eastAsia"/>
        </w:rPr>
      </w:pPr>
      <w:r>
        <w:rPr>
          <w:rFonts w:hint="eastAsia"/>
          <w:u w:val="none"/>
        </w:rPr>
        <w:t>表</w:t>
      </w:r>
      <w:r>
        <w:rPr>
          <w:u w:val="none"/>
        </w:rPr>
        <w:t xml:space="preserve"> 8</w:t>
      </w:r>
      <w:r>
        <w:rPr>
          <w:u w:val="none"/>
        </w:rPr>
        <w:br/>
      </w:r>
      <w:r>
        <w:rPr>
          <w:rFonts w:hint="eastAsia"/>
        </w:rPr>
        <w:t>某些传染病在</w:t>
      </w:r>
      <w:r>
        <w:t>1997-2001</w:t>
      </w:r>
      <w:r>
        <w:rPr>
          <w:rFonts w:hint="eastAsia"/>
        </w:rPr>
        <w:t>年传染病总结构中的比例</w:t>
      </w: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0"/>
        <w:gridCol w:w="1635"/>
        <w:gridCol w:w="1432"/>
        <w:gridCol w:w="1410"/>
        <w:gridCol w:w="1410"/>
        <w:gridCol w:w="1410"/>
      </w:tblGrid>
      <w:tr w:rsidR="00000000">
        <w:tblPrEx>
          <w:tblCellMar>
            <w:top w:w="0" w:type="dxa"/>
            <w:bottom w:w="0" w:type="dxa"/>
          </w:tblCellMar>
        </w:tblPrEx>
        <w:trPr>
          <w:cantSplit/>
        </w:trPr>
        <w:tc>
          <w:tcPr>
            <w:tcW w:w="2020" w:type="dxa"/>
            <w:vMerge w:val="restart"/>
          </w:tcPr>
          <w:p w:rsidR="00000000" w:rsidRDefault="00844A84">
            <w:pPr>
              <w:pStyle w:val="a2"/>
              <w:spacing w:line="260" w:lineRule="exact"/>
              <w:rPr>
                <w:snapToGrid/>
                <w:sz w:val="20"/>
              </w:rPr>
            </w:pPr>
          </w:p>
          <w:p w:rsidR="00000000" w:rsidRDefault="00844A84">
            <w:pPr>
              <w:pStyle w:val="a2"/>
              <w:spacing w:before="120" w:line="260" w:lineRule="exact"/>
              <w:jc w:val="center"/>
              <w:rPr>
                <w:rFonts w:hint="eastAsia"/>
                <w:snapToGrid/>
                <w:sz w:val="20"/>
              </w:rPr>
            </w:pPr>
            <w:r>
              <w:rPr>
                <w:rFonts w:hint="eastAsia"/>
                <w:snapToGrid/>
                <w:sz w:val="20"/>
              </w:rPr>
              <w:t>传染病分类</w:t>
            </w:r>
          </w:p>
        </w:tc>
        <w:tc>
          <w:tcPr>
            <w:tcW w:w="1635" w:type="dxa"/>
          </w:tcPr>
          <w:p w:rsidR="00000000" w:rsidRDefault="00844A84">
            <w:pPr>
              <w:pStyle w:val="a2"/>
              <w:spacing w:line="260" w:lineRule="exact"/>
              <w:jc w:val="center"/>
              <w:rPr>
                <w:snapToGrid/>
                <w:sz w:val="20"/>
              </w:rPr>
            </w:pPr>
            <w:r>
              <w:rPr>
                <w:snapToGrid/>
                <w:sz w:val="20"/>
              </w:rPr>
              <w:t>1997</w:t>
            </w:r>
          </w:p>
        </w:tc>
        <w:tc>
          <w:tcPr>
            <w:tcW w:w="1432" w:type="dxa"/>
          </w:tcPr>
          <w:p w:rsidR="00000000" w:rsidRDefault="00844A84">
            <w:pPr>
              <w:pStyle w:val="a2"/>
              <w:spacing w:line="260" w:lineRule="exact"/>
              <w:jc w:val="center"/>
              <w:rPr>
                <w:snapToGrid/>
                <w:sz w:val="20"/>
              </w:rPr>
            </w:pPr>
            <w:r>
              <w:rPr>
                <w:snapToGrid/>
                <w:sz w:val="20"/>
              </w:rPr>
              <w:t>1998</w:t>
            </w:r>
          </w:p>
        </w:tc>
        <w:tc>
          <w:tcPr>
            <w:tcW w:w="1410" w:type="dxa"/>
          </w:tcPr>
          <w:p w:rsidR="00000000" w:rsidRDefault="00844A84">
            <w:pPr>
              <w:pStyle w:val="a2"/>
              <w:spacing w:line="260" w:lineRule="exact"/>
              <w:jc w:val="center"/>
              <w:rPr>
                <w:snapToGrid/>
                <w:sz w:val="20"/>
              </w:rPr>
            </w:pPr>
            <w:r>
              <w:rPr>
                <w:snapToGrid/>
                <w:sz w:val="20"/>
              </w:rPr>
              <w:t>1999</w:t>
            </w:r>
          </w:p>
        </w:tc>
        <w:tc>
          <w:tcPr>
            <w:tcW w:w="1410" w:type="dxa"/>
          </w:tcPr>
          <w:p w:rsidR="00000000" w:rsidRDefault="00844A84">
            <w:pPr>
              <w:pStyle w:val="a2"/>
              <w:spacing w:line="260" w:lineRule="exact"/>
              <w:jc w:val="center"/>
              <w:rPr>
                <w:snapToGrid/>
                <w:sz w:val="20"/>
              </w:rPr>
            </w:pPr>
            <w:r>
              <w:rPr>
                <w:snapToGrid/>
                <w:sz w:val="20"/>
              </w:rPr>
              <w:t>2000</w:t>
            </w:r>
          </w:p>
        </w:tc>
        <w:tc>
          <w:tcPr>
            <w:tcW w:w="1410" w:type="dxa"/>
          </w:tcPr>
          <w:p w:rsidR="00000000" w:rsidRDefault="00844A84">
            <w:pPr>
              <w:pStyle w:val="a2"/>
              <w:spacing w:line="260" w:lineRule="exact"/>
              <w:jc w:val="center"/>
              <w:rPr>
                <w:snapToGrid/>
                <w:sz w:val="20"/>
              </w:rPr>
            </w:pPr>
            <w:r>
              <w:rPr>
                <w:snapToGrid/>
                <w:sz w:val="20"/>
              </w:rPr>
              <w:t>2001</w:t>
            </w:r>
          </w:p>
        </w:tc>
      </w:tr>
      <w:tr w:rsidR="00000000">
        <w:tblPrEx>
          <w:tblCellMar>
            <w:top w:w="0" w:type="dxa"/>
            <w:bottom w:w="0" w:type="dxa"/>
          </w:tblCellMar>
        </w:tblPrEx>
        <w:trPr>
          <w:cantSplit/>
        </w:trPr>
        <w:tc>
          <w:tcPr>
            <w:tcW w:w="2020" w:type="dxa"/>
            <w:vMerge/>
            <w:tcBorders>
              <w:bottom w:val="single" w:sz="4" w:space="0" w:color="auto"/>
            </w:tcBorders>
          </w:tcPr>
          <w:p w:rsidR="00000000" w:rsidRDefault="00844A84">
            <w:pPr>
              <w:pStyle w:val="a2"/>
              <w:spacing w:line="260" w:lineRule="exact"/>
              <w:rPr>
                <w:snapToGrid/>
                <w:sz w:val="20"/>
              </w:rPr>
            </w:pPr>
          </w:p>
        </w:tc>
        <w:tc>
          <w:tcPr>
            <w:tcW w:w="1635" w:type="dxa"/>
            <w:tcBorders>
              <w:bottom w:val="single" w:sz="4" w:space="0" w:color="auto"/>
            </w:tcBorders>
          </w:tcPr>
          <w:p w:rsidR="00000000" w:rsidRDefault="00844A84">
            <w:pPr>
              <w:pStyle w:val="a2"/>
              <w:spacing w:before="40" w:after="40" w:line="260" w:lineRule="exact"/>
              <w:jc w:val="center"/>
              <w:rPr>
                <w:snapToGrid/>
                <w:sz w:val="20"/>
              </w:rPr>
            </w:pPr>
            <w:r>
              <w:rPr>
                <w:rFonts w:hint="eastAsia"/>
                <w:snapToGrid/>
                <w:sz w:val="20"/>
              </w:rPr>
              <w:t>报告的患者人数及百分比</w:t>
            </w:r>
          </w:p>
        </w:tc>
        <w:tc>
          <w:tcPr>
            <w:tcW w:w="1432" w:type="dxa"/>
            <w:tcBorders>
              <w:bottom w:val="single" w:sz="4" w:space="0" w:color="auto"/>
            </w:tcBorders>
          </w:tcPr>
          <w:p w:rsidR="00000000" w:rsidRDefault="00844A84">
            <w:pPr>
              <w:pStyle w:val="a2"/>
              <w:spacing w:before="40" w:after="40" w:line="260" w:lineRule="exact"/>
              <w:jc w:val="center"/>
              <w:rPr>
                <w:snapToGrid/>
                <w:spacing w:val="-4"/>
                <w:sz w:val="20"/>
              </w:rPr>
            </w:pPr>
            <w:r>
              <w:rPr>
                <w:rFonts w:hint="eastAsia"/>
                <w:snapToGrid/>
                <w:spacing w:val="-4"/>
                <w:sz w:val="20"/>
              </w:rPr>
              <w:t>报告的患者人数及百分比</w:t>
            </w:r>
          </w:p>
        </w:tc>
        <w:tc>
          <w:tcPr>
            <w:tcW w:w="1410" w:type="dxa"/>
            <w:tcBorders>
              <w:bottom w:val="single" w:sz="4" w:space="0" w:color="auto"/>
            </w:tcBorders>
          </w:tcPr>
          <w:p w:rsidR="00000000" w:rsidRDefault="00844A84">
            <w:pPr>
              <w:pStyle w:val="a2"/>
              <w:spacing w:before="40" w:after="40" w:line="260" w:lineRule="exact"/>
              <w:jc w:val="center"/>
              <w:rPr>
                <w:snapToGrid/>
                <w:spacing w:val="-6"/>
                <w:sz w:val="20"/>
              </w:rPr>
            </w:pPr>
            <w:r>
              <w:rPr>
                <w:rFonts w:hint="eastAsia"/>
                <w:snapToGrid/>
                <w:spacing w:val="-6"/>
                <w:sz w:val="20"/>
              </w:rPr>
              <w:t>报告的患者人数及百分比</w:t>
            </w:r>
          </w:p>
        </w:tc>
        <w:tc>
          <w:tcPr>
            <w:tcW w:w="1410" w:type="dxa"/>
            <w:tcBorders>
              <w:bottom w:val="single" w:sz="4" w:space="0" w:color="auto"/>
            </w:tcBorders>
          </w:tcPr>
          <w:p w:rsidR="00000000" w:rsidRDefault="00844A84">
            <w:pPr>
              <w:pStyle w:val="a2"/>
              <w:spacing w:before="40" w:after="40" w:line="260" w:lineRule="exact"/>
              <w:jc w:val="center"/>
              <w:rPr>
                <w:snapToGrid/>
                <w:spacing w:val="-6"/>
                <w:sz w:val="20"/>
              </w:rPr>
            </w:pPr>
            <w:r>
              <w:rPr>
                <w:rFonts w:hint="eastAsia"/>
                <w:snapToGrid/>
                <w:spacing w:val="-6"/>
                <w:sz w:val="20"/>
              </w:rPr>
              <w:t>报告</w:t>
            </w:r>
            <w:r>
              <w:rPr>
                <w:rFonts w:hint="eastAsia"/>
                <w:snapToGrid/>
                <w:spacing w:val="-6"/>
                <w:sz w:val="20"/>
              </w:rPr>
              <w:t>的患者人数及百分比</w:t>
            </w:r>
          </w:p>
        </w:tc>
        <w:tc>
          <w:tcPr>
            <w:tcW w:w="1410" w:type="dxa"/>
            <w:tcBorders>
              <w:bottom w:val="single" w:sz="4" w:space="0" w:color="auto"/>
            </w:tcBorders>
          </w:tcPr>
          <w:p w:rsidR="00000000" w:rsidRDefault="00844A84">
            <w:pPr>
              <w:pStyle w:val="a2"/>
              <w:spacing w:before="40" w:after="40" w:line="260" w:lineRule="exact"/>
              <w:jc w:val="center"/>
              <w:rPr>
                <w:snapToGrid/>
                <w:spacing w:val="-6"/>
                <w:sz w:val="20"/>
              </w:rPr>
            </w:pPr>
            <w:r>
              <w:rPr>
                <w:rFonts w:hint="eastAsia"/>
                <w:snapToGrid/>
                <w:spacing w:val="-6"/>
                <w:sz w:val="20"/>
              </w:rPr>
              <w:t>报告的患者人数及百分比</w:t>
            </w:r>
          </w:p>
        </w:tc>
      </w:tr>
      <w:tr w:rsidR="00000000">
        <w:tblPrEx>
          <w:tblCellMar>
            <w:top w:w="0" w:type="dxa"/>
            <w:bottom w:w="0" w:type="dxa"/>
          </w:tblCellMar>
        </w:tblPrEx>
        <w:tc>
          <w:tcPr>
            <w:tcW w:w="2020" w:type="dxa"/>
            <w:tcBorders>
              <w:bottom w:val="nil"/>
            </w:tcBorders>
          </w:tcPr>
          <w:p w:rsidR="00000000" w:rsidRDefault="00844A84">
            <w:pPr>
              <w:pStyle w:val="a2"/>
              <w:spacing w:before="120" w:line="260" w:lineRule="exact"/>
              <w:rPr>
                <w:snapToGrid/>
                <w:sz w:val="20"/>
              </w:rPr>
            </w:pPr>
            <w:r>
              <w:rPr>
                <w:rFonts w:hint="eastAsia"/>
                <w:snapToGrid/>
                <w:sz w:val="20"/>
              </w:rPr>
              <w:t>呼吸道疾病</w:t>
            </w:r>
            <w:r>
              <w:rPr>
                <w:snapToGrid/>
                <w:sz w:val="20"/>
              </w:rPr>
              <w:br/>
            </w:r>
          </w:p>
        </w:tc>
        <w:tc>
          <w:tcPr>
            <w:tcW w:w="1635" w:type="dxa"/>
            <w:tcBorders>
              <w:bottom w:val="nil"/>
            </w:tcBorders>
          </w:tcPr>
          <w:p w:rsidR="00000000" w:rsidRDefault="00844A84">
            <w:pPr>
              <w:pStyle w:val="a2"/>
              <w:tabs>
                <w:tab w:val="decimal" w:pos="722"/>
              </w:tabs>
              <w:spacing w:before="120" w:line="260" w:lineRule="exact"/>
              <w:ind w:right="454"/>
              <w:rPr>
                <w:snapToGrid/>
                <w:sz w:val="20"/>
              </w:rPr>
            </w:pPr>
            <w:r>
              <w:rPr>
                <w:snapToGrid/>
                <w:sz w:val="20"/>
              </w:rPr>
              <w:t>5,706</w:t>
            </w:r>
            <w:r>
              <w:rPr>
                <w:snapToGrid/>
                <w:sz w:val="20"/>
              </w:rPr>
              <w:br/>
              <w:t>63.05</w:t>
            </w:r>
          </w:p>
        </w:tc>
        <w:tc>
          <w:tcPr>
            <w:tcW w:w="1432" w:type="dxa"/>
            <w:tcBorders>
              <w:bottom w:val="nil"/>
            </w:tcBorders>
          </w:tcPr>
          <w:p w:rsidR="00000000" w:rsidRDefault="00844A84">
            <w:pPr>
              <w:pStyle w:val="a2"/>
              <w:tabs>
                <w:tab w:val="decimal" w:pos="647"/>
              </w:tabs>
              <w:spacing w:before="120" w:line="260" w:lineRule="exact"/>
              <w:rPr>
                <w:snapToGrid/>
                <w:sz w:val="20"/>
              </w:rPr>
            </w:pPr>
            <w:r>
              <w:rPr>
                <w:snapToGrid/>
                <w:sz w:val="20"/>
              </w:rPr>
              <w:t>4,173</w:t>
            </w:r>
            <w:r>
              <w:rPr>
                <w:snapToGrid/>
                <w:sz w:val="20"/>
              </w:rPr>
              <w:br/>
              <w:t>49.63</w:t>
            </w:r>
          </w:p>
        </w:tc>
        <w:tc>
          <w:tcPr>
            <w:tcW w:w="1410" w:type="dxa"/>
            <w:tcBorders>
              <w:bottom w:val="nil"/>
            </w:tcBorders>
          </w:tcPr>
          <w:p w:rsidR="00000000" w:rsidRDefault="00844A84">
            <w:pPr>
              <w:pStyle w:val="a2"/>
              <w:tabs>
                <w:tab w:val="decimal" w:pos="647"/>
              </w:tabs>
              <w:spacing w:before="120" w:line="260" w:lineRule="exact"/>
              <w:rPr>
                <w:snapToGrid/>
                <w:sz w:val="20"/>
              </w:rPr>
            </w:pPr>
            <w:r>
              <w:rPr>
                <w:snapToGrid/>
                <w:sz w:val="20"/>
              </w:rPr>
              <w:t>4,204</w:t>
            </w:r>
            <w:r>
              <w:rPr>
                <w:snapToGrid/>
                <w:sz w:val="20"/>
              </w:rPr>
              <w:br/>
              <w:t>41.60</w:t>
            </w:r>
          </w:p>
        </w:tc>
        <w:tc>
          <w:tcPr>
            <w:tcW w:w="1410" w:type="dxa"/>
            <w:tcBorders>
              <w:bottom w:val="nil"/>
            </w:tcBorders>
          </w:tcPr>
          <w:p w:rsidR="00000000" w:rsidRDefault="00844A84">
            <w:pPr>
              <w:pStyle w:val="a2"/>
              <w:tabs>
                <w:tab w:val="decimal" w:pos="647"/>
              </w:tabs>
              <w:spacing w:before="120" w:line="260" w:lineRule="exact"/>
              <w:rPr>
                <w:snapToGrid/>
                <w:sz w:val="20"/>
              </w:rPr>
            </w:pPr>
            <w:r>
              <w:rPr>
                <w:snapToGrid/>
                <w:sz w:val="20"/>
              </w:rPr>
              <w:t>4,309</w:t>
            </w:r>
            <w:r>
              <w:rPr>
                <w:snapToGrid/>
                <w:sz w:val="20"/>
              </w:rPr>
              <w:br/>
              <w:t>44.96</w:t>
            </w:r>
          </w:p>
        </w:tc>
        <w:tc>
          <w:tcPr>
            <w:tcW w:w="1410" w:type="dxa"/>
            <w:tcBorders>
              <w:bottom w:val="nil"/>
            </w:tcBorders>
          </w:tcPr>
          <w:p w:rsidR="00000000" w:rsidRDefault="00844A84">
            <w:pPr>
              <w:pStyle w:val="a2"/>
              <w:tabs>
                <w:tab w:val="decimal" w:pos="647"/>
              </w:tabs>
              <w:spacing w:before="120" w:line="260" w:lineRule="exact"/>
              <w:rPr>
                <w:snapToGrid/>
                <w:sz w:val="20"/>
              </w:rPr>
            </w:pPr>
            <w:r>
              <w:rPr>
                <w:snapToGrid/>
                <w:sz w:val="20"/>
              </w:rPr>
              <w:t>3,373</w:t>
            </w:r>
            <w:r>
              <w:rPr>
                <w:snapToGrid/>
                <w:sz w:val="20"/>
              </w:rPr>
              <w:br/>
              <w:t>44.31</w:t>
            </w:r>
          </w:p>
        </w:tc>
      </w:tr>
      <w:tr w:rsidR="00000000">
        <w:tblPrEx>
          <w:tblCellMar>
            <w:top w:w="0" w:type="dxa"/>
            <w:bottom w:w="0" w:type="dxa"/>
          </w:tblCellMar>
        </w:tblPrEx>
        <w:tc>
          <w:tcPr>
            <w:tcW w:w="2020" w:type="dxa"/>
            <w:tcBorders>
              <w:top w:val="nil"/>
              <w:bottom w:val="nil"/>
            </w:tcBorders>
          </w:tcPr>
          <w:p w:rsidR="00000000" w:rsidRDefault="00844A84">
            <w:pPr>
              <w:pStyle w:val="a2"/>
              <w:spacing w:line="260" w:lineRule="exact"/>
              <w:rPr>
                <w:snapToGrid/>
                <w:sz w:val="20"/>
              </w:rPr>
            </w:pPr>
            <w:r>
              <w:rPr>
                <w:rFonts w:hint="eastAsia"/>
                <w:snapToGrid/>
                <w:sz w:val="20"/>
              </w:rPr>
              <w:t>肠道疾病</w:t>
            </w:r>
          </w:p>
        </w:tc>
        <w:tc>
          <w:tcPr>
            <w:tcW w:w="1635" w:type="dxa"/>
            <w:tcBorders>
              <w:top w:val="nil"/>
              <w:bottom w:val="nil"/>
            </w:tcBorders>
          </w:tcPr>
          <w:p w:rsidR="00000000" w:rsidRDefault="00844A84">
            <w:pPr>
              <w:pStyle w:val="a2"/>
              <w:tabs>
                <w:tab w:val="decimal" w:pos="722"/>
              </w:tabs>
              <w:spacing w:line="260" w:lineRule="exact"/>
              <w:ind w:right="454"/>
              <w:rPr>
                <w:snapToGrid/>
                <w:sz w:val="20"/>
              </w:rPr>
            </w:pPr>
            <w:r>
              <w:rPr>
                <w:snapToGrid/>
                <w:sz w:val="20"/>
              </w:rPr>
              <w:t>2,124</w:t>
            </w:r>
            <w:r>
              <w:rPr>
                <w:snapToGrid/>
                <w:sz w:val="20"/>
              </w:rPr>
              <w:br/>
              <w:t>23.47</w:t>
            </w:r>
          </w:p>
        </w:tc>
        <w:tc>
          <w:tcPr>
            <w:tcW w:w="1432" w:type="dxa"/>
            <w:tcBorders>
              <w:top w:val="nil"/>
              <w:bottom w:val="nil"/>
            </w:tcBorders>
          </w:tcPr>
          <w:p w:rsidR="00000000" w:rsidRDefault="00844A84">
            <w:pPr>
              <w:pStyle w:val="a2"/>
              <w:tabs>
                <w:tab w:val="decimal" w:pos="647"/>
              </w:tabs>
              <w:spacing w:line="260" w:lineRule="exact"/>
              <w:rPr>
                <w:snapToGrid/>
                <w:sz w:val="20"/>
              </w:rPr>
            </w:pPr>
            <w:r>
              <w:rPr>
                <w:snapToGrid/>
                <w:sz w:val="20"/>
              </w:rPr>
              <w:t>3,018</w:t>
            </w:r>
            <w:r>
              <w:rPr>
                <w:snapToGrid/>
                <w:sz w:val="20"/>
              </w:rPr>
              <w:br/>
              <w:t>35.89</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3,655</w:t>
            </w:r>
            <w:r>
              <w:rPr>
                <w:snapToGrid/>
                <w:sz w:val="20"/>
              </w:rPr>
              <w:br/>
              <w:t>36.17</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3,482</w:t>
            </w:r>
            <w:r>
              <w:rPr>
                <w:snapToGrid/>
                <w:sz w:val="20"/>
              </w:rPr>
              <w:br/>
              <w:t>36.36</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3,143</w:t>
            </w:r>
            <w:r>
              <w:rPr>
                <w:snapToGrid/>
                <w:sz w:val="20"/>
              </w:rPr>
              <w:br/>
              <w:t>41.30</w:t>
            </w:r>
          </w:p>
        </w:tc>
      </w:tr>
      <w:tr w:rsidR="00000000">
        <w:tblPrEx>
          <w:tblCellMar>
            <w:top w:w="0" w:type="dxa"/>
            <w:bottom w:w="0" w:type="dxa"/>
          </w:tblCellMar>
        </w:tblPrEx>
        <w:tc>
          <w:tcPr>
            <w:tcW w:w="2020" w:type="dxa"/>
            <w:tcBorders>
              <w:top w:val="nil"/>
              <w:bottom w:val="nil"/>
            </w:tcBorders>
          </w:tcPr>
          <w:p w:rsidR="00000000" w:rsidRDefault="00844A84">
            <w:pPr>
              <w:pStyle w:val="a2"/>
              <w:spacing w:line="260" w:lineRule="exact"/>
              <w:rPr>
                <w:snapToGrid/>
                <w:sz w:val="20"/>
              </w:rPr>
            </w:pPr>
            <w:r>
              <w:rPr>
                <w:rFonts w:hint="eastAsia"/>
                <w:snapToGrid/>
                <w:sz w:val="20"/>
              </w:rPr>
              <w:t>寄生虫病</w:t>
            </w:r>
            <w:r>
              <w:rPr>
                <w:snapToGrid/>
                <w:sz w:val="20"/>
              </w:rPr>
              <w:br/>
            </w:r>
          </w:p>
        </w:tc>
        <w:tc>
          <w:tcPr>
            <w:tcW w:w="1635" w:type="dxa"/>
            <w:tcBorders>
              <w:top w:val="nil"/>
              <w:bottom w:val="nil"/>
            </w:tcBorders>
          </w:tcPr>
          <w:p w:rsidR="00000000" w:rsidRDefault="00844A84">
            <w:pPr>
              <w:pStyle w:val="a2"/>
              <w:tabs>
                <w:tab w:val="decimal" w:pos="722"/>
              </w:tabs>
              <w:spacing w:line="260" w:lineRule="exact"/>
              <w:ind w:right="454"/>
              <w:rPr>
                <w:snapToGrid/>
                <w:sz w:val="20"/>
              </w:rPr>
            </w:pPr>
            <w:r>
              <w:rPr>
                <w:snapToGrid/>
                <w:sz w:val="20"/>
              </w:rPr>
              <w:t>1,079</w:t>
            </w:r>
            <w:r>
              <w:rPr>
                <w:snapToGrid/>
                <w:sz w:val="20"/>
              </w:rPr>
              <w:br/>
              <w:t>11.92</w:t>
            </w:r>
          </w:p>
        </w:tc>
        <w:tc>
          <w:tcPr>
            <w:tcW w:w="1432" w:type="dxa"/>
            <w:tcBorders>
              <w:top w:val="nil"/>
              <w:bottom w:val="nil"/>
            </w:tcBorders>
          </w:tcPr>
          <w:p w:rsidR="00000000" w:rsidRDefault="00844A84">
            <w:pPr>
              <w:pStyle w:val="a2"/>
              <w:tabs>
                <w:tab w:val="decimal" w:pos="647"/>
              </w:tabs>
              <w:spacing w:line="260" w:lineRule="exact"/>
              <w:rPr>
                <w:snapToGrid/>
                <w:sz w:val="20"/>
              </w:rPr>
            </w:pPr>
            <w:r>
              <w:rPr>
                <w:snapToGrid/>
                <w:sz w:val="20"/>
              </w:rPr>
              <w:t>1,028</w:t>
            </w:r>
            <w:r>
              <w:rPr>
                <w:snapToGrid/>
                <w:sz w:val="20"/>
              </w:rPr>
              <w:br/>
              <w:t>12.22</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1,968</w:t>
            </w:r>
            <w:r>
              <w:rPr>
                <w:snapToGrid/>
                <w:sz w:val="20"/>
              </w:rPr>
              <w:br/>
              <w:t>19.48</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1,560</w:t>
            </w:r>
            <w:r>
              <w:rPr>
                <w:snapToGrid/>
                <w:sz w:val="20"/>
              </w:rPr>
              <w:br/>
              <w:t>16.27</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907</w:t>
            </w:r>
            <w:r>
              <w:rPr>
                <w:snapToGrid/>
                <w:sz w:val="20"/>
              </w:rPr>
              <w:br/>
              <w:t>11.96</w:t>
            </w:r>
          </w:p>
        </w:tc>
      </w:tr>
      <w:tr w:rsidR="00000000">
        <w:tblPrEx>
          <w:tblCellMar>
            <w:top w:w="0" w:type="dxa"/>
            <w:bottom w:w="0" w:type="dxa"/>
          </w:tblCellMar>
        </w:tblPrEx>
        <w:tc>
          <w:tcPr>
            <w:tcW w:w="2020" w:type="dxa"/>
            <w:tcBorders>
              <w:top w:val="nil"/>
              <w:bottom w:val="nil"/>
            </w:tcBorders>
          </w:tcPr>
          <w:p w:rsidR="00000000" w:rsidRDefault="00844A84">
            <w:pPr>
              <w:pStyle w:val="a2"/>
              <w:spacing w:line="260" w:lineRule="exact"/>
              <w:rPr>
                <w:snapToGrid/>
                <w:spacing w:val="0"/>
                <w:sz w:val="20"/>
              </w:rPr>
            </w:pPr>
            <w:r>
              <w:rPr>
                <w:rFonts w:hint="eastAsia"/>
                <w:snapToGrid/>
                <w:spacing w:val="0"/>
                <w:sz w:val="20"/>
              </w:rPr>
              <w:t>人源动物源传播疾病</w:t>
            </w:r>
          </w:p>
        </w:tc>
        <w:tc>
          <w:tcPr>
            <w:tcW w:w="1635" w:type="dxa"/>
            <w:tcBorders>
              <w:top w:val="nil"/>
              <w:bottom w:val="nil"/>
            </w:tcBorders>
          </w:tcPr>
          <w:p w:rsidR="00000000" w:rsidRDefault="00844A84">
            <w:pPr>
              <w:pStyle w:val="a2"/>
              <w:tabs>
                <w:tab w:val="decimal" w:pos="722"/>
              </w:tabs>
              <w:spacing w:line="260" w:lineRule="exact"/>
              <w:ind w:right="454"/>
              <w:rPr>
                <w:snapToGrid/>
                <w:sz w:val="20"/>
              </w:rPr>
            </w:pPr>
            <w:r>
              <w:rPr>
                <w:snapToGrid/>
                <w:sz w:val="20"/>
              </w:rPr>
              <w:t>33</w:t>
            </w:r>
            <w:r>
              <w:rPr>
                <w:snapToGrid/>
                <w:sz w:val="20"/>
              </w:rPr>
              <w:br/>
              <w:t>0.36</w:t>
            </w:r>
          </w:p>
        </w:tc>
        <w:tc>
          <w:tcPr>
            <w:tcW w:w="1432" w:type="dxa"/>
            <w:tcBorders>
              <w:top w:val="nil"/>
              <w:bottom w:val="nil"/>
            </w:tcBorders>
          </w:tcPr>
          <w:p w:rsidR="00000000" w:rsidRDefault="00844A84">
            <w:pPr>
              <w:pStyle w:val="a2"/>
              <w:tabs>
                <w:tab w:val="decimal" w:pos="647"/>
              </w:tabs>
              <w:spacing w:line="260" w:lineRule="exact"/>
              <w:rPr>
                <w:snapToGrid/>
                <w:sz w:val="20"/>
              </w:rPr>
            </w:pPr>
            <w:r>
              <w:rPr>
                <w:snapToGrid/>
                <w:sz w:val="20"/>
              </w:rPr>
              <w:t>71</w:t>
            </w:r>
            <w:r>
              <w:rPr>
                <w:snapToGrid/>
                <w:sz w:val="20"/>
              </w:rPr>
              <w:br/>
              <w:t>0.88</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120</w:t>
            </w:r>
            <w:r>
              <w:rPr>
                <w:snapToGrid/>
                <w:sz w:val="20"/>
              </w:rPr>
              <w:br/>
              <w:t>1.19</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66</w:t>
            </w:r>
            <w:r>
              <w:rPr>
                <w:snapToGrid/>
                <w:sz w:val="20"/>
              </w:rPr>
              <w:br/>
              <w:t>0.68</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5</w:t>
            </w:r>
            <w:r>
              <w:rPr>
                <w:snapToGrid/>
                <w:sz w:val="20"/>
              </w:rPr>
              <w:br/>
              <w:t>0.06</w:t>
            </w:r>
          </w:p>
        </w:tc>
      </w:tr>
      <w:tr w:rsidR="00000000">
        <w:tblPrEx>
          <w:tblCellMar>
            <w:top w:w="0" w:type="dxa"/>
            <w:bottom w:w="0" w:type="dxa"/>
          </w:tblCellMar>
        </w:tblPrEx>
        <w:tc>
          <w:tcPr>
            <w:tcW w:w="2020" w:type="dxa"/>
            <w:tcBorders>
              <w:top w:val="nil"/>
              <w:bottom w:val="nil"/>
            </w:tcBorders>
          </w:tcPr>
          <w:p w:rsidR="00000000" w:rsidRDefault="00844A84">
            <w:pPr>
              <w:pStyle w:val="a2"/>
              <w:spacing w:line="260" w:lineRule="exact"/>
              <w:rPr>
                <w:rFonts w:hint="eastAsia"/>
                <w:snapToGrid/>
                <w:sz w:val="20"/>
              </w:rPr>
            </w:pPr>
            <w:r>
              <w:rPr>
                <w:rFonts w:hint="eastAsia"/>
                <w:snapToGrid/>
                <w:sz w:val="20"/>
              </w:rPr>
              <w:t>性传染病</w:t>
            </w:r>
          </w:p>
        </w:tc>
        <w:tc>
          <w:tcPr>
            <w:tcW w:w="1635" w:type="dxa"/>
            <w:tcBorders>
              <w:top w:val="nil"/>
              <w:bottom w:val="nil"/>
            </w:tcBorders>
          </w:tcPr>
          <w:p w:rsidR="00000000" w:rsidRDefault="00844A84">
            <w:pPr>
              <w:pStyle w:val="a2"/>
              <w:tabs>
                <w:tab w:val="decimal" w:pos="722"/>
              </w:tabs>
              <w:spacing w:line="260" w:lineRule="exact"/>
              <w:ind w:right="454"/>
              <w:rPr>
                <w:snapToGrid/>
                <w:sz w:val="20"/>
              </w:rPr>
            </w:pPr>
            <w:r>
              <w:rPr>
                <w:snapToGrid/>
                <w:sz w:val="20"/>
              </w:rPr>
              <w:t>8</w:t>
            </w:r>
            <w:r>
              <w:rPr>
                <w:snapToGrid/>
                <w:sz w:val="20"/>
              </w:rPr>
              <w:br/>
              <w:t>0.09</w:t>
            </w:r>
          </w:p>
        </w:tc>
        <w:tc>
          <w:tcPr>
            <w:tcW w:w="1432" w:type="dxa"/>
            <w:tcBorders>
              <w:top w:val="nil"/>
              <w:bottom w:val="nil"/>
            </w:tcBorders>
          </w:tcPr>
          <w:p w:rsidR="00000000" w:rsidRDefault="00844A84">
            <w:pPr>
              <w:pStyle w:val="a2"/>
              <w:tabs>
                <w:tab w:val="decimal" w:pos="647"/>
              </w:tabs>
              <w:spacing w:line="260" w:lineRule="exact"/>
              <w:rPr>
                <w:snapToGrid/>
                <w:sz w:val="20"/>
              </w:rPr>
            </w:pPr>
            <w:r>
              <w:rPr>
                <w:snapToGrid/>
                <w:sz w:val="20"/>
              </w:rPr>
              <w:t>10</w:t>
            </w:r>
            <w:r>
              <w:rPr>
                <w:snapToGrid/>
                <w:sz w:val="20"/>
              </w:rPr>
              <w:br/>
              <w:t>0.12</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14</w:t>
            </w:r>
            <w:r>
              <w:rPr>
                <w:snapToGrid/>
                <w:sz w:val="20"/>
              </w:rPr>
              <w:br/>
              <w:t>0.13</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14</w:t>
            </w:r>
            <w:r>
              <w:rPr>
                <w:snapToGrid/>
                <w:sz w:val="20"/>
              </w:rPr>
              <w:br/>
              <w:t>0.14</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11</w:t>
            </w:r>
            <w:r>
              <w:rPr>
                <w:snapToGrid/>
                <w:sz w:val="20"/>
              </w:rPr>
              <w:br/>
              <w:t>0.14</w:t>
            </w:r>
          </w:p>
        </w:tc>
      </w:tr>
      <w:tr w:rsidR="00000000">
        <w:tblPrEx>
          <w:tblCellMar>
            <w:top w:w="0" w:type="dxa"/>
            <w:bottom w:w="0" w:type="dxa"/>
          </w:tblCellMar>
        </w:tblPrEx>
        <w:tc>
          <w:tcPr>
            <w:tcW w:w="2020" w:type="dxa"/>
            <w:tcBorders>
              <w:top w:val="nil"/>
              <w:bottom w:val="nil"/>
            </w:tcBorders>
          </w:tcPr>
          <w:p w:rsidR="00000000" w:rsidRDefault="00844A84">
            <w:pPr>
              <w:pStyle w:val="a2"/>
              <w:spacing w:line="260" w:lineRule="exact"/>
              <w:rPr>
                <w:rFonts w:hint="eastAsia"/>
                <w:snapToGrid/>
                <w:sz w:val="20"/>
              </w:rPr>
            </w:pPr>
            <w:r>
              <w:rPr>
                <w:rFonts w:hint="eastAsia"/>
                <w:snapToGrid/>
                <w:sz w:val="20"/>
              </w:rPr>
              <w:t>接触传播疾病</w:t>
            </w:r>
          </w:p>
        </w:tc>
        <w:tc>
          <w:tcPr>
            <w:tcW w:w="1635" w:type="dxa"/>
            <w:tcBorders>
              <w:top w:val="nil"/>
              <w:bottom w:val="nil"/>
            </w:tcBorders>
          </w:tcPr>
          <w:p w:rsidR="00000000" w:rsidRDefault="00844A84">
            <w:pPr>
              <w:pStyle w:val="a2"/>
              <w:tabs>
                <w:tab w:val="decimal" w:pos="722"/>
              </w:tabs>
              <w:spacing w:line="260" w:lineRule="exact"/>
              <w:ind w:right="454"/>
              <w:rPr>
                <w:snapToGrid/>
                <w:sz w:val="20"/>
              </w:rPr>
            </w:pPr>
            <w:r>
              <w:rPr>
                <w:snapToGrid/>
                <w:sz w:val="20"/>
              </w:rPr>
              <w:t>4</w:t>
            </w:r>
            <w:r>
              <w:rPr>
                <w:snapToGrid/>
                <w:sz w:val="20"/>
              </w:rPr>
              <w:br/>
              <w:t>0.04</w:t>
            </w:r>
          </w:p>
        </w:tc>
        <w:tc>
          <w:tcPr>
            <w:tcW w:w="1432" w:type="dxa"/>
            <w:tcBorders>
              <w:top w:val="nil"/>
              <w:bottom w:val="nil"/>
            </w:tcBorders>
          </w:tcPr>
          <w:p w:rsidR="00000000" w:rsidRDefault="00844A84">
            <w:pPr>
              <w:pStyle w:val="a2"/>
              <w:tabs>
                <w:tab w:val="decimal" w:pos="647"/>
              </w:tabs>
              <w:spacing w:line="260" w:lineRule="exact"/>
              <w:rPr>
                <w:snapToGrid/>
                <w:sz w:val="20"/>
              </w:rPr>
            </w:pPr>
            <w:r>
              <w:rPr>
                <w:snapToGrid/>
                <w:sz w:val="20"/>
              </w:rPr>
              <w:t>3</w:t>
            </w:r>
            <w:r>
              <w:rPr>
                <w:snapToGrid/>
                <w:sz w:val="20"/>
              </w:rPr>
              <w:br/>
              <w:t>0.03</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8</w:t>
            </w:r>
            <w:r>
              <w:rPr>
                <w:snapToGrid/>
                <w:sz w:val="20"/>
              </w:rPr>
              <w:br/>
              <w:t>0.07</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5</w:t>
            </w:r>
            <w:r>
              <w:rPr>
                <w:snapToGrid/>
                <w:sz w:val="20"/>
              </w:rPr>
              <w:br/>
              <w:t>0.05</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15</w:t>
            </w:r>
            <w:r>
              <w:rPr>
                <w:snapToGrid/>
                <w:sz w:val="20"/>
              </w:rPr>
              <w:br/>
              <w:t>0.19</w:t>
            </w:r>
          </w:p>
        </w:tc>
      </w:tr>
      <w:tr w:rsidR="00000000">
        <w:tblPrEx>
          <w:tblCellMar>
            <w:top w:w="0" w:type="dxa"/>
            <w:bottom w:w="0" w:type="dxa"/>
          </w:tblCellMar>
        </w:tblPrEx>
        <w:tc>
          <w:tcPr>
            <w:tcW w:w="2020" w:type="dxa"/>
            <w:tcBorders>
              <w:top w:val="nil"/>
              <w:bottom w:val="nil"/>
            </w:tcBorders>
          </w:tcPr>
          <w:p w:rsidR="00000000" w:rsidRDefault="00844A84">
            <w:pPr>
              <w:pStyle w:val="a2"/>
              <w:spacing w:line="260" w:lineRule="exact"/>
              <w:rPr>
                <w:snapToGrid/>
                <w:sz w:val="20"/>
              </w:rPr>
            </w:pPr>
            <w:r>
              <w:rPr>
                <w:rFonts w:hint="eastAsia"/>
                <w:snapToGrid/>
                <w:sz w:val="20"/>
              </w:rPr>
              <w:t>其他传播疾病</w:t>
            </w:r>
            <w:r>
              <w:rPr>
                <w:snapToGrid/>
                <w:sz w:val="20"/>
              </w:rPr>
              <w:br/>
            </w:r>
          </w:p>
        </w:tc>
        <w:tc>
          <w:tcPr>
            <w:tcW w:w="1635" w:type="dxa"/>
            <w:tcBorders>
              <w:top w:val="nil"/>
              <w:bottom w:val="nil"/>
            </w:tcBorders>
          </w:tcPr>
          <w:p w:rsidR="00000000" w:rsidRDefault="00844A84">
            <w:pPr>
              <w:pStyle w:val="a2"/>
              <w:tabs>
                <w:tab w:val="decimal" w:pos="722"/>
              </w:tabs>
              <w:spacing w:line="260" w:lineRule="exact"/>
              <w:ind w:right="454"/>
              <w:rPr>
                <w:snapToGrid/>
                <w:sz w:val="20"/>
              </w:rPr>
            </w:pPr>
            <w:r>
              <w:rPr>
                <w:snapToGrid/>
                <w:sz w:val="20"/>
              </w:rPr>
              <w:t>80</w:t>
            </w:r>
            <w:r>
              <w:rPr>
                <w:snapToGrid/>
                <w:sz w:val="20"/>
              </w:rPr>
              <w:br/>
              <w:t>0.88</w:t>
            </w:r>
          </w:p>
        </w:tc>
        <w:tc>
          <w:tcPr>
            <w:tcW w:w="1432" w:type="dxa"/>
            <w:tcBorders>
              <w:top w:val="nil"/>
              <w:bottom w:val="nil"/>
            </w:tcBorders>
          </w:tcPr>
          <w:p w:rsidR="00000000" w:rsidRDefault="00844A84">
            <w:pPr>
              <w:pStyle w:val="a2"/>
              <w:tabs>
                <w:tab w:val="decimal" w:pos="647"/>
              </w:tabs>
              <w:spacing w:line="260" w:lineRule="exact"/>
              <w:rPr>
                <w:snapToGrid/>
                <w:sz w:val="20"/>
              </w:rPr>
            </w:pPr>
            <w:r>
              <w:rPr>
                <w:snapToGrid/>
                <w:sz w:val="20"/>
              </w:rPr>
              <w:t>99</w:t>
            </w:r>
            <w:r>
              <w:rPr>
                <w:snapToGrid/>
                <w:sz w:val="20"/>
              </w:rPr>
              <w:br/>
              <w:t>1.17</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134</w:t>
            </w:r>
            <w:r>
              <w:rPr>
                <w:snapToGrid/>
                <w:sz w:val="20"/>
              </w:rPr>
              <w:br/>
              <w:t>1.33</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147</w:t>
            </w:r>
            <w:r>
              <w:rPr>
                <w:snapToGrid/>
                <w:sz w:val="20"/>
              </w:rPr>
              <w:br/>
              <w:t>1.54</w:t>
            </w:r>
          </w:p>
        </w:tc>
        <w:tc>
          <w:tcPr>
            <w:tcW w:w="1410" w:type="dxa"/>
            <w:tcBorders>
              <w:top w:val="nil"/>
              <w:bottom w:val="nil"/>
            </w:tcBorders>
          </w:tcPr>
          <w:p w:rsidR="00000000" w:rsidRDefault="00844A84">
            <w:pPr>
              <w:pStyle w:val="a2"/>
              <w:tabs>
                <w:tab w:val="decimal" w:pos="647"/>
              </w:tabs>
              <w:spacing w:line="260" w:lineRule="exact"/>
              <w:rPr>
                <w:snapToGrid/>
                <w:sz w:val="20"/>
              </w:rPr>
            </w:pPr>
            <w:r>
              <w:rPr>
                <w:snapToGrid/>
                <w:sz w:val="20"/>
              </w:rPr>
              <w:t>155</w:t>
            </w:r>
            <w:r>
              <w:rPr>
                <w:snapToGrid/>
                <w:sz w:val="20"/>
              </w:rPr>
              <w:br/>
              <w:t>2.03</w:t>
            </w:r>
          </w:p>
        </w:tc>
      </w:tr>
      <w:tr w:rsidR="00000000">
        <w:tblPrEx>
          <w:tblCellMar>
            <w:top w:w="0" w:type="dxa"/>
            <w:bottom w:w="0" w:type="dxa"/>
          </w:tblCellMar>
        </w:tblPrEx>
        <w:tc>
          <w:tcPr>
            <w:tcW w:w="2020" w:type="dxa"/>
            <w:tcBorders>
              <w:top w:val="nil"/>
            </w:tcBorders>
          </w:tcPr>
          <w:p w:rsidR="00000000" w:rsidRDefault="00844A84">
            <w:pPr>
              <w:pStyle w:val="a2"/>
              <w:spacing w:line="260" w:lineRule="exact"/>
              <w:rPr>
                <w:snapToGrid/>
                <w:sz w:val="20"/>
              </w:rPr>
            </w:pPr>
            <w:r>
              <w:rPr>
                <w:rFonts w:hint="eastAsia"/>
                <w:snapToGrid/>
                <w:sz w:val="20"/>
              </w:rPr>
              <w:t>细菌传播疾病</w:t>
            </w:r>
          </w:p>
        </w:tc>
        <w:tc>
          <w:tcPr>
            <w:tcW w:w="1635" w:type="dxa"/>
            <w:tcBorders>
              <w:top w:val="nil"/>
            </w:tcBorders>
          </w:tcPr>
          <w:p w:rsidR="00000000" w:rsidRDefault="00844A84">
            <w:pPr>
              <w:pStyle w:val="a2"/>
              <w:tabs>
                <w:tab w:val="decimal" w:pos="722"/>
              </w:tabs>
              <w:spacing w:line="260" w:lineRule="exact"/>
              <w:ind w:right="454"/>
              <w:rPr>
                <w:snapToGrid/>
                <w:sz w:val="20"/>
              </w:rPr>
            </w:pPr>
            <w:r>
              <w:rPr>
                <w:snapToGrid/>
                <w:sz w:val="20"/>
              </w:rPr>
              <w:t>14</w:t>
            </w:r>
            <w:r>
              <w:rPr>
                <w:snapToGrid/>
                <w:sz w:val="20"/>
              </w:rPr>
              <w:br/>
              <w:t>0.15</w:t>
            </w:r>
          </w:p>
        </w:tc>
        <w:tc>
          <w:tcPr>
            <w:tcW w:w="1432" w:type="dxa"/>
            <w:tcBorders>
              <w:top w:val="nil"/>
            </w:tcBorders>
          </w:tcPr>
          <w:p w:rsidR="00000000" w:rsidRDefault="00844A84">
            <w:pPr>
              <w:pStyle w:val="a2"/>
              <w:tabs>
                <w:tab w:val="decimal" w:pos="647"/>
              </w:tabs>
              <w:spacing w:line="260" w:lineRule="exact"/>
              <w:rPr>
                <w:snapToGrid/>
                <w:sz w:val="20"/>
              </w:rPr>
            </w:pPr>
            <w:r>
              <w:rPr>
                <w:snapToGrid/>
                <w:sz w:val="20"/>
              </w:rPr>
              <w:t>6</w:t>
            </w:r>
            <w:r>
              <w:rPr>
                <w:snapToGrid/>
                <w:sz w:val="20"/>
              </w:rPr>
              <w:br/>
              <w:t>0.07</w:t>
            </w:r>
          </w:p>
        </w:tc>
        <w:tc>
          <w:tcPr>
            <w:tcW w:w="1410" w:type="dxa"/>
            <w:tcBorders>
              <w:top w:val="nil"/>
            </w:tcBorders>
          </w:tcPr>
          <w:p w:rsidR="00000000" w:rsidRDefault="00844A84">
            <w:pPr>
              <w:pStyle w:val="a2"/>
              <w:tabs>
                <w:tab w:val="decimal" w:pos="647"/>
              </w:tabs>
              <w:spacing w:line="260" w:lineRule="exact"/>
              <w:rPr>
                <w:snapToGrid/>
                <w:sz w:val="20"/>
              </w:rPr>
            </w:pPr>
            <w:r>
              <w:rPr>
                <w:snapToGrid/>
                <w:sz w:val="20"/>
              </w:rPr>
              <w:t>4</w:t>
            </w:r>
            <w:r>
              <w:rPr>
                <w:snapToGrid/>
                <w:sz w:val="20"/>
              </w:rPr>
              <w:br/>
              <w:t>0.03</w:t>
            </w:r>
          </w:p>
        </w:tc>
        <w:tc>
          <w:tcPr>
            <w:tcW w:w="1410" w:type="dxa"/>
            <w:tcBorders>
              <w:top w:val="nil"/>
            </w:tcBorders>
          </w:tcPr>
          <w:p w:rsidR="00000000" w:rsidRDefault="00844A84">
            <w:pPr>
              <w:pStyle w:val="a2"/>
              <w:tabs>
                <w:tab w:val="decimal" w:pos="647"/>
              </w:tabs>
              <w:spacing w:line="260" w:lineRule="exact"/>
              <w:rPr>
                <w:snapToGrid/>
                <w:sz w:val="20"/>
              </w:rPr>
            </w:pPr>
            <w:r>
              <w:rPr>
                <w:snapToGrid/>
                <w:sz w:val="20"/>
              </w:rPr>
              <w:t>0</w:t>
            </w:r>
            <w:r>
              <w:rPr>
                <w:snapToGrid/>
                <w:sz w:val="20"/>
              </w:rPr>
              <w:br/>
              <w:t>0.00</w:t>
            </w:r>
          </w:p>
        </w:tc>
        <w:tc>
          <w:tcPr>
            <w:tcW w:w="1410" w:type="dxa"/>
            <w:tcBorders>
              <w:top w:val="nil"/>
            </w:tcBorders>
          </w:tcPr>
          <w:p w:rsidR="00000000" w:rsidRDefault="00844A84">
            <w:pPr>
              <w:pStyle w:val="a2"/>
              <w:tabs>
                <w:tab w:val="decimal" w:pos="647"/>
              </w:tabs>
              <w:spacing w:line="260" w:lineRule="exact"/>
              <w:rPr>
                <w:snapToGrid/>
                <w:sz w:val="20"/>
              </w:rPr>
            </w:pPr>
            <w:r>
              <w:rPr>
                <w:snapToGrid/>
                <w:sz w:val="20"/>
              </w:rPr>
              <w:t>1</w:t>
            </w:r>
            <w:r>
              <w:rPr>
                <w:snapToGrid/>
                <w:sz w:val="20"/>
              </w:rPr>
              <w:br/>
              <w:t>0.01</w:t>
            </w:r>
          </w:p>
        </w:tc>
      </w:tr>
      <w:tr w:rsidR="00000000">
        <w:tblPrEx>
          <w:tblCellMar>
            <w:top w:w="0" w:type="dxa"/>
            <w:bottom w:w="0" w:type="dxa"/>
          </w:tblCellMar>
        </w:tblPrEx>
        <w:tc>
          <w:tcPr>
            <w:tcW w:w="2020" w:type="dxa"/>
          </w:tcPr>
          <w:p w:rsidR="00000000" w:rsidRDefault="00844A84">
            <w:pPr>
              <w:pStyle w:val="a2"/>
              <w:spacing w:line="260" w:lineRule="exact"/>
              <w:rPr>
                <w:rFonts w:hint="eastAsia"/>
                <w:snapToGrid/>
                <w:sz w:val="20"/>
              </w:rPr>
            </w:pPr>
            <w:r>
              <w:rPr>
                <w:snapToGrid/>
                <w:sz w:val="20"/>
              </w:rPr>
              <w:t xml:space="preserve">    </w:t>
            </w:r>
            <w:r>
              <w:rPr>
                <w:rFonts w:hint="eastAsia"/>
                <w:snapToGrid/>
                <w:sz w:val="20"/>
              </w:rPr>
              <w:t>共</w:t>
            </w:r>
            <w:r>
              <w:rPr>
                <w:snapToGrid/>
                <w:sz w:val="20"/>
              </w:rPr>
              <w:t xml:space="preserve">  </w:t>
            </w:r>
            <w:r>
              <w:rPr>
                <w:rFonts w:hint="eastAsia"/>
                <w:snapToGrid/>
                <w:sz w:val="20"/>
              </w:rPr>
              <w:t>计</w:t>
            </w:r>
          </w:p>
        </w:tc>
        <w:tc>
          <w:tcPr>
            <w:tcW w:w="1635" w:type="dxa"/>
          </w:tcPr>
          <w:p w:rsidR="00000000" w:rsidRDefault="00844A84">
            <w:pPr>
              <w:pStyle w:val="a2"/>
              <w:tabs>
                <w:tab w:val="decimal" w:pos="722"/>
              </w:tabs>
              <w:spacing w:line="260" w:lineRule="exact"/>
              <w:ind w:right="454"/>
              <w:rPr>
                <w:snapToGrid/>
                <w:sz w:val="20"/>
              </w:rPr>
            </w:pPr>
            <w:r>
              <w:rPr>
                <w:snapToGrid/>
                <w:sz w:val="20"/>
              </w:rPr>
              <w:t>9,048</w:t>
            </w:r>
            <w:r>
              <w:rPr>
                <w:snapToGrid/>
                <w:sz w:val="20"/>
              </w:rPr>
              <w:br/>
              <w:t>100.00</w:t>
            </w:r>
          </w:p>
        </w:tc>
        <w:tc>
          <w:tcPr>
            <w:tcW w:w="1432" w:type="dxa"/>
          </w:tcPr>
          <w:p w:rsidR="00000000" w:rsidRDefault="00844A84">
            <w:pPr>
              <w:pStyle w:val="a2"/>
              <w:tabs>
                <w:tab w:val="decimal" w:pos="647"/>
              </w:tabs>
              <w:spacing w:line="260" w:lineRule="exact"/>
              <w:rPr>
                <w:snapToGrid/>
                <w:sz w:val="20"/>
              </w:rPr>
            </w:pPr>
            <w:r>
              <w:rPr>
                <w:snapToGrid/>
                <w:sz w:val="20"/>
              </w:rPr>
              <w:t>8,408</w:t>
            </w:r>
            <w:r>
              <w:rPr>
                <w:snapToGrid/>
                <w:sz w:val="20"/>
              </w:rPr>
              <w:br/>
              <w:t>100.00</w:t>
            </w:r>
          </w:p>
        </w:tc>
        <w:tc>
          <w:tcPr>
            <w:tcW w:w="1410" w:type="dxa"/>
          </w:tcPr>
          <w:p w:rsidR="00000000" w:rsidRDefault="00844A84">
            <w:pPr>
              <w:pStyle w:val="a2"/>
              <w:tabs>
                <w:tab w:val="decimal" w:pos="647"/>
              </w:tabs>
              <w:spacing w:line="260" w:lineRule="exact"/>
              <w:rPr>
                <w:snapToGrid/>
                <w:sz w:val="20"/>
              </w:rPr>
            </w:pPr>
            <w:r>
              <w:rPr>
                <w:snapToGrid/>
                <w:sz w:val="20"/>
              </w:rPr>
              <w:t>10,107</w:t>
            </w:r>
            <w:r>
              <w:rPr>
                <w:snapToGrid/>
                <w:sz w:val="20"/>
              </w:rPr>
              <w:br/>
              <w:t>100.00</w:t>
            </w:r>
          </w:p>
        </w:tc>
        <w:tc>
          <w:tcPr>
            <w:tcW w:w="1410" w:type="dxa"/>
          </w:tcPr>
          <w:p w:rsidR="00000000" w:rsidRDefault="00844A84">
            <w:pPr>
              <w:pStyle w:val="a2"/>
              <w:tabs>
                <w:tab w:val="decimal" w:pos="647"/>
              </w:tabs>
              <w:spacing w:line="260" w:lineRule="exact"/>
              <w:rPr>
                <w:snapToGrid/>
                <w:sz w:val="20"/>
              </w:rPr>
            </w:pPr>
            <w:r>
              <w:rPr>
                <w:snapToGrid/>
                <w:sz w:val="20"/>
              </w:rPr>
              <w:t>9,583</w:t>
            </w:r>
            <w:r>
              <w:rPr>
                <w:snapToGrid/>
                <w:sz w:val="20"/>
              </w:rPr>
              <w:br/>
              <w:t>100.00</w:t>
            </w:r>
          </w:p>
        </w:tc>
        <w:tc>
          <w:tcPr>
            <w:tcW w:w="1410" w:type="dxa"/>
          </w:tcPr>
          <w:p w:rsidR="00000000" w:rsidRDefault="00844A84">
            <w:pPr>
              <w:pStyle w:val="a2"/>
              <w:tabs>
                <w:tab w:val="decimal" w:pos="647"/>
              </w:tabs>
              <w:spacing w:line="260" w:lineRule="exact"/>
              <w:rPr>
                <w:snapToGrid/>
                <w:sz w:val="20"/>
              </w:rPr>
            </w:pPr>
            <w:r>
              <w:rPr>
                <w:snapToGrid/>
                <w:sz w:val="20"/>
              </w:rPr>
              <w:t>7,610</w:t>
            </w:r>
            <w:r>
              <w:rPr>
                <w:snapToGrid/>
                <w:sz w:val="20"/>
              </w:rPr>
              <w:br/>
              <w:t>100.00</w:t>
            </w:r>
          </w:p>
        </w:tc>
      </w:tr>
    </w:tbl>
    <w:p w:rsidR="00000000" w:rsidRDefault="00844A84">
      <w:pPr>
        <w:ind w:firstLine="510"/>
        <w:rPr>
          <w:snapToGrid/>
        </w:rPr>
      </w:pPr>
    </w:p>
    <w:p w:rsidR="00000000" w:rsidRDefault="00844A84">
      <w:pPr>
        <w:pStyle w:val="Heading3"/>
        <w:rPr>
          <w:rFonts w:hint="eastAsia"/>
          <w:sz w:val="22"/>
        </w:rPr>
      </w:pPr>
      <w:r>
        <w:rPr>
          <w:rFonts w:hint="eastAsia"/>
          <w:sz w:val="22"/>
          <w:u w:val="none"/>
        </w:rPr>
        <w:t>表</w:t>
      </w:r>
      <w:r>
        <w:rPr>
          <w:sz w:val="22"/>
          <w:u w:val="none"/>
        </w:rPr>
        <w:t xml:space="preserve"> 9</w:t>
      </w:r>
      <w:r>
        <w:rPr>
          <w:sz w:val="22"/>
          <w:u w:val="none"/>
        </w:rPr>
        <w:br/>
      </w:r>
      <w:r>
        <w:rPr>
          <w:sz w:val="22"/>
        </w:rPr>
        <w:t>2001</w:t>
      </w:r>
      <w:r>
        <w:rPr>
          <w:rFonts w:hint="eastAsia"/>
          <w:sz w:val="22"/>
        </w:rPr>
        <w:t>年流行最广泛的</w:t>
      </w:r>
      <w:r>
        <w:rPr>
          <w:rFonts w:hint="eastAsia"/>
          <w:sz w:val="22"/>
        </w:rPr>
        <w:t>10</w:t>
      </w:r>
      <w:r>
        <w:rPr>
          <w:rFonts w:hint="eastAsia"/>
          <w:sz w:val="22"/>
        </w:rPr>
        <w:t>种传染病患者人数和发病率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3518"/>
        <w:gridCol w:w="2551"/>
        <w:gridCol w:w="2331"/>
      </w:tblGrid>
      <w:tr w:rsidR="00000000">
        <w:tblPrEx>
          <w:tblCellMar>
            <w:top w:w="0" w:type="dxa"/>
            <w:bottom w:w="0" w:type="dxa"/>
          </w:tblCellMar>
        </w:tblPrEx>
        <w:tc>
          <w:tcPr>
            <w:tcW w:w="735" w:type="dxa"/>
            <w:tcBorders>
              <w:bottom w:val="single" w:sz="4" w:space="0" w:color="auto"/>
            </w:tcBorders>
          </w:tcPr>
          <w:p w:rsidR="00000000" w:rsidRDefault="00844A84">
            <w:pPr>
              <w:pStyle w:val="a2"/>
              <w:spacing w:before="60" w:after="40"/>
              <w:rPr>
                <w:rFonts w:hint="eastAsia"/>
                <w:snapToGrid/>
              </w:rPr>
            </w:pPr>
            <w:r>
              <w:rPr>
                <w:rFonts w:hint="eastAsia"/>
                <w:snapToGrid/>
              </w:rPr>
              <w:t>序号</w:t>
            </w:r>
          </w:p>
        </w:tc>
        <w:tc>
          <w:tcPr>
            <w:tcW w:w="3518" w:type="dxa"/>
            <w:tcBorders>
              <w:bottom w:val="single" w:sz="4" w:space="0" w:color="auto"/>
            </w:tcBorders>
          </w:tcPr>
          <w:p w:rsidR="00000000" w:rsidRDefault="00844A84">
            <w:pPr>
              <w:pStyle w:val="a2"/>
              <w:spacing w:before="60" w:after="40"/>
              <w:jc w:val="center"/>
              <w:rPr>
                <w:rFonts w:hint="eastAsia"/>
                <w:snapToGrid/>
              </w:rPr>
            </w:pPr>
            <w:r>
              <w:rPr>
                <w:rFonts w:hint="eastAsia"/>
                <w:snapToGrid/>
              </w:rPr>
              <w:t>疾</w:t>
            </w:r>
            <w:r>
              <w:rPr>
                <w:snapToGrid/>
              </w:rPr>
              <w:t xml:space="preserve">   </w:t>
            </w:r>
            <w:r>
              <w:rPr>
                <w:rFonts w:hint="eastAsia"/>
                <w:snapToGrid/>
              </w:rPr>
              <w:t>病</w:t>
            </w:r>
          </w:p>
        </w:tc>
        <w:tc>
          <w:tcPr>
            <w:tcW w:w="2551" w:type="dxa"/>
            <w:tcBorders>
              <w:bottom w:val="single" w:sz="4" w:space="0" w:color="auto"/>
            </w:tcBorders>
          </w:tcPr>
          <w:p w:rsidR="00000000" w:rsidRDefault="00844A84">
            <w:pPr>
              <w:pStyle w:val="a2"/>
              <w:spacing w:before="60" w:after="40"/>
              <w:jc w:val="center"/>
              <w:rPr>
                <w:rFonts w:hint="eastAsia"/>
                <w:snapToGrid/>
              </w:rPr>
            </w:pPr>
            <w:r>
              <w:rPr>
                <w:rFonts w:hint="eastAsia"/>
                <w:snapToGrid/>
              </w:rPr>
              <w:t>患者人数</w:t>
            </w:r>
          </w:p>
        </w:tc>
        <w:tc>
          <w:tcPr>
            <w:tcW w:w="2331" w:type="dxa"/>
            <w:tcBorders>
              <w:bottom w:val="single" w:sz="4" w:space="0" w:color="auto"/>
            </w:tcBorders>
          </w:tcPr>
          <w:p w:rsidR="00000000" w:rsidRDefault="00844A84">
            <w:pPr>
              <w:pStyle w:val="a2"/>
              <w:spacing w:before="60" w:after="40"/>
              <w:jc w:val="center"/>
              <w:rPr>
                <w:rFonts w:hint="eastAsia"/>
                <w:snapToGrid/>
              </w:rPr>
            </w:pPr>
            <w:r>
              <w:rPr>
                <w:rFonts w:hint="eastAsia"/>
                <w:snapToGrid/>
              </w:rPr>
              <w:t>每</w:t>
            </w:r>
            <w:r>
              <w:rPr>
                <w:rFonts w:hint="eastAsia"/>
                <w:snapToGrid/>
              </w:rPr>
              <w:t>10</w:t>
            </w:r>
            <w:r>
              <w:rPr>
                <w:rFonts w:hint="eastAsia"/>
                <w:snapToGrid/>
              </w:rPr>
              <w:t>万人的发病率</w:t>
            </w:r>
          </w:p>
        </w:tc>
      </w:tr>
      <w:tr w:rsidR="00000000">
        <w:tblPrEx>
          <w:tblCellMar>
            <w:top w:w="0" w:type="dxa"/>
            <w:bottom w:w="0" w:type="dxa"/>
          </w:tblCellMar>
        </w:tblPrEx>
        <w:tc>
          <w:tcPr>
            <w:tcW w:w="735" w:type="dxa"/>
            <w:tcBorders>
              <w:bottom w:val="nil"/>
            </w:tcBorders>
          </w:tcPr>
          <w:p w:rsidR="00000000" w:rsidRDefault="00844A84">
            <w:pPr>
              <w:pStyle w:val="a2"/>
              <w:jc w:val="center"/>
              <w:rPr>
                <w:snapToGrid/>
              </w:rPr>
            </w:pPr>
            <w:r>
              <w:rPr>
                <w:snapToGrid/>
              </w:rPr>
              <w:t>1.</w:t>
            </w:r>
          </w:p>
        </w:tc>
        <w:tc>
          <w:tcPr>
            <w:tcW w:w="3518" w:type="dxa"/>
            <w:tcBorders>
              <w:bottom w:val="nil"/>
            </w:tcBorders>
          </w:tcPr>
          <w:p w:rsidR="00000000" w:rsidRDefault="00844A84">
            <w:pPr>
              <w:pStyle w:val="a2"/>
              <w:rPr>
                <w:snapToGrid/>
              </w:rPr>
            </w:pPr>
            <w:r>
              <w:rPr>
                <w:rFonts w:hint="eastAsia"/>
                <w:snapToGrid/>
              </w:rPr>
              <w:t>急性小肠结肠炎</w:t>
            </w:r>
          </w:p>
        </w:tc>
        <w:tc>
          <w:tcPr>
            <w:tcW w:w="2551" w:type="dxa"/>
            <w:tcBorders>
              <w:bottom w:val="nil"/>
            </w:tcBorders>
          </w:tcPr>
          <w:p w:rsidR="00000000" w:rsidRDefault="00844A84">
            <w:pPr>
              <w:pStyle w:val="a2"/>
              <w:tabs>
                <w:tab w:val="decimal" w:pos="1309"/>
              </w:tabs>
              <w:rPr>
                <w:snapToGrid/>
              </w:rPr>
            </w:pPr>
            <w:r>
              <w:rPr>
                <w:snapToGrid/>
              </w:rPr>
              <w:t>2,323</w:t>
            </w:r>
          </w:p>
        </w:tc>
        <w:tc>
          <w:tcPr>
            <w:tcW w:w="2331" w:type="dxa"/>
            <w:tcBorders>
              <w:bottom w:val="nil"/>
            </w:tcBorders>
          </w:tcPr>
          <w:p w:rsidR="00000000" w:rsidRDefault="00844A84">
            <w:pPr>
              <w:pStyle w:val="a2"/>
              <w:tabs>
                <w:tab w:val="decimal" w:pos="1309"/>
              </w:tabs>
              <w:rPr>
                <w:snapToGrid/>
              </w:rPr>
            </w:pPr>
            <w:r>
              <w:rPr>
                <w:snapToGrid/>
              </w:rPr>
              <w:t>327.6</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2.</w:t>
            </w:r>
          </w:p>
        </w:tc>
        <w:tc>
          <w:tcPr>
            <w:tcW w:w="3518" w:type="dxa"/>
            <w:tcBorders>
              <w:top w:val="nil"/>
              <w:bottom w:val="nil"/>
            </w:tcBorders>
          </w:tcPr>
          <w:p w:rsidR="00000000" w:rsidRDefault="00844A84">
            <w:pPr>
              <w:pStyle w:val="a2"/>
              <w:rPr>
                <w:snapToGrid/>
              </w:rPr>
            </w:pPr>
            <w:r>
              <w:rPr>
                <w:rFonts w:hint="eastAsia"/>
                <w:snapToGrid/>
              </w:rPr>
              <w:t>水痘</w:t>
            </w:r>
          </w:p>
        </w:tc>
        <w:tc>
          <w:tcPr>
            <w:tcW w:w="2551" w:type="dxa"/>
            <w:tcBorders>
              <w:top w:val="nil"/>
              <w:bottom w:val="nil"/>
            </w:tcBorders>
          </w:tcPr>
          <w:p w:rsidR="00000000" w:rsidRDefault="00844A84">
            <w:pPr>
              <w:pStyle w:val="a2"/>
              <w:tabs>
                <w:tab w:val="decimal" w:pos="1309"/>
              </w:tabs>
              <w:rPr>
                <w:snapToGrid/>
              </w:rPr>
            </w:pPr>
            <w:r>
              <w:rPr>
                <w:snapToGrid/>
              </w:rPr>
              <w:t>2,311</w:t>
            </w:r>
          </w:p>
        </w:tc>
        <w:tc>
          <w:tcPr>
            <w:tcW w:w="2331" w:type="dxa"/>
            <w:tcBorders>
              <w:top w:val="nil"/>
              <w:bottom w:val="nil"/>
            </w:tcBorders>
          </w:tcPr>
          <w:p w:rsidR="00000000" w:rsidRDefault="00844A84">
            <w:pPr>
              <w:pStyle w:val="a2"/>
              <w:tabs>
                <w:tab w:val="decimal" w:pos="1309"/>
              </w:tabs>
              <w:rPr>
                <w:snapToGrid/>
              </w:rPr>
            </w:pPr>
            <w:r>
              <w:rPr>
                <w:snapToGrid/>
              </w:rPr>
              <w:t>325.9</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3.</w:t>
            </w:r>
          </w:p>
        </w:tc>
        <w:tc>
          <w:tcPr>
            <w:tcW w:w="3518" w:type="dxa"/>
            <w:tcBorders>
              <w:top w:val="nil"/>
              <w:bottom w:val="nil"/>
            </w:tcBorders>
          </w:tcPr>
          <w:p w:rsidR="00000000" w:rsidRDefault="00844A84">
            <w:pPr>
              <w:pStyle w:val="a2"/>
              <w:rPr>
                <w:snapToGrid/>
              </w:rPr>
            </w:pPr>
            <w:r>
              <w:rPr>
                <w:rFonts w:hint="eastAsia"/>
                <w:snapToGrid/>
              </w:rPr>
              <w:t>疥疮</w:t>
            </w:r>
          </w:p>
        </w:tc>
        <w:tc>
          <w:tcPr>
            <w:tcW w:w="2551" w:type="dxa"/>
            <w:tcBorders>
              <w:top w:val="nil"/>
              <w:bottom w:val="nil"/>
            </w:tcBorders>
          </w:tcPr>
          <w:p w:rsidR="00000000" w:rsidRDefault="00844A84">
            <w:pPr>
              <w:pStyle w:val="a2"/>
              <w:tabs>
                <w:tab w:val="decimal" w:pos="1309"/>
              </w:tabs>
              <w:rPr>
                <w:snapToGrid/>
              </w:rPr>
            </w:pPr>
            <w:r>
              <w:rPr>
                <w:snapToGrid/>
              </w:rPr>
              <w:t>765</w:t>
            </w:r>
          </w:p>
        </w:tc>
        <w:tc>
          <w:tcPr>
            <w:tcW w:w="2331" w:type="dxa"/>
            <w:tcBorders>
              <w:top w:val="nil"/>
              <w:bottom w:val="nil"/>
            </w:tcBorders>
          </w:tcPr>
          <w:p w:rsidR="00000000" w:rsidRDefault="00844A84">
            <w:pPr>
              <w:pStyle w:val="a2"/>
              <w:tabs>
                <w:tab w:val="decimal" w:pos="1309"/>
              </w:tabs>
              <w:rPr>
                <w:snapToGrid/>
              </w:rPr>
            </w:pPr>
            <w:r>
              <w:rPr>
                <w:snapToGrid/>
              </w:rPr>
              <w:t>107.8</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4.</w:t>
            </w:r>
          </w:p>
        </w:tc>
        <w:tc>
          <w:tcPr>
            <w:tcW w:w="3518" w:type="dxa"/>
            <w:tcBorders>
              <w:top w:val="nil"/>
              <w:bottom w:val="nil"/>
            </w:tcBorders>
          </w:tcPr>
          <w:p w:rsidR="00000000" w:rsidRDefault="00844A84">
            <w:pPr>
              <w:pStyle w:val="a2"/>
              <w:rPr>
                <w:snapToGrid/>
              </w:rPr>
            </w:pPr>
            <w:r>
              <w:rPr>
                <w:rFonts w:hint="eastAsia"/>
                <w:snapToGrid/>
              </w:rPr>
              <w:t>链球菌咽炎</w:t>
            </w:r>
          </w:p>
        </w:tc>
        <w:tc>
          <w:tcPr>
            <w:tcW w:w="2551" w:type="dxa"/>
            <w:tcBorders>
              <w:top w:val="nil"/>
              <w:bottom w:val="nil"/>
            </w:tcBorders>
          </w:tcPr>
          <w:p w:rsidR="00000000" w:rsidRDefault="00844A84">
            <w:pPr>
              <w:pStyle w:val="a2"/>
              <w:tabs>
                <w:tab w:val="decimal" w:pos="1309"/>
              </w:tabs>
              <w:rPr>
                <w:snapToGrid/>
              </w:rPr>
            </w:pPr>
            <w:r>
              <w:rPr>
                <w:snapToGrid/>
              </w:rPr>
              <w:t>644</w:t>
            </w:r>
          </w:p>
        </w:tc>
        <w:tc>
          <w:tcPr>
            <w:tcW w:w="2331" w:type="dxa"/>
            <w:tcBorders>
              <w:top w:val="nil"/>
              <w:bottom w:val="nil"/>
            </w:tcBorders>
          </w:tcPr>
          <w:p w:rsidR="00000000" w:rsidRDefault="00844A84">
            <w:pPr>
              <w:pStyle w:val="a2"/>
              <w:tabs>
                <w:tab w:val="decimal" w:pos="1309"/>
              </w:tabs>
              <w:rPr>
                <w:snapToGrid/>
              </w:rPr>
            </w:pPr>
            <w:r>
              <w:rPr>
                <w:snapToGrid/>
              </w:rPr>
              <w:t>90.8</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5.</w:t>
            </w:r>
          </w:p>
        </w:tc>
        <w:tc>
          <w:tcPr>
            <w:tcW w:w="3518" w:type="dxa"/>
            <w:tcBorders>
              <w:top w:val="nil"/>
              <w:bottom w:val="nil"/>
            </w:tcBorders>
          </w:tcPr>
          <w:p w:rsidR="00000000" w:rsidRDefault="00844A84">
            <w:pPr>
              <w:pStyle w:val="a2"/>
              <w:rPr>
                <w:rFonts w:hint="eastAsia"/>
                <w:snapToGrid/>
              </w:rPr>
            </w:pPr>
            <w:r>
              <w:rPr>
                <w:rFonts w:hint="eastAsia"/>
                <w:snapToGrid/>
              </w:rPr>
              <w:t>食物中毒</w:t>
            </w:r>
          </w:p>
        </w:tc>
        <w:tc>
          <w:tcPr>
            <w:tcW w:w="2551" w:type="dxa"/>
            <w:tcBorders>
              <w:top w:val="nil"/>
              <w:bottom w:val="nil"/>
            </w:tcBorders>
          </w:tcPr>
          <w:p w:rsidR="00000000" w:rsidRDefault="00844A84">
            <w:pPr>
              <w:pStyle w:val="a2"/>
              <w:tabs>
                <w:tab w:val="decimal" w:pos="1309"/>
              </w:tabs>
              <w:rPr>
                <w:snapToGrid/>
              </w:rPr>
            </w:pPr>
            <w:r>
              <w:rPr>
                <w:snapToGrid/>
              </w:rPr>
              <w:t>479</w:t>
            </w:r>
          </w:p>
        </w:tc>
        <w:tc>
          <w:tcPr>
            <w:tcW w:w="2331" w:type="dxa"/>
            <w:tcBorders>
              <w:top w:val="nil"/>
              <w:bottom w:val="nil"/>
            </w:tcBorders>
          </w:tcPr>
          <w:p w:rsidR="00000000" w:rsidRDefault="00844A84">
            <w:pPr>
              <w:pStyle w:val="a2"/>
              <w:tabs>
                <w:tab w:val="decimal" w:pos="1309"/>
              </w:tabs>
              <w:rPr>
                <w:snapToGrid/>
              </w:rPr>
            </w:pPr>
            <w:r>
              <w:rPr>
                <w:snapToGrid/>
              </w:rPr>
              <w:t>67.5</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6.</w:t>
            </w:r>
          </w:p>
        </w:tc>
        <w:tc>
          <w:tcPr>
            <w:tcW w:w="3518" w:type="dxa"/>
            <w:tcBorders>
              <w:top w:val="nil"/>
              <w:bottom w:val="nil"/>
            </w:tcBorders>
          </w:tcPr>
          <w:p w:rsidR="00000000" w:rsidRDefault="00844A84">
            <w:pPr>
              <w:pStyle w:val="a2"/>
              <w:rPr>
                <w:snapToGrid/>
              </w:rPr>
            </w:pPr>
            <w:r>
              <w:rPr>
                <w:rFonts w:hint="eastAsia"/>
                <w:snapToGrid/>
              </w:rPr>
              <w:t>沙门氏菌病</w:t>
            </w:r>
          </w:p>
        </w:tc>
        <w:tc>
          <w:tcPr>
            <w:tcW w:w="2551" w:type="dxa"/>
            <w:tcBorders>
              <w:top w:val="nil"/>
              <w:bottom w:val="nil"/>
            </w:tcBorders>
          </w:tcPr>
          <w:p w:rsidR="00000000" w:rsidRDefault="00844A84">
            <w:pPr>
              <w:pStyle w:val="a2"/>
              <w:tabs>
                <w:tab w:val="decimal" w:pos="1309"/>
              </w:tabs>
              <w:rPr>
                <w:snapToGrid/>
              </w:rPr>
            </w:pPr>
            <w:r>
              <w:rPr>
                <w:snapToGrid/>
              </w:rPr>
              <w:t>166</w:t>
            </w:r>
          </w:p>
        </w:tc>
        <w:tc>
          <w:tcPr>
            <w:tcW w:w="2331" w:type="dxa"/>
            <w:tcBorders>
              <w:top w:val="nil"/>
              <w:bottom w:val="nil"/>
            </w:tcBorders>
          </w:tcPr>
          <w:p w:rsidR="00000000" w:rsidRDefault="00844A84">
            <w:pPr>
              <w:pStyle w:val="a2"/>
              <w:tabs>
                <w:tab w:val="decimal" w:pos="1309"/>
              </w:tabs>
              <w:rPr>
                <w:snapToGrid/>
              </w:rPr>
            </w:pPr>
            <w:r>
              <w:rPr>
                <w:snapToGrid/>
              </w:rPr>
              <w:t>23.4</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7.</w:t>
            </w:r>
          </w:p>
        </w:tc>
        <w:tc>
          <w:tcPr>
            <w:tcW w:w="3518" w:type="dxa"/>
            <w:tcBorders>
              <w:top w:val="nil"/>
              <w:bottom w:val="nil"/>
            </w:tcBorders>
          </w:tcPr>
          <w:p w:rsidR="00000000" w:rsidRDefault="00844A84">
            <w:pPr>
              <w:pStyle w:val="a2"/>
              <w:rPr>
                <w:snapToGrid/>
              </w:rPr>
            </w:pPr>
            <w:r>
              <w:rPr>
                <w:rFonts w:hint="eastAsia"/>
                <w:snapToGrid/>
              </w:rPr>
              <w:t>流行性腮腺炎</w:t>
            </w:r>
          </w:p>
        </w:tc>
        <w:tc>
          <w:tcPr>
            <w:tcW w:w="2551" w:type="dxa"/>
            <w:tcBorders>
              <w:top w:val="nil"/>
              <w:bottom w:val="nil"/>
            </w:tcBorders>
          </w:tcPr>
          <w:p w:rsidR="00000000" w:rsidRDefault="00844A84">
            <w:pPr>
              <w:pStyle w:val="a2"/>
              <w:tabs>
                <w:tab w:val="decimal" w:pos="1309"/>
              </w:tabs>
              <w:rPr>
                <w:snapToGrid/>
              </w:rPr>
            </w:pPr>
            <w:r>
              <w:rPr>
                <w:snapToGrid/>
              </w:rPr>
              <w:t>95</w:t>
            </w:r>
          </w:p>
        </w:tc>
        <w:tc>
          <w:tcPr>
            <w:tcW w:w="2331" w:type="dxa"/>
            <w:tcBorders>
              <w:top w:val="nil"/>
              <w:bottom w:val="nil"/>
            </w:tcBorders>
          </w:tcPr>
          <w:p w:rsidR="00000000" w:rsidRDefault="00844A84">
            <w:pPr>
              <w:pStyle w:val="a2"/>
              <w:tabs>
                <w:tab w:val="decimal" w:pos="1309"/>
              </w:tabs>
              <w:rPr>
                <w:snapToGrid/>
              </w:rPr>
            </w:pPr>
            <w:r>
              <w:rPr>
                <w:snapToGrid/>
              </w:rPr>
              <w:t>13.4</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8.</w:t>
            </w:r>
          </w:p>
        </w:tc>
        <w:tc>
          <w:tcPr>
            <w:tcW w:w="3518" w:type="dxa"/>
            <w:tcBorders>
              <w:top w:val="nil"/>
              <w:bottom w:val="nil"/>
            </w:tcBorders>
          </w:tcPr>
          <w:p w:rsidR="00000000" w:rsidRDefault="00844A84">
            <w:pPr>
              <w:pStyle w:val="a2"/>
              <w:rPr>
                <w:rFonts w:hint="eastAsia"/>
                <w:snapToGrid/>
              </w:rPr>
            </w:pPr>
            <w:r>
              <w:rPr>
                <w:rFonts w:hint="eastAsia"/>
                <w:snapToGrid/>
              </w:rPr>
              <w:t>带状疱疹</w:t>
            </w:r>
          </w:p>
        </w:tc>
        <w:tc>
          <w:tcPr>
            <w:tcW w:w="2551" w:type="dxa"/>
            <w:tcBorders>
              <w:top w:val="nil"/>
              <w:bottom w:val="nil"/>
            </w:tcBorders>
          </w:tcPr>
          <w:p w:rsidR="00000000" w:rsidRDefault="00844A84">
            <w:pPr>
              <w:pStyle w:val="a2"/>
              <w:tabs>
                <w:tab w:val="decimal" w:pos="1309"/>
              </w:tabs>
              <w:rPr>
                <w:snapToGrid/>
              </w:rPr>
            </w:pPr>
            <w:r>
              <w:rPr>
                <w:snapToGrid/>
              </w:rPr>
              <w:t>86</w:t>
            </w:r>
          </w:p>
        </w:tc>
        <w:tc>
          <w:tcPr>
            <w:tcW w:w="2331" w:type="dxa"/>
            <w:tcBorders>
              <w:top w:val="nil"/>
              <w:bottom w:val="nil"/>
            </w:tcBorders>
          </w:tcPr>
          <w:p w:rsidR="00000000" w:rsidRDefault="00844A84">
            <w:pPr>
              <w:pStyle w:val="a2"/>
              <w:tabs>
                <w:tab w:val="decimal" w:pos="1309"/>
              </w:tabs>
              <w:rPr>
                <w:snapToGrid/>
              </w:rPr>
            </w:pPr>
            <w:r>
              <w:rPr>
                <w:snapToGrid/>
              </w:rPr>
              <w:t>12.1</w:t>
            </w:r>
          </w:p>
        </w:tc>
      </w:tr>
      <w:tr w:rsidR="00000000">
        <w:tblPrEx>
          <w:tblCellMar>
            <w:top w:w="0" w:type="dxa"/>
            <w:bottom w:w="0" w:type="dxa"/>
          </w:tblCellMar>
        </w:tblPrEx>
        <w:tc>
          <w:tcPr>
            <w:tcW w:w="735" w:type="dxa"/>
            <w:tcBorders>
              <w:top w:val="nil"/>
              <w:bottom w:val="nil"/>
            </w:tcBorders>
          </w:tcPr>
          <w:p w:rsidR="00000000" w:rsidRDefault="00844A84">
            <w:pPr>
              <w:pStyle w:val="a2"/>
              <w:jc w:val="center"/>
              <w:rPr>
                <w:snapToGrid/>
              </w:rPr>
            </w:pPr>
            <w:r>
              <w:rPr>
                <w:snapToGrid/>
              </w:rPr>
              <w:t>9.</w:t>
            </w:r>
          </w:p>
        </w:tc>
        <w:tc>
          <w:tcPr>
            <w:tcW w:w="3518" w:type="dxa"/>
            <w:tcBorders>
              <w:top w:val="nil"/>
              <w:bottom w:val="nil"/>
            </w:tcBorders>
          </w:tcPr>
          <w:p w:rsidR="00000000" w:rsidRDefault="00844A84">
            <w:pPr>
              <w:pStyle w:val="a2"/>
              <w:rPr>
                <w:snapToGrid/>
                <w:spacing w:val="0"/>
              </w:rPr>
            </w:pPr>
            <w:r>
              <w:rPr>
                <w:rFonts w:hint="eastAsia"/>
                <w:snapToGrid/>
                <w:spacing w:val="0"/>
              </w:rPr>
              <w:t>类型不明急性病毒性肝炎</w:t>
            </w:r>
            <w:r>
              <w:rPr>
                <w:snapToGrid/>
                <w:spacing w:val="0"/>
              </w:rPr>
              <w:t xml:space="preserve"> + “</w:t>
            </w:r>
            <w:r>
              <w:rPr>
                <w:rFonts w:hint="eastAsia"/>
                <w:snapToGrid/>
                <w:spacing w:val="0"/>
              </w:rPr>
              <w:t>甲肝</w:t>
            </w:r>
            <w:r>
              <w:rPr>
                <w:snapToGrid/>
                <w:spacing w:val="0"/>
              </w:rPr>
              <w:t>”</w:t>
            </w:r>
          </w:p>
        </w:tc>
        <w:tc>
          <w:tcPr>
            <w:tcW w:w="2551" w:type="dxa"/>
            <w:tcBorders>
              <w:top w:val="nil"/>
              <w:bottom w:val="nil"/>
            </w:tcBorders>
          </w:tcPr>
          <w:p w:rsidR="00000000" w:rsidRDefault="00844A84">
            <w:pPr>
              <w:pStyle w:val="a2"/>
              <w:tabs>
                <w:tab w:val="decimal" w:pos="1309"/>
              </w:tabs>
              <w:rPr>
                <w:snapToGrid/>
              </w:rPr>
            </w:pPr>
            <w:r>
              <w:rPr>
                <w:snapToGrid/>
              </w:rPr>
              <w:t>78</w:t>
            </w:r>
          </w:p>
        </w:tc>
        <w:tc>
          <w:tcPr>
            <w:tcW w:w="2331" w:type="dxa"/>
            <w:tcBorders>
              <w:top w:val="nil"/>
              <w:bottom w:val="nil"/>
            </w:tcBorders>
          </w:tcPr>
          <w:p w:rsidR="00000000" w:rsidRDefault="00844A84">
            <w:pPr>
              <w:pStyle w:val="a2"/>
              <w:tabs>
                <w:tab w:val="decimal" w:pos="1309"/>
              </w:tabs>
              <w:rPr>
                <w:snapToGrid/>
              </w:rPr>
            </w:pPr>
            <w:r>
              <w:rPr>
                <w:snapToGrid/>
              </w:rPr>
              <w:t>1</w:t>
            </w:r>
            <w:r>
              <w:rPr>
                <w:snapToGrid/>
              </w:rPr>
              <w:t>1.0</w:t>
            </w:r>
          </w:p>
        </w:tc>
      </w:tr>
      <w:tr w:rsidR="00000000">
        <w:tblPrEx>
          <w:tblCellMar>
            <w:top w:w="0" w:type="dxa"/>
            <w:bottom w:w="0" w:type="dxa"/>
          </w:tblCellMar>
        </w:tblPrEx>
        <w:tc>
          <w:tcPr>
            <w:tcW w:w="735" w:type="dxa"/>
            <w:tcBorders>
              <w:top w:val="nil"/>
            </w:tcBorders>
          </w:tcPr>
          <w:p w:rsidR="00000000" w:rsidRDefault="00844A84">
            <w:pPr>
              <w:pStyle w:val="a2"/>
              <w:jc w:val="center"/>
              <w:rPr>
                <w:snapToGrid/>
              </w:rPr>
            </w:pPr>
            <w:r>
              <w:rPr>
                <w:snapToGrid/>
              </w:rPr>
              <w:t>10.</w:t>
            </w:r>
          </w:p>
        </w:tc>
        <w:tc>
          <w:tcPr>
            <w:tcW w:w="3518" w:type="dxa"/>
            <w:tcBorders>
              <w:top w:val="nil"/>
            </w:tcBorders>
          </w:tcPr>
          <w:p w:rsidR="00000000" w:rsidRDefault="00844A84">
            <w:pPr>
              <w:pStyle w:val="a2"/>
              <w:rPr>
                <w:snapToGrid/>
              </w:rPr>
            </w:pPr>
            <w:r>
              <w:rPr>
                <w:rFonts w:hint="eastAsia"/>
                <w:snapToGrid/>
              </w:rPr>
              <w:t>传染性单核细胞增多症</w:t>
            </w:r>
          </w:p>
        </w:tc>
        <w:tc>
          <w:tcPr>
            <w:tcW w:w="2551" w:type="dxa"/>
            <w:tcBorders>
              <w:top w:val="nil"/>
            </w:tcBorders>
          </w:tcPr>
          <w:p w:rsidR="00000000" w:rsidRDefault="00844A84">
            <w:pPr>
              <w:pStyle w:val="a2"/>
              <w:tabs>
                <w:tab w:val="decimal" w:pos="1309"/>
              </w:tabs>
              <w:rPr>
                <w:snapToGrid/>
              </w:rPr>
            </w:pPr>
            <w:r>
              <w:rPr>
                <w:snapToGrid/>
              </w:rPr>
              <w:t>76</w:t>
            </w:r>
          </w:p>
        </w:tc>
        <w:tc>
          <w:tcPr>
            <w:tcW w:w="2331" w:type="dxa"/>
            <w:tcBorders>
              <w:top w:val="nil"/>
            </w:tcBorders>
          </w:tcPr>
          <w:p w:rsidR="00000000" w:rsidRDefault="00844A84">
            <w:pPr>
              <w:pStyle w:val="a2"/>
              <w:tabs>
                <w:tab w:val="decimal" w:pos="1309"/>
              </w:tabs>
              <w:rPr>
                <w:snapToGrid/>
              </w:rPr>
            </w:pPr>
            <w:r>
              <w:rPr>
                <w:snapToGrid/>
              </w:rPr>
              <w:t>10.7</w:t>
            </w:r>
          </w:p>
        </w:tc>
      </w:tr>
    </w:tbl>
    <w:p w:rsidR="00000000" w:rsidRDefault="00844A84">
      <w:pPr>
        <w:pStyle w:val="a2"/>
        <w:rPr>
          <w:rFonts w:hint="eastAsia"/>
          <w:snapToGrid/>
          <w:lang w:val="en-GB"/>
        </w:rPr>
      </w:pPr>
    </w:p>
    <w:p w:rsidR="00000000" w:rsidRDefault="00844A84">
      <w:pPr>
        <w:pStyle w:val="Heading4"/>
        <w:spacing w:before="120"/>
        <w:rPr>
          <w:rFonts w:hint="eastAsia"/>
          <w:lang w:val="en-GB"/>
        </w:rPr>
      </w:pPr>
      <w:r>
        <w:rPr>
          <w:rFonts w:hint="eastAsia"/>
          <w:lang w:val="en-GB"/>
        </w:rPr>
        <w:t>流</w:t>
      </w:r>
      <w:r>
        <w:rPr>
          <w:lang w:val="en-GB"/>
        </w:rPr>
        <w:t xml:space="preserve">  </w:t>
      </w:r>
      <w:r>
        <w:rPr>
          <w:rFonts w:hint="eastAsia"/>
          <w:lang w:val="en-GB"/>
        </w:rPr>
        <w:t>感</w:t>
      </w:r>
    </w:p>
    <w:p w:rsidR="00000000" w:rsidRDefault="00844A84">
      <w:pPr>
        <w:spacing w:after="320"/>
        <w:ind w:firstLine="510"/>
        <w:rPr>
          <w:rFonts w:hint="eastAsia"/>
          <w:snapToGrid/>
          <w:lang w:val="en-GB"/>
        </w:rPr>
      </w:pPr>
      <w:r>
        <w:rPr>
          <w:rFonts w:hint="eastAsia"/>
          <w:snapToGrid/>
          <w:lang w:val="en-GB"/>
        </w:rPr>
        <w:t>714.</w:t>
      </w:r>
      <w:r>
        <w:rPr>
          <w:snapToGrid/>
          <w:lang w:val="en-GB"/>
        </w:rPr>
        <w:t xml:space="preserve">  </w:t>
      </w:r>
      <w:r>
        <w:rPr>
          <w:rFonts w:hint="eastAsia"/>
          <w:snapToGrid/>
          <w:lang w:val="en-GB"/>
        </w:rPr>
        <w:t>由于流感患者人数每年大相径庭，并对传染病患者总人数有所重大影响</w:t>
      </w:r>
      <w:r>
        <w:rPr>
          <w:snapToGrid/>
          <w:lang w:val="en-GB"/>
        </w:rPr>
        <w:t>(</w:t>
      </w:r>
      <w:r>
        <w:rPr>
          <w:snapToGrid/>
          <w:lang w:val="en-GB"/>
        </w:rPr>
        <w:t>流感患者</w:t>
      </w:r>
      <w:r>
        <w:rPr>
          <w:rFonts w:hint="eastAsia"/>
          <w:snapToGrid/>
          <w:lang w:val="en-GB"/>
        </w:rPr>
        <w:t>人数</w:t>
      </w:r>
      <w:r>
        <w:rPr>
          <w:snapToGrid/>
          <w:lang w:val="en-GB"/>
        </w:rPr>
        <w:t>在某些年份</w:t>
      </w:r>
      <w:r>
        <w:rPr>
          <w:rFonts w:hint="eastAsia"/>
          <w:snapToGrid/>
          <w:lang w:val="en-GB"/>
        </w:rPr>
        <w:t>占</w:t>
      </w:r>
      <w:r>
        <w:rPr>
          <w:snapToGrid/>
          <w:lang w:val="en-GB"/>
        </w:rPr>
        <w:t>必须报告登记的传染病患者</w:t>
      </w:r>
      <w:r>
        <w:rPr>
          <w:rFonts w:hint="eastAsia"/>
          <w:snapToGrid/>
          <w:lang w:val="en-GB"/>
        </w:rPr>
        <w:t>人数的</w:t>
      </w:r>
      <w:r>
        <w:rPr>
          <w:snapToGrid/>
          <w:lang w:val="en-GB"/>
        </w:rPr>
        <w:t>84.9%</w:t>
      </w:r>
      <w:r>
        <w:rPr>
          <w:rFonts w:hint="eastAsia"/>
          <w:snapToGrid/>
          <w:lang w:val="en-GB"/>
        </w:rPr>
        <w:t>)</w:t>
      </w:r>
      <w:r>
        <w:rPr>
          <w:snapToGrid/>
          <w:lang w:val="en-GB"/>
        </w:rPr>
        <w:t>，因此我们将流感与其他疾病</w:t>
      </w:r>
      <w:r>
        <w:rPr>
          <w:rFonts w:hint="eastAsia"/>
          <w:snapToGrid/>
          <w:lang w:val="en-GB"/>
        </w:rPr>
        <w:t>分开处理。</w:t>
      </w:r>
    </w:p>
    <w:p w:rsidR="00000000" w:rsidRDefault="00844A84">
      <w:pPr>
        <w:pStyle w:val="Heading3"/>
        <w:rPr>
          <w:sz w:val="22"/>
        </w:rPr>
      </w:pPr>
      <w:r>
        <w:rPr>
          <w:rFonts w:hint="eastAsia"/>
          <w:sz w:val="22"/>
          <w:u w:val="none"/>
        </w:rPr>
        <w:t>表</w:t>
      </w:r>
      <w:r>
        <w:rPr>
          <w:sz w:val="22"/>
          <w:u w:val="none"/>
        </w:rPr>
        <w:t xml:space="preserve"> 10</w:t>
      </w:r>
      <w:r>
        <w:rPr>
          <w:sz w:val="22"/>
          <w:u w:val="none"/>
        </w:rPr>
        <w:br/>
      </w:r>
      <w:r>
        <w:rPr>
          <w:sz w:val="22"/>
        </w:rPr>
        <w:t>1992-2001</w:t>
      </w:r>
      <w:r>
        <w:rPr>
          <w:rFonts w:hint="eastAsia"/>
          <w:sz w:val="22"/>
        </w:rPr>
        <w:t>年黑山流感流行趋势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2339"/>
        <w:gridCol w:w="2339"/>
        <w:gridCol w:w="3544"/>
      </w:tblGrid>
      <w:tr w:rsidR="00000000">
        <w:tblPrEx>
          <w:tblCellMar>
            <w:top w:w="0" w:type="dxa"/>
            <w:bottom w:w="0" w:type="dxa"/>
          </w:tblCellMar>
        </w:tblPrEx>
        <w:tc>
          <w:tcPr>
            <w:tcW w:w="1134" w:type="dxa"/>
            <w:tcBorders>
              <w:bottom w:val="single" w:sz="4" w:space="0" w:color="auto"/>
            </w:tcBorders>
          </w:tcPr>
          <w:p w:rsidR="00000000" w:rsidRDefault="00844A84">
            <w:pPr>
              <w:pStyle w:val="a2"/>
              <w:spacing w:before="40" w:after="40"/>
              <w:jc w:val="center"/>
              <w:rPr>
                <w:rFonts w:hint="eastAsia"/>
                <w:snapToGrid/>
              </w:rPr>
            </w:pPr>
            <w:r>
              <w:rPr>
                <w:rFonts w:hint="eastAsia"/>
                <w:snapToGrid/>
              </w:rPr>
              <w:t>年份</w:t>
            </w:r>
          </w:p>
        </w:tc>
        <w:tc>
          <w:tcPr>
            <w:tcW w:w="2339" w:type="dxa"/>
            <w:tcBorders>
              <w:bottom w:val="single" w:sz="4" w:space="0" w:color="auto"/>
            </w:tcBorders>
          </w:tcPr>
          <w:p w:rsidR="00000000" w:rsidRDefault="00844A84">
            <w:pPr>
              <w:pStyle w:val="a2"/>
              <w:spacing w:before="40" w:after="40"/>
              <w:jc w:val="center"/>
              <w:rPr>
                <w:rFonts w:hint="eastAsia"/>
                <w:snapToGrid/>
              </w:rPr>
            </w:pPr>
            <w:r>
              <w:rPr>
                <w:rFonts w:hint="eastAsia"/>
                <w:snapToGrid/>
              </w:rPr>
              <w:t>患者人数</w:t>
            </w:r>
          </w:p>
        </w:tc>
        <w:tc>
          <w:tcPr>
            <w:tcW w:w="2339" w:type="dxa"/>
            <w:tcBorders>
              <w:bottom w:val="single" w:sz="4" w:space="0" w:color="auto"/>
            </w:tcBorders>
          </w:tcPr>
          <w:p w:rsidR="00000000" w:rsidRDefault="00844A84">
            <w:pPr>
              <w:pStyle w:val="a2"/>
              <w:spacing w:before="40" w:after="40"/>
              <w:jc w:val="center"/>
              <w:rPr>
                <w:rFonts w:hint="eastAsia"/>
                <w:snapToGrid/>
              </w:rPr>
            </w:pPr>
            <w:r>
              <w:rPr>
                <w:rFonts w:hint="eastAsia"/>
                <w:snapToGrid/>
              </w:rPr>
              <w:t>每</w:t>
            </w:r>
            <w:r>
              <w:rPr>
                <w:snapToGrid/>
              </w:rPr>
              <w:t>10</w:t>
            </w:r>
            <w:r>
              <w:rPr>
                <w:rFonts w:hint="eastAsia"/>
                <w:snapToGrid/>
              </w:rPr>
              <w:t>万人发病率</w:t>
            </w:r>
          </w:p>
        </w:tc>
        <w:tc>
          <w:tcPr>
            <w:tcW w:w="3544" w:type="dxa"/>
            <w:tcBorders>
              <w:bottom w:val="single" w:sz="4" w:space="0" w:color="auto"/>
            </w:tcBorders>
          </w:tcPr>
          <w:p w:rsidR="00000000" w:rsidRDefault="00844A84">
            <w:pPr>
              <w:pStyle w:val="a2"/>
              <w:spacing w:before="40" w:after="40"/>
              <w:jc w:val="center"/>
              <w:rPr>
                <w:snapToGrid/>
              </w:rPr>
            </w:pPr>
            <w:r>
              <w:rPr>
                <w:rFonts w:hint="eastAsia"/>
                <w:snapToGrid/>
              </w:rPr>
              <w:t>在登记的所有传染病中</w:t>
            </w:r>
            <w:r>
              <w:rPr>
                <w:snapToGrid/>
              </w:rPr>
              <w:br/>
            </w:r>
            <w:r>
              <w:rPr>
                <w:rFonts w:hint="eastAsia"/>
                <w:snapToGrid/>
              </w:rPr>
              <w:t>所占百分比</w:t>
            </w:r>
          </w:p>
        </w:tc>
      </w:tr>
      <w:tr w:rsidR="00000000">
        <w:tblPrEx>
          <w:tblCellMar>
            <w:top w:w="0" w:type="dxa"/>
            <w:bottom w:w="0" w:type="dxa"/>
          </w:tblCellMar>
        </w:tblPrEx>
        <w:tc>
          <w:tcPr>
            <w:tcW w:w="1134" w:type="dxa"/>
            <w:tcBorders>
              <w:bottom w:val="nil"/>
            </w:tcBorders>
          </w:tcPr>
          <w:p w:rsidR="00000000" w:rsidRDefault="00844A84">
            <w:pPr>
              <w:pStyle w:val="a2"/>
              <w:jc w:val="center"/>
              <w:rPr>
                <w:snapToGrid/>
              </w:rPr>
            </w:pPr>
            <w:r>
              <w:rPr>
                <w:snapToGrid/>
              </w:rPr>
              <w:t>1992</w:t>
            </w:r>
          </w:p>
        </w:tc>
        <w:tc>
          <w:tcPr>
            <w:tcW w:w="2339" w:type="dxa"/>
            <w:tcBorders>
              <w:bottom w:val="nil"/>
            </w:tcBorders>
          </w:tcPr>
          <w:p w:rsidR="00000000" w:rsidRDefault="00844A84">
            <w:pPr>
              <w:pStyle w:val="a2"/>
              <w:tabs>
                <w:tab w:val="decimal" w:pos="1173"/>
              </w:tabs>
              <w:ind w:right="227"/>
              <w:rPr>
                <w:snapToGrid/>
              </w:rPr>
            </w:pPr>
            <w:r>
              <w:rPr>
                <w:snapToGrid/>
              </w:rPr>
              <w:t>17,021</w:t>
            </w:r>
          </w:p>
        </w:tc>
        <w:tc>
          <w:tcPr>
            <w:tcW w:w="2339" w:type="dxa"/>
            <w:tcBorders>
              <w:bottom w:val="nil"/>
            </w:tcBorders>
          </w:tcPr>
          <w:p w:rsidR="00000000" w:rsidRDefault="00844A84">
            <w:pPr>
              <w:pStyle w:val="a2"/>
              <w:tabs>
                <w:tab w:val="decimal" w:pos="1173"/>
              </w:tabs>
              <w:ind w:right="227"/>
              <w:rPr>
                <w:snapToGrid/>
              </w:rPr>
            </w:pPr>
            <w:r>
              <w:rPr>
                <w:snapToGrid/>
              </w:rPr>
              <w:t>2,719.0</w:t>
            </w:r>
          </w:p>
        </w:tc>
        <w:tc>
          <w:tcPr>
            <w:tcW w:w="3544" w:type="dxa"/>
            <w:tcBorders>
              <w:bottom w:val="nil"/>
            </w:tcBorders>
          </w:tcPr>
          <w:p w:rsidR="00000000" w:rsidRDefault="00844A84">
            <w:pPr>
              <w:pStyle w:val="a2"/>
              <w:ind w:right="284"/>
              <w:jc w:val="center"/>
              <w:rPr>
                <w:snapToGrid/>
              </w:rPr>
            </w:pPr>
            <w:r>
              <w:rPr>
                <w:snapToGrid/>
              </w:rPr>
              <w:t>55.4</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1993</w:t>
            </w:r>
          </w:p>
        </w:tc>
        <w:tc>
          <w:tcPr>
            <w:tcW w:w="2339" w:type="dxa"/>
            <w:tcBorders>
              <w:top w:val="nil"/>
              <w:bottom w:val="nil"/>
            </w:tcBorders>
          </w:tcPr>
          <w:p w:rsidR="00000000" w:rsidRDefault="00844A84">
            <w:pPr>
              <w:pStyle w:val="a2"/>
              <w:tabs>
                <w:tab w:val="decimal" w:pos="1173"/>
              </w:tabs>
              <w:ind w:right="227"/>
              <w:rPr>
                <w:snapToGrid/>
              </w:rPr>
            </w:pPr>
            <w:r>
              <w:rPr>
                <w:snapToGrid/>
              </w:rPr>
              <w:t>6,415</w:t>
            </w:r>
          </w:p>
        </w:tc>
        <w:tc>
          <w:tcPr>
            <w:tcW w:w="2339" w:type="dxa"/>
            <w:tcBorders>
              <w:top w:val="nil"/>
              <w:bottom w:val="nil"/>
            </w:tcBorders>
          </w:tcPr>
          <w:p w:rsidR="00000000" w:rsidRDefault="00844A84">
            <w:pPr>
              <w:pStyle w:val="a2"/>
              <w:tabs>
                <w:tab w:val="decimal" w:pos="1173"/>
              </w:tabs>
              <w:ind w:right="227"/>
              <w:rPr>
                <w:snapToGrid/>
              </w:rPr>
            </w:pPr>
            <w:r>
              <w:rPr>
                <w:snapToGrid/>
              </w:rPr>
              <w:t>1,016.8</w:t>
            </w:r>
          </w:p>
        </w:tc>
        <w:tc>
          <w:tcPr>
            <w:tcW w:w="3544" w:type="dxa"/>
            <w:tcBorders>
              <w:top w:val="nil"/>
              <w:bottom w:val="nil"/>
            </w:tcBorders>
          </w:tcPr>
          <w:p w:rsidR="00000000" w:rsidRDefault="00844A84">
            <w:pPr>
              <w:pStyle w:val="a2"/>
              <w:ind w:right="284"/>
              <w:jc w:val="center"/>
              <w:rPr>
                <w:snapToGrid/>
              </w:rPr>
            </w:pPr>
            <w:r>
              <w:rPr>
                <w:snapToGrid/>
              </w:rPr>
              <w:t>39.9</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1994</w:t>
            </w:r>
          </w:p>
        </w:tc>
        <w:tc>
          <w:tcPr>
            <w:tcW w:w="2339" w:type="dxa"/>
            <w:tcBorders>
              <w:top w:val="nil"/>
              <w:bottom w:val="nil"/>
            </w:tcBorders>
          </w:tcPr>
          <w:p w:rsidR="00000000" w:rsidRDefault="00844A84">
            <w:pPr>
              <w:pStyle w:val="a2"/>
              <w:tabs>
                <w:tab w:val="decimal" w:pos="1173"/>
              </w:tabs>
              <w:ind w:right="227"/>
              <w:rPr>
                <w:snapToGrid/>
              </w:rPr>
            </w:pPr>
            <w:r>
              <w:rPr>
                <w:snapToGrid/>
              </w:rPr>
              <w:t>4,825</w:t>
            </w:r>
          </w:p>
        </w:tc>
        <w:tc>
          <w:tcPr>
            <w:tcW w:w="2339" w:type="dxa"/>
            <w:tcBorders>
              <w:top w:val="nil"/>
              <w:bottom w:val="nil"/>
            </w:tcBorders>
          </w:tcPr>
          <w:p w:rsidR="00000000" w:rsidRDefault="00844A84">
            <w:pPr>
              <w:pStyle w:val="a2"/>
              <w:tabs>
                <w:tab w:val="decimal" w:pos="1173"/>
              </w:tabs>
              <w:ind w:left="113" w:right="227"/>
              <w:rPr>
                <w:snapToGrid/>
              </w:rPr>
            </w:pPr>
            <w:r>
              <w:rPr>
                <w:snapToGrid/>
              </w:rPr>
              <w:t>759.8</w:t>
            </w:r>
          </w:p>
        </w:tc>
        <w:tc>
          <w:tcPr>
            <w:tcW w:w="3544" w:type="dxa"/>
            <w:tcBorders>
              <w:top w:val="nil"/>
              <w:bottom w:val="nil"/>
            </w:tcBorders>
          </w:tcPr>
          <w:p w:rsidR="00000000" w:rsidRDefault="00844A84">
            <w:pPr>
              <w:pStyle w:val="a2"/>
              <w:ind w:right="284"/>
              <w:jc w:val="center"/>
              <w:rPr>
                <w:snapToGrid/>
              </w:rPr>
            </w:pPr>
            <w:r>
              <w:rPr>
                <w:snapToGrid/>
              </w:rPr>
              <w:t>26.3</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1995</w:t>
            </w:r>
          </w:p>
        </w:tc>
        <w:tc>
          <w:tcPr>
            <w:tcW w:w="2339" w:type="dxa"/>
            <w:tcBorders>
              <w:top w:val="nil"/>
              <w:bottom w:val="nil"/>
            </w:tcBorders>
          </w:tcPr>
          <w:p w:rsidR="00000000" w:rsidRDefault="00844A84">
            <w:pPr>
              <w:pStyle w:val="a2"/>
              <w:tabs>
                <w:tab w:val="decimal" w:pos="1173"/>
              </w:tabs>
              <w:ind w:right="227"/>
              <w:rPr>
                <w:snapToGrid/>
              </w:rPr>
            </w:pPr>
            <w:r>
              <w:rPr>
                <w:snapToGrid/>
              </w:rPr>
              <w:t>3,661</w:t>
            </w:r>
          </w:p>
        </w:tc>
        <w:tc>
          <w:tcPr>
            <w:tcW w:w="2339" w:type="dxa"/>
            <w:tcBorders>
              <w:top w:val="nil"/>
              <w:bottom w:val="nil"/>
            </w:tcBorders>
          </w:tcPr>
          <w:p w:rsidR="00000000" w:rsidRDefault="00844A84">
            <w:pPr>
              <w:pStyle w:val="a2"/>
              <w:tabs>
                <w:tab w:val="decimal" w:pos="1173"/>
              </w:tabs>
              <w:ind w:left="113" w:right="227"/>
              <w:rPr>
                <w:snapToGrid/>
              </w:rPr>
            </w:pPr>
            <w:r>
              <w:rPr>
                <w:snapToGrid/>
              </w:rPr>
              <w:t>576.7</w:t>
            </w:r>
          </w:p>
        </w:tc>
        <w:tc>
          <w:tcPr>
            <w:tcW w:w="3544" w:type="dxa"/>
            <w:tcBorders>
              <w:top w:val="nil"/>
              <w:bottom w:val="nil"/>
            </w:tcBorders>
          </w:tcPr>
          <w:p w:rsidR="00000000" w:rsidRDefault="00844A84">
            <w:pPr>
              <w:pStyle w:val="a2"/>
              <w:ind w:right="284"/>
              <w:jc w:val="center"/>
              <w:rPr>
                <w:snapToGrid/>
              </w:rPr>
            </w:pPr>
            <w:r>
              <w:rPr>
                <w:snapToGrid/>
              </w:rPr>
              <w:t>21.9</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1996</w:t>
            </w:r>
          </w:p>
        </w:tc>
        <w:tc>
          <w:tcPr>
            <w:tcW w:w="2339" w:type="dxa"/>
            <w:tcBorders>
              <w:top w:val="nil"/>
              <w:bottom w:val="nil"/>
            </w:tcBorders>
          </w:tcPr>
          <w:p w:rsidR="00000000" w:rsidRDefault="00844A84">
            <w:pPr>
              <w:pStyle w:val="a2"/>
              <w:tabs>
                <w:tab w:val="decimal" w:pos="1173"/>
              </w:tabs>
              <w:ind w:right="227"/>
              <w:rPr>
                <w:snapToGrid/>
              </w:rPr>
            </w:pPr>
            <w:r>
              <w:rPr>
                <w:snapToGrid/>
              </w:rPr>
              <w:t>21,496</w:t>
            </w:r>
          </w:p>
        </w:tc>
        <w:tc>
          <w:tcPr>
            <w:tcW w:w="2339" w:type="dxa"/>
            <w:tcBorders>
              <w:top w:val="nil"/>
              <w:bottom w:val="nil"/>
            </w:tcBorders>
          </w:tcPr>
          <w:p w:rsidR="00000000" w:rsidRDefault="00844A84">
            <w:pPr>
              <w:pStyle w:val="a2"/>
              <w:tabs>
                <w:tab w:val="decimal" w:pos="1173"/>
              </w:tabs>
              <w:ind w:right="227"/>
              <w:rPr>
                <w:snapToGrid/>
              </w:rPr>
            </w:pPr>
            <w:r>
              <w:rPr>
                <w:snapToGrid/>
              </w:rPr>
              <w:t>3,397.1</w:t>
            </w:r>
          </w:p>
        </w:tc>
        <w:tc>
          <w:tcPr>
            <w:tcW w:w="3544" w:type="dxa"/>
            <w:tcBorders>
              <w:top w:val="nil"/>
              <w:bottom w:val="nil"/>
            </w:tcBorders>
          </w:tcPr>
          <w:p w:rsidR="00000000" w:rsidRDefault="00844A84">
            <w:pPr>
              <w:pStyle w:val="a2"/>
              <w:ind w:right="284"/>
              <w:jc w:val="center"/>
              <w:rPr>
                <w:snapToGrid/>
              </w:rPr>
            </w:pPr>
            <w:r>
              <w:rPr>
                <w:snapToGrid/>
              </w:rPr>
              <w:t>70.4</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1997</w:t>
            </w:r>
          </w:p>
        </w:tc>
        <w:tc>
          <w:tcPr>
            <w:tcW w:w="2339" w:type="dxa"/>
            <w:tcBorders>
              <w:top w:val="nil"/>
              <w:bottom w:val="nil"/>
            </w:tcBorders>
          </w:tcPr>
          <w:p w:rsidR="00000000" w:rsidRDefault="00844A84">
            <w:pPr>
              <w:pStyle w:val="a2"/>
              <w:tabs>
                <w:tab w:val="decimal" w:pos="1173"/>
              </w:tabs>
              <w:ind w:right="227"/>
              <w:rPr>
                <w:snapToGrid/>
              </w:rPr>
            </w:pPr>
            <w:r>
              <w:rPr>
                <w:snapToGrid/>
              </w:rPr>
              <w:t>39,817</w:t>
            </w:r>
          </w:p>
        </w:tc>
        <w:tc>
          <w:tcPr>
            <w:tcW w:w="2339" w:type="dxa"/>
            <w:tcBorders>
              <w:top w:val="nil"/>
              <w:bottom w:val="nil"/>
            </w:tcBorders>
          </w:tcPr>
          <w:p w:rsidR="00000000" w:rsidRDefault="00844A84">
            <w:pPr>
              <w:pStyle w:val="a2"/>
              <w:tabs>
                <w:tab w:val="decimal" w:pos="1173"/>
              </w:tabs>
              <w:ind w:right="227"/>
              <w:rPr>
                <w:snapToGrid/>
              </w:rPr>
            </w:pPr>
            <w:r>
              <w:rPr>
                <w:snapToGrid/>
              </w:rPr>
              <w:t>6,292.4</w:t>
            </w:r>
          </w:p>
        </w:tc>
        <w:tc>
          <w:tcPr>
            <w:tcW w:w="3544" w:type="dxa"/>
            <w:tcBorders>
              <w:top w:val="nil"/>
              <w:bottom w:val="nil"/>
            </w:tcBorders>
          </w:tcPr>
          <w:p w:rsidR="00000000" w:rsidRDefault="00844A84">
            <w:pPr>
              <w:pStyle w:val="a2"/>
              <w:ind w:right="284"/>
              <w:jc w:val="center"/>
              <w:rPr>
                <w:snapToGrid/>
              </w:rPr>
            </w:pPr>
            <w:r>
              <w:rPr>
                <w:snapToGrid/>
              </w:rPr>
              <w:t>81.5</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1998</w:t>
            </w:r>
          </w:p>
        </w:tc>
        <w:tc>
          <w:tcPr>
            <w:tcW w:w="2339" w:type="dxa"/>
            <w:tcBorders>
              <w:top w:val="nil"/>
              <w:bottom w:val="nil"/>
            </w:tcBorders>
          </w:tcPr>
          <w:p w:rsidR="00000000" w:rsidRDefault="00844A84">
            <w:pPr>
              <w:pStyle w:val="a2"/>
              <w:tabs>
                <w:tab w:val="decimal" w:pos="1173"/>
              </w:tabs>
              <w:ind w:right="227"/>
              <w:rPr>
                <w:snapToGrid/>
              </w:rPr>
            </w:pPr>
            <w:r>
              <w:rPr>
                <w:snapToGrid/>
              </w:rPr>
              <w:t>15,294</w:t>
            </w:r>
          </w:p>
        </w:tc>
        <w:tc>
          <w:tcPr>
            <w:tcW w:w="2339" w:type="dxa"/>
            <w:tcBorders>
              <w:top w:val="nil"/>
              <w:bottom w:val="nil"/>
            </w:tcBorders>
          </w:tcPr>
          <w:p w:rsidR="00000000" w:rsidRDefault="00844A84">
            <w:pPr>
              <w:pStyle w:val="a2"/>
              <w:tabs>
                <w:tab w:val="decimal" w:pos="1173"/>
              </w:tabs>
              <w:ind w:right="227"/>
              <w:rPr>
                <w:snapToGrid/>
              </w:rPr>
            </w:pPr>
            <w:r>
              <w:rPr>
                <w:snapToGrid/>
              </w:rPr>
              <w:t>2,415.6</w:t>
            </w:r>
          </w:p>
        </w:tc>
        <w:tc>
          <w:tcPr>
            <w:tcW w:w="3544" w:type="dxa"/>
            <w:tcBorders>
              <w:top w:val="nil"/>
              <w:bottom w:val="nil"/>
            </w:tcBorders>
          </w:tcPr>
          <w:p w:rsidR="00000000" w:rsidRDefault="00844A84">
            <w:pPr>
              <w:pStyle w:val="a2"/>
              <w:ind w:right="284"/>
              <w:jc w:val="center"/>
              <w:rPr>
                <w:snapToGrid/>
              </w:rPr>
            </w:pPr>
            <w:r>
              <w:rPr>
                <w:snapToGrid/>
              </w:rPr>
              <w:t>64.5</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1999</w:t>
            </w:r>
          </w:p>
        </w:tc>
        <w:tc>
          <w:tcPr>
            <w:tcW w:w="2339" w:type="dxa"/>
            <w:tcBorders>
              <w:top w:val="nil"/>
              <w:bottom w:val="nil"/>
            </w:tcBorders>
          </w:tcPr>
          <w:p w:rsidR="00000000" w:rsidRDefault="00844A84">
            <w:pPr>
              <w:pStyle w:val="a2"/>
              <w:tabs>
                <w:tab w:val="decimal" w:pos="1173"/>
              </w:tabs>
              <w:ind w:right="227"/>
              <w:rPr>
                <w:snapToGrid/>
              </w:rPr>
            </w:pPr>
            <w:r>
              <w:rPr>
                <w:snapToGrid/>
              </w:rPr>
              <w:t>10,191</w:t>
            </w:r>
          </w:p>
        </w:tc>
        <w:tc>
          <w:tcPr>
            <w:tcW w:w="2339" w:type="dxa"/>
            <w:tcBorders>
              <w:top w:val="nil"/>
              <w:bottom w:val="nil"/>
            </w:tcBorders>
          </w:tcPr>
          <w:p w:rsidR="00000000" w:rsidRDefault="00844A84">
            <w:pPr>
              <w:pStyle w:val="a2"/>
              <w:tabs>
                <w:tab w:val="decimal" w:pos="1173"/>
              </w:tabs>
              <w:ind w:right="227"/>
              <w:rPr>
                <w:snapToGrid/>
              </w:rPr>
            </w:pPr>
            <w:r>
              <w:rPr>
                <w:snapToGrid/>
              </w:rPr>
              <w:t>1,602.3</w:t>
            </w:r>
          </w:p>
        </w:tc>
        <w:tc>
          <w:tcPr>
            <w:tcW w:w="3544" w:type="dxa"/>
            <w:tcBorders>
              <w:top w:val="nil"/>
              <w:bottom w:val="nil"/>
            </w:tcBorders>
          </w:tcPr>
          <w:p w:rsidR="00000000" w:rsidRDefault="00844A84">
            <w:pPr>
              <w:pStyle w:val="a2"/>
              <w:ind w:right="284"/>
              <w:jc w:val="center"/>
              <w:rPr>
                <w:snapToGrid/>
              </w:rPr>
            </w:pPr>
            <w:r>
              <w:rPr>
                <w:snapToGrid/>
              </w:rPr>
              <w:t>50.2</w:t>
            </w:r>
          </w:p>
        </w:tc>
      </w:tr>
      <w:tr w:rsidR="00000000">
        <w:tblPrEx>
          <w:tblCellMar>
            <w:top w:w="0" w:type="dxa"/>
            <w:bottom w:w="0" w:type="dxa"/>
          </w:tblCellMar>
        </w:tblPrEx>
        <w:tc>
          <w:tcPr>
            <w:tcW w:w="1134" w:type="dxa"/>
            <w:tcBorders>
              <w:top w:val="nil"/>
              <w:bottom w:val="nil"/>
            </w:tcBorders>
          </w:tcPr>
          <w:p w:rsidR="00000000" w:rsidRDefault="00844A84">
            <w:pPr>
              <w:pStyle w:val="a2"/>
              <w:jc w:val="center"/>
              <w:rPr>
                <w:snapToGrid/>
              </w:rPr>
            </w:pPr>
            <w:r>
              <w:rPr>
                <w:snapToGrid/>
              </w:rPr>
              <w:t>2000</w:t>
            </w:r>
          </w:p>
        </w:tc>
        <w:tc>
          <w:tcPr>
            <w:tcW w:w="2339" w:type="dxa"/>
            <w:tcBorders>
              <w:top w:val="nil"/>
              <w:bottom w:val="nil"/>
            </w:tcBorders>
          </w:tcPr>
          <w:p w:rsidR="00000000" w:rsidRDefault="00844A84">
            <w:pPr>
              <w:pStyle w:val="a2"/>
              <w:tabs>
                <w:tab w:val="decimal" w:pos="1173"/>
              </w:tabs>
              <w:ind w:right="227"/>
              <w:rPr>
                <w:snapToGrid/>
              </w:rPr>
            </w:pPr>
            <w:r>
              <w:rPr>
                <w:snapToGrid/>
              </w:rPr>
              <w:t>53,754</w:t>
            </w:r>
          </w:p>
        </w:tc>
        <w:tc>
          <w:tcPr>
            <w:tcW w:w="2339" w:type="dxa"/>
            <w:tcBorders>
              <w:top w:val="nil"/>
              <w:bottom w:val="nil"/>
            </w:tcBorders>
          </w:tcPr>
          <w:p w:rsidR="00000000" w:rsidRDefault="00844A84">
            <w:pPr>
              <w:pStyle w:val="a2"/>
              <w:tabs>
                <w:tab w:val="decimal" w:pos="1173"/>
              </w:tabs>
              <w:ind w:right="227"/>
              <w:rPr>
                <w:snapToGrid/>
              </w:rPr>
            </w:pPr>
            <w:r>
              <w:rPr>
                <w:snapToGrid/>
              </w:rPr>
              <w:t>8,163.7</w:t>
            </w:r>
          </w:p>
        </w:tc>
        <w:tc>
          <w:tcPr>
            <w:tcW w:w="3544" w:type="dxa"/>
            <w:tcBorders>
              <w:top w:val="nil"/>
              <w:bottom w:val="nil"/>
            </w:tcBorders>
          </w:tcPr>
          <w:p w:rsidR="00000000" w:rsidRDefault="00844A84">
            <w:pPr>
              <w:pStyle w:val="a2"/>
              <w:ind w:right="284"/>
              <w:jc w:val="center"/>
              <w:rPr>
                <w:snapToGrid/>
              </w:rPr>
            </w:pPr>
            <w:r>
              <w:rPr>
                <w:snapToGrid/>
              </w:rPr>
              <w:t>84.9</w:t>
            </w:r>
          </w:p>
        </w:tc>
      </w:tr>
      <w:tr w:rsidR="00000000">
        <w:tblPrEx>
          <w:tblCellMar>
            <w:top w:w="0" w:type="dxa"/>
            <w:bottom w:w="0" w:type="dxa"/>
          </w:tblCellMar>
        </w:tblPrEx>
        <w:tc>
          <w:tcPr>
            <w:tcW w:w="1134" w:type="dxa"/>
            <w:tcBorders>
              <w:top w:val="nil"/>
            </w:tcBorders>
          </w:tcPr>
          <w:p w:rsidR="00000000" w:rsidRDefault="00844A84">
            <w:pPr>
              <w:pStyle w:val="a2"/>
              <w:jc w:val="center"/>
              <w:rPr>
                <w:snapToGrid/>
              </w:rPr>
            </w:pPr>
            <w:r>
              <w:rPr>
                <w:snapToGrid/>
              </w:rPr>
              <w:t>2001</w:t>
            </w:r>
          </w:p>
        </w:tc>
        <w:tc>
          <w:tcPr>
            <w:tcW w:w="2339" w:type="dxa"/>
            <w:tcBorders>
              <w:top w:val="nil"/>
            </w:tcBorders>
          </w:tcPr>
          <w:p w:rsidR="00000000" w:rsidRDefault="00844A84">
            <w:pPr>
              <w:pStyle w:val="a2"/>
              <w:tabs>
                <w:tab w:val="decimal" w:pos="1173"/>
              </w:tabs>
              <w:ind w:right="227"/>
              <w:rPr>
                <w:snapToGrid/>
              </w:rPr>
            </w:pPr>
            <w:r>
              <w:rPr>
                <w:snapToGrid/>
              </w:rPr>
              <w:t>3,411</w:t>
            </w:r>
          </w:p>
        </w:tc>
        <w:tc>
          <w:tcPr>
            <w:tcW w:w="2339" w:type="dxa"/>
            <w:tcBorders>
              <w:top w:val="nil"/>
            </w:tcBorders>
          </w:tcPr>
          <w:p w:rsidR="00000000" w:rsidRDefault="00844A84">
            <w:pPr>
              <w:pStyle w:val="a2"/>
              <w:tabs>
                <w:tab w:val="decimal" w:pos="1173"/>
              </w:tabs>
              <w:ind w:left="113" w:right="227"/>
              <w:rPr>
                <w:snapToGrid/>
              </w:rPr>
            </w:pPr>
            <w:r>
              <w:rPr>
                <w:snapToGrid/>
              </w:rPr>
              <w:t>481.1</w:t>
            </w:r>
          </w:p>
        </w:tc>
        <w:tc>
          <w:tcPr>
            <w:tcW w:w="3544" w:type="dxa"/>
            <w:tcBorders>
              <w:top w:val="nil"/>
            </w:tcBorders>
          </w:tcPr>
          <w:p w:rsidR="00000000" w:rsidRDefault="00844A84">
            <w:pPr>
              <w:pStyle w:val="a2"/>
              <w:ind w:right="284"/>
              <w:jc w:val="center"/>
              <w:rPr>
                <w:snapToGrid/>
              </w:rPr>
            </w:pPr>
            <w:r>
              <w:rPr>
                <w:snapToGrid/>
              </w:rPr>
              <w:t>31.0</w:t>
            </w:r>
          </w:p>
        </w:tc>
      </w:tr>
    </w:tbl>
    <w:p w:rsidR="00000000" w:rsidRDefault="00844A84">
      <w:pPr>
        <w:ind w:firstLine="510"/>
        <w:rPr>
          <w:rFonts w:hint="eastAsia"/>
          <w:snapToGrid/>
          <w:lang w:val="en-GB"/>
        </w:rPr>
      </w:pPr>
    </w:p>
    <w:p w:rsidR="00000000" w:rsidRDefault="00844A84">
      <w:pPr>
        <w:spacing w:after="320"/>
        <w:ind w:firstLine="510"/>
        <w:rPr>
          <w:rFonts w:hint="eastAsia"/>
          <w:snapToGrid/>
          <w:lang w:val="en-GB"/>
        </w:rPr>
      </w:pPr>
      <w:r>
        <w:rPr>
          <w:rFonts w:hint="eastAsia"/>
          <w:snapToGrid/>
          <w:lang w:val="en-GB"/>
        </w:rPr>
        <w:t>715.</w:t>
      </w:r>
      <w:r>
        <w:rPr>
          <w:snapToGrid/>
          <w:lang w:val="en-GB"/>
        </w:rPr>
        <w:t xml:space="preserve">  </w:t>
      </w:r>
      <w:r>
        <w:rPr>
          <w:rFonts w:hint="eastAsia"/>
          <w:snapToGrid/>
          <w:lang w:val="en-GB"/>
        </w:rPr>
        <w:t>流感患者人数比去年下降</w:t>
      </w:r>
      <w:r>
        <w:rPr>
          <w:snapToGrid/>
          <w:lang w:val="en-GB"/>
        </w:rPr>
        <w:t>15</w:t>
      </w:r>
      <w:r>
        <w:rPr>
          <w:snapToGrid/>
          <w:lang w:val="en-GB"/>
        </w:rPr>
        <w:t>倍，</w:t>
      </w:r>
      <w:r>
        <w:rPr>
          <w:rFonts w:hint="eastAsia"/>
          <w:snapToGrid/>
          <w:lang w:val="en-GB"/>
        </w:rPr>
        <w:t>这主要是由于开展了良好的免疫接种工作，而且流感病毒本身变异体毒性也比去年减弱。今年没有登记因流感死亡的病例，这或</w:t>
      </w:r>
      <w:r>
        <w:rPr>
          <w:rFonts w:hint="eastAsia"/>
          <w:snapToGrid/>
          <w:lang w:val="en-GB"/>
        </w:rPr>
        <w:t>许是登记程序不够健全所致。今年流感患者不多，因此就诊条件较为有利。</w:t>
      </w:r>
    </w:p>
    <w:p w:rsidR="00000000" w:rsidRDefault="00844A84">
      <w:pPr>
        <w:pStyle w:val="Heading4"/>
        <w:rPr>
          <w:lang w:val="en-GB"/>
        </w:rPr>
      </w:pPr>
      <w:r>
        <w:rPr>
          <w:rFonts w:hint="eastAsia"/>
          <w:lang w:val="en-GB"/>
        </w:rPr>
        <w:t>第</w:t>
      </w:r>
      <w:r>
        <w:rPr>
          <w:rFonts w:hint="eastAsia"/>
          <w:lang w:val="en-GB"/>
        </w:rPr>
        <w:t>2</w:t>
      </w:r>
      <w:r>
        <w:rPr>
          <w:rFonts w:hint="eastAsia"/>
          <w:lang w:val="en-GB"/>
        </w:rPr>
        <w:t>款</w:t>
      </w:r>
      <w:r>
        <w:rPr>
          <w:lang w:val="en-GB"/>
        </w:rPr>
        <w:t>(d</w:t>
      </w:r>
      <w:r>
        <w:rPr>
          <w:u w:val="none"/>
          <w:lang w:val="en-GB"/>
        </w:rPr>
        <w:t>)</w:t>
      </w:r>
    </w:p>
    <w:p w:rsidR="00000000" w:rsidRDefault="00844A84">
      <w:pPr>
        <w:ind w:firstLine="510"/>
        <w:rPr>
          <w:rFonts w:hint="eastAsia"/>
          <w:snapToGrid/>
          <w:lang w:val="en-GB"/>
        </w:rPr>
      </w:pPr>
      <w:r>
        <w:rPr>
          <w:snapToGrid/>
          <w:lang w:val="en-GB"/>
        </w:rPr>
        <w:t xml:space="preserve">716.  </w:t>
      </w:r>
      <w:r>
        <w:rPr>
          <w:snapToGrid/>
          <w:lang w:val="en-GB"/>
        </w:rPr>
        <w:t>健康保险</w:t>
      </w:r>
      <w:r>
        <w:rPr>
          <w:rFonts w:hint="eastAsia"/>
          <w:snapToGrid/>
          <w:lang w:val="en-GB"/>
        </w:rPr>
        <w:t>受</w:t>
      </w:r>
      <w:r>
        <w:rPr>
          <w:snapToGrid/>
          <w:lang w:val="en-GB"/>
        </w:rPr>
        <w:t>《保健和保险法》</w:t>
      </w:r>
      <w:r>
        <w:rPr>
          <w:rFonts w:hint="eastAsia"/>
          <w:snapToGrid/>
          <w:lang w:val="en-GB"/>
        </w:rPr>
        <w:t>的规约</w:t>
      </w:r>
      <w:r>
        <w:rPr>
          <w:snapToGrid/>
          <w:lang w:val="en-GB"/>
        </w:rPr>
        <w:t>，并按照团结、平等和不受障碍的原则发挥作用。健康保险在生病或</w:t>
      </w:r>
      <w:r>
        <w:rPr>
          <w:rFonts w:hint="eastAsia"/>
          <w:snapToGrid/>
          <w:lang w:val="en-GB"/>
        </w:rPr>
        <w:t>因</w:t>
      </w:r>
      <w:r>
        <w:rPr>
          <w:snapToGrid/>
          <w:lang w:val="en-GB"/>
        </w:rPr>
        <w:t>病伤</w:t>
      </w:r>
      <w:r>
        <w:rPr>
          <w:rFonts w:hint="eastAsia"/>
          <w:snapToGrid/>
          <w:lang w:val="en-GB"/>
        </w:rPr>
        <w:t>暂时丧失工作</w:t>
      </w:r>
      <w:r>
        <w:rPr>
          <w:snapToGrid/>
          <w:lang w:val="en-GB"/>
        </w:rPr>
        <w:t>能力</w:t>
      </w:r>
      <w:r>
        <w:rPr>
          <w:rFonts w:hint="eastAsia"/>
          <w:snapToGrid/>
          <w:lang w:val="en-GB"/>
        </w:rPr>
        <w:t>时，</w:t>
      </w:r>
      <w:r>
        <w:rPr>
          <w:snapToGrid/>
          <w:lang w:val="en-GB"/>
        </w:rPr>
        <w:t>提供保健和经济补助。</w:t>
      </w:r>
    </w:p>
    <w:p w:rsidR="00000000" w:rsidRDefault="00844A84">
      <w:pPr>
        <w:ind w:firstLine="510"/>
        <w:rPr>
          <w:rFonts w:hint="eastAsia"/>
          <w:snapToGrid/>
          <w:lang w:val="en-GB"/>
        </w:rPr>
      </w:pPr>
      <w:r>
        <w:rPr>
          <w:snapToGrid/>
          <w:lang w:val="en-GB"/>
        </w:rPr>
        <w:t xml:space="preserve">717.  </w:t>
      </w:r>
      <w:r>
        <w:rPr>
          <w:snapToGrid/>
          <w:lang w:val="en-GB"/>
        </w:rPr>
        <w:t>健康保险是强制</w:t>
      </w:r>
      <w:r>
        <w:rPr>
          <w:rFonts w:hint="eastAsia"/>
          <w:snapToGrid/>
          <w:lang w:val="en-GB"/>
        </w:rPr>
        <w:t>性</w:t>
      </w:r>
      <w:r>
        <w:rPr>
          <w:snapToGrid/>
          <w:lang w:val="en-GB"/>
        </w:rPr>
        <w:t>保险。但本国和世界各地都</w:t>
      </w:r>
      <w:r>
        <w:rPr>
          <w:rFonts w:hint="eastAsia"/>
          <w:snapToGrid/>
          <w:lang w:val="en-GB"/>
        </w:rPr>
        <w:t>出现</w:t>
      </w:r>
      <w:r>
        <w:rPr>
          <w:snapToGrid/>
          <w:lang w:val="en-GB"/>
        </w:rPr>
        <w:t>发展</w:t>
      </w:r>
      <w:r>
        <w:rPr>
          <w:rFonts w:hint="eastAsia"/>
          <w:snapToGrid/>
          <w:lang w:val="en-GB"/>
        </w:rPr>
        <w:t>自愿</w:t>
      </w:r>
      <w:r>
        <w:rPr>
          <w:snapToGrid/>
          <w:lang w:val="en-GB"/>
        </w:rPr>
        <w:t>保险</w:t>
      </w:r>
      <w:r>
        <w:rPr>
          <w:rFonts w:hint="eastAsia"/>
          <w:snapToGrid/>
          <w:lang w:val="en-GB"/>
        </w:rPr>
        <w:t>的</w:t>
      </w:r>
      <w:r>
        <w:rPr>
          <w:snapToGrid/>
          <w:lang w:val="en-GB"/>
        </w:rPr>
        <w:t>趋势，</w:t>
      </w:r>
      <w:r>
        <w:rPr>
          <w:rFonts w:hint="eastAsia"/>
          <w:snapToGrid/>
          <w:lang w:val="en-GB"/>
        </w:rPr>
        <w:t>从</w:t>
      </w:r>
      <w:r>
        <w:rPr>
          <w:snapToGrid/>
          <w:lang w:val="en-GB"/>
        </w:rPr>
        <w:t>而</w:t>
      </w:r>
      <w:r>
        <w:rPr>
          <w:rFonts w:hint="eastAsia"/>
          <w:snapToGrid/>
          <w:lang w:val="en-GB"/>
        </w:rPr>
        <w:t>不利于</w:t>
      </w:r>
      <w:r>
        <w:rPr>
          <w:snapToGrid/>
          <w:lang w:val="en-GB"/>
        </w:rPr>
        <w:t>强制性健康保险，限制</w:t>
      </w:r>
      <w:r>
        <w:rPr>
          <w:rFonts w:hint="eastAsia"/>
          <w:snapToGrid/>
          <w:lang w:val="en-GB"/>
        </w:rPr>
        <w:t>了</w:t>
      </w:r>
      <w:r>
        <w:rPr>
          <w:snapToGrid/>
          <w:lang w:val="en-GB"/>
        </w:rPr>
        <w:t>强制性保险规定的各种权利，并</w:t>
      </w:r>
      <w:r>
        <w:rPr>
          <w:rFonts w:hint="eastAsia"/>
          <w:snapToGrid/>
          <w:lang w:val="en-GB"/>
        </w:rPr>
        <w:t>确定了自愿</w:t>
      </w:r>
      <w:r>
        <w:rPr>
          <w:snapToGrid/>
          <w:lang w:val="en-GB"/>
        </w:rPr>
        <w:t>保险范围广泛的</w:t>
      </w:r>
      <w:r>
        <w:rPr>
          <w:rFonts w:hint="eastAsia"/>
          <w:snapToGrid/>
          <w:lang w:val="en-GB"/>
        </w:rPr>
        <w:t>权利</w:t>
      </w:r>
      <w:r>
        <w:rPr>
          <w:snapToGrid/>
          <w:lang w:val="en-GB"/>
        </w:rPr>
        <w:t>。公众关心地认为，强制性保险</w:t>
      </w:r>
      <w:r>
        <w:rPr>
          <w:rFonts w:hint="eastAsia"/>
          <w:snapToGrid/>
          <w:lang w:val="en-GB"/>
        </w:rPr>
        <w:t>应</w:t>
      </w:r>
      <w:r>
        <w:rPr>
          <w:snapToGrid/>
          <w:lang w:val="en-GB"/>
        </w:rPr>
        <w:t>在某种程度上提供基本权利，而作为</w:t>
      </w:r>
      <w:r>
        <w:rPr>
          <w:rFonts w:hint="eastAsia"/>
          <w:snapToGrid/>
          <w:lang w:val="en-GB"/>
        </w:rPr>
        <w:t>额外</w:t>
      </w:r>
      <w:r>
        <w:rPr>
          <w:snapToGrid/>
          <w:lang w:val="en-GB"/>
        </w:rPr>
        <w:t>保险的</w:t>
      </w:r>
      <w:r>
        <w:rPr>
          <w:rFonts w:hint="eastAsia"/>
          <w:snapToGrid/>
          <w:lang w:val="en-GB"/>
        </w:rPr>
        <w:t>自愿</w:t>
      </w:r>
      <w:r>
        <w:rPr>
          <w:snapToGrid/>
          <w:lang w:val="en-GB"/>
        </w:rPr>
        <w:t>保险应该提供补充权利，并采用更高的标准</w:t>
      </w:r>
      <w:r>
        <w:rPr>
          <w:rFonts w:hint="eastAsia"/>
          <w:snapToGrid/>
          <w:lang w:val="en-GB"/>
        </w:rPr>
        <w:t>(</w:t>
      </w:r>
      <w:r>
        <w:rPr>
          <w:snapToGrid/>
          <w:lang w:val="en-GB"/>
        </w:rPr>
        <w:t>例如</w:t>
      </w:r>
      <w:r>
        <w:rPr>
          <w:rFonts w:hint="eastAsia"/>
          <w:snapToGrid/>
          <w:lang w:val="en-GB"/>
        </w:rPr>
        <w:t>更高的</w:t>
      </w:r>
      <w:r>
        <w:rPr>
          <w:snapToGrid/>
          <w:lang w:val="en-GB"/>
        </w:rPr>
        <w:t>保健服务</w:t>
      </w:r>
      <w:r>
        <w:rPr>
          <w:rFonts w:hint="eastAsia"/>
          <w:snapToGrid/>
          <w:lang w:val="en-GB"/>
        </w:rPr>
        <w:t>标准</w:t>
      </w:r>
      <w:r>
        <w:rPr>
          <w:rFonts w:hint="eastAsia"/>
          <w:snapToGrid/>
          <w:lang w:val="en-GB"/>
        </w:rPr>
        <w:t>)</w:t>
      </w:r>
      <w:r>
        <w:rPr>
          <w:snapToGrid/>
          <w:lang w:val="en-GB"/>
        </w:rPr>
        <w:t>。</w:t>
      </w:r>
    </w:p>
    <w:p w:rsidR="00000000" w:rsidRDefault="00844A84">
      <w:pPr>
        <w:spacing w:after="320"/>
        <w:ind w:firstLine="510"/>
        <w:rPr>
          <w:rFonts w:hint="eastAsia"/>
          <w:snapToGrid/>
          <w:lang w:val="en-GB"/>
        </w:rPr>
      </w:pPr>
      <w:r>
        <w:rPr>
          <w:rFonts w:hint="eastAsia"/>
          <w:snapToGrid/>
          <w:lang w:val="en-GB"/>
        </w:rPr>
        <w:t>718.</w:t>
      </w:r>
      <w:r>
        <w:rPr>
          <w:snapToGrid/>
          <w:lang w:val="en-GB"/>
        </w:rPr>
        <w:t xml:space="preserve">  </w:t>
      </w:r>
      <w:r>
        <w:rPr>
          <w:rFonts w:hint="eastAsia"/>
          <w:snapToGrid/>
          <w:lang w:val="en-GB"/>
        </w:rPr>
        <w:t>保健和健康保险规定的基本权利包括：保健；在暂时丧失工作能力期间带薪休假；旅费津贴</w:t>
      </w:r>
      <w:r>
        <w:rPr>
          <w:rFonts w:hint="eastAsia"/>
          <w:snapToGrid/>
          <w:lang w:val="en-GB"/>
        </w:rPr>
        <w:t>(</w:t>
      </w:r>
      <w:r>
        <w:rPr>
          <w:rFonts w:hint="eastAsia"/>
          <w:snapToGrid/>
          <w:lang w:val="en-GB"/>
        </w:rPr>
        <w:t>补助与保健相关的费用</w:t>
      </w:r>
      <w:r>
        <w:rPr>
          <w:rFonts w:hint="eastAsia"/>
          <w:snapToGrid/>
          <w:lang w:val="en-GB"/>
        </w:rPr>
        <w:t>)</w:t>
      </w:r>
      <w:r>
        <w:rPr>
          <w:rFonts w:hint="eastAsia"/>
          <w:snapToGrid/>
          <w:lang w:val="en-GB"/>
        </w:rPr>
        <w:t>。</w:t>
      </w:r>
    </w:p>
    <w:p w:rsidR="00000000" w:rsidRDefault="00844A84">
      <w:pPr>
        <w:pStyle w:val="Heading4"/>
        <w:rPr>
          <w:rFonts w:hint="eastAsia"/>
          <w:lang w:val="en-GB"/>
        </w:rPr>
      </w:pPr>
      <w:r>
        <w:rPr>
          <w:rFonts w:hint="eastAsia"/>
          <w:lang w:val="en-GB"/>
        </w:rPr>
        <w:t>受保人</w:t>
      </w:r>
    </w:p>
    <w:p w:rsidR="00000000" w:rsidRDefault="00844A84">
      <w:pPr>
        <w:spacing w:after="320"/>
        <w:ind w:firstLine="510"/>
        <w:rPr>
          <w:rFonts w:hint="eastAsia"/>
          <w:snapToGrid/>
          <w:lang w:val="en-GB"/>
        </w:rPr>
      </w:pPr>
      <w:r>
        <w:rPr>
          <w:rFonts w:hint="eastAsia"/>
          <w:snapToGrid/>
          <w:lang w:val="en-GB"/>
        </w:rPr>
        <w:t>719.</w:t>
      </w:r>
      <w:r>
        <w:rPr>
          <w:snapToGrid/>
          <w:lang w:val="en-GB"/>
        </w:rPr>
        <w:t xml:space="preserve">  </w:t>
      </w:r>
      <w:r>
        <w:rPr>
          <w:rFonts w:hint="eastAsia"/>
          <w:snapToGrid/>
          <w:lang w:val="en-GB"/>
        </w:rPr>
        <w:t>《保健和保险法》对受保人以及获得保险权利的人口群体作出了定义。受保人在生病、暂时丧失工作能力、被裁减等情况下，可获得保险条例规定的权利。</w:t>
      </w:r>
    </w:p>
    <w:p w:rsidR="00000000" w:rsidRDefault="00844A84">
      <w:pPr>
        <w:pStyle w:val="Heading4"/>
        <w:rPr>
          <w:rFonts w:hint="eastAsia"/>
          <w:lang w:val="en-GB"/>
        </w:rPr>
      </w:pPr>
      <w:r>
        <w:rPr>
          <w:rFonts w:hint="eastAsia"/>
          <w:lang w:val="en-GB"/>
        </w:rPr>
        <w:t>筹</w:t>
      </w:r>
      <w:r>
        <w:rPr>
          <w:lang w:val="en-GB"/>
        </w:rPr>
        <w:t xml:space="preserve">  </w:t>
      </w:r>
      <w:r>
        <w:rPr>
          <w:rFonts w:hint="eastAsia"/>
          <w:lang w:val="en-GB"/>
        </w:rPr>
        <w:t>资</w:t>
      </w:r>
    </w:p>
    <w:p w:rsidR="00000000" w:rsidRDefault="00844A84">
      <w:pPr>
        <w:ind w:firstLine="510"/>
        <w:rPr>
          <w:rFonts w:hint="eastAsia"/>
          <w:snapToGrid/>
          <w:lang w:val="en-GB"/>
        </w:rPr>
      </w:pPr>
      <w:r>
        <w:rPr>
          <w:rFonts w:hint="eastAsia"/>
          <w:snapToGrid/>
          <w:lang w:val="en-GB"/>
        </w:rPr>
        <w:t>720.</w:t>
      </w:r>
      <w:r>
        <w:rPr>
          <w:snapToGrid/>
          <w:lang w:val="en-GB"/>
        </w:rPr>
        <w:t xml:space="preserve">  </w:t>
      </w:r>
      <w:r>
        <w:rPr>
          <w:rFonts w:hint="eastAsia"/>
          <w:snapToGrid/>
          <w:lang w:val="en-GB"/>
        </w:rPr>
        <w:t>健康保险的目的是消除因诸如疾病、外伤和因暂时丧失工作能力而无法赚取收入等情况所造成的各种后果。为健康保险筹资的关键来源是员工、其他受保人和雇主缴纳的保险费。</w:t>
      </w:r>
    </w:p>
    <w:p w:rsidR="00000000" w:rsidRDefault="00844A84">
      <w:pPr>
        <w:ind w:firstLine="510"/>
        <w:rPr>
          <w:rFonts w:hint="eastAsia"/>
          <w:snapToGrid/>
          <w:lang w:val="en-GB"/>
        </w:rPr>
      </w:pPr>
      <w:r>
        <w:rPr>
          <w:rFonts w:hint="eastAsia"/>
          <w:snapToGrid/>
          <w:lang w:val="en-GB"/>
        </w:rPr>
        <w:t>721.</w:t>
      </w:r>
      <w:r>
        <w:rPr>
          <w:snapToGrid/>
          <w:lang w:val="en-GB"/>
        </w:rPr>
        <w:t xml:space="preserve">  </w:t>
      </w:r>
      <w:r>
        <w:rPr>
          <w:rFonts w:hint="eastAsia"/>
          <w:snapToGrid/>
          <w:lang w:val="en-GB"/>
        </w:rPr>
        <w:t>所有受益人都</w:t>
      </w:r>
      <w:r>
        <w:rPr>
          <w:rFonts w:hint="eastAsia"/>
          <w:snapToGrid/>
          <w:lang w:val="en-GB"/>
        </w:rPr>
        <w:t>必须缴纳保险费。只有本人缴纳保险费或由第三方代缴保险费，才能获得保险。各类受保人都是保险费纳款人，因为他们都是利用保险、是有收入来源、并能缴纳保险费的一类人</w:t>
      </w:r>
      <w:r>
        <w:rPr>
          <w:rFonts w:hint="eastAsia"/>
          <w:snapToGrid/>
          <w:lang w:val="en-GB"/>
        </w:rPr>
        <w:t>(</w:t>
      </w:r>
      <w:r>
        <w:rPr>
          <w:rFonts w:hint="eastAsia"/>
          <w:snapToGrid/>
          <w:lang w:val="en-GB"/>
        </w:rPr>
        <w:t>例如有工作的受保人、退休的受保人、农民受保人等</w:t>
      </w:r>
      <w:r>
        <w:rPr>
          <w:rFonts w:hint="eastAsia"/>
          <w:snapToGrid/>
          <w:lang w:val="en-GB"/>
        </w:rPr>
        <w:t>)</w:t>
      </w:r>
      <w:r>
        <w:rPr>
          <w:rFonts w:hint="eastAsia"/>
          <w:snapToGrid/>
          <w:lang w:val="en-GB"/>
        </w:rPr>
        <w:t>。</w:t>
      </w:r>
    </w:p>
    <w:p w:rsidR="00000000" w:rsidRDefault="00844A84">
      <w:pPr>
        <w:ind w:firstLine="510"/>
        <w:rPr>
          <w:rFonts w:hint="eastAsia"/>
          <w:snapToGrid/>
          <w:lang w:val="en-GB"/>
        </w:rPr>
      </w:pPr>
      <w:r>
        <w:rPr>
          <w:rFonts w:hint="eastAsia"/>
          <w:snapToGrid/>
          <w:lang w:val="en-GB"/>
        </w:rPr>
        <w:t>722.</w:t>
      </w:r>
      <w:r>
        <w:rPr>
          <w:snapToGrid/>
          <w:lang w:val="en-GB"/>
        </w:rPr>
        <w:t xml:space="preserve">  </w:t>
      </w:r>
      <w:r>
        <w:rPr>
          <w:rFonts w:hint="eastAsia"/>
          <w:snapToGrid/>
          <w:lang w:val="en-GB"/>
        </w:rPr>
        <w:t>所有公民都须缴纳保险费。员工的保险费</w:t>
      </w:r>
      <w:r>
        <w:rPr>
          <w:rFonts w:hint="eastAsia"/>
          <w:snapToGrid/>
          <w:lang w:val="en-GB"/>
        </w:rPr>
        <w:t>50%</w:t>
      </w:r>
      <w:r>
        <w:rPr>
          <w:rFonts w:hint="eastAsia"/>
          <w:snapToGrid/>
          <w:lang w:val="en-GB"/>
        </w:rPr>
        <w:t>由雇主支付，</w:t>
      </w:r>
      <w:r>
        <w:rPr>
          <w:rFonts w:hint="eastAsia"/>
          <w:snapToGrid/>
          <w:lang w:val="en-GB"/>
        </w:rPr>
        <w:t>50%</w:t>
      </w:r>
      <w:r>
        <w:rPr>
          <w:rFonts w:hint="eastAsia"/>
          <w:snapToGrid/>
          <w:lang w:val="en-GB"/>
        </w:rPr>
        <w:t>由自己支付；养恤金领取者的保险费由养恤基金支付，失业者则由国家预算支付。</w:t>
      </w:r>
    </w:p>
    <w:p w:rsidR="00000000" w:rsidRDefault="00844A84">
      <w:pPr>
        <w:ind w:firstLine="510"/>
        <w:rPr>
          <w:rFonts w:hint="eastAsia"/>
          <w:snapToGrid/>
          <w:lang w:val="en-GB"/>
        </w:rPr>
      </w:pPr>
      <w:r>
        <w:rPr>
          <w:rFonts w:hint="eastAsia"/>
          <w:snapToGrid/>
          <w:lang w:val="en-GB"/>
        </w:rPr>
        <w:t>723.</w:t>
      </w:r>
      <w:r>
        <w:rPr>
          <w:snapToGrid/>
          <w:lang w:val="en-GB"/>
        </w:rPr>
        <w:t xml:space="preserve">  </w:t>
      </w:r>
      <w:r>
        <w:rPr>
          <w:rFonts w:hint="eastAsia"/>
          <w:snapToGrid/>
          <w:lang w:val="en-GB"/>
        </w:rPr>
        <w:t>按照保健基金确定的保健总体安排，公民可免费获得保健服务，由该基金向保健机构偿付费用。</w:t>
      </w:r>
    </w:p>
    <w:p w:rsidR="00000000" w:rsidRDefault="00844A84">
      <w:pPr>
        <w:ind w:firstLine="510"/>
        <w:rPr>
          <w:rFonts w:hint="eastAsia"/>
          <w:snapToGrid/>
          <w:lang w:val="en-GB"/>
        </w:rPr>
      </w:pPr>
      <w:r>
        <w:rPr>
          <w:rFonts w:hint="eastAsia"/>
          <w:snapToGrid/>
          <w:lang w:val="en-GB"/>
        </w:rPr>
        <w:t>724.</w:t>
      </w:r>
      <w:r>
        <w:rPr>
          <w:snapToGrid/>
          <w:lang w:val="en-GB"/>
        </w:rPr>
        <w:t xml:space="preserve">  </w:t>
      </w:r>
      <w:r>
        <w:rPr>
          <w:rFonts w:hint="eastAsia"/>
          <w:snapToGrid/>
          <w:lang w:val="en-GB"/>
        </w:rPr>
        <w:t>享有保健和健康保险的权利，是基金按照本项法律和</w:t>
      </w:r>
      <w:r>
        <w:rPr>
          <w:rFonts w:hint="eastAsia"/>
          <w:snapToGrid/>
          <w:lang w:val="en-GB"/>
        </w:rPr>
        <w:t>基金附则提供的。基金理事会通过基金规章及基金工作方案；并依法确定实施保健和保险的程序。</w:t>
      </w:r>
    </w:p>
    <w:p w:rsidR="00000000" w:rsidRDefault="00844A84">
      <w:pPr>
        <w:ind w:firstLine="510"/>
        <w:rPr>
          <w:rFonts w:hint="eastAsia"/>
          <w:snapToGrid/>
          <w:lang w:val="en-GB"/>
        </w:rPr>
      </w:pPr>
      <w:r>
        <w:rPr>
          <w:rFonts w:hint="eastAsia"/>
          <w:snapToGrid/>
          <w:lang w:val="en-GB"/>
        </w:rPr>
        <w:t>725.</w:t>
      </w:r>
      <w:r>
        <w:rPr>
          <w:snapToGrid/>
          <w:lang w:val="en-GB"/>
        </w:rPr>
        <w:t xml:space="preserve">  </w:t>
      </w:r>
      <w:r>
        <w:rPr>
          <w:rFonts w:hint="eastAsia"/>
          <w:snapToGrid/>
          <w:lang w:val="en-GB"/>
        </w:rPr>
        <w:t>基金还通过年度保健方案；制定人事条例、保健服务标准和细则，以及用以评价保健机构工作情况及保健服务费用的其他标准和措施；并决定与保健机构、人道主义组织以及提供保健服务的协会签订合同。</w:t>
      </w:r>
    </w:p>
    <w:p w:rsidR="00000000" w:rsidRDefault="00844A84">
      <w:pPr>
        <w:ind w:firstLine="510"/>
        <w:rPr>
          <w:rFonts w:hint="eastAsia"/>
          <w:snapToGrid/>
          <w:lang w:val="en-GB"/>
        </w:rPr>
      </w:pPr>
      <w:r>
        <w:rPr>
          <w:rFonts w:hint="eastAsia"/>
          <w:snapToGrid/>
          <w:lang w:val="en-GB"/>
        </w:rPr>
        <w:t>726.</w:t>
      </w:r>
      <w:r>
        <w:rPr>
          <w:snapToGrid/>
          <w:lang w:val="en-GB"/>
        </w:rPr>
        <w:t xml:space="preserve">  </w:t>
      </w:r>
      <w:r>
        <w:rPr>
          <w:rFonts w:hint="eastAsia"/>
          <w:snapToGrid/>
          <w:lang w:val="en-GB"/>
        </w:rPr>
        <w:t>基金确定了保健机构的单一采购系统，用于采购医疗用品和设备、药品和其他医疗器材，并监督其实施工作。基金还为保健机构确定了采购和分配基金的标准和措施，并通过年度财政计划和年度结算。基金向议会报告其工作和活动情况，并按照法律</w:t>
      </w:r>
      <w:r>
        <w:rPr>
          <w:rFonts w:hint="eastAsia"/>
          <w:snapToGrid/>
          <w:lang w:val="en-GB"/>
        </w:rPr>
        <w:t>和基金章程开展其他活动。</w:t>
      </w:r>
    </w:p>
    <w:p w:rsidR="00000000" w:rsidRDefault="00844A84">
      <w:pPr>
        <w:ind w:firstLine="510"/>
        <w:rPr>
          <w:rFonts w:hint="eastAsia"/>
          <w:snapToGrid/>
          <w:lang w:val="en-GB"/>
        </w:rPr>
      </w:pPr>
      <w:r>
        <w:rPr>
          <w:rFonts w:hint="eastAsia"/>
          <w:snapToGrid/>
          <w:lang w:val="en-GB"/>
        </w:rPr>
        <w:t>727.</w:t>
      </w:r>
      <w:r>
        <w:rPr>
          <w:snapToGrid/>
          <w:lang w:val="en-GB"/>
        </w:rPr>
        <w:t xml:space="preserve">  </w:t>
      </w:r>
      <w:r>
        <w:rPr>
          <w:rFonts w:hint="eastAsia"/>
          <w:snapToGrid/>
          <w:lang w:val="en-GB"/>
        </w:rPr>
        <w:t>基金财政来源由以下方面提供：</w:t>
      </w:r>
    </w:p>
    <w:p w:rsidR="00000000" w:rsidRDefault="00844A84">
      <w:pPr>
        <w:pStyle w:val="a0"/>
        <w:tabs>
          <w:tab w:val="clear" w:pos="510"/>
          <w:tab w:val="num" w:pos="1550"/>
        </w:tabs>
        <w:ind w:left="1550"/>
        <w:rPr>
          <w:rFonts w:hint="eastAsia"/>
          <w:snapToGrid/>
          <w:lang w:val="en-GB"/>
        </w:rPr>
      </w:pPr>
      <w:r>
        <w:rPr>
          <w:rFonts w:hint="eastAsia"/>
          <w:snapToGrid/>
          <w:lang w:val="en-GB"/>
        </w:rPr>
        <w:t>来自员工薪金的缴款；</w:t>
      </w:r>
    </w:p>
    <w:p w:rsidR="00000000" w:rsidRDefault="00844A84">
      <w:pPr>
        <w:pStyle w:val="a0"/>
        <w:tabs>
          <w:tab w:val="clear" w:pos="510"/>
          <w:tab w:val="num" w:pos="1550"/>
        </w:tabs>
        <w:ind w:left="1550"/>
        <w:rPr>
          <w:rFonts w:hint="eastAsia"/>
          <w:snapToGrid/>
          <w:lang w:val="en-GB"/>
        </w:rPr>
      </w:pPr>
      <w:r>
        <w:rPr>
          <w:rFonts w:hint="eastAsia"/>
          <w:snapToGrid/>
          <w:lang w:val="en-GB"/>
        </w:rPr>
        <w:t>来自私营小企业雇员薪金的缴款；</w:t>
      </w:r>
    </w:p>
    <w:p w:rsidR="00000000" w:rsidRDefault="00844A84">
      <w:pPr>
        <w:pStyle w:val="a0"/>
        <w:tabs>
          <w:tab w:val="clear" w:pos="510"/>
          <w:tab w:val="num" w:pos="1550"/>
        </w:tabs>
        <w:ind w:left="1550"/>
        <w:rPr>
          <w:rFonts w:hint="eastAsia"/>
          <w:snapToGrid/>
          <w:lang w:val="en-GB"/>
        </w:rPr>
      </w:pPr>
      <w:r>
        <w:rPr>
          <w:rFonts w:hint="eastAsia"/>
          <w:snapToGrid/>
          <w:lang w:val="en-GB"/>
        </w:rPr>
        <w:t>来自农业工人薪金的缴款；</w:t>
      </w:r>
    </w:p>
    <w:p w:rsidR="00000000" w:rsidRDefault="00844A84">
      <w:pPr>
        <w:pStyle w:val="a0"/>
        <w:tabs>
          <w:tab w:val="clear" w:pos="510"/>
          <w:tab w:val="num" w:pos="1550"/>
        </w:tabs>
        <w:ind w:left="1550"/>
        <w:rPr>
          <w:rFonts w:hint="eastAsia"/>
          <w:snapToGrid/>
          <w:lang w:val="en-GB"/>
        </w:rPr>
      </w:pPr>
      <w:r>
        <w:rPr>
          <w:rFonts w:hint="eastAsia"/>
          <w:snapToGrid/>
          <w:lang w:val="en-GB"/>
        </w:rPr>
        <w:t>缴纳保险费的农民提供的地籍登记费和规定的收费；</w:t>
      </w:r>
    </w:p>
    <w:p w:rsidR="00000000" w:rsidRDefault="00844A84">
      <w:pPr>
        <w:pStyle w:val="a0"/>
        <w:tabs>
          <w:tab w:val="clear" w:pos="510"/>
          <w:tab w:val="num" w:pos="1550"/>
        </w:tabs>
        <w:ind w:left="1550"/>
        <w:rPr>
          <w:rFonts w:hint="eastAsia"/>
          <w:snapToGrid/>
          <w:lang w:val="en-GB"/>
        </w:rPr>
      </w:pPr>
      <w:r>
        <w:rPr>
          <w:rFonts w:hint="eastAsia"/>
          <w:snapToGrid/>
          <w:lang w:val="en-GB"/>
        </w:rPr>
        <w:t>来自养恤金的缴款；</w:t>
      </w:r>
    </w:p>
    <w:p w:rsidR="00000000" w:rsidRDefault="00844A84">
      <w:pPr>
        <w:pStyle w:val="a0"/>
        <w:tabs>
          <w:tab w:val="clear" w:pos="510"/>
          <w:tab w:val="num" w:pos="1550"/>
        </w:tabs>
        <w:ind w:left="1550"/>
        <w:rPr>
          <w:rFonts w:hint="eastAsia"/>
          <w:snapToGrid/>
          <w:lang w:val="en-GB"/>
        </w:rPr>
      </w:pPr>
      <w:r>
        <w:rPr>
          <w:rFonts w:hint="eastAsia"/>
          <w:snapToGrid/>
          <w:lang w:val="en-GB"/>
        </w:rPr>
        <w:t>来自版税、专利费、技术改进费知识服务费的缴款；</w:t>
      </w:r>
    </w:p>
    <w:p w:rsidR="00000000" w:rsidRDefault="00844A84">
      <w:pPr>
        <w:pStyle w:val="a0"/>
        <w:tabs>
          <w:tab w:val="clear" w:pos="510"/>
          <w:tab w:val="num" w:pos="1550"/>
        </w:tabs>
        <w:ind w:left="1550"/>
        <w:rPr>
          <w:rFonts w:hint="eastAsia"/>
          <w:snapToGrid/>
          <w:lang w:val="en-GB"/>
        </w:rPr>
      </w:pPr>
      <w:r>
        <w:rPr>
          <w:rFonts w:hint="eastAsia"/>
          <w:snapToGrid/>
          <w:lang w:val="en-GB"/>
        </w:rPr>
        <w:t>共和国预算收入和其他来源。</w:t>
      </w:r>
    </w:p>
    <w:p w:rsidR="00000000" w:rsidRDefault="00844A84">
      <w:pPr>
        <w:spacing w:after="320"/>
        <w:ind w:firstLine="510"/>
        <w:rPr>
          <w:rFonts w:hint="eastAsia"/>
          <w:snapToGrid/>
          <w:lang w:val="en-GB"/>
        </w:rPr>
      </w:pPr>
      <w:r>
        <w:rPr>
          <w:rFonts w:hint="eastAsia"/>
          <w:snapToGrid/>
          <w:lang w:val="en-GB"/>
        </w:rPr>
        <w:t>728.</w:t>
      </w:r>
      <w:r>
        <w:rPr>
          <w:snapToGrid/>
          <w:lang w:val="en-GB"/>
        </w:rPr>
        <w:t xml:space="preserve">  </w:t>
      </w:r>
      <w:r>
        <w:rPr>
          <w:rFonts w:hint="eastAsia"/>
          <w:snapToGrid/>
          <w:lang w:val="en-GB"/>
        </w:rPr>
        <w:t>所有无法在共和国境内提供的保健服务可在共和国境外或海外提供。黑山共和国执行前南斯拉夫社会主义联盟共和国批准的《国际健康保险公约》的条款。</w:t>
      </w:r>
    </w:p>
    <w:p w:rsidR="00000000" w:rsidRDefault="00844A84">
      <w:pPr>
        <w:pStyle w:val="Heading3"/>
        <w:rPr>
          <w:rFonts w:hint="eastAsia"/>
          <w:lang w:val="en-GB"/>
        </w:rPr>
      </w:pPr>
      <w:r>
        <w:rPr>
          <w:rFonts w:hint="eastAsia"/>
          <w:lang w:val="en-GB"/>
        </w:rPr>
        <w:t>第十三</w:t>
      </w:r>
      <w:r>
        <w:rPr>
          <w:lang w:val="en-GB"/>
        </w:rPr>
        <w:t>、</w:t>
      </w:r>
      <w:r>
        <w:rPr>
          <w:rFonts w:hint="eastAsia"/>
          <w:lang w:val="en-GB"/>
        </w:rPr>
        <w:t>十四</w:t>
      </w:r>
      <w:r>
        <w:rPr>
          <w:lang w:val="en-GB"/>
        </w:rPr>
        <w:t>和</w:t>
      </w:r>
      <w:r>
        <w:rPr>
          <w:rFonts w:hint="eastAsia"/>
          <w:lang w:val="en-GB"/>
        </w:rPr>
        <w:t>十五</w:t>
      </w:r>
      <w:r>
        <w:rPr>
          <w:lang w:val="en-GB"/>
        </w:rPr>
        <w:t>条</w:t>
      </w:r>
    </w:p>
    <w:p w:rsidR="00000000" w:rsidRDefault="00844A84">
      <w:pPr>
        <w:pStyle w:val="Heading4"/>
        <w:rPr>
          <w:rFonts w:hint="eastAsia"/>
          <w:lang w:val="en-GB"/>
        </w:rPr>
      </w:pPr>
      <w:r>
        <w:rPr>
          <w:rFonts w:hint="eastAsia"/>
          <w:lang w:val="en-GB"/>
        </w:rPr>
        <w:t>学前、初等和中等教育</w:t>
      </w:r>
    </w:p>
    <w:p w:rsidR="00000000" w:rsidRDefault="00844A84">
      <w:pPr>
        <w:ind w:firstLine="510"/>
        <w:rPr>
          <w:rFonts w:hint="eastAsia"/>
          <w:snapToGrid/>
          <w:lang w:val="en-GB"/>
        </w:rPr>
      </w:pPr>
      <w:r>
        <w:rPr>
          <w:rFonts w:hint="eastAsia"/>
          <w:snapToGrid/>
          <w:lang w:val="en-GB"/>
        </w:rPr>
        <w:t>729.</w:t>
      </w:r>
      <w:r>
        <w:rPr>
          <w:snapToGrid/>
          <w:lang w:val="en-GB"/>
        </w:rPr>
        <w:t xml:space="preserve">  </w:t>
      </w:r>
      <w:r>
        <w:rPr>
          <w:rFonts w:hint="eastAsia"/>
          <w:snapToGrid/>
          <w:lang w:val="en-GB"/>
        </w:rPr>
        <w:t>黑山《宪法》和</w:t>
      </w:r>
      <w:r>
        <w:rPr>
          <w:rFonts w:hint="eastAsia"/>
          <w:snapToGrid/>
          <w:lang w:val="en-GB"/>
        </w:rPr>
        <w:t>其他有关法律规定</w:t>
      </w:r>
      <w:r>
        <w:rPr>
          <w:rFonts w:hint="eastAsia"/>
          <w:snapToGrid/>
          <w:lang w:val="en-GB"/>
        </w:rPr>
        <w:t>7</w:t>
      </w:r>
      <w:r>
        <w:rPr>
          <w:rFonts w:hint="eastAsia"/>
          <w:snapToGrid/>
          <w:lang w:val="en-GB"/>
        </w:rPr>
        <w:t>至</w:t>
      </w:r>
      <w:r>
        <w:rPr>
          <w:snapToGrid/>
          <w:lang w:val="en-GB"/>
        </w:rPr>
        <w:t>15</w:t>
      </w:r>
      <w:r>
        <w:rPr>
          <w:snapToGrid/>
          <w:lang w:val="en-GB"/>
        </w:rPr>
        <w:t>岁的儿童</w:t>
      </w:r>
      <w:r>
        <w:rPr>
          <w:rFonts w:hint="eastAsia"/>
          <w:snapToGrid/>
          <w:lang w:val="en-GB"/>
        </w:rPr>
        <w:t>应</w:t>
      </w:r>
      <w:r>
        <w:rPr>
          <w:snapToGrid/>
          <w:lang w:val="en-GB"/>
        </w:rPr>
        <w:t>接受免费初等</w:t>
      </w:r>
      <w:r>
        <w:rPr>
          <w:rFonts w:hint="eastAsia"/>
          <w:snapToGrid/>
          <w:lang w:val="en-GB"/>
        </w:rPr>
        <w:t>义务</w:t>
      </w:r>
      <w:r>
        <w:rPr>
          <w:snapToGrid/>
          <w:lang w:val="en-GB"/>
        </w:rPr>
        <w:t>教育，</w:t>
      </w:r>
      <w:r>
        <w:rPr>
          <w:rFonts w:hint="eastAsia"/>
          <w:snapToGrid/>
          <w:lang w:val="en-GB"/>
        </w:rPr>
        <w:t>而</w:t>
      </w:r>
      <w:r>
        <w:rPr>
          <w:snapToGrid/>
          <w:lang w:val="en-GB"/>
        </w:rPr>
        <w:t>不论其</w:t>
      </w:r>
      <w:r>
        <w:rPr>
          <w:rFonts w:hint="eastAsia"/>
          <w:snapToGrid/>
          <w:lang w:val="en-GB"/>
        </w:rPr>
        <w:t>性别</w:t>
      </w:r>
      <w:r>
        <w:rPr>
          <w:snapToGrid/>
          <w:lang w:val="en-GB"/>
        </w:rPr>
        <w:t>、种族、</w:t>
      </w:r>
      <w:r>
        <w:rPr>
          <w:rFonts w:hint="eastAsia"/>
          <w:snapToGrid/>
          <w:lang w:val="en-GB"/>
        </w:rPr>
        <w:t>宗教或</w:t>
      </w:r>
      <w:r>
        <w:rPr>
          <w:snapToGrid/>
          <w:lang w:val="en-GB"/>
        </w:rPr>
        <w:t>其他</w:t>
      </w:r>
      <w:r>
        <w:rPr>
          <w:rFonts w:hint="eastAsia"/>
          <w:snapToGrid/>
          <w:lang w:val="en-GB"/>
        </w:rPr>
        <w:t>特性为何</w:t>
      </w:r>
      <w:r>
        <w:rPr>
          <w:snapToGrid/>
          <w:lang w:val="en-GB"/>
        </w:rPr>
        <w:t>。如果不执行这项规定，</w:t>
      </w:r>
      <w:r>
        <w:rPr>
          <w:rFonts w:hint="eastAsia"/>
          <w:snapToGrid/>
          <w:lang w:val="en-GB"/>
        </w:rPr>
        <w:t>家长或</w:t>
      </w:r>
      <w:r>
        <w:rPr>
          <w:snapToGrid/>
          <w:lang w:val="en-GB"/>
        </w:rPr>
        <w:t>监护人将依法受到</w:t>
      </w:r>
      <w:r>
        <w:rPr>
          <w:rFonts w:hint="eastAsia"/>
          <w:snapToGrid/>
          <w:lang w:val="en-GB"/>
        </w:rPr>
        <w:t>惩处</w:t>
      </w:r>
      <w:r>
        <w:rPr>
          <w:snapToGrid/>
          <w:lang w:val="en-GB"/>
        </w:rPr>
        <w:t>。由于教育部规定了对</w:t>
      </w:r>
      <w:r>
        <w:rPr>
          <w:rFonts w:hint="eastAsia"/>
          <w:snapToGrid/>
          <w:lang w:val="en-GB"/>
        </w:rPr>
        <w:t>家长</w:t>
      </w:r>
      <w:r>
        <w:rPr>
          <w:snapToGrid/>
          <w:lang w:val="en-GB"/>
        </w:rPr>
        <w:t>的这种</w:t>
      </w:r>
      <w:r>
        <w:rPr>
          <w:rFonts w:hint="eastAsia"/>
          <w:snapToGrid/>
          <w:lang w:val="en-GB"/>
        </w:rPr>
        <w:t>惩处</w:t>
      </w:r>
      <w:r>
        <w:rPr>
          <w:snapToGrid/>
          <w:lang w:val="en-GB"/>
        </w:rPr>
        <w:t>，</w:t>
      </w:r>
      <w:r>
        <w:rPr>
          <w:rFonts w:hint="eastAsia"/>
          <w:snapToGrid/>
          <w:lang w:val="en-GB"/>
        </w:rPr>
        <w:t>不</w:t>
      </w:r>
      <w:r>
        <w:rPr>
          <w:snapToGrid/>
          <w:lang w:val="en-GB"/>
        </w:rPr>
        <w:t>上学的学龄儿童人数已经减少，</w:t>
      </w:r>
      <w:r>
        <w:rPr>
          <w:rFonts w:hint="eastAsia"/>
          <w:snapToGrid/>
          <w:lang w:val="en-GB"/>
        </w:rPr>
        <w:t>以下事实</w:t>
      </w:r>
      <w:r>
        <w:rPr>
          <w:snapToGrid/>
          <w:lang w:val="en-GB"/>
        </w:rPr>
        <w:t>表明</w:t>
      </w:r>
      <w:r>
        <w:rPr>
          <w:rFonts w:hint="eastAsia"/>
          <w:snapToGrid/>
          <w:lang w:val="en-GB"/>
        </w:rPr>
        <w:t>了这种情况</w:t>
      </w:r>
      <w:r>
        <w:rPr>
          <w:snapToGrid/>
          <w:lang w:val="en-GB"/>
        </w:rPr>
        <w:t>：</w:t>
      </w:r>
      <w:r>
        <w:rPr>
          <w:snapToGrid/>
          <w:lang w:val="en-GB"/>
        </w:rPr>
        <w:t>1997</w:t>
      </w:r>
      <w:r>
        <w:rPr>
          <w:snapToGrid/>
          <w:lang w:val="en-GB"/>
        </w:rPr>
        <w:t>年</w:t>
      </w:r>
      <w:r>
        <w:rPr>
          <w:rFonts w:hint="eastAsia"/>
          <w:snapToGrid/>
          <w:lang w:val="en-GB"/>
        </w:rPr>
        <w:t>有</w:t>
      </w:r>
      <w:r>
        <w:rPr>
          <w:rFonts w:hint="eastAsia"/>
          <w:snapToGrid/>
          <w:lang w:val="en-GB"/>
        </w:rPr>
        <w:t>89</w:t>
      </w:r>
      <w:r>
        <w:rPr>
          <w:rFonts w:hint="eastAsia"/>
          <w:snapToGrid/>
          <w:lang w:val="en-GB"/>
        </w:rPr>
        <w:t>人受到这种惩处</w:t>
      </w:r>
      <w:r>
        <w:rPr>
          <w:snapToGrid/>
          <w:lang w:val="en-GB"/>
        </w:rPr>
        <w:t>；</w:t>
      </w:r>
      <w:r>
        <w:rPr>
          <w:snapToGrid/>
          <w:lang w:val="en-GB"/>
        </w:rPr>
        <w:t>1998</w:t>
      </w:r>
      <w:r>
        <w:rPr>
          <w:snapToGrid/>
          <w:lang w:val="en-GB"/>
        </w:rPr>
        <w:t>年</w:t>
      </w:r>
      <w:r>
        <w:rPr>
          <w:rFonts w:hint="eastAsia"/>
          <w:snapToGrid/>
          <w:lang w:val="en-GB"/>
        </w:rPr>
        <w:t>为</w:t>
      </w:r>
      <w:r>
        <w:rPr>
          <w:rFonts w:hint="eastAsia"/>
          <w:snapToGrid/>
          <w:lang w:val="en-GB"/>
        </w:rPr>
        <w:t>8</w:t>
      </w:r>
      <w:r>
        <w:rPr>
          <w:rFonts w:hint="eastAsia"/>
          <w:snapToGrid/>
          <w:lang w:val="en-GB"/>
        </w:rPr>
        <w:t>人</w:t>
      </w:r>
      <w:r>
        <w:rPr>
          <w:snapToGrid/>
          <w:lang w:val="en-GB"/>
        </w:rPr>
        <w:t>，</w:t>
      </w:r>
      <w:r>
        <w:rPr>
          <w:snapToGrid/>
          <w:lang w:val="en-GB"/>
        </w:rPr>
        <w:t>1999</w:t>
      </w:r>
      <w:r>
        <w:rPr>
          <w:snapToGrid/>
          <w:lang w:val="en-GB"/>
        </w:rPr>
        <w:t>年</w:t>
      </w:r>
      <w:r>
        <w:rPr>
          <w:rFonts w:hint="eastAsia"/>
          <w:snapToGrid/>
          <w:lang w:val="en-GB"/>
        </w:rPr>
        <w:t>为</w:t>
      </w:r>
      <w:r>
        <w:rPr>
          <w:rFonts w:hint="eastAsia"/>
          <w:snapToGrid/>
          <w:lang w:val="en-GB"/>
        </w:rPr>
        <w:t>111</w:t>
      </w:r>
      <w:r>
        <w:rPr>
          <w:rFonts w:hint="eastAsia"/>
          <w:snapToGrid/>
          <w:lang w:val="en-GB"/>
        </w:rPr>
        <w:t>人</w:t>
      </w:r>
      <w:r>
        <w:rPr>
          <w:snapToGrid/>
          <w:lang w:val="en-GB"/>
        </w:rPr>
        <w:t>(</w:t>
      </w:r>
      <w:r>
        <w:rPr>
          <w:rFonts w:hint="eastAsia"/>
          <w:snapToGrid/>
          <w:lang w:val="en-GB"/>
        </w:rPr>
        <w:t>受</w:t>
      </w:r>
      <w:r>
        <w:rPr>
          <w:snapToGrid/>
          <w:lang w:val="en-GB"/>
        </w:rPr>
        <w:t>惩罚</w:t>
      </w:r>
      <w:r>
        <w:rPr>
          <w:rFonts w:hint="eastAsia"/>
          <w:snapToGrid/>
          <w:lang w:val="en-GB"/>
        </w:rPr>
        <w:t>人数的</w:t>
      </w:r>
      <w:r>
        <w:rPr>
          <w:snapToGrid/>
          <w:lang w:val="en-GB"/>
        </w:rPr>
        <w:t>增加是由于修改了条例，有些家长</w:t>
      </w:r>
      <w:r>
        <w:rPr>
          <w:rFonts w:hint="eastAsia"/>
          <w:snapToGrid/>
          <w:lang w:val="en-GB"/>
        </w:rPr>
        <w:t>因此</w:t>
      </w:r>
      <w:r>
        <w:rPr>
          <w:snapToGrid/>
          <w:lang w:val="en-GB"/>
        </w:rPr>
        <w:t>受到</w:t>
      </w:r>
      <w:r>
        <w:rPr>
          <w:rFonts w:hint="eastAsia"/>
          <w:snapToGrid/>
          <w:lang w:val="en-GB"/>
        </w:rPr>
        <w:t>重复</w:t>
      </w:r>
      <w:r>
        <w:rPr>
          <w:snapToGrid/>
          <w:lang w:val="en-GB"/>
        </w:rPr>
        <w:t>惩罚</w:t>
      </w:r>
      <w:r>
        <w:rPr>
          <w:snapToGrid/>
          <w:lang w:val="en-GB"/>
        </w:rPr>
        <w:t>)</w:t>
      </w:r>
      <w:r>
        <w:rPr>
          <w:snapToGrid/>
          <w:lang w:val="en-GB"/>
        </w:rPr>
        <w:t>；</w:t>
      </w:r>
      <w:r>
        <w:rPr>
          <w:snapToGrid/>
          <w:lang w:val="en-GB"/>
        </w:rPr>
        <w:t>2000</w:t>
      </w:r>
      <w:r>
        <w:rPr>
          <w:snapToGrid/>
          <w:lang w:val="en-GB"/>
        </w:rPr>
        <w:t>年</w:t>
      </w:r>
      <w:r>
        <w:rPr>
          <w:rFonts w:hint="eastAsia"/>
          <w:snapToGrid/>
          <w:lang w:val="en-GB"/>
        </w:rPr>
        <w:t>为</w:t>
      </w:r>
      <w:r>
        <w:rPr>
          <w:snapToGrid/>
          <w:lang w:val="en-GB"/>
        </w:rPr>
        <w:t>50</w:t>
      </w:r>
      <w:r>
        <w:rPr>
          <w:rFonts w:hint="eastAsia"/>
          <w:snapToGrid/>
          <w:lang w:val="en-GB"/>
        </w:rPr>
        <w:t>人</w:t>
      </w:r>
      <w:r>
        <w:rPr>
          <w:snapToGrid/>
          <w:lang w:val="en-GB"/>
        </w:rPr>
        <w:t>；</w:t>
      </w:r>
      <w:r>
        <w:rPr>
          <w:snapToGrid/>
          <w:lang w:val="en-GB"/>
        </w:rPr>
        <w:t>2001</w:t>
      </w:r>
      <w:r>
        <w:rPr>
          <w:snapToGrid/>
          <w:lang w:val="en-GB"/>
        </w:rPr>
        <w:t>年</w:t>
      </w:r>
      <w:r>
        <w:rPr>
          <w:rFonts w:hint="eastAsia"/>
          <w:snapToGrid/>
          <w:lang w:val="en-GB"/>
        </w:rPr>
        <w:t>为</w:t>
      </w:r>
      <w:r>
        <w:rPr>
          <w:snapToGrid/>
          <w:lang w:val="en-GB"/>
        </w:rPr>
        <w:t>11</w:t>
      </w:r>
      <w:r>
        <w:rPr>
          <w:rFonts w:hint="eastAsia"/>
          <w:snapToGrid/>
          <w:lang w:val="en-GB"/>
        </w:rPr>
        <w:t>人</w:t>
      </w:r>
      <w:r>
        <w:rPr>
          <w:snapToGrid/>
          <w:lang w:val="en-GB"/>
        </w:rPr>
        <w:t>。</w:t>
      </w:r>
      <w:r>
        <w:rPr>
          <w:rFonts w:hint="eastAsia"/>
          <w:snapToGrid/>
          <w:lang w:val="en-GB"/>
        </w:rPr>
        <w:t>家长</w:t>
      </w:r>
      <w:r>
        <w:rPr>
          <w:snapToGrid/>
          <w:lang w:val="en-GB"/>
        </w:rPr>
        <w:t>通常在子女</w:t>
      </w:r>
      <w:r>
        <w:rPr>
          <w:rFonts w:hint="eastAsia"/>
          <w:snapToGrid/>
          <w:lang w:val="en-GB"/>
        </w:rPr>
        <w:t>读完</w:t>
      </w:r>
      <w:r>
        <w:rPr>
          <w:rFonts w:hint="eastAsia"/>
          <w:snapToGrid/>
          <w:lang w:val="en-GB"/>
        </w:rPr>
        <w:t>4</w:t>
      </w:r>
      <w:r>
        <w:rPr>
          <w:rFonts w:hint="eastAsia"/>
          <w:snapToGrid/>
          <w:lang w:val="en-GB"/>
        </w:rPr>
        <w:t>年级后就要</w:t>
      </w:r>
      <w:r>
        <w:rPr>
          <w:snapToGrid/>
          <w:lang w:val="en-GB"/>
        </w:rPr>
        <w:t>他们</w:t>
      </w:r>
      <w:r>
        <w:rPr>
          <w:rFonts w:hint="eastAsia"/>
          <w:snapToGrid/>
          <w:lang w:val="en-GB"/>
        </w:rPr>
        <w:t>离校</w:t>
      </w:r>
      <w:r>
        <w:rPr>
          <w:snapToGrid/>
          <w:lang w:val="en-GB"/>
        </w:rPr>
        <w:t>。这些通常是女孩，</w:t>
      </w:r>
      <w:r>
        <w:rPr>
          <w:rFonts w:hint="eastAsia"/>
          <w:snapToGrid/>
          <w:lang w:val="en-GB"/>
        </w:rPr>
        <w:t>她们</w:t>
      </w:r>
      <w:r>
        <w:rPr>
          <w:snapToGrid/>
          <w:lang w:val="en-GB"/>
        </w:rPr>
        <w:t>往往</w:t>
      </w:r>
      <w:r>
        <w:rPr>
          <w:rFonts w:hint="eastAsia"/>
          <w:snapToGrid/>
          <w:lang w:val="en-GB"/>
        </w:rPr>
        <w:t>还</w:t>
      </w:r>
      <w:r>
        <w:rPr>
          <w:snapToGrid/>
          <w:lang w:val="en-GB"/>
        </w:rPr>
        <w:t>很早就结婚。</w:t>
      </w:r>
      <w:r>
        <w:rPr>
          <w:rFonts w:hint="eastAsia"/>
          <w:snapToGrid/>
          <w:lang w:val="en-GB"/>
        </w:rPr>
        <w:t>这些儿童</w:t>
      </w:r>
      <w:r>
        <w:rPr>
          <w:snapToGrid/>
          <w:lang w:val="en-GB"/>
        </w:rPr>
        <w:t>多数居住在共和国</w:t>
      </w:r>
      <w:r>
        <w:rPr>
          <w:rFonts w:hint="eastAsia"/>
          <w:snapToGrid/>
          <w:lang w:val="en-GB"/>
        </w:rPr>
        <w:t>北部</w:t>
      </w:r>
      <w:r>
        <w:rPr>
          <w:snapToGrid/>
          <w:lang w:val="en-GB"/>
        </w:rPr>
        <w:t>，主要</w:t>
      </w:r>
      <w:r>
        <w:rPr>
          <w:rFonts w:hint="eastAsia"/>
          <w:snapToGrid/>
          <w:lang w:val="en-GB"/>
        </w:rPr>
        <w:t>居住</w:t>
      </w:r>
      <w:r>
        <w:rPr>
          <w:snapToGrid/>
          <w:lang w:val="en-GB"/>
        </w:rPr>
        <w:t>在穆斯林占人口多数的</w:t>
      </w:r>
      <w:r>
        <w:rPr>
          <w:rFonts w:hint="eastAsia"/>
          <w:snapToGrid/>
          <w:lang w:val="en-GB"/>
        </w:rPr>
        <w:t>市镇</w:t>
      </w:r>
      <w:r>
        <w:rPr>
          <w:snapToGrid/>
          <w:lang w:val="en-GB"/>
        </w:rPr>
        <w:t>。</w:t>
      </w:r>
    </w:p>
    <w:p w:rsidR="00000000" w:rsidRDefault="00844A84">
      <w:pPr>
        <w:ind w:firstLine="510"/>
        <w:rPr>
          <w:rFonts w:hint="eastAsia"/>
          <w:snapToGrid/>
          <w:lang w:val="en-GB"/>
        </w:rPr>
      </w:pPr>
      <w:r>
        <w:rPr>
          <w:rFonts w:hint="eastAsia"/>
          <w:snapToGrid/>
          <w:lang w:val="en-GB"/>
        </w:rPr>
        <w:t>730.</w:t>
      </w:r>
      <w:r>
        <w:rPr>
          <w:snapToGrid/>
          <w:lang w:val="en-GB"/>
        </w:rPr>
        <w:t xml:space="preserve">  </w:t>
      </w:r>
      <w:r>
        <w:rPr>
          <w:rFonts w:hint="eastAsia"/>
          <w:snapToGrid/>
          <w:lang w:val="en-GB"/>
        </w:rPr>
        <w:t>小学网络</w:t>
      </w:r>
      <w:r>
        <w:rPr>
          <w:rFonts w:hint="eastAsia"/>
          <w:snapToGrid/>
          <w:lang w:val="en-GB"/>
        </w:rPr>
        <w:t>(</w:t>
      </w:r>
      <w:r>
        <w:rPr>
          <w:snapToGrid/>
          <w:lang w:val="en-GB"/>
        </w:rPr>
        <w:t>167</w:t>
      </w:r>
      <w:r>
        <w:rPr>
          <w:snapToGrid/>
          <w:lang w:val="en-GB"/>
        </w:rPr>
        <w:t>所</w:t>
      </w:r>
      <w:r>
        <w:rPr>
          <w:snapToGrid/>
          <w:lang w:val="en-GB"/>
        </w:rPr>
        <w:t>8</w:t>
      </w:r>
      <w:r>
        <w:rPr>
          <w:snapToGrid/>
          <w:lang w:val="en-GB"/>
        </w:rPr>
        <w:t>年</w:t>
      </w:r>
      <w:r>
        <w:rPr>
          <w:rFonts w:hint="eastAsia"/>
          <w:snapToGrid/>
          <w:lang w:val="en-GB"/>
        </w:rPr>
        <w:t>制</w:t>
      </w:r>
      <w:r>
        <w:rPr>
          <w:snapToGrid/>
          <w:lang w:val="en-GB"/>
        </w:rPr>
        <w:t>学校和</w:t>
      </w:r>
      <w:r>
        <w:rPr>
          <w:snapToGrid/>
          <w:lang w:val="en-GB"/>
        </w:rPr>
        <w:t>340</w:t>
      </w:r>
      <w:r>
        <w:rPr>
          <w:rFonts w:hint="eastAsia"/>
          <w:snapToGrid/>
          <w:lang w:val="en-GB"/>
        </w:rPr>
        <w:t>所</w:t>
      </w:r>
      <w:r>
        <w:rPr>
          <w:rFonts w:hint="eastAsia"/>
          <w:snapToGrid/>
          <w:lang w:val="en-GB"/>
        </w:rPr>
        <w:t>4</w:t>
      </w:r>
      <w:r>
        <w:rPr>
          <w:snapToGrid/>
          <w:lang w:val="en-GB"/>
        </w:rPr>
        <w:t>年级学校</w:t>
      </w:r>
      <w:r>
        <w:rPr>
          <w:snapToGrid/>
          <w:lang w:val="en-GB"/>
        </w:rPr>
        <w:t>)</w:t>
      </w:r>
      <w:r>
        <w:rPr>
          <w:rFonts w:hint="eastAsia"/>
          <w:snapToGrid/>
          <w:lang w:val="en-GB"/>
        </w:rPr>
        <w:t>使</w:t>
      </w:r>
      <w:r>
        <w:rPr>
          <w:snapToGrid/>
          <w:lang w:val="en-GB"/>
        </w:rPr>
        <w:t>黑山所有儿童都能入学，</w:t>
      </w:r>
      <w:r>
        <w:rPr>
          <w:rFonts w:hint="eastAsia"/>
          <w:snapToGrid/>
          <w:lang w:val="en-GB"/>
        </w:rPr>
        <w:t>因此</w:t>
      </w:r>
      <w:r>
        <w:rPr>
          <w:snapToGrid/>
          <w:lang w:val="en-GB"/>
        </w:rPr>
        <w:t>98%</w:t>
      </w:r>
      <w:r>
        <w:rPr>
          <w:snapToGrid/>
          <w:lang w:val="en-GB"/>
        </w:rPr>
        <w:t>的儿童都接受了初等教育。目前</w:t>
      </w:r>
      <w:r>
        <w:rPr>
          <w:rFonts w:hint="eastAsia"/>
          <w:snapToGrid/>
          <w:lang w:val="en-GB"/>
        </w:rPr>
        <w:t>正在</w:t>
      </w:r>
      <w:r>
        <w:rPr>
          <w:snapToGrid/>
          <w:lang w:val="en-GB"/>
        </w:rPr>
        <w:t>进行的教育改革包括</w:t>
      </w:r>
      <w:r>
        <w:rPr>
          <w:rFonts w:hint="eastAsia"/>
          <w:snapToGrid/>
          <w:lang w:val="en-GB"/>
        </w:rPr>
        <w:t>使</w:t>
      </w:r>
      <w:r>
        <w:rPr>
          <w:snapToGrid/>
          <w:lang w:val="en-GB"/>
        </w:rPr>
        <w:t>网络结构合理化的计划，因为黑山一些农村地区</w:t>
      </w:r>
      <w:r>
        <w:rPr>
          <w:rFonts w:hint="eastAsia"/>
          <w:snapToGrid/>
          <w:lang w:val="en-GB"/>
        </w:rPr>
        <w:t>的</w:t>
      </w:r>
      <w:r>
        <w:rPr>
          <w:snapToGrid/>
          <w:lang w:val="en-GB"/>
        </w:rPr>
        <w:t>儿童人数太少。</w:t>
      </w:r>
      <w:r>
        <w:rPr>
          <w:rFonts w:hint="eastAsia"/>
          <w:snapToGrid/>
          <w:lang w:val="en-GB"/>
        </w:rPr>
        <w:t>而另一方面</w:t>
      </w:r>
      <w:r>
        <w:rPr>
          <w:snapToGrid/>
          <w:lang w:val="en-GB"/>
        </w:rPr>
        <w:t>，</w:t>
      </w:r>
      <w:r>
        <w:rPr>
          <w:rFonts w:hint="eastAsia"/>
          <w:snapToGrid/>
          <w:lang w:val="en-GB"/>
        </w:rPr>
        <w:t>移居</w:t>
      </w:r>
      <w:r>
        <w:rPr>
          <w:snapToGrid/>
          <w:lang w:val="en-GB"/>
        </w:rPr>
        <w:t>首都和其他城市中心的</w:t>
      </w:r>
      <w:r>
        <w:rPr>
          <w:rFonts w:hint="eastAsia"/>
          <w:snapToGrid/>
          <w:lang w:val="en-GB"/>
        </w:rPr>
        <w:t>现象使</w:t>
      </w:r>
      <w:r>
        <w:rPr>
          <w:snapToGrid/>
          <w:lang w:val="en-GB"/>
        </w:rPr>
        <w:t>学校拥挤不堪。北方</w:t>
      </w:r>
      <w:r>
        <w:rPr>
          <w:rFonts w:hint="eastAsia"/>
          <w:snapToGrid/>
          <w:lang w:val="en-GB"/>
        </w:rPr>
        <w:t>市镇</w:t>
      </w:r>
      <w:r>
        <w:rPr>
          <w:snapToGrid/>
          <w:lang w:val="en-GB"/>
        </w:rPr>
        <w:t>一些小学</w:t>
      </w:r>
      <w:r>
        <w:rPr>
          <w:rFonts w:hint="eastAsia"/>
          <w:snapToGrid/>
          <w:lang w:val="en-GB"/>
        </w:rPr>
        <w:t>的</w:t>
      </w:r>
      <w:r>
        <w:rPr>
          <w:snapToGrid/>
          <w:lang w:val="en-GB"/>
        </w:rPr>
        <w:t>学生人数</w:t>
      </w:r>
      <w:r>
        <w:rPr>
          <w:rFonts w:hint="eastAsia"/>
          <w:snapToGrid/>
          <w:lang w:val="en-GB"/>
        </w:rPr>
        <w:t>不断</w:t>
      </w:r>
      <w:r>
        <w:rPr>
          <w:snapToGrid/>
          <w:lang w:val="en-GB"/>
        </w:rPr>
        <w:t>减少</w:t>
      </w:r>
      <w:r>
        <w:rPr>
          <w:snapToGrid/>
          <w:lang w:val="en-GB"/>
        </w:rPr>
        <w:t>(</w:t>
      </w:r>
      <w:r>
        <w:rPr>
          <w:snapToGrid/>
          <w:lang w:val="en-GB"/>
        </w:rPr>
        <w:t>例如，</w:t>
      </w:r>
      <w:r>
        <w:rPr>
          <w:snapToGrid/>
          <w:lang w:val="en-GB"/>
        </w:rPr>
        <w:t>Plje</w:t>
      </w:r>
      <w:r>
        <w:rPr>
          <w:rFonts w:hint="eastAsia"/>
          <w:snapToGrid/>
          <w:lang w:val="en-GB"/>
        </w:rPr>
        <w:t>vlja</w:t>
      </w:r>
      <w:r>
        <w:rPr>
          <w:snapToGrid/>
          <w:lang w:val="en-GB"/>
        </w:rPr>
        <w:t>“</w:t>
      </w:r>
      <w:r>
        <w:rPr>
          <w:rFonts w:hint="eastAsia"/>
          <w:snapToGrid/>
          <w:lang w:val="en-GB"/>
        </w:rPr>
        <w:t>Bosko Buha</w:t>
      </w:r>
      <w:r>
        <w:rPr>
          <w:snapToGrid/>
          <w:lang w:val="en-GB"/>
        </w:rPr>
        <w:t>”</w:t>
      </w:r>
      <w:r>
        <w:rPr>
          <w:snapToGrid/>
          <w:lang w:val="en-GB"/>
        </w:rPr>
        <w:t>小学现有</w:t>
      </w:r>
      <w:r>
        <w:rPr>
          <w:rFonts w:hint="eastAsia"/>
          <w:snapToGrid/>
          <w:lang w:val="en-GB"/>
        </w:rPr>
        <w:t>的</w:t>
      </w:r>
      <w:r>
        <w:rPr>
          <w:snapToGrid/>
          <w:lang w:val="en-GB"/>
        </w:rPr>
        <w:t>学生</w:t>
      </w:r>
      <w:r>
        <w:rPr>
          <w:rFonts w:hint="eastAsia"/>
          <w:snapToGrid/>
          <w:lang w:val="en-GB"/>
        </w:rPr>
        <w:t>比</w:t>
      </w:r>
      <w:r>
        <w:rPr>
          <w:snapToGrid/>
          <w:lang w:val="en-GB"/>
        </w:rPr>
        <w:t>1999/2000</w:t>
      </w:r>
      <w:r>
        <w:rPr>
          <w:rFonts w:hint="eastAsia"/>
          <w:snapToGrid/>
          <w:lang w:val="en-GB"/>
        </w:rPr>
        <w:t>学年</w:t>
      </w:r>
      <w:r>
        <w:rPr>
          <w:snapToGrid/>
          <w:lang w:val="en-GB"/>
        </w:rPr>
        <w:t>减少</w:t>
      </w:r>
      <w:r>
        <w:rPr>
          <w:rFonts w:hint="eastAsia"/>
          <w:snapToGrid/>
          <w:lang w:val="en-GB"/>
        </w:rPr>
        <w:t>了</w:t>
      </w:r>
      <w:r>
        <w:rPr>
          <w:snapToGrid/>
          <w:lang w:val="en-GB"/>
        </w:rPr>
        <w:t>200</w:t>
      </w:r>
      <w:r>
        <w:rPr>
          <w:snapToGrid/>
          <w:lang w:val="en-GB"/>
        </w:rPr>
        <w:t>人</w:t>
      </w:r>
      <w:r>
        <w:rPr>
          <w:rFonts w:hint="eastAsia"/>
          <w:snapToGrid/>
          <w:lang w:val="en-GB"/>
        </w:rPr>
        <w:t>)</w:t>
      </w:r>
      <w:r>
        <w:rPr>
          <w:snapToGrid/>
          <w:lang w:val="en-GB"/>
        </w:rPr>
        <w:t>。一些数据表明了这种情况：</w:t>
      </w:r>
      <w:r>
        <w:rPr>
          <w:snapToGrid/>
          <w:lang w:val="en-GB"/>
        </w:rPr>
        <w:t>18.4%</w:t>
      </w:r>
      <w:r>
        <w:rPr>
          <w:snapToGrid/>
          <w:lang w:val="en-GB"/>
        </w:rPr>
        <w:t>的</w:t>
      </w:r>
      <w:r>
        <w:rPr>
          <w:rFonts w:hint="eastAsia"/>
          <w:snapToGrid/>
          <w:lang w:val="en-GB"/>
        </w:rPr>
        <w:t>学校设在</w:t>
      </w:r>
      <w:r>
        <w:rPr>
          <w:snapToGrid/>
          <w:lang w:val="en-GB"/>
        </w:rPr>
        <w:t>城市地区，</w:t>
      </w:r>
      <w:r>
        <w:rPr>
          <w:snapToGrid/>
          <w:lang w:val="en-GB"/>
        </w:rPr>
        <w:t>81.6%</w:t>
      </w:r>
      <w:r>
        <w:rPr>
          <w:rFonts w:hint="eastAsia"/>
          <w:snapToGrid/>
          <w:lang w:val="en-GB"/>
        </w:rPr>
        <w:t>设在农村</w:t>
      </w:r>
      <w:r>
        <w:rPr>
          <w:snapToGrid/>
          <w:lang w:val="en-GB"/>
        </w:rPr>
        <w:t>，</w:t>
      </w:r>
      <w:r>
        <w:rPr>
          <w:rFonts w:hint="eastAsia"/>
          <w:snapToGrid/>
          <w:lang w:val="en-GB"/>
        </w:rPr>
        <w:t>但</w:t>
      </w:r>
      <w:r>
        <w:rPr>
          <w:rFonts w:hint="eastAsia"/>
          <w:snapToGrid/>
          <w:lang w:val="en-GB"/>
        </w:rPr>
        <w:t>7</w:t>
      </w:r>
      <w:r>
        <w:rPr>
          <w:snapToGrid/>
          <w:lang w:val="en-GB"/>
        </w:rPr>
        <w:t>3.5%</w:t>
      </w:r>
      <w:r>
        <w:rPr>
          <w:snapToGrid/>
          <w:lang w:val="en-GB"/>
        </w:rPr>
        <w:t>的学生居住在城市地区，</w:t>
      </w:r>
      <w:r>
        <w:rPr>
          <w:snapToGrid/>
          <w:lang w:val="en-GB"/>
        </w:rPr>
        <w:t>26.5%</w:t>
      </w:r>
      <w:r>
        <w:rPr>
          <w:snapToGrid/>
          <w:lang w:val="en-GB"/>
        </w:rPr>
        <w:t>居住在</w:t>
      </w:r>
      <w:r>
        <w:rPr>
          <w:rFonts w:hint="eastAsia"/>
          <w:snapToGrid/>
          <w:lang w:val="en-GB"/>
        </w:rPr>
        <w:t>农村</w:t>
      </w:r>
      <w:r>
        <w:rPr>
          <w:snapToGrid/>
          <w:lang w:val="en-GB"/>
        </w:rPr>
        <w:t>。</w:t>
      </w:r>
    </w:p>
    <w:p w:rsidR="00000000" w:rsidRDefault="00844A84">
      <w:pPr>
        <w:ind w:firstLine="510"/>
        <w:rPr>
          <w:rFonts w:hint="eastAsia"/>
          <w:snapToGrid/>
          <w:lang w:val="en-GB"/>
        </w:rPr>
      </w:pPr>
      <w:r>
        <w:rPr>
          <w:rFonts w:hint="eastAsia"/>
          <w:snapToGrid/>
          <w:lang w:val="en-GB"/>
        </w:rPr>
        <w:t>731.</w:t>
      </w:r>
      <w:r>
        <w:rPr>
          <w:snapToGrid/>
          <w:lang w:val="en-GB"/>
        </w:rPr>
        <w:t xml:space="preserve">  </w:t>
      </w:r>
      <w:r>
        <w:rPr>
          <w:rFonts w:hint="eastAsia"/>
          <w:snapToGrid/>
          <w:lang w:val="en-GB"/>
        </w:rPr>
        <w:t>难民儿童和国内流离失所儿童有权享有与本地儿童相同的权利。贫穷家庭儿童以及需要长途跋涉才能上学的儿童由学生寄宿学校提供膳宿、免费课本和其他材料以及衣服和鞋具。</w:t>
      </w:r>
    </w:p>
    <w:p w:rsidR="00000000" w:rsidRDefault="00844A84">
      <w:pPr>
        <w:ind w:firstLine="510"/>
        <w:rPr>
          <w:rFonts w:hint="eastAsia"/>
          <w:snapToGrid/>
          <w:lang w:val="en-GB"/>
        </w:rPr>
      </w:pPr>
      <w:r>
        <w:rPr>
          <w:rFonts w:hint="eastAsia"/>
          <w:snapToGrid/>
          <w:lang w:val="en-GB"/>
        </w:rPr>
        <w:t>732.</w:t>
      </w:r>
      <w:r>
        <w:rPr>
          <w:snapToGrid/>
          <w:lang w:val="en-GB"/>
        </w:rPr>
        <w:t xml:space="preserve">  </w:t>
      </w:r>
      <w:r>
        <w:rPr>
          <w:rFonts w:hint="eastAsia"/>
          <w:snapToGrid/>
          <w:lang w:val="en-GB"/>
        </w:rPr>
        <w:t>黑山共和国现有</w:t>
      </w:r>
      <w:r>
        <w:rPr>
          <w:snapToGrid/>
          <w:lang w:val="en-GB"/>
        </w:rPr>
        <w:t>20</w:t>
      </w:r>
      <w:r>
        <w:rPr>
          <w:snapToGrid/>
          <w:lang w:val="en-GB"/>
        </w:rPr>
        <w:t>所学前教育机构</w:t>
      </w:r>
      <w:r>
        <w:rPr>
          <w:snapToGrid/>
          <w:lang w:val="en-GB"/>
        </w:rPr>
        <w:t>(</w:t>
      </w:r>
      <w:r>
        <w:rPr>
          <w:snapToGrid/>
          <w:lang w:val="en-GB"/>
        </w:rPr>
        <w:t>设在</w:t>
      </w:r>
      <w:r>
        <w:rPr>
          <w:rFonts w:hint="eastAsia"/>
          <w:snapToGrid/>
          <w:lang w:val="en-GB"/>
        </w:rPr>
        <w:t>除</w:t>
      </w:r>
      <w:r>
        <w:rPr>
          <w:snapToGrid/>
          <w:lang w:val="en-GB"/>
        </w:rPr>
        <w:t>Zabljak</w:t>
      </w:r>
      <w:r>
        <w:rPr>
          <w:rFonts w:hint="eastAsia"/>
          <w:snapToGrid/>
          <w:lang w:val="en-GB"/>
        </w:rPr>
        <w:t>之外</w:t>
      </w:r>
      <w:r>
        <w:rPr>
          <w:snapToGrid/>
          <w:lang w:val="en-GB"/>
        </w:rPr>
        <w:t>的所有市</w:t>
      </w:r>
      <w:r>
        <w:rPr>
          <w:rFonts w:hint="eastAsia"/>
          <w:snapToGrid/>
          <w:lang w:val="en-GB"/>
        </w:rPr>
        <w:t>镇</w:t>
      </w:r>
      <w:r>
        <w:rPr>
          <w:snapToGrid/>
          <w:lang w:val="en-GB"/>
        </w:rPr>
        <w:t>地区</w:t>
      </w:r>
      <w:r>
        <w:rPr>
          <w:snapToGrid/>
          <w:lang w:val="en-GB"/>
        </w:rPr>
        <w:t>)</w:t>
      </w:r>
      <w:r>
        <w:rPr>
          <w:snapToGrid/>
          <w:lang w:val="en-GB"/>
        </w:rPr>
        <w:t>。这些机构向所有的儿童提供服务，</w:t>
      </w:r>
      <w:r>
        <w:rPr>
          <w:rFonts w:hint="eastAsia"/>
          <w:snapToGrid/>
          <w:lang w:val="en-GB"/>
        </w:rPr>
        <w:t>而</w:t>
      </w:r>
      <w:r>
        <w:rPr>
          <w:snapToGrid/>
          <w:lang w:val="en-GB"/>
        </w:rPr>
        <w:t>不论其性别、民族、宗教或任何其他的</w:t>
      </w:r>
      <w:r>
        <w:rPr>
          <w:rFonts w:hint="eastAsia"/>
          <w:snapToGrid/>
          <w:lang w:val="en-GB"/>
        </w:rPr>
        <w:t>特征为何</w:t>
      </w:r>
      <w:r>
        <w:rPr>
          <w:snapToGrid/>
          <w:lang w:val="en-GB"/>
        </w:rPr>
        <w:t>。家长必须负担部分食品费用。</w:t>
      </w:r>
      <w:r>
        <w:rPr>
          <w:rFonts w:hint="eastAsia"/>
          <w:snapToGrid/>
          <w:lang w:val="en-GB"/>
        </w:rPr>
        <w:t>接受</w:t>
      </w:r>
      <w:r>
        <w:rPr>
          <w:snapToGrid/>
          <w:lang w:val="en-GB"/>
        </w:rPr>
        <w:t>学前教育的人比例较小，</w:t>
      </w:r>
      <w:r>
        <w:rPr>
          <w:rFonts w:hint="eastAsia"/>
          <w:snapToGrid/>
          <w:lang w:val="en-GB"/>
        </w:rPr>
        <w:t>约</w:t>
      </w:r>
      <w:r>
        <w:rPr>
          <w:snapToGrid/>
          <w:lang w:val="en-GB"/>
        </w:rPr>
        <w:t>为</w:t>
      </w:r>
      <w:r>
        <w:rPr>
          <w:snapToGrid/>
          <w:lang w:val="en-GB"/>
        </w:rPr>
        <w:t>20%</w:t>
      </w:r>
      <w:r>
        <w:rPr>
          <w:snapToGrid/>
          <w:lang w:val="en-GB"/>
        </w:rPr>
        <w:t>。</w:t>
      </w:r>
    </w:p>
    <w:p w:rsidR="00000000" w:rsidRDefault="00844A84">
      <w:pPr>
        <w:ind w:firstLine="510"/>
        <w:rPr>
          <w:rFonts w:hint="eastAsia"/>
          <w:snapToGrid/>
          <w:lang w:val="en-GB"/>
        </w:rPr>
      </w:pPr>
      <w:r>
        <w:rPr>
          <w:rFonts w:hint="eastAsia"/>
          <w:snapToGrid/>
          <w:lang w:val="en-GB"/>
        </w:rPr>
        <w:t>733.</w:t>
      </w:r>
      <w:r>
        <w:rPr>
          <w:snapToGrid/>
          <w:lang w:val="en-GB"/>
        </w:rPr>
        <w:t xml:space="preserve">  </w:t>
      </w:r>
      <w:r>
        <w:rPr>
          <w:rFonts w:hint="eastAsia"/>
          <w:snapToGrid/>
          <w:lang w:val="en-GB"/>
        </w:rPr>
        <w:t>黑山有三所特殊需要儿童学校</w:t>
      </w:r>
      <w:r>
        <w:rPr>
          <w:rFonts w:hint="eastAsia"/>
          <w:snapToGrid/>
          <w:lang w:val="en-GB"/>
        </w:rPr>
        <w:t>(</w:t>
      </w:r>
      <w:r>
        <w:rPr>
          <w:rFonts w:hint="eastAsia"/>
          <w:snapToGrid/>
          <w:lang w:val="en-GB"/>
        </w:rPr>
        <w:t>为语言和听力残</w:t>
      </w:r>
      <w:r>
        <w:rPr>
          <w:rFonts w:hint="eastAsia"/>
          <w:snapToGrid/>
          <w:lang w:val="en-GB"/>
        </w:rPr>
        <w:t>障儿童、视力障碍儿童、生理残疾儿童和青年以及心理残障儿童及青年开设的学校</w:t>
      </w:r>
      <w:r>
        <w:rPr>
          <w:rFonts w:hint="eastAsia"/>
          <w:snapToGrid/>
          <w:lang w:val="en-GB"/>
        </w:rPr>
        <w:t>)</w:t>
      </w:r>
      <w:r>
        <w:rPr>
          <w:rFonts w:hint="eastAsia"/>
          <w:snapToGrid/>
          <w:lang w:val="en-GB"/>
        </w:rPr>
        <w:t>。这些学校由国家提供经费。其中两所学校还为学生提供膳宿。除了这些学校外，还有</w:t>
      </w:r>
      <w:r>
        <w:rPr>
          <w:rFonts w:hint="eastAsia"/>
          <w:snapToGrid/>
          <w:lang w:val="en-GB"/>
        </w:rPr>
        <w:t>15</w:t>
      </w:r>
      <w:r>
        <w:rPr>
          <w:rFonts w:hint="eastAsia"/>
          <w:snapToGrid/>
          <w:lang w:val="en-GB"/>
        </w:rPr>
        <w:t>所小学开设了特殊需要儿童班。目前正在实施一个项目，其中包括建造将雇佣残疾人工作的工厂。这一项目由黑山就业局、教育和科学部以及非政府组织“猎鹰”联合执行。</w:t>
      </w:r>
    </w:p>
    <w:p w:rsidR="00000000" w:rsidRDefault="00844A84">
      <w:pPr>
        <w:ind w:firstLine="510"/>
        <w:rPr>
          <w:rFonts w:hint="eastAsia"/>
          <w:snapToGrid/>
          <w:lang w:val="en-GB"/>
        </w:rPr>
      </w:pPr>
      <w:r>
        <w:rPr>
          <w:rFonts w:hint="eastAsia"/>
          <w:snapToGrid/>
          <w:lang w:val="en-GB"/>
        </w:rPr>
        <w:t>734.</w:t>
      </w:r>
      <w:r>
        <w:rPr>
          <w:snapToGrid/>
          <w:lang w:val="en-GB"/>
        </w:rPr>
        <w:t xml:space="preserve">  </w:t>
      </w:r>
      <w:r>
        <w:rPr>
          <w:rFonts w:hint="eastAsia"/>
          <w:snapToGrid/>
          <w:lang w:val="en-GB"/>
        </w:rPr>
        <w:t>在多数人口为阿尔巴尼亚族的区域，允许学生在以母语开设的班级上课。现已开设阿尔巴尼亚语小学，</w:t>
      </w:r>
      <w:r>
        <w:rPr>
          <w:rFonts w:hint="eastAsia"/>
          <w:snapToGrid/>
          <w:lang w:val="en-GB"/>
        </w:rPr>
        <w:t>7</w:t>
      </w:r>
      <w:r>
        <w:rPr>
          <w:rFonts w:hint="eastAsia"/>
          <w:snapToGrid/>
          <w:lang w:val="en-GB"/>
        </w:rPr>
        <w:t>所阿尔巴尼亚语和塞尔维亚语双语学校，以及</w:t>
      </w:r>
      <w:r>
        <w:rPr>
          <w:rFonts w:hint="eastAsia"/>
          <w:snapToGrid/>
          <w:lang w:val="en-GB"/>
        </w:rPr>
        <w:t>3</w:t>
      </w:r>
      <w:r>
        <w:rPr>
          <w:rFonts w:hint="eastAsia"/>
          <w:snapToGrid/>
          <w:lang w:val="en-GB"/>
        </w:rPr>
        <w:t>所阿尔巴尼亚语和塞尔维亚语双语中学。这些学校的公用文件以及</w:t>
      </w:r>
      <w:r>
        <w:rPr>
          <w:rFonts w:hint="eastAsia"/>
          <w:snapToGrid/>
          <w:lang w:val="en-GB"/>
        </w:rPr>
        <w:t>学校的记录和档案都以这两种语言印发和保存。教科书以阿尔巴尼亚文印制。这些教科书或是由波德戈里察教材部编写，或是由设在贝尔格莱德的教科书和其他教材部提供。</w:t>
      </w:r>
    </w:p>
    <w:p w:rsidR="00000000" w:rsidRDefault="00844A84">
      <w:pPr>
        <w:ind w:firstLine="510"/>
        <w:rPr>
          <w:rFonts w:hint="eastAsia"/>
          <w:snapToGrid/>
          <w:lang w:val="en-GB"/>
        </w:rPr>
      </w:pPr>
      <w:r>
        <w:rPr>
          <w:rFonts w:hint="eastAsia"/>
          <w:snapToGrid/>
          <w:lang w:val="en-GB"/>
        </w:rPr>
        <w:t>735.</w:t>
      </w:r>
      <w:r>
        <w:rPr>
          <w:snapToGrid/>
          <w:lang w:val="en-GB"/>
        </w:rPr>
        <w:t xml:space="preserve">  </w:t>
      </w:r>
      <w:r>
        <w:rPr>
          <w:rFonts w:hint="eastAsia"/>
          <w:snapToGrid/>
          <w:lang w:val="en-GB"/>
        </w:rPr>
        <w:t>除了波德戈里察的一所学校外，没有为罗姆族儿童开设的特殊班，也没有以罗姆族语讲授的特别课程。罗姆族儿童在正规学校上课，因为他们可以与所有其他的儿童一样，在任何学校就学。但一种明显的趋势是，高年级罗姆族学生的人数逐步减少。例如，假如一年级有两个罗姆族学生班，到了二年级就只有一个班，</w:t>
      </w:r>
      <w:r>
        <w:rPr>
          <w:rFonts w:hint="eastAsia"/>
          <w:snapToGrid/>
          <w:lang w:val="en-GB"/>
        </w:rPr>
        <w:t>7</w:t>
      </w:r>
      <w:r>
        <w:rPr>
          <w:rFonts w:hint="eastAsia"/>
          <w:snapToGrid/>
          <w:lang w:val="en-GB"/>
        </w:rPr>
        <w:t>年级或</w:t>
      </w:r>
      <w:r>
        <w:rPr>
          <w:rFonts w:hint="eastAsia"/>
          <w:snapToGrid/>
          <w:lang w:val="en-GB"/>
        </w:rPr>
        <w:t>8</w:t>
      </w:r>
      <w:r>
        <w:rPr>
          <w:rFonts w:hint="eastAsia"/>
          <w:snapToGrid/>
          <w:lang w:val="en-GB"/>
        </w:rPr>
        <w:t>年级就只有两三个罗姆族学生了。</w:t>
      </w:r>
    </w:p>
    <w:p w:rsidR="00000000" w:rsidRDefault="00844A84">
      <w:pPr>
        <w:ind w:firstLine="510"/>
        <w:rPr>
          <w:rFonts w:hint="eastAsia"/>
          <w:snapToGrid/>
          <w:lang w:val="en-GB"/>
        </w:rPr>
      </w:pPr>
      <w:r>
        <w:rPr>
          <w:rFonts w:hint="eastAsia"/>
          <w:snapToGrid/>
          <w:lang w:val="en-GB"/>
        </w:rPr>
        <w:t>736.</w:t>
      </w:r>
      <w:r>
        <w:rPr>
          <w:snapToGrid/>
          <w:lang w:val="en-GB"/>
        </w:rPr>
        <w:t xml:space="preserve">  </w:t>
      </w:r>
      <w:r>
        <w:rPr>
          <w:rFonts w:hint="eastAsia"/>
          <w:snapToGrid/>
          <w:lang w:val="en-GB"/>
        </w:rPr>
        <w:t>在儿童基金会的</w:t>
      </w:r>
      <w:r>
        <w:rPr>
          <w:rFonts w:hint="eastAsia"/>
          <w:snapToGrid/>
          <w:lang w:val="en-GB"/>
        </w:rPr>
        <w:t>协助下，已开办了罗姆族儿童学前教育，以便为他们进入正常学校做好准备。教育和科学部支助出版了由罗姆族非政府组织印制的第一部罗姆族读物。</w:t>
      </w:r>
    </w:p>
    <w:p w:rsidR="00000000" w:rsidRDefault="00844A84">
      <w:pPr>
        <w:ind w:firstLine="510"/>
        <w:rPr>
          <w:rFonts w:hint="eastAsia"/>
          <w:snapToGrid/>
          <w:lang w:val="en-GB"/>
        </w:rPr>
      </w:pPr>
      <w:r>
        <w:rPr>
          <w:rFonts w:hint="eastAsia"/>
          <w:snapToGrid/>
          <w:lang w:val="en-GB"/>
        </w:rPr>
        <w:t>737.</w:t>
      </w:r>
      <w:r>
        <w:rPr>
          <w:snapToGrid/>
          <w:lang w:val="en-GB"/>
        </w:rPr>
        <w:t xml:space="preserve">  </w:t>
      </w:r>
      <w:r>
        <w:rPr>
          <w:rFonts w:hint="eastAsia"/>
          <w:snapToGrid/>
          <w:lang w:val="en-GB"/>
        </w:rPr>
        <w:t>所有的教育机构均由黑山政府创办，但一所音乐天才学校除外，该校由国家和一个自然人联合创办。按照较早的条例，由教育和科学部任命这些学校的管理机构。但按照新的法律，管理机构由学校员工、学生、教育和科学部、地方政府、社会伙伴和家长代表组成。新的法律还规定可由国内和国外的法人和自然人创办各级私立教育机构，但小学例外，不得由外国人创办。</w:t>
      </w:r>
    </w:p>
    <w:p w:rsidR="00000000" w:rsidRDefault="00844A84">
      <w:pPr>
        <w:ind w:firstLine="510"/>
        <w:rPr>
          <w:rFonts w:hint="eastAsia"/>
          <w:snapToGrid/>
          <w:lang w:val="en-GB"/>
        </w:rPr>
      </w:pPr>
      <w:r>
        <w:rPr>
          <w:rFonts w:hint="eastAsia"/>
          <w:snapToGrid/>
          <w:lang w:val="en-GB"/>
        </w:rPr>
        <w:t>738.</w:t>
      </w:r>
      <w:r>
        <w:rPr>
          <w:snapToGrid/>
          <w:lang w:val="en-GB"/>
        </w:rPr>
        <w:t xml:space="preserve">  </w:t>
      </w:r>
      <w:r>
        <w:rPr>
          <w:rFonts w:hint="eastAsia"/>
          <w:snapToGrid/>
          <w:lang w:val="en-GB"/>
        </w:rPr>
        <w:t>本报告所述期间，在国家政策</w:t>
      </w:r>
      <w:r>
        <w:rPr>
          <w:rFonts w:hint="eastAsia"/>
          <w:snapToGrid/>
          <w:lang w:val="en-GB"/>
        </w:rPr>
        <w:t>、法律或惯例方面没有出现重大变化而对第</w:t>
      </w:r>
      <w:r>
        <w:rPr>
          <w:rFonts w:hint="eastAsia"/>
          <w:snapToGrid/>
          <w:lang w:val="en-GB"/>
        </w:rPr>
        <w:t>13</w:t>
      </w:r>
      <w:r>
        <w:rPr>
          <w:rFonts w:hint="eastAsia"/>
          <w:snapToGrid/>
          <w:lang w:val="en-GB"/>
        </w:rPr>
        <w:t>条所述的教育权产生不利影响。一套新的法律甚至还增进了教育权，并规定国家和其他实体有义务改善实施这些权利的条件。</w:t>
      </w:r>
    </w:p>
    <w:p w:rsidR="00000000" w:rsidRDefault="00844A84">
      <w:pPr>
        <w:ind w:firstLine="510"/>
        <w:rPr>
          <w:rFonts w:hint="eastAsia"/>
          <w:snapToGrid/>
          <w:lang w:val="en-GB"/>
        </w:rPr>
      </w:pPr>
      <w:r>
        <w:rPr>
          <w:rFonts w:hint="eastAsia"/>
          <w:snapToGrid/>
          <w:lang w:val="en-GB"/>
        </w:rPr>
        <w:t>739.</w:t>
      </w:r>
      <w:r>
        <w:rPr>
          <w:snapToGrid/>
          <w:lang w:val="en-GB"/>
        </w:rPr>
        <w:t xml:space="preserve">  </w:t>
      </w:r>
      <w:r>
        <w:rPr>
          <w:rFonts w:hint="eastAsia"/>
          <w:snapToGrid/>
          <w:lang w:val="en-GB"/>
        </w:rPr>
        <w:t>国际社会已经并正在继续通过各国际组织提供支助，改善教育机构的工作条件</w:t>
      </w:r>
      <w:r>
        <w:rPr>
          <w:rFonts w:hint="eastAsia"/>
          <w:snapToGrid/>
          <w:lang w:val="en-GB"/>
        </w:rPr>
        <w:t>(</w:t>
      </w:r>
      <w:r>
        <w:rPr>
          <w:rFonts w:hint="eastAsia"/>
          <w:snapToGrid/>
          <w:lang w:val="en-GB"/>
        </w:rPr>
        <w:t>建造和翻新校舍及购置设备</w:t>
      </w:r>
      <w:r>
        <w:rPr>
          <w:rFonts w:hint="eastAsia"/>
          <w:snapToGrid/>
          <w:lang w:val="en-GB"/>
        </w:rPr>
        <w:t>)</w:t>
      </w:r>
      <w:r>
        <w:rPr>
          <w:rFonts w:hint="eastAsia"/>
          <w:snapToGrid/>
          <w:lang w:val="en-GB"/>
        </w:rPr>
        <w:t>。此外还计划协助执行新的法律，改革各级教育系统</w:t>
      </w:r>
      <w:r>
        <w:rPr>
          <w:rFonts w:hint="eastAsia"/>
          <w:snapToGrid/>
          <w:lang w:val="en-GB"/>
        </w:rPr>
        <w:t>(</w:t>
      </w:r>
      <w:r>
        <w:rPr>
          <w:rFonts w:hint="eastAsia"/>
          <w:snapToGrid/>
          <w:lang w:val="en-GB"/>
        </w:rPr>
        <w:t>例如对教师进行专业培训，改革课程和教学大纲等</w:t>
      </w:r>
      <w:r>
        <w:rPr>
          <w:rFonts w:hint="eastAsia"/>
          <w:snapToGrid/>
          <w:lang w:val="en-GB"/>
        </w:rPr>
        <w:t>)</w:t>
      </w:r>
      <w:r>
        <w:rPr>
          <w:rFonts w:hint="eastAsia"/>
          <w:snapToGrid/>
          <w:lang w:val="en-GB"/>
        </w:rPr>
        <w:t>。</w:t>
      </w:r>
    </w:p>
    <w:p w:rsidR="00000000" w:rsidRDefault="00844A84">
      <w:pPr>
        <w:ind w:firstLine="510"/>
        <w:rPr>
          <w:rFonts w:hint="eastAsia"/>
          <w:snapToGrid/>
          <w:lang w:val="en-GB"/>
        </w:rPr>
      </w:pPr>
      <w:r>
        <w:rPr>
          <w:rFonts w:hint="eastAsia"/>
          <w:snapToGrid/>
          <w:lang w:val="en-GB"/>
        </w:rPr>
        <w:t>740.</w:t>
      </w:r>
      <w:r>
        <w:rPr>
          <w:snapToGrid/>
          <w:lang w:val="en-GB"/>
        </w:rPr>
        <w:t xml:space="preserve">  </w:t>
      </w:r>
      <w:r>
        <w:rPr>
          <w:rFonts w:hint="eastAsia"/>
          <w:snapToGrid/>
          <w:lang w:val="en-GB"/>
        </w:rPr>
        <w:t>黑山共和国政府和司法部还正在努力改善教育部门工作人员的工作条件并增加他们的薪金，不过预算经费是严重的限制因素。由于</w:t>
      </w:r>
      <w:r>
        <w:rPr>
          <w:snapToGrid/>
          <w:lang w:val="en-GB"/>
        </w:rPr>
        <w:t>2002</w:t>
      </w:r>
      <w:r>
        <w:rPr>
          <w:snapToGrid/>
          <w:lang w:val="en-GB"/>
        </w:rPr>
        <w:t>年预算经费短缺，教</w:t>
      </w:r>
      <w:r>
        <w:rPr>
          <w:snapToGrid/>
          <w:lang w:val="en-GB"/>
        </w:rPr>
        <w:t>师</w:t>
      </w:r>
      <w:r>
        <w:rPr>
          <w:rFonts w:hint="eastAsia"/>
          <w:snapToGrid/>
          <w:lang w:val="en-GB"/>
        </w:rPr>
        <w:t>在</w:t>
      </w:r>
      <w:r>
        <w:rPr>
          <w:snapToGrid/>
          <w:lang w:val="en-GB"/>
        </w:rPr>
        <w:t>2001/</w:t>
      </w:r>
      <w:r>
        <w:rPr>
          <w:rFonts w:hint="eastAsia"/>
          <w:snapToGrid/>
          <w:lang w:val="en-GB"/>
        </w:rPr>
        <w:t>02</w:t>
      </w:r>
      <w:r>
        <w:rPr>
          <w:snapToGrid/>
          <w:lang w:val="en-GB"/>
        </w:rPr>
        <w:t>学年举行了罢工，</w:t>
      </w:r>
      <w:r>
        <w:rPr>
          <w:rFonts w:hint="eastAsia"/>
          <w:snapToGrid/>
          <w:lang w:val="en-GB"/>
        </w:rPr>
        <w:t>直到</w:t>
      </w:r>
      <w:r>
        <w:rPr>
          <w:snapToGrid/>
          <w:lang w:val="en-GB"/>
        </w:rPr>
        <w:t>2003/03</w:t>
      </w:r>
      <w:r>
        <w:rPr>
          <w:snapToGrid/>
          <w:lang w:val="en-GB"/>
        </w:rPr>
        <w:t>学年开始时为止，持续了</w:t>
      </w:r>
      <w:r>
        <w:rPr>
          <w:rFonts w:hint="eastAsia"/>
          <w:snapToGrid/>
          <w:lang w:val="en-GB"/>
        </w:rPr>
        <w:t>9</w:t>
      </w:r>
      <w:r>
        <w:rPr>
          <w:rFonts w:hint="eastAsia"/>
          <w:snapToGrid/>
          <w:lang w:val="en-GB"/>
        </w:rPr>
        <w:t>个月之久</w:t>
      </w:r>
      <w:r>
        <w:rPr>
          <w:snapToGrid/>
          <w:lang w:val="en-GB"/>
        </w:rPr>
        <w:t>(</w:t>
      </w:r>
      <w:r>
        <w:rPr>
          <w:snapToGrid/>
          <w:lang w:val="en-GB"/>
        </w:rPr>
        <w:t>其中包括暑假</w:t>
      </w:r>
      <w:r>
        <w:rPr>
          <w:snapToGrid/>
          <w:lang w:val="en-GB"/>
        </w:rPr>
        <w:t>)</w:t>
      </w:r>
      <w:r>
        <w:rPr>
          <w:snapToGrid/>
          <w:lang w:val="en-GB"/>
        </w:rPr>
        <w:t>。罢工委员会的主要要求是将计算</w:t>
      </w:r>
      <w:r>
        <w:rPr>
          <w:rFonts w:hint="eastAsia"/>
          <w:snapToGrid/>
          <w:lang w:val="en-GB"/>
        </w:rPr>
        <w:t>薪金</w:t>
      </w:r>
      <w:r>
        <w:rPr>
          <w:snapToGrid/>
          <w:lang w:val="en-GB"/>
        </w:rPr>
        <w:t>的</w:t>
      </w:r>
      <w:r>
        <w:rPr>
          <w:rFonts w:hint="eastAsia"/>
          <w:snapToGrid/>
          <w:lang w:val="en-GB"/>
        </w:rPr>
        <w:t>折算率</w:t>
      </w:r>
      <w:r>
        <w:rPr>
          <w:snapToGrid/>
          <w:lang w:val="en-GB"/>
        </w:rPr>
        <w:t>提高</w:t>
      </w:r>
      <w:r>
        <w:rPr>
          <w:snapToGrid/>
          <w:lang w:val="en-GB"/>
        </w:rPr>
        <w:t>30%</w:t>
      </w:r>
      <w:r>
        <w:rPr>
          <w:snapToGrid/>
          <w:lang w:val="en-GB"/>
        </w:rPr>
        <w:t>，并支付拖欠的</w:t>
      </w:r>
      <w:r>
        <w:rPr>
          <w:rFonts w:hint="eastAsia"/>
          <w:snapToGrid/>
          <w:lang w:val="en-GB"/>
        </w:rPr>
        <w:t>伙食</w:t>
      </w:r>
      <w:r>
        <w:rPr>
          <w:snapToGrid/>
          <w:lang w:val="en-GB"/>
        </w:rPr>
        <w:t>和</w:t>
      </w:r>
      <w:r>
        <w:rPr>
          <w:rFonts w:hint="eastAsia"/>
          <w:snapToGrid/>
          <w:lang w:val="en-GB"/>
        </w:rPr>
        <w:t>旅差补助费</w:t>
      </w:r>
      <w:r>
        <w:rPr>
          <w:snapToGrid/>
          <w:lang w:val="en-GB"/>
        </w:rPr>
        <w:t>。</w:t>
      </w:r>
      <w:r>
        <w:rPr>
          <w:rFonts w:hint="eastAsia"/>
          <w:snapToGrid/>
          <w:lang w:val="en-GB"/>
        </w:rPr>
        <w:t>补助费已经</w:t>
      </w:r>
      <w:r>
        <w:rPr>
          <w:snapToGrid/>
          <w:lang w:val="en-GB"/>
        </w:rPr>
        <w:t>支付，但提高</w:t>
      </w:r>
      <w:r>
        <w:rPr>
          <w:rFonts w:hint="eastAsia"/>
          <w:snapToGrid/>
          <w:lang w:val="en-GB"/>
        </w:rPr>
        <w:t>的薪金折算率</w:t>
      </w:r>
      <w:r>
        <w:rPr>
          <w:snapToGrid/>
          <w:lang w:val="en-GB"/>
        </w:rPr>
        <w:t>没有</w:t>
      </w:r>
      <w:r>
        <w:rPr>
          <w:rFonts w:hint="eastAsia"/>
          <w:snapToGrid/>
          <w:lang w:val="en-GB"/>
        </w:rPr>
        <w:t>达到</w:t>
      </w:r>
      <w:r>
        <w:rPr>
          <w:snapToGrid/>
          <w:lang w:val="en-GB"/>
        </w:rPr>
        <w:t>要求的程度。</w:t>
      </w:r>
      <w:r>
        <w:rPr>
          <w:rFonts w:hint="eastAsia"/>
          <w:snapToGrid/>
          <w:lang w:val="en-GB"/>
        </w:rPr>
        <w:t>现已为</w:t>
      </w:r>
      <w:r>
        <w:rPr>
          <w:snapToGrid/>
          <w:lang w:val="en-GB"/>
        </w:rPr>
        <w:t>下一个预算年度</w:t>
      </w:r>
      <w:r>
        <w:rPr>
          <w:rFonts w:hint="eastAsia"/>
          <w:snapToGrid/>
          <w:lang w:val="en-GB"/>
        </w:rPr>
        <w:t>作出安排，将薪金折算率</w:t>
      </w:r>
      <w:r>
        <w:rPr>
          <w:snapToGrid/>
          <w:lang w:val="en-GB"/>
        </w:rPr>
        <w:t>提高</w:t>
      </w:r>
      <w:r>
        <w:rPr>
          <w:snapToGrid/>
          <w:lang w:val="en-GB"/>
        </w:rPr>
        <w:t>18%(</w:t>
      </w:r>
      <w:r>
        <w:rPr>
          <w:snapToGrid/>
          <w:lang w:val="en-GB"/>
        </w:rPr>
        <w:t>其中通过提高最低工资增加</w:t>
      </w:r>
      <w:r>
        <w:rPr>
          <w:snapToGrid/>
          <w:lang w:val="en-GB"/>
        </w:rPr>
        <w:t>8%</w:t>
      </w:r>
      <w:r>
        <w:rPr>
          <w:snapToGrid/>
          <w:lang w:val="en-GB"/>
        </w:rPr>
        <w:t>，通过提高</w:t>
      </w:r>
      <w:r>
        <w:rPr>
          <w:rFonts w:hint="eastAsia"/>
          <w:snapToGrid/>
          <w:lang w:val="en-GB"/>
        </w:rPr>
        <w:t>折算率增加</w:t>
      </w:r>
      <w:r>
        <w:rPr>
          <w:snapToGrid/>
          <w:lang w:val="en-GB"/>
        </w:rPr>
        <w:t>10%)</w:t>
      </w:r>
      <w:r>
        <w:rPr>
          <w:rFonts w:hint="eastAsia"/>
          <w:snapToGrid/>
          <w:lang w:val="en-GB"/>
        </w:rPr>
        <w:t>。</w:t>
      </w:r>
      <w:r>
        <w:rPr>
          <w:snapToGrid/>
          <w:lang w:val="en-GB"/>
        </w:rPr>
        <w:t>为了提高教育部门工作人员的经济地位，黑山共和国政府同意参与教育部门住房基金</w:t>
      </w:r>
      <w:r>
        <w:rPr>
          <w:rFonts w:hint="eastAsia"/>
          <w:snapToGrid/>
          <w:lang w:val="en-GB"/>
        </w:rPr>
        <w:t>的</w:t>
      </w:r>
      <w:r>
        <w:rPr>
          <w:snapToGrid/>
          <w:lang w:val="en-GB"/>
        </w:rPr>
        <w:t>筹资工作。</w:t>
      </w:r>
      <w:r>
        <w:rPr>
          <w:rFonts w:hint="eastAsia"/>
          <w:snapToGrid/>
          <w:lang w:val="en-GB"/>
        </w:rPr>
        <w:t>约</w:t>
      </w:r>
      <w:r>
        <w:rPr>
          <w:snapToGrid/>
          <w:lang w:val="en-GB"/>
        </w:rPr>
        <w:t>有</w:t>
      </w:r>
      <w:r>
        <w:rPr>
          <w:rFonts w:hint="eastAsia"/>
          <w:snapToGrid/>
          <w:lang w:val="en-GB"/>
        </w:rPr>
        <w:t>三分之一</w:t>
      </w:r>
      <w:r>
        <w:rPr>
          <w:snapToGrid/>
          <w:lang w:val="en-GB"/>
        </w:rPr>
        <w:t>的工作人员尚未解决住房问题。</w:t>
      </w:r>
    </w:p>
    <w:p w:rsidR="00000000" w:rsidRDefault="00844A84">
      <w:pPr>
        <w:ind w:firstLine="510"/>
        <w:rPr>
          <w:rFonts w:hint="eastAsia"/>
          <w:snapToGrid/>
          <w:lang w:val="en-GB"/>
        </w:rPr>
      </w:pPr>
      <w:r>
        <w:rPr>
          <w:rFonts w:hint="eastAsia"/>
          <w:snapToGrid/>
          <w:lang w:val="en-GB"/>
        </w:rPr>
        <w:t>741.</w:t>
      </w:r>
      <w:r>
        <w:rPr>
          <w:snapToGrid/>
          <w:lang w:val="en-GB"/>
        </w:rPr>
        <w:t xml:space="preserve">  </w:t>
      </w:r>
      <w:r>
        <w:rPr>
          <w:rFonts w:hint="eastAsia"/>
          <w:snapToGrid/>
          <w:lang w:val="en-GB"/>
        </w:rPr>
        <w:t>教育部门工作人员的罢工</w:t>
      </w:r>
      <w:r>
        <w:rPr>
          <w:rFonts w:hint="eastAsia"/>
          <w:snapToGrid/>
          <w:lang w:val="en-GB"/>
        </w:rPr>
        <w:t>权利从来没有受到任何质疑。但长期的罢工威胁着儿童享有正常和不受阻碍教育的权利，因为罢工期间缩短了上课时间，削减了课程，但却延长学年，以便在正常时限内完成该学年的教学工作。</w:t>
      </w:r>
    </w:p>
    <w:p w:rsidR="00000000" w:rsidRDefault="00844A84">
      <w:pPr>
        <w:ind w:firstLine="510"/>
        <w:rPr>
          <w:rFonts w:hint="eastAsia"/>
          <w:snapToGrid/>
          <w:lang w:val="en-GB"/>
        </w:rPr>
      </w:pPr>
      <w:r>
        <w:rPr>
          <w:rFonts w:hint="eastAsia"/>
          <w:snapToGrid/>
          <w:lang w:val="en-GB"/>
        </w:rPr>
        <w:t>742.</w:t>
      </w:r>
      <w:r>
        <w:rPr>
          <w:snapToGrid/>
          <w:lang w:val="en-GB"/>
        </w:rPr>
        <w:t xml:space="preserve">  </w:t>
      </w:r>
      <w:r>
        <w:rPr>
          <w:rFonts w:hint="eastAsia"/>
          <w:snapToGrid/>
          <w:lang w:val="en-GB"/>
        </w:rPr>
        <w:t>黑山有两所成人初等教育学校，作为波德戈里察和</w:t>
      </w:r>
      <w:r>
        <w:rPr>
          <w:rFonts w:hint="eastAsia"/>
          <w:snapToGrid/>
          <w:lang w:val="en-GB"/>
        </w:rPr>
        <w:t>Niksic</w:t>
      </w:r>
      <w:r>
        <w:rPr>
          <w:rFonts w:hint="eastAsia"/>
          <w:snapToGrid/>
          <w:lang w:val="en-GB"/>
        </w:rPr>
        <w:t>工人大学的组成部分。所有正规学校都可按社区的需求提供成人初等教育。</w:t>
      </w:r>
    </w:p>
    <w:p w:rsidR="00000000" w:rsidRDefault="00844A84">
      <w:pPr>
        <w:ind w:firstLine="510"/>
        <w:rPr>
          <w:rFonts w:hint="eastAsia"/>
          <w:snapToGrid/>
          <w:lang w:val="en-GB"/>
        </w:rPr>
      </w:pPr>
      <w:r>
        <w:rPr>
          <w:rFonts w:hint="eastAsia"/>
          <w:snapToGrid/>
          <w:lang w:val="en-GB"/>
        </w:rPr>
        <w:t>743.</w:t>
      </w:r>
      <w:r>
        <w:rPr>
          <w:snapToGrid/>
          <w:lang w:val="en-GB"/>
        </w:rPr>
        <w:t xml:space="preserve">  </w:t>
      </w:r>
      <w:r>
        <w:rPr>
          <w:rFonts w:hint="eastAsia"/>
          <w:snapToGrid/>
          <w:lang w:val="en-GB"/>
        </w:rPr>
        <w:t>人人都可平等地免费接受中等教育，包括中等技术教育。但学生必须自费购买课本和其他教材。</w:t>
      </w:r>
    </w:p>
    <w:p w:rsidR="00000000" w:rsidRDefault="00844A84">
      <w:pPr>
        <w:ind w:firstLine="510"/>
        <w:rPr>
          <w:rFonts w:hint="eastAsia"/>
          <w:snapToGrid/>
          <w:lang w:val="en-GB"/>
        </w:rPr>
      </w:pPr>
      <w:r>
        <w:rPr>
          <w:rFonts w:hint="eastAsia"/>
          <w:snapToGrid/>
          <w:lang w:val="en-GB"/>
        </w:rPr>
        <w:t>744.</w:t>
      </w:r>
      <w:r>
        <w:rPr>
          <w:snapToGrid/>
          <w:lang w:val="en-GB"/>
        </w:rPr>
        <w:t xml:space="preserve">  </w:t>
      </w:r>
      <w:r>
        <w:rPr>
          <w:rFonts w:hint="eastAsia"/>
          <w:snapToGrid/>
          <w:lang w:val="en-GB"/>
        </w:rPr>
        <w:t>黑山有综合中学、技术学校和男女同学的学校。毕业后获得学历证书的级别，综合学校为第四级，技术学校</w:t>
      </w:r>
      <w:r>
        <w:rPr>
          <w:rFonts w:hint="eastAsia"/>
          <w:snapToGrid/>
          <w:lang w:val="en-GB"/>
        </w:rPr>
        <w:t>和男女同学的学校为第三和第四级。完成第四级教育的学生可进入相应的院系就读，综合中学毕业生则可进入所有院系就读。</w:t>
      </w:r>
    </w:p>
    <w:p w:rsidR="00000000" w:rsidRDefault="00844A84">
      <w:pPr>
        <w:ind w:firstLine="510"/>
        <w:rPr>
          <w:rFonts w:hint="eastAsia"/>
          <w:snapToGrid/>
          <w:lang w:val="en-GB"/>
        </w:rPr>
      </w:pPr>
      <w:r>
        <w:rPr>
          <w:rFonts w:hint="eastAsia"/>
          <w:snapToGrid/>
          <w:lang w:val="en-GB"/>
        </w:rPr>
        <w:t>745.</w:t>
      </w:r>
      <w:r>
        <w:rPr>
          <w:snapToGrid/>
          <w:lang w:val="en-GB"/>
        </w:rPr>
        <w:t xml:space="preserve">  </w:t>
      </w:r>
      <w:r>
        <w:rPr>
          <w:rFonts w:hint="eastAsia"/>
          <w:snapToGrid/>
          <w:lang w:val="en-GB"/>
        </w:rPr>
        <w:t>所有符合条件的儿童不论其宗教和民族为何，都可平等地进入中学就读。他们享有平等的教育权利，而不受到任何歧视性措施的限制。</w:t>
      </w:r>
    </w:p>
    <w:p w:rsidR="00000000" w:rsidRDefault="00844A84">
      <w:pPr>
        <w:ind w:firstLine="510"/>
        <w:rPr>
          <w:rFonts w:hint="eastAsia"/>
          <w:snapToGrid/>
          <w:lang w:val="en-GB"/>
        </w:rPr>
      </w:pPr>
      <w:r>
        <w:rPr>
          <w:rFonts w:hint="eastAsia"/>
          <w:snapToGrid/>
          <w:lang w:val="en-GB"/>
        </w:rPr>
        <w:t>746.</w:t>
      </w:r>
      <w:r>
        <w:rPr>
          <w:snapToGrid/>
          <w:lang w:val="en-GB"/>
        </w:rPr>
        <w:t xml:space="preserve">  </w:t>
      </w:r>
      <w:r>
        <w:rPr>
          <w:rFonts w:hint="eastAsia"/>
          <w:snapToGrid/>
          <w:lang w:val="en-GB"/>
        </w:rPr>
        <w:t>小学毕业生约有</w:t>
      </w:r>
      <w:r>
        <w:rPr>
          <w:snapToGrid/>
          <w:lang w:val="en-GB"/>
        </w:rPr>
        <w:t>97%</w:t>
      </w:r>
      <w:r>
        <w:rPr>
          <w:rFonts w:hint="eastAsia"/>
          <w:snapToGrid/>
          <w:lang w:val="en-GB"/>
        </w:rPr>
        <w:t>升入</w:t>
      </w:r>
      <w:r>
        <w:rPr>
          <w:snapToGrid/>
          <w:lang w:val="en-GB"/>
        </w:rPr>
        <w:t>中学就读，城市地区的这</w:t>
      </w:r>
      <w:r>
        <w:rPr>
          <w:rFonts w:hint="eastAsia"/>
          <w:snapToGrid/>
          <w:lang w:val="en-GB"/>
        </w:rPr>
        <w:t>一百</w:t>
      </w:r>
      <w:r>
        <w:rPr>
          <w:snapToGrid/>
          <w:lang w:val="en-GB"/>
        </w:rPr>
        <w:t>分比</w:t>
      </w:r>
      <w:r>
        <w:rPr>
          <w:rFonts w:hint="eastAsia"/>
          <w:snapToGrid/>
          <w:lang w:val="en-GB"/>
        </w:rPr>
        <w:t>更高</w:t>
      </w:r>
      <w:r>
        <w:rPr>
          <w:snapToGrid/>
          <w:lang w:val="en-GB"/>
        </w:rPr>
        <w:t>。</w:t>
      </w:r>
      <w:r>
        <w:rPr>
          <w:rFonts w:hint="eastAsia"/>
          <w:snapToGrid/>
          <w:lang w:val="en-GB"/>
        </w:rPr>
        <w:t>中</w:t>
      </w:r>
      <w:r>
        <w:rPr>
          <w:snapToGrid/>
          <w:lang w:val="en-GB"/>
        </w:rPr>
        <w:t>学生约有</w:t>
      </w:r>
      <w:r>
        <w:rPr>
          <w:snapToGrid/>
          <w:lang w:val="en-GB"/>
        </w:rPr>
        <w:t>95%</w:t>
      </w:r>
      <w:r>
        <w:rPr>
          <w:snapToGrid/>
          <w:lang w:val="en-GB"/>
        </w:rPr>
        <w:t>完成中学教育。中学</w:t>
      </w:r>
      <w:r>
        <w:rPr>
          <w:rFonts w:hint="eastAsia"/>
          <w:snapToGrid/>
          <w:lang w:val="en-GB"/>
        </w:rPr>
        <w:t>不</w:t>
      </w:r>
      <w:r>
        <w:rPr>
          <w:snapToGrid/>
          <w:lang w:val="en-GB"/>
        </w:rPr>
        <w:t>开设成人教育</w:t>
      </w:r>
      <w:r>
        <w:rPr>
          <w:rFonts w:hint="eastAsia"/>
          <w:snapToGrid/>
          <w:lang w:val="en-GB"/>
        </w:rPr>
        <w:t>夜校</w:t>
      </w:r>
      <w:r>
        <w:rPr>
          <w:snapToGrid/>
          <w:lang w:val="en-GB"/>
        </w:rPr>
        <w:t>。但成人可参加中学考试。</w:t>
      </w:r>
    </w:p>
    <w:p w:rsidR="00000000" w:rsidRDefault="00844A84">
      <w:pPr>
        <w:ind w:firstLine="510"/>
        <w:rPr>
          <w:rFonts w:hint="eastAsia"/>
          <w:snapToGrid/>
          <w:lang w:val="en-GB"/>
        </w:rPr>
      </w:pPr>
      <w:r>
        <w:rPr>
          <w:rFonts w:hint="eastAsia"/>
          <w:snapToGrid/>
          <w:lang w:val="en-GB"/>
        </w:rPr>
        <w:t>747.</w:t>
      </w:r>
      <w:r>
        <w:rPr>
          <w:snapToGrid/>
          <w:lang w:val="en-GB"/>
        </w:rPr>
        <w:t xml:space="preserve">  </w:t>
      </w:r>
      <w:r>
        <w:rPr>
          <w:rFonts w:hint="eastAsia"/>
          <w:snapToGrid/>
          <w:lang w:val="en-GB"/>
        </w:rPr>
        <w:t>Tuzi</w:t>
      </w:r>
      <w:r>
        <w:rPr>
          <w:rFonts w:hint="eastAsia"/>
          <w:snapToGrid/>
          <w:lang w:val="en-GB"/>
        </w:rPr>
        <w:t>、</w:t>
      </w:r>
      <w:r>
        <w:rPr>
          <w:rFonts w:hint="eastAsia"/>
          <w:snapToGrid/>
          <w:lang w:val="en-GB"/>
        </w:rPr>
        <w:t>Plav</w:t>
      </w:r>
      <w:r>
        <w:rPr>
          <w:rFonts w:hint="eastAsia"/>
          <w:snapToGrid/>
          <w:lang w:val="en-GB"/>
        </w:rPr>
        <w:t>和</w:t>
      </w:r>
      <w:r>
        <w:rPr>
          <w:rFonts w:hint="eastAsia"/>
          <w:snapToGrid/>
          <w:lang w:val="en-GB"/>
        </w:rPr>
        <w:t>Ulcinj</w:t>
      </w:r>
      <w:r>
        <w:rPr>
          <w:rFonts w:hint="eastAsia"/>
          <w:snapToGrid/>
          <w:lang w:val="en-GB"/>
        </w:rPr>
        <w:t>等中学用阿尔巴尼亚语和塞尔维亚语为阿尔巴尼亚族学生上课，并向他们提供教科书</w:t>
      </w:r>
      <w:r>
        <w:rPr>
          <w:rFonts w:hint="eastAsia"/>
          <w:snapToGrid/>
          <w:lang w:val="en-GB"/>
        </w:rPr>
        <w:t>和其他教材。</w:t>
      </w:r>
    </w:p>
    <w:p w:rsidR="00000000" w:rsidRDefault="00844A84">
      <w:pPr>
        <w:ind w:firstLine="510"/>
        <w:rPr>
          <w:rFonts w:hint="eastAsia"/>
          <w:snapToGrid/>
          <w:lang w:val="en-GB"/>
        </w:rPr>
      </w:pPr>
      <w:r>
        <w:rPr>
          <w:rFonts w:hint="eastAsia"/>
          <w:snapToGrid/>
          <w:lang w:val="en-GB"/>
        </w:rPr>
        <w:t>748.</w:t>
      </w:r>
      <w:r>
        <w:rPr>
          <w:snapToGrid/>
          <w:lang w:val="en-GB"/>
        </w:rPr>
        <w:t xml:space="preserve">  </w:t>
      </w:r>
      <w:r>
        <w:rPr>
          <w:rFonts w:hint="eastAsia"/>
          <w:snapToGrid/>
          <w:lang w:val="en-GB"/>
        </w:rPr>
        <w:t>所有中学均由黑山政府创办，只有一所学校</w:t>
      </w:r>
      <w:r>
        <w:rPr>
          <w:rFonts w:hint="eastAsia"/>
          <w:snapToGrid/>
          <w:lang w:val="en-GB"/>
        </w:rPr>
        <w:t>(</w:t>
      </w:r>
      <w:r>
        <w:rPr>
          <w:rFonts w:hint="eastAsia"/>
          <w:snapToGrid/>
          <w:lang w:val="en-GB"/>
        </w:rPr>
        <w:t>音乐天才学生学校</w:t>
      </w:r>
      <w:r>
        <w:rPr>
          <w:rFonts w:hint="eastAsia"/>
          <w:snapToGrid/>
          <w:lang w:val="en-GB"/>
        </w:rPr>
        <w:t>)</w:t>
      </w:r>
      <w:r>
        <w:rPr>
          <w:rFonts w:hint="eastAsia"/>
          <w:snapToGrid/>
          <w:lang w:val="en-GB"/>
        </w:rPr>
        <w:t>由政府和一个自然人联合创办。管理机构由学校员工和地方政府代表组成，但最新的条例规定，该机构还包括社会伙伴和家长代表。</w:t>
      </w:r>
    </w:p>
    <w:p w:rsidR="00000000" w:rsidRDefault="00844A84">
      <w:pPr>
        <w:ind w:firstLine="510"/>
        <w:rPr>
          <w:rFonts w:hint="eastAsia"/>
          <w:snapToGrid/>
          <w:lang w:val="en-GB"/>
        </w:rPr>
      </w:pPr>
      <w:r>
        <w:rPr>
          <w:rFonts w:hint="eastAsia"/>
          <w:snapToGrid/>
          <w:lang w:val="en-GB"/>
        </w:rPr>
        <w:t>749.</w:t>
      </w:r>
      <w:r>
        <w:rPr>
          <w:snapToGrid/>
          <w:lang w:val="en-GB"/>
        </w:rPr>
        <w:t xml:space="preserve">  </w:t>
      </w:r>
      <w:r>
        <w:rPr>
          <w:rFonts w:hint="eastAsia"/>
          <w:snapToGrid/>
          <w:lang w:val="en-GB"/>
        </w:rPr>
        <w:t>政府为优等学生和来自社会处境困难家庭的学生提供奖学金和补助金。黑山有</w:t>
      </w:r>
      <w:r>
        <w:rPr>
          <w:rFonts w:hint="eastAsia"/>
          <w:snapToGrid/>
          <w:lang w:val="en-GB"/>
        </w:rPr>
        <w:t>8</w:t>
      </w:r>
      <w:r>
        <w:rPr>
          <w:rFonts w:hint="eastAsia"/>
          <w:snapToGrid/>
          <w:lang w:val="en-GB"/>
        </w:rPr>
        <w:t>座学生宿舍，为符合条件的小学生和中学生提供有组织的住宿和餐厅。使用这些住宿和餐厅服务的学生支付其总费用的</w:t>
      </w:r>
      <w:r>
        <w:rPr>
          <w:snapToGrid/>
          <w:lang w:val="en-GB"/>
        </w:rPr>
        <w:t>20%</w:t>
      </w:r>
      <w:r>
        <w:rPr>
          <w:snapToGrid/>
          <w:lang w:val="en-GB"/>
        </w:rPr>
        <w:t>。获得贷款的学生可</w:t>
      </w:r>
      <w:r>
        <w:rPr>
          <w:rFonts w:hint="eastAsia"/>
          <w:snapToGrid/>
          <w:lang w:val="en-GB"/>
        </w:rPr>
        <w:t>用以</w:t>
      </w:r>
      <w:r>
        <w:rPr>
          <w:snapToGrid/>
          <w:lang w:val="en-GB"/>
        </w:rPr>
        <w:t>支付这些费用</w:t>
      </w:r>
      <w:r>
        <w:rPr>
          <w:rFonts w:hint="eastAsia"/>
          <w:snapToGrid/>
          <w:lang w:val="en-GB"/>
        </w:rPr>
        <w:t>，并支付</w:t>
      </w:r>
      <w:r>
        <w:rPr>
          <w:snapToGrid/>
          <w:lang w:val="en-GB"/>
        </w:rPr>
        <w:t>40%</w:t>
      </w:r>
      <w:r>
        <w:rPr>
          <w:rFonts w:hint="eastAsia"/>
          <w:snapToGrid/>
          <w:lang w:val="en-GB"/>
        </w:rPr>
        <w:t>的</w:t>
      </w:r>
      <w:r>
        <w:rPr>
          <w:snapToGrid/>
          <w:lang w:val="en-GB"/>
        </w:rPr>
        <w:t>国家参与</w:t>
      </w:r>
      <w:r>
        <w:rPr>
          <w:rFonts w:hint="eastAsia"/>
          <w:snapToGrid/>
          <w:lang w:val="en-GB"/>
        </w:rPr>
        <w:t>补贴的</w:t>
      </w:r>
      <w:r>
        <w:rPr>
          <w:snapToGrid/>
          <w:lang w:val="en-GB"/>
        </w:rPr>
        <w:t>旅费。</w:t>
      </w:r>
    </w:p>
    <w:p w:rsidR="00000000" w:rsidRDefault="00844A84">
      <w:pPr>
        <w:spacing w:after="320"/>
        <w:ind w:firstLine="510"/>
        <w:rPr>
          <w:rFonts w:hint="eastAsia"/>
          <w:snapToGrid/>
          <w:lang w:val="en-GB"/>
        </w:rPr>
      </w:pPr>
      <w:r>
        <w:rPr>
          <w:rFonts w:hint="eastAsia"/>
          <w:snapToGrid/>
          <w:lang w:val="en-GB"/>
        </w:rPr>
        <w:t>750.</w:t>
      </w:r>
      <w:r>
        <w:rPr>
          <w:snapToGrid/>
          <w:lang w:val="en-GB"/>
        </w:rPr>
        <w:t xml:space="preserve">  </w:t>
      </w:r>
      <w:r>
        <w:rPr>
          <w:rFonts w:hint="eastAsia"/>
          <w:snapToGrid/>
          <w:lang w:val="en-GB"/>
        </w:rPr>
        <w:t>各中小学正在实施多种方案，用以预防</w:t>
      </w:r>
      <w:r>
        <w:rPr>
          <w:rFonts w:hint="eastAsia"/>
          <w:snapToGrid/>
          <w:lang w:val="en-GB"/>
        </w:rPr>
        <w:t>吸毒、传染病和暴力行为，并以非冲突方式解决各种问题</w:t>
      </w:r>
      <w:r>
        <w:rPr>
          <w:rFonts w:hint="eastAsia"/>
          <w:snapToGrid/>
          <w:lang w:val="en-GB"/>
        </w:rPr>
        <w:t>(</w:t>
      </w:r>
      <w:r>
        <w:rPr>
          <w:rFonts w:hint="eastAsia"/>
          <w:snapToGrid/>
          <w:lang w:val="en-GB"/>
        </w:rPr>
        <w:t>实施国家预防致瘾疾病方案；开展与艾滋病有关的信息和教育运动、打击贩毒行为、实施“民间社会教育”项目</w:t>
      </w:r>
      <w:r>
        <w:rPr>
          <w:rFonts w:hint="eastAsia"/>
          <w:snapToGrid/>
          <w:lang w:val="en-GB"/>
        </w:rPr>
        <w:t>)</w:t>
      </w:r>
      <w:r>
        <w:rPr>
          <w:rFonts w:hint="eastAsia"/>
          <w:snapToGrid/>
          <w:lang w:val="en-GB"/>
        </w:rPr>
        <w:t>。</w:t>
      </w:r>
    </w:p>
    <w:p w:rsidR="00000000" w:rsidRDefault="00844A84">
      <w:pPr>
        <w:pStyle w:val="Heading4"/>
        <w:rPr>
          <w:rFonts w:hint="eastAsia"/>
          <w:lang w:val="en-GB"/>
        </w:rPr>
      </w:pPr>
      <w:r>
        <w:rPr>
          <w:rFonts w:hint="eastAsia"/>
          <w:lang w:val="en-GB"/>
        </w:rPr>
        <w:t>改革后的新立法</w:t>
      </w:r>
    </w:p>
    <w:p w:rsidR="00000000" w:rsidRDefault="00844A84">
      <w:pPr>
        <w:ind w:firstLine="510"/>
        <w:rPr>
          <w:rFonts w:hint="eastAsia"/>
          <w:snapToGrid/>
          <w:lang w:val="en-GB"/>
        </w:rPr>
      </w:pPr>
      <w:r>
        <w:rPr>
          <w:rFonts w:hint="eastAsia"/>
          <w:snapToGrid/>
          <w:lang w:val="en-GB"/>
        </w:rPr>
        <w:t xml:space="preserve">751.  </w:t>
      </w:r>
      <w:r>
        <w:rPr>
          <w:snapToGrid/>
          <w:lang w:val="en-GB"/>
        </w:rPr>
        <w:t>2002</w:t>
      </w:r>
      <w:r>
        <w:rPr>
          <w:snapToGrid/>
          <w:lang w:val="en-GB"/>
        </w:rPr>
        <w:t>年</w:t>
      </w:r>
      <w:r>
        <w:rPr>
          <w:snapToGrid/>
          <w:lang w:val="en-GB"/>
        </w:rPr>
        <w:t>11</w:t>
      </w:r>
      <w:r>
        <w:rPr>
          <w:snapToGrid/>
          <w:lang w:val="en-GB"/>
        </w:rPr>
        <w:t>月</w:t>
      </w:r>
      <w:r>
        <w:rPr>
          <w:snapToGrid/>
          <w:lang w:val="en-GB"/>
        </w:rPr>
        <w:t>22</w:t>
      </w:r>
      <w:r>
        <w:rPr>
          <w:snapToGrid/>
          <w:lang w:val="en-GB"/>
        </w:rPr>
        <w:t>日，黑山共和国议会通过了一套改革教育部门的法律：</w:t>
      </w:r>
    </w:p>
    <w:p w:rsidR="00000000" w:rsidRDefault="00844A84">
      <w:pPr>
        <w:pStyle w:val="a0"/>
        <w:tabs>
          <w:tab w:val="clear" w:pos="510"/>
          <w:tab w:val="num" w:pos="1550"/>
        </w:tabs>
        <w:ind w:left="1550"/>
        <w:rPr>
          <w:rFonts w:hint="eastAsia"/>
          <w:snapToGrid/>
          <w:lang w:val="en-GB"/>
        </w:rPr>
      </w:pPr>
      <w:r>
        <w:rPr>
          <w:rFonts w:hint="eastAsia"/>
          <w:snapToGrid/>
          <w:lang w:val="en-GB"/>
        </w:rPr>
        <w:t>《教育核心法》；</w:t>
      </w:r>
    </w:p>
    <w:p w:rsidR="00000000" w:rsidRDefault="00844A84">
      <w:pPr>
        <w:pStyle w:val="a0"/>
        <w:tabs>
          <w:tab w:val="clear" w:pos="510"/>
          <w:tab w:val="num" w:pos="1550"/>
        </w:tabs>
        <w:ind w:left="1550"/>
        <w:rPr>
          <w:rFonts w:hint="eastAsia"/>
          <w:snapToGrid/>
          <w:lang w:val="en-GB"/>
        </w:rPr>
      </w:pPr>
      <w:r>
        <w:rPr>
          <w:rFonts w:hint="eastAsia"/>
          <w:snapToGrid/>
          <w:lang w:val="en-GB"/>
        </w:rPr>
        <w:t>《学前教育法》；</w:t>
      </w:r>
    </w:p>
    <w:p w:rsidR="00000000" w:rsidRDefault="00844A84">
      <w:pPr>
        <w:pStyle w:val="a0"/>
        <w:tabs>
          <w:tab w:val="clear" w:pos="510"/>
          <w:tab w:val="num" w:pos="1550"/>
        </w:tabs>
        <w:ind w:left="1550"/>
        <w:rPr>
          <w:rFonts w:hint="eastAsia"/>
          <w:snapToGrid/>
          <w:lang w:val="en-GB"/>
        </w:rPr>
      </w:pPr>
      <w:r>
        <w:rPr>
          <w:rFonts w:hint="eastAsia"/>
          <w:snapToGrid/>
          <w:lang w:val="en-GB"/>
        </w:rPr>
        <w:t>《初等教育法》；</w:t>
      </w:r>
    </w:p>
    <w:p w:rsidR="00000000" w:rsidRDefault="00844A84">
      <w:pPr>
        <w:pStyle w:val="a0"/>
        <w:tabs>
          <w:tab w:val="clear" w:pos="510"/>
          <w:tab w:val="num" w:pos="1550"/>
        </w:tabs>
        <w:ind w:left="1550"/>
        <w:rPr>
          <w:rFonts w:hint="eastAsia"/>
          <w:snapToGrid/>
          <w:lang w:val="en-GB"/>
        </w:rPr>
      </w:pPr>
      <w:r>
        <w:rPr>
          <w:rFonts w:hint="eastAsia"/>
          <w:snapToGrid/>
          <w:lang w:val="en-GB"/>
        </w:rPr>
        <w:t>《综合中学法》；</w:t>
      </w:r>
    </w:p>
    <w:p w:rsidR="00000000" w:rsidRDefault="00844A84">
      <w:pPr>
        <w:pStyle w:val="a0"/>
        <w:tabs>
          <w:tab w:val="clear" w:pos="510"/>
          <w:tab w:val="num" w:pos="1550"/>
        </w:tabs>
        <w:ind w:left="1550"/>
        <w:rPr>
          <w:rFonts w:hint="eastAsia"/>
          <w:snapToGrid/>
          <w:lang w:val="en-GB"/>
        </w:rPr>
      </w:pPr>
      <w:r>
        <w:rPr>
          <w:rFonts w:hint="eastAsia"/>
          <w:snapToGrid/>
          <w:lang w:val="en-GB"/>
        </w:rPr>
        <w:t>《技术教育法》；</w:t>
      </w:r>
    </w:p>
    <w:p w:rsidR="00000000" w:rsidRDefault="00844A84">
      <w:pPr>
        <w:pStyle w:val="a0"/>
        <w:tabs>
          <w:tab w:val="clear" w:pos="510"/>
          <w:tab w:val="num" w:pos="1550"/>
        </w:tabs>
        <w:ind w:left="1550"/>
        <w:rPr>
          <w:rFonts w:hint="eastAsia"/>
          <w:snapToGrid/>
          <w:lang w:val="en-GB"/>
        </w:rPr>
      </w:pPr>
      <w:r>
        <w:rPr>
          <w:rFonts w:hint="eastAsia"/>
          <w:snapToGrid/>
          <w:lang w:val="en-GB"/>
        </w:rPr>
        <w:t>《成人教育法》。</w:t>
      </w:r>
    </w:p>
    <w:p w:rsidR="00000000" w:rsidRDefault="00844A84">
      <w:pPr>
        <w:ind w:firstLine="510"/>
        <w:rPr>
          <w:rFonts w:hint="eastAsia"/>
          <w:snapToGrid/>
          <w:lang w:val="en-GB"/>
        </w:rPr>
      </w:pPr>
      <w:r>
        <w:rPr>
          <w:rFonts w:hint="eastAsia"/>
          <w:snapToGrid/>
          <w:lang w:val="en-GB"/>
        </w:rPr>
        <w:t>752.</w:t>
      </w:r>
      <w:r>
        <w:rPr>
          <w:snapToGrid/>
          <w:lang w:val="en-GB"/>
        </w:rPr>
        <w:t xml:space="preserve">  </w:t>
      </w:r>
      <w:r>
        <w:rPr>
          <w:rFonts w:hint="eastAsia"/>
          <w:snapToGrid/>
          <w:lang w:val="en-GB"/>
        </w:rPr>
        <w:t>这些法律是在国际专家的协助下制定的，其中采用了适合黑山国情的欧洲标准，其遵守的原则是民主、自治、权力下放、取消管制、非政治化、灵活性、机会</w:t>
      </w:r>
      <w:r>
        <w:rPr>
          <w:rFonts w:hint="eastAsia"/>
          <w:snapToGrid/>
          <w:lang w:val="en-GB"/>
        </w:rPr>
        <w:t>平等以及教育的透明度和质量。按照上述原则，已通过了大约</w:t>
      </w:r>
      <w:r>
        <w:rPr>
          <w:rFonts w:hint="eastAsia"/>
          <w:snapToGrid/>
          <w:lang w:val="en-GB"/>
        </w:rPr>
        <w:t>50</w:t>
      </w:r>
      <w:r>
        <w:rPr>
          <w:rFonts w:hint="eastAsia"/>
          <w:snapToGrid/>
          <w:lang w:val="en-GB"/>
        </w:rPr>
        <w:t>项附则，建立了新的学校，并确定了更合理的黑山教育机构网络系统。</w:t>
      </w:r>
    </w:p>
    <w:p w:rsidR="00000000" w:rsidRDefault="00844A84">
      <w:pPr>
        <w:ind w:firstLine="510"/>
        <w:rPr>
          <w:rFonts w:hint="eastAsia"/>
          <w:snapToGrid/>
          <w:lang w:val="en-GB"/>
        </w:rPr>
      </w:pPr>
      <w:r>
        <w:rPr>
          <w:snapToGrid/>
          <w:lang w:val="en-GB"/>
        </w:rPr>
        <w:t xml:space="preserve">753.  </w:t>
      </w:r>
      <w:r>
        <w:rPr>
          <w:snapToGrid/>
          <w:lang w:val="en-GB"/>
        </w:rPr>
        <w:t>目前正在编写</w:t>
      </w:r>
      <w:r>
        <w:rPr>
          <w:rFonts w:hint="eastAsia"/>
          <w:snapToGrid/>
          <w:lang w:val="en-GB"/>
        </w:rPr>
        <w:t>有关</w:t>
      </w:r>
      <w:r>
        <w:rPr>
          <w:snapToGrid/>
          <w:lang w:val="en-GB"/>
        </w:rPr>
        <w:t>所有学科、</w:t>
      </w:r>
      <w:r>
        <w:rPr>
          <w:rFonts w:hint="eastAsia"/>
          <w:snapToGrid/>
          <w:lang w:val="en-GB"/>
        </w:rPr>
        <w:t>学历</w:t>
      </w:r>
      <w:r>
        <w:rPr>
          <w:snapToGrid/>
          <w:lang w:val="en-GB"/>
        </w:rPr>
        <w:t>和</w:t>
      </w:r>
      <w:r>
        <w:rPr>
          <w:rFonts w:hint="eastAsia"/>
          <w:snapToGrid/>
          <w:lang w:val="en-GB"/>
        </w:rPr>
        <w:t>职业</w:t>
      </w:r>
      <w:r>
        <w:rPr>
          <w:snapToGrid/>
          <w:lang w:val="en-GB"/>
        </w:rPr>
        <w:t>的新课程，其中也包括了这一领域的各项</w:t>
      </w:r>
      <w:r>
        <w:rPr>
          <w:rFonts w:hint="eastAsia"/>
          <w:snapToGrid/>
          <w:lang w:val="en-GB"/>
        </w:rPr>
        <w:t>欧洲</w:t>
      </w:r>
      <w:r>
        <w:rPr>
          <w:snapToGrid/>
          <w:lang w:val="en-GB"/>
        </w:rPr>
        <w:t>标准，以便创造条件，</w:t>
      </w:r>
      <w:r>
        <w:rPr>
          <w:rFonts w:hint="eastAsia"/>
          <w:snapToGrid/>
          <w:lang w:val="en-GB"/>
        </w:rPr>
        <w:t>使</w:t>
      </w:r>
      <w:r>
        <w:rPr>
          <w:snapToGrid/>
          <w:lang w:val="en-GB"/>
        </w:rPr>
        <w:t>我国的课程与欧洲各国</w:t>
      </w:r>
      <w:r>
        <w:rPr>
          <w:rFonts w:hint="eastAsia"/>
          <w:snapToGrid/>
          <w:lang w:val="en-GB"/>
        </w:rPr>
        <w:t>的</w:t>
      </w:r>
      <w:r>
        <w:rPr>
          <w:snapToGrid/>
          <w:lang w:val="en-GB"/>
        </w:rPr>
        <w:t>相应课程</w:t>
      </w:r>
      <w:r>
        <w:rPr>
          <w:rFonts w:hint="eastAsia"/>
          <w:snapToGrid/>
          <w:lang w:val="en-GB"/>
        </w:rPr>
        <w:t>相符</w:t>
      </w:r>
      <w:r>
        <w:rPr>
          <w:snapToGrid/>
          <w:lang w:val="en-GB"/>
        </w:rPr>
        <w:t>，并确保黑山</w:t>
      </w:r>
      <w:r>
        <w:rPr>
          <w:rFonts w:hint="eastAsia"/>
          <w:snapToGrid/>
          <w:lang w:val="en-GB"/>
        </w:rPr>
        <w:t>的</w:t>
      </w:r>
      <w:r>
        <w:rPr>
          <w:snapToGrid/>
          <w:lang w:val="en-GB"/>
        </w:rPr>
        <w:t>学校证书和毕业文凭</w:t>
      </w:r>
      <w:r>
        <w:rPr>
          <w:rFonts w:hint="eastAsia"/>
          <w:snapToGrid/>
          <w:lang w:val="en-GB"/>
        </w:rPr>
        <w:t>在国外获得承认</w:t>
      </w:r>
      <w:r>
        <w:rPr>
          <w:snapToGrid/>
          <w:lang w:val="en-GB"/>
        </w:rPr>
        <w:t>。</w:t>
      </w:r>
    </w:p>
    <w:p w:rsidR="00000000" w:rsidRDefault="00844A84">
      <w:pPr>
        <w:ind w:firstLine="510"/>
        <w:rPr>
          <w:rFonts w:hint="eastAsia"/>
          <w:snapToGrid/>
          <w:lang w:val="en-GB"/>
        </w:rPr>
      </w:pPr>
      <w:r>
        <w:rPr>
          <w:rFonts w:hint="eastAsia"/>
          <w:snapToGrid/>
          <w:lang w:val="en-GB"/>
        </w:rPr>
        <w:t>754.</w:t>
      </w:r>
      <w:r>
        <w:rPr>
          <w:snapToGrid/>
          <w:lang w:val="en-GB"/>
        </w:rPr>
        <w:t xml:space="preserve">  </w:t>
      </w:r>
      <w:r>
        <w:rPr>
          <w:rFonts w:hint="eastAsia"/>
          <w:snapToGrid/>
          <w:lang w:val="en-GB"/>
        </w:rPr>
        <w:t>现计划在明年通过以下法律：</w:t>
      </w:r>
    </w:p>
    <w:p w:rsidR="00000000" w:rsidRDefault="00844A84">
      <w:pPr>
        <w:pStyle w:val="a0"/>
        <w:tabs>
          <w:tab w:val="clear" w:pos="510"/>
          <w:tab w:val="num" w:pos="1550"/>
        </w:tabs>
        <w:ind w:left="1550"/>
        <w:rPr>
          <w:rFonts w:hint="eastAsia"/>
          <w:snapToGrid/>
          <w:lang w:val="en-GB"/>
        </w:rPr>
      </w:pPr>
      <w:r>
        <w:rPr>
          <w:rFonts w:hint="eastAsia"/>
          <w:snapToGrid/>
          <w:lang w:val="en-GB"/>
        </w:rPr>
        <w:t>《高等教育法》；</w:t>
      </w:r>
    </w:p>
    <w:p w:rsidR="00000000" w:rsidRDefault="00844A84">
      <w:pPr>
        <w:pStyle w:val="a0"/>
        <w:tabs>
          <w:tab w:val="clear" w:pos="510"/>
          <w:tab w:val="num" w:pos="1550"/>
        </w:tabs>
        <w:ind w:left="1550"/>
        <w:rPr>
          <w:rFonts w:hint="eastAsia"/>
          <w:snapToGrid/>
          <w:lang w:val="en-GB"/>
        </w:rPr>
      </w:pPr>
      <w:r>
        <w:rPr>
          <w:rFonts w:hint="eastAsia"/>
          <w:snapToGrid/>
          <w:lang w:val="en-GB"/>
        </w:rPr>
        <w:t>《研究工作法》；</w:t>
      </w:r>
    </w:p>
    <w:p w:rsidR="00000000" w:rsidRDefault="00844A84">
      <w:pPr>
        <w:pStyle w:val="a0"/>
        <w:tabs>
          <w:tab w:val="clear" w:pos="510"/>
          <w:tab w:val="num" w:pos="1550"/>
        </w:tabs>
        <w:ind w:left="1550"/>
        <w:rPr>
          <w:rFonts w:hint="eastAsia"/>
          <w:snapToGrid/>
          <w:lang w:val="en-GB"/>
        </w:rPr>
      </w:pPr>
      <w:r>
        <w:rPr>
          <w:rFonts w:hint="eastAsia"/>
          <w:snapToGrid/>
          <w:lang w:val="en-GB"/>
        </w:rPr>
        <w:t>《特殊需要儿童教育法》；</w:t>
      </w:r>
    </w:p>
    <w:p w:rsidR="00000000" w:rsidRDefault="00844A84">
      <w:pPr>
        <w:pStyle w:val="a0"/>
        <w:tabs>
          <w:tab w:val="clear" w:pos="510"/>
          <w:tab w:val="num" w:pos="1550"/>
        </w:tabs>
        <w:ind w:left="1550"/>
        <w:rPr>
          <w:rFonts w:hint="eastAsia"/>
          <w:snapToGrid/>
          <w:lang w:val="en-GB"/>
        </w:rPr>
      </w:pPr>
      <w:r>
        <w:rPr>
          <w:rFonts w:hint="eastAsia"/>
          <w:snapToGrid/>
          <w:lang w:val="en-GB"/>
        </w:rPr>
        <w:t>《证书制度法》。</w:t>
      </w:r>
    </w:p>
    <w:p w:rsidR="00000000" w:rsidRDefault="00844A84">
      <w:pPr>
        <w:spacing w:after="320"/>
        <w:rPr>
          <w:rFonts w:hint="eastAsia"/>
          <w:snapToGrid/>
          <w:lang w:val="en-GB"/>
        </w:rPr>
      </w:pPr>
      <w:r>
        <w:rPr>
          <w:snapToGrid/>
          <w:lang w:val="en-GB"/>
        </w:rPr>
        <w:tab/>
      </w:r>
      <w:r>
        <w:rPr>
          <w:rFonts w:hint="eastAsia"/>
          <w:snapToGrid/>
          <w:lang w:val="en-GB"/>
        </w:rPr>
        <w:t>755.</w:t>
      </w:r>
      <w:r>
        <w:rPr>
          <w:snapToGrid/>
          <w:lang w:val="en-GB"/>
        </w:rPr>
        <w:t xml:space="preserve">  </w:t>
      </w:r>
      <w:r>
        <w:rPr>
          <w:rFonts w:hint="eastAsia"/>
          <w:snapToGrid/>
          <w:lang w:val="en-GB"/>
        </w:rPr>
        <w:t>此外还计划通过</w:t>
      </w:r>
      <w:r>
        <w:rPr>
          <w:snapToGrid/>
          <w:lang w:val="en-GB"/>
        </w:rPr>
        <w:t>56</w:t>
      </w:r>
      <w:r>
        <w:rPr>
          <w:snapToGrid/>
          <w:lang w:val="en-GB"/>
        </w:rPr>
        <w:t>项附则</w:t>
      </w:r>
      <w:r>
        <w:rPr>
          <w:rFonts w:hint="eastAsia"/>
          <w:snapToGrid/>
          <w:lang w:val="en-GB"/>
        </w:rPr>
        <w:t>，用以支持实施教育部门的六项法律。</w:t>
      </w:r>
    </w:p>
    <w:p w:rsidR="00000000" w:rsidRDefault="00844A84">
      <w:pPr>
        <w:pStyle w:val="Heading4"/>
        <w:rPr>
          <w:rFonts w:hint="eastAsia"/>
          <w:lang w:val="en-GB"/>
        </w:rPr>
      </w:pPr>
      <w:r>
        <w:rPr>
          <w:rFonts w:hint="eastAsia"/>
          <w:lang w:val="en-GB"/>
        </w:rPr>
        <w:t>高</w:t>
      </w:r>
      <w:r>
        <w:rPr>
          <w:rFonts w:hint="eastAsia"/>
          <w:lang w:val="en-GB"/>
        </w:rPr>
        <w:t>等教育</w:t>
      </w:r>
    </w:p>
    <w:p w:rsidR="00000000" w:rsidRDefault="00844A84">
      <w:pPr>
        <w:ind w:firstLine="510"/>
        <w:rPr>
          <w:rFonts w:hint="eastAsia"/>
          <w:snapToGrid/>
          <w:lang w:val="en-GB"/>
        </w:rPr>
      </w:pPr>
      <w:r>
        <w:rPr>
          <w:snapToGrid/>
          <w:lang w:val="en-GB"/>
        </w:rPr>
        <w:t xml:space="preserve">756.  </w:t>
      </w:r>
      <w:r>
        <w:rPr>
          <w:snapToGrid/>
          <w:lang w:val="en-GB"/>
        </w:rPr>
        <w:t>高等教育的权利和义务</w:t>
      </w:r>
      <w:r>
        <w:rPr>
          <w:rFonts w:hint="eastAsia"/>
          <w:snapToGrid/>
          <w:lang w:val="en-GB"/>
        </w:rPr>
        <w:t>由</w:t>
      </w:r>
      <w:r>
        <w:rPr>
          <w:snapToGrid/>
          <w:lang w:val="en-GB"/>
        </w:rPr>
        <w:t>《黑山大学法》</w:t>
      </w:r>
      <w:r>
        <w:rPr>
          <w:snapToGrid/>
          <w:lang w:val="en-GB"/>
        </w:rPr>
        <w:t>(1992</w:t>
      </w:r>
      <w:r>
        <w:rPr>
          <w:snapToGrid/>
          <w:lang w:val="en-GB"/>
        </w:rPr>
        <w:t>年通过，</w:t>
      </w:r>
      <w:r>
        <w:rPr>
          <w:snapToGrid/>
          <w:lang w:val="en-GB"/>
        </w:rPr>
        <w:t>1996</w:t>
      </w:r>
      <w:r>
        <w:rPr>
          <w:snapToGrid/>
          <w:lang w:val="en-GB"/>
        </w:rPr>
        <w:t>年更改</w:t>
      </w:r>
      <w:r>
        <w:rPr>
          <w:rFonts w:hint="eastAsia"/>
          <w:snapToGrid/>
          <w:lang w:val="en-GB"/>
        </w:rPr>
        <w:t>并修订</w:t>
      </w:r>
      <w:r>
        <w:rPr>
          <w:snapToGrid/>
          <w:lang w:val="en-GB"/>
        </w:rPr>
        <w:t>)</w:t>
      </w:r>
      <w:r>
        <w:rPr>
          <w:rFonts w:hint="eastAsia"/>
          <w:snapToGrid/>
          <w:lang w:val="en-GB"/>
        </w:rPr>
        <w:t>作出</w:t>
      </w:r>
      <w:r>
        <w:rPr>
          <w:snapToGrid/>
          <w:lang w:val="en-GB"/>
        </w:rPr>
        <w:t>规定，并</w:t>
      </w:r>
      <w:r>
        <w:rPr>
          <w:rFonts w:hint="eastAsia"/>
          <w:snapToGrid/>
          <w:lang w:val="en-GB"/>
        </w:rPr>
        <w:t>由</w:t>
      </w:r>
      <w:r>
        <w:rPr>
          <w:snapToGrid/>
          <w:lang w:val="en-GB"/>
        </w:rPr>
        <w:t>黑山共和国预算提供经费</w:t>
      </w:r>
      <w:r>
        <w:rPr>
          <w:snapToGrid/>
          <w:lang w:val="en-GB"/>
        </w:rPr>
        <w:t>(</w:t>
      </w:r>
      <w:r>
        <w:rPr>
          <w:snapToGrid/>
          <w:lang w:val="en-GB"/>
        </w:rPr>
        <w:t>《大学法》第</w:t>
      </w:r>
      <w:r>
        <w:rPr>
          <w:rFonts w:hint="eastAsia"/>
          <w:snapToGrid/>
          <w:lang w:val="en-GB"/>
        </w:rPr>
        <w:t>8</w:t>
      </w:r>
      <w:r>
        <w:rPr>
          <w:snapToGrid/>
          <w:lang w:val="en-GB"/>
        </w:rPr>
        <w:t>条</w:t>
      </w:r>
      <w:r>
        <w:rPr>
          <w:snapToGrid/>
          <w:lang w:val="en-GB"/>
        </w:rPr>
        <w:t>)</w:t>
      </w:r>
      <w:r>
        <w:rPr>
          <w:snapToGrid/>
          <w:lang w:val="en-GB"/>
        </w:rPr>
        <w:t>。</w:t>
      </w:r>
    </w:p>
    <w:p w:rsidR="00000000" w:rsidRDefault="00844A84">
      <w:pPr>
        <w:ind w:firstLine="510"/>
        <w:rPr>
          <w:rFonts w:hint="eastAsia"/>
          <w:snapToGrid/>
          <w:lang w:val="en-GB"/>
        </w:rPr>
      </w:pPr>
      <w:r>
        <w:rPr>
          <w:snapToGrid/>
          <w:lang w:val="en-GB"/>
        </w:rPr>
        <w:t xml:space="preserve">757.  </w:t>
      </w:r>
      <w:r>
        <w:rPr>
          <w:snapToGrid/>
          <w:lang w:val="en-GB"/>
        </w:rPr>
        <w:t>黑山没有</w:t>
      </w:r>
      <w:r>
        <w:rPr>
          <w:rFonts w:hint="eastAsia"/>
          <w:snapToGrid/>
          <w:lang w:val="en-GB"/>
        </w:rPr>
        <w:t>私立</w:t>
      </w:r>
      <w:r>
        <w:rPr>
          <w:snapToGrid/>
          <w:lang w:val="en-GB"/>
        </w:rPr>
        <w:t>高等学校，不过《大学法》允许创办这种学校。高等教育</w:t>
      </w:r>
      <w:r>
        <w:rPr>
          <w:rFonts w:hint="eastAsia"/>
          <w:snapToGrid/>
          <w:lang w:val="en-GB"/>
        </w:rPr>
        <w:t>由国立</w:t>
      </w:r>
      <w:r>
        <w:rPr>
          <w:snapToGrid/>
          <w:lang w:val="en-GB"/>
        </w:rPr>
        <w:t>大学提供。</w:t>
      </w:r>
    </w:p>
    <w:p w:rsidR="00000000" w:rsidRDefault="00844A84">
      <w:pPr>
        <w:ind w:firstLine="510"/>
        <w:rPr>
          <w:rFonts w:hint="eastAsia"/>
          <w:snapToGrid/>
          <w:lang w:val="en-GB"/>
        </w:rPr>
      </w:pPr>
      <w:r>
        <w:rPr>
          <w:rFonts w:hint="eastAsia"/>
          <w:snapToGrid/>
          <w:lang w:val="en-GB"/>
        </w:rPr>
        <w:t>758.</w:t>
      </w:r>
      <w:r>
        <w:rPr>
          <w:snapToGrid/>
          <w:lang w:val="en-GB"/>
        </w:rPr>
        <w:t xml:space="preserve">  </w:t>
      </w:r>
      <w:r>
        <w:rPr>
          <w:rFonts w:hint="eastAsia"/>
          <w:snapToGrid/>
          <w:lang w:val="en-GB"/>
        </w:rPr>
        <w:t>在接受高等教育方面没有任何歧视。人人都可接受高等教育，而不论其性别、国籍、宗教和家庭社会经济状况为何。</w:t>
      </w:r>
    </w:p>
    <w:p w:rsidR="00000000" w:rsidRDefault="00844A84">
      <w:pPr>
        <w:ind w:firstLine="510"/>
        <w:rPr>
          <w:rFonts w:hint="eastAsia"/>
          <w:snapToGrid/>
          <w:lang w:val="en-GB"/>
        </w:rPr>
      </w:pPr>
      <w:r>
        <w:rPr>
          <w:rFonts w:hint="eastAsia"/>
          <w:snapToGrid/>
          <w:lang w:val="en-GB"/>
        </w:rPr>
        <w:t>759.</w:t>
      </w:r>
      <w:r>
        <w:rPr>
          <w:snapToGrid/>
          <w:lang w:val="en-GB"/>
        </w:rPr>
        <w:t xml:space="preserve">  </w:t>
      </w:r>
      <w:r>
        <w:rPr>
          <w:rFonts w:hint="eastAsia"/>
          <w:snapToGrid/>
          <w:lang w:val="en-GB"/>
        </w:rPr>
        <w:t>现行法律规定，大学招生人数由政府根据大学的建议确定。所有大学生的费用都从共和国政府预算支付。</w:t>
      </w:r>
    </w:p>
    <w:p w:rsidR="00000000" w:rsidRDefault="00844A84">
      <w:pPr>
        <w:ind w:firstLine="510"/>
        <w:rPr>
          <w:rFonts w:hint="eastAsia"/>
          <w:snapToGrid/>
          <w:lang w:val="en-GB"/>
        </w:rPr>
      </w:pPr>
      <w:r>
        <w:rPr>
          <w:rFonts w:hint="eastAsia"/>
          <w:snapToGrid/>
          <w:lang w:val="en-GB"/>
        </w:rPr>
        <w:t>760.</w:t>
      </w:r>
      <w:r>
        <w:rPr>
          <w:snapToGrid/>
          <w:lang w:val="en-GB"/>
        </w:rPr>
        <w:t xml:space="preserve">  </w:t>
      </w:r>
      <w:r>
        <w:rPr>
          <w:rFonts w:hint="eastAsia"/>
          <w:snapToGrid/>
          <w:lang w:val="en-GB"/>
        </w:rPr>
        <w:t>院系招收的学生可超过政府规定的</w:t>
      </w:r>
      <w:r>
        <w:rPr>
          <w:rFonts w:hint="eastAsia"/>
          <w:snapToGrid/>
          <w:lang w:val="en-GB"/>
        </w:rPr>
        <w:t>人数。大学可在事先征得政府同意后作出决定。这些学生是自费生。大学规章</w:t>
      </w:r>
      <w:r>
        <w:rPr>
          <w:rFonts w:hint="eastAsia"/>
          <w:snapToGrid/>
          <w:lang w:val="en-GB"/>
        </w:rPr>
        <w:t>(</w:t>
      </w:r>
      <w:r>
        <w:rPr>
          <w:rFonts w:hint="eastAsia"/>
          <w:snapToGrid/>
          <w:lang w:val="en-GB"/>
        </w:rPr>
        <w:t>第</w:t>
      </w:r>
      <w:r>
        <w:rPr>
          <w:snapToGrid/>
          <w:lang w:val="en-GB"/>
        </w:rPr>
        <w:t>51</w:t>
      </w:r>
      <w:r>
        <w:rPr>
          <w:snapToGrid/>
          <w:lang w:val="en-GB"/>
        </w:rPr>
        <w:t>条</w:t>
      </w:r>
      <w:r>
        <w:rPr>
          <w:snapToGrid/>
          <w:lang w:val="en-GB"/>
        </w:rPr>
        <w:t>)</w:t>
      </w:r>
      <w:r>
        <w:rPr>
          <w:snapToGrid/>
          <w:lang w:val="en-GB"/>
        </w:rPr>
        <w:t>说明，自费生如果</w:t>
      </w:r>
      <w:r>
        <w:rPr>
          <w:rFonts w:hint="eastAsia"/>
          <w:snapToGrid/>
          <w:lang w:val="en-GB"/>
        </w:rPr>
        <w:t>能</w:t>
      </w:r>
      <w:r>
        <w:rPr>
          <w:snapToGrid/>
          <w:lang w:val="en-GB"/>
        </w:rPr>
        <w:t>在</w:t>
      </w:r>
      <w:r>
        <w:rPr>
          <w:rFonts w:hint="eastAsia"/>
          <w:snapToGrid/>
          <w:lang w:val="en-GB"/>
        </w:rPr>
        <w:t>第二</w:t>
      </w:r>
      <w:r>
        <w:rPr>
          <w:snapToGrid/>
          <w:lang w:val="en-GB"/>
        </w:rPr>
        <w:t>学年</w:t>
      </w:r>
      <w:r>
        <w:rPr>
          <w:rFonts w:hint="eastAsia"/>
          <w:snapToGrid/>
          <w:lang w:val="en-GB"/>
        </w:rPr>
        <w:t>以全日制</w:t>
      </w:r>
      <w:r>
        <w:rPr>
          <w:snapToGrid/>
          <w:lang w:val="en-GB"/>
        </w:rPr>
        <w:t>学生身份</w:t>
      </w:r>
      <w:r>
        <w:rPr>
          <w:rFonts w:hint="eastAsia"/>
          <w:snapToGrid/>
          <w:lang w:val="en-GB"/>
        </w:rPr>
        <w:t>注册就读</w:t>
      </w:r>
      <w:r>
        <w:rPr>
          <w:snapToGrid/>
          <w:lang w:val="en-GB"/>
        </w:rPr>
        <w:t>，则可免缴大学学费。</w:t>
      </w:r>
    </w:p>
    <w:p w:rsidR="00000000" w:rsidRDefault="00844A84">
      <w:pPr>
        <w:ind w:firstLine="510"/>
        <w:rPr>
          <w:rFonts w:hint="eastAsia"/>
          <w:snapToGrid/>
          <w:lang w:val="en-GB"/>
        </w:rPr>
      </w:pPr>
      <w:r>
        <w:rPr>
          <w:rFonts w:hint="eastAsia"/>
          <w:snapToGrid/>
          <w:lang w:val="en-GB"/>
        </w:rPr>
        <w:t>761.</w:t>
      </w:r>
      <w:r>
        <w:rPr>
          <w:snapToGrid/>
          <w:lang w:val="en-GB"/>
        </w:rPr>
        <w:t xml:space="preserve">  </w:t>
      </w:r>
      <w:r>
        <w:rPr>
          <w:rFonts w:hint="eastAsia"/>
          <w:snapToGrid/>
          <w:lang w:val="en-GB"/>
        </w:rPr>
        <w:t>必须在填写大学印发的申请表后注册进大学一年级学习。按照大学入学程序规则规定，必须依据在检查中学成绩和入学考试成绩等标准后确定的学生名单予以注册。</w:t>
      </w:r>
    </w:p>
    <w:p w:rsidR="00000000" w:rsidRDefault="00844A84">
      <w:pPr>
        <w:ind w:firstLine="510"/>
        <w:rPr>
          <w:rFonts w:hint="eastAsia"/>
          <w:snapToGrid/>
          <w:lang w:val="en-GB"/>
        </w:rPr>
      </w:pPr>
      <w:r>
        <w:rPr>
          <w:rFonts w:hint="eastAsia"/>
          <w:snapToGrid/>
          <w:lang w:val="en-GB"/>
        </w:rPr>
        <w:t>762.</w:t>
      </w:r>
      <w:r>
        <w:rPr>
          <w:snapToGrid/>
          <w:lang w:val="en-GB"/>
        </w:rPr>
        <w:t xml:space="preserve">  </w:t>
      </w:r>
      <w:r>
        <w:rPr>
          <w:rFonts w:hint="eastAsia"/>
          <w:snapToGrid/>
          <w:lang w:val="en-GB"/>
        </w:rPr>
        <w:t>所有具有黑山公民身份的学生，如果大学平均成绩等级超过</w:t>
      </w:r>
      <w:r>
        <w:rPr>
          <w:rFonts w:hint="eastAsia"/>
          <w:snapToGrid/>
          <w:lang w:val="en-GB"/>
        </w:rPr>
        <w:t>8.5,</w:t>
      </w:r>
      <w:r>
        <w:rPr>
          <w:snapToGrid/>
          <w:lang w:val="en-GB"/>
        </w:rPr>
        <w:t xml:space="preserve"> </w:t>
      </w:r>
      <w:r>
        <w:rPr>
          <w:rFonts w:hint="eastAsia"/>
          <w:snapToGrid/>
          <w:lang w:val="en-GB"/>
        </w:rPr>
        <w:t>其就读研究生课程的学费由黑山共和国预算支付。</w:t>
      </w:r>
    </w:p>
    <w:p w:rsidR="00000000" w:rsidRDefault="00844A84">
      <w:pPr>
        <w:ind w:firstLine="510"/>
        <w:rPr>
          <w:rFonts w:hint="eastAsia"/>
          <w:snapToGrid/>
          <w:lang w:val="en-GB"/>
        </w:rPr>
      </w:pPr>
      <w:r>
        <w:rPr>
          <w:rFonts w:hint="eastAsia"/>
          <w:snapToGrid/>
          <w:lang w:val="en-GB"/>
        </w:rPr>
        <w:t>763.</w:t>
      </w:r>
      <w:r>
        <w:rPr>
          <w:snapToGrid/>
          <w:lang w:val="en-GB"/>
        </w:rPr>
        <w:t xml:space="preserve">  </w:t>
      </w:r>
      <w:r>
        <w:rPr>
          <w:rFonts w:hint="eastAsia"/>
          <w:snapToGrid/>
          <w:lang w:val="en-GB"/>
        </w:rPr>
        <w:t>目前正在对教育部门进行改革。这种改革涉及彻底改革课程、管理和经费筹措</w:t>
      </w:r>
      <w:r>
        <w:rPr>
          <w:rFonts w:hint="eastAsia"/>
          <w:snapToGrid/>
          <w:lang w:val="en-GB"/>
        </w:rPr>
        <w:t>、评估教育质量并采用《波洛尼亚宣言》和其他文件，使我国教育制度与欧洲其他国家协调一致。</w:t>
      </w:r>
    </w:p>
    <w:p w:rsidR="00000000" w:rsidRDefault="00844A84">
      <w:pPr>
        <w:spacing w:after="320"/>
        <w:ind w:firstLine="510"/>
        <w:rPr>
          <w:rFonts w:hint="eastAsia"/>
          <w:snapToGrid/>
          <w:lang w:val="en-GB"/>
        </w:rPr>
      </w:pPr>
      <w:r>
        <w:rPr>
          <w:rFonts w:hint="eastAsia"/>
          <w:snapToGrid/>
          <w:lang w:val="en-GB"/>
        </w:rPr>
        <w:t>764.</w:t>
      </w:r>
      <w:r>
        <w:rPr>
          <w:snapToGrid/>
          <w:lang w:val="en-GB"/>
        </w:rPr>
        <w:t xml:space="preserve">  </w:t>
      </w:r>
      <w:r>
        <w:rPr>
          <w:rFonts w:hint="eastAsia"/>
          <w:snapToGrid/>
          <w:lang w:val="en-GB"/>
        </w:rPr>
        <w:t>目前正在按欧洲标准制定一项关于高等教育的新法律。教育部和黑山大学已获得国际社会以下各方案和机构的专家支助：《欧洲联盟委员会全欧大学研究流动计划》、欧洲大学联盟、教科文组织</w:t>
      </w:r>
      <w:r>
        <w:rPr>
          <w:rFonts w:hint="eastAsia"/>
          <w:snapToGrid/>
          <w:lang w:val="en-GB"/>
        </w:rPr>
        <w:t>-</w:t>
      </w:r>
      <w:r>
        <w:rPr>
          <w:rFonts w:hint="eastAsia"/>
          <w:snapToGrid/>
          <w:lang w:val="en-GB"/>
        </w:rPr>
        <w:t>欧洲高等教育中心、《稳定公约》、世界大学服务会奥地利分部，以及来自欧洲联盟国家和美利坚合众国的姐妹大学。黑山大学已经与以下城市各大学签署了合作备忘录：巴里、斯卡达尔、莫斯科</w:t>
      </w:r>
      <w:r>
        <w:rPr>
          <w:rFonts w:hint="eastAsia"/>
          <w:snapToGrid/>
          <w:lang w:val="en-GB"/>
        </w:rPr>
        <w:t>(</w:t>
      </w:r>
      <w:r>
        <w:rPr>
          <w:rFonts w:hint="eastAsia"/>
          <w:snapToGrid/>
          <w:lang w:val="en-GB"/>
        </w:rPr>
        <w:t>罗蒙诺索夫国际独立生态和政治科学大学</w:t>
      </w:r>
      <w:r>
        <w:rPr>
          <w:snapToGrid/>
          <w:lang w:val="en-GB"/>
        </w:rPr>
        <w:t>)</w:t>
      </w:r>
      <w:r>
        <w:rPr>
          <w:rFonts w:hint="eastAsia"/>
          <w:snapToGrid/>
          <w:lang w:val="en-GB"/>
        </w:rPr>
        <w:t>、图尔、莫斯塔尔、奥斯陆和华</w:t>
      </w:r>
      <w:r>
        <w:rPr>
          <w:rFonts w:hint="eastAsia"/>
          <w:snapToGrid/>
          <w:lang w:val="en-GB"/>
        </w:rPr>
        <w:t>沙。</w:t>
      </w:r>
    </w:p>
    <w:p w:rsidR="00000000" w:rsidRDefault="00844A84">
      <w:pPr>
        <w:pStyle w:val="Heading4"/>
        <w:rPr>
          <w:rFonts w:hint="eastAsia"/>
          <w:lang w:val="en-GB"/>
        </w:rPr>
      </w:pPr>
      <w:r>
        <w:rPr>
          <w:rFonts w:hint="eastAsia"/>
          <w:lang w:val="en-GB"/>
        </w:rPr>
        <w:t>经费筹措</w:t>
      </w:r>
    </w:p>
    <w:p w:rsidR="00000000" w:rsidRDefault="00844A84">
      <w:pPr>
        <w:ind w:firstLine="510"/>
        <w:rPr>
          <w:rFonts w:hint="eastAsia"/>
          <w:snapToGrid/>
          <w:lang w:val="en-GB"/>
        </w:rPr>
      </w:pPr>
      <w:r>
        <w:rPr>
          <w:rFonts w:hint="eastAsia"/>
          <w:snapToGrid/>
          <w:lang w:val="en-GB"/>
        </w:rPr>
        <w:t>765.</w:t>
      </w:r>
      <w:r>
        <w:rPr>
          <w:snapToGrid/>
          <w:lang w:val="en-GB"/>
        </w:rPr>
        <w:t xml:space="preserve">  </w:t>
      </w:r>
      <w:r>
        <w:rPr>
          <w:rFonts w:hint="eastAsia"/>
          <w:snapToGrid/>
          <w:lang w:val="en-GB"/>
        </w:rPr>
        <w:t>共和国预算约有</w:t>
      </w:r>
      <w:r>
        <w:rPr>
          <w:snapToGrid/>
          <w:lang w:val="en-GB"/>
        </w:rPr>
        <w:t>30%</w:t>
      </w:r>
      <w:r>
        <w:rPr>
          <w:rFonts w:hint="eastAsia"/>
          <w:snapToGrid/>
          <w:lang w:val="en-GB"/>
        </w:rPr>
        <w:t>拨给</w:t>
      </w:r>
      <w:r>
        <w:rPr>
          <w:snapToGrid/>
          <w:lang w:val="en-GB"/>
        </w:rPr>
        <w:t>教育部门使用。尽管过去十年条件艰难，但黑山依然向教育部门</w:t>
      </w:r>
      <w:r>
        <w:rPr>
          <w:rFonts w:hint="eastAsia"/>
          <w:snapToGrid/>
          <w:lang w:val="en-GB"/>
        </w:rPr>
        <w:t>投入了大量</w:t>
      </w:r>
      <w:r>
        <w:rPr>
          <w:snapToGrid/>
          <w:lang w:val="en-GB"/>
        </w:rPr>
        <w:t>经费。例如，</w:t>
      </w:r>
      <w:r>
        <w:rPr>
          <w:snapToGrid/>
          <w:lang w:val="en-GB"/>
        </w:rPr>
        <w:t>1999</w:t>
      </w:r>
      <w:r>
        <w:rPr>
          <w:snapToGrid/>
          <w:lang w:val="en-GB"/>
        </w:rPr>
        <w:t>年黑山在教育部门</w:t>
      </w:r>
      <w:r>
        <w:rPr>
          <w:rFonts w:hint="eastAsia"/>
          <w:snapToGrid/>
          <w:lang w:val="en-GB"/>
        </w:rPr>
        <w:t>的</w:t>
      </w:r>
      <w:r>
        <w:rPr>
          <w:snapToGrid/>
          <w:lang w:val="en-GB"/>
        </w:rPr>
        <w:t>投资</w:t>
      </w:r>
      <w:r>
        <w:rPr>
          <w:rFonts w:hint="eastAsia"/>
          <w:snapToGrid/>
          <w:lang w:val="en-GB"/>
        </w:rPr>
        <w:t>占</w:t>
      </w:r>
      <w:r>
        <w:rPr>
          <w:snapToGrid/>
          <w:lang w:val="en-GB"/>
        </w:rPr>
        <w:t>国内生产总值的</w:t>
      </w:r>
      <w:r>
        <w:rPr>
          <w:snapToGrid/>
          <w:lang w:val="en-GB"/>
        </w:rPr>
        <w:t>5.21%</w:t>
      </w:r>
      <w:r>
        <w:rPr>
          <w:snapToGrid/>
          <w:lang w:val="en-GB"/>
        </w:rPr>
        <w:t>，</w:t>
      </w:r>
      <w:r>
        <w:rPr>
          <w:snapToGrid/>
          <w:lang w:val="en-GB"/>
        </w:rPr>
        <w:t>1998</w:t>
      </w:r>
      <w:r>
        <w:rPr>
          <w:snapToGrid/>
          <w:lang w:val="en-GB"/>
        </w:rPr>
        <w:t>年</w:t>
      </w:r>
      <w:r>
        <w:rPr>
          <w:rFonts w:hint="eastAsia"/>
          <w:snapToGrid/>
          <w:lang w:val="en-GB"/>
        </w:rPr>
        <w:t>占</w:t>
      </w:r>
      <w:r>
        <w:rPr>
          <w:snapToGrid/>
          <w:lang w:val="en-GB"/>
        </w:rPr>
        <w:t>7.</w:t>
      </w:r>
      <w:r>
        <w:rPr>
          <w:rFonts w:hint="eastAsia"/>
          <w:snapToGrid/>
          <w:lang w:val="en-GB"/>
        </w:rPr>
        <w:t>17</w:t>
      </w:r>
      <w:r>
        <w:rPr>
          <w:snapToGrid/>
          <w:lang w:val="en-GB"/>
        </w:rPr>
        <w:t>%</w:t>
      </w:r>
      <w:r>
        <w:rPr>
          <w:snapToGrid/>
          <w:lang w:val="en-GB"/>
        </w:rPr>
        <w:t>，这一比例</w:t>
      </w:r>
      <w:r>
        <w:rPr>
          <w:rFonts w:hint="eastAsia"/>
          <w:snapToGrid/>
          <w:lang w:val="en-GB"/>
        </w:rPr>
        <w:t>远远</w:t>
      </w:r>
      <w:r>
        <w:rPr>
          <w:snapToGrid/>
          <w:lang w:val="en-GB"/>
        </w:rPr>
        <w:t>高于该区域其他国家。用于教育的经费是由</w:t>
      </w:r>
      <w:r>
        <w:rPr>
          <w:rFonts w:hint="eastAsia"/>
          <w:snapToGrid/>
          <w:lang w:val="en-GB"/>
        </w:rPr>
        <w:t>各</w:t>
      </w:r>
      <w:r>
        <w:rPr>
          <w:snapToGrid/>
          <w:lang w:val="en-GB"/>
        </w:rPr>
        <w:t>级教育的</w:t>
      </w:r>
      <w:r>
        <w:rPr>
          <w:rFonts w:hint="eastAsia"/>
          <w:snapToGrid/>
          <w:lang w:val="en-GB"/>
        </w:rPr>
        <w:t>相关</w:t>
      </w:r>
      <w:r>
        <w:rPr>
          <w:snapToGrid/>
          <w:lang w:val="en-GB"/>
        </w:rPr>
        <w:t>积极条例</w:t>
      </w:r>
      <w:r>
        <w:rPr>
          <w:snapToGrid/>
          <w:lang w:val="en-GB"/>
        </w:rPr>
        <w:t>(</w:t>
      </w:r>
      <w:r>
        <w:rPr>
          <w:snapToGrid/>
          <w:lang w:val="en-GB"/>
        </w:rPr>
        <w:t>法律和集体协定</w:t>
      </w:r>
      <w:r>
        <w:rPr>
          <w:snapToGrid/>
          <w:lang w:val="en-GB"/>
        </w:rPr>
        <w:t>)</w:t>
      </w:r>
      <w:r>
        <w:rPr>
          <w:snapToGrid/>
          <w:lang w:val="en-GB"/>
        </w:rPr>
        <w:t>规定的。</w:t>
      </w:r>
    </w:p>
    <w:p w:rsidR="00000000" w:rsidRDefault="00844A84">
      <w:pPr>
        <w:ind w:firstLine="510"/>
        <w:rPr>
          <w:rFonts w:hint="eastAsia"/>
          <w:snapToGrid/>
          <w:lang w:val="en-GB"/>
        </w:rPr>
      </w:pPr>
      <w:r>
        <w:rPr>
          <w:rFonts w:hint="eastAsia"/>
          <w:snapToGrid/>
          <w:lang w:val="en-GB"/>
        </w:rPr>
        <w:t>766.</w:t>
      </w:r>
      <w:r>
        <w:rPr>
          <w:snapToGrid/>
          <w:lang w:val="en-GB"/>
        </w:rPr>
        <w:t xml:space="preserve">  </w:t>
      </w:r>
      <w:r>
        <w:rPr>
          <w:rFonts w:hint="eastAsia"/>
          <w:snapToGrid/>
          <w:lang w:val="en-GB"/>
        </w:rPr>
        <w:t>国家为</w:t>
      </w:r>
      <w:r>
        <w:rPr>
          <w:rFonts w:hint="eastAsia"/>
          <w:snapToGrid/>
          <w:lang w:val="en-GB"/>
        </w:rPr>
        <w:t>20</w:t>
      </w:r>
      <w:r>
        <w:rPr>
          <w:rFonts w:hint="eastAsia"/>
          <w:snapToGrid/>
          <w:lang w:val="en-GB"/>
        </w:rPr>
        <w:t>所学前教育机构和</w:t>
      </w:r>
      <w:r>
        <w:rPr>
          <w:snapToGrid/>
          <w:lang w:val="en-GB"/>
        </w:rPr>
        <w:t>168</w:t>
      </w:r>
      <w:r>
        <w:rPr>
          <w:snapToGrid/>
          <w:lang w:val="en-GB"/>
        </w:rPr>
        <w:t>所小学提供经费，共有</w:t>
      </w:r>
      <w:r>
        <w:rPr>
          <w:snapToGrid/>
          <w:lang w:val="en-GB"/>
        </w:rPr>
        <w:t>303</w:t>
      </w:r>
      <w:r>
        <w:rPr>
          <w:snapToGrid/>
          <w:lang w:val="en-GB"/>
        </w:rPr>
        <w:t>个区域教育部门，拥有</w:t>
      </w:r>
      <w:r>
        <w:rPr>
          <w:snapToGrid/>
          <w:lang w:val="en-GB"/>
        </w:rPr>
        <w:t>483</w:t>
      </w:r>
      <w:r>
        <w:rPr>
          <w:snapToGrid/>
          <w:lang w:val="en-GB"/>
        </w:rPr>
        <w:t>座</w:t>
      </w:r>
      <w:r>
        <w:rPr>
          <w:rFonts w:hint="eastAsia"/>
          <w:snapToGrid/>
          <w:lang w:val="en-GB"/>
        </w:rPr>
        <w:t>校舍</w:t>
      </w:r>
      <w:r>
        <w:rPr>
          <w:snapToGrid/>
          <w:lang w:val="en-GB"/>
        </w:rPr>
        <w:t>，</w:t>
      </w:r>
      <w:r>
        <w:rPr>
          <w:snapToGrid/>
          <w:lang w:val="en-GB"/>
        </w:rPr>
        <w:t>44</w:t>
      </w:r>
      <w:r>
        <w:rPr>
          <w:snapToGrid/>
          <w:lang w:val="en-GB"/>
        </w:rPr>
        <w:t>所中学和</w:t>
      </w:r>
      <w:r>
        <w:rPr>
          <w:snapToGrid/>
          <w:lang w:val="en-GB"/>
        </w:rPr>
        <w:t>8</w:t>
      </w:r>
      <w:r>
        <w:rPr>
          <w:snapToGrid/>
          <w:lang w:val="en-GB"/>
        </w:rPr>
        <w:t>座学生宿舍。</w:t>
      </w:r>
      <w:r>
        <w:rPr>
          <w:rFonts w:hint="eastAsia"/>
          <w:snapToGrid/>
          <w:lang w:val="en-GB"/>
        </w:rPr>
        <w:t>鉴于</w:t>
      </w:r>
      <w:r>
        <w:rPr>
          <w:snapToGrid/>
          <w:lang w:val="en-GB"/>
        </w:rPr>
        <w:t>黑山</w:t>
      </w:r>
      <w:r>
        <w:rPr>
          <w:rFonts w:hint="eastAsia"/>
          <w:snapToGrid/>
          <w:lang w:val="en-GB"/>
        </w:rPr>
        <w:t>特有的</w:t>
      </w:r>
      <w:r>
        <w:rPr>
          <w:snapToGrid/>
          <w:lang w:val="en-GB"/>
        </w:rPr>
        <w:t>人口、气候和</w:t>
      </w:r>
      <w:r>
        <w:rPr>
          <w:rFonts w:hint="eastAsia"/>
          <w:snapToGrid/>
          <w:lang w:val="en-GB"/>
        </w:rPr>
        <w:t>地理</w:t>
      </w:r>
      <w:r>
        <w:rPr>
          <w:snapToGrid/>
          <w:lang w:val="en-GB"/>
        </w:rPr>
        <w:t>因素，</w:t>
      </w:r>
      <w:r>
        <w:rPr>
          <w:rFonts w:hint="eastAsia"/>
          <w:snapToGrid/>
          <w:lang w:val="en-GB"/>
        </w:rPr>
        <w:t>学校</w:t>
      </w:r>
      <w:r>
        <w:rPr>
          <w:snapToGrid/>
          <w:lang w:val="en-GB"/>
        </w:rPr>
        <w:t>网络结构</w:t>
      </w:r>
      <w:r>
        <w:rPr>
          <w:rFonts w:hint="eastAsia"/>
          <w:snapToGrid/>
          <w:lang w:val="en-GB"/>
        </w:rPr>
        <w:t>范围很广</w:t>
      </w:r>
      <w:r>
        <w:rPr>
          <w:snapToGrid/>
          <w:lang w:val="en-GB"/>
        </w:rPr>
        <w:t>。</w:t>
      </w:r>
    </w:p>
    <w:p w:rsidR="00000000" w:rsidRDefault="00844A84">
      <w:pPr>
        <w:ind w:firstLine="510"/>
        <w:rPr>
          <w:rFonts w:hint="eastAsia"/>
          <w:snapToGrid/>
          <w:lang w:val="en-GB"/>
        </w:rPr>
      </w:pPr>
      <w:r>
        <w:rPr>
          <w:rFonts w:hint="eastAsia"/>
          <w:snapToGrid/>
          <w:lang w:val="en-GB"/>
        </w:rPr>
        <w:t>767.</w:t>
      </w:r>
      <w:r>
        <w:rPr>
          <w:snapToGrid/>
          <w:lang w:val="en-GB"/>
        </w:rPr>
        <w:t xml:space="preserve"> </w:t>
      </w:r>
      <w:r>
        <w:rPr>
          <w:snapToGrid/>
          <w:lang w:val="en-GB"/>
        </w:rPr>
        <w:t xml:space="preserve"> </w:t>
      </w:r>
      <w:r>
        <w:rPr>
          <w:rFonts w:hint="eastAsia"/>
          <w:snapToGrid/>
          <w:lang w:val="en-GB"/>
        </w:rPr>
        <w:t>校舍共同特点是，城市学校学生人数增加，因此场地不够使用，农村地区学生人数则逐渐减少，造成了学校布局局部不合理的现象。但是，关闭一些学校或区域教育部门的做法是复杂的社会问题，必须考虑到财政、社会、政治和文化各个方面。</w:t>
      </w:r>
    </w:p>
    <w:p w:rsidR="00000000" w:rsidRDefault="00844A84">
      <w:pPr>
        <w:ind w:firstLine="510"/>
        <w:rPr>
          <w:rFonts w:hint="eastAsia"/>
          <w:snapToGrid/>
          <w:lang w:val="en-GB"/>
        </w:rPr>
      </w:pPr>
      <w:r>
        <w:rPr>
          <w:rFonts w:hint="eastAsia"/>
          <w:snapToGrid/>
          <w:lang w:val="en-GB"/>
        </w:rPr>
        <w:t>768.</w:t>
      </w:r>
      <w:r>
        <w:rPr>
          <w:snapToGrid/>
          <w:lang w:val="en-GB"/>
        </w:rPr>
        <w:t xml:space="preserve">  </w:t>
      </w:r>
      <w:r>
        <w:rPr>
          <w:rFonts w:hint="eastAsia"/>
          <w:snapToGrid/>
          <w:lang w:val="en-GB"/>
        </w:rPr>
        <w:t>学校设施相当陈旧，条件十分低劣，</w:t>
      </w:r>
      <w:r>
        <w:rPr>
          <w:rFonts w:hint="eastAsia"/>
          <w:snapToGrid/>
          <w:lang w:val="en-GB"/>
        </w:rPr>
        <w:t xml:space="preserve"> </w:t>
      </w:r>
      <w:r>
        <w:rPr>
          <w:rFonts w:hint="eastAsia"/>
          <w:snapToGrid/>
          <w:lang w:val="en-GB"/>
        </w:rPr>
        <w:t>不符合现代的要求和标准，因此需要投入大量经费。根据我国的财力，每年都投入一定的经费用以维修学校设施，但这些经费主要用于对校舍房顶和供暖系统的紧急维修。</w:t>
      </w:r>
    </w:p>
    <w:p w:rsidR="00000000" w:rsidRDefault="00844A84">
      <w:pPr>
        <w:ind w:firstLine="510"/>
        <w:rPr>
          <w:rFonts w:hint="eastAsia"/>
          <w:snapToGrid/>
          <w:lang w:val="en-GB"/>
        </w:rPr>
      </w:pPr>
      <w:r>
        <w:rPr>
          <w:rFonts w:hint="eastAsia"/>
          <w:snapToGrid/>
          <w:lang w:val="en-GB"/>
        </w:rPr>
        <w:t>769.</w:t>
      </w:r>
      <w:r>
        <w:rPr>
          <w:snapToGrid/>
          <w:lang w:val="en-GB"/>
        </w:rPr>
        <w:t xml:space="preserve">  </w:t>
      </w:r>
      <w:r>
        <w:rPr>
          <w:rFonts w:hint="eastAsia"/>
          <w:snapToGrid/>
          <w:lang w:val="en-GB"/>
        </w:rPr>
        <w:t>建造新校舍的工作是通过公共工程部进行的。尽管投入了大量经费，但仍然不能满足日益增长的</w:t>
      </w:r>
      <w:r>
        <w:rPr>
          <w:rFonts w:hint="eastAsia"/>
          <w:snapToGrid/>
          <w:lang w:val="en-GB"/>
        </w:rPr>
        <w:t>需求，城市地区更是如此。国际组织也在支助重建学校设施，但这种支助依然不足。欧洲重建机构正在波德戈里察建造一所学校，并在</w:t>
      </w:r>
      <w:r>
        <w:rPr>
          <w:rFonts w:hint="eastAsia"/>
          <w:snapToGrid/>
          <w:lang w:val="en-GB"/>
        </w:rPr>
        <w:t>Bijelo Polje</w:t>
      </w:r>
      <w:r>
        <w:rPr>
          <w:rFonts w:hint="eastAsia"/>
          <w:snapToGrid/>
          <w:lang w:val="en-GB"/>
        </w:rPr>
        <w:t>的一所学校进行重大的整修工程。</w:t>
      </w:r>
    </w:p>
    <w:p w:rsidR="00000000" w:rsidRDefault="00844A84">
      <w:pPr>
        <w:ind w:firstLine="510"/>
        <w:rPr>
          <w:rFonts w:hint="eastAsia"/>
          <w:snapToGrid/>
          <w:lang w:val="en-GB"/>
        </w:rPr>
      </w:pPr>
      <w:r>
        <w:rPr>
          <w:snapToGrid/>
          <w:lang w:val="en-GB"/>
        </w:rPr>
        <w:t xml:space="preserve">770.  </w:t>
      </w:r>
      <w:r>
        <w:rPr>
          <w:rFonts w:hint="eastAsia"/>
          <w:snapToGrid/>
          <w:lang w:val="en-GB"/>
        </w:rPr>
        <w:t>各</w:t>
      </w:r>
      <w:r>
        <w:rPr>
          <w:snapToGrid/>
          <w:lang w:val="en-GB"/>
        </w:rPr>
        <w:t>学校</w:t>
      </w:r>
      <w:r>
        <w:rPr>
          <w:rFonts w:hint="eastAsia"/>
          <w:snapToGrid/>
          <w:lang w:val="en-GB"/>
        </w:rPr>
        <w:t>的</w:t>
      </w:r>
      <w:r>
        <w:rPr>
          <w:snapToGrid/>
          <w:lang w:val="en-GB"/>
        </w:rPr>
        <w:t>设备状况</w:t>
      </w:r>
      <w:r>
        <w:rPr>
          <w:rFonts w:hint="eastAsia"/>
          <w:snapToGrid/>
          <w:lang w:val="en-GB"/>
        </w:rPr>
        <w:t>既</w:t>
      </w:r>
      <w:r>
        <w:rPr>
          <w:snapToGrid/>
          <w:lang w:val="en-GB"/>
        </w:rPr>
        <w:t>不平衡又很短缺。一些新的学校尤其是黑山中部和南部地区的学校拥有现代设备，另一些学校的设备</w:t>
      </w:r>
      <w:r>
        <w:rPr>
          <w:rFonts w:hint="eastAsia"/>
          <w:snapToGrid/>
          <w:lang w:val="en-GB"/>
        </w:rPr>
        <w:t>则既短缺</w:t>
      </w:r>
      <w:r>
        <w:rPr>
          <w:snapToGrid/>
          <w:lang w:val="en-GB"/>
        </w:rPr>
        <w:t>又</w:t>
      </w:r>
      <w:r>
        <w:rPr>
          <w:rFonts w:hint="eastAsia"/>
          <w:snapToGrid/>
          <w:lang w:val="en-GB"/>
        </w:rPr>
        <w:t>十分</w:t>
      </w:r>
      <w:r>
        <w:rPr>
          <w:snapToGrid/>
          <w:lang w:val="en-GB"/>
        </w:rPr>
        <w:t>陈旧。</w:t>
      </w:r>
    </w:p>
    <w:p w:rsidR="00000000" w:rsidRDefault="00844A84">
      <w:pPr>
        <w:ind w:firstLine="510"/>
        <w:rPr>
          <w:rFonts w:hint="eastAsia"/>
          <w:snapToGrid/>
        </w:rPr>
      </w:pPr>
      <w:r>
        <w:rPr>
          <w:rFonts w:hint="eastAsia"/>
          <w:snapToGrid/>
          <w:lang w:val="en-GB"/>
        </w:rPr>
        <w:t>771.</w:t>
      </w:r>
      <w:r>
        <w:rPr>
          <w:snapToGrid/>
          <w:lang w:val="en-GB"/>
        </w:rPr>
        <w:t xml:space="preserve">  </w:t>
      </w:r>
      <w:r>
        <w:rPr>
          <w:rFonts w:hint="eastAsia"/>
          <w:snapToGrid/>
          <w:lang w:val="en-GB"/>
        </w:rPr>
        <w:t>教育机构员工的薪金按现付款协定计算</w:t>
      </w:r>
      <w:r>
        <w:rPr>
          <w:rFonts w:hint="eastAsia"/>
          <w:snapToGrid/>
          <w:lang w:val="en-GB"/>
        </w:rPr>
        <w:t>(</w:t>
      </w:r>
      <w:r>
        <w:rPr>
          <w:rFonts w:hint="eastAsia"/>
          <w:snapToGrid/>
          <w:lang w:val="en-GB"/>
        </w:rPr>
        <w:t>各级教育机构都有特别的付款协定</w:t>
      </w:r>
      <w:r>
        <w:rPr>
          <w:rFonts w:hint="eastAsia"/>
          <w:snapToGrid/>
          <w:lang w:val="en-GB"/>
        </w:rPr>
        <w:t>)</w:t>
      </w:r>
      <w:r>
        <w:rPr>
          <w:rFonts w:hint="eastAsia"/>
          <w:snapToGrid/>
          <w:lang w:val="en-GB"/>
        </w:rPr>
        <w:t>。经工会签署同意签订了付款协定后，就作出极大的努力，使这些员工的薪金与由共和国预算提供经费的其他公务人员的薪金相符。由</w:t>
      </w:r>
      <w:r>
        <w:rPr>
          <w:rFonts w:hint="eastAsia"/>
          <w:snapToGrid/>
          <w:lang w:val="en-GB"/>
        </w:rPr>
        <w:t>于学校员工人数众多，分配用于教育的经费中最大的部分用于支付工作人员的薪金，这意味着用于基本投资和设备的经费不足以供如此庞大的学校网络使用。员工人数如此之多，是学校布局不合理的结果，其部分原因则是教师授课分工不合理以及学校内部组织不当。</w:t>
      </w:r>
    </w:p>
    <w:p w:rsidR="00000000" w:rsidRDefault="00844A84"/>
    <w:sectPr w:rsidR="00000000">
      <w:headerReference w:type="even" r:id="rId13"/>
      <w:headerReference w:type="default" r:id="rId14"/>
      <w:endnotePr>
        <w:numFmt w:val="decimal"/>
      </w:endnotePr>
      <w:pgSz w:w="11906" w:h="16838" w:code="9"/>
      <w:pgMar w:top="1985" w:right="851" w:bottom="1985" w:left="1701" w:header="794" w:footer="1588"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4A84">
      <w:pPr>
        <w:jc w:val="center"/>
        <w:rPr>
          <w:rFonts w:hint="eastAsia"/>
          <w:u w:val="single"/>
        </w:rPr>
      </w:pPr>
      <w:r>
        <w:rPr>
          <w:rFonts w:hint="eastAsia"/>
          <w:u w:val="single"/>
        </w:rPr>
        <w:t>注</w:t>
      </w:r>
    </w:p>
  </w:endnote>
  <w:endnote w:type="continuationSeparator" w:id="0">
    <w:p w:rsidR="00000000" w:rsidRDefault="00844A84">
      <w:pPr>
        <w:pStyle w:val="Footer"/>
      </w:pPr>
    </w:p>
  </w:endnote>
  <w:endnote w:id="1">
    <w:p w:rsidR="00000000" w:rsidRDefault="00844A84">
      <w:pPr>
        <w:pStyle w:val="EndnoteText"/>
        <w:rPr>
          <w:rFonts w:hint="eastAsia"/>
        </w:rPr>
      </w:pPr>
    </w:p>
    <w:p w:rsidR="00000000" w:rsidRDefault="00844A84">
      <w:pPr>
        <w:pStyle w:val="EndnoteText"/>
      </w:pPr>
      <w:r>
        <w:rPr>
          <w:rStyle w:val="EndnoteReference"/>
        </w:rPr>
        <w:endnoteRef/>
      </w:r>
      <w:r>
        <w:t xml:space="preserve"> </w:t>
      </w:r>
      <w:r>
        <w:rPr>
          <w:rFonts w:hint="eastAsia"/>
        </w:rPr>
        <w:t xml:space="preserve"> </w:t>
      </w:r>
      <w:r>
        <w:rPr>
          <w:rFonts w:hint="eastAsia"/>
        </w:rPr>
        <w:t>联盟统计所，贝尔格莱德，</w:t>
      </w:r>
      <w:r>
        <w:rPr>
          <w:rFonts w:hint="eastAsia"/>
        </w:rPr>
        <w:t>2002</w:t>
      </w:r>
      <w:r>
        <w:rPr>
          <w:rFonts w:hint="eastAsia"/>
        </w:rPr>
        <w:t>年。</w:t>
      </w:r>
    </w:p>
  </w:endnote>
  <w:endnote w:id="2">
    <w:p w:rsidR="00000000" w:rsidRDefault="00844A84">
      <w:pPr>
        <w:pStyle w:val="EndnoteText"/>
      </w:pPr>
      <w:r>
        <w:rPr>
          <w:rStyle w:val="EndnoteReference"/>
        </w:rPr>
        <w:endnoteRef/>
      </w:r>
      <w:r>
        <w:t xml:space="preserve"> </w:t>
      </w:r>
      <w:r>
        <w:rPr>
          <w:rFonts w:hint="eastAsia"/>
        </w:rPr>
        <w:t xml:space="preserve"> </w:t>
      </w:r>
      <w:r>
        <w:rPr>
          <w:rFonts w:hint="eastAsia"/>
        </w:rPr>
        <w:t>同上。</w:t>
      </w:r>
    </w:p>
  </w:endnote>
  <w:endnote w:id="3">
    <w:p w:rsidR="00000000" w:rsidRDefault="00844A84">
      <w:pPr>
        <w:pStyle w:val="EndnoteText"/>
        <w:rPr>
          <w:rFonts w:hint="eastAsia"/>
          <w:spacing w:val="0"/>
        </w:rPr>
      </w:pPr>
      <w:r>
        <w:rPr>
          <w:rStyle w:val="EndnoteReference"/>
        </w:rPr>
        <w:endnoteRef/>
      </w:r>
      <w:r>
        <w:rPr>
          <w:rFonts w:hint="eastAsia"/>
        </w:rPr>
        <w:t xml:space="preserve">  </w:t>
      </w:r>
      <w:r>
        <w:rPr>
          <w:rFonts w:hint="eastAsia"/>
          <w:spacing w:val="0"/>
        </w:rPr>
        <w:t>专著《残疾人及其环境》，替代学习中心和</w:t>
      </w:r>
      <w:r>
        <w:rPr>
          <w:rFonts w:ascii="SimSun" w:hAnsi="SimSun" w:hint="eastAsia"/>
          <w:bCs/>
          <w:spacing w:val="0"/>
        </w:rPr>
        <w:t>国际残疾协会</w:t>
      </w:r>
      <w:r>
        <w:rPr>
          <w:rFonts w:hint="eastAsia"/>
          <w:spacing w:val="0"/>
        </w:rPr>
        <w:t>，贝尔格莱德，</w:t>
      </w:r>
      <w:r>
        <w:rPr>
          <w:rFonts w:hint="eastAsia"/>
          <w:spacing w:val="0"/>
        </w:rPr>
        <w:t>2001</w:t>
      </w:r>
      <w:r>
        <w:rPr>
          <w:rFonts w:hint="eastAsia"/>
          <w:spacing w:val="0"/>
        </w:rPr>
        <w:t>年。</w:t>
      </w:r>
    </w:p>
  </w:endnote>
  <w:endnote w:id="4">
    <w:p w:rsidR="00000000" w:rsidRDefault="00844A84">
      <w:pPr>
        <w:pStyle w:val="EndnoteText"/>
      </w:pPr>
      <w:r>
        <w:rPr>
          <w:rStyle w:val="EndnoteReference"/>
        </w:rPr>
        <w:endnoteRef/>
      </w:r>
      <w:r>
        <w:t xml:space="preserve">  </w:t>
      </w:r>
      <w:r>
        <w:rPr>
          <w:rFonts w:hint="eastAsia"/>
        </w:rPr>
        <w:t>第</w:t>
      </w:r>
      <w:r>
        <w:rPr>
          <w:rFonts w:hint="eastAsia"/>
        </w:rPr>
        <w:t>105</w:t>
      </w:r>
      <w:r>
        <w:rPr>
          <w:rFonts w:hint="eastAsia"/>
        </w:rPr>
        <w:t>号公约已于</w:t>
      </w:r>
      <w:r>
        <w:rPr>
          <w:rFonts w:hint="eastAsia"/>
        </w:rPr>
        <w:t>2002</w:t>
      </w:r>
      <w:r>
        <w:rPr>
          <w:rFonts w:hint="eastAsia"/>
        </w:rPr>
        <w:t>年</w:t>
      </w:r>
      <w:r>
        <w:rPr>
          <w:rFonts w:hint="eastAsia"/>
        </w:rPr>
        <w:t>12</w:t>
      </w:r>
      <w:r>
        <w:rPr>
          <w:rFonts w:hint="eastAsia"/>
        </w:rPr>
        <w:t>月批准，但尚未生效。</w:t>
      </w:r>
    </w:p>
  </w:endnote>
  <w:endnote w:id="5">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劳动安全是指工作人员在工作场所的安全保</w:t>
      </w:r>
      <w:r>
        <w:rPr>
          <w:rFonts w:hint="eastAsia"/>
        </w:rPr>
        <w:t>障及健康保护，也就是《公约》所称的工业安全，不过它还指适当的卫生条例。</w:t>
      </w:r>
    </w:p>
  </w:endnote>
  <w:endnote w:id="6">
    <w:p w:rsidR="00000000" w:rsidRDefault="00844A84">
      <w:pPr>
        <w:pStyle w:val="EndnoteText"/>
      </w:pPr>
      <w:r>
        <w:rPr>
          <w:rStyle w:val="EndnoteReference"/>
        </w:rPr>
        <w:endnoteRef/>
      </w:r>
      <w:r>
        <w:t xml:space="preserve"> </w:t>
      </w:r>
      <w:r>
        <w:rPr>
          <w:rFonts w:hint="eastAsia"/>
        </w:rPr>
        <w:t xml:space="preserve"> </w:t>
      </w:r>
      <w:r>
        <w:rPr>
          <w:rFonts w:hint="eastAsia"/>
        </w:rPr>
        <w:t>见附件图表。</w:t>
      </w:r>
    </w:p>
  </w:endnote>
  <w:endnote w:id="7">
    <w:p w:rsidR="00000000" w:rsidRDefault="00844A84">
      <w:pPr>
        <w:pStyle w:val="EndnoteText"/>
      </w:pPr>
      <w:r>
        <w:rPr>
          <w:rStyle w:val="EndnoteReference"/>
        </w:rPr>
        <w:endnoteRef/>
      </w:r>
      <w:r>
        <w:t xml:space="preserve"> </w:t>
      </w:r>
      <w:r>
        <w:rPr>
          <w:rFonts w:hint="eastAsia"/>
        </w:rPr>
        <w:t xml:space="preserve"> </w:t>
      </w:r>
      <w:r>
        <w:rPr>
          <w:rFonts w:hint="eastAsia"/>
        </w:rPr>
        <w:t>附文</w:t>
      </w:r>
      <w:r>
        <w:t>1</w:t>
      </w:r>
      <w:r>
        <w:rPr>
          <w:rFonts w:hint="eastAsia"/>
        </w:rPr>
        <w:t>图表</w:t>
      </w:r>
      <w:r>
        <w:t>3</w:t>
      </w:r>
      <w:r>
        <w:rPr>
          <w:rFonts w:hint="eastAsia"/>
        </w:rPr>
        <w:t>；见附件。</w:t>
      </w:r>
    </w:p>
  </w:endnote>
  <w:endnote w:id="8">
    <w:p w:rsidR="00000000" w:rsidRDefault="00844A84">
      <w:pPr>
        <w:pStyle w:val="EndnoteText"/>
      </w:pPr>
      <w:r>
        <w:rPr>
          <w:rStyle w:val="EndnoteReference"/>
        </w:rPr>
        <w:endnoteRef/>
      </w:r>
      <w:r>
        <w:t xml:space="preserve"> </w:t>
      </w:r>
      <w:r>
        <w:rPr>
          <w:rFonts w:hint="eastAsia"/>
        </w:rPr>
        <w:t xml:space="preserve"> </w:t>
      </w:r>
      <w:r>
        <w:rPr>
          <w:rFonts w:hint="eastAsia"/>
        </w:rPr>
        <w:t>表</w:t>
      </w:r>
      <w:r>
        <w:t>1</w:t>
      </w:r>
      <w:r>
        <w:rPr>
          <w:rFonts w:hint="eastAsia"/>
        </w:rPr>
        <w:t>。</w:t>
      </w:r>
    </w:p>
  </w:endnote>
  <w:endnote w:id="9">
    <w:p w:rsidR="00000000" w:rsidRDefault="00844A84">
      <w:pPr>
        <w:pStyle w:val="EndnoteText"/>
      </w:pPr>
      <w:r>
        <w:rPr>
          <w:rStyle w:val="EndnoteReference"/>
        </w:rPr>
        <w:endnoteRef/>
      </w:r>
      <w:r>
        <w:t xml:space="preserve"> </w:t>
      </w:r>
      <w:r>
        <w:rPr>
          <w:rFonts w:hint="eastAsia"/>
        </w:rPr>
        <w:t xml:space="preserve"> </w:t>
      </w:r>
      <w:r>
        <w:rPr>
          <w:rFonts w:hint="eastAsia"/>
        </w:rPr>
        <w:t>附文</w:t>
      </w:r>
      <w:r>
        <w:t>2</w:t>
      </w:r>
      <w:r>
        <w:rPr>
          <w:rFonts w:hint="eastAsia"/>
        </w:rPr>
        <w:t>，表</w:t>
      </w:r>
      <w:r>
        <w:t>1</w:t>
      </w:r>
      <w:r>
        <w:rPr>
          <w:rFonts w:hint="eastAsia"/>
        </w:rPr>
        <w:t>。</w:t>
      </w:r>
    </w:p>
  </w:endnote>
  <w:endnote w:id="10">
    <w:p w:rsidR="00000000" w:rsidRDefault="00844A84">
      <w:pPr>
        <w:pStyle w:val="EndnoteText"/>
      </w:pPr>
      <w:r>
        <w:rPr>
          <w:rStyle w:val="EndnoteReference"/>
        </w:rPr>
        <w:endnoteRef/>
      </w:r>
      <w:r>
        <w:t xml:space="preserve"> </w:t>
      </w:r>
      <w:r>
        <w:rPr>
          <w:rFonts w:hint="eastAsia"/>
        </w:rPr>
        <w:t xml:space="preserve"> </w:t>
      </w:r>
      <w:r>
        <w:rPr>
          <w:rFonts w:hint="eastAsia"/>
        </w:rPr>
        <w:t>附文</w:t>
      </w:r>
      <w:r>
        <w:t>2</w:t>
      </w:r>
      <w:r>
        <w:rPr>
          <w:rFonts w:hint="eastAsia"/>
        </w:rPr>
        <w:t>，表</w:t>
      </w:r>
      <w:r>
        <w:t>2</w:t>
      </w:r>
      <w:r>
        <w:rPr>
          <w:rFonts w:hint="eastAsia"/>
        </w:rPr>
        <w:t>；见附件。</w:t>
      </w:r>
    </w:p>
  </w:endnote>
  <w:endnote w:id="11">
    <w:p w:rsidR="00000000" w:rsidRDefault="00844A84">
      <w:pPr>
        <w:pStyle w:val="EndnoteText"/>
      </w:pPr>
      <w:r>
        <w:rPr>
          <w:rStyle w:val="EndnoteReference"/>
        </w:rPr>
        <w:endnoteRef/>
      </w:r>
      <w:r>
        <w:t xml:space="preserve"> </w:t>
      </w:r>
      <w:r>
        <w:rPr>
          <w:rFonts w:hint="eastAsia"/>
        </w:rPr>
        <w:t xml:space="preserve"> </w:t>
      </w:r>
      <w:r>
        <w:rPr>
          <w:rFonts w:hint="eastAsia"/>
        </w:rPr>
        <w:t>附文</w:t>
      </w:r>
      <w:r>
        <w:t>3</w:t>
      </w:r>
      <w:r>
        <w:rPr>
          <w:rFonts w:hint="eastAsia"/>
        </w:rPr>
        <w:t>，图表</w:t>
      </w:r>
      <w:r>
        <w:t>1</w:t>
      </w:r>
      <w:r>
        <w:rPr>
          <w:rFonts w:hint="eastAsia"/>
        </w:rPr>
        <w:t>；见附件。</w:t>
      </w:r>
    </w:p>
  </w:endnote>
  <w:endnote w:id="12">
    <w:p w:rsidR="00000000" w:rsidRDefault="00844A84">
      <w:pPr>
        <w:pStyle w:val="EndnoteText"/>
      </w:pPr>
      <w:r>
        <w:rPr>
          <w:rStyle w:val="EndnoteReference"/>
        </w:rPr>
        <w:endnoteRef/>
      </w:r>
      <w:r>
        <w:t xml:space="preserve"> </w:t>
      </w:r>
      <w:r>
        <w:rPr>
          <w:rFonts w:hint="eastAsia"/>
        </w:rPr>
        <w:t xml:space="preserve"> </w:t>
      </w:r>
      <w:r>
        <w:rPr>
          <w:rFonts w:hint="eastAsia"/>
        </w:rPr>
        <w:t>附文</w:t>
      </w:r>
      <w:r>
        <w:t>6</w:t>
      </w:r>
      <w:r>
        <w:rPr>
          <w:rFonts w:hint="eastAsia"/>
        </w:rPr>
        <w:t>，图表</w:t>
      </w:r>
      <w:r>
        <w:t>9</w:t>
      </w:r>
      <w:r>
        <w:rPr>
          <w:rFonts w:hint="eastAsia"/>
        </w:rPr>
        <w:t>；见附件。</w:t>
      </w:r>
    </w:p>
  </w:endnote>
  <w:endnote w:id="13">
    <w:p w:rsidR="00000000" w:rsidRDefault="00844A84">
      <w:pPr>
        <w:pStyle w:val="EndnoteText"/>
      </w:pPr>
      <w:r>
        <w:rPr>
          <w:rStyle w:val="EndnoteReference"/>
        </w:rPr>
        <w:endnoteRef/>
      </w:r>
      <w:r>
        <w:t xml:space="preserve"> </w:t>
      </w:r>
      <w:r>
        <w:rPr>
          <w:rFonts w:hint="eastAsia"/>
        </w:rPr>
        <w:t xml:space="preserve"> </w:t>
      </w:r>
      <w:r>
        <w:rPr>
          <w:rFonts w:hint="eastAsia"/>
        </w:rPr>
        <w:t>附文</w:t>
      </w:r>
      <w:r>
        <w:t>6</w:t>
      </w:r>
      <w:r>
        <w:rPr>
          <w:rFonts w:hint="eastAsia"/>
        </w:rPr>
        <w:t>，图表</w:t>
      </w:r>
      <w:r>
        <w:t>10</w:t>
      </w:r>
      <w:r>
        <w:rPr>
          <w:rFonts w:hint="eastAsia"/>
        </w:rPr>
        <w:t>；见附件。</w:t>
      </w:r>
    </w:p>
  </w:endnote>
  <w:endnote w:id="14">
    <w:p w:rsidR="00000000" w:rsidRDefault="00844A84">
      <w:pPr>
        <w:pStyle w:val="EndnoteText"/>
      </w:pPr>
      <w:r>
        <w:rPr>
          <w:rStyle w:val="EndnoteReference"/>
        </w:rPr>
        <w:endnoteRef/>
      </w:r>
      <w:r>
        <w:t xml:space="preserve"> </w:t>
      </w:r>
      <w:r>
        <w:rPr>
          <w:rFonts w:hint="eastAsia"/>
        </w:rPr>
        <w:t xml:space="preserve"> </w:t>
      </w:r>
      <w:r>
        <w:rPr>
          <w:rFonts w:hint="eastAsia"/>
        </w:rPr>
        <w:t>附文</w:t>
      </w:r>
      <w:r>
        <w:t>6</w:t>
      </w:r>
      <w:r>
        <w:rPr>
          <w:rFonts w:hint="eastAsia"/>
        </w:rPr>
        <w:t>，图表</w:t>
      </w:r>
      <w:r>
        <w:t>11</w:t>
      </w:r>
      <w:r>
        <w:rPr>
          <w:rFonts w:hint="eastAsia"/>
        </w:rPr>
        <w:t>；见附件。</w:t>
      </w:r>
    </w:p>
  </w:endnote>
  <w:endnote w:id="15">
    <w:p w:rsidR="00000000" w:rsidRDefault="00844A84">
      <w:pPr>
        <w:pStyle w:val="EndnoteText"/>
      </w:pPr>
      <w:r>
        <w:rPr>
          <w:rStyle w:val="EndnoteReference"/>
        </w:rPr>
        <w:endnoteRef/>
      </w:r>
      <w:r>
        <w:t xml:space="preserve"> </w:t>
      </w:r>
      <w:r>
        <w:rPr>
          <w:rFonts w:hint="eastAsia"/>
        </w:rPr>
        <w:t xml:space="preserve"> </w:t>
      </w:r>
      <w:r>
        <w:rPr>
          <w:rFonts w:hint="eastAsia"/>
        </w:rPr>
        <w:t>附文</w:t>
      </w:r>
      <w:r>
        <w:t>7</w:t>
      </w:r>
      <w:r>
        <w:rPr>
          <w:rFonts w:hint="eastAsia"/>
        </w:rPr>
        <w:t>，图表</w:t>
      </w:r>
      <w:r>
        <w:t>12</w:t>
      </w:r>
      <w:r>
        <w:rPr>
          <w:rFonts w:hint="eastAsia"/>
        </w:rPr>
        <w:t>；见附件。</w:t>
      </w:r>
    </w:p>
  </w:endnote>
  <w:endnote w:id="16">
    <w:p w:rsidR="00000000" w:rsidRDefault="00844A84">
      <w:pPr>
        <w:pStyle w:val="EndnoteText"/>
      </w:pPr>
      <w:r>
        <w:rPr>
          <w:rStyle w:val="EndnoteReference"/>
        </w:rPr>
        <w:endnoteRef/>
      </w:r>
      <w:r>
        <w:t xml:space="preserve"> </w:t>
      </w:r>
      <w:r>
        <w:rPr>
          <w:rFonts w:hint="eastAsia"/>
        </w:rPr>
        <w:t xml:space="preserve"> </w:t>
      </w:r>
      <w:r>
        <w:rPr>
          <w:rFonts w:hint="eastAsia"/>
        </w:rPr>
        <w:t>附文</w:t>
      </w:r>
      <w:r>
        <w:t>7</w:t>
      </w:r>
      <w:r>
        <w:rPr>
          <w:rFonts w:hint="eastAsia"/>
        </w:rPr>
        <w:t>，图表</w:t>
      </w:r>
      <w:r>
        <w:t>13</w:t>
      </w:r>
      <w:r>
        <w:rPr>
          <w:rFonts w:hint="eastAsia"/>
        </w:rPr>
        <w:t>；见附件。</w:t>
      </w:r>
    </w:p>
  </w:endnote>
  <w:endnote w:id="17">
    <w:p w:rsidR="00000000" w:rsidRDefault="00844A84">
      <w:pPr>
        <w:pStyle w:val="EndnoteText"/>
      </w:pPr>
      <w:r>
        <w:rPr>
          <w:rStyle w:val="EndnoteReference"/>
        </w:rPr>
        <w:endnoteRef/>
      </w:r>
      <w:r>
        <w:t xml:space="preserve"> </w:t>
      </w:r>
      <w:r>
        <w:rPr>
          <w:rFonts w:hint="eastAsia"/>
        </w:rPr>
        <w:t xml:space="preserve"> </w:t>
      </w:r>
      <w:r>
        <w:rPr>
          <w:rFonts w:hint="eastAsia"/>
        </w:rPr>
        <w:t>附文</w:t>
      </w:r>
      <w:r>
        <w:t>7</w:t>
      </w:r>
      <w:r>
        <w:rPr>
          <w:rFonts w:hint="eastAsia"/>
        </w:rPr>
        <w:t>，图表</w:t>
      </w:r>
      <w:r>
        <w:t>14</w:t>
      </w:r>
      <w:r>
        <w:rPr>
          <w:rFonts w:hint="eastAsia"/>
        </w:rPr>
        <w:t>；见附件。</w:t>
      </w:r>
    </w:p>
  </w:endnote>
  <w:endnote w:id="18">
    <w:p w:rsidR="00000000" w:rsidRDefault="00844A84">
      <w:pPr>
        <w:pStyle w:val="EndnoteText"/>
      </w:pPr>
      <w:r>
        <w:rPr>
          <w:rStyle w:val="EndnoteReference"/>
        </w:rPr>
        <w:endnoteRef/>
      </w:r>
      <w:r>
        <w:t xml:space="preserve"> </w:t>
      </w:r>
      <w:r>
        <w:rPr>
          <w:rFonts w:hint="eastAsia"/>
        </w:rPr>
        <w:t xml:space="preserve"> </w:t>
      </w:r>
      <w:r>
        <w:rPr>
          <w:rFonts w:hint="eastAsia"/>
        </w:rPr>
        <w:t>附文</w:t>
      </w:r>
      <w:r>
        <w:t>3</w:t>
      </w:r>
      <w:r>
        <w:rPr>
          <w:rFonts w:hint="eastAsia"/>
        </w:rPr>
        <w:t>，表</w:t>
      </w:r>
      <w:r>
        <w:t>1</w:t>
      </w:r>
      <w:r>
        <w:rPr>
          <w:rFonts w:hint="eastAsia"/>
        </w:rPr>
        <w:t>；见附件。</w:t>
      </w:r>
    </w:p>
  </w:endnote>
  <w:endnote w:id="19">
    <w:p w:rsidR="00000000" w:rsidRDefault="00844A84">
      <w:pPr>
        <w:pStyle w:val="EndnoteText"/>
      </w:pPr>
      <w:r>
        <w:rPr>
          <w:rStyle w:val="EndnoteReference"/>
        </w:rPr>
        <w:endnoteRef/>
      </w:r>
      <w:r>
        <w:t xml:space="preserve"> </w:t>
      </w:r>
      <w:r>
        <w:rPr>
          <w:rFonts w:hint="eastAsia"/>
        </w:rPr>
        <w:t xml:space="preserve"> </w:t>
      </w:r>
      <w:r>
        <w:rPr>
          <w:rFonts w:hint="eastAsia"/>
        </w:rPr>
        <w:t>附文</w:t>
      </w:r>
      <w:r>
        <w:t>3</w:t>
      </w:r>
      <w:r>
        <w:rPr>
          <w:rFonts w:hint="eastAsia"/>
        </w:rPr>
        <w:t>，图</w:t>
      </w:r>
      <w:r>
        <w:t>2</w:t>
      </w:r>
      <w:r>
        <w:rPr>
          <w:rFonts w:hint="eastAsia"/>
        </w:rPr>
        <w:t>；见附件。</w:t>
      </w:r>
    </w:p>
  </w:endnote>
  <w:endnote w:id="20">
    <w:p w:rsidR="00000000" w:rsidRDefault="00844A84">
      <w:pPr>
        <w:pStyle w:val="EndnoteText"/>
      </w:pPr>
      <w:r>
        <w:rPr>
          <w:rStyle w:val="EndnoteReference"/>
        </w:rPr>
        <w:endnoteRef/>
      </w:r>
      <w:r>
        <w:t xml:space="preserve"> </w:t>
      </w:r>
      <w:r>
        <w:rPr>
          <w:rFonts w:hint="eastAsia"/>
        </w:rPr>
        <w:t xml:space="preserve"> </w:t>
      </w:r>
      <w:r>
        <w:rPr>
          <w:rFonts w:hint="eastAsia"/>
        </w:rPr>
        <w:t>附文</w:t>
      </w:r>
      <w:r>
        <w:t>4</w:t>
      </w:r>
      <w:r>
        <w:rPr>
          <w:rFonts w:hint="eastAsia"/>
        </w:rPr>
        <w:t>，图</w:t>
      </w:r>
      <w:r>
        <w:t xml:space="preserve"> 3</w:t>
      </w:r>
      <w:r>
        <w:rPr>
          <w:rFonts w:hint="eastAsia"/>
        </w:rPr>
        <w:t>；见附件。</w:t>
      </w:r>
    </w:p>
  </w:endnote>
  <w:endnote w:id="21">
    <w:p w:rsidR="00000000" w:rsidRDefault="00844A84">
      <w:pPr>
        <w:pStyle w:val="EndnoteText"/>
      </w:pPr>
      <w:r>
        <w:rPr>
          <w:rStyle w:val="EndnoteReference"/>
        </w:rPr>
        <w:endnoteRef/>
      </w:r>
      <w:r>
        <w:t xml:space="preserve"> </w:t>
      </w:r>
      <w:r>
        <w:rPr>
          <w:rFonts w:hint="eastAsia"/>
        </w:rPr>
        <w:t xml:space="preserve"> </w:t>
      </w:r>
      <w:r>
        <w:rPr>
          <w:rFonts w:hint="eastAsia"/>
        </w:rPr>
        <w:t>附文</w:t>
      </w:r>
      <w:r>
        <w:t>4</w:t>
      </w:r>
      <w:r>
        <w:rPr>
          <w:rFonts w:hint="eastAsia"/>
        </w:rPr>
        <w:t>，图</w:t>
      </w:r>
      <w:r>
        <w:t xml:space="preserve"> 4</w:t>
      </w:r>
      <w:r>
        <w:rPr>
          <w:rFonts w:hint="eastAsia"/>
        </w:rPr>
        <w:t>；见附件。</w:t>
      </w:r>
    </w:p>
  </w:endnote>
  <w:endnote w:id="22">
    <w:p w:rsidR="00000000" w:rsidRDefault="00844A84">
      <w:pPr>
        <w:pStyle w:val="EndnoteText"/>
      </w:pPr>
      <w:r>
        <w:rPr>
          <w:rStyle w:val="EndnoteReference"/>
        </w:rPr>
        <w:endnoteRef/>
      </w:r>
      <w:r>
        <w:t xml:space="preserve"> </w:t>
      </w:r>
      <w:r>
        <w:rPr>
          <w:rFonts w:hint="eastAsia"/>
        </w:rPr>
        <w:t xml:space="preserve"> </w:t>
      </w:r>
      <w:r>
        <w:rPr>
          <w:rFonts w:hint="eastAsia"/>
        </w:rPr>
        <w:t>附文</w:t>
      </w:r>
      <w:r>
        <w:t>4</w:t>
      </w:r>
      <w:r>
        <w:rPr>
          <w:rFonts w:hint="eastAsia"/>
        </w:rPr>
        <w:t>，图</w:t>
      </w:r>
      <w:r>
        <w:t xml:space="preserve"> 5</w:t>
      </w:r>
      <w:r>
        <w:rPr>
          <w:rFonts w:hint="eastAsia"/>
        </w:rPr>
        <w:t>；见附件。</w:t>
      </w:r>
    </w:p>
  </w:endnote>
  <w:endnote w:id="23">
    <w:p w:rsidR="00000000" w:rsidRDefault="00844A84">
      <w:pPr>
        <w:pStyle w:val="EndnoteText"/>
      </w:pPr>
      <w:r>
        <w:rPr>
          <w:rStyle w:val="EndnoteReference"/>
        </w:rPr>
        <w:endnoteRef/>
      </w:r>
      <w:r>
        <w:t xml:space="preserve"> </w:t>
      </w:r>
      <w:r>
        <w:rPr>
          <w:rFonts w:hint="eastAsia"/>
        </w:rPr>
        <w:t xml:space="preserve"> </w:t>
      </w:r>
      <w:r>
        <w:rPr>
          <w:rFonts w:hint="eastAsia"/>
        </w:rPr>
        <w:t>附文</w:t>
      </w:r>
      <w:r>
        <w:t>5</w:t>
      </w:r>
      <w:r>
        <w:rPr>
          <w:rFonts w:hint="eastAsia"/>
        </w:rPr>
        <w:t>，图</w:t>
      </w:r>
      <w:r>
        <w:t xml:space="preserve"> 6</w:t>
      </w:r>
      <w:r>
        <w:rPr>
          <w:rFonts w:hint="eastAsia"/>
        </w:rPr>
        <w:t>；见附件。</w:t>
      </w:r>
    </w:p>
  </w:endnote>
  <w:endnote w:id="24">
    <w:p w:rsidR="00000000" w:rsidRDefault="00844A84">
      <w:pPr>
        <w:pStyle w:val="EndnoteText"/>
      </w:pPr>
      <w:r>
        <w:rPr>
          <w:rStyle w:val="EndnoteReference"/>
        </w:rPr>
        <w:endnoteRef/>
      </w:r>
      <w:r>
        <w:t xml:space="preserve"> </w:t>
      </w:r>
      <w:r>
        <w:rPr>
          <w:rFonts w:hint="eastAsia"/>
        </w:rPr>
        <w:t xml:space="preserve"> </w:t>
      </w:r>
      <w:r>
        <w:rPr>
          <w:rFonts w:hint="eastAsia"/>
        </w:rPr>
        <w:t>附文</w:t>
      </w:r>
      <w:r>
        <w:t>5</w:t>
      </w:r>
      <w:r>
        <w:rPr>
          <w:rFonts w:hint="eastAsia"/>
        </w:rPr>
        <w:t>，图</w:t>
      </w:r>
      <w:r>
        <w:t xml:space="preserve"> 7</w:t>
      </w:r>
      <w:r>
        <w:rPr>
          <w:rFonts w:hint="eastAsia"/>
        </w:rPr>
        <w:t>；见附件。</w:t>
      </w:r>
    </w:p>
  </w:endnote>
  <w:endnote w:id="25">
    <w:p w:rsidR="00000000" w:rsidRDefault="00844A84">
      <w:pPr>
        <w:pStyle w:val="EndnoteText"/>
      </w:pPr>
      <w:r>
        <w:rPr>
          <w:rStyle w:val="EndnoteReference"/>
        </w:rPr>
        <w:endnoteRef/>
      </w:r>
      <w:r>
        <w:t xml:space="preserve"> </w:t>
      </w:r>
      <w:r>
        <w:rPr>
          <w:rFonts w:hint="eastAsia"/>
        </w:rPr>
        <w:t xml:space="preserve"> </w:t>
      </w:r>
      <w:r>
        <w:rPr>
          <w:rFonts w:hint="eastAsia"/>
        </w:rPr>
        <w:t>附文</w:t>
      </w:r>
      <w:r>
        <w:t>5</w:t>
      </w:r>
      <w:r>
        <w:rPr>
          <w:rFonts w:hint="eastAsia"/>
        </w:rPr>
        <w:t>，图</w:t>
      </w:r>
      <w:r>
        <w:t xml:space="preserve"> 8</w:t>
      </w:r>
      <w:r>
        <w:rPr>
          <w:rFonts w:hint="eastAsia"/>
        </w:rPr>
        <w:t>；见附件。</w:t>
      </w:r>
    </w:p>
  </w:endnote>
  <w:endnote w:id="26">
    <w:p w:rsidR="00000000" w:rsidRDefault="00844A84">
      <w:pPr>
        <w:pStyle w:val="EndnoteText"/>
      </w:pPr>
      <w:r>
        <w:rPr>
          <w:rStyle w:val="EndnoteReference"/>
        </w:rPr>
        <w:endnoteRef/>
      </w:r>
      <w:r>
        <w:t xml:space="preserve">  </w:t>
      </w:r>
      <w:r>
        <w:rPr>
          <w:rFonts w:hint="eastAsia"/>
        </w:rPr>
        <w:t>《初等教育法》第</w:t>
      </w:r>
      <w:r>
        <w:rPr>
          <w:rFonts w:hint="eastAsia"/>
        </w:rPr>
        <w:t>40</w:t>
      </w:r>
      <w:r>
        <w:rPr>
          <w:rFonts w:hint="eastAsia"/>
        </w:rPr>
        <w:t>条规定，如果家长未使其子女及时入学，或其子女没有正常上学，应在得到通知后</w:t>
      </w:r>
      <w:r>
        <w:rPr>
          <w:rFonts w:hint="eastAsia"/>
        </w:rPr>
        <w:t>15</w:t>
      </w:r>
      <w:r>
        <w:rPr>
          <w:rFonts w:hint="eastAsia"/>
        </w:rPr>
        <w:t>天内向有关市政当局报告。该法令第</w:t>
      </w:r>
      <w:r>
        <w:rPr>
          <w:rFonts w:hint="eastAsia"/>
        </w:rPr>
        <w:t>44</w:t>
      </w:r>
      <w:r>
        <w:rPr>
          <w:rFonts w:hint="eastAsia"/>
        </w:rPr>
        <w:t>条指出，如果某一学生年满</w:t>
      </w:r>
      <w:r>
        <w:rPr>
          <w:rFonts w:hint="eastAsia"/>
        </w:rPr>
        <w:t>15</w:t>
      </w:r>
      <w:r>
        <w:rPr>
          <w:rFonts w:hint="eastAsia"/>
        </w:rPr>
        <w:t>岁但尚未完成初等教育，在该学生或家长的要求下，学校可按校长的决定，准许该学生继续上学到</w:t>
      </w:r>
      <w:r>
        <w:rPr>
          <w:rFonts w:hint="eastAsia"/>
        </w:rPr>
        <w:t>17</w:t>
      </w:r>
      <w:r>
        <w:rPr>
          <w:rFonts w:hint="eastAsia"/>
        </w:rPr>
        <w:t>岁为止。该条还规定，精神障残学生即使年满</w:t>
      </w:r>
      <w:r>
        <w:rPr>
          <w:rFonts w:hint="eastAsia"/>
        </w:rPr>
        <w:t>19</w:t>
      </w:r>
      <w:r>
        <w:rPr>
          <w:rFonts w:hint="eastAsia"/>
        </w:rPr>
        <w:t>岁后，仍可继续完成初等教育。</w:t>
      </w:r>
    </w:p>
  </w:endnote>
  <w:endnote w:id="27">
    <w:p w:rsidR="00000000" w:rsidRDefault="00844A84">
      <w:pPr>
        <w:pStyle w:val="EndnoteText"/>
        <w:rPr>
          <w:rFonts w:hint="eastAsia"/>
        </w:rPr>
      </w:pPr>
      <w:r>
        <w:rPr>
          <w:rStyle w:val="EndnoteReference"/>
        </w:rPr>
        <w:endnoteRef/>
      </w:r>
      <w:r>
        <w:t xml:space="preserve">  </w:t>
      </w:r>
      <w:r>
        <w:rPr>
          <w:rFonts w:hint="eastAsia"/>
        </w:rPr>
        <w:t>所用统计数字由</w:t>
      </w:r>
      <w:r>
        <w:rPr>
          <w:rFonts w:hint="eastAsia"/>
        </w:rPr>
        <w:t>联邦统计局汇编。</w:t>
      </w:r>
      <w:r>
        <w:t>1991</w:t>
      </w:r>
      <w:r>
        <w:rPr>
          <w:rFonts w:hint="eastAsia"/>
        </w:rPr>
        <w:t>-1992</w:t>
      </w:r>
      <w:r>
        <w:rPr>
          <w:rFonts w:hint="eastAsia"/>
        </w:rPr>
        <w:t>学年以来，有关科索沃和梅托希亚各类学龄儿童的统计资料不详，因此影响了共和国一级的总体百分比。</w:t>
      </w:r>
    </w:p>
  </w:endnote>
  <w:endnote w:id="28">
    <w:p w:rsidR="00000000" w:rsidRDefault="00844A84">
      <w:pPr>
        <w:pStyle w:val="EndnoteText"/>
        <w:rPr>
          <w:rFonts w:hint="eastAsia"/>
        </w:rPr>
      </w:pPr>
      <w:r>
        <w:rPr>
          <w:rStyle w:val="EndnoteReference"/>
        </w:rPr>
        <w:endnoteRef/>
      </w:r>
      <w:r>
        <w:t xml:space="preserve">  </w:t>
      </w:r>
      <w:r>
        <w:rPr>
          <w:rFonts w:hint="eastAsia"/>
        </w:rPr>
        <w:t>《南斯拉夫联盟共和国初等教育深入分析》，儿童基金会，贝尔格莱德，</w:t>
      </w:r>
      <w:r>
        <w:rPr>
          <w:rFonts w:hint="eastAsia"/>
        </w:rPr>
        <w:t>2001</w:t>
      </w:r>
      <w:r>
        <w:rPr>
          <w:rFonts w:hint="eastAsia"/>
        </w:rPr>
        <w:t>年。</w:t>
      </w:r>
    </w:p>
  </w:endnote>
  <w:endnote w:id="29">
    <w:p w:rsidR="00000000" w:rsidRDefault="00844A84">
      <w:pPr>
        <w:pStyle w:val="EndnoteText"/>
      </w:pPr>
      <w:r>
        <w:rPr>
          <w:rStyle w:val="EndnoteReference"/>
        </w:rPr>
        <w:endnoteRef/>
      </w:r>
      <w:r>
        <w:t xml:space="preserve"> </w:t>
      </w:r>
      <w:r>
        <w:rPr>
          <w:rFonts w:hint="eastAsia"/>
        </w:rPr>
        <w:t xml:space="preserve"> 1991</w:t>
      </w:r>
      <w:r>
        <w:rPr>
          <w:rFonts w:hint="eastAsia"/>
        </w:rPr>
        <w:t>年人口调查表明，近三分之二的罗姆族人没有读完小学，罗姆族儿童是没有就读一年级的学龄儿童中人数最多的群体。罗姆族儿童的辍学率最高</w:t>
      </w:r>
      <w:r>
        <w:rPr>
          <w:rFonts w:hint="eastAsia"/>
        </w:rPr>
        <w:t>(</w:t>
      </w:r>
      <w:r>
        <w:rPr>
          <w:rFonts w:hint="eastAsia"/>
        </w:rPr>
        <w:t>在小学高年级更是如此</w:t>
      </w:r>
      <w:r>
        <w:rPr>
          <w:rFonts w:hint="eastAsia"/>
        </w:rPr>
        <w:t>)</w:t>
      </w:r>
      <w:r>
        <w:rPr>
          <w:rFonts w:hint="eastAsia"/>
        </w:rPr>
        <w:t>。在未能实现教育权利方面，人数占第二位的种族群体为瓦拉族人。</w:t>
      </w:r>
      <w:r>
        <w:rPr>
          <w:rFonts w:hint="eastAsia"/>
        </w:rPr>
        <w:t>(1%</w:t>
      </w:r>
      <w:r>
        <w:rPr>
          <w:rFonts w:hint="eastAsia"/>
        </w:rPr>
        <w:t>的罗姆族人自称为瓦拉几族人。精确数字不详。</w:t>
      </w:r>
      <w:r>
        <w:rPr>
          <w:rFonts w:hint="eastAsia"/>
        </w:rPr>
        <w:t>)1991</w:t>
      </w:r>
      <w:r>
        <w:rPr>
          <w:rFonts w:hint="eastAsia"/>
        </w:rPr>
        <w:t>年人口调查表明，近</w:t>
      </w:r>
      <w:r>
        <w:rPr>
          <w:rFonts w:hint="eastAsia"/>
        </w:rPr>
        <w:t>70%</w:t>
      </w:r>
      <w:r>
        <w:rPr>
          <w:rFonts w:hint="eastAsia"/>
        </w:rPr>
        <w:t>的瓦拉几族人没有读完小学。《南斯拉夫联盟共和国初等教育深入分析》，儿童基金会，贝尔格莱德，</w:t>
      </w:r>
      <w:r>
        <w:rPr>
          <w:rFonts w:hint="eastAsia"/>
        </w:rPr>
        <w:t>2001</w:t>
      </w:r>
      <w:r>
        <w:rPr>
          <w:rFonts w:hint="eastAsia"/>
        </w:rPr>
        <w:t>年，第</w:t>
      </w:r>
      <w:r>
        <w:rPr>
          <w:rFonts w:hint="eastAsia"/>
        </w:rPr>
        <w:t>131</w:t>
      </w:r>
      <w:r>
        <w:rPr>
          <w:rFonts w:hint="eastAsia"/>
        </w:rPr>
        <w:t>页。</w:t>
      </w:r>
    </w:p>
  </w:endnote>
  <w:endnote w:id="30">
    <w:p w:rsidR="00000000" w:rsidRDefault="00844A84">
      <w:pPr>
        <w:pStyle w:val="EndnoteText"/>
      </w:pPr>
      <w:r>
        <w:rPr>
          <w:rStyle w:val="EndnoteReference"/>
        </w:rPr>
        <w:endnoteRef/>
      </w:r>
      <w:r>
        <w:rPr>
          <w:rFonts w:hint="eastAsia"/>
        </w:rPr>
        <w:t xml:space="preserve">  </w:t>
      </w:r>
      <w:r>
        <w:rPr>
          <w:rFonts w:hint="eastAsia"/>
        </w:rPr>
        <w:t>《塞尔维亚共和国中等教育法》，《塞尔维亚共和国公报》，第</w:t>
      </w:r>
      <w:r>
        <w:rPr>
          <w:rFonts w:hint="eastAsia"/>
        </w:rPr>
        <w:t>50/1992</w:t>
      </w:r>
      <w:r>
        <w:rPr>
          <w:rFonts w:hint="eastAsia"/>
        </w:rPr>
        <w:t>号。</w:t>
      </w:r>
    </w:p>
  </w:endnote>
  <w:endnote w:id="31">
    <w:p w:rsidR="00000000" w:rsidRDefault="00844A84">
      <w:pPr>
        <w:pStyle w:val="EndnoteText"/>
      </w:pPr>
      <w:r>
        <w:rPr>
          <w:rStyle w:val="EndnoteReference"/>
        </w:rPr>
        <w:endnoteRef/>
      </w:r>
      <w:r>
        <w:t xml:space="preserve"> </w:t>
      </w:r>
      <w:r>
        <w:rPr>
          <w:rFonts w:hint="eastAsia"/>
        </w:rPr>
        <w:t xml:space="preserve"> </w:t>
      </w:r>
      <w:r>
        <w:rPr>
          <w:rFonts w:hint="eastAsia"/>
        </w:rPr>
        <w:t>《人人接受优质教育：通往发达社会之路》，塞尔维亚共和国教育和体育部，贝尔格莱德，</w:t>
      </w:r>
      <w:r>
        <w:rPr>
          <w:rFonts w:hint="eastAsia"/>
        </w:rPr>
        <w:t>2002</w:t>
      </w:r>
      <w:r>
        <w:rPr>
          <w:rFonts w:hint="eastAsia"/>
        </w:rPr>
        <w:t>年，第</w:t>
      </w:r>
      <w:r>
        <w:rPr>
          <w:rFonts w:hint="eastAsia"/>
        </w:rPr>
        <w:t>261</w:t>
      </w:r>
      <w:r>
        <w:rPr>
          <w:rFonts w:hint="eastAsia"/>
        </w:rPr>
        <w:t>页。</w:t>
      </w:r>
    </w:p>
  </w:endnote>
  <w:endnote w:id="32">
    <w:p w:rsidR="00000000" w:rsidRDefault="00844A84">
      <w:pPr>
        <w:pStyle w:val="EndnoteText"/>
      </w:pPr>
      <w:r>
        <w:rPr>
          <w:rStyle w:val="EndnoteReference"/>
        </w:rPr>
        <w:endnoteRef/>
      </w:r>
      <w:r>
        <w:t xml:space="preserve"> </w:t>
      </w:r>
      <w:r>
        <w:rPr>
          <w:rFonts w:hint="eastAsia"/>
        </w:rPr>
        <w:t xml:space="preserve"> </w:t>
      </w:r>
      <w:r>
        <w:rPr>
          <w:rFonts w:hint="eastAsia"/>
        </w:rPr>
        <w:t>《塞尔维亚中等教育经济成本》，经济学院研究中心，贝尔格莱德，</w:t>
      </w:r>
      <w:r>
        <w:rPr>
          <w:rFonts w:hint="eastAsia"/>
        </w:rPr>
        <w:t>2002</w:t>
      </w:r>
      <w:r>
        <w:rPr>
          <w:rFonts w:hint="eastAsia"/>
        </w:rPr>
        <w:t>年，第</w:t>
      </w:r>
      <w:r>
        <w:rPr>
          <w:rFonts w:hint="eastAsia"/>
        </w:rPr>
        <w:t>21-81</w:t>
      </w:r>
      <w:r>
        <w:rPr>
          <w:rFonts w:hint="eastAsia"/>
        </w:rPr>
        <w:t>页。</w:t>
      </w:r>
    </w:p>
  </w:endnote>
  <w:endnote w:id="33">
    <w:p w:rsidR="00000000" w:rsidRDefault="00844A84">
      <w:pPr>
        <w:pStyle w:val="EndnoteText"/>
      </w:pPr>
      <w:r>
        <w:rPr>
          <w:rStyle w:val="EndnoteReference"/>
        </w:rPr>
        <w:endnoteRef/>
      </w:r>
      <w:r>
        <w:t xml:space="preserve"> </w:t>
      </w:r>
      <w:r>
        <w:rPr>
          <w:rFonts w:hint="eastAsia"/>
        </w:rPr>
        <w:t xml:space="preserve"> </w:t>
      </w:r>
      <w:r>
        <w:t>“</w:t>
      </w:r>
      <w:r>
        <w:rPr>
          <w:rFonts w:hint="eastAsia"/>
        </w:rPr>
        <w:t>入学程序没有统一规定：每所高等院校由本身的考试委员会负责入学考试。考试包括一至两项书面测试或</w:t>
      </w:r>
      <w:r>
        <w:rPr>
          <w:rFonts w:hint="eastAsia"/>
        </w:rPr>
        <w:t>有关研究领域相关主题的短文。这些考试具有淘汰性质，合格的考生必须达到满分的</w:t>
      </w:r>
      <w:r>
        <w:t>30%</w:t>
      </w:r>
      <w:r>
        <w:rPr>
          <w:rFonts w:hint="eastAsia"/>
        </w:rPr>
        <w:t>，才有资格成为自费生，达到满分的</w:t>
      </w:r>
      <w:r>
        <w:t>50%</w:t>
      </w:r>
      <w:r>
        <w:rPr>
          <w:rFonts w:hint="eastAsia"/>
        </w:rPr>
        <w:t>才能作为公费生入学。入学优先次序名单按入学考试成绩的</w:t>
      </w:r>
      <w:r>
        <w:t>60</w:t>
      </w:r>
      <w:r>
        <w:rPr>
          <w:rFonts w:hint="eastAsia"/>
        </w:rPr>
        <w:t>%</w:t>
      </w:r>
      <w:r>
        <w:rPr>
          <w:rFonts w:hint="eastAsia"/>
        </w:rPr>
        <w:t>和四年中等教育平均成绩的</w:t>
      </w:r>
      <w:r>
        <w:t>40%</w:t>
      </w:r>
      <w:r>
        <w:rPr>
          <w:rFonts w:hint="eastAsia"/>
        </w:rPr>
        <w:t>综合确定。”</w:t>
      </w:r>
      <w:r>
        <w:rPr>
          <w:rFonts w:hint="eastAsia"/>
        </w:rPr>
        <w:t>(</w:t>
      </w:r>
      <w:r>
        <w:rPr>
          <w:rFonts w:hint="eastAsia"/>
        </w:rPr>
        <w:t>《人人接受优质教育：通往发达社会之路》，塞尔维亚共和国教育和体育部，贝尔格莱德，</w:t>
      </w:r>
      <w:r>
        <w:rPr>
          <w:rFonts w:hint="eastAsia"/>
        </w:rPr>
        <w:t>2002</w:t>
      </w:r>
      <w:r>
        <w:rPr>
          <w:rFonts w:hint="eastAsia"/>
        </w:rPr>
        <w:t>年，第</w:t>
      </w:r>
      <w:r>
        <w:rPr>
          <w:rFonts w:hint="eastAsia"/>
        </w:rPr>
        <w:t>294</w:t>
      </w:r>
      <w:r>
        <w:rPr>
          <w:rFonts w:hint="eastAsia"/>
        </w:rPr>
        <w:t>页</w:t>
      </w:r>
      <w:r>
        <w:rPr>
          <w:rFonts w:hint="eastAsia"/>
        </w:rPr>
        <w:t>)</w:t>
      </w:r>
      <w:r>
        <w:rPr>
          <w:rFonts w:hint="eastAsia"/>
        </w:rPr>
        <w:t>。</w:t>
      </w:r>
    </w:p>
  </w:endnote>
  <w:endnote w:id="34">
    <w:p w:rsidR="00000000" w:rsidRDefault="00844A84">
      <w:pPr>
        <w:pStyle w:val="EndnoteText"/>
      </w:pPr>
      <w:r>
        <w:rPr>
          <w:rStyle w:val="EndnoteReference"/>
        </w:rPr>
        <w:endnoteRef/>
      </w:r>
      <w:r>
        <w:rPr>
          <w:rFonts w:hint="eastAsia"/>
        </w:rPr>
        <w:t xml:space="preserve">  </w:t>
      </w:r>
      <w:r>
        <w:rPr>
          <w:rFonts w:hint="eastAsia"/>
        </w:rPr>
        <w:t>同上。</w:t>
      </w:r>
    </w:p>
  </w:endnote>
  <w:endnote w:id="35">
    <w:p w:rsidR="00000000" w:rsidRDefault="00844A84">
      <w:pPr>
        <w:pStyle w:val="EndnoteText"/>
      </w:pPr>
      <w:r>
        <w:rPr>
          <w:rStyle w:val="EndnoteReference"/>
        </w:rPr>
        <w:endnoteRef/>
      </w:r>
      <w:r>
        <w:rPr>
          <w:rFonts w:hint="eastAsia"/>
        </w:rPr>
        <w:t xml:space="preserve">  </w:t>
      </w:r>
      <w:r>
        <w:rPr>
          <w:rFonts w:hint="eastAsia"/>
        </w:rPr>
        <w:t>同上，第</w:t>
      </w:r>
      <w:r>
        <w:rPr>
          <w:rFonts w:hint="eastAsia"/>
        </w:rPr>
        <w:t>300-301</w:t>
      </w:r>
      <w:r>
        <w:rPr>
          <w:rFonts w:hint="eastAsia"/>
        </w:rPr>
        <w:t>页。</w:t>
      </w:r>
    </w:p>
  </w:endnote>
  <w:endnote w:id="36">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297</w:t>
      </w:r>
      <w:r>
        <w:rPr>
          <w:rFonts w:hint="eastAsia"/>
        </w:rPr>
        <w:t>页。</w:t>
      </w:r>
    </w:p>
  </w:endnote>
  <w:endnote w:id="37">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324</w:t>
      </w:r>
      <w:r>
        <w:rPr>
          <w:rFonts w:hint="eastAsia"/>
        </w:rPr>
        <w:t>页。</w:t>
      </w:r>
    </w:p>
  </w:endnote>
  <w:endnote w:id="38">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242</w:t>
      </w:r>
      <w:r>
        <w:rPr>
          <w:rFonts w:hint="eastAsia"/>
        </w:rPr>
        <w:t>页。</w:t>
      </w:r>
    </w:p>
  </w:endnote>
  <w:endnote w:id="39">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32</w:t>
      </w:r>
      <w:r>
        <w:rPr>
          <w:rFonts w:hint="eastAsia"/>
        </w:rPr>
        <w:t>页。</w:t>
      </w:r>
    </w:p>
  </w:endnote>
  <w:endnote w:id="40">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表</w:t>
      </w:r>
      <w:r>
        <w:rPr>
          <w:rFonts w:hint="eastAsia"/>
        </w:rPr>
        <w:t xml:space="preserve">1, </w:t>
      </w:r>
      <w:r>
        <w:rPr>
          <w:rFonts w:hint="eastAsia"/>
        </w:rPr>
        <w:t>见附件。</w:t>
      </w:r>
    </w:p>
  </w:endnote>
  <w:endnote w:id="41">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《南</w:t>
      </w:r>
      <w:r>
        <w:rPr>
          <w:rFonts w:hint="eastAsia"/>
        </w:rPr>
        <w:t>斯拉夫联盟共和国初等教育深入分析》，儿童基金会，贝尔格莱德，</w:t>
      </w:r>
      <w:r>
        <w:rPr>
          <w:rFonts w:hint="eastAsia"/>
        </w:rPr>
        <w:t>2001</w:t>
      </w:r>
      <w:r>
        <w:rPr>
          <w:rFonts w:hint="eastAsia"/>
        </w:rPr>
        <w:t>年，第</w:t>
      </w:r>
      <w:r>
        <w:rPr>
          <w:rFonts w:hint="eastAsia"/>
        </w:rPr>
        <w:t>37</w:t>
      </w:r>
      <w:r>
        <w:rPr>
          <w:rFonts w:hint="eastAsia"/>
        </w:rPr>
        <w:t>页。</w:t>
      </w:r>
    </w:p>
  </w:endnote>
  <w:endnote w:id="42">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表</w:t>
      </w:r>
      <w:r>
        <w:rPr>
          <w:rFonts w:hint="eastAsia"/>
        </w:rPr>
        <w:t xml:space="preserve">2, </w:t>
      </w:r>
      <w:r>
        <w:rPr>
          <w:rFonts w:hint="eastAsia"/>
        </w:rPr>
        <w:t>见附件。</w:t>
      </w:r>
    </w:p>
  </w:endnote>
  <w:endnote w:id="43">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t>67</w:t>
      </w:r>
      <w:r>
        <w:rPr>
          <w:rFonts w:hint="eastAsia"/>
        </w:rPr>
        <w:t>页。</w:t>
      </w:r>
    </w:p>
  </w:endnote>
  <w:endnote w:id="44">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儿童基金会对南斯拉夫联盟共和国教育系统的分析表明，</w:t>
      </w:r>
      <w:r>
        <w:rPr>
          <w:rFonts w:hint="eastAsia"/>
        </w:rPr>
        <w:t>1990/</w:t>
      </w:r>
      <w:r>
        <w:t>1991</w:t>
      </w:r>
      <w:r>
        <w:rPr>
          <w:rFonts w:hint="eastAsia"/>
        </w:rPr>
        <w:t>学年读完五年级的学生平均为</w:t>
      </w:r>
      <w:r>
        <w:t>95%</w:t>
      </w:r>
      <w:r>
        <w:rPr>
          <w:rFonts w:hint="eastAsia"/>
        </w:rPr>
        <w:t>，而读完其他年级的学生平均超过</w:t>
      </w:r>
      <w:r>
        <w:rPr>
          <w:rFonts w:hint="eastAsia"/>
        </w:rPr>
        <w:t>97%</w:t>
      </w:r>
      <w:r>
        <w:rPr>
          <w:rFonts w:hint="eastAsia"/>
        </w:rPr>
        <w:t>。</w:t>
      </w:r>
      <w:r>
        <w:rPr>
          <w:rFonts w:hint="eastAsia"/>
        </w:rPr>
        <w:t>1995/1996</w:t>
      </w:r>
      <w:r>
        <w:rPr>
          <w:rFonts w:hint="eastAsia"/>
        </w:rPr>
        <w:t>学年这一百分比超过</w:t>
      </w:r>
      <w:r>
        <w:t>65%</w:t>
      </w:r>
      <w:r>
        <w:rPr>
          <w:rFonts w:hint="eastAsia"/>
        </w:rPr>
        <w:t>，但读完其他年级学生的百分比超过</w:t>
      </w:r>
      <w:r>
        <w:rPr>
          <w:rFonts w:hint="eastAsia"/>
        </w:rPr>
        <w:t>98%</w:t>
      </w:r>
      <w:r>
        <w:rPr>
          <w:rFonts w:hint="eastAsia"/>
        </w:rPr>
        <w:t>。</w:t>
      </w:r>
      <w:r>
        <w:rPr>
          <w:rFonts w:hint="eastAsia"/>
        </w:rPr>
        <w:t>1998/1999</w:t>
      </w:r>
      <w:r>
        <w:rPr>
          <w:rFonts w:hint="eastAsia"/>
        </w:rPr>
        <w:t>学年，这一百分比超过</w:t>
      </w:r>
      <w:r>
        <w:rPr>
          <w:rFonts w:hint="eastAsia"/>
        </w:rPr>
        <w:t>98%</w:t>
      </w:r>
      <w:r>
        <w:rPr>
          <w:rFonts w:hint="eastAsia"/>
        </w:rPr>
        <w:t>，而读完其他年级学生的百分比则超过</w:t>
      </w:r>
      <w:r>
        <w:rPr>
          <w:rFonts w:hint="eastAsia"/>
        </w:rPr>
        <w:t>99%(</w:t>
      </w:r>
      <w:r>
        <w:rPr>
          <w:rFonts w:hint="eastAsia"/>
        </w:rPr>
        <w:t>《初等教育系统分析》，儿童基金会，贝尔格莱德，</w:t>
      </w:r>
      <w:r>
        <w:rPr>
          <w:rFonts w:hint="eastAsia"/>
        </w:rPr>
        <w:t>2001</w:t>
      </w:r>
      <w:r>
        <w:rPr>
          <w:rFonts w:hint="eastAsia"/>
        </w:rPr>
        <w:t>年，第</w:t>
      </w:r>
      <w:r>
        <w:rPr>
          <w:rFonts w:hint="eastAsia"/>
        </w:rPr>
        <w:t>102</w:t>
      </w:r>
      <w:r>
        <w:rPr>
          <w:rFonts w:hint="eastAsia"/>
        </w:rPr>
        <w:t>页</w:t>
      </w:r>
      <w:r>
        <w:rPr>
          <w:rFonts w:hint="eastAsia"/>
        </w:rPr>
        <w:t>)</w:t>
      </w:r>
      <w:r>
        <w:rPr>
          <w:rFonts w:hint="eastAsia"/>
        </w:rPr>
        <w:t>。</w:t>
      </w:r>
    </w:p>
  </w:endnote>
  <w:endnote w:id="45">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67</w:t>
      </w:r>
      <w:r>
        <w:rPr>
          <w:rFonts w:hint="eastAsia"/>
        </w:rPr>
        <w:t>页。</w:t>
      </w:r>
    </w:p>
  </w:endnote>
  <w:endnote w:id="46">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这类儿童包括收容中心的难民儿童和国内流离失所儿童。例如，多指标类集调查于</w:t>
      </w:r>
      <w:r>
        <w:rPr>
          <w:rFonts w:hint="eastAsia"/>
        </w:rPr>
        <w:t>2000</w:t>
      </w:r>
      <w:r>
        <w:rPr>
          <w:rFonts w:hint="eastAsia"/>
        </w:rPr>
        <w:t>年进行的调查显示，这些儿童的总入学率为</w:t>
      </w:r>
      <w:r>
        <w:rPr>
          <w:rFonts w:hint="eastAsia"/>
        </w:rPr>
        <w:t>92.3%(</w:t>
      </w:r>
      <w:r>
        <w:rPr>
          <w:rFonts w:hint="eastAsia"/>
        </w:rPr>
        <w:t>全国平均入学率为</w:t>
      </w:r>
      <w:r>
        <w:t>97.4%</w:t>
      </w:r>
      <w:r>
        <w:rPr>
          <w:rFonts w:hint="eastAsia"/>
        </w:rPr>
        <w:t>)</w:t>
      </w:r>
      <w:r>
        <w:rPr>
          <w:rFonts w:hint="eastAsia"/>
        </w:rPr>
        <w:t>。截至</w:t>
      </w:r>
      <w:r>
        <w:rPr>
          <w:rFonts w:hint="eastAsia"/>
        </w:rPr>
        <w:t>2001</w:t>
      </w:r>
      <w:r>
        <w:rPr>
          <w:rFonts w:hint="eastAsia"/>
        </w:rPr>
        <w:t>年</w:t>
      </w:r>
      <w:r>
        <w:rPr>
          <w:rFonts w:hint="eastAsia"/>
        </w:rPr>
        <w:t>6</w:t>
      </w:r>
      <w:r>
        <w:rPr>
          <w:rFonts w:hint="eastAsia"/>
        </w:rPr>
        <w:t>月，有</w:t>
      </w:r>
      <w:r>
        <w:rPr>
          <w:rFonts w:hint="eastAsia"/>
        </w:rPr>
        <w:t>28,900</w:t>
      </w:r>
      <w:r>
        <w:rPr>
          <w:rFonts w:hint="eastAsia"/>
        </w:rPr>
        <w:t>名难民和</w:t>
      </w:r>
      <w:r>
        <w:rPr>
          <w:rFonts w:hint="eastAsia"/>
        </w:rPr>
        <w:t>16,900</w:t>
      </w:r>
      <w:r>
        <w:rPr>
          <w:rFonts w:hint="eastAsia"/>
        </w:rPr>
        <w:t>名国内流离失所者在收容机构生活。考虑到这一群体的年龄结构与全国类似，估计收容中心有近</w:t>
      </w:r>
      <w:r>
        <w:rPr>
          <w:rFonts w:hint="eastAsia"/>
        </w:rPr>
        <w:t>5,000</w:t>
      </w:r>
      <w:r>
        <w:rPr>
          <w:rFonts w:hint="eastAsia"/>
        </w:rPr>
        <w:t>名学龄儿童；其中可能有</w:t>
      </w:r>
      <w:r>
        <w:rPr>
          <w:rFonts w:hint="eastAsia"/>
        </w:rPr>
        <w:t>400</w:t>
      </w:r>
      <w:r>
        <w:rPr>
          <w:rFonts w:hint="eastAsia"/>
        </w:rPr>
        <w:t>名儿童没有上学。</w:t>
      </w:r>
      <w:r>
        <w:rPr>
          <w:rFonts w:hint="eastAsia"/>
        </w:rPr>
        <w:t>(</w:t>
      </w:r>
      <w:r>
        <w:rPr>
          <w:rFonts w:hint="eastAsia"/>
        </w:rPr>
        <w:t>《南斯拉夫联盟共和国初等教育深入分析》，儿童基金会，贝尔格莱德，</w:t>
      </w:r>
      <w:r>
        <w:rPr>
          <w:rFonts w:hint="eastAsia"/>
        </w:rPr>
        <w:t>2001</w:t>
      </w:r>
      <w:r>
        <w:rPr>
          <w:rFonts w:hint="eastAsia"/>
        </w:rPr>
        <w:t>年，第</w:t>
      </w:r>
      <w:r>
        <w:rPr>
          <w:rFonts w:hint="eastAsia"/>
        </w:rPr>
        <w:t>103</w:t>
      </w:r>
      <w:r>
        <w:rPr>
          <w:rFonts w:hint="eastAsia"/>
        </w:rPr>
        <w:t>页。</w:t>
      </w:r>
      <w:r>
        <w:rPr>
          <w:rFonts w:hint="eastAsia"/>
        </w:rPr>
        <w:t>)</w:t>
      </w:r>
    </w:p>
  </w:endnote>
  <w:endnote w:id="47">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表</w:t>
      </w:r>
      <w:r>
        <w:rPr>
          <w:rFonts w:hint="eastAsia"/>
        </w:rPr>
        <w:t xml:space="preserve">17, </w:t>
      </w:r>
      <w:r>
        <w:rPr>
          <w:rFonts w:hint="eastAsia"/>
        </w:rPr>
        <w:t>附件。</w:t>
      </w:r>
    </w:p>
  </w:endnote>
  <w:endnote w:id="48">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spacing w:val="6"/>
        </w:rPr>
        <w:t>《塞尔维亚中等教育经济成本》，经济学院，研究中心，贝尔格莱德，</w:t>
      </w:r>
      <w:r>
        <w:rPr>
          <w:rFonts w:hint="eastAsia"/>
          <w:spacing w:val="6"/>
        </w:rPr>
        <w:t>2002</w:t>
      </w:r>
      <w:r>
        <w:rPr>
          <w:rFonts w:hint="eastAsia"/>
          <w:spacing w:val="6"/>
        </w:rPr>
        <w:t>年。</w:t>
      </w:r>
    </w:p>
  </w:endnote>
  <w:endnote w:id="49">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表</w:t>
      </w:r>
      <w:r>
        <w:rPr>
          <w:rFonts w:hint="eastAsia"/>
        </w:rPr>
        <w:t xml:space="preserve">18, </w:t>
      </w:r>
      <w:r>
        <w:rPr>
          <w:rFonts w:hint="eastAsia"/>
        </w:rPr>
        <w:t>附件。</w:t>
      </w:r>
    </w:p>
  </w:endnote>
  <w:endnote w:id="50">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表</w:t>
      </w:r>
      <w:r>
        <w:rPr>
          <w:rFonts w:hint="eastAsia"/>
        </w:rPr>
        <w:t xml:space="preserve">19, </w:t>
      </w:r>
      <w:r>
        <w:rPr>
          <w:rFonts w:hint="eastAsia"/>
        </w:rPr>
        <w:t>附件。</w:t>
      </w:r>
    </w:p>
  </w:endnote>
  <w:endnote w:id="51">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《勇敢的新一代；南斯拉夫共和国的青年，事实和建议》，儿童基金会驻贝尔格莱德办事处，贝尔格莱德，</w:t>
      </w:r>
      <w:r>
        <w:rPr>
          <w:rFonts w:hint="eastAsia"/>
        </w:rPr>
        <w:t>2002</w:t>
      </w:r>
      <w:r>
        <w:rPr>
          <w:rFonts w:hint="eastAsia"/>
        </w:rPr>
        <w:t>年，第</w:t>
      </w:r>
      <w:r>
        <w:rPr>
          <w:rFonts w:hint="eastAsia"/>
        </w:rPr>
        <w:t>49</w:t>
      </w:r>
      <w:r>
        <w:rPr>
          <w:rFonts w:hint="eastAsia"/>
        </w:rPr>
        <w:t>页。</w:t>
      </w:r>
    </w:p>
  </w:endnote>
  <w:endnote w:id="52">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《南斯拉夫联盟共和国初等教育深入分析》，儿童基金会，贝尔格莱德，</w:t>
      </w:r>
      <w:r>
        <w:rPr>
          <w:rFonts w:hint="eastAsia"/>
        </w:rPr>
        <w:t>2001</w:t>
      </w:r>
      <w:r>
        <w:rPr>
          <w:rFonts w:hint="eastAsia"/>
        </w:rPr>
        <w:t>年。</w:t>
      </w:r>
    </w:p>
  </w:endnote>
  <w:endnote w:id="53">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儿童基金会进行的《南斯拉夫联盟共和国初等教育深入分析》的结果表明，“很多罗姆族儿童在特殊学校上学。官方没有提供这方面的统计数字，但一些统计数据表明，这些学校的学生中，罗姆族儿</w:t>
      </w:r>
      <w:r>
        <w:rPr>
          <w:rFonts w:hint="eastAsia"/>
        </w:rPr>
        <w:t>童占</w:t>
      </w:r>
      <w:r>
        <w:t>50</w:t>
      </w:r>
      <w:r>
        <w:rPr>
          <w:rFonts w:hint="eastAsia"/>
        </w:rPr>
        <w:t>－</w:t>
      </w:r>
      <w:r>
        <w:t>80%</w:t>
      </w:r>
      <w:r>
        <w:rPr>
          <w:rFonts w:hint="eastAsia"/>
        </w:rPr>
        <w:t>。即使已在正规学校上学的罗姆族儿童后来也往往被转到特殊学校上学，因为他们难以达到留在正规学校的必要条件</w:t>
      </w:r>
      <w:r>
        <w:t>…</w:t>
      </w:r>
      <w:r>
        <w:rPr>
          <w:rFonts w:hint="eastAsia"/>
        </w:rPr>
        <w:t>...</w:t>
      </w:r>
      <w:r>
        <w:rPr>
          <w:rFonts w:hint="eastAsia"/>
        </w:rPr>
        <w:t>”，同上，第</w:t>
      </w:r>
      <w:r>
        <w:rPr>
          <w:rFonts w:hint="eastAsia"/>
        </w:rPr>
        <w:t>95</w:t>
      </w:r>
      <w:r>
        <w:rPr>
          <w:rFonts w:hint="eastAsia"/>
        </w:rPr>
        <w:t>页。</w:t>
      </w:r>
    </w:p>
  </w:endnote>
  <w:endnote w:id="54">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95</w:t>
      </w:r>
      <w:r>
        <w:rPr>
          <w:rFonts w:hint="eastAsia"/>
        </w:rPr>
        <w:t>页。</w:t>
      </w:r>
    </w:p>
  </w:endnote>
  <w:endnote w:id="55">
    <w:p w:rsidR="00000000" w:rsidRDefault="00844A84">
      <w:pPr>
        <w:pStyle w:val="EndnoteText"/>
      </w:pPr>
      <w:r>
        <w:rPr>
          <w:rStyle w:val="EndnoteReference"/>
        </w:rPr>
        <w:endnoteRef/>
      </w:r>
      <w:r>
        <w:rPr>
          <w:rFonts w:hint="eastAsia"/>
        </w:rPr>
        <w:t xml:space="preserve">  </w:t>
      </w:r>
      <w:r>
        <w:rPr>
          <w:rFonts w:hint="eastAsia"/>
        </w:rPr>
        <w:t>同上，第</w:t>
      </w:r>
      <w:r>
        <w:rPr>
          <w:rFonts w:hint="eastAsia"/>
        </w:rPr>
        <w:t>96</w:t>
      </w:r>
      <w:r>
        <w:rPr>
          <w:rFonts w:hint="eastAsia"/>
        </w:rPr>
        <w:t>页。</w:t>
      </w:r>
    </w:p>
  </w:endnote>
  <w:endnote w:id="56">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表</w:t>
      </w:r>
      <w:r>
        <w:rPr>
          <w:rFonts w:hint="eastAsia"/>
        </w:rPr>
        <w:t>22</w:t>
      </w:r>
      <w:r>
        <w:rPr>
          <w:rFonts w:hint="eastAsia"/>
        </w:rPr>
        <w:t>。</w:t>
      </w:r>
    </w:p>
  </w:endnote>
  <w:endnote w:id="57">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一些科目</w:t>
      </w:r>
      <w:r>
        <w:rPr>
          <w:rFonts w:hint="eastAsia"/>
        </w:rPr>
        <w:t>(</w:t>
      </w:r>
      <w:r>
        <w:rPr>
          <w:rFonts w:hint="eastAsia"/>
        </w:rPr>
        <w:t>如一些有关民族的科目</w:t>
      </w:r>
      <w:r>
        <w:rPr>
          <w:rFonts w:hint="eastAsia"/>
        </w:rPr>
        <w:t>)</w:t>
      </w:r>
      <w:r>
        <w:rPr>
          <w:rFonts w:hint="eastAsia"/>
        </w:rPr>
        <w:t>以母语教学，另一些则以塞尔维亚语教学。</w:t>
      </w:r>
    </w:p>
  </w:endnote>
  <w:endnote w:id="58">
    <w:p w:rsidR="00000000" w:rsidRDefault="00844A84">
      <w:pPr>
        <w:pStyle w:val="EndnoteText"/>
        <w:rPr>
          <w:rFonts w:hint="eastAsia"/>
        </w:rPr>
      </w:pPr>
      <w:r>
        <w:rPr>
          <w:rStyle w:val="EndnoteReference"/>
        </w:rPr>
        <w:endnoteRef/>
      </w:r>
      <w:r>
        <w:t xml:space="preserve"> </w:t>
      </w:r>
      <w:r>
        <w:rPr>
          <w:rFonts w:hint="eastAsia"/>
        </w:rPr>
        <w:t xml:space="preserve"> 2002</w:t>
      </w:r>
      <w:r>
        <w:rPr>
          <w:rFonts w:hint="eastAsia"/>
        </w:rPr>
        <w:t>年起，罗姆族和瓦拉几族已获得少数族裔地位。</w:t>
      </w:r>
    </w:p>
  </w:endnote>
  <w:endnote w:id="59">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在伏伊伏丁那，《宪法》及各项适用法律保障的权利多数得到了可靠的实施。例如，该省除塞尔维亚语外，作为官方语言平等使用的还有匈牙利语、斯洛伐克语、罗马尼亚语、鲁塞</w:t>
      </w:r>
      <w:r>
        <w:rPr>
          <w:rFonts w:hint="eastAsia"/>
        </w:rPr>
        <w:t>尼亚语和捷克语。在伏伊伏丁那省的</w:t>
      </w:r>
      <w:r>
        <w:rPr>
          <w:rFonts w:hint="eastAsia"/>
        </w:rPr>
        <w:t>45</w:t>
      </w:r>
      <w:r>
        <w:rPr>
          <w:rFonts w:hint="eastAsia"/>
        </w:rPr>
        <w:t>个市镇中，与塞尔维亚语一起用作官方语言的市镇，匈牙利语占</w:t>
      </w:r>
      <w:r>
        <w:rPr>
          <w:rFonts w:hint="eastAsia"/>
        </w:rPr>
        <w:t>31</w:t>
      </w:r>
      <w:r>
        <w:rPr>
          <w:rFonts w:hint="eastAsia"/>
        </w:rPr>
        <w:t>个；斯洛伐克语占</w:t>
      </w:r>
      <w:r>
        <w:rPr>
          <w:rFonts w:hint="eastAsia"/>
        </w:rPr>
        <w:t>12</w:t>
      </w:r>
      <w:r>
        <w:rPr>
          <w:rFonts w:hint="eastAsia"/>
        </w:rPr>
        <w:t>个；罗马尼亚语占</w:t>
      </w:r>
      <w:r>
        <w:rPr>
          <w:rFonts w:hint="eastAsia"/>
        </w:rPr>
        <w:t>10</w:t>
      </w:r>
      <w:r>
        <w:rPr>
          <w:rFonts w:hint="eastAsia"/>
        </w:rPr>
        <w:t>个、鲁塞尼亚语占</w:t>
      </w:r>
      <w:r>
        <w:rPr>
          <w:rFonts w:hint="eastAsia"/>
        </w:rPr>
        <w:t>6</w:t>
      </w:r>
      <w:r>
        <w:rPr>
          <w:rFonts w:hint="eastAsia"/>
        </w:rPr>
        <w:t>个，捷克语占一个。匈牙利、斯洛伐克、罗马尼亚或鲁塞尼亚少数族裔的人可以自己的语言接受从小学直到大学的教育，并满足他们在信息和文化方面的需求</w:t>
      </w:r>
      <w:r>
        <w:rPr>
          <w:rFonts w:hint="eastAsia"/>
        </w:rPr>
        <w:t>(</w:t>
      </w:r>
      <w:r>
        <w:rPr>
          <w:rFonts w:hint="eastAsia"/>
        </w:rPr>
        <w:t>《塞尔维亚少数族裔》，赫尔辛基人权委员会，贝尔格莱德，</w:t>
      </w:r>
      <w:r>
        <w:rPr>
          <w:rFonts w:hint="eastAsia"/>
        </w:rPr>
        <w:t>2000</w:t>
      </w:r>
      <w:r>
        <w:rPr>
          <w:rFonts w:hint="eastAsia"/>
        </w:rPr>
        <w:t>年，第</w:t>
      </w:r>
      <w:r>
        <w:rPr>
          <w:rFonts w:hint="eastAsia"/>
        </w:rPr>
        <w:t>17</w:t>
      </w:r>
      <w:r>
        <w:rPr>
          <w:rFonts w:hint="eastAsia"/>
        </w:rPr>
        <w:t>页</w:t>
      </w:r>
      <w:r>
        <w:rPr>
          <w:rFonts w:hint="eastAsia"/>
        </w:rPr>
        <w:t>)</w:t>
      </w:r>
      <w:r>
        <w:rPr>
          <w:rFonts w:hint="eastAsia"/>
        </w:rPr>
        <w:t>。</w:t>
      </w:r>
    </w:p>
  </w:endnote>
  <w:endnote w:id="60">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资料来源：《罗姆族的融入和赋权战略草案》。</w:t>
      </w:r>
    </w:p>
  </w:endnote>
  <w:endnote w:id="61">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《人人享有优质教育：通往发达社会之路》，塞尔维亚共和国教育和体育部，贝尔格莱德，</w:t>
      </w:r>
      <w:r>
        <w:rPr>
          <w:rFonts w:hint="eastAsia"/>
        </w:rPr>
        <w:t>2</w:t>
      </w:r>
      <w:r>
        <w:rPr>
          <w:rFonts w:hint="eastAsia"/>
        </w:rPr>
        <w:t>002</w:t>
      </w:r>
      <w:r>
        <w:rPr>
          <w:rFonts w:hint="eastAsia"/>
        </w:rPr>
        <w:t>年，第</w:t>
      </w:r>
      <w:r>
        <w:rPr>
          <w:rFonts w:hint="eastAsia"/>
        </w:rPr>
        <w:t>208</w:t>
      </w:r>
      <w:r>
        <w:rPr>
          <w:rFonts w:hint="eastAsia"/>
        </w:rPr>
        <w:t>页。</w:t>
      </w:r>
    </w:p>
  </w:endnote>
  <w:endnote w:id="62">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在中小学讲授专门学科的教师，应在哲学或自然科学或体育、音乐、美术和应用艺术等院系的适当系科接受教育。上述院系的系科通常被称为“师范系科”，但从其学习计划以及对作为教育工作者的理论和实践培训的比例来看，这称呼并非完全确切。</w:t>
      </w:r>
      <w:r>
        <w:rPr>
          <w:rFonts w:hint="eastAsia"/>
        </w:rPr>
        <w:t>(</w:t>
      </w:r>
      <w:r>
        <w:rPr>
          <w:rFonts w:hint="eastAsia"/>
        </w:rPr>
        <w:t>《南斯拉夫初等教育深入分析》，儿童基金会，贝尔格莱德，</w:t>
      </w:r>
      <w:r>
        <w:rPr>
          <w:rFonts w:hint="eastAsia"/>
        </w:rPr>
        <w:t>2001</w:t>
      </w:r>
      <w:r>
        <w:rPr>
          <w:rFonts w:hint="eastAsia"/>
        </w:rPr>
        <w:t>年，第</w:t>
      </w:r>
      <w:r>
        <w:rPr>
          <w:rFonts w:hint="eastAsia"/>
        </w:rPr>
        <w:t>71</w:t>
      </w:r>
      <w:r>
        <w:rPr>
          <w:rFonts w:hint="eastAsia"/>
        </w:rPr>
        <w:t>页</w:t>
      </w:r>
      <w:r>
        <w:rPr>
          <w:rFonts w:hint="eastAsia"/>
        </w:rPr>
        <w:t>)</w:t>
      </w:r>
      <w:r>
        <w:rPr>
          <w:rFonts w:hint="eastAsia"/>
        </w:rPr>
        <w:t>。</w:t>
      </w:r>
    </w:p>
  </w:endnote>
  <w:endnote w:id="63">
    <w:p w:rsidR="00000000" w:rsidRDefault="00844A84">
      <w:pPr>
        <w:pStyle w:val="EndnoteText"/>
      </w:pPr>
      <w:r>
        <w:rPr>
          <w:rStyle w:val="EndnoteReference"/>
        </w:rPr>
        <w:endnoteRef/>
      </w:r>
      <w:r>
        <w:t xml:space="preserve"> </w:t>
      </w:r>
      <w:r>
        <w:rPr>
          <w:rFonts w:hint="eastAsia"/>
        </w:rPr>
        <w:t xml:space="preserve"> </w:t>
      </w:r>
      <w:r>
        <w:rPr>
          <w:rFonts w:hint="eastAsia"/>
        </w:rPr>
        <w:t>《南斯拉夫初等教育深入分析》，儿童基金会，贝尔格莱德，</w:t>
      </w:r>
      <w:r>
        <w:rPr>
          <w:rFonts w:hint="eastAsia"/>
        </w:rPr>
        <w:t>2001</w:t>
      </w:r>
      <w:r>
        <w:rPr>
          <w:rFonts w:hint="eastAsia"/>
        </w:rPr>
        <w:t>年，第</w:t>
      </w:r>
      <w:r>
        <w:rPr>
          <w:rFonts w:hint="eastAsia"/>
        </w:rPr>
        <w:t>73</w:t>
      </w:r>
      <w:r>
        <w:rPr>
          <w:rFonts w:hint="eastAsia"/>
        </w:rPr>
        <w:t>页。</w:t>
      </w:r>
    </w:p>
  </w:endnote>
  <w:endnote w:id="64">
    <w:p w:rsidR="00000000" w:rsidRDefault="00844A84">
      <w:pPr>
        <w:pStyle w:val="EndnoteText"/>
        <w:rPr>
          <w:rFonts w:hint="eastAsia"/>
        </w:rPr>
      </w:pPr>
      <w:r>
        <w:rPr>
          <w:rStyle w:val="EndnoteReference"/>
        </w:rPr>
        <w:endnoteRef/>
      </w:r>
      <w:r>
        <w:t xml:space="preserve"> </w:t>
      </w:r>
      <w:r>
        <w:rPr>
          <w:rFonts w:hint="eastAsia"/>
        </w:rPr>
        <w:t xml:space="preserve"> </w:t>
      </w:r>
      <w:r>
        <w:rPr>
          <w:rFonts w:hint="eastAsia"/>
        </w:rPr>
        <w:t>同上，第</w:t>
      </w:r>
      <w:r>
        <w:rPr>
          <w:rFonts w:hint="eastAsia"/>
        </w:rPr>
        <w:t>73</w:t>
      </w:r>
      <w:r>
        <w:rPr>
          <w:rFonts w:hint="eastAsia"/>
        </w:rPr>
        <w:t>页。</w:t>
      </w:r>
    </w:p>
    <w:p w:rsidR="00000000" w:rsidRDefault="00844A84">
      <w:pPr>
        <w:rPr>
          <w:rFonts w:hint="eastAsia"/>
        </w:rPr>
      </w:pPr>
    </w:p>
    <w:p w:rsidR="00000000" w:rsidRDefault="00844A84"/>
    <w:p w:rsidR="00000000" w:rsidRDefault="00844A84"/>
    <w:p w:rsidR="00000000" w:rsidRDefault="00844A84">
      <w:pPr>
        <w:jc w:val="center"/>
      </w:pPr>
      <w:r>
        <w:t>--  --  --  --  --</w:t>
      </w:r>
    </w:p>
    <w:p w:rsidR="00000000" w:rsidRDefault="00844A84">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jc w:val="left"/>
      <w:rPr>
        <w:u w:val="single"/>
      </w:rPr>
    </w:pPr>
    <w:r>
      <w:rPr>
        <w:u w:val="single"/>
      </w:rPr>
      <w:tab/>
    </w:r>
    <w:r>
      <w:rPr>
        <w:u w:val="single"/>
      </w:rPr>
      <w:tab/>
    </w:r>
    <w:r>
      <w:rPr>
        <w:u w:val="single"/>
      </w:rPr>
      <w:tab/>
    </w:r>
    <w:r>
      <w:rPr>
        <w:u w:val="single"/>
      </w:rPr>
      <w:tab/>
    </w:r>
    <w:r>
      <w:rPr>
        <w:u w:val="single"/>
      </w:rPr>
      <w:tab/>
    </w:r>
  </w:p>
  <w:p w:rsidR="00000000" w:rsidRDefault="00844A84">
    <w:pPr>
      <w:jc w:val="left"/>
      <w:rPr>
        <w:rFonts w:eastAsia="KaiTi_GB2312"/>
        <w:snapToGrid/>
        <w:spacing w:val="0"/>
      </w:rPr>
    </w:pPr>
    <w:r>
      <w:rPr>
        <w:rFonts w:eastAsia="KaiTi_GB2312"/>
        <w:snapToGrid/>
        <w:spacing w:val="0"/>
      </w:rPr>
      <w:tab/>
      <w:t>*</w:t>
    </w:r>
    <w:r>
      <w:rPr>
        <w:rFonts w:eastAsia="KaiTi_GB2312"/>
        <w:snapToGrid/>
        <w:spacing w:val="0"/>
      </w:rPr>
      <w:tab/>
    </w:r>
    <w:r>
      <w:rPr>
        <w:rFonts w:eastAsia="KaiTi_GB2312" w:hint="eastAsia"/>
        <w:snapToGrid/>
        <w:spacing w:val="0"/>
      </w:rPr>
      <w:t>载有统计数字表的若干附文见附件。附件</w:t>
    </w:r>
    <w:r>
      <w:rPr>
        <w:rFonts w:eastAsia="KaiTi_GB2312" w:hint="eastAsia"/>
        <w:snapToGrid/>
        <w:spacing w:val="0"/>
      </w:rPr>
      <w:t>可在秘书处档案中查阅。</w:t>
    </w:r>
  </w:p>
  <w:p w:rsidR="00000000" w:rsidRDefault="00844A84">
    <w:pPr>
      <w:jc w:val="left"/>
    </w:pPr>
  </w:p>
  <w:tbl>
    <w:tblPr>
      <w:tblW w:w="9571" w:type="dxa"/>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844A84">
          <w:pPr>
            <w:pStyle w:val="Footer"/>
          </w:pPr>
          <w:r>
            <w:t>GE. 0</w:t>
          </w:r>
          <w:r>
            <w:rPr>
              <w:rFonts w:hint="eastAsia"/>
            </w:rPr>
            <w:t>3</w:t>
          </w:r>
          <w:r>
            <w:t>-45463 (C)</w:t>
          </w:r>
        </w:p>
      </w:tc>
      <w:tc>
        <w:tcPr>
          <w:tcW w:w="1050" w:type="dxa"/>
        </w:tcPr>
        <w:p w:rsidR="00000000" w:rsidRDefault="00844A84">
          <w:pPr>
            <w:pStyle w:val="Footer"/>
            <w:rPr>
              <w:rFonts w:hint="eastAsia"/>
            </w:rPr>
          </w:pPr>
          <w:r>
            <w:t>17030</w:t>
          </w:r>
          <w:r>
            <w:rPr>
              <w:rFonts w:hint="eastAsia"/>
            </w:rPr>
            <w:t>4</w:t>
          </w:r>
        </w:p>
      </w:tc>
      <w:tc>
        <w:tcPr>
          <w:tcW w:w="6061" w:type="dxa"/>
        </w:tcPr>
        <w:p w:rsidR="00000000" w:rsidRDefault="00844A84">
          <w:pPr>
            <w:pStyle w:val="Footer"/>
            <w:rPr>
              <w:rFonts w:hint="eastAsia"/>
            </w:rPr>
          </w:pPr>
          <w:r>
            <w:t>2</w:t>
          </w:r>
          <w:r>
            <w:rPr>
              <w:rFonts w:hint="eastAsia"/>
            </w:rPr>
            <w:t>8</w:t>
          </w:r>
          <w:r>
            <w:t>040</w:t>
          </w:r>
          <w:r>
            <w:rPr>
              <w:rFonts w:hint="eastAsia"/>
            </w:rPr>
            <w:t>4</w:t>
          </w:r>
        </w:p>
      </w:tc>
    </w:tr>
  </w:tbl>
  <w:p w:rsidR="00000000" w:rsidRDefault="00844A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4A84">
      <w:pPr>
        <w:spacing w:line="240" w:lineRule="auto"/>
      </w:pPr>
      <w:r>
        <w:separator/>
      </w:r>
    </w:p>
  </w:footnote>
  <w:footnote w:type="continuationSeparator" w:id="0">
    <w:p w:rsidR="00000000" w:rsidRDefault="00844A8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pStyle w:val="Header"/>
      <w:rPr>
        <w:lang w:val="fr-CH"/>
      </w:rPr>
    </w:pPr>
    <w:r>
      <w:rPr>
        <w:lang w:val="fr-CH"/>
      </w:rPr>
      <w:t>E/1990/5/Add.61</w:t>
    </w:r>
  </w:p>
  <w:p w:rsidR="00000000" w:rsidRDefault="00844A84">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24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pStyle w:val="Header"/>
    </w:pPr>
    <w:r>
      <w:tab/>
    </w:r>
    <w:r>
      <w:tab/>
    </w:r>
    <w:r>
      <w:tab/>
    </w:r>
    <w:r>
      <w:tab/>
      <w:t>E/1990/5/Add.61</w:t>
    </w:r>
  </w:p>
  <w:p w:rsidR="00000000" w:rsidRDefault="00844A84">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pStyle w:val="1L"/>
      <w:framePr w:w="1438" w:wrap="around"/>
    </w:pPr>
    <w:r>
      <w:rPr>
        <w:noProof/>
      </w:rPr>
      <w:pict>
        <v:rect id="_x0000_s1025" style="position:absolute;left:0;text-align:left;margin-left:-12pt;margin-top:95.45pt;width:492.05pt;height:.95pt;z-index:-8;mso-position-horizontal-relative:margin;mso-position-vertical-relative:page" o:allowincell="f" fillcolor="black" stroked="f" strokeweight=".1pt">
          <v:fill color2="black"/>
          <w10:wrap anchorx="margin" anchory="page"/>
        </v:rect>
      </w:pict>
    </w:r>
    <w:r>
      <w:rPr>
        <w:rFonts w:hint="eastAsia"/>
      </w:rPr>
      <w:t>联合国</w:t>
    </w:r>
  </w:p>
  <w:p w:rsidR="00000000" w:rsidRDefault="00844A84">
    <w:pPr>
      <w:pStyle w:val="Header"/>
    </w:pPr>
    <w:r>
      <w:rPr>
        <w:noProof/>
        <w:snapToGrid/>
        <w:lang w:eastAsia="zh-TW"/>
      </w:rPr>
      <w:pict>
        <v:rect id="_x0000_s1027" style="position:absolute;left:0;text-align:left;margin-left:535.05pt;margin-top:59.05pt;width:30.05pt;height:36pt;z-index:-6;mso-position-horizontal-relative:page;mso-position-vertical-relative:page" o:allowincell="f" filled="f" stroked="f" strokeweight="0">
          <v:textbox style="mso-next-textbox:#_x0000_s1027" inset="0,0,0,0">
            <w:txbxContent>
              <w:p w:rsidR="00000000" w:rsidRDefault="00844A84">
                <w:pPr>
                  <w:pStyle w:val="1R1"/>
                  <w:rPr>
                    <w:rFonts w:ascii="Univers Bold" w:hAnsi="Univers Bold"/>
                  </w:rPr>
                </w:pPr>
                <w:r>
                  <w:t>E</w:t>
                </w:r>
              </w:p>
            </w:txbxContent>
          </v:textbox>
          <w10:wrap anchorx="page" anchory="page"/>
        </v:rect>
      </w:pict>
    </w:r>
  </w:p>
  <w:p w:rsidR="00000000" w:rsidRDefault="00844A84">
    <w:pPr>
      <w:pStyle w:val="Header"/>
    </w:pPr>
  </w:p>
  <w:p w:rsidR="00000000" w:rsidRDefault="00844A84">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style="mso-next-textbox:#_x0000_s1031">
            <w:txbxContent>
              <w:p w:rsidR="00000000" w:rsidRDefault="00844A84">
                <w:pPr>
                  <w:pStyle w:val="Header"/>
                </w:pPr>
                <w:r>
                  <w:t>Distr.</w:t>
                </w:r>
              </w:p>
              <w:p w:rsidR="00000000" w:rsidRDefault="00844A84">
                <w:pPr>
                  <w:pStyle w:val="Header"/>
                </w:pPr>
                <w:r>
                  <w:t>GENERAL</w:t>
                </w:r>
              </w:p>
              <w:p w:rsidR="00000000" w:rsidRDefault="00844A84">
                <w:pPr>
                  <w:pStyle w:val="Header"/>
                </w:pPr>
              </w:p>
              <w:p w:rsidR="00000000" w:rsidRDefault="00844A84">
                <w:pPr>
                  <w:pStyle w:val="Header"/>
                </w:pPr>
                <w:r>
                  <w:t>E/1990/5/Add.61</w:t>
                </w:r>
              </w:p>
              <w:p w:rsidR="00000000" w:rsidRDefault="00844A84">
                <w:pPr>
                  <w:pStyle w:val="Header"/>
                </w:pPr>
                <w:r>
                  <w:t>26 November 200</w:t>
                </w:r>
                <w:r>
                  <w:rPr>
                    <w:rFonts w:hint="eastAsia"/>
                  </w:rPr>
                  <w:t>3</w:t>
                </w:r>
              </w:p>
              <w:p w:rsidR="00000000" w:rsidRDefault="00844A84">
                <w:pPr>
                  <w:pStyle w:val="Header"/>
                </w:pPr>
                <w:r>
                  <w:t>CHINESE</w:t>
                </w:r>
              </w:p>
              <w:p w:rsidR="00000000" w:rsidRDefault="00844A84">
                <w:pPr>
                  <w:pStyle w:val="Header"/>
                </w:pPr>
                <w:r>
                  <w:t>Original:</w:t>
                </w:r>
                <w:r>
                  <w:tab/>
                  <w:t>ENGLISH</w:t>
                </w:r>
              </w:p>
              <w:p w:rsidR="00000000" w:rsidRDefault="00844A84"/>
            </w:txbxContent>
          </v:textbox>
        </v:shape>
      </w:pict>
    </w:r>
  </w:p>
  <w:p w:rsidR="00000000" w:rsidRDefault="00844A84">
    <w:pPr>
      <w:pStyle w:val="Header"/>
    </w:pPr>
  </w:p>
  <w:p w:rsidR="00000000" w:rsidRDefault="00844A84">
    <w:pPr>
      <w:pStyle w:val="Header"/>
    </w:pPr>
  </w:p>
  <w:p w:rsidR="00000000" w:rsidRDefault="00844A84">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844A8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844A84">
    <w:pPr>
      <w:pStyle w:val="Header"/>
    </w:pPr>
  </w:p>
  <w:p w:rsidR="00000000" w:rsidRDefault="00844A84">
    <w:pPr>
      <w:pStyle w:val="Header"/>
    </w:pPr>
  </w:p>
  <w:p w:rsidR="00000000" w:rsidRDefault="00844A84">
    <w:pPr>
      <w:pStyle w:val="Header"/>
    </w:pPr>
  </w:p>
  <w:p w:rsidR="00000000" w:rsidRDefault="00844A84">
    <w:pPr>
      <w:pStyle w:val="Header"/>
    </w:pPr>
  </w:p>
  <w:p w:rsidR="00000000" w:rsidRDefault="00844A84">
    <w:pPr>
      <w:pStyle w:val="Header"/>
    </w:pPr>
  </w:p>
  <w:p w:rsidR="00000000" w:rsidRDefault="00844A84">
    <w:pPr>
      <w:pStyle w:val="Header"/>
    </w:pPr>
  </w:p>
  <w:p w:rsidR="00000000" w:rsidRDefault="00844A84">
    <w:pPr>
      <w:pStyle w:val="Header"/>
    </w:pPr>
    <w:r>
      <w:rPr>
        <w:noProof/>
        <w:snapToGrid/>
        <w:lang w:eastAsia="zh-TW"/>
      </w:rPr>
      <w:pict>
        <v:rect id="_x0000_s1030" style="position:absolute;left:0;text-align:left;margin-left:151.05pt;margin-top:121.45pt;width:192.05pt;height:31.25pt;z-index:-4;mso-position-horizontal-relative:page;mso-position-vertical-relative:page" o:allowincell="f" filled="f" stroked="f" strokeweight="0">
          <v:textbox style="mso-next-textbox:#_x0000_s1030" inset="0,0,0,0">
            <w:txbxContent>
              <w:p w:rsidR="00000000" w:rsidRDefault="00844A84">
                <w:pPr>
                  <w:pStyle w:val="1m1"/>
                </w:pPr>
                <w:r>
                  <w:rPr>
                    <w:rFonts w:hint="eastAsia"/>
                  </w:rPr>
                  <w:t>经济</w:t>
                </w:r>
                <w:r>
                  <w:rPr>
                    <w:rFonts w:hint="eastAsia"/>
                  </w:rPr>
                  <w:t>及社会理事会</w:t>
                </w:r>
              </w:p>
            </w:txbxContent>
          </v:textbox>
          <w10:wrap anchorx="page" anchory="page"/>
        </v:rect>
      </w:pict>
    </w:r>
    <w:r>
      <w:rPr>
        <w:noProof/>
        <w:snapToGrid/>
        <w:lang w:eastAsia="zh-TW"/>
      </w:rPr>
      <w:pict>
        <v:rect id="_x0000_s1028" style="position:absolute;left:0;text-align:left;margin-left:-12pt;margin-top:235.85pt;width:492.05pt;height:.05pt;z-index:-5;mso-position-horizontal-relative:margin;mso-position-vertical-relative:page" o:allowincell="f" fillcolor="black" strokeweight="4pt">
          <v:fill color2="black"/>
          <w10:wrap anchorx="margin" anchory="page"/>
        </v:rect>
      </w:pict>
    </w:r>
  </w:p>
  <w:p w:rsidR="00000000" w:rsidRDefault="00844A84">
    <w:pPr>
      <w:pStyle w:val="Header"/>
    </w:pPr>
  </w:p>
  <w:p w:rsidR="00000000" w:rsidRDefault="00844A84">
    <w:pPr>
      <w:pStyle w:val="Header"/>
    </w:pPr>
  </w:p>
  <w:p w:rsidR="00000000" w:rsidRDefault="00844A84">
    <w:pPr>
      <w:pStyle w:val="Header"/>
    </w:pPr>
  </w:p>
  <w:p w:rsidR="00000000" w:rsidRDefault="00844A8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pStyle w:val="Header"/>
      <w:rPr>
        <w:lang w:val="fr-CH"/>
      </w:rPr>
    </w:pPr>
    <w:r>
      <w:rPr>
        <w:noProof/>
        <w:lang w:val="fr-CH" w:eastAsia="en-US"/>
      </w:rPr>
      <w:pict>
        <v:rect id="_x0000_s1033" style="position:absolute;left:0;text-align:left;margin-left:669.5pt;margin-top:85.05pt;width:32.6pt;height:146.7pt;z-index:8;mso-position-vertical-relative:page" filled="f" stroked="f">
          <v:textbox style="layout-flow:vertical-ideographic;mso-next-textbox:#_x0000_s1033" inset="1pt,1pt,1pt,1pt">
            <w:txbxContent>
              <w:p w:rsidR="00000000" w:rsidRDefault="00844A84">
                <w:pPr>
                  <w:pStyle w:val="Header"/>
                  <w:rPr>
                    <w:lang w:val="fr-CH"/>
                  </w:rPr>
                </w:pPr>
                <w:r>
                  <w:rPr>
                    <w:lang w:val="fr-CH"/>
                  </w:rPr>
                  <w:t>E/1990/5/Add.61</w:t>
                </w:r>
              </w:p>
              <w:p w:rsidR="00000000" w:rsidRDefault="00844A84">
                <w:pPr>
                  <w:pStyle w:val="Header"/>
                  <w:rPr>
                    <w:rFonts w:hint="eastAsia"/>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p w:rsidR="00000000" w:rsidRDefault="00844A84">
                <w:pPr>
                  <w:pStyle w:val="Header"/>
                  <w:rPr>
                    <w:rFonts w:hint="eastAsia"/>
                  </w:rPr>
                </w:pPr>
              </w:p>
            </w:txbxContent>
          </v:textbox>
          <w10:wrap anchory="page"/>
        </v:rect>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pStyle w:val="Header"/>
    </w:pPr>
    <w:r>
      <w:rPr>
        <w:rFonts w:ascii="SimHei" w:eastAsia="SimHei"/>
        <w:noProof/>
        <w:lang w:val="fr-FR"/>
      </w:rPr>
      <w:pict>
        <v:rect id="_x0000_s1032" style="position:absolute;left:0;text-align:left;margin-left:669.5pt;margin-top:419.2pt;width:32.6pt;height:130.4pt;z-index:7;mso-position-vertical-relative:page" filled="f" stroked="f">
          <v:textbox style="layout-flow:vertical-ideographic;mso-next-textbox:#_x0000_s1032" inset="1pt,1pt,1pt,1pt">
            <w:txbxContent>
              <w:p w:rsidR="00000000" w:rsidRDefault="00844A84">
                <w:pPr>
                  <w:pStyle w:val="Header"/>
                  <w:rPr>
                    <w:lang w:val="fr-CH"/>
                  </w:rPr>
                </w:pPr>
                <w:r>
                  <w:rPr>
                    <w:lang w:val="fr-CH"/>
                  </w:rPr>
                  <w:t>E/1990/5/Add.61</w:t>
                </w:r>
              </w:p>
              <w:p w:rsidR="00000000" w:rsidRDefault="00844A84">
                <w:pPr>
                  <w:pStyle w:val="Header"/>
                  <w:rPr>
                    <w:rFonts w:hint="eastAsia"/>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844A84">
                <w:pPr>
                  <w:pStyle w:val="Header"/>
                  <w:rPr>
                    <w:rFonts w:hint="eastAsia"/>
                  </w:rPr>
                </w:pPr>
              </w:p>
            </w:txbxContent>
          </v:textbox>
          <w10:wrap anchory="page"/>
        </v:rect>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pStyle w:val="Header"/>
    </w:pPr>
    <w:r>
      <w:t>E/1990/5/Add.61</w:t>
    </w:r>
  </w:p>
  <w:p w:rsidR="00000000" w:rsidRDefault="00844A84">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844A84">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4A84">
    <w:pPr>
      <w:pStyle w:val="Header"/>
    </w:pPr>
    <w:r>
      <w:tab/>
    </w:r>
    <w:r>
      <w:tab/>
    </w:r>
    <w:r>
      <w:tab/>
    </w:r>
    <w:r>
      <w:tab/>
      <w:t>E/1990/5/Add.61</w:t>
    </w:r>
  </w:p>
  <w:p w:rsidR="00000000" w:rsidRDefault="00844A84">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844A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F34CB12"/>
    <w:lvl w:ilvl="0">
      <w:start w:val="1"/>
      <w:numFmt w:val="decimal"/>
      <w:lvlText w:val="%1."/>
      <w:lvlJc w:val="left"/>
      <w:pPr>
        <w:tabs>
          <w:tab w:val="num" w:pos="1800"/>
        </w:tabs>
        <w:ind w:left="1800" w:hanging="360"/>
      </w:pPr>
    </w:lvl>
  </w:abstractNum>
  <w:abstractNum w:abstractNumId="1">
    <w:nsid w:val="FFFFFF7D"/>
    <w:multiLevelType w:val="singleLevel"/>
    <w:tmpl w:val="743A5968"/>
    <w:lvl w:ilvl="0">
      <w:start w:val="1"/>
      <w:numFmt w:val="decimal"/>
      <w:lvlText w:val="%1."/>
      <w:lvlJc w:val="left"/>
      <w:pPr>
        <w:tabs>
          <w:tab w:val="num" w:pos="1440"/>
        </w:tabs>
        <w:ind w:left="1440" w:hanging="360"/>
      </w:pPr>
    </w:lvl>
  </w:abstractNum>
  <w:abstractNum w:abstractNumId="2">
    <w:nsid w:val="FFFFFF7E"/>
    <w:multiLevelType w:val="singleLevel"/>
    <w:tmpl w:val="681C5FF0"/>
    <w:lvl w:ilvl="0">
      <w:start w:val="1"/>
      <w:numFmt w:val="decimal"/>
      <w:lvlText w:val="%1."/>
      <w:lvlJc w:val="left"/>
      <w:pPr>
        <w:tabs>
          <w:tab w:val="num" w:pos="1080"/>
        </w:tabs>
        <w:ind w:left="1080" w:hanging="360"/>
      </w:pPr>
    </w:lvl>
  </w:abstractNum>
  <w:abstractNum w:abstractNumId="3">
    <w:nsid w:val="FFFFFF7F"/>
    <w:multiLevelType w:val="singleLevel"/>
    <w:tmpl w:val="5FE2F194"/>
    <w:lvl w:ilvl="0">
      <w:start w:val="1"/>
      <w:numFmt w:val="decimal"/>
      <w:lvlText w:val="%1."/>
      <w:lvlJc w:val="left"/>
      <w:pPr>
        <w:tabs>
          <w:tab w:val="num" w:pos="720"/>
        </w:tabs>
        <w:ind w:left="720" w:hanging="360"/>
      </w:pPr>
    </w:lvl>
  </w:abstractNum>
  <w:abstractNum w:abstractNumId="4">
    <w:nsid w:val="FFFFFF80"/>
    <w:multiLevelType w:val="singleLevel"/>
    <w:tmpl w:val="FB86DB3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19E968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9FADC4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E3C5CA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3D83D4C"/>
    <w:lvl w:ilvl="0">
      <w:start w:val="1"/>
      <w:numFmt w:val="decimal"/>
      <w:lvlText w:val="%1."/>
      <w:lvlJc w:val="left"/>
      <w:pPr>
        <w:tabs>
          <w:tab w:val="num" w:pos="360"/>
        </w:tabs>
        <w:ind w:left="360" w:hanging="360"/>
      </w:pPr>
    </w:lvl>
  </w:abstractNum>
  <w:abstractNum w:abstractNumId="9">
    <w:nsid w:val="FFFFFF89"/>
    <w:multiLevelType w:val="singleLevel"/>
    <w:tmpl w:val="AD5C4B8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D28B84E"/>
    <w:lvl w:ilvl="0">
      <w:numFmt w:val="decimal"/>
      <w:lvlText w:val="*"/>
      <w:lvlJc w:val="left"/>
    </w:lvl>
  </w:abstractNum>
  <w:abstractNum w:abstractNumId="11">
    <w:nsid w:val="00124E85"/>
    <w:multiLevelType w:val="hybridMultilevel"/>
    <w:tmpl w:val="2874429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0254741"/>
    <w:multiLevelType w:val="hybridMultilevel"/>
    <w:tmpl w:val="7646D3BA"/>
    <w:lvl w:ilvl="0" w:tplc="9216F4CE">
      <w:start w:val="1"/>
      <w:numFmt w:val="lowerLetter"/>
      <w:lvlText w:val="(%1)"/>
      <w:lvlJc w:val="left"/>
      <w:pPr>
        <w:tabs>
          <w:tab w:val="num" w:pos="-1021"/>
        </w:tabs>
        <w:ind w:left="425" w:hanging="425"/>
      </w:pPr>
      <w:rPr>
        <w:rFonts w:hint="eastAsia"/>
      </w:rPr>
    </w:lvl>
    <w:lvl w:ilvl="1" w:tplc="02FCFCAA">
      <w:start w:val="3"/>
      <w:numFmt w:val="upperLetter"/>
      <w:lvlText w:val="%2)"/>
      <w:lvlJc w:val="left"/>
      <w:pPr>
        <w:tabs>
          <w:tab w:val="num" w:pos="990"/>
        </w:tabs>
        <w:ind w:left="990" w:hanging="510"/>
      </w:pPr>
      <w:rPr>
        <w:rFonts w:hint="default"/>
      </w:rPr>
    </w:lvl>
    <w:lvl w:ilvl="2" w:tplc="FCE46D94">
      <w:start w:val="1"/>
      <w:numFmt w:val="decimal"/>
      <w:lvlText w:val="%3）"/>
      <w:lvlJc w:val="left"/>
      <w:pPr>
        <w:tabs>
          <w:tab w:val="num" w:pos="1320"/>
        </w:tabs>
        <w:ind w:left="1320" w:hanging="360"/>
      </w:pPr>
      <w:rPr>
        <w:rFonts w:hint="eastAsia"/>
      </w:rPr>
    </w:lvl>
    <w:lvl w:ilvl="3" w:tplc="619E7FB2">
      <w:start w:val="1"/>
      <w:numFmt w:val="decimal"/>
      <w:lvlText w:val="（%4）"/>
      <w:lvlJc w:val="left"/>
      <w:pPr>
        <w:tabs>
          <w:tab w:val="num" w:pos="2160"/>
        </w:tabs>
        <w:ind w:left="2160" w:hanging="720"/>
      </w:pPr>
      <w:rPr>
        <w:rFonts w:hint="eastAsia"/>
      </w:rPr>
    </w:lvl>
    <w:lvl w:ilvl="4" w:tplc="345068B8">
      <w:start w:val="1"/>
      <w:numFmt w:val="lowerLetter"/>
      <w:lvlText w:val="（%5）"/>
      <w:lvlJc w:val="left"/>
      <w:pPr>
        <w:tabs>
          <w:tab w:val="num" w:pos="2565"/>
        </w:tabs>
        <w:ind w:left="2565" w:hanging="645"/>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006D042E"/>
    <w:multiLevelType w:val="hybridMultilevel"/>
    <w:tmpl w:val="2D3A4EFE"/>
    <w:lvl w:ilvl="0" w:tplc="5C4C31B6">
      <w:start w:val="1"/>
      <w:numFmt w:val="lowerLetter"/>
      <w:lvlText w:val="(%1)"/>
      <w:legacy w:legacy="1" w:legacySpace="0" w:legacyIndent="425"/>
      <w:lvlJc w:val="left"/>
      <w:pPr>
        <w:ind w:left="425" w:hanging="425"/>
      </w:pPr>
    </w:lvl>
    <w:lvl w:ilvl="1" w:tplc="04090019" w:tentative="1">
      <w:start w:val="1"/>
      <w:numFmt w:val="ideographTraditional"/>
      <w:lvlText w:val="%2、"/>
      <w:lvlJc w:val="left"/>
      <w:pPr>
        <w:tabs>
          <w:tab w:val="num" w:pos="-61"/>
        </w:tabs>
        <w:ind w:left="-61" w:hanging="480"/>
      </w:pPr>
    </w:lvl>
    <w:lvl w:ilvl="2" w:tplc="0409001B" w:tentative="1">
      <w:start w:val="1"/>
      <w:numFmt w:val="lowerRoman"/>
      <w:lvlText w:val="%3."/>
      <w:lvlJc w:val="right"/>
      <w:pPr>
        <w:tabs>
          <w:tab w:val="num" w:pos="419"/>
        </w:tabs>
        <w:ind w:left="419" w:hanging="480"/>
      </w:pPr>
    </w:lvl>
    <w:lvl w:ilvl="3" w:tplc="0409000F" w:tentative="1">
      <w:start w:val="1"/>
      <w:numFmt w:val="decimal"/>
      <w:lvlText w:val="%4."/>
      <w:lvlJc w:val="left"/>
      <w:pPr>
        <w:tabs>
          <w:tab w:val="num" w:pos="899"/>
        </w:tabs>
        <w:ind w:left="899" w:hanging="480"/>
      </w:pPr>
    </w:lvl>
    <w:lvl w:ilvl="4" w:tplc="04090019" w:tentative="1">
      <w:start w:val="1"/>
      <w:numFmt w:val="ideographTraditional"/>
      <w:lvlText w:val="%5、"/>
      <w:lvlJc w:val="left"/>
      <w:pPr>
        <w:tabs>
          <w:tab w:val="num" w:pos="1379"/>
        </w:tabs>
        <w:ind w:left="1379" w:hanging="480"/>
      </w:pPr>
    </w:lvl>
    <w:lvl w:ilvl="5" w:tplc="0409001B" w:tentative="1">
      <w:start w:val="1"/>
      <w:numFmt w:val="lowerRoman"/>
      <w:lvlText w:val="%6."/>
      <w:lvlJc w:val="right"/>
      <w:pPr>
        <w:tabs>
          <w:tab w:val="num" w:pos="1859"/>
        </w:tabs>
        <w:ind w:left="1859" w:hanging="480"/>
      </w:pPr>
    </w:lvl>
    <w:lvl w:ilvl="6" w:tplc="0409000F" w:tentative="1">
      <w:start w:val="1"/>
      <w:numFmt w:val="decimal"/>
      <w:lvlText w:val="%7."/>
      <w:lvlJc w:val="left"/>
      <w:pPr>
        <w:tabs>
          <w:tab w:val="num" w:pos="2339"/>
        </w:tabs>
        <w:ind w:left="2339" w:hanging="480"/>
      </w:pPr>
    </w:lvl>
    <w:lvl w:ilvl="7" w:tplc="04090019" w:tentative="1">
      <w:start w:val="1"/>
      <w:numFmt w:val="ideographTraditional"/>
      <w:lvlText w:val="%8、"/>
      <w:lvlJc w:val="left"/>
      <w:pPr>
        <w:tabs>
          <w:tab w:val="num" w:pos="2819"/>
        </w:tabs>
        <w:ind w:left="2819" w:hanging="480"/>
      </w:pPr>
    </w:lvl>
    <w:lvl w:ilvl="8" w:tplc="0409001B" w:tentative="1">
      <w:start w:val="1"/>
      <w:numFmt w:val="lowerRoman"/>
      <w:lvlText w:val="%9."/>
      <w:lvlJc w:val="right"/>
      <w:pPr>
        <w:tabs>
          <w:tab w:val="num" w:pos="3299"/>
        </w:tabs>
        <w:ind w:left="3299" w:hanging="480"/>
      </w:pPr>
    </w:lvl>
  </w:abstractNum>
  <w:abstractNum w:abstractNumId="14">
    <w:nsid w:val="00945B9F"/>
    <w:multiLevelType w:val="singleLevel"/>
    <w:tmpl w:val="4DB0E186"/>
    <w:lvl w:ilvl="0">
      <w:start w:val="13"/>
      <w:numFmt w:val="bullet"/>
      <w:lvlText w:val="-"/>
      <w:lvlJc w:val="left"/>
      <w:pPr>
        <w:tabs>
          <w:tab w:val="num" w:pos="1155"/>
        </w:tabs>
        <w:ind w:left="1155" w:hanging="360"/>
      </w:pPr>
      <w:rPr>
        <w:rFonts w:hint="default"/>
      </w:rPr>
    </w:lvl>
  </w:abstractNum>
  <w:abstractNum w:abstractNumId="15">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01931F7D"/>
    <w:multiLevelType w:val="hybridMultilevel"/>
    <w:tmpl w:val="874C0AF4"/>
    <w:lvl w:ilvl="0" w:tplc="3168D064">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7">
    <w:nsid w:val="01C05691"/>
    <w:multiLevelType w:val="singleLevel"/>
    <w:tmpl w:val="36084DBE"/>
    <w:lvl w:ilvl="0">
      <w:start w:val="1"/>
      <w:numFmt w:val="decimal"/>
      <w:lvlText w:val="%1."/>
      <w:lvlJc w:val="left"/>
      <w:pPr>
        <w:tabs>
          <w:tab w:val="num" w:pos="1440"/>
        </w:tabs>
        <w:ind w:left="1440" w:hanging="720"/>
      </w:pPr>
    </w:lvl>
  </w:abstractNum>
  <w:abstractNum w:abstractNumId="18">
    <w:nsid w:val="022023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026A5230"/>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0">
    <w:nsid w:val="02970B9C"/>
    <w:multiLevelType w:val="singleLevel"/>
    <w:tmpl w:val="80746B2C"/>
    <w:lvl w:ilvl="0">
      <w:start w:val="5"/>
      <w:numFmt w:val="bullet"/>
      <w:lvlText w:val="-"/>
      <w:lvlJc w:val="left"/>
      <w:pPr>
        <w:tabs>
          <w:tab w:val="num" w:pos="360"/>
        </w:tabs>
        <w:ind w:left="360" w:hanging="360"/>
      </w:pPr>
      <w:rPr>
        <w:rFonts w:hint="default"/>
      </w:rPr>
    </w:lvl>
  </w:abstractNum>
  <w:abstractNum w:abstractNumId="21">
    <w:nsid w:val="02CC04B2"/>
    <w:multiLevelType w:val="hybridMultilevel"/>
    <w:tmpl w:val="CBF29890"/>
    <w:lvl w:ilvl="0" w:tplc="3E8022B4">
      <w:start w:val="2"/>
      <w:numFmt w:val="bullet"/>
      <w:lvlText w:val="-"/>
      <w:lvlJc w:val="left"/>
      <w:pPr>
        <w:tabs>
          <w:tab w:val="num" w:pos="405"/>
        </w:tabs>
        <w:ind w:left="405" w:hanging="405"/>
      </w:pPr>
      <w:rPr>
        <w:rFonts w:ascii="Times New Roman" w:eastAsia="SimSun"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3">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0348178F"/>
    <w:multiLevelType w:val="hybridMultilevel"/>
    <w:tmpl w:val="F84C06A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nsid w:val="03A56EEB"/>
    <w:multiLevelType w:val="hybridMultilevel"/>
    <w:tmpl w:val="3EFA598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04013D18"/>
    <w:multiLevelType w:val="singleLevel"/>
    <w:tmpl w:val="DED667F8"/>
    <w:lvl w:ilvl="0">
      <w:start w:val="1"/>
      <w:numFmt w:val="upperLetter"/>
      <w:lvlText w:val="%1)"/>
      <w:lvlJc w:val="left"/>
      <w:pPr>
        <w:tabs>
          <w:tab w:val="num" w:pos="720"/>
        </w:tabs>
        <w:ind w:left="720" w:hanging="720"/>
      </w:pPr>
      <w:rPr>
        <w:rFonts w:hint="default"/>
      </w:rPr>
    </w:lvl>
  </w:abstractNum>
  <w:abstractNum w:abstractNumId="27">
    <w:nsid w:val="04DC1B3B"/>
    <w:multiLevelType w:val="singleLevel"/>
    <w:tmpl w:val="AF8AF1DA"/>
    <w:lvl w:ilvl="0">
      <w:start w:val="1"/>
      <w:numFmt w:val="upperLetter"/>
      <w:lvlText w:val="%1)"/>
      <w:lvlJc w:val="left"/>
      <w:pPr>
        <w:tabs>
          <w:tab w:val="num" w:pos="720"/>
        </w:tabs>
        <w:ind w:left="720" w:hanging="360"/>
      </w:pPr>
      <w:rPr>
        <w:rFonts w:hint="default"/>
        <w:u w:val="none"/>
      </w:rPr>
    </w:lvl>
  </w:abstractNum>
  <w:abstractNum w:abstractNumId="28">
    <w:nsid w:val="04F13BB5"/>
    <w:multiLevelType w:val="hybridMultilevel"/>
    <w:tmpl w:val="7FD0D6DC"/>
    <w:lvl w:ilvl="0" w:tplc="17BA9C60">
      <w:start w:val="1"/>
      <w:numFmt w:val="lowerLetter"/>
      <w:lvlText w:val="（%1）"/>
      <w:lvlJc w:val="left"/>
      <w:pPr>
        <w:tabs>
          <w:tab w:val="num" w:pos="1240"/>
        </w:tabs>
        <w:ind w:left="1240" w:hanging="720"/>
      </w:pPr>
      <w:rPr>
        <w:rFonts w:hint="eastAsia"/>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29">
    <w:nsid w:val="04F435DF"/>
    <w:multiLevelType w:val="hybridMultilevel"/>
    <w:tmpl w:val="6422E29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56D488B"/>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5DE58B3"/>
    <w:multiLevelType w:val="hybridMultilevel"/>
    <w:tmpl w:val="7A882BC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06842D4F"/>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07353635"/>
    <w:multiLevelType w:val="hybridMultilevel"/>
    <w:tmpl w:val="3CD4DE80"/>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07806D0C"/>
    <w:multiLevelType w:val="hybridMultilevel"/>
    <w:tmpl w:val="7454410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5">
    <w:nsid w:val="07A870F7"/>
    <w:multiLevelType w:val="hybridMultilevel"/>
    <w:tmpl w:val="EF646CCA"/>
    <w:lvl w:ilvl="0" w:tplc="E794C190">
      <w:start w:val="993"/>
      <w:numFmt w:val="bullet"/>
      <w:lvlText w:val=""/>
      <w:lvlJc w:val="left"/>
      <w:pPr>
        <w:tabs>
          <w:tab w:val="num" w:pos="1080"/>
        </w:tabs>
        <w:ind w:left="1077" w:hanging="357"/>
      </w:pPr>
      <w:rPr>
        <w:rFonts w:ascii="Symbol" w:hAnsi="Symbol" w:hint="default"/>
      </w:rPr>
    </w:lvl>
    <w:lvl w:ilvl="1" w:tplc="1C16F59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07C66BD7"/>
    <w:multiLevelType w:val="hybridMultilevel"/>
    <w:tmpl w:val="72BE3C8E"/>
    <w:lvl w:ilvl="0" w:tplc="6EF2B94E">
      <w:start w:val="1"/>
      <w:numFmt w:val="lowerLetter"/>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7">
    <w:nsid w:val="08554C06"/>
    <w:multiLevelType w:val="hybridMultilevel"/>
    <w:tmpl w:val="29A27F08"/>
    <w:lvl w:ilvl="0" w:tplc="E17E543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8CE72D2"/>
    <w:multiLevelType w:val="singleLevel"/>
    <w:tmpl w:val="0409000F"/>
    <w:lvl w:ilvl="0">
      <w:start w:val="1"/>
      <w:numFmt w:val="decimal"/>
      <w:lvlText w:val="%1."/>
      <w:lvlJc w:val="left"/>
      <w:pPr>
        <w:tabs>
          <w:tab w:val="num" w:pos="360"/>
        </w:tabs>
        <w:ind w:left="360" w:hanging="360"/>
      </w:pPr>
    </w:lvl>
  </w:abstractNum>
  <w:abstractNum w:abstractNumId="39">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0">
    <w:nsid w:val="094A0355"/>
    <w:multiLevelType w:val="multilevel"/>
    <w:tmpl w:val="1812A9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42">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09BA543C"/>
    <w:multiLevelType w:val="multilevel"/>
    <w:tmpl w:val="A7C474D0"/>
    <w:lvl w:ilvl="0">
      <w:start w:val="142"/>
      <w:numFmt w:val="decimal"/>
      <w:lvlText w:val="%1."/>
      <w:lvlJc w:val="left"/>
      <w:pPr>
        <w:tabs>
          <w:tab w:val="num" w:pos="360"/>
        </w:tabs>
        <w:ind w:left="360" w:hanging="360"/>
      </w:pPr>
      <w:rPr>
        <w:rFonts w:hint="default"/>
      </w:rPr>
    </w:lvl>
    <w:lvl w:ilvl="1">
      <w:numFmt w:val="bullet"/>
      <w:lvlText w:val=""/>
      <w:lvlJc w:val="left"/>
      <w:pPr>
        <w:tabs>
          <w:tab w:val="num" w:pos="1440"/>
        </w:tabs>
        <w:ind w:left="1437" w:hanging="357"/>
      </w:pPr>
      <w:rPr>
        <w:rFonts w:ascii="Symbol" w:hAnsi="Symbol" w:hint="default"/>
        <w:sz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nsid w:val="09BE6FD1"/>
    <w:multiLevelType w:val="hybridMultilevel"/>
    <w:tmpl w:val="0214F46A"/>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
    <w:nsid w:val="0A405AEF"/>
    <w:multiLevelType w:val="hybridMultilevel"/>
    <w:tmpl w:val="BEE014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0A4065DA"/>
    <w:multiLevelType w:val="hybridMultilevel"/>
    <w:tmpl w:val="3F005E8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0AC26C62"/>
    <w:multiLevelType w:val="singleLevel"/>
    <w:tmpl w:val="561E0F3E"/>
    <w:lvl w:ilvl="0">
      <w:start w:val="1"/>
      <w:numFmt w:val="decimal"/>
      <w:lvlText w:val="%1."/>
      <w:lvlJc w:val="left"/>
      <w:pPr>
        <w:tabs>
          <w:tab w:val="num" w:pos="720"/>
        </w:tabs>
        <w:ind w:left="720" w:hanging="720"/>
      </w:pPr>
    </w:lvl>
  </w:abstractNum>
  <w:abstractNum w:abstractNumId="49">
    <w:nsid w:val="0ACA1494"/>
    <w:multiLevelType w:val="hybridMultilevel"/>
    <w:tmpl w:val="35126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0AF05A50"/>
    <w:multiLevelType w:val="singleLevel"/>
    <w:tmpl w:val="63B2FC10"/>
    <w:lvl w:ilvl="0">
      <w:numFmt w:val="bullet"/>
      <w:lvlText w:val="-"/>
      <w:lvlJc w:val="left"/>
      <w:pPr>
        <w:tabs>
          <w:tab w:val="num" w:pos="360"/>
        </w:tabs>
        <w:ind w:left="360" w:hanging="360"/>
      </w:pPr>
      <w:rPr>
        <w:rFonts w:hint="default"/>
      </w:rPr>
    </w:lvl>
  </w:abstractNum>
  <w:abstractNum w:abstractNumId="51">
    <w:nsid w:val="0B8D4B9A"/>
    <w:multiLevelType w:val="hybridMultilevel"/>
    <w:tmpl w:val="2DCE89B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2">
    <w:nsid w:val="0BB12AD1"/>
    <w:multiLevelType w:val="singleLevel"/>
    <w:tmpl w:val="BC4A196C"/>
    <w:lvl w:ilvl="0">
      <w:start w:val="1"/>
      <w:numFmt w:val="decimal"/>
      <w:lvlText w:val="%1."/>
      <w:lvlJc w:val="left"/>
      <w:pPr>
        <w:tabs>
          <w:tab w:val="num" w:pos="1226"/>
        </w:tabs>
        <w:ind w:left="1226" w:hanging="375"/>
      </w:pPr>
      <w:rPr>
        <w:rFonts w:hint="default"/>
      </w:rPr>
    </w:lvl>
  </w:abstractNum>
  <w:abstractNum w:abstractNumId="53">
    <w:nsid w:val="0BB26202"/>
    <w:multiLevelType w:val="hybridMultilevel"/>
    <w:tmpl w:val="507276A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4">
    <w:nsid w:val="0BD47541"/>
    <w:multiLevelType w:val="hybridMultilevel"/>
    <w:tmpl w:val="14FA34C4"/>
    <w:lvl w:ilvl="0" w:tplc="1D8E3BF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0BEB71FC"/>
    <w:multiLevelType w:val="hybridMultilevel"/>
    <w:tmpl w:val="4D12168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6">
    <w:nsid w:val="0BF73057"/>
    <w:multiLevelType w:val="hybridMultilevel"/>
    <w:tmpl w:val="C796543E"/>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0C0E3471"/>
    <w:multiLevelType w:val="hybridMultilevel"/>
    <w:tmpl w:val="212AB1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0C34499E"/>
    <w:multiLevelType w:val="hybridMultilevel"/>
    <w:tmpl w:val="0F048920"/>
    <w:lvl w:ilvl="0" w:tplc="8014EABE">
      <w:start w:val="1"/>
      <w:numFmt w:val="lowerLetter"/>
      <w:lvlRestart w:val="0"/>
      <w:lvlText w:val="(%1)"/>
      <w:lvlJc w:val="right"/>
      <w:pPr>
        <w:tabs>
          <w:tab w:val="num" w:pos="2051"/>
        </w:tabs>
        <w:ind w:left="2051" w:hanging="227"/>
      </w:pPr>
      <w:rPr>
        <w:rFonts w:ascii="Times New Roman" w:hAnsi="Times New Roman"/>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60">
    <w:nsid w:val="0C7762BE"/>
    <w:multiLevelType w:val="singleLevel"/>
    <w:tmpl w:val="A73427AA"/>
    <w:lvl w:ilvl="0">
      <w:start w:val="1"/>
      <w:numFmt w:val="decimal"/>
      <w:lvlText w:val="%1."/>
      <w:lvlJc w:val="left"/>
      <w:pPr>
        <w:tabs>
          <w:tab w:val="num" w:pos="360"/>
        </w:tabs>
        <w:ind w:left="360" w:hanging="360"/>
      </w:pPr>
    </w:lvl>
  </w:abstractNum>
  <w:abstractNum w:abstractNumId="61">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62">
    <w:nsid w:val="0D5B13E2"/>
    <w:multiLevelType w:val="hybridMultilevel"/>
    <w:tmpl w:val="E3CA54A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0D5D51BD"/>
    <w:multiLevelType w:val="hybridMultilevel"/>
    <w:tmpl w:val="1BB66790"/>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0DDD0C48"/>
    <w:multiLevelType w:val="hybridMultilevel"/>
    <w:tmpl w:val="4AA4EFE0"/>
    <w:lvl w:ilvl="0" w:tplc="C3D8B12A">
      <w:start w:val="118"/>
      <w:numFmt w:val="decimal"/>
      <w:lvlText w:val="%1"/>
      <w:lvlJc w:val="left"/>
      <w:pPr>
        <w:tabs>
          <w:tab w:val="num" w:pos="480"/>
        </w:tabs>
        <w:ind w:left="480" w:hanging="480"/>
      </w:pPr>
      <w:rPr>
        <w:rFonts w:hint="eastAsia"/>
      </w:rPr>
    </w:lvl>
    <w:lvl w:ilvl="1" w:tplc="02FCFCAA">
      <w:start w:val="3"/>
      <w:numFmt w:val="upperLetter"/>
      <w:lvlText w:val="%2)"/>
      <w:lvlJc w:val="left"/>
      <w:pPr>
        <w:tabs>
          <w:tab w:val="num" w:pos="990"/>
        </w:tabs>
        <w:ind w:left="990" w:hanging="510"/>
      </w:pPr>
      <w:rPr>
        <w:rFonts w:hint="default"/>
      </w:rPr>
    </w:lvl>
    <w:lvl w:ilvl="2" w:tplc="FCE46D94">
      <w:start w:val="1"/>
      <w:numFmt w:val="decimal"/>
      <w:lvlText w:val="%3）"/>
      <w:lvlJc w:val="left"/>
      <w:pPr>
        <w:tabs>
          <w:tab w:val="num" w:pos="1320"/>
        </w:tabs>
        <w:ind w:left="1320" w:hanging="360"/>
      </w:pPr>
      <w:rPr>
        <w:rFonts w:hint="eastAsia"/>
      </w:rPr>
    </w:lvl>
    <w:lvl w:ilvl="3" w:tplc="619E7FB2">
      <w:start w:val="1"/>
      <w:numFmt w:val="decimal"/>
      <w:lvlText w:val="（%4）"/>
      <w:lvlJc w:val="left"/>
      <w:pPr>
        <w:tabs>
          <w:tab w:val="num" w:pos="2160"/>
        </w:tabs>
        <w:ind w:left="2160" w:hanging="720"/>
      </w:pPr>
      <w:rPr>
        <w:rFonts w:hint="eastAsia"/>
      </w:rPr>
    </w:lvl>
    <w:lvl w:ilvl="4" w:tplc="050A9084">
      <w:start w:val="4"/>
      <w:numFmt w:val="lowerLetter"/>
      <w:lvlText w:val="（%5）"/>
      <w:lvlJc w:val="left"/>
      <w:pPr>
        <w:tabs>
          <w:tab w:val="num" w:pos="2640"/>
        </w:tabs>
        <w:ind w:left="2640" w:hanging="720"/>
      </w:pPr>
      <w:rPr>
        <w:rFonts w:hint="eastAsia"/>
        <w:u w:val="none"/>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nsid w:val="0DF1052B"/>
    <w:multiLevelType w:val="hybridMultilevel"/>
    <w:tmpl w:val="D6B8F8F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7">
    <w:nsid w:val="0ED119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0F197049"/>
    <w:multiLevelType w:val="hybridMultilevel"/>
    <w:tmpl w:val="F146C76E"/>
    <w:lvl w:ilvl="0" w:tplc="0E4CD8E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0F8C2205"/>
    <w:multiLevelType w:val="hybridMultilevel"/>
    <w:tmpl w:val="A482AC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1">
    <w:nsid w:val="104D11CD"/>
    <w:multiLevelType w:val="singleLevel"/>
    <w:tmpl w:val="22CA27AA"/>
    <w:lvl w:ilvl="0">
      <w:start w:val="1"/>
      <w:numFmt w:val="upperLetter"/>
      <w:lvlText w:val="%1)"/>
      <w:lvlJc w:val="left"/>
      <w:pPr>
        <w:tabs>
          <w:tab w:val="num" w:pos="720"/>
        </w:tabs>
        <w:ind w:left="720" w:hanging="720"/>
      </w:pPr>
      <w:rPr>
        <w:rFonts w:hint="default"/>
        <w:u w:val="none"/>
      </w:rPr>
    </w:lvl>
  </w:abstractNum>
  <w:abstractNum w:abstractNumId="72">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108042B2"/>
    <w:multiLevelType w:val="hybridMultilevel"/>
    <w:tmpl w:val="BE543AEE"/>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10930B7F"/>
    <w:multiLevelType w:val="hybridMultilevel"/>
    <w:tmpl w:val="3DBEED12"/>
    <w:lvl w:ilvl="0" w:tplc="9D5C4972">
      <w:start w:val="993"/>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5">
    <w:nsid w:val="10D20D1E"/>
    <w:multiLevelType w:val="hybridMultilevel"/>
    <w:tmpl w:val="F70642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10D55EB2"/>
    <w:multiLevelType w:val="hybridMultilevel"/>
    <w:tmpl w:val="4D121684"/>
    <w:lvl w:ilvl="0" w:tplc="9E64097C">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7">
    <w:nsid w:val="10DD1233"/>
    <w:multiLevelType w:val="hybridMultilevel"/>
    <w:tmpl w:val="A01E1B08"/>
    <w:lvl w:ilvl="0" w:tplc="28583AC8">
      <w:start w:val="1"/>
      <w:numFmt w:val="bullet"/>
      <w:lvlText w:val=""/>
      <w:lvlJc w:val="left"/>
      <w:pPr>
        <w:tabs>
          <w:tab w:val="num" w:pos="1247"/>
        </w:tabs>
        <w:ind w:left="1247" w:hanging="527"/>
      </w:pPr>
      <w:rPr>
        <w:rFonts w:ascii="Symbol" w:hAnsi="Symbol" w:hint="default"/>
      </w:rPr>
    </w:lvl>
    <w:lvl w:ilvl="1" w:tplc="04090003" w:tentative="1">
      <w:start w:val="1"/>
      <w:numFmt w:val="bullet"/>
      <w:lvlText w:val="o"/>
      <w:lvlJc w:val="left"/>
      <w:pPr>
        <w:tabs>
          <w:tab w:val="num" w:pos="1423"/>
        </w:tabs>
        <w:ind w:left="1423" w:hanging="360"/>
      </w:pPr>
      <w:rPr>
        <w:rFonts w:ascii="Courier New" w:hAnsi="Courier New" w:hint="default"/>
      </w:rPr>
    </w:lvl>
    <w:lvl w:ilvl="2" w:tplc="04090005" w:tentative="1">
      <w:start w:val="1"/>
      <w:numFmt w:val="bullet"/>
      <w:lvlText w:val=""/>
      <w:lvlJc w:val="left"/>
      <w:pPr>
        <w:tabs>
          <w:tab w:val="num" w:pos="2143"/>
        </w:tabs>
        <w:ind w:left="2143" w:hanging="360"/>
      </w:pPr>
      <w:rPr>
        <w:rFonts w:ascii="Wingdings" w:hAnsi="Wingdings" w:hint="default"/>
      </w:rPr>
    </w:lvl>
    <w:lvl w:ilvl="3" w:tplc="04090001" w:tentative="1">
      <w:start w:val="1"/>
      <w:numFmt w:val="bullet"/>
      <w:lvlText w:val=""/>
      <w:lvlJc w:val="left"/>
      <w:pPr>
        <w:tabs>
          <w:tab w:val="num" w:pos="2863"/>
        </w:tabs>
        <w:ind w:left="2863" w:hanging="360"/>
      </w:pPr>
      <w:rPr>
        <w:rFonts w:ascii="Symbol" w:hAnsi="Symbol" w:hint="default"/>
      </w:rPr>
    </w:lvl>
    <w:lvl w:ilvl="4" w:tplc="04090003" w:tentative="1">
      <w:start w:val="1"/>
      <w:numFmt w:val="bullet"/>
      <w:lvlText w:val="o"/>
      <w:lvlJc w:val="left"/>
      <w:pPr>
        <w:tabs>
          <w:tab w:val="num" w:pos="3583"/>
        </w:tabs>
        <w:ind w:left="3583" w:hanging="360"/>
      </w:pPr>
      <w:rPr>
        <w:rFonts w:ascii="Courier New" w:hAnsi="Courier New" w:hint="default"/>
      </w:rPr>
    </w:lvl>
    <w:lvl w:ilvl="5" w:tplc="04090005" w:tentative="1">
      <w:start w:val="1"/>
      <w:numFmt w:val="bullet"/>
      <w:lvlText w:val=""/>
      <w:lvlJc w:val="left"/>
      <w:pPr>
        <w:tabs>
          <w:tab w:val="num" w:pos="4303"/>
        </w:tabs>
        <w:ind w:left="4303" w:hanging="360"/>
      </w:pPr>
      <w:rPr>
        <w:rFonts w:ascii="Wingdings" w:hAnsi="Wingdings" w:hint="default"/>
      </w:rPr>
    </w:lvl>
    <w:lvl w:ilvl="6" w:tplc="04090001" w:tentative="1">
      <w:start w:val="1"/>
      <w:numFmt w:val="bullet"/>
      <w:lvlText w:val=""/>
      <w:lvlJc w:val="left"/>
      <w:pPr>
        <w:tabs>
          <w:tab w:val="num" w:pos="5023"/>
        </w:tabs>
        <w:ind w:left="5023" w:hanging="360"/>
      </w:pPr>
      <w:rPr>
        <w:rFonts w:ascii="Symbol" w:hAnsi="Symbol" w:hint="default"/>
      </w:rPr>
    </w:lvl>
    <w:lvl w:ilvl="7" w:tplc="04090003" w:tentative="1">
      <w:start w:val="1"/>
      <w:numFmt w:val="bullet"/>
      <w:lvlText w:val="o"/>
      <w:lvlJc w:val="left"/>
      <w:pPr>
        <w:tabs>
          <w:tab w:val="num" w:pos="5743"/>
        </w:tabs>
        <w:ind w:left="5743" w:hanging="360"/>
      </w:pPr>
      <w:rPr>
        <w:rFonts w:ascii="Courier New" w:hAnsi="Courier New" w:hint="default"/>
      </w:rPr>
    </w:lvl>
    <w:lvl w:ilvl="8" w:tplc="04090005" w:tentative="1">
      <w:start w:val="1"/>
      <w:numFmt w:val="bullet"/>
      <w:lvlText w:val=""/>
      <w:lvlJc w:val="left"/>
      <w:pPr>
        <w:tabs>
          <w:tab w:val="num" w:pos="6463"/>
        </w:tabs>
        <w:ind w:left="6463" w:hanging="360"/>
      </w:pPr>
      <w:rPr>
        <w:rFonts w:ascii="Wingdings" w:hAnsi="Wingdings" w:hint="default"/>
      </w:rPr>
    </w:lvl>
  </w:abstractNum>
  <w:abstractNum w:abstractNumId="78">
    <w:nsid w:val="11691099"/>
    <w:multiLevelType w:val="hybridMultilevel"/>
    <w:tmpl w:val="C08EBE68"/>
    <w:lvl w:ilvl="0" w:tplc="FFFFFFFF">
      <w:start w:val="1"/>
      <w:numFmt w:val="decimal"/>
      <w:lvlText w:val="%1)"/>
      <w:lvlJc w:val="left"/>
      <w:pPr>
        <w:tabs>
          <w:tab w:val="num" w:pos="1095"/>
        </w:tabs>
        <w:ind w:left="1095" w:hanging="375"/>
      </w:pPr>
      <w:rPr>
        <w:rFonts w:eastAsia="Times New Roman"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9">
    <w:nsid w:val="119F476B"/>
    <w:multiLevelType w:val="hybridMultilevel"/>
    <w:tmpl w:val="3CCE3C4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0">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81">
    <w:nsid w:val="12173C38"/>
    <w:multiLevelType w:val="hybridMultilevel"/>
    <w:tmpl w:val="004A66A8"/>
    <w:lvl w:ilvl="0" w:tplc="E794C190">
      <w:start w:val="993"/>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83">
    <w:nsid w:val="12A90062"/>
    <w:multiLevelType w:val="hybridMultilevel"/>
    <w:tmpl w:val="A94C51A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4">
    <w:nsid w:val="12AF044B"/>
    <w:multiLevelType w:val="singleLevel"/>
    <w:tmpl w:val="C0C6E9D6"/>
    <w:lvl w:ilvl="0">
      <w:start w:val="1"/>
      <w:numFmt w:val="lowerLetter"/>
      <w:lvlText w:val="%1)"/>
      <w:lvlJc w:val="left"/>
      <w:pPr>
        <w:tabs>
          <w:tab w:val="num" w:pos="1800"/>
        </w:tabs>
        <w:ind w:left="1800" w:hanging="360"/>
      </w:pPr>
      <w:rPr>
        <w:rFonts w:hint="default"/>
      </w:rPr>
    </w:lvl>
  </w:abstractNum>
  <w:abstractNum w:abstractNumId="85">
    <w:nsid w:val="12E76B46"/>
    <w:multiLevelType w:val="hybridMultilevel"/>
    <w:tmpl w:val="2DCE89B4"/>
    <w:lvl w:ilvl="0" w:tplc="9EF243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6">
    <w:nsid w:val="12F5772C"/>
    <w:multiLevelType w:val="hybridMultilevel"/>
    <w:tmpl w:val="E26862CA"/>
    <w:lvl w:ilvl="0" w:tplc="FFFFFFFF">
      <w:start w:val="1999"/>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87">
    <w:nsid w:val="130306AD"/>
    <w:multiLevelType w:val="hybridMultilevel"/>
    <w:tmpl w:val="5914C660"/>
    <w:lvl w:ilvl="0" w:tplc="FFFFFFFF">
      <w:numFmt w:val="bullet"/>
      <w:lvlText w:val="-"/>
      <w:lvlJc w:val="left"/>
      <w:pPr>
        <w:tabs>
          <w:tab w:val="num" w:pos="720"/>
        </w:tabs>
        <w:ind w:left="720" w:hanging="360"/>
      </w:pPr>
      <w:rPr>
        <w:rFonts w:ascii="Times New Roman" w:eastAsia="Times New Roman" w:hAnsi="Times New Roman" w:cs="Times New Roman"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13085B49"/>
    <w:multiLevelType w:val="singleLevel"/>
    <w:tmpl w:val="7836469C"/>
    <w:lvl w:ilvl="0">
      <w:start w:val="1"/>
      <w:numFmt w:val="lowerLetter"/>
      <w:lvlText w:val="%1)"/>
      <w:lvlJc w:val="left"/>
      <w:pPr>
        <w:tabs>
          <w:tab w:val="num" w:pos="360"/>
        </w:tabs>
        <w:ind w:left="360" w:hanging="360"/>
      </w:pPr>
      <w:rPr>
        <w:rFonts w:hint="default"/>
      </w:rPr>
    </w:lvl>
  </w:abstractNum>
  <w:abstractNum w:abstractNumId="89">
    <w:nsid w:val="13637261"/>
    <w:multiLevelType w:val="multilevel"/>
    <w:tmpl w:val="E076BC2C"/>
    <w:lvl w:ilvl="0">
      <w:start w:val="30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13BC4AD4"/>
    <w:multiLevelType w:val="hybridMultilevel"/>
    <w:tmpl w:val="DA7668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14471122"/>
    <w:multiLevelType w:val="hybridMultilevel"/>
    <w:tmpl w:val="61BCC0E6"/>
    <w:lvl w:ilvl="0" w:tplc="FFFFFFFF">
      <w:start w:val="7"/>
      <w:numFmt w:val="decimal"/>
      <w:lvlText w:val="%1."/>
      <w:lvlJc w:val="left"/>
      <w:pPr>
        <w:tabs>
          <w:tab w:val="num" w:pos="360"/>
        </w:tabs>
        <w:ind w:left="360" w:hanging="36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2">
    <w:nsid w:val="146F0EBC"/>
    <w:multiLevelType w:val="hybridMultilevel"/>
    <w:tmpl w:val="E820B7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14B47FF4"/>
    <w:multiLevelType w:val="hybridMultilevel"/>
    <w:tmpl w:val="4D121684"/>
    <w:lvl w:ilvl="0" w:tplc="F3B046A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4">
    <w:nsid w:val="16154A7C"/>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95">
    <w:nsid w:val="161F48C5"/>
    <w:multiLevelType w:val="hybridMultilevel"/>
    <w:tmpl w:val="FE8280A8"/>
    <w:lvl w:ilvl="0" w:tplc="FFFFFFFF">
      <w:start w:val="1"/>
      <w:numFmt w:val="bullet"/>
      <w:lvlText w:val=""/>
      <w:lvlJc w:val="left"/>
      <w:pPr>
        <w:tabs>
          <w:tab w:val="num" w:pos="1894"/>
        </w:tabs>
        <w:ind w:left="2064" w:hanging="227"/>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cs="Tahoma"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Tahoma"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Tahoma"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96">
    <w:nsid w:val="16421EC1"/>
    <w:multiLevelType w:val="hybridMultilevel"/>
    <w:tmpl w:val="2B22FA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165A366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98">
    <w:nsid w:val="166133C7"/>
    <w:multiLevelType w:val="hybridMultilevel"/>
    <w:tmpl w:val="507276A8"/>
    <w:lvl w:ilvl="0" w:tplc="DB48F2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9">
    <w:nsid w:val="168B02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0">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1">
    <w:nsid w:val="16CA7D53"/>
    <w:multiLevelType w:val="singleLevel"/>
    <w:tmpl w:val="04090017"/>
    <w:lvl w:ilvl="0">
      <w:start w:val="1"/>
      <w:numFmt w:val="lowerLetter"/>
      <w:lvlText w:val="%1)"/>
      <w:lvlJc w:val="left"/>
      <w:pPr>
        <w:tabs>
          <w:tab w:val="num" w:pos="360"/>
        </w:tabs>
        <w:ind w:left="360" w:hanging="360"/>
      </w:pPr>
      <w:rPr>
        <w:rFonts w:hint="default"/>
      </w:rPr>
    </w:lvl>
  </w:abstractNum>
  <w:abstractNum w:abstractNumId="102">
    <w:nsid w:val="16DE07C6"/>
    <w:multiLevelType w:val="multilevel"/>
    <w:tmpl w:val="7F9856F8"/>
    <w:lvl w:ilvl="0">
      <w:start w:val="142"/>
      <w:numFmt w:val="decimal"/>
      <w:lvlText w:val="%1."/>
      <w:lvlJc w:val="left"/>
      <w:pPr>
        <w:tabs>
          <w:tab w:val="num" w:pos="360"/>
        </w:tabs>
        <w:ind w:left="360" w:hanging="360"/>
      </w:pPr>
      <w:rPr>
        <w:rFonts w:hint="default"/>
      </w:rPr>
    </w:lvl>
    <w:lvl w:ilvl="1">
      <w:start w:val="2"/>
      <w:numFmt w:val="lowerLetter"/>
      <w:lvlText w:val="%2."/>
      <w:lvlJc w:val="left"/>
      <w:pPr>
        <w:tabs>
          <w:tab w:val="num" w:pos="1620"/>
        </w:tabs>
        <w:ind w:left="162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3">
    <w:nsid w:val="16E50252"/>
    <w:multiLevelType w:val="hybridMultilevel"/>
    <w:tmpl w:val="FA821384"/>
    <w:lvl w:ilvl="0" w:tplc="FEC46854">
      <w:start w:val="1"/>
      <w:numFmt w:val="upp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nsid w:val="16FA16D9"/>
    <w:multiLevelType w:val="hybridMultilevel"/>
    <w:tmpl w:val="3DBEED12"/>
    <w:lvl w:ilvl="0" w:tplc="69D80946">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05">
    <w:nsid w:val="170C549E"/>
    <w:multiLevelType w:val="singleLevel"/>
    <w:tmpl w:val="01325DD6"/>
    <w:lvl w:ilvl="0">
      <w:start w:val="1"/>
      <w:numFmt w:val="lowerLetter"/>
      <w:lvlText w:val="(%1)"/>
      <w:lvlJc w:val="left"/>
      <w:pPr>
        <w:tabs>
          <w:tab w:val="num" w:pos="720"/>
        </w:tabs>
        <w:ind w:left="720" w:hanging="720"/>
      </w:pPr>
    </w:lvl>
  </w:abstractNum>
  <w:abstractNum w:abstractNumId="106">
    <w:nsid w:val="174C7C11"/>
    <w:multiLevelType w:val="hybridMultilevel"/>
    <w:tmpl w:val="7116DBE2"/>
    <w:lvl w:ilvl="0" w:tplc="EEFE1B2A">
      <w:start w:val="1"/>
      <w:numFmt w:val="lowerLetter"/>
      <w:lvlText w:val="（%1）"/>
      <w:lvlJc w:val="left"/>
      <w:pPr>
        <w:tabs>
          <w:tab w:val="num" w:pos="1120"/>
        </w:tabs>
        <w:ind w:left="1120" w:hanging="600"/>
      </w:pPr>
      <w:rPr>
        <w:rFonts w:hint="eastAsia"/>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107">
    <w:nsid w:val="179277C0"/>
    <w:multiLevelType w:val="hybridMultilevel"/>
    <w:tmpl w:val="8460F3B0"/>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9">
    <w:nsid w:val="17D33868"/>
    <w:multiLevelType w:val="singleLevel"/>
    <w:tmpl w:val="5298F1E4"/>
    <w:lvl w:ilvl="0">
      <w:start w:val="1"/>
      <w:numFmt w:val="decimal"/>
      <w:lvlText w:val="%1)"/>
      <w:lvlJc w:val="left"/>
      <w:pPr>
        <w:tabs>
          <w:tab w:val="num" w:pos="1440"/>
        </w:tabs>
        <w:ind w:left="1440" w:hanging="720"/>
      </w:pPr>
      <w:rPr>
        <w:rFonts w:hint="default"/>
      </w:rPr>
    </w:lvl>
  </w:abstractNum>
  <w:abstractNum w:abstractNumId="110">
    <w:nsid w:val="18360711"/>
    <w:multiLevelType w:val="singleLevel"/>
    <w:tmpl w:val="81425EF0"/>
    <w:lvl w:ilvl="0">
      <w:start w:val="1"/>
      <w:numFmt w:val="lowerLetter"/>
      <w:lvlText w:val="%1)"/>
      <w:lvlJc w:val="left"/>
      <w:pPr>
        <w:tabs>
          <w:tab w:val="num" w:pos="2160"/>
        </w:tabs>
        <w:ind w:left="2160" w:hanging="720"/>
      </w:pPr>
      <w:rPr>
        <w:rFonts w:hint="default"/>
      </w:rPr>
    </w:lvl>
  </w:abstractNum>
  <w:abstractNum w:abstractNumId="111">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12">
    <w:nsid w:val="18C502D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3">
    <w:nsid w:val="18DF5B31"/>
    <w:multiLevelType w:val="hybridMultilevel"/>
    <w:tmpl w:val="5E5A21C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4">
    <w:nsid w:val="18EE1631"/>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nsid w:val="193A776F"/>
    <w:multiLevelType w:val="hybridMultilevel"/>
    <w:tmpl w:val="47E82694"/>
    <w:lvl w:ilvl="0" w:tplc="D96A39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nsid w:val="19EA5C14"/>
    <w:multiLevelType w:val="singleLevel"/>
    <w:tmpl w:val="80746B2C"/>
    <w:lvl w:ilvl="0">
      <w:numFmt w:val="bullet"/>
      <w:lvlText w:val="-"/>
      <w:lvlJc w:val="left"/>
      <w:pPr>
        <w:tabs>
          <w:tab w:val="num" w:pos="360"/>
        </w:tabs>
        <w:ind w:left="360" w:hanging="360"/>
      </w:pPr>
      <w:rPr>
        <w:rFonts w:hint="default"/>
      </w:rPr>
    </w:lvl>
  </w:abstractNum>
  <w:abstractNum w:abstractNumId="117">
    <w:nsid w:val="1AAD1B2D"/>
    <w:multiLevelType w:val="multilevel"/>
    <w:tmpl w:val="722A538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8">
    <w:nsid w:val="1ABB352C"/>
    <w:multiLevelType w:val="hybridMultilevel"/>
    <w:tmpl w:val="5D6C5AA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1ADD4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0">
    <w:nsid w:val="1AE3209C"/>
    <w:multiLevelType w:val="hybridMultilevel"/>
    <w:tmpl w:val="6BA061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1B62335E"/>
    <w:multiLevelType w:val="hybridMultilevel"/>
    <w:tmpl w:val="A4641A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1B956A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3">
    <w:nsid w:val="1BD86E45"/>
    <w:multiLevelType w:val="hybridMultilevel"/>
    <w:tmpl w:val="2E5853D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4">
    <w:nsid w:val="1BF41CAF"/>
    <w:multiLevelType w:val="hybridMultilevel"/>
    <w:tmpl w:val="E2707B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5">
    <w:nsid w:val="1C0B0358"/>
    <w:multiLevelType w:val="hybridMultilevel"/>
    <w:tmpl w:val="D16A45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6">
    <w:nsid w:val="1C564BB8"/>
    <w:multiLevelType w:val="hybridMultilevel"/>
    <w:tmpl w:val="1C86AFD4"/>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28">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1DB7225D"/>
    <w:multiLevelType w:val="hybridMultilevel"/>
    <w:tmpl w:val="2A0EB98A"/>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1DD949A9"/>
    <w:multiLevelType w:val="hybridMultilevel"/>
    <w:tmpl w:val="F072CD46"/>
    <w:lvl w:ilvl="0" w:tplc="FFFFFFFF">
      <w:start w:val="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1">
    <w:nsid w:val="1DE815A2"/>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
    <w:nsid w:val="1E0857AD"/>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33">
    <w:nsid w:val="1E51518A"/>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1F2865F1"/>
    <w:multiLevelType w:val="hybridMultilevel"/>
    <w:tmpl w:val="BB645EC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1F6F1ED7"/>
    <w:multiLevelType w:val="hybridMultilevel"/>
    <w:tmpl w:val="A69AF90E"/>
    <w:lvl w:ilvl="0" w:tplc="A9968580">
      <w:numFmt w:val="bullet"/>
      <w:lvlText w:val="-"/>
      <w:lvlJc w:val="left"/>
      <w:pPr>
        <w:tabs>
          <w:tab w:val="num" w:pos="2160"/>
        </w:tabs>
        <w:ind w:left="2160" w:hanging="720"/>
      </w:pPr>
      <w:rPr>
        <w:rFonts w:ascii="Symbol" w:hAnsi="Symbol" w:cs="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6">
    <w:nsid w:val="1F942A31"/>
    <w:multiLevelType w:val="singleLevel"/>
    <w:tmpl w:val="8CF63AA8"/>
    <w:lvl w:ilvl="0">
      <w:start w:val="3"/>
      <w:numFmt w:val="bullet"/>
      <w:lvlText w:val="-"/>
      <w:lvlJc w:val="left"/>
      <w:pPr>
        <w:tabs>
          <w:tab w:val="num" w:pos="1800"/>
        </w:tabs>
        <w:ind w:left="1800" w:hanging="360"/>
      </w:pPr>
      <w:rPr>
        <w:rFonts w:ascii="Times New Roman" w:hAnsi="Times New Roman" w:cs="Times New Roman" w:hint="default"/>
      </w:rPr>
    </w:lvl>
  </w:abstractNum>
  <w:abstractNum w:abstractNumId="137">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38">
    <w:nsid w:val="1FDF5918"/>
    <w:multiLevelType w:val="hybridMultilevel"/>
    <w:tmpl w:val="646014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1FEA042F"/>
    <w:multiLevelType w:val="hybridMultilevel"/>
    <w:tmpl w:val="5084549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0">
    <w:nsid w:val="202845E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41">
    <w:nsid w:val="20E06002"/>
    <w:multiLevelType w:val="hybridMultilevel"/>
    <w:tmpl w:val="A94E8DCC"/>
    <w:lvl w:ilvl="0" w:tplc="28746E7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211012F4"/>
    <w:multiLevelType w:val="hybridMultilevel"/>
    <w:tmpl w:val="4D121684"/>
    <w:lvl w:ilvl="0" w:tplc="9E64097C">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3">
    <w:nsid w:val="212536FA"/>
    <w:multiLevelType w:val="hybridMultilevel"/>
    <w:tmpl w:val="874C0AF4"/>
    <w:lvl w:ilvl="0" w:tplc="5784BD92">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212F478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45">
    <w:nsid w:val="214761E5"/>
    <w:multiLevelType w:val="singleLevel"/>
    <w:tmpl w:val="8D9E8E96"/>
    <w:lvl w:ilvl="0">
      <w:start w:val="1"/>
      <w:numFmt w:val="decimal"/>
      <w:lvlText w:val="%1)"/>
      <w:lvlJc w:val="left"/>
      <w:pPr>
        <w:tabs>
          <w:tab w:val="num" w:pos="1080"/>
        </w:tabs>
        <w:ind w:left="1080" w:hanging="360"/>
      </w:pPr>
      <w:rPr>
        <w:rFonts w:hint="default"/>
      </w:rPr>
    </w:lvl>
  </w:abstractNum>
  <w:abstractNum w:abstractNumId="146">
    <w:nsid w:val="216378C2"/>
    <w:multiLevelType w:val="hybridMultilevel"/>
    <w:tmpl w:val="112E6CE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21C94D59"/>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48">
    <w:nsid w:val="220603C1"/>
    <w:multiLevelType w:val="hybridMultilevel"/>
    <w:tmpl w:val="7550D906"/>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15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233D05CE"/>
    <w:multiLevelType w:val="hybridMultilevel"/>
    <w:tmpl w:val="C92C18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2">
    <w:nsid w:val="2353711A"/>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
    <w:nsid w:val="23BF1039"/>
    <w:multiLevelType w:val="hybridMultilevel"/>
    <w:tmpl w:val="07E2BE50"/>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4">
    <w:nsid w:val="23BF7E57"/>
    <w:multiLevelType w:val="hybridMultilevel"/>
    <w:tmpl w:val="A94E8DCC"/>
    <w:lvl w:ilvl="0" w:tplc="058042A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23D96D76"/>
    <w:multiLevelType w:val="hybridMultilevel"/>
    <w:tmpl w:val="52CE308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56">
    <w:nsid w:val="24672D1A"/>
    <w:multiLevelType w:val="hybridMultilevel"/>
    <w:tmpl w:val="09F6680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248672D8"/>
    <w:multiLevelType w:val="hybridMultilevel"/>
    <w:tmpl w:val="239A18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8">
    <w:nsid w:val="24982294"/>
    <w:multiLevelType w:val="hybridMultilevel"/>
    <w:tmpl w:val="9AF646F0"/>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9">
    <w:nsid w:val="24B457C0"/>
    <w:multiLevelType w:val="hybridMultilevel"/>
    <w:tmpl w:val="3E4AF8D4"/>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24FF16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1">
    <w:nsid w:val="25A85F66"/>
    <w:multiLevelType w:val="hybridMultilevel"/>
    <w:tmpl w:val="FCC0F05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16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4">
    <w:nsid w:val="264A229E"/>
    <w:multiLevelType w:val="hybridMultilevel"/>
    <w:tmpl w:val="63820EF2"/>
    <w:lvl w:ilvl="0" w:tplc="7C483E4C">
      <w:start w:val="1"/>
      <w:numFmt w:val="lowerLetter"/>
      <w:lvlText w:val="(%1)"/>
      <w:lvlJc w:val="left"/>
      <w:pPr>
        <w:tabs>
          <w:tab w:val="num" w:pos="805"/>
        </w:tabs>
        <w:ind w:left="805" w:hanging="285"/>
      </w:pPr>
      <w:rPr>
        <w:rFonts w:hint="eastAsia"/>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165">
    <w:nsid w:val="267E5D25"/>
    <w:multiLevelType w:val="hybridMultilevel"/>
    <w:tmpl w:val="5188471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6">
    <w:nsid w:val="26DB5D42"/>
    <w:multiLevelType w:val="hybridMultilevel"/>
    <w:tmpl w:val="FBACA054"/>
    <w:lvl w:ilvl="0" w:tplc="FFFFFFFF">
      <w:start w:val="1"/>
      <w:numFmt w:val="upperLetter"/>
      <w:lvlText w:val="%1)"/>
      <w:lvlJc w:val="left"/>
      <w:pPr>
        <w:tabs>
          <w:tab w:val="num" w:pos="1440"/>
        </w:tabs>
        <w:ind w:left="1440" w:hanging="720"/>
      </w:pPr>
      <w:rPr>
        <w:rFonts w:hint="default"/>
        <w:u w:val="none"/>
      </w:rPr>
    </w:lvl>
    <w:lvl w:ilvl="1" w:tplc="FFFFFFFF">
      <w:start w:val="13"/>
      <w:numFmt w:val="decimal"/>
      <w:lvlText w:val="%2."/>
      <w:lvlJc w:val="left"/>
      <w:pPr>
        <w:tabs>
          <w:tab w:val="num" w:pos="2160"/>
        </w:tabs>
        <w:ind w:left="2160" w:hanging="72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7">
    <w:nsid w:val="2717512A"/>
    <w:multiLevelType w:val="hybridMultilevel"/>
    <w:tmpl w:val="D7F686AC"/>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68">
    <w:nsid w:val="2733109D"/>
    <w:multiLevelType w:val="singleLevel"/>
    <w:tmpl w:val="3230A224"/>
    <w:lvl w:ilvl="0">
      <w:start w:val="1"/>
      <w:numFmt w:val="upperLetter"/>
      <w:lvlText w:val="%1)"/>
      <w:lvlJc w:val="left"/>
      <w:pPr>
        <w:tabs>
          <w:tab w:val="num" w:pos="720"/>
        </w:tabs>
        <w:ind w:left="720" w:hanging="720"/>
      </w:pPr>
      <w:rPr>
        <w:rFonts w:hint="default"/>
      </w:rPr>
    </w:lvl>
  </w:abstractNum>
  <w:abstractNum w:abstractNumId="169">
    <w:nsid w:val="275E74BC"/>
    <w:multiLevelType w:val="hybridMultilevel"/>
    <w:tmpl w:val="20249042"/>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28021FBA"/>
    <w:multiLevelType w:val="hybridMultilevel"/>
    <w:tmpl w:val="9918923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1">
    <w:nsid w:val="28667E07"/>
    <w:multiLevelType w:val="hybridMultilevel"/>
    <w:tmpl w:val="3E50F3F4"/>
    <w:lvl w:ilvl="0" w:tplc="A844E8D8">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289C1775"/>
    <w:multiLevelType w:val="singleLevel"/>
    <w:tmpl w:val="48043932"/>
    <w:lvl w:ilvl="0">
      <w:start w:val="1"/>
      <w:numFmt w:val="upperLetter"/>
      <w:lvlText w:val="%1)"/>
      <w:lvlJc w:val="left"/>
      <w:pPr>
        <w:tabs>
          <w:tab w:val="num" w:pos="360"/>
        </w:tabs>
        <w:ind w:left="360" w:hanging="360"/>
      </w:pPr>
      <w:rPr>
        <w:rFonts w:hint="default"/>
      </w:rPr>
    </w:lvl>
  </w:abstractNum>
  <w:abstractNum w:abstractNumId="173">
    <w:nsid w:val="28A328C5"/>
    <w:multiLevelType w:val="hybridMultilevel"/>
    <w:tmpl w:val="B32A02C0"/>
    <w:lvl w:ilvl="0" w:tplc="5A1A237A">
      <w:start w:val="1"/>
      <w:numFmt w:val="bullet"/>
      <w:lvlText w:val=""/>
      <w:lvlJc w:val="left"/>
      <w:pPr>
        <w:tabs>
          <w:tab w:val="num" w:pos="480"/>
        </w:tabs>
        <w:ind w:left="480" w:hanging="480"/>
      </w:pPr>
      <w:rPr>
        <w:rFonts w:ascii="Symbol" w:hAnsi="Symbol" w:hint="default"/>
      </w:rPr>
    </w:lvl>
    <w:lvl w:ilvl="1" w:tplc="02FCFCAA">
      <w:start w:val="3"/>
      <w:numFmt w:val="upperLetter"/>
      <w:lvlText w:val="%2)"/>
      <w:lvlJc w:val="left"/>
      <w:pPr>
        <w:tabs>
          <w:tab w:val="num" w:pos="990"/>
        </w:tabs>
        <w:ind w:left="990" w:hanging="510"/>
      </w:pPr>
      <w:rPr>
        <w:rFonts w:hint="default"/>
      </w:rPr>
    </w:lvl>
    <w:lvl w:ilvl="2" w:tplc="FCE46D94">
      <w:start w:val="1"/>
      <w:numFmt w:val="decimal"/>
      <w:lvlText w:val="%3）"/>
      <w:lvlJc w:val="left"/>
      <w:pPr>
        <w:tabs>
          <w:tab w:val="num" w:pos="1320"/>
        </w:tabs>
        <w:ind w:left="1320" w:hanging="360"/>
      </w:pPr>
      <w:rPr>
        <w:rFonts w:hint="eastAsia"/>
      </w:rPr>
    </w:lvl>
    <w:lvl w:ilvl="3" w:tplc="619E7FB2">
      <w:start w:val="1"/>
      <w:numFmt w:val="decimal"/>
      <w:lvlText w:val="（%4）"/>
      <w:lvlJc w:val="left"/>
      <w:pPr>
        <w:tabs>
          <w:tab w:val="num" w:pos="2160"/>
        </w:tabs>
        <w:ind w:left="2160" w:hanging="720"/>
      </w:pPr>
      <w:rPr>
        <w:rFonts w:hint="eastAsia"/>
      </w:rPr>
    </w:lvl>
    <w:lvl w:ilvl="4" w:tplc="F294BB80">
      <w:start w:val="6"/>
      <w:numFmt w:val="lowerLetter"/>
      <w:lvlText w:val="（%5）"/>
      <w:lvlJc w:val="left"/>
      <w:pPr>
        <w:tabs>
          <w:tab w:val="num" w:pos="2640"/>
        </w:tabs>
        <w:ind w:left="2640" w:hanging="720"/>
      </w:pPr>
      <w:rPr>
        <w:rFonts w:hint="eastAsia"/>
        <w:u w:val="none"/>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4">
    <w:nsid w:val="2926486F"/>
    <w:multiLevelType w:val="hybridMultilevel"/>
    <w:tmpl w:val="3DBEED12"/>
    <w:lvl w:ilvl="0" w:tplc="058042A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6">
    <w:nsid w:val="29AC6849"/>
    <w:multiLevelType w:val="hybridMultilevel"/>
    <w:tmpl w:val="223CD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29E9142A"/>
    <w:multiLevelType w:val="hybridMultilevel"/>
    <w:tmpl w:val="BBC625BA"/>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78">
    <w:nsid w:val="2A5D730F"/>
    <w:multiLevelType w:val="hybridMultilevel"/>
    <w:tmpl w:val="9E76C31C"/>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9">
    <w:nsid w:val="2A94337F"/>
    <w:multiLevelType w:val="hybridMultilevel"/>
    <w:tmpl w:val="2DCE89B4"/>
    <w:lvl w:ilvl="0" w:tplc="57802B1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0">
    <w:nsid w:val="2AAB2188"/>
    <w:multiLevelType w:val="hybridMultilevel"/>
    <w:tmpl w:val="9990B19E"/>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1">
    <w:nsid w:val="2B3F49C6"/>
    <w:multiLevelType w:val="singleLevel"/>
    <w:tmpl w:val="720CB540"/>
    <w:lvl w:ilvl="0">
      <w:start w:val="1"/>
      <w:numFmt w:val="lowerRoman"/>
      <w:lvlText w:val="(%1)"/>
      <w:lvlJc w:val="right"/>
      <w:pPr>
        <w:tabs>
          <w:tab w:val="num" w:pos="2160"/>
        </w:tabs>
        <w:ind w:left="2160" w:hanging="516"/>
      </w:pPr>
    </w:lvl>
  </w:abstractNum>
  <w:abstractNum w:abstractNumId="182">
    <w:nsid w:val="2BA105E5"/>
    <w:multiLevelType w:val="singleLevel"/>
    <w:tmpl w:val="98E4F76C"/>
    <w:lvl w:ilvl="0">
      <w:start w:val="5"/>
      <w:numFmt w:val="upperLetter"/>
      <w:lvlText w:val="%1)"/>
      <w:lvlJc w:val="left"/>
      <w:pPr>
        <w:tabs>
          <w:tab w:val="num" w:pos="720"/>
        </w:tabs>
        <w:ind w:left="720" w:hanging="720"/>
      </w:pPr>
      <w:rPr>
        <w:rFonts w:hint="default"/>
      </w:rPr>
    </w:lvl>
  </w:abstractNum>
  <w:abstractNum w:abstractNumId="183">
    <w:nsid w:val="2BC71AEF"/>
    <w:multiLevelType w:val="multilevel"/>
    <w:tmpl w:val="C09CDBFE"/>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4">
    <w:nsid w:val="2BE93B56"/>
    <w:multiLevelType w:val="hybridMultilevel"/>
    <w:tmpl w:val="9A9AB326"/>
    <w:lvl w:ilvl="0" w:tplc="FFFFFFFF">
      <w:start w:val="23"/>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5">
    <w:nsid w:val="2C4344C2"/>
    <w:multiLevelType w:val="singleLevel"/>
    <w:tmpl w:val="327067BE"/>
    <w:lvl w:ilvl="0">
      <w:start w:val="1"/>
      <w:numFmt w:val="upperLetter"/>
      <w:lvlText w:val="%1)"/>
      <w:lvlJc w:val="left"/>
      <w:pPr>
        <w:tabs>
          <w:tab w:val="num" w:pos="720"/>
        </w:tabs>
        <w:ind w:left="720" w:hanging="720"/>
      </w:pPr>
      <w:rPr>
        <w:rFonts w:hint="default"/>
      </w:rPr>
    </w:lvl>
  </w:abstractNum>
  <w:abstractNum w:abstractNumId="186">
    <w:nsid w:val="2C5868DB"/>
    <w:multiLevelType w:val="singleLevel"/>
    <w:tmpl w:val="B7DE30FC"/>
    <w:lvl w:ilvl="0">
      <w:start w:val="1"/>
      <w:numFmt w:val="decimal"/>
      <w:lvlText w:val="%1)"/>
      <w:lvlJc w:val="left"/>
      <w:pPr>
        <w:tabs>
          <w:tab w:val="num" w:pos="1440"/>
        </w:tabs>
        <w:ind w:left="1440" w:hanging="720"/>
      </w:pPr>
      <w:rPr>
        <w:rFonts w:hint="default"/>
      </w:rPr>
    </w:lvl>
  </w:abstractNum>
  <w:abstractNum w:abstractNumId="187">
    <w:nsid w:val="2C643735"/>
    <w:multiLevelType w:val="hybridMultilevel"/>
    <w:tmpl w:val="473ACFB6"/>
    <w:lvl w:ilvl="0" w:tplc="FFFFFFFF">
      <w:start w:val="1"/>
      <w:numFmt w:val="bullet"/>
      <w:lvlText w:val=""/>
      <w:lvlJc w:val="left"/>
      <w:pPr>
        <w:tabs>
          <w:tab w:val="num" w:pos="2880"/>
        </w:tabs>
        <w:ind w:left="2880" w:hanging="360"/>
      </w:pPr>
      <w:rPr>
        <w:rFonts w:ascii="Symbol" w:hAnsi="Symbol" w:hint="default"/>
      </w:rPr>
    </w:lvl>
    <w:lvl w:ilvl="1" w:tplc="FFFFFFFF" w:tentative="1">
      <w:start w:val="1"/>
      <w:numFmt w:val="bullet"/>
      <w:lvlText w:val="o"/>
      <w:lvlJc w:val="left"/>
      <w:pPr>
        <w:tabs>
          <w:tab w:val="num" w:pos="3600"/>
        </w:tabs>
        <w:ind w:left="3600" w:hanging="360"/>
      </w:pPr>
      <w:rPr>
        <w:rFonts w:ascii="Courier New" w:hAnsi="Courier New" w:cs="Tahoma"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cs="Tahoma"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cs="Tahoma"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188">
    <w:nsid w:val="2CA86CE0"/>
    <w:multiLevelType w:val="hybridMultilevel"/>
    <w:tmpl w:val="8F04280E"/>
    <w:lvl w:ilvl="0" w:tplc="FFFFFFFF">
      <w:start w:val="1"/>
      <w:numFmt w:val="lowerLetter"/>
      <w:lvlText w:val="%1)"/>
      <w:lvlJc w:val="left"/>
      <w:pPr>
        <w:tabs>
          <w:tab w:val="num" w:pos="1410"/>
        </w:tabs>
        <w:ind w:left="1410" w:hanging="87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89">
    <w:nsid w:val="2D252000"/>
    <w:multiLevelType w:val="hybridMultilevel"/>
    <w:tmpl w:val="C82CC33C"/>
    <w:lvl w:ilvl="0" w:tplc="FFFFFFFF">
      <w:start w:val="1"/>
      <w:numFmt w:val="decimal"/>
      <w:lvlText w:val="%1)"/>
      <w:lvlJc w:val="left"/>
      <w:pPr>
        <w:tabs>
          <w:tab w:val="num" w:pos="720"/>
        </w:tabs>
        <w:ind w:left="720" w:hanging="48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190">
    <w:nsid w:val="2D683AF9"/>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nsid w:val="2D6C54DF"/>
    <w:multiLevelType w:val="hybridMultilevel"/>
    <w:tmpl w:val="66264AE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92">
    <w:nsid w:val="2D776787"/>
    <w:multiLevelType w:val="hybridMultilevel"/>
    <w:tmpl w:val="F67C9B72"/>
    <w:lvl w:ilvl="0" w:tplc="28583AC8">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3">
    <w:nsid w:val="2DDE6A52"/>
    <w:multiLevelType w:val="hybridMultilevel"/>
    <w:tmpl w:val="50845494"/>
    <w:lvl w:ilvl="0" w:tplc="C55849F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4">
    <w:nsid w:val="2E3F523C"/>
    <w:multiLevelType w:val="hybridMultilevel"/>
    <w:tmpl w:val="1CD80E6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5">
    <w:nsid w:val="2E5A6EE0"/>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nsid w:val="2E994F33"/>
    <w:multiLevelType w:val="hybridMultilevel"/>
    <w:tmpl w:val="26502D5A"/>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2EAB1817"/>
    <w:multiLevelType w:val="hybridMultilevel"/>
    <w:tmpl w:val="C2A4909A"/>
    <w:lvl w:ilvl="0" w:tplc="FFFFFFFF">
      <w:start w:val="11"/>
      <w:numFmt w:val="bullet"/>
      <w:lvlText w:val="-"/>
      <w:lvlJc w:val="left"/>
      <w:pPr>
        <w:tabs>
          <w:tab w:val="num" w:pos="600"/>
        </w:tabs>
        <w:ind w:left="600" w:hanging="360"/>
      </w:pPr>
      <w:rPr>
        <w:rFonts w:ascii="Times New Roman" w:eastAsia="Arial Unicode MS"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198">
    <w:nsid w:val="2F087497"/>
    <w:multiLevelType w:val="hybridMultilevel"/>
    <w:tmpl w:val="A94C51A8"/>
    <w:lvl w:ilvl="0" w:tplc="95C8AAF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9">
    <w:nsid w:val="2F0B6E3D"/>
    <w:multiLevelType w:val="singleLevel"/>
    <w:tmpl w:val="80746B2C"/>
    <w:lvl w:ilvl="0">
      <w:start w:val="5"/>
      <w:numFmt w:val="bullet"/>
      <w:lvlText w:val="-"/>
      <w:lvlJc w:val="left"/>
      <w:pPr>
        <w:tabs>
          <w:tab w:val="num" w:pos="360"/>
        </w:tabs>
        <w:ind w:left="360" w:hanging="360"/>
      </w:pPr>
      <w:rPr>
        <w:rFonts w:hint="default"/>
      </w:rPr>
    </w:lvl>
  </w:abstractNum>
  <w:abstractNum w:abstractNumId="200">
    <w:nsid w:val="2F3E1A53"/>
    <w:multiLevelType w:val="hybridMultilevel"/>
    <w:tmpl w:val="32229F8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01">
    <w:nsid w:val="2F917E79"/>
    <w:multiLevelType w:val="singleLevel"/>
    <w:tmpl w:val="89981B76"/>
    <w:lvl w:ilvl="0">
      <w:start w:val="1"/>
      <w:numFmt w:val="upperLetter"/>
      <w:lvlText w:val="%1)"/>
      <w:lvlJc w:val="left"/>
      <w:pPr>
        <w:tabs>
          <w:tab w:val="num" w:pos="720"/>
        </w:tabs>
        <w:ind w:left="720" w:hanging="720"/>
      </w:pPr>
      <w:rPr>
        <w:rFonts w:hint="default"/>
        <w:u w:val="none"/>
      </w:rPr>
    </w:lvl>
  </w:abstractNum>
  <w:abstractNum w:abstractNumId="202">
    <w:nsid w:val="300C6B47"/>
    <w:multiLevelType w:val="hybridMultilevel"/>
    <w:tmpl w:val="A5146606"/>
    <w:lvl w:ilvl="0" w:tplc="FFFFFFFF">
      <w:start w:val="23"/>
      <w:numFmt w:val="bullet"/>
      <w:lvlText w:val="-"/>
      <w:lvlJc w:val="left"/>
      <w:pPr>
        <w:tabs>
          <w:tab w:val="num" w:pos="2520"/>
        </w:tabs>
        <w:ind w:left="2520" w:hanging="360"/>
      </w:pPr>
      <w:rPr>
        <w:rFonts w:ascii="Times New Roman" w:eastAsia="Times New Roman" w:hAnsi="Times New Roman" w:cs="Times New Roman"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203">
    <w:nsid w:val="302A75A7"/>
    <w:multiLevelType w:val="singleLevel"/>
    <w:tmpl w:val="3496DD40"/>
    <w:lvl w:ilvl="0">
      <w:start w:val="1"/>
      <w:numFmt w:val="decimal"/>
      <w:lvlText w:val="(%1)"/>
      <w:lvlJc w:val="left"/>
      <w:pPr>
        <w:tabs>
          <w:tab w:val="num" w:pos="1440"/>
        </w:tabs>
        <w:ind w:left="1440" w:hanging="720"/>
      </w:pPr>
    </w:lvl>
  </w:abstractNum>
  <w:abstractNum w:abstractNumId="204">
    <w:nsid w:val="30376F21"/>
    <w:multiLevelType w:val="hybridMultilevel"/>
    <w:tmpl w:val="68BA4764"/>
    <w:lvl w:ilvl="0" w:tplc="52B8BF88">
      <w:start w:val="1"/>
      <w:numFmt w:val="lowerLetter"/>
      <w:lvlText w:val="（%1）"/>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nsid w:val="30515E98"/>
    <w:multiLevelType w:val="hybridMultilevel"/>
    <w:tmpl w:val="B5F4CDDE"/>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6">
    <w:nsid w:val="3064217A"/>
    <w:multiLevelType w:val="hybridMultilevel"/>
    <w:tmpl w:val="0D28F8B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7">
    <w:nsid w:val="30B264BC"/>
    <w:multiLevelType w:val="hybridMultilevel"/>
    <w:tmpl w:val="CD466A8A"/>
    <w:lvl w:ilvl="0" w:tplc="E01E8DD0">
      <w:start w:val="1"/>
      <w:numFmt w:val="upperLetter"/>
      <w:lvlText w:val="%1)"/>
      <w:lvlJc w:val="left"/>
      <w:pPr>
        <w:tabs>
          <w:tab w:val="num" w:pos="510"/>
        </w:tabs>
        <w:ind w:left="510" w:hanging="51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8">
    <w:nsid w:val="315B2B04"/>
    <w:multiLevelType w:val="singleLevel"/>
    <w:tmpl w:val="0409000F"/>
    <w:lvl w:ilvl="0">
      <w:start w:val="1"/>
      <w:numFmt w:val="decimal"/>
      <w:lvlText w:val="%1."/>
      <w:lvlJc w:val="left"/>
      <w:pPr>
        <w:tabs>
          <w:tab w:val="num" w:pos="360"/>
        </w:tabs>
        <w:ind w:left="360" w:hanging="360"/>
      </w:pPr>
    </w:lvl>
  </w:abstractNum>
  <w:abstractNum w:abstractNumId="209">
    <w:nsid w:val="317D434D"/>
    <w:multiLevelType w:val="hybridMultilevel"/>
    <w:tmpl w:val="575A9AFA"/>
    <w:lvl w:ilvl="0" w:tplc="91B8B806">
      <w:start w:val="1"/>
      <w:numFmt w:val="lowerLetter"/>
      <w:lvlRestart w:val="0"/>
      <w:lvlText w:val="(%1)"/>
      <w:lvlJc w:val="right"/>
      <w:pPr>
        <w:tabs>
          <w:tab w:val="num" w:pos="2041"/>
        </w:tabs>
        <w:ind w:left="2041" w:hanging="227"/>
      </w:pPr>
      <w:rPr>
        <w:rFonts w:ascii="Times New Roman" w:hAnsi="Times New Roman"/>
        <w:b w:val="0"/>
        <w:i w:val="0"/>
        <w:sz w:val="24"/>
      </w:rPr>
    </w:lvl>
    <w:lvl w:ilvl="1" w:tplc="91B8B806">
      <w:start w:val="1"/>
      <w:numFmt w:val="lowerLetter"/>
      <w:lvlRestart w:val="0"/>
      <w:lvlText w:val="(%2)"/>
      <w:lvlJc w:val="right"/>
      <w:pPr>
        <w:tabs>
          <w:tab w:val="num" w:pos="1217"/>
        </w:tabs>
        <w:ind w:left="1217" w:hanging="227"/>
      </w:pPr>
      <w:rPr>
        <w:rFonts w:ascii="Times New Roman" w:hAnsi="Times New Roman"/>
        <w:b w:val="0"/>
        <w:i w:val="0"/>
        <w:sz w:val="24"/>
      </w:r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0">
    <w:nsid w:val="31BE73B8"/>
    <w:multiLevelType w:val="hybridMultilevel"/>
    <w:tmpl w:val="3880EFBA"/>
    <w:lvl w:ilvl="0" w:tplc="FFFFFFFF">
      <w:start w:val="1"/>
      <w:numFmt w:val="bullet"/>
      <w:lvlText w:val=""/>
      <w:lvlJc w:val="left"/>
      <w:pPr>
        <w:tabs>
          <w:tab w:val="num" w:pos="1440"/>
        </w:tabs>
        <w:ind w:left="1440" w:hanging="360"/>
      </w:pPr>
      <w:rPr>
        <w:rFonts w:ascii="Wingdings" w:hAnsi="Wingdings"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1">
    <w:nsid w:val="31C50B1A"/>
    <w:multiLevelType w:val="singleLevel"/>
    <w:tmpl w:val="277C1404"/>
    <w:lvl w:ilvl="0">
      <w:start w:val="1"/>
      <w:numFmt w:val="decimal"/>
      <w:lvlText w:val="%1)"/>
      <w:lvlJc w:val="left"/>
      <w:pPr>
        <w:tabs>
          <w:tab w:val="num" w:pos="1440"/>
        </w:tabs>
        <w:ind w:left="1440" w:hanging="720"/>
      </w:pPr>
      <w:rPr>
        <w:rFonts w:hint="default"/>
      </w:rPr>
    </w:lvl>
  </w:abstractNum>
  <w:abstractNum w:abstractNumId="212">
    <w:nsid w:val="31D62DAF"/>
    <w:multiLevelType w:val="hybridMultilevel"/>
    <w:tmpl w:val="DB585D1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3">
    <w:nsid w:val="321228CF"/>
    <w:multiLevelType w:val="hybridMultilevel"/>
    <w:tmpl w:val="92F2F368"/>
    <w:lvl w:ilvl="0" w:tplc="0E4CD8E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4">
    <w:nsid w:val="32C208DC"/>
    <w:multiLevelType w:val="singleLevel"/>
    <w:tmpl w:val="FCE460B4"/>
    <w:lvl w:ilvl="0">
      <w:numFmt w:val="bullet"/>
      <w:lvlText w:val="-"/>
      <w:lvlJc w:val="left"/>
      <w:pPr>
        <w:tabs>
          <w:tab w:val="num" w:pos="1080"/>
        </w:tabs>
        <w:ind w:left="1080" w:hanging="360"/>
      </w:pPr>
      <w:rPr>
        <w:rFonts w:hint="default"/>
      </w:rPr>
    </w:lvl>
  </w:abstractNum>
  <w:abstractNum w:abstractNumId="215">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16">
    <w:nsid w:val="33382336"/>
    <w:multiLevelType w:val="hybridMultilevel"/>
    <w:tmpl w:val="29A27F08"/>
    <w:lvl w:ilvl="0" w:tplc="A15E0DA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334A53F5"/>
    <w:multiLevelType w:val="multilevel"/>
    <w:tmpl w:val="3BD02164"/>
    <w:lvl w:ilvl="0">
      <w:start w:val="3"/>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8">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19">
    <w:nsid w:val="33DC3C8C"/>
    <w:multiLevelType w:val="hybridMultilevel"/>
    <w:tmpl w:val="4D121684"/>
    <w:lvl w:ilvl="0" w:tplc="A35A638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0">
    <w:nsid w:val="33E80BEE"/>
    <w:multiLevelType w:val="singleLevel"/>
    <w:tmpl w:val="A97EEDD4"/>
    <w:lvl w:ilvl="0">
      <w:start w:val="4"/>
      <w:numFmt w:val="bullet"/>
      <w:lvlText w:val="-"/>
      <w:lvlJc w:val="left"/>
      <w:pPr>
        <w:tabs>
          <w:tab w:val="num" w:pos="1080"/>
        </w:tabs>
        <w:ind w:left="1080" w:hanging="360"/>
      </w:pPr>
      <w:rPr>
        <w:rFonts w:hint="default"/>
      </w:rPr>
    </w:lvl>
  </w:abstractNum>
  <w:abstractNum w:abstractNumId="221">
    <w:nsid w:val="341A7469"/>
    <w:multiLevelType w:val="hybridMultilevel"/>
    <w:tmpl w:val="553A1114"/>
    <w:lvl w:ilvl="0" w:tplc="FFFFFFFF">
      <w:start w:val="16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2">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23">
    <w:nsid w:val="346F40AB"/>
    <w:multiLevelType w:val="hybridMultilevel"/>
    <w:tmpl w:val="FFFAE4D4"/>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4">
    <w:nsid w:val="34AD144B"/>
    <w:multiLevelType w:val="hybridMultilevel"/>
    <w:tmpl w:val="58F631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5">
    <w:nsid w:val="34F731CD"/>
    <w:multiLevelType w:val="singleLevel"/>
    <w:tmpl w:val="63B2FC10"/>
    <w:lvl w:ilvl="0">
      <w:start w:val="1"/>
      <w:numFmt w:val="bullet"/>
      <w:lvlText w:val="-"/>
      <w:lvlJc w:val="left"/>
      <w:pPr>
        <w:tabs>
          <w:tab w:val="num" w:pos="360"/>
        </w:tabs>
        <w:ind w:left="360" w:hanging="360"/>
      </w:pPr>
      <w:rPr>
        <w:rFonts w:hint="default"/>
      </w:rPr>
    </w:lvl>
  </w:abstractNum>
  <w:abstractNum w:abstractNumId="226">
    <w:nsid w:val="34FC741C"/>
    <w:multiLevelType w:val="hybridMultilevel"/>
    <w:tmpl w:val="45482F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7">
    <w:nsid w:val="352E5729"/>
    <w:multiLevelType w:val="hybridMultilevel"/>
    <w:tmpl w:val="07E0866E"/>
    <w:lvl w:ilvl="0" w:tplc="FFFFFFFF">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8">
    <w:nsid w:val="356C3F78"/>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9">
    <w:nsid w:val="36255761"/>
    <w:multiLevelType w:val="singleLevel"/>
    <w:tmpl w:val="0409000F"/>
    <w:lvl w:ilvl="0">
      <w:start w:val="1"/>
      <w:numFmt w:val="decimal"/>
      <w:lvlText w:val="%1."/>
      <w:lvlJc w:val="left"/>
      <w:pPr>
        <w:tabs>
          <w:tab w:val="num" w:pos="360"/>
        </w:tabs>
        <w:ind w:left="360" w:hanging="360"/>
      </w:pPr>
    </w:lvl>
  </w:abstractNum>
  <w:abstractNum w:abstractNumId="230">
    <w:nsid w:val="365A4F20"/>
    <w:multiLevelType w:val="hybridMultilevel"/>
    <w:tmpl w:val="8B50FC62"/>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1">
    <w:nsid w:val="36BB5220"/>
    <w:multiLevelType w:val="hybridMultilevel"/>
    <w:tmpl w:val="7D4EA0C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2">
    <w:nsid w:val="36D41D1F"/>
    <w:multiLevelType w:val="singleLevel"/>
    <w:tmpl w:val="0409000F"/>
    <w:lvl w:ilvl="0">
      <w:start w:val="1"/>
      <w:numFmt w:val="decimal"/>
      <w:lvlText w:val="%1."/>
      <w:lvlJc w:val="left"/>
      <w:pPr>
        <w:tabs>
          <w:tab w:val="num" w:pos="360"/>
        </w:tabs>
        <w:ind w:left="360" w:hanging="360"/>
      </w:pPr>
    </w:lvl>
  </w:abstractNum>
  <w:abstractNum w:abstractNumId="233">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4">
    <w:nsid w:val="36E642DB"/>
    <w:multiLevelType w:val="hybridMultilevel"/>
    <w:tmpl w:val="4EA6C144"/>
    <w:lvl w:ilvl="0" w:tplc="E42C1016">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36E95158"/>
    <w:multiLevelType w:val="hybridMultilevel"/>
    <w:tmpl w:val="A55E84B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6">
    <w:nsid w:val="37113B67"/>
    <w:multiLevelType w:val="hybridMultilevel"/>
    <w:tmpl w:val="4DB0DE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7">
    <w:nsid w:val="38181DEA"/>
    <w:multiLevelType w:val="multilevel"/>
    <w:tmpl w:val="9EEE8DA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8">
    <w:nsid w:val="38C3530B"/>
    <w:multiLevelType w:val="hybridMultilevel"/>
    <w:tmpl w:val="1A28C65E"/>
    <w:lvl w:ilvl="0" w:tplc="FFFFFFFF">
      <w:start w:val="1"/>
      <w:numFmt w:val="bullet"/>
      <w:lvlText w:val=""/>
      <w:lvlJc w:val="left"/>
      <w:pPr>
        <w:tabs>
          <w:tab w:val="num" w:pos="720"/>
        </w:tabs>
        <w:ind w:left="720" w:hanging="360"/>
      </w:pPr>
      <w:rPr>
        <w:rFonts w:ascii="Symbol" w:hAnsi="Symbol" w:hint="default"/>
      </w:rPr>
    </w:lvl>
    <w:lvl w:ilvl="1" w:tplc="FFFFFFFF">
      <w:start w:val="19"/>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9">
    <w:nsid w:val="39331242"/>
    <w:multiLevelType w:val="multilevel"/>
    <w:tmpl w:val="7E7605E2"/>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3"/>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0">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41">
    <w:nsid w:val="399D6EBF"/>
    <w:multiLevelType w:val="hybridMultilevel"/>
    <w:tmpl w:val="DED63E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2">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43">
    <w:nsid w:val="3A1B6CBE"/>
    <w:multiLevelType w:val="hybridMultilevel"/>
    <w:tmpl w:val="40985B84"/>
    <w:lvl w:ilvl="0" w:tplc="A7DAFD62">
      <w:start w:val="1"/>
      <w:numFmt w:val="decimal"/>
      <w:lvlText w:val="第%1、"/>
      <w:lvlJc w:val="left"/>
      <w:pPr>
        <w:tabs>
          <w:tab w:val="num" w:pos="1080"/>
        </w:tabs>
        <w:ind w:left="1080" w:hanging="10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245">
    <w:nsid w:val="3A3134CD"/>
    <w:multiLevelType w:val="hybridMultilevel"/>
    <w:tmpl w:val="A468A8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6">
    <w:nsid w:val="3B270556"/>
    <w:multiLevelType w:val="multilevel"/>
    <w:tmpl w:val="9504260A"/>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7">
    <w:nsid w:val="3B544AFB"/>
    <w:multiLevelType w:val="singleLevel"/>
    <w:tmpl w:val="657801A4"/>
    <w:lvl w:ilvl="0">
      <w:start w:val="4"/>
      <w:numFmt w:val="decimal"/>
      <w:lvlText w:val="%1."/>
      <w:lvlJc w:val="left"/>
      <w:pPr>
        <w:tabs>
          <w:tab w:val="num" w:pos="1080"/>
        </w:tabs>
        <w:ind w:left="1080" w:hanging="360"/>
      </w:pPr>
      <w:rPr>
        <w:rFonts w:hint="default"/>
      </w:rPr>
    </w:lvl>
  </w:abstractNum>
  <w:abstractNum w:abstractNumId="248">
    <w:nsid w:val="3B8A4E7A"/>
    <w:multiLevelType w:val="hybridMultilevel"/>
    <w:tmpl w:val="A5AE70E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nsid w:val="3B9E67F9"/>
    <w:multiLevelType w:val="hybridMultilevel"/>
    <w:tmpl w:val="1A489828"/>
    <w:lvl w:ilvl="0" w:tplc="FFFFFFFF">
      <w:start w:val="333"/>
      <w:numFmt w:val="decimal"/>
      <w:lvlText w:val="%1."/>
      <w:lvlJc w:val="left"/>
      <w:pPr>
        <w:tabs>
          <w:tab w:val="num" w:pos="360"/>
        </w:tabs>
        <w:ind w:left="360" w:hanging="360"/>
      </w:pPr>
      <w:rPr>
        <w:rFonts w:hint="default"/>
      </w:rPr>
    </w:lvl>
    <w:lvl w:ilvl="1" w:tplc="FFFFFFFF">
      <w:start w:val="15"/>
      <w:numFmt w:val="bullet"/>
      <w:lvlText w:val=""/>
      <w:lvlJc w:val="left"/>
      <w:pPr>
        <w:tabs>
          <w:tab w:val="num" w:pos="1440"/>
        </w:tabs>
        <w:ind w:left="1440" w:hanging="720"/>
      </w:pPr>
      <w:rPr>
        <w:rFonts w:ascii="Symbol" w:eastAsia="Times New Roman" w:hAnsi="Symbol"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0">
    <w:nsid w:val="3BC818F1"/>
    <w:multiLevelType w:val="hybridMultilevel"/>
    <w:tmpl w:val="F5D482A0"/>
    <w:lvl w:ilvl="0" w:tplc="1E46EE3C">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3C04278B"/>
    <w:multiLevelType w:val="multilevel"/>
    <w:tmpl w:val="9690C11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2">
    <w:nsid w:val="3C5126AA"/>
    <w:multiLevelType w:val="hybridMultilevel"/>
    <w:tmpl w:val="CDB8B924"/>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3">
    <w:nsid w:val="3C9E29E5"/>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5">
    <w:nsid w:val="3CCD4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56">
    <w:nsid w:val="3CE31D72"/>
    <w:multiLevelType w:val="singleLevel"/>
    <w:tmpl w:val="B6D48F20"/>
    <w:lvl w:ilvl="0">
      <w:start w:val="1"/>
      <w:numFmt w:val="upperLetter"/>
      <w:lvlText w:val="%1)"/>
      <w:lvlJc w:val="left"/>
      <w:pPr>
        <w:tabs>
          <w:tab w:val="num" w:pos="360"/>
        </w:tabs>
        <w:ind w:left="360" w:hanging="360"/>
      </w:pPr>
      <w:rPr>
        <w:rFonts w:hint="default"/>
      </w:rPr>
    </w:lvl>
  </w:abstractNum>
  <w:abstractNum w:abstractNumId="257">
    <w:nsid w:val="3D02433C"/>
    <w:multiLevelType w:val="singleLevel"/>
    <w:tmpl w:val="04090017"/>
    <w:lvl w:ilvl="0">
      <w:start w:val="1"/>
      <w:numFmt w:val="lowerLetter"/>
      <w:lvlText w:val="%1)"/>
      <w:lvlJc w:val="left"/>
      <w:pPr>
        <w:tabs>
          <w:tab w:val="num" w:pos="360"/>
        </w:tabs>
        <w:ind w:left="360" w:hanging="360"/>
      </w:pPr>
      <w:rPr>
        <w:rFonts w:hint="default"/>
      </w:rPr>
    </w:lvl>
  </w:abstractNum>
  <w:abstractNum w:abstractNumId="258">
    <w:nsid w:val="3D0C299F"/>
    <w:multiLevelType w:val="hybridMultilevel"/>
    <w:tmpl w:val="D7E624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9">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260">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1">
    <w:nsid w:val="3DAD67AF"/>
    <w:multiLevelType w:val="hybridMultilevel"/>
    <w:tmpl w:val="CD8AE4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2">
    <w:nsid w:val="3DAE0EC4"/>
    <w:multiLevelType w:val="hybridMultilevel"/>
    <w:tmpl w:val="14FA34C4"/>
    <w:lvl w:ilvl="0" w:tplc="33A24CB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3">
    <w:nsid w:val="3DE54735"/>
    <w:multiLevelType w:val="hybridMultilevel"/>
    <w:tmpl w:val="152E0632"/>
    <w:lvl w:ilvl="0" w:tplc="FFFFFFFF">
      <w:start w:val="1"/>
      <w:numFmt w:val="upperLetter"/>
      <w:lvlText w:val="%1)"/>
      <w:lvlJc w:val="left"/>
      <w:pPr>
        <w:tabs>
          <w:tab w:val="num" w:pos="1080"/>
        </w:tabs>
        <w:ind w:left="1080" w:hanging="720"/>
      </w:pPr>
      <w:rPr>
        <w:rFonts w:hint="default"/>
        <w:u w:val="none"/>
      </w:rPr>
    </w:lvl>
    <w:lvl w:ilvl="1" w:tplc="FFFFFFFF">
      <w:start w:val="14"/>
      <w:numFmt w:val="decimal"/>
      <w:lvlText w:val="%2."/>
      <w:lvlJc w:val="left"/>
      <w:pPr>
        <w:tabs>
          <w:tab w:val="num" w:pos="1845"/>
        </w:tabs>
        <w:ind w:left="1845" w:hanging="76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4">
    <w:nsid w:val="3E127AB1"/>
    <w:multiLevelType w:val="hybridMultilevel"/>
    <w:tmpl w:val="49849A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5">
    <w:nsid w:val="3E3D72CB"/>
    <w:multiLevelType w:val="hybridMultilevel"/>
    <w:tmpl w:val="991406BC"/>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6">
    <w:nsid w:val="3E5B687D"/>
    <w:multiLevelType w:val="hybridMultilevel"/>
    <w:tmpl w:val="6938057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7">
    <w:nsid w:val="3E614449"/>
    <w:multiLevelType w:val="singleLevel"/>
    <w:tmpl w:val="D18ED4F0"/>
    <w:lvl w:ilvl="0">
      <w:start w:val="1"/>
      <w:numFmt w:val="lowerLetter"/>
      <w:lvlText w:val="%1)"/>
      <w:lvlJc w:val="left"/>
      <w:pPr>
        <w:tabs>
          <w:tab w:val="num" w:pos="1080"/>
        </w:tabs>
        <w:ind w:left="1080" w:hanging="360"/>
      </w:pPr>
      <w:rPr>
        <w:rFonts w:hint="default"/>
      </w:rPr>
    </w:lvl>
  </w:abstractNum>
  <w:abstractNum w:abstractNumId="268">
    <w:nsid w:val="3E8F3E9F"/>
    <w:multiLevelType w:val="hybridMultilevel"/>
    <w:tmpl w:val="DA8E0B5E"/>
    <w:lvl w:ilvl="0" w:tplc="209A36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3EF04FAF"/>
    <w:multiLevelType w:val="singleLevel"/>
    <w:tmpl w:val="82F21C2C"/>
    <w:lvl w:ilvl="0">
      <w:numFmt w:val="bullet"/>
      <w:lvlText w:val="-"/>
      <w:lvlJc w:val="left"/>
      <w:pPr>
        <w:tabs>
          <w:tab w:val="num" w:pos="360"/>
        </w:tabs>
        <w:ind w:left="360" w:hanging="360"/>
      </w:pPr>
      <w:rPr>
        <w:rFonts w:hint="default"/>
      </w:rPr>
    </w:lvl>
  </w:abstractNum>
  <w:abstractNum w:abstractNumId="270">
    <w:nsid w:val="3F5F5F37"/>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71">
    <w:nsid w:val="3FE86B66"/>
    <w:multiLevelType w:val="multilevel"/>
    <w:tmpl w:val="E5F6B35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2">
    <w:nsid w:val="40221049"/>
    <w:multiLevelType w:val="singleLevel"/>
    <w:tmpl w:val="04D4B0C4"/>
    <w:lvl w:ilvl="0">
      <w:start w:val="1"/>
      <w:numFmt w:val="decimal"/>
      <w:lvlText w:val="%1."/>
      <w:lvlJc w:val="left"/>
      <w:pPr>
        <w:tabs>
          <w:tab w:val="num" w:pos="360"/>
        </w:tabs>
        <w:ind w:left="360" w:hanging="360"/>
      </w:pPr>
    </w:lvl>
  </w:abstractNum>
  <w:abstractNum w:abstractNumId="273">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274">
    <w:nsid w:val="40610B92"/>
    <w:multiLevelType w:val="multilevel"/>
    <w:tmpl w:val="FA5E9DA0"/>
    <w:lvl w:ilvl="0">
      <w:start w:val="202"/>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5">
    <w:nsid w:val="4078738C"/>
    <w:multiLevelType w:val="hybridMultilevel"/>
    <w:tmpl w:val="E46C90F4"/>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76">
    <w:nsid w:val="40C33007"/>
    <w:multiLevelType w:val="hybridMultilevel"/>
    <w:tmpl w:val="937A59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7">
    <w:nsid w:val="4124318E"/>
    <w:multiLevelType w:val="singleLevel"/>
    <w:tmpl w:val="BA7E1998"/>
    <w:lvl w:ilvl="0">
      <w:start w:val="1"/>
      <w:numFmt w:val="upperLetter"/>
      <w:lvlText w:val="%1)"/>
      <w:lvlJc w:val="left"/>
      <w:pPr>
        <w:tabs>
          <w:tab w:val="num" w:pos="720"/>
        </w:tabs>
        <w:ind w:left="720" w:hanging="720"/>
      </w:pPr>
      <w:rPr>
        <w:rFonts w:hint="default"/>
        <w:u w:val="none"/>
      </w:rPr>
    </w:lvl>
  </w:abstractNum>
  <w:abstractNum w:abstractNumId="278">
    <w:nsid w:val="41366B05"/>
    <w:multiLevelType w:val="hybridMultilevel"/>
    <w:tmpl w:val="BB00A8B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9">
    <w:nsid w:val="414D5881"/>
    <w:multiLevelType w:val="hybridMultilevel"/>
    <w:tmpl w:val="3A541750"/>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0">
    <w:nsid w:val="41743FBF"/>
    <w:multiLevelType w:val="hybridMultilevel"/>
    <w:tmpl w:val="6A4098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1">
    <w:nsid w:val="41D972E1"/>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2">
    <w:nsid w:val="42C95C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3">
    <w:nsid w:val="43056309"/>
    <w:multiLevelType w:val="hybridMultilevel"/>
    <w:tmpl w:val="5688FC76"/>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4">
    <w:nsid w:val="4395630A"/>
    <w:multiLevelType w:val="hybridMultilevel"/>
    <w:tmpl w:val="D22A53A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286">
    <w:nsid w:val="439F7AB5"/>
    <w:multiLevelType w:val="hybridMultilevel"/>
    <w:tmpl w:val="6706A768"/>
    <w:lvl w:ilvl="0" w:tplc="0E4CD8E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7">
    <w:nsid w:val="43AC5F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8">
    <w:nsid w:val="43F673A1"/>
    <w:multiLevelType w:val="hybridMultilevel"/>
    <w:tmpl w:val="4EA6C144"/>
    <w:lvl w:ilvl="0" w:tplc="A1001AC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9">
    <w:nsid w:val="452D144C"/>
    <w:multiLevelType w:val="singleLevel"/>
    <w:tmpl w:val="7C4C0A7C"/>
    <w:lvl w:ilvl="0">
      <w:start w:val="1"/>
      <w:numFmt w:val="decimal"/>
      <w:lvlText w:val="(%1)"/>
      <w:lvlJc w:val="left"/>
      <w:pPr>
        <w:tabs>
          <w:tab w:val="num" w:pos="720"/>
        </w:tabs>
        <w:ind w:left="720" w:hanging="720"/>
      </w:pPr>
    </w:lvl>
  </w:abstractNum>
  <w:abstractNum w:abstractNumId="290">
    <w:nsid w:val="455F0FEB"/>
    <w:multiLevelType w:val="singleLevel"/>
    <w:tmpl w:val="A564A0BE"/>
    <w:lvl w:ilvl="0">
      <w:start w:val="1"/>
      <w:numFmt w:val="decimal"/>
      <w:lvlText w:val="%1."/>
      <w:lvlJc w:val="left"/>
      <w:pPr>
        <w:tabs>
          <w:tab w:val="num" w:pos="360"/>
        </w:tabs>
        <w:ind w:left="360" w:hanging="360"/>
      </w:pPr>
    </w:lvl>
  </w:abstractNum>
  <w:abstractNum w:abstractNumId="291">
    <w:nsid w:val="4566215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92">
    <w:nsid w:val="45C1482F"/>
    <w:multiLevelType w:val="hybridMultilevel"/>
    <w:tmpl w:val="FE0232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3">
    <w:nsid w:val="45EE79CE"/>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4">
    <w:nsid w:val="45FE5DC8"/>
    <w:multiLevelType w:val="hybridMultilevel"/>
    <w:tmpl w:val="7646D3BA"/>
    <w:lvl w:ilvl="0" w:tplc="5A1A237A">
      <w:start w:val="1"/>
      <w:numFmt w:val="bullet"/>
      <w:lvlText w:val=""/>
      <w:lvlJc w:val="left"/>
      <w:pPr>
        <w:tabs>
          <w:tab w:val="num" w:pos="480"/>
        </w:tabs>
        <w:ind w:left="480" w:hanging="480"/>
      </w:pPr>
      <w:rPr>
        <w:rFonts w:ascii="Symbol" w:hAnsi="Symbol" w:hint="default"/>
      </w:rPr>
    </w:lvl>
    <w:lvl w:ilvl="1" w:tplc="02FCFCAA">
      <w:start w:val="3"/>
      <w:numFmt w:val="upperLetter"/>
      <w:lvlText w:val="%2)"/>
      <w:lvlJc w:val="left"/>
      <w:pPr>
        <w:tabs>
          <w:tab w:val="num" w:pos="990"/>
        </w:tabs>
        <w:ind w:left="990" w:hanging="510"/>
      </w:pPr>
      <w:rPr>
        <w:rFonts w:hint="default"/>
      </w:rPr>
    </w:lvl>
    <w:lvl w:ilvl="2" w:tplc="FCE46D94">
      <w:start w:val="1"/>
      <w:numFmt w:val="decimal"/>
      <w:lvlText w:val="%3）"/>
      <w:lvlJc w:val="left"/>
      <w:pPr>
        <w:tabs>
          <w:tab w:val="num" w:pos="1320"/>
        </w:tabs>
        <w:ind w:left="1320" w:hanging="360"/>
      </w:pPr>
      <w:rPr>
        <w:rFonts w:hint="eastAsia"/>
      </w:rPr>
    </w:lvl>
    <w:lvl w:ilvl="3" w:tplc="619E7FB2">
      <w:start w:val="1"/>
      <w:numFmt w:val="decimal"/>
      <w:lvlText w:val="（%4）"/>
      <w:lvlJc w:val="left"/>
      <w:pPr>
        <w:tabs>
          <w:tab w:val="num" w:pos="2160"/>
        </w:tabs>
        <w:ind w:left="2160" w:hanging="720"/>
      </w:pPr>
      <w:rPr>
        <w:rFonts w:hint="eastAsia"/>
      </w:rPr>
    </w:lvl>
    <w:lvl w:ilvl="4" w:tplc="345068B8">
      <w:start w:val="1"/>
      <w:numFmt w:val="lowerLetter"/>
      <w:lvlText w:val="（%5）"/>
      <w:lvlJc w:val="left"/>
      <w:pPr>
        <w:tabs>
          <w:tab w:val="num" w:pos="2565"/>
        </w:tabs>
        <w:ind w:left="2565" w:hanging="645"/>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5">
    <w:nsid w:val="46283486"/>
    <w:multiLevelType w:val="singleLevel"/>
    <w:tmpl w:val="80746B2C"/>
    <w:lvl w:ilvl="0">
      <w:start w:val="5"/>
      <w:numFmt w:val="bullet"/>
      <w:lvlText w:val="-"/>
      <w:lvlJc w:val="left"/>
      <w:pPr>
        <w:tabs>
          <w:tab w:val="num" w:pos="360"/>
        </w:tabs>
        <w:ind w:left="360" w:hanging="360"/>
      </w:pPr>
      <w:rPr>
        <w:rFonts w:hint="default"/>
      </w:rPr>
    </w:lvl>
  </w:abstractNum>
  <w:abstractNum w:abstractNumId="296">
    <w:nsid w:val="463052FD"/>
    <w:multiLevelType w:val="hybridMultilevel"/>
    <w:tmpl w:val="10AE3CE2"/>
    <w:lvl w:ilvl="0" w:tplc="5D50266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7">
    <w:nsid w:val="46322A40"/>
    <w:multiLevelType w:val="hybridMultilevel"/>
    <w:tmpl w:val="24ECBF26"/>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8">
    <w:nsid w:val="46847178"/>
    <w:multiLevelType w:val="hybridMultilevel"/>
    <w:tmpl w:val="F23EE39A"/>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9">
    <w:nsid w:val="471E7F1C"/>
    <w:multiLevelType w:val="singleLevel"/>
    <w:tmpl w:val="41083214"/>
    <w:lvl w:ilvl="0">
      <w:start w:val="7"/>
      <w:numFmt w:val="upperLetter"/>
      <w:lvlText w:val="%1)"/>
      <w:lvlJc w:val="left"/>
      <w:pPr>
        <w:tabs>
          <w:tab w:val="num" w:pos="720"/>
        </w:tabs>
        <w:ind w:left="720" w:hanging="720"/>
      </w:pPr>
      <w:rPr>
        <w:rFonts w:hint="default"/>
      </w:rPr>
    </w:lvl>
  </w:abstractNum>
  <w:abstractNum w:abstractNumId="300">
    <w:nsid w:val="47292217"/>
    <w:multiLevelType w:val="hybridMultilevel"/>
    <w:tmpl w:val="874C0AF4"/>
    <w:lvl w:ilvl="0" w:tplc="9016293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01">
    <w:nsid w:val="477E5FE6"/>
    <w:multiLevelType w:val="multilevel"/>
    <w:tmpl w:val="77AA2AD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2">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03">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4">
    <w:nsid w:val="48214B96"/>
    <w:multiLevelType w:val="multilevel"/>
    <w:tmpl w:val="BEBA63EE"/>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5">
    <w:nsid w:val="48593C2C"/>
    <w:multiLevelType w:val="hybridMultilevel"/>
    <w:tmpl w:val="672438CE"/>
    <w:lvl w:ilvl="0" w:tplc="0E4CD8E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6">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07">
    <w:nsid w:val="48646F91"/>
    <w:multiLevelType w:val="hybridMultilevel"/>
    <w:tmpl w:val="CD6C4D40"/>
    <w:lvl w:ilvl="0" w:tplc="FFFFFFFF">
      <w:start w:val="31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9">
    <w:nsid w:val="48D856B6"/>
    <w:multiLevelType w:val="hybridMultilevel"/>
    <w:tmpl w:val="BD003FC8"/>
    <w:lvl w:ilvl="0" w:tplc="D96A3942">
      <w:start w:val="1"/>
      <w:numFmt w:val="lowerLetter"/>
      <w:lvlRestart w:val="0"/>
      <w:lvlText w:val="(%1)"/>
      <w:lvlJc w:val="right"/>
      <w:pPr>
        <w:tabs>
          <w:tab w:val="num" w:pos="2051"/>
        </w:tabs>
        <w:ind w:left="2051" w:hanging="227"/>
      </w:pPr>
      <w:rPr>
        <w:rFonts w:ascii="Times New Roman" w:hAnsi="Times New Roman"/>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310">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1">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2">
    <w:nsid w:val="4A7F2346"/>
    <w:multiLevelType w:val="hybridMultilevel"/>
    <w:tmpl w:val="61602E74"/>
    <w:lvl w:ilvl="0" w:tplc="FFFFFFFF">
      <w:start w:val="1"/>
      <w:numFmt w:val="decimal"/>
      <w:lvlText w:val="%1."/>
      <w:lvlJc w:val="left"/>
      <w:pPr>
        <w:tabs>
          <w:tab w:val="num" w:pos="720"/>
        </w:tabs>
        <w:ind w:left="720" w:hanging="720"/>
      </w:pPr>
      <w:rPr>
        <w:rFonts w:hint="default"/>
        <w:b/>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3">
    <w:nsid w:val="4A86300A"/>
    <w:multiLevelType w:val="singleLevel"/>
    <w:tmpl w:val="80746B2C"/>
    <w:lvl w:ilvl="0">
      <w:start w:val="5"/>
      <w:numFmt w:val="bullet"/>
      <w:lvlText w:val="-"/>
      <w:lvlJc w:val="left"/>
      <w:pPr>
        <w:tabs>
          <w:tab w:val="num" w:pos="360"/>
        </w:tabs>
        <w:ind w:left="360" w:hanging="360"/>
      </w:pPr>
      <w:rPr>
        <w:rFonts w:hint="default"/>
      </w:rPr>
    </w:lvl>
  </w:abstractNum>
  <w:abstractNum w:abstractNumId="314">
    <w:nsid w:val="4AAD138D"/>
    <w:multiLevelType w:val="hybridMultilevel"/>
    <w:tmpl w:val="4D121684"/>
    <w:lvl w:ilvl="0" w:tplc="F83CA0C8">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15">
    <w:nsid w:val="4B176C5D"/>
    <w:multiLevelType w:val="multilevel"/>
    <w:tmpl w:val="1CF42AB8"/>
    <w:lvl w:ilvl="0">
      <w:start w:val="61"/>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6">
    <w:nsid w:val="4B1D636D"/>
    <w:multiLevelType w:val="multilevel"/>
    <w:tmpl w:val="081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7">
    <w:nsid w:val="4B6D4F5D"/>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8">
    <w:nsid w:val="4BE31731"/>
    <w:multiLevelType w:val="hybridMultilevel"/>
    <w:tmpl w:val="C5B07876"/>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9">
    <w:nsid w:val="4BE90007"/>
    <w:multiLevelType w:val="hybridMultilevel"/>
    <w:tmpl w:val="874C0AF4"/>
    <w:lvl w:ilvl="0" w:tplc="5D50266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0">
    <w:nsid w:val="4C412035"/>
    <w:multiLevelType w:val="hybridMultilevel"/>
    <w:tmpl w:val="C9FEB28A"/>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900"/>
        </w:tabs>
        <w:ind w:left="900" w:hanging="360"/>
      </w:pPr>
      <w:rPr>
        <w:rFonts w:ascii="Symbol" w:hAnsi="Symbol"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1">
    <w:nsid w:val="4C774824"/>
    <w:multiLevelType w:val="hybridMultilevel"/>
    <w:tmpl w:val="A4828D76"/>
    <w:lvl w:ilvl="0" w:tplc="7ED41CB6">
      <w:start w:val="1"/>
      <w:numFmt w:val="bullet"/>
      <w:lvlText w:val=""/>
      <w:lvlJc w:val="left"/>
      <w:pPr>
        <w:tabs>
          <w:tab w:val="num" w:pos="366"/>
        </w:tabs>
        <w:ind w:left="363" w:hanging="357"/>
      </w:pPr>
      <w:rPr>
        <w:rFonts w:ascii="Symbol" w:hAnsi="Symbol" w:hint="default"/>
      </w:rPr>
    </w:lvl>
    <w:lvl w:ilvl="1" w:tplc="04090003" w:tentative="1">
      <w:start w:val="1"/>
      <w:numFmt w:val="bullet"/>
      <w:lvlText w:val="o"/>
      <w:lvlJc w:val="left"/>
      <w:pPr>
        <w:tabs>
          <w:tab w:val="num" w:pos="726"/>
        </w:tabs>
        <w:ind w:left="726" w:hanging="360"/>
      </w:pPr>
      <w:rPr>
        <w:rFonts w:ascii="Courier New" w:hAnsi="Courier New" w:hint="default"/>
      </w:rPr>
    </w:lvl>
    <w:lvl w:ilvl="2" w:tplc="04090005" w:tentative="1">
      <w:start w:val="1"/>
      <w:numFmt w:val="bullet"/>
      <w:lvlText w:val=""/>
      <w:lvlJc w:val="left"/>
      <w:pPr>
        <w:tabs>
          <w:tab w:val="num" w:pos="1446"/>
        </w:tabs>
        <w:ind w:left="1446" w:hanging="360"/>
      </w:pPr>
      <w:rPr>
        <w:rFonts w:ascii="Wingdings" w:hAnsi="Wingdings" w:hint="default"/>
      </w:rPr>
    </w:lvl>
    <w:lvl w:ilvl="3" w:tplc="04090001" w:tentative="1">
      <w:start w:val="1"/>
      <w:numFmt w:val="bullet"/>
      <w:lvlText w:val=""/>
      <w:lvlJc w:val="left"/>
      <w:pPr>
        <w:tabs>
          <w:tab w:val="num" w:pos="2166"/>
        </w:tabs>
        <w:ind w:left="2166" w:hanging="360"/>
      </w:pPr>
      <w:rPr>
        <w:rFonts w:ascii="Symbol" w:hAnsi="Symbol" w:hint="default"/>
      </w:rPr>
    </w:lvl>
    <w:lvl w:ilvl="4" w:tplc="04090003" w:tentative="1">
      <w:start w:val="1"/>
      <w:numFmt w:val="bullet"/>
      <w:lvlText w:val="o"/>
      <w:lvlJc w:val="left"/>
      <w:pPr>
        <w:tabs>
          <w:tab w:val="num" w:pos="2886"/>
        </w:tabs>
        <w:ind w:left="2886" w:hanging="360"/>
      </w:pPr>
      <w:rPr>
        <w:rFonts w:ascii="Courier New" w:hAnsi="Courier New" w:hint="default"/>
      </w:rPr>
    </w:lvl>
    <w:lvl w:ilvl="5" w:tplc="04090005" w:tentative="1">
      <w:start w:val="1"/>
      <w:numFmt w:val="bullet"/>
      <w:lvlText w:val=""/>
      <w:lvlJc w:val="left"/>
      <w:pPr>
        <w:tabs>
          <w:tab w:val="num" w:pos="3606"/>
        </w:tabs>
        <w:ind w:left="3606" w:hanging="360"/>
      </w:pPr>
      <w:rPr>
        <w:rFonts w:ascii="Wingdings" w:hAnsi="Wingdings" w:hint="default"/>
      </w:rPr>
    </w:lvl>
    <w:lvl w:ilvl="6" w:tplc="04090001" w:tentative="1">
      <w:start w:val="1"/>
      <w:numFmt w:val="bullet"/>
      <w:lvlText w:val=""/>
      <w:lvlJc w:val="left"/>
      <w:pPr>
        <w:tabs>
          <w:tab w:val="num" w:pos="4326"/>
        </w:tabs>
        <w:ind w:left="4326" w:hanging="360"/>
      </w:pPr>
      <w:rPr>
        <w:rFonts w:ascii="Symbol" w:hAnsi="Symbol" w:hint="default"/>
      </w:rPr>
    </w:lvl>
    <w:lvl w:ilvl="7" w:tplc="04090003" w:tentative="1">
      <w:start w:val="1"/>
      <w:numFmt w:val="bullet"/>
      <w:lvlText w:val="o"/>
      <w:lvlJc w:val="left"/>
      <w:pPr>
        <w:tabs>
          <w:tab w:val="num" w:pos="5046"/>
        </w:tabs>
        <w:ind w:left="5046" w:hanging="360"/>
      </w:pPr>
      <w:rPr>
        <w:rFonts w:ascii="Courier New" w:hAnsi="Courier New" w:hint="default"/>
      </w:rPr>
    </w:lvl>
    <w:lvl w:ilvl="8" w:tplc="04090005" w:tentative="1">
      <w:start w:val="1"/>
      <w:numFmt w:val="bullet"/>
      <w:lvlText w:val=""/>
      <w:lvlJc w:val="left"/>
      <w:pPr>
        <w:tabs>
          <w:tab w:val="num" w:pos="5766"/>
        </w:tabs>
        <w:ind w:left="5766" w:hanging="360"/>
      </w:pPr>
      <w:rPr>
        <w:rFonts w:ascii="Wingdings" w:hAnsi="Wingdings" w:hint="default"/>
      </w:rPr>
    </w:lvl>
  </w:abstractNum>
  <w:abstractNum w:abstractNumId="322">
    <w:nsid w:val="4CA642C4"/>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3">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324">
    <w:nsid w:val="4D533E09"/>
    <w:multiLevelType w:val="hybridMultilevel"/>
    <w:tmpl w:val="2D6CCF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5">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326">
    <w:nsid w:val="4DC125F7"/>
    <w:multiLevelType w:val="hybridMultilevel"/>
    <w:tmpl w:val="1DE8D624"/>
    <w:lvl w:ilvl="0" w:tplc="F5A0B63E">
      <w:start w:val="1"/>
      <w:numFmt w:val="lowerLetter"/>
      <w:lvlText w:val="(%1)"/>
      <w:lvlJc w:val="left"/>
      <w:pPr>
        <w:tabs>
          <w:tab w:val="num" w:pos="870"/>
        </w:tabs>
        <w:ind w:left="870" w:hanging="3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27">
    <w:nsid w:val="4E125756"/>
    <w:multiLevelType w:val="hybridMultilevel"/>
    <w:tmpl w:val="B13001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8">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329">
    <w:nsid w:val="4E97448D"/>
    <w:multiLevelType w:val="hybridMultilevel"/>
    <w:tmpl w:val="DACC6A6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0">
    <w:nsid w:val="4EFA2598"/>
    <w:multiLevelType w:val="singleLevel"/>
    <w:tmpl w:val="0409000F"/>
    <w:lvl w:ilvl="0">
      <w:start w:val="1"/>
      <w:numFmt w:val="decimal"/>
      <w:lvlText w:val="%1."/>
      <w:lvlJc w:val="left"/>
      <w:pPr>
        <w:tabs>
          <w:tab w:val="num" w:pos="360"/>
        </w:tabs>
        <w:ind w:left="360" w:hanging="360"/>
      </w:pPr>
    </w:lvl>
  </w:abstractNum>
  <w:abstractNum w:abstractNumId="331">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2">
    <w:nsid w:val="4F6C1626"/>
    <w:multiLevelType w:val="hybridMultilevel"/>
    <w:tmpl w:val="E47E39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3">
    <w:nsid w:val="503B20D7"/>
    <w:multiLevelType w:val="singleLevel"/>
    <w:tmpl w:val="20583D84"/>
    <w:lvl w:ilvl="0">
      <w:start w:val="12"/>
      <w:numFmt w:val="upperLetter"/>
      <w:lvlText w:val="%1)"/>
      <w:lvlJc w:val="left"/>
      <w:pPr>
        <w:tabs>
          <w:tab w:val="num" w:pos="720"/>
        </w:tabs>
        <w:ind w:left="720" w:hanging="720"/>
      </w:pPr>
      <w:rPr>
        <w:rFonts w:hint="default"/>
      </w:rPr>
    </w:lvl>
  </w:abstractNum>
  <w:abstractNum w:abstractNumId="334">
    <w:nsid w:val="50447A02"/>
    <w:multiLevelType w:val="hybridMultilevel"/>
    <w:tmpl w:val="F078E5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33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337">
    <w:nsid w:val="50742CB0"/>
    <w:multiLevelType w:val="hybridMultilevel"/>
    <w:tmpl w:val="0AEC537C"/>
    <w:lvl w:ilvl="0" w:tplc="D96A39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8">
    <w:nsid w:val="51370279"/>
    <w:multiLevelType w:val="singleLevel"/>
    <w:tmpl w:val="2C3A1DB2"/>
    <w:lvl w:ilvl="0">
      <w:start w:val="1"/>
      <w:numFmt w:val="decimal"/>
      <w:lvlText w:val="%1)"/>
      <w:lvlJc w:val="left"/>
      <w:pPr>
        <w:tabs>
          <w:tab w:val="num" w:pos="2160"/>
        </w:tabs>
        <w:ind w:left="2160" w:hanging="720"/>
      </w:pPr>
      <w:rPr>
        <w:rFonts w:hint="default"/>
      </w:rPr>
    </w:lvl>
  </w:abstractNum>
  <w:abstractNum w:abstractNumId="339">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340">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341">
    <w:nsid w:val="521245CA"/>
    <w:multiLevelType w:val="hybridMultilevel"/>
    <w:tmpl w:val="4EA6C144"/>
    <w:lvl w:ilvl="0" w:tplc="3990C852">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2">
    <w:nsid w:val="522F0B21"/>
    <w:multiLevelType w:val="hybridMultilevel"/>
    <w:tmpl w:val="4D121684"/>
    <w:lvl w:ilvl="0" w:tplc="21FE5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3">
    <w:nsid w:val="52C64FF8"/>
    <w:multiLevelType w:val="singleLevel"/>
    <w:tmpl w:val="3F726A8E"/>
    <w:lvl w:ilvl="0">
      <w:start w:val="1"/>
      <w:numFmt w:val="decimal"/>
      <w:lvlText w:val="%1)"/>
      <w:lvlJc w:val="left"/>
      <w:pPr>
        <w:tabs>
          <w:tab w:val="num" w:pos="1440"/>
        </w:tabs>
        <w:ind w:left="1440" w:hanging="720"/>
      </w:pPr>
      <w:rPr>
        <w:rFonts w:hint="default"/>
      </w:rPr>
    </w:lvl>
  </w:abstractNum>
  <w:abstractNum w:abstractNumId="344">
    <w:nsid w:val="52E42912"/>
    <w:multiLevelType w:val="hybridMultilevel"/>
    <w:tmpl w:val="8C6EC0C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5">
    <w:nsid w:val="53547AA8"/>
    <w:multiLevelType w:val="hybridMultilevel"/>
    <w:tmpl w:val="ADA89B8A"/>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6">
    <w:nsid w:val="535937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7">
    <w:nsid w:val="536B7606"/>
    <w:multiLevelType w:val="singleLevel"/>
    <w:tmpl w:val="2A32043A"/>
    <w:lvl w:ilvl="0">
      <w:start w:val="1"/>
      <w:numFmt w:val="lowerLetter"/>
      <w:lvlText w:val="%1."/>
      <w:lvlJc w:val="left"/>
      <w:pPr>
        <w:tabs>
          <w:tab w:val="num" w:pos="1211"/>
        </w:tabs>
        <w:ind w:left="1211" w:hanging="360"/>
      </w:pPr>
      <w:rPr>
        <w:rFonts w:hint="default"/>
      </w:rPr>
    </w:lvl>
  </w:abstractNum>
  <w:abstractNum w:abstractNumId="348">
    <w:nsid w:val="538B5561"/>
    <w:multiLevelType w:val="hybridMultilevel"/>
    <w:tmpl w:val="8272E7D6"/>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9">
    <w:nsid w:val="538E3AF1"/>
    <w:multiLevelType w:val="hybridMultilevel"/>
    <w:tmpl w:val="EB5CDE00"/>
    <w:lvl w:ilvl="0" w:tplc="C3D8B12A">
      <w:start w:val="118"/>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0">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351">
    <w:nsid w:val="54725AE8"/>
    <w:multiLevelType w:val="hybridMultilevel"/>
    <w:tmpl w:val="960EFE1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2">
    <w:nsid w:val="54766C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3">
    <w:nsid w:val="54B039EF"/>
    <w:multiLevelType w:val="multilevel"/>
    <w:tmpl w:val="FE6C1992"/>
    <w:lvl w:ilvl="0">
      <w:start w:val="50"/>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54">
    <w:nsid w:val="54CB3605"/>
    <w:multiLevelType w:val="hybridMultilevel"/>
    <w:tmpl w:val="5450DE1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55">
    <w:nsid w:val="55241749"/>
    <w:multiLevelType w:val="hybridMultilevel"/>
    <w:tmpl w:val="3DBEED12"/>
    <w:lvl w:ilvl="0" w:tplc="5DBEDF5E">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56">
    <w:nsid w:val="55420878"/>
    <w:multiLevelType w:val="hybridMultilevel"/>
    <w:tmpl w:val="2EDAD23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7">
    <w:nsid w:val="55817245"/>
    <w:multiLevelType w:val="hybridMultilevel"/>
    <w:tmpl w:val="A94C51A8"/>
    <w:lvl w:ilvl="0" w:tplc="452292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8">
    <w:nsid w:val="55A61B15"/>
    <w:multiLevelType w:val="hybridMultilevel"/>
    <w:tmpl w:val="641AA212"/>
    <w:lvl w:ilvl="0" w:tplc="0E4CD8EE">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9">
    <w:nsid w:val="55CB06DC"/>
    <w:multiLevelType w:val="hybridMultilevel"/>
    <w:tmpl w:val="B2866A2C"/>
    <w:lvl w:ilvl="0" w:tplc="4DB236EA">
      <w:start w:val="1"/>
      <w:numFmt w:val="lowerLetter"/>
      <w:lvlRestart w:val="0"/>
      <w:lvlText w:val="(%1)"/>
      <w:lvlJc w:val="right"/>
      <w:pPr>
        <w:tabs>
          <w:tab w:val="num" w:pos="2041"/>
        </w:tabs>
        <w:ind w:left="2041" w:hanging="227"/>
      </w:pPr>
      <w:rPr>
        <w:rFonts w:ascii="Times New Roman" w:hAnsi="Times New Roman" w:hint="default"/>
        <w:b w:val="0"/>
        <w:i w:val="0"/>
        <w:sz w:val="24"/>
        <w:vertAlign w:val="baseline"/>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60">
    <w:nsid w:val="56251ABB"/>
    <w:multiLevelType w:val="hybridMultilevel"/>
    <w:tmpl w:val="347CCD9C"/>
    <w:lvl w:ilvl="0" w:tplc="04090001">
      <w:start w:val="1"/>
      <w:numFmt w:val="bullet"/>
      <w:lvlText w:val=""/>
      <w:lvlJc w:val="left"/>
      <w:pPr>
        <w:tabs>
          <w:tab w:val="num" w:pos="480"/>
        </w:tabs>
        <w:ind w:left="480" w:hanging="480"/>
      </w:pPr>
      <w:rPr>
        <w:rFonts w:ascii="Wingdings" w:hAnsi="Wingdings" w:hint="default"/>
      </w:rPr>
    </w:lvl>
    <w:lvl w:ilvl="1" w:tplc="02FCFCAA">
      <w:start w:val="3"/>
      <w:numFmt w:val="upperLetter"/>
      <w:lvlText w:val="%2)"/>
      <w:lvlJc w:val="left"/>
      <w:pPr>
        <w:tabs>
          <w:tab w:val="num" w:pos="990"/>
        </w:tabs>
        <w:ind w:left="990" w:hanging="510"/>
      </w:pPr>
      <w:rPr>
        <w:rFonts w:hint="default"/>
      </w:rPr>
    </w:lvl>
    <w:lvl w:ilvl="2" w:tplc="FCE46D94">
      <w:start w:val="1"/>
      <w:numFmt w:val="decimal"/>
      <w:lvlText w:val="%3）"/>
      <w:lvlJc w:val="left"/>
      <w:pPr>
        <w:tabs>
          <w:tab w:val="num" w:pos="1320"/>
        </w:tabs>
        <w:ind w:left="1320" w:hanging="360"/>
      </w:pPr>
      <w:rPr>
        <w:rFonts w:hint="eastAsia"/>
      </w:rPr>
    </w:lvl>
    <w:lvl w:ilvl="3" w:tplc="619E7FB2">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1">
    <w:nsid w:val="564E2732"/>
    <w:multiLevelType w:val="hybridMultilevel"/>
    <w:tmpl w:val="DA8E0B5E"/>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2">
    <w:nsid w:val="56F52BA9"/>
    <w:multiLevelType w:val="singleLevel"/>
    <w:tmpl w:val="63B2FC10"/>
    <w:lvl w:ilvl="0">
      <w:numFmt w:val="bullet"/>
      <w:lvlText w:val="-"/>
      <w:lvlJc w:val="left"/>
      <w:pPr>
        <w:tabs>
          <w:tab w:val="num" w:pos="360"/>
        </w:tabs>
        <w:ind w:left="360" w:hanging="360"/>
      </w:pPr>
      <w:rPr>
        <w:rFonts w:hint="default"/>
      </w:rPr>
    </w:lvl>
  </w:abstractNum>
  <w:abstractNum w:abstractNumId="363">
    <w:nsid w:val="5734356A"/>
    <w:multiLevelType w:val="hybridMultilevel"/>
    <w:tmpl w:val="B5F4CDDE"/>
    <w:lvl w:ilvl="0" w:tplc="1E46EE3C">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4">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365">
    <w:nsid w:val="57AF11B0"/>
    <w:multiLevelType w:val="hybridMultilevel"/>
    <w:tmpl w:val="6B00547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66">
    <w:nsid w:val="58050894"/>
    <w:multiLevelType w:val="hybridMultilevel"/>
    <w:tmpl w:val="8C3AF0BE"/>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7">
    <w:nsid w:val="58917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8">
    <w:nsid w:val="58917A63"/>
    <w:multiLevelType w:val="singleLevel"/>
    <w:tmpl w:val="D48C85FE"/>
    <w:lvl w:ilvl="0">
      <w:start w:val="1"/>
      <w:numFmt w:val="decimal"/>
      <w:lvlText w:val="%1."/>
      <w:lvlJc w:val="left"/>
      <w:pPr>
        <w:tabs>
          <w:tab w:val="num" w:pos="360"/>
        </w:tabs>
        <w:ind w:left="360" w:hanging="360"/>
      </w:pPr>
    </w:lvl>
  </w:abstractNum>
  <w:abstractNum w:abstractNumId="369">
    <w:nsid w:val="589462AA"/>
    <w:multiLevelType w:val="hybridMultilevel"/>
    <w:tmpl w:val="9F8EAA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0">
    <w:nsid w:val="58D64071"/>
    <w:multiLevelType w:val="multilevel"/>
    <w:tmpl w:val="BDB4354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1">
    <w:nsid w:val="58FD1E9F"/>
    <w:multiLevelType w:val="singleLevel"/>
    <w:tmpl w:val="F4F86556"/>
    <w:lvl w:ilvl="0">
      <w:start w:val="1"/>
      <w:numFmt w:val="upperLetter"/>
      <w:lvlText w:val="%1)"/>
      <w:lvlJc w:val="left"/>
      <w:pPr>
        <w:tabs>
          <w:tab w:val="num" w:pos="720"/>
        </w:tabs>
        <w:ind w:left="720" w:hanging="720"/>
      </w:pPr>
      <w:rPr>
        <w:rFonts w:hint="default"/>
      </w:rPr>
    </w:lvl>
  </w:abstractNum>
  <w:abstractNum w:abstractNumId="372">
    <w:nsid w:val="59210A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3">
    <w:nsid w:val="5959781E"/>
    <w:multiLevelType w:val="hybridMultilevel"/>
    <w:tmpl w:val="E8CA2D0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4">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5">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376">
    <w:nsid w:val="5A5B1814"/>
    <w:multiLevelType w:val="hybridMultilevel"/>
    <w:tmpl w:val="5688FC76"/>
    <w:lvl w:ilvl="0" w:tplc="5254F850">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77">
    <w:nsid w:val="5A6B7828"/>
    <w:multiLevelType w:val="hybridMultilevel"/>
    <w:tmpl w:val="507276A8"/>
    <w:lvl w:ilvl="0" w:tplc="65B2BED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8">
    <w:nsid w:val="5AF82994"/>
    <w:multiLevelType w:val="hybridMultilevel"/>
    <w:tmpl w:val="848EBD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80">
    <w:nsid w:val="5B192405"/>
    <w:multiLevelType w:val="singleLevel"/>
    <w:tmpl w:val="04090017"/>
    <w:lvl w:ilvl="0">
      <w:start w:val="1"/>
      <w:numFmt w:val="lowerLetter"/>
      <w:lvlText w:val="%1)"/>
      <w:lvlJc w:val="left"/>
      <w:pPr>
        <w:tabs>
          <w:tab w:val="num" w:pos="360"/>
        </w:tabs>
        <w:ind w:left="360" w:hanging="360"/>
      </w:pPr>
    </w:lvl>
  </w:abstractNum>
  <w:abstractNum w:abstractNumId="381">
    <w:nsid w:val="5B4A658E"/>
    <w:multiLevelType w:val="singleLevel"/>
    <w:tmpl w:val="8E82A41A"/>
    <w:lvl w:ilvl="0">
      <w:start w:val="2"/>
      <w:numFmt w:val="bullet"/>
      <w:lvlText w:val="-"/>
      <w:lvlJc w:val="left"/>
      <w:pPr>
        <w:tabs>
          <w:tab w:val="num" w:pos="1440"/>
        </w:tabs>
        <w:ind w:left="1440" w:hanging="720"/>
      </w:pPr>
      <w:rPr>
        <w:rFonts w:hint="default"/>
      </w:rPr>
    </w:lvl>
  </w:abstractNum>
  <w:abstractNum w:abstractNumId="382">
    <w:nsid w:val="5BAD41CC"/>
    <w:multiLevelType w:val="hybridMultilevel"/>
    <w:tmpl w:val="FA8C7A74"/>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38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7">
    <w:nsid w:val="5DD5726B"/>
    <w:multiLevelType w:val="hybridMultilevel"/>
    <w:tmpl w:val="A0461818"/>
    <w:lvl w:ilvl="0" w:tplc="10969F02">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8">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389">
    <w:nsid w:val="5DF97031"/>
    <w:multiLevelType w:val="hybridMultilevel"/>
    <w:tmpl w:val="BBD6B16C"/>
    <w:lvl w:ilvl="0" w:tplc="8014EABE">
      <w:start w:val="1"/>
      <w:numFmt w:val="lowerLetter"/>
      <w:lvlRestart w:val="0"/>
      <w:lvlText w:val="(%1)"/>
      <w:lvlJc w:val="right"/>
      <w:pPr>
        <w:tabs>
          <w:tab w:val="num" w:pos="2051"/>
        </w:tabs>
        <w:ind w:left="2051" w:hanging="227"/>
      </w:pPr>
      <w:rPr>
        <w:rFonts w:ascii="Times New Roman" w:hAnsi="Times New Roman"/>
        <w:b w:val="0"/>
        <w:i w:val="0"/>
        <w:sz w:val="24"/>
      </w:rPr>
    </w:lvl>
    <w:lvl w:ilvl="1" w:tplc="04090019">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390">
    <w:nsid w:val="5E4A78DB"/>
    <w:multiLevelType w:val="hybridMultilevel"/>
    <w:tmpl w:val="65FAC48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91">
    <w:nsid w:val="5E74639D"/>
    <w:multiLevelType w:val="hybridMultilevel"/>
    <w:tmpl w:val="A0461818"/>
    <w:lvl w:ilvl="0" w:tplc="A1001AC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nsid w:val="5F08050E"/>
    <w:multiLevelType w:val="singleLevel"/>
    <w:tmpl w:val="40A2F000"/>
    <w:lvl w:ilvl="0">
      <w:start w:val="1"/>
      <w:numFmt w:val="upperLetter"/>
      <w:lvlText w:val="%1)"/>
      <w:lvlJc w:val="left"/>
      <w:pPr>
        <w:tabs>
          <w:tab w:val="num" w:pos="720"/>
        </w:tabs>
        <w:ind w:left="720" w:hanging="720"/>
      </w:pPr>
      <w:rPr>
        <w:rFonts w:hint="default"/>
      </w:rPr>
    </w:lvl>
  </w:abstractNum>
  <w:abstractNum w:abstractNumId="393">
    <w:nsid w:val="5F191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394">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395">
    <w:nsid w:val="602C3C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6">
    <w:nsid w:val="607F2114"/>
    <w:multiLevelType w:val="singleLevel"/>
    <w:tmpl w:val="80746B2C"/>
    <w:lvl w:ilvl="0">
      <w:start w:val="5"/>
      <w:numFmt w:val="bullet"/>
      <w:lvlText w:val="-"/>
      <w:lvlJc w:val="left"/>
      <w:pPr>
        <w:tabs>
          <w:tab w:val="num" w:pos="360"/>
        </w:tabs>
        <w:ind w:left="360" w:hanging="360"/>
      </w:pPr>
      <w:rPr>
        <w:rFonts w:hint="default"/>
      </w:rPr>
    </w:lvl>
  </w:abstractNum>
  <w:abstractNum w:abstractNumId="397">
    <w:nsid w:val="61066A61"/>
    <w:multiLevelType w:val="hybridMultilevel"/>
    <w:tmpl w:val="4D121684"/>
    <w:lvl w:ilvl="0" w:tplc="A15E32B6">
      <w:start w:val="1"/>
      <w:numFmt w:val="bullet"/>
      <w:lvlText w:val=""/>
      <w:lvlJc w:val="left"/>
      <w:pPr>
        <w:tabs>
          <w:tab w:val="num" w:pos="1080"/>
        </w:tabs>
        <w:ind w:left="510" w:firstLine="21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98">
    <w:nsid w:val="61082818"/>
    <w:multiLevelType w:val="hybridMultilevel"/>
    <w:tmpl w:val="A036EA48"/>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9">
    <w:nsid w:val="61802DDA"/>
    <w:multiLevelType w:val="hybridMultilevel"/>
    <w:tmpl w:val="6F9088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0">
    <w:nsid w:val="61F1192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401">
    <w:nsid w:val="623B4C94"/>
    <w:multiLevelType w:val="hybridMultilevel"/>
    <w:tmpl w:val="C09CDBFE"/>
    <w:lvl w:ilvl="0" w:tplc="FFFFFFFF">
      <w:start w:val="310"/>
      <w:numFmt w:val="decimal"/>
      <w:lvlText w:val="%1."/>
      <w:lvlJc w:val="left"/>
      <w:pPr>
        <w:tabs>
          <w:tab w:val="num" w:pos="720"/>
        </w:tabs>
        <w:ind w:left="720" w:hanging="360"/>
      </w:pPr>
      <w:rPr>
        <w:rFonts w:hint="default"/>
      </w:rPr>
    </w:lvl>
    <w:lvl w:ilvl="1" w:tplc="FFFFFFFF">
      <w:start w:val="8"/>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2">
    <w:nsid w:val="62506FC0"/>
    <w:multiLevelType w:val="multilevel"/>
    <w:tmpl w:val="BF5A5B82"/>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3">
    <w:nsid w:val="62605AD6"/>
    <w:multiLevelType w:val="hybridMultilevel"/>
    <w:tmpl w:val="1B086CB4"/>
    <w:lvl w:ilvl="0" w:tplc="8014EABE">
      <w:start w:val="1"/>
      <w:numFmt w:val="lowerLetter"/>
      <w:lvlRestart w:val="0"/>
      <w:lvlText w:val="(%1)"/>
      <w:lvlJc w:val="right"/>
      <w:pPr>
        <w:tabs>
          <w:tab w:val="num" w:pos="227"/>
        </w:tabs>
        <w:ind w:left="227" w:hanging="227"/>
      </w:pPr>
      <w:rPr>
        <w:rFonts w:ascii="Times New Roman" w:hAnsi="Times New Roman"/>
        <w:b w:val="0"/>
        <w:i w:val="0"/>
        <w:sz w:val="24"/>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40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406">
    <w:nsid w:val="63C41E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7">
    <w:nsid w:val="642F316E"/>
    <w:multiLevelType w:val="hybridMultilevel"/>
    <w:tmpl w:val="228A85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8">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409">
    <w:nsid w:val="64B96723"/>
    <w:multiLevelType w:val="hybridMultilevel"/>
    <w:tmpl w:val="A94C51A8"/>
    <w:lvl w:ilvl="0" w:tplc="A1A007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0">
    <w:nsid w:val="65617AAA"/>
    <w:multiLevelType w:val="multilevel"/>
    <w:tmpl w:val="2E0E34C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1">
    <w:nsid w:val="65D15DFE"/>
    <w:multiLevelType w:val="singleLevel"/>
    <w:tmpl w:val="475E6D3C"/>
    <w:lvl w:ilvl="0">
      <w:start w:val="1"/>
      <w:numFmt w:val="decimal"/>
      <w:lvlText w:val="%1."/>
      <w:lvlJc w:val="left"/>
      <w:pPr>
        <w:tabs>
          <w:tab w:val="num" w:pos="360"/>
        </w:tabs>
        <w:ind w:left="360" w:hanging="360"/>
      </w:pPr>
    </w:lvl>
  </w:abstractNum>
  <w:abstractNum w:abstractNumId="412">
    <w:nsid w:val="661F7DD3"/>
    <w:multiLevelType w:val="singleLevel"/>
    <w:tmpl w:val="80746B2C"/>
    <w:lvl w:ilvl="0">
      <w:start w:val="5"/>
      <w:numFmt w:val="bullet"/>
      <w:lvlText w:val="-"/>
      <w:lvlJc w:val="left"/>
      <w:pPr>
        <w:tabs>
          <w:tab w:val="num" w:pos="360"/>
        </w:tabs>
        <w:ind w:left="360" w:hanging="360"/>
      </w:pPr>
      <w:rPr>
        <w:rFonts w:hint="default"/>
      </w:rPr>
    </w:lvl>
  </w:abstractNum>
  <w:abstractNum w:abstractNumId="413">
    <w:nsid w:val="664B27AB"/>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414">
    <w:nsid w:val="66621455"/>
    <w:multiLevelType w:val="hybridMultilevel"/>
    <w:tmpl w:val="60E4A54C"/>
    <w:lvl w:ilvl="0" w:tplc="E794C190">
      <w:start w:val="993"/>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15">
    <w:nsid w:val="666A4503"/>
    <w:multiLevelType w:val="hybridMultilevel"/>
    <w:tmpl w:val="A802E0E4"/>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Tahom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Tahom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Tahom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416">
    <w:nsid w:val="66C615C6"/>
    <w:multiLevelType w:val="hybridMultilevel"/>
    <w:tmpl w:val="FDF06C2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7">
    <w:nsid w:val="66FF1E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8">
    <w:nsid w:val="67562090"/>
    <w:multiLevelType w:val="hybridMultilevel"/>
    <w:tmpl w:val="DABAC6A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9">
    <w:nsid w:val="67796580"/>
    <w:multiLevelType w:val="multilevel"/>
    <w:tmpl w:val="69044B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0">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421">
    <w:nsid w:val="67C40A6B"/>
    <w:multiLevelType w:val="hybridMultilevel"/>
    <w:tmpl w:val="E8F463B8"/>
    <w:lvl w:ilvl="0" w:tplc="B52E44D4">
      <w:start w:val="2"/>
      <w:numFmt w:val="bullet"/>
      <w:lvlText w:val="-"/>
      <w:lvlJc w:val="left"/>
      <w:pPr>
        <w:tabs>
          <w:tab w:val="num" w:pos="405"/>
        </w:tabs>
        <w:ind w:left="405" w:hanging="405"/>
      </w:pPr>
      <w:rPr>
        <w:rFonts w:ascii="Times New Roman" w:eastAsia="SimSun"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2">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3">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424">
    <w:nsid w:val="68E32151"/>
    <w:multiLevelType w:val="hybridMultilevel"/>
    <w:tmpl w:val="A3B0144A"/>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25">
    <w:nsid w:val="68EF64CA"/>
    <w:multiLevelType w:val="hybridMultilevel"/>
    <w:tmpl w:val="CC58E89C"/>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6">
    <w:nsid w:val="69A65A54"/>
    <w:multiLevelType w:val="hybridMultilevel"/>
    <w:tmpl w:val="A94C51A8"/>
    <w:lvl w:ilvl="0" w:tplc="1786BE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7">
    <w:nsid w:val="69E4128C"/>
    <w:multiLevelType w:val="hybridMultilevel"/>
    <w:tmpl w:val="75A0E4A0"/>
    <w:lvl w:ilvl="0" w:tplc="81A86C8E">
      <w:start w:val="1"/>
      <w:numFmt w:val="bullet"/>
      <w:lvlText w:val=""/>
      <w:lvlJc w:val="left"/>
      <w:pPr>
        <w:tabs>
          <w:tab w:val="num" w:pos="1440"/>
        </w:tabs>
        <w:ind w:left="143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8">
    <w:nsid w:val="69E71C99"/>
    <w:multiLevelType w:val="hybridMultilevel"/>
    <w:tmpl w:val="A94C51A8"/>
    <w:lvl w:ilvl="0" w:tplc="FC0629F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9">
    <w:nsid w:val="69EB2D79"/>
    <w:multiLevelType w:val="singleLevel"/>
    <w:tmpl w:val="806AF7E2"/>
    <w:lvl w:ilvl="0">
      <w:start w:val="10"/>
      <w:numFmt w:val="upperLetter"/>
      <w:lvlText w:val="%1)"/>
      <w:lvlJc w:val="left"/>
      <w:pPr>
        <w:tabs>
          <w:tab w:val="num" w:pos="720"/>
        </w:tabs>
        <w:ind w:left="720" w:hanging="720"/>
      </w:pPr>
      <w:rPr>
        <w:rFonts w:hint="default"/>
        <w:u w:val="none"/>
      </w:rPr>
    </w:lvl>
  </w:abstractNum>
  <w:abstractNum w:abstractNumId="430">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431">
    <w:nsid w:val="6A5D3284"/>
    <w:multiLevelType w:val="multilevel"/>
    <w:tmpl w:val="3ADA1D5A"/>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2">
    <w:nsid w:val="6A7D1B8D"/>
    <w:multiLevelType w:val="hybridMultilevel"/>
    <w:tmpl w:val="696CCFAE"/>
    <w:lvl w:ilvl="0" w:tplc="29806D24">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73DC4D3A">
      <w:start w:val="1"/>
      <w:numFmt w:val="lowerLetter"/>
      <w:lvlRestart w:val="0"/>
      <w:lvlText w:val="(%4)"/>
      <w:lvlJc w:val="right"/>
      <w:pPr>
        <w:tabs>
          <w:tab w:val="num" w:pos="1667"/>
        </w:tabs>
        <w:ind w:left="1667" w:hanging="227"/>
      </w:pPr>
      <w:rPr>
        <w:rFonts w:ascii="Times New Roman" w:hAnsi="Times New Roman"/>
        <w:b w:val="0"/>
        <w:i w:val="0"/>
        <w:sz w:val="24"/>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3">
    <w:nsid w:val="6AB91B2F"/>
    <w:multiLevelType w:val="hybridMultilevel"/>
    <w:tmpl w:val="A468A860"/>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4">
    <w:nsid w:val="6B5C6FDD"/>
    <w:multiLevelType w:val="multilevel"/>
    <w:tmpl w:val="311EC28E"/>
    <w:lvl w:ilvl="0">
      <w:start w:val="141"/>
      <w:numFmt w:val="decimal"/>
      <w:lvlText w:val="%1."/>
      <w:lvlJc w:val="left"/>
      <w:pPr>
        <w:tabs>
          <w:tab w:val="num" w:pos="360"/>
        </w:tabs>
        <w:ind w:left="360" w:hanging="36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5">
    <w:nsid w:val="6C193BB6"/>
    <w:multiLevelType w:val="hybridMultilevel"/>
    <w:tmpl w:val="50845494"/>
    <w:lvl w:ilvl="0" w:tplc="6282A81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3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7">
    <w:nsid w:val="6C721B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8">
    <w:nsid w:val="6C886214"/>
    <w:multiLevelType w:val="multilevel"/>
    <w:tmpl w:val="B3CE9DB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9">
    <w:nsid w:val="6D356A57"/>
    <w:multiLevelType w:val="hybridMultilevel"/>
    <w:tmpl w:val="7646CD7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0">
    <w:nsid w:val="6D581DA7"/>
    <w:multiLevelType w:val="hybridMultilevel"/>
    <w:tmpl w:val="A3B0144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41">
    <w:nsid w:val="6D952E0D"/>
    <w:multiLevelType w:val="hybridMultilevel"/>
    <w:tmpl w:val="A69AF90E"/>
    <w:lvl w:ilvl="0" w:tplc="A9968580">
      <w:numFmt w:val="bullet"/>
      <w:lvlText w:val="-"/>
      <w:lvlJc w:val="left"/>
      <w:pPr>
        <w:tabs>
          <w:tab w:val="num" w:pos="1440"/>
        </w:tabs>
        <w:ind w:left="1440" w:hanging="720"/>
      </w:pPr>
      <w:rPr>
        <w:rFonts w:ascii="Symbol"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2">
    <w:nsid w:val="6E015CD6"/>
    <w:multiLevelType w:val="hybridMultilevel"/>
    <w:tmpl w:val="51884718"/>
    <w:lvl w:ilvl="0" w:tplc="3D76426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3">
    <w:nsid w:val="6ED532C2"/>
    <w:multiLevelType w:val="hybridMultilevel"/>
    <w:tmpl w:val="E7BA65FC"/>
    <w:lvl w:ilvl="0" w:tplc="28583AC8">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4">
    <w:nsid w:val="6FB83B4E"/>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5">
    <w:nsid w:val="6FC06272"/>
    <w:multiLevelType w:val="hybridMultilevel"/>
    <w:tmpl w:val="E076BC2C"/>
    <w:lvl w:ilvl="0" w:tplc="FFFFFFFF">
      <w:start w:val="30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6">
    <w:nsid w:val="700B2269"/>
    <w:multiLevelType w:val="hybridMultilevel"/>
    <w:tmpl w:val="A94E8DCC"/>
    <w:lvl w:ilvl="0" w:tplc="7ED41C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7">
    <w:nsid w:val="7034538E"/>
    <w:multiLevelType w:val="hybridMultilevel"/>
    <w:tmpl w:val="D6B8F8F8"/>
    <w:lvl w:ilvl="0" w:tplc="04C667A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48">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9">
    <w:nsid w:val="71360611"/>
    <w:multiLevelType w:val="hybridMultilevel"/>
    <w:tmpl w:val="3BFCB8B8"/>
    <w:lvl w:ilvl="0" w:tplc="31F60DDE">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0">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1">
    <w:nsid w:val="714B0E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2">
    <w:nsid w:val="715469BB"/>
    <w:multiLevelType w:val="hybridMultilevel"/>
    <w:tmpl w:val="F33CDE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3">
    <w:nsid w:val="716C7D6B"/>
    <w:multiLevelType w:val="hybridMultilevel"/>
    <w:tmpl w:val="09763ED6"/>
    <w:lvl w:ilvl="0" w:tplc="FFFFFFFF">
      <w:start w:val="22"/>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54">
    <w:nsid w:val="717B4AB1"/>
    <w:multiLevelType w:val="hybridMultilevel"/>
    <w:tmpl w:val="50845494"/>
    <w:lvl w:ilvl="0" w:tplc="ADEE08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55">
    <w:nsid w:val="71BB63DB"/>
    <w:multiLevelType w:val="hybridMultilevel"/>
    <w:tmpl w:val="128CD4D0"/>
    <w:lvl w:ilvl="0" w:tplc="BAA4A62A">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56">
    <w:nsid w:val="71C14EB2"/>
    <w:multiLevelType w:val="hybridMultilevel"/>
    <w:tmpl w:val="3DBEED12"/>
    <w:lvl w:ilvl="0" w:tplc="688E9E3C">
      <w:start w:val="993"/>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7">
    <w:nsid w:val="71EC2CF6"/>
    <w:multiLevelType w:val="hybridMultilevel"/>
    <w:tmpl w:val="874C0AF4"/>
    <w:lvl w:ilvl="0" w:tplc="5D50266A">
      <w:start w:val="1"/>
      <w:numFmt w:val="bullet"/>
      <w:lvlText w:val=""/>
      <w:lvlJc w:val="left"/>
      <w:pPr>
        <w:tabs>
          <w:tab w:val="num" w:pos="1437"/>
        </w:tabs>
        <w:ind w:left="1434"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58">
    <w:nsid w:val="727E1F3B"/>
    <w:multiLevelType w:val="hybridMultilevel"/>
    <w:tmpl w:val="D6B8F8F8"/>
    <w:lvl w:ilvl="0" w:tplc="492C9844">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59">
    <w:nsid w:val="72B60A38"/>
    <w:multiLevelType w:val="singleLevel"/>
    <w:tmpl w:val="70E0B3C4"/>
    <w:lvl w:ilvl="0">
      <w:start w:val="1"/>
      <w:numFmt w:val="upperLetter"/>
      <w:lvlText w:val="%1)"/>
      <w:lvlJc w:val="left"/>
      <w:pPr>
        <w:tabs>
          <w:tab w:val="num" w:pos="720"/>
        </w:tabs>
        <w:ind w:left="720" w:hanging="720"/>
      </w:pPr>
      <w:rPr>
        <w:rFonts w:hint="default"/>
        <w:u w:val="none"/>
      </w:rPr>
    </w:lvl>
  </w:abstractNum>
  <w:abstractNum w:abstractNumId="460">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1">
    <w:nsid w:val="730319C7"/>
    <w:multiLevelType w:val="hybridMultilevel"/>
    <w:tmpl w:val="3B6E677C"/>
    <w:lvl w:ilvl="0" w:tplc="66E4D75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2">
    <w:nsid w:val="7357343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463">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64">
    <w:nsid w:val="73C52CE1"/>
    <w:multiLevelType w:val="hybridMultilevel"/>
    <w:tmpl w:val="FE6C1992"/>
    <w:lvl w:ilvl="0" w:tplc="FFFFFFFF">
      <w:start w:val="50"/>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465">
    <w:nsid w:val="73E5641C"/>
    <w:multiLevelType w:val="hybridMultilevel"/>
    <w:tmpl w:val="DF2EA1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6">
    <w:nsid w:val="74842CD0"/>
    <w:multiLevelType w:val="singleLevel"/>
    <w:tmpl w:val="B7745C10"/>
    <w:lvl w:ilvl="0">
      <w:start w:val="1"/>
      <w:numFmt w:val="upperLetter"/>
      <w:lvlText w:val="%1)"/>
      <w:lvlJc w:val="left"/>
      <w:pPr>
        <w:tabs>
          <w:tab w:val="num" w:pos="720"/>
        </w:tabs>
        <w:ind w:left="720" w:hanging="720"/>
      </w:pPr>
      <w:rPr>
        <w:rFonts w:hint="default"/>
      </w:rPr>
    </w:lvl>
  </w:abstractNum>
  <w:abstractNum w:abstractNumId="467">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468">
    <w:nsid w:val="74F062E1"/>
    <w:multiLevelType w:val="singleLevel"/>
    <w:tmpl w:val="54BE9656"/>
    <w:lvl w:ilvl="0">
      <w:start w:val="1"/>
      <w:numFmt w:val="upperLetter"/>
      <w:lvlText w:val="%1)"/>
      <w:lvlJc w:val="left"/>
      <w:pPr>
        <w:tabs>
          <w:tab w:val="num" w:pos="360"/>
        </w:tabs>
        <w:ind w:left="360" w:hanging="360"/>
      </w:pPr>
      <w:rPr>
        <w:rFonts w:hint="default"/>
      </w:rPr>
    </w:lvl>
  </w:abstractNum>
  <w:abstractNum w:abstractNumId="469">
    <w:nsid w:val="75516DAC"/>
    <w:multiLevelType w:val="hybridMultilevel"/>
    <w:tmpl w:val="51DAB07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70">
    <w:nsid w:val="75AB5FD7"/>
    <w:multiLevelType w:val="hybridMultilevel"/>
    <w:tmpl w:val="049C19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71">
    <w:nsid w:val="75D65DC0"/>
    <w:multiLevelType w:val="hybridMultilevel"/>
    <w:tmpl w:val="15AA7940"/>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2">
    <w:nsid w:val="75F2077F"/>
    <w:multiLevelType w:val="hybridMultilevel"/>
    <w:tmpl w:val="EF646CCA"/>
    <w:lvl w:ilvl="0" w:tplc="888CEDD0">
      <w:start w:val="993"/>
      <w:numFmt w:val="bullet"/>
      <w:lvlText w:val=""/>
      <w:lvlJc w:val="left"/>
      <w:pPr>
        <w:tabs>
          <w:tab w:val="num" w:pos="1080"/>
        </w:tabs>
        <w:ind w:left="1077" w:hanging="357"/>
      </w:pPr>
      <w:rPr>
        <w:rFonts w:ascii="Symbol" w:hAnsi="Symbol" w:hint="default"/>
      </w:rPr>
    </w:lvl>
    <w:lvl w:ilvl="1" w:tplc="1C16F596">
      <w:numFmt w:val="bullet"/>
      <w:lvlText w:val="-"/>
      <w:lvlJc w:val="left"/>
      <w:pPr>
        <w:tabs>
          <w:tab w:val="num" w:pos="1800"/>
        </w:tabs>
        <w:ind w:left="1800" w:hanging="72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3">
    <w:nsid w:val="768B1126"/>
    <w:multiLevelType w:val="hybridMultilevel"/>
    <w:tmpl w:val="432EBE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4">
    <w:nsid w:val="768B7FD1"/>
    <w:multiLevelType w:val="hybridMultilevel"/>
    <w:tmpl w:val="80E4125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75">
    <w:nsid w:val="76987B2C"/>
    <w:multiLevelType w:val="hybridMultilevel"/>
    <w:tmpl w:val="14FA34C4"/>
    <w:lvl w:ilvl="0" w:tplc="81A86C8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6">
    <w:nsid w:val="76A744D7"/>
    <w:multiLevelType w:val="hybridMultilevel"/>
    <w:tmpl w:val="5B58C332"/>
    <w:lvl w:ilvl="0" w:tplc="A9968580">
      <w:numFmt w:val="bullet"/>
      <w:lvlText w:val="-"/>
      <w:lvlJc w:val="left"/>
      <w:pPr>
        <w:tabs>
          <w:tab w:val="num" w:pos="1440"/>
        </w:tabs>
        <w:ind w:left="1440" w:hanging="720"/>
      </w:pPr>
      <w:rPr>
        <w:rFonts w:ascii="Symbol"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7">
    <w:nsid w:val="76C53BCA"/>
    <w:multiLevelType w:val="hybridMultilevel"/>
    <w:tmpl w:val="C546C028"/>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8">
    <w:nsid w:val="76FA193B"/>
    <w:multiLevelType w:val="hybridMultilevel"/>
    <w:tmpl w:val="537E842C"/>
    <w:lvl w:ilvl="0" w:tplc="FFFFFFFF">
      <w:start w:val="202"/>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b w:val="0"/>
      </w:rPr>
    </w:lvl>
    <w:lvl w:ilvl="2" w:tplc="FFFFFFFF">
      <w:start w:val="4"/>
      <w:numFmt w:val="upperLetter"/>
      <w:lvlText w:val="%3)"/>
      <w:lvlJc w:val="left"/>
      <w:pPr>
        <w:tabs>
          <w:tab w:val="num" w:pos="2340"/>
        </w:tabs>
        <w:ind w:left="2340" w:hanging="360"/>
      </w:pPr>
      <w:rPr>
        <w:rFonts w:hint="default"/>
        <w:b w: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9">
    <w:nsid w:val="770A1B26"/>
    <w:multiLevelType w:val="multilevel"/>
    <w:tmpl w:val="826A7D6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0">
    <w:nsid w:val="77166B27"/>
    <w:multiLevelType w:val="hybridMultilevel"/>
    <w:tmpl w:val="1270CE9E"/>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cs="Tahoma"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cs="Tahoma"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Tahoma"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481">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2">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3">
    <w:nsid w:val="77C80361"/>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485">
    <w:nsid w:val="789544E7"/>
    <w:multiLevelType w:val="hybridMultilevel"/>
    <w:tmpl w:val="A036EA48"/>
    <w:lvl w:ilvl="0" w:tplc="FA68018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6">
    <w:nsid w:val="78B5072B"/>
    <w:multiLevelType w:val="singleLevel"/>
    <w:tmpl w:val="0409000F"/>
    <w:lvl w:ilvl="0">
      <w:start w:val="1"/>
      <w:numFmt w:val="decimal"/>
      <w:lvlText w:val="%1."/>
      <w:lvlJc w:val="left"/>
      <w:pPr>
        <w:tabs>
          <w:tab w:val="num" w:pos="360"/>
        </w:tabs>
        <w:ind w:left="360" w:hanging="360"/>
      </w:pPr>
    </w:lvl>
  </w:abstractNum>
  <w:abstractNum w:abstractNumId="487">
    <w:nsid w:val="78DE3D23"/>
    <w:multiLevelType w:val="hybridMultilevel"/>
    <w:tmpl w:val="10AE3CE2"/>
    <w:lvl w:ilvl="0" w:tplc="7DC0980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8">
    <w:nsid w:val="79B97ACA"/>
    <w:multiLevelType w:val="hybridMultilevel"/>
    <w:tmpl w:val="E38AE9C0"/>
    <w:lvl w:ilvl="0" w:tplc="D96A3942">
      <w:start w:val="1"/>
      <w:numFmt w:val="lowerLetter"/>
      <w:lvlRestart w:val="0"/>
      <w:lvlText w:val="(%1)"/>
      <w:lvlJc w:val="right"/>
      <w:pPr>
        <w:tabs>
          <w:tab w:val="num" w:pos="2051"/>
        </w:tabs>
        <w:ind w:left="2051" w:hanging="227"/>
      </w:pPr>
      <w:rPr>
        <w:rFonts w:ascii="Times New Roman" w:hAnsi="Times New Roman"/>
        <w:b w:val="0"/>
        <w:i w:val="0"/>
        <w:sz w:val="24"/>
      </w:rPr>
    </w:lvl>
    <w:lvl w:ilvl="1" w:tplc="04090019" w:tentative="1">
      <w:start w:val="1"/>
      <w:numFmt w:val="ideographTraditional"/>
      <w:lvlText w:val="%2、"/>
      <w:lvlJc w:val="left"/>
      <w:pPr>
        <w:tabs>
          <w:tab w:val="num" w:pos="1480"/>
        </w:tabs>
        <w:ind w:left="1480" w:hanging="480"/>
      </w:p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489">
    <w:nsid w:val="7ACA643D"/>
    <w:multiLevelType w:val="singleLevel"/>
    <w:tmpl w:val="0409000F"/>
    <w:lvl w:ilvl="0">
      <w:start w:val="1"/>
      <w:numFmt w:val="decimal"/>
      <w:lvlText w:val="%1."/>
      <w:lvlJc w:val="left"/>
      <w:pPr>
        <w:tabs>
          <w:tab w:val="num" w:pos="360"/>
        </w:tabs>
        <w:ind w:left="360" w:hanging="360"/>
      </w:pPr>
    </w:lvl>
  </w:abstractNum>
  <w:abstractNum w:abstractNumId="490">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491">
    <w:nsid w:val="7B467F46"/>
    <w:multiLevelType w:val="hybridMultilevel"/>
    <w:tmpl w:val="62526FC6"/>
    <w:lvl w:ilvl="0" w:tplc="88186148">
      <w:start w:val="696"/>
      <w:numFmt w:val="decimal"/>
      <w:lvlText w:val="%1"/>
      <w:lvlJc w:val="left"/>
      <w:pPr>
        <w:tabs>
          <w:tab w:val="num" w:pos="900"/>
        </w:tabs>
        <w:ind w:left="900" w:hanging="90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2">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493">
    <w:nsid w:val="7BA54B9D"/>
    <w:multiLevelType w:val="singleLevel"/>
    <w:tmpl w:val="AA02A0A8"/>
    <w:lvl w:ilvl="0">
      <w:start w:val="1"/>
      <w:numFmt w:val="decimal"/>
      <w:lvlText w:val="%1."/>
      <w:legacy w:legacy="1" w:legacySpace="0" w:legacyIndent="283"/>
      <w:lvlJc w:val="left"/>
      <w:pPr>
        <w:ind w:left="283" w:hanging="283"/>
      </w:pPr>
    </w:lvl>
  </w:abstractNum>
  <w:abstractNum w:abstractNumId="494">
    <w:nsid w:val="7C9668FD"/>
    <w:multiLevelType w:val="hybridMultilevel"/>
    <w:tmpl w:val="874C0AF4"/>
    <w:lvl w:ilvl="0" w:tplc="81A86C8E">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797"/>
        </w:tabs>
        <w:ind w:left="1797" w:hanging="360"/>
      </w:pPr>
      <w:rPr>
        <w:rFonts w:ascii="Courier New" w:hAnsi="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95">
    <w:nsid w:val="7CD54A13"/>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96">
    <w:nsid w:val="7CE362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98">
    <w:nsid w:val="7D41691A"/>
    <w:multiLevelType w:val="hybridMultilevel"/>
    <w:tmpl w:val="9510F08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9">
    <w:nsid w:val="7D481607"/>
    <w:multiLevelType w:val="hybridMultilevel"/>
    <w:tmpl w:val="4AA4EFE0"/>
    <w:lvl w:ilvl="0" w:tplc="5A1A237A">
      <w:start w:val="1"/>
      <w:numFmt w:val="bullet"/>
      <w:lvlText w:val=""/>
      <w:lvlJc w:val="left"/>
      <w:pPr>
        <w:tabs>
          <w:tab w:val="num" w:pos="480"/>
        </w:tabs>
        <w:ind w:left="480" w:hanging="480"/>
      </w:pPr>
      <w:rPr>
        <w:rFonts w:ascii="Symbol" w:hAnsi="Symbol" w:hint="default"/>
      </w:rPr>
    </w:lvl>
    <w:lvl w:ilvl="1" w:tplc="02FCFCAA">
      <w:start w:val="3"/>
      <w:numFmt w:val="upperLetter"/>
      <w:lvlText w:val="%2)"/>
      <w:lvlJc w:val="left"/>
      <w:pPr>
        <w:tabs>
          <w:tab w:val="num" w:pos="990"/>
        </w:tabs>
        <w:ind w:left="990" w:hanging="510"/>
      </w:pPr>
      <w:rPr>
        <w:rFonts w:hint="default"/>
      </w:rPr>
    </w:lvl>
    <w:lvl w:ilvl="2" w:tplc="FCE46D94">
      <w:start w:val="1"/>
      <w:numFmt w:val="decimal"/>
      <w:lvlText w:val="%3）"/>
      <w:lvlJc w:val="left"/>
      <w:pPr>
        <w:tabs>
          <w:tab w:val="num" w:pos="1320"/>
        </w:tabs>
        <w:ind w:left="1320" w:hanging="360"/>
      </w:pPr>
      <w:rPr>
        <w:rFonts w:hint="eastAsia"/>
      </w:rPr>
    </w:lvl>
    <w:lvl w:ilvl="3" w:tplc="619E7FB2">
      <w:start w:val="1"/>
      <w:numFmt w:val="decimal"/>
      <w:lvlText w:val="（%4）"/>
      <w:lvlJc w:val="left"/>
      <w:pPr>
        <w:tabs>
          <w:tab w:val="num" w:pos="2160"/>
        </w:tabs>
        <w:ind w:left="2160" w:hanging="720"/>
      </w:pPr>
      <w:rPr>
        <w:rFonts w:hint="eastAsia"/>
      </w:rPr>
    </w:lvl>
    <w:lvl w:ilvl="4" w:tplc="050A9084">
      <w:start w:val="4"/>
      <w:numFmt w:val="lowerLetter"/>
      <w:lvlText w:val="（%5）"/>
      <w:lvlJc w:val="left"/>
      <w:pPr>
        <w:tabs>
          <w:tab w:val="num" w:pos="2640"/>
        </w:tabs>
        <w:ind w:left="2640" w:hanging="720"/>
      </w:pPr>
      <w:rPr>
        <w:rFonts w:hint="eastAsia"/>
        <w:u w:val="none"/>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0">
    <w:nsid w:val="7DBF6B58"/>
    <w:multiLevelType w:val="singleLevel"/>
    <w:tmpl w:val="0409000F"/>
    <w:lvl w:ilvl="0">
      <w:start w:val="1"/>
      <w:numFmt w:val="decimal"/>
      <w:lvlText w:val="%1."/>
      <w:lvlJc w:val="left"/>
      <w:pPr>
        <w:tabs>
          <w:tab w:val="num" w:pos="360"/>
        </w:tabs>
        <w:ind w:left="360" w:hanging="360"/>
      </w:pPr>
    </w:lvl>
  </w:abstractNum>
  <w:abstractNum w:abstractNumId="501">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02">
    <w:nsid w:val="7DEC1D3F"/>
    <w:multiLevelType w:val="multilevel"/>
    <w:tmpl w:val="655047F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503">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504">
    <w:nsid w:val="7EC80AA9"/>
    <w:multiLevelType w:val="hybridMultilevel"/>
    <w:tmpl w:val="A94E8DCC"/>
    <w:lvl w:ilvl="0" w:tplc="2D72B486">
      <w:start w:val="1"/>
      <w:numFmt w:val="bullet"/>
      <w:lvlText w:val=""/>
      <w:lvlJc w:val="left"/>
      <w:pPr>
        <w:tabs>
          <w:tab w:val="num" w:pos="1080"/>
        </w:tabs>
        <w:ind w:left="357" w:firstLine="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5">
    <w:nsid w:val="7F203CEC"/>
    <w:multiLevelType w:val="singleLevel"/>
    <w:tmpl w:val="AA02A0A8"/>
    <w:lvl w:ilvl="0">
      <w:start w:val="1"/>
      <w:numFmt w:val="decimal"/>
      <w:lvlText w:val="%1."/>
      <w:legacy w:legacy="1" w:legacySpace="0" w:legacyIndent="283"/>
      <w:lvlJc w:val="left"/>
      <w:pPr>
        <w:ind w:left="283" w:hanging="283"/>
      </w:pPr>
    </w:lvl>
  </w:abstractNum>
  <w:abstractNum w:abstractNumId="506">
    <w:nsid w:val="7F48501D"/>
    <w:multiLevelType w:val="hybridMultilevel"/>
    <w:tmpl w:val="478405F6"/>
    <w:lvl w:ilvl="0" w:tplc="D96A3942">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7">
    <w:nsid w:val="7F8200A5"/>
    <w:multiLevelType w:val="hybridMultilevel"/>
    <w:tmpl w:val="EB82931A"/>
    <w:lvl w:ilvl="0" w:tplc="8014EABE">
      <w:start w:val="1"/>
      <w:numFmt w:val="lowerLetter"/>
      <w:lvlRestart w:val="0"/>
      <w:lvlText w:val="(%1)"/>
      <w:lvlJc w:val="right"/>
      <w:pPr>
        <w:tabs>
          <w:tab w:val="num" w:pos="2051"/>
        </w:tabs>
        <w:ind w:left="2051" w:hanging="227"/>
      </w:pPr>
      <w:rPr>
        <w:rFonts w:ascii="Times New Roman" w:hAnsi="Times New Roman"/>
        <w:b w:val="0"/>
        <w:i w:val="0"/>
        <w:sz w:val="24"/>
      </w:rPr>
    </w:lvl>
    <w:lvl w:ilvl="1" w:tplc="8014EABE">
      <w:start w:val="1"/>
      <w:numFmt w:val="lowerLetter"/>
      <w:lvlRestart w:val="0"/>
      <w:lvlText w:val="(%2)"/>
      <w:lvlJc w:val="right"/>
      <w:pPr>
        <w:tabs>
          <w:tab w:val="num" w:pos="1227"/>
        </w:tabs>
        <w:ind w:left="1227" w:hanging="227"/>
      </w:pPr>
      <w:rPr>
        <w:rFonts w:ascii="Times New Roman" w:hAnsi="Times New Roman"/>
        <w:b w:val="0"/>
        <w:i w:val="0"/>
        <w:sz w:val="24"/>
      </w:rPr>
    </w:lvl>
    <w:lvl w:ilvl="2" w:tplc="0409001B" w:tentative="1">
      <w:start w:val="1"/>
      <w:numFmt w:val="lowerRoman"/>
      <w:lvlText w:val="%3."/>
      <w:lvlJc w:val="right"/>
      <w:pPr>
        <w:tabs>
          <w:tab w:val="num" w:pos="1960"/>
        </w:tabs>
        <w:ind w:left="1960" w:hanging="480"/>
      </w:pPr>
    </w:lvl>
    <w:lvl w:ilvl="3" w:tplc="0409000F" w:tentative="1">
      <w:start w:val="1"/>
      <w:numFmt w:val="decimal"/>
      <w:lvlText w:val="%4."/>
      <w:lvlJc w:val="left"/>
      <w:pPr>
        <w:tabs>
          <w:tab w:val="num" w:pos="2440"/>
        </w:tabs>
        <w:ind w:left="2440" w:hanging="480"/>
      </w:pPr>
    </w:lvl>
    <w:lvl w:ilvl="4" w:tplc="04090019" w:tentative="1">
      <w:start w:val="1"/>
      <w:numFmt w:val="ideographTraditional"/>
      <w:lvlText w:val="%5、"/>
      <w:lvlJc w:val="left"/>
      <w:pPr>
        <w:tabs>
          <w:tab w:val="num" w:pos="2920"/>
        </w:tabs>
        <w:ind w:left="2920" w:hanging="480"/>
      </w:pPr>
    </w:lvl>
    <w:lvl w:ilvl="5" w:tplc="0409001B" w:tentative="1">
      <w:start w:val="1"/>
      <w:numFmt w:val="lowerRoman"/>
      <w:lvlText w:val="%6."/>
      <w:lvlJc w:val="right"/>
      <w:pPr>
        <w:tabs>
          <w:tab w:val="num" w:pos="3400"/>
        </w:tabs>
        <w:ind w:left="3400" w:hanging="480"/>
      </w:pPr>
    </w:lvl>
    <w:lvl w:ilvl="6" w:tplc="0409000F" w:tentative="1">
      <w:start w:val="1"/>
      <w:numFmt w:val="decimal"/>
      <w:lvlText w:val="%7."/>
      <w:lvlJc w:val="left"/>
      <w:pPr>
        <w:tabs>
          <w:tab w:val="num" w:pos="3880"/>
        </w:tabs>
        <w:ind w:left="3880" w:hanging="480"/>
      </w:pPr>
    </w:lvl>
    <w:lvl w:ilvl="7" w:tplc="04090019" w:tentative="1">
      <w:start w:val="1"/>
      <w:numFmt w:val="ideographTraditional"/>
      <w:lvlText w:val="%8、"/>
      <w:lvlJc w:val="left"/>
      <w:pPr>
        <w:tabs>
          <w:tab w:val="num" w:pos="4360"/>
        </w:tabs>
        <w:ind w:left="4360" w:hanging="480"/>
      </w:pPr>
    </w:lvl>
    <w:lvl w:ilvl="8" w:tplc="0409001B" w:tentative="1">
      <w:start w:val="1"/>
      <w:numFmt w:val="lowerRoman"/>
      <w:lvlText w:val="%9."/>
      <w:lvlJc w:val="right"/>
      <w:pPr>
        <w:tabs>
          <w:tab w:val="num" w:pos="4840"/>
        </w:tabs>
        <w:ind w:left="4840" w:hanging="480"/>
      </w:pPr>
    </w:lvl>
  </w:abstractNum>
  <w:abstractNum w:abstractNumId="508">
    <w:nsid w:val="7FA94C6C"/>
    <w:multiLevelType w:val="hybridMultilevel"/>
    <w:tmpl w:val="1DC224C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num w:numId="1">
    <w:abstractNumId w:val="336"/>
  </w:num>
  <w:num w:numId="2">
    <w:abstractNumId w:val="242"/>
  </w:num>
  <w:num w:numId="3">
    <w:abstractNumId w:val="215"/>
  </w:num>
  <w:num w:numId="4">
    <w:abstractNumId w:val="218"/>
  </w:num>
  <w:num w:numId="5">
    <w:abstractNumId w:val="482"/>
  </w:num>
  <w:num w:numId="6">
    <w:abstractNumId w:val="15"/>
  </w:num>
  <w:num w:numId="7">
    <w:abstractNumId w:val="310"/>
  </w:num>
  <w:num w:numId="8">
    <w:abstractNumId w:val="163"/>
  </w:num>
  <w:num w:numId="9">
    <w:abstractNumId w:val="64"/>
  </w:num>
  <w:num w:numId="10">
    <w:abstractNumId w:val="100"/>
  </w:num>
  <w:num w:numId="11">
    <w:abstractNumId w:val="448"/>
  </w:num>
  <w:num w:numId="12">
    <w:abstractNumId w:val="127"/>
  </w:num>
  <w:num w:numId="13">
    <w:abstractNumId w:val="467"/>
  </w:num>
  <w:num w:numId="14">
    <w:abstractNumId w:val="328"/>
  </w:num>
  <w:num w:numId="15">
    <w:abstractNumId w:val="339"/>
  </w:num>
  <w:num w:numId="16">
    <w:abstractNumId w:val="41"/>
  </w:num>
  <w:num w:numId="17">
    <w:abstractNumId w:val="501"/>
  </w:num>
  <w:num w:numId="18">
    <w:abstractNumId w:val="436"/>
  </w:num>
  <w:num w:numId="19">
    <w:abstractNumId w:val="422"/>
  </w:num>
  <w:num w:numId="20">
    <w:abstractNumId w:val="45"/>
  </w:num>
  <w:num w:numId="21">
    <w:abstractNumId w:val="335"/>
  </w:num>
  <w:num w:numId="22">
    <w:abstractNumId w:val="350"/>
  </w:num>
  <w:num w:numId="23">
    <w:abstractNumId w:val="490"/>
  </w:num>
  <w:num w:numId="24">
    <w:abstractNumId w:val="388"/>
  </w:num>
  <w:num w:numId="25">
    <w:abstractNumId w:val="385"/>
  </w:num>
  <w:num w:numId="26">
    <w:abstractNumId w:val="306"/>
  </w:num>
  <w:num w:numId="27">
    <w:abstractNumId w:val="72"/>
  </w:num>
  <w:num w:numId="28">
    <w:abstractNumId w:val="61"/>
  </w:num>
  <w:num w:numId="29">
    <w:abstractNumId w:val="503"/>
  </w:num>
  <w:num w:numId="30">
    <w:abstractNumId w:val="22"/>
  </w:num>
  <w:num w:numId="31">
    <w:abstractNumId w:val="111"/>
  </w:num>
  <w:num w:numId="32">
    <w:abstractNumId w:val="463"/>
  </w:num>
  <w:num w:numId="33">
    <w:abstractNumId w:val="175"/>
  </w:num>
  <w:num w:numId="34">
    <w:abstractNumId w:val="420"/>
  </w:num>
  <w:num w:numId="35">
    <w:abstractNumId w:val="408"/>
  </w:num>
  <w:num w:numId="36">
    <w:abstractNumId w:val="244"/>
  </w:num>
  <w:num w:numId="37">
    <w:abstractNumId w:val="364"/>
  </w:num>
  <w:num w:numId="38">
    <w:abstractNumId w:val="384"/>
  </w:num>
  <w:num w:numId="39">
    <w:abstractNumId w:val="450"/>
  </w:num>
  <w:num w:numId="40">
    <w:abstractNumId w:val="42"/>
  </w:num>
  <w:num w:numId="41">
    <w:abstractNumId w:val="233"/>
  </w:num>
  <w:num w:numId="42">
    <w:abstractNumId w:val="492"/>
  </w:num>
  <w:num w:numId="43">
    <w:abstractNumId w:val="383"/>
  </w:num>
  <w:num w:numId="44">
    <w:abstractNumId w:val="423"/>
  </w:num>
  <w:num w:numId="45">
    <w:abstractNumId w:val="162"/>
  </w:num>
  <w:num w:numId="46">
    <w:abstractNumId w:val="240"/>
  </w:num>
  <w:num w:numId="47">
    <w:abstractNumId w:val="82"/>
  </w:num>
  <w:num w:numId="48">
    <w:abstractNumId w:val="394"/>
  </w:num>
  <w:num w:numId="49">
    <w:abstractNumId w:val="374"/>
  </w:num>
  <w:num w:numId="50">
    <w:abstractNumId w:val="260"/>
  </w:num>
  <w:num w:numId="51">
    <w:abstractNumId w:val="108"/>
  </w:num>
  <w:num w:numId="52">
    <w:abstractNumId w:val="375"/>
  </w:num>
  <w:num w:numId="53">
    <w:abstractNumId w:val="80"/>
  </w:num>
  <w:num w:numId="54">
    <w:abstractNumId w:val="259"/>
  </w:num>
  <w:num w:numId="55">
    <w:abstractNumId w:val="323"/>
  </w:num>
  <w:num w:numId="56">
    <w:abstractNumId w:val="484"/>
  </w:num>
  <w:num w:numId="57">
    <w:abstractNumId w:val="340"/>
  </w:num>
  <w:num w:numId="58">
    <w:abstractNumId w:val="273"/>
  </w:num>
  <w:num w:numId="59">
    <w:abstractNumId w:val="222"/>
  </w:num>
  <w:num w:numId="60">
    <w:abstractNumId w:val="39"/>
  </w:num>
  <w:num w:numId="61">
    <w:abstractNumId w:val="325"/>
  </w:num>
  <w:num w:numId="62">
    <w:abstractNumId w:val="137"/>
  </w:num>
  <w:num w:numId="63">
    <w:abstractNumId w:val="405"/>
  </w:num>
  <w:num w:numId="64">
    <w:abstractNumId w:val="404"/>
  </w:num>
  <w:num w:numId="65">
    <w:abstractNumId w:val="23"/>
  </w:num>
  <w:num w:numId="66">
    <w:abstractNumId w:val="331"/>
  </w:num>
  <w:num w:numId="67">
    <w:abstractNumId w:val="128"/>
  </w:num>
  <w:num w:numId="68">
    <w:abstractNumId w:val="311"/>
  </w:num>
  <w:num w:numId="69">
    <w:abstractNumId w:val="69"/>
  </w:num>
  <w:num w:numId="70">
    <w:abstractNumId w:val="386"/>
  </w:num>
  <w:num w:numId="71">
    <w:abstractNumId w:val="303"/>
  </w:num>
  <w:num w:numId="72">
    <w:abstractNumId w:val="460"/>
  </w:num>
  <w:num w:numId="73">
    <w:abstractNumId w:val="430"/>
  </w:num>
  <w:num w:numId="74">
    <w:abstractNumId w:val="149"/>
  </w:num>
  <w:num w:numId="75">
    <w:abstractNumId w:val="285"/>
  </w:num>
  <w:num w:numId="76">
    <w:abstractNumId w:val="302"/>
  </w:num>
  <w:num w:numId="77">
    <w:abstractNumId w:val="150"/>
  </w:num>
  <w:num w:numId="78">
    <w:abstractNumId w:val="481"/>
  </w:num>
  <w:num w:numId="79">
    <w:abstractNumId w:val="449"/>
  </w:num>
  <w:num w:numId="80">
    <w:abstractNumId w:val="103"/>
  </w:num>
  <w:num w:numId="81">
    <w:abstractNumId w:val="204"/>
  </w:num>
  <w:num w:numId="82">
    <w:abstractNumId w:val="432"/>
  </w:num>
  <w:num w:numId="83">
    <w:abstractNumId w:val="403"/>
  </w:num>
  <w:num w:numId="84">
    <w:abstractNumId w:val="336"/>
  </w:num>
  <w:num w:numId="85">
    <w:abstractNumId w:val="507"/>
  </w:num>
  <w:num w:numId="86">
    <w:abstractNumId w:val="389"/>
  </w:num>
  <w:num w:numId="87">
    <w:abstractNumId w:val="59"/>
  </w:num>
  <w:num w:numId="88">
    <w:abstractNumId w:val="254"/>
  </w:num>
  <w:num w:numId="89">
    <w:abstractNumId w:val="130"/>
  </w:num>
  <w:num w:numId="90">
    <w:abstractNumId w:val="252"/>
  </w:num>
  <w:num w:numId="91">
    <w:abstractNumId w:val="166"/>
  </w:num>
  <w:num w:numId="92">
    <w:abstractNumId w:val="263"/>
  </w:num>
  <w:num w:numId="93">
    <w:abstractNumId w:val="73"/>
  </w:num>
  <w:num w:numId="94">
    <w:abstractNumId w:val="298"/>
  </w:num>
  <w:num w:numId="95">
    <w:abstractNumId w:val="91"/>
  </w:num>
  <w:num w:numId="96">
    <w:abstractNumId w:val="33"/>
  </w:num>
  <w:num w:numId="97">
    <w:abstractNumId w:val="249"/>
  </w:num>
  <w:num w:numId="98">
    <w:abstractNumId w:val="201"/>
  </w:num>
  <w:num w:numId="99">
    <w:abstractNumId w:val="459"/>
  </w:num>
  <w:num w:numId="100">
    <w:abstractNumId w:val="277"/>
  </w:num>
  <w:num w:numId="101">
    <w:abstractNumId w:val="368"/>
  </w:num>
  <w:num w:numId="102">
    <w:abstractNumId w:val="182"/>
  </w:num>
  <w:num w:numId="103">
    <w:abstractNumId w:val="112"/>
  </w:num>
  <w:num w:numId="104">
    <w:abstractNumId w:val="282"/>
  </w:num>
  <w:num w:numId="105">
    <w:abstractNumId w:val="67"/>
  </w:num>
  <w:num w:numId="106">
    <w:abstractNumId w:val="496"/>
  </w:num>
  <w:num w:numId="107">
    <w:abstractNumId w:val="406"/>
  </w:num>
  <w:num w:numId="108">
    <w:abstractNumId w:val="451"/>
  </w:num>
  <w:num w:numId="109">
    <w:abstractNumId w:val="232"/>
  </w:num>
  <w:num w:numId="110">
    <w:abstractNumId w:val="60"/>
  </w:num>
  <w:num w:numId="111">
    <w:abstractNumId w:val="417"/>
  </w:num>
  <w:num w:numId="112">
    <w:abstractNumId w:val="367"/>
  </w:num>
  <w:num w:numId="113">
    <w:abstractNumId w:val="160"/>
  </w:num>
  <w:num w:numId="114">
    <w:abstractNumId w:val="119"/>
  </w:num>
  <w:num w:numId="115">
    <w:abstractNumId w:val="122"/>
  </w:num>
  <w:num w:numId="116">
    <w:abstractNumId w:val="346"/>
  </w:num>
  <w:num w:numId="117">
    <w:abstractNumId w:val="18"/>
  </w:num>
  <w:num w:numId="118">
    <w:abstractNumId w:val="437"/>
  </w:num>
  <w:num w:numId="119">
    <w:abstractNumId w:val="287"/>
  </w:num>
  <w:num w:numId="120">
    <w:abstractNumId w:val="299"/>
  </w:num>
  <w:num w:numId="121">
    <w:abstractNumId w:val="381"/>
  </w:num>
  <w:num w:numId="122">
    <w:abstractNumId w:val="71"/>
  </w:num>
  <w:num w:numId="123">
    <w:abstractNumId w:val="333"/>
  </w:num>
  <w:num w:numId="124">
    <w:abstractNumId w:val="267"/>
  </w:num>
  <w:num w:numId="125">
    <w:abstractNumId w:val="257"/>
  </w:num>
  <w:num w:numId="126">
    <w:abstractNumId w:val="110"/>
  </w:num>
  <w:num w:numId="127">
    <w:abstractNumId w:val="338"/>
  </w:num>
  <w:num w:numId="128">
    <w:abstractNumId w:val="27"/>
  </w:num>
  <w:num w:numId="129">
    <w:abstractNumId w:val="429"/>
  </w:num>
  <w:num w:numId="130">
    <w:abstractNumId w:val="186"/>
  </w:num>
  <w:num w:numId="131">
    <w:abstractNumId w:val="109"/>
  </w:num>
  <w:num w:numId="132">
    <w:abstractNumId w:val="211"/>
  </w:num>
  <w:num w:numId="133">
    <w:abstractNumId w:val="84"/>
  </w:num>
  <w:num w:numId="134">
    <w:abstractNumId w:val="468"/>
  </w:num>
  <w:num w:numId="135">
    <w:abstractNumId w:val="466"/>
  </w:num>
  <w:num w:numId="136">
    <w:abstractNumId w:val="185"/>
  </w:num>
  <w:num w:numId="137">
    <w:abstractNumId w:val="168"/>
  </w:num>
  <w:num w:numId="138">
    <w:abstractNumId w:val="392"/>
  </w:num>
  <w:num w:numId="139">
    <w:abstractNumId w:val="371"/>
  </w:num>
  <w:num w:numId="140">
    <w:abstractNumId w:val="26"/>
  </w:num>
  <w:num w:numId="141">
    <w:abstractNumId w:val="145"/>
  </w:num>
  <w:num w:numId="142">
    <w:abstractNumId w:val="343"/>
  </w:num>
  <w:num w:numId="143">
    <w:abstractNumId w:val="372"/>
  </w:num>
  <w:num w:numId="144">
    <w:abstractNumId w:val="395"/>
  </w:num>
  <w:num w:numId="145">
    <w:abstractNumId w:val="133"/>
  </w:num>
  <w:num w:numId="146">
    <w:abstractNumId w:val="315"/>
  </w:num>
  <w:num w:numId="147">
    <w:abstractNumId w:val="290"/>
  </w:num>
  <w:num w:numId="148">
    <w:abstractNumId w:val="256"/>
  </w:num>
  <w:num w:numId="149">
    <w:abstractNumId w:val="400"/>
  </w:num>
  <w:num w:numId="150">
    <w:abstractNumId w:val="413"/>
  </w:num>
  <w:num w:numId="151">
    <w:abstractNumId w:val="393"/>
  </w:num>
  <w:num w:numId="152">
    <w:abstractNumId w:val="132"/>
  </w:num>
  <w:num w:numId="153">
    <w:abstractNumId w:val="270"/>
  </w:num>
  <w:num w:numId="154">
    <w:abstractNumId w:val="88"/>
  </w:num>
  <w:num w:numId="155">
    <w:abstractNumId w:val="94"/>
  </w:num>
  <w:num w:numId="156">
    <w:abstractNumId w:val="255"/>
  </w:num>
  <w:num w:numId="157">
    <w:abstractNumId w:val="172"/>
  </w:num>
  <w:num w:numId="158">
    <w:abstractNumId w:val="19"/>
  </w:num>
  <w:num w:numId="159">
    <w:abstractNumId w:val="97"/>
  </w:num>
  <w:num w:numId="160">
    <w:abstractNumId w:val="291"/>
  </w:num>
  <w:num w:numId="161">
    <w:abstractNumId w:val="462"/>
  </w:num>
  <w:num w:numId="162">
    <w:abstractNumId w:val="147"/>
  </w:num>
  <w:num w:numId="163">
    <w:abstractNumId w:val="144"/>
  </w:num>
  <w:num w:numId="164">
    <w:abstractNumId w:val="396"/>
  </w:num>
  <w:num w:numId="165">
    <w:abstractNumId w:val="20"/>
  </w:num>
  <w:num w:numId="166">
    <w:abstractNumId w:val="116"/>
  </w:num>
  <w:num w:numId="167">
    <w:abstractNumId w:val="295"/>
  </w:num>
  <w:num w:numId="168">
    <w:abstractNumId w:val="199"/>
  </w:num>
  <w:num w:numId="169">
    <w:abstractNumId w:val="412"/>
  </w:num>
  <w:num w:numId="170">
    <w:abstractNumId w:val="313"/>
  </w:num>
  <w:num w:numId="171">
    <w:abstractNumId w:val="478"/>
  </w:num>
  <w:num w:numId="172">
    <w:abstractNumId w:val="274"/>
  </w:num>
  <w:num w:numId="173">
    <w:abstractNumId w:val="114"/>
  </w:num>
  <w:num w:numId="174">
    <w:abstractNumId w:val="293"/>
  </w:num>
  <w:num w:numId="175">
    <w:abstractNumId w:val="401"/>
  </w:num>
  <w:num w:numId="176">
    <w:abstractNumId w:val="152"/>
  </w:num>
  <w:num w:numId="177">
    <w:abstractNumId w:val="444"/>
  </w:num>
  <w:num w:numId="178">
    <w:abstractNumId w:val="187"/>
  </w:num>
  <w:num w:numId="179">
    <w:abstractNumId w:val="217"/>
  </w:num>
  <w:num w:numId="180">
    <w:abstractNumId w:val="316"/>
  </w:num>
  <w:num w:numId="181">
    <w:abstractNumId w:val="239"/>
  </w:num>
  <w:num w:numId="182">
    <w:abstractNumId w:val="190"/>
  </w:num>
  <w:num w:numId="183">
    <w:abstractNumId w:val="317"/>
  </w:num>
  <w:num w:numId="184">
    <w:abstractNumId w:val="195"/>
  </w:num>
  <w:num w:numId="185">
    <w:abstractNumId w:val="322"/>
  </w:num>
  <w:num w:numId="186">
    <w:abstractNumId w:val="483"/>
  </w:num>
  <w:num w:numId="187">
    <w:abstractNumId w:val="246"/>
  </w:num>
  <w:num w:numId="188">
    <w:abstractNumId w:val="304"/>
  </w:num>
  <w:num w:numId="189">
    <w:abstractNumId w:val="344"/>
  </w:num>
  <w:num w:numId="190">
    <w:abstractNumId w:val="464"/>
  </w:num>
  <w:num w:numId="191">
    <w:abstractNumId w:val="353"/>
  </w:num>
  <w:num w:numId="192">
    <w:abstractNumId w:val="30"/>
  </w:num>
  <w:num w:numId="193">
    <w:abstractNumId w:val="32"/>
  </w:num>
  <w:num w:numId="194">
    <w:abstractNumId w:val="253"/>
  </w:num>
  <w:num w:numId="195">
    <w:abstractNumId w:val="131"/>
  </w:num>
  <w:num w:numId="196">
    <w:abstractNumId w:val="102"/>
  </w:num>
  <w:num w:numId="197">
    <w:abstractNumId w:val="415"/>
  </w:num>
  <w:num w:numId="198">
    <w:abstractNumId w:val="183"/>
  </w:num>
  <w:num w:numId="199">
    <w:abstractNumId w:val="445"/>
  </w:num>
  <w:num w:numId="200">
    <w:abstractNumId w:val="434"/>
  </w:num>
  <w:num w:numId="201">
    <w:abstractNumId w:val="89"/>
  </w:num>
  <w:num w:numId="202">
    <w:abstractNumId w:val="307"/>
  </w:num>
  <w:num w:numId="203">
    <w:abstractNumId w:val="43"/>
  </w:num>
  <w:num w:numId="204">
    <w:abstractNumId w:val="419"/>
  </w:num>
  <w:num w:numId="205">
    <w:abstractNumId w:val="301"/>
  </w:num>
  <w:num w:numId="206">
    <w:abstractNumId w:val="410"/>
  </w:num>
  <w:num w:numId="207">
    <w:abstractNumId w:val="402"/>
  </w:num>
  <w:num w:numId="208">
    <w:abstractNumId w:val="479"/>
  </w:num>
  <w:num w:numId="209">
    <w:abstractNumId w:val="431"/>
  </w:num>
  <w:num w:numId="210">
    <w:abstractNumId w:val="237"/>
  </w:num>
  <w:num w:numId="211">
    <w:abstractNumId w:val="117"/>
  </w:num>
  <w:num w:numId="212">
    <w:abstractNumId w:val="251"/>
  </w:num>
  <w:num w:numId="213">
    <w:abstractNumId w:val="438"/>
  </w:num>
  <w:num w:numId="214">
    <w:abstractNumId w:val="370"/>
  </w:num>
  <w:num w:numId="215">
    <w:abstractNumId w:val="271"/>
  </w:num>
  <w:num w:numId="216">
    <w:abstractNumId w:val="40"/>
  </w:num>
  <w:num w:numId="217">
    <w:abstractNumId w:val="134"/>
  </w:num>
  <w:num w:numId="218">
    <w:abstractNumId w:val="329"/>
  </w:num>
  <w:num w:numId="219">
    <w:abstractNumId w:val="212"/>
  </w:num>
  <w:num w:numId="220">
    <w:abstractNumId w:val="170"/>
  </w:num>
  <w:num w:numId="221">
    <w:abstractNumId w:val="121"/>
  </w:num>
  <w:num w:numId="222">
    <w:abstractNumId w:val="9"/>
  </w:num>
  <w:num w:numId="223">
    <w:abstractNumId w:val="7"/>
  </w:num>
  <w:num w:numId="224">
    <w:abstractNumId w:val="6"/>
  </w:num>
  <w:num w:numId="225">
    <w:abstractNumId w:val="5"/>
  </w:num>
  <w:num w:numId="226">
    <w:abstractNumId w:val="4"/>
  </w:num>
  <w:num w:numId="227">
    <w:abstractNumId w:val="8"/>
  </w:num>
  <w:num w:numId="228">
    <w:abstractNumId w:val="3"/>
  </w:num>
  <w:num w:numId="229">
    <w:abstractNumId w:val="2"/>
  </w:num>
  <w:num w:numId="230">
    <w:abstractNumId w:val="1"/>
  </w:num>
  <w:num w:numId="231">
    <w:abstractNumId w:val="0"/>
  </w:num>
  <w:num w:numId="232">
    <w:abstractNumId w:val="95"/>
  </w:num>
  <w:num w:numId="233">
    <w:abstractNumId w:val="493"/>
  </w:num>
  <w:num w:numId="234">
    <w:abstractNumId w:val="505"/>
  </w:num>
  <w:num w:numId="235">
    <w:abstractNumId w:val="320"/>
  </w:num>
  <w:num w:numId="236">
    <w:abstractNumId w:val="480"/>
  </w:num>
  <w:num w:numId="237">
    <w:abstractNumId w:val="96"/>
  </w:num>
  <w:num w:numId="238">
    <w:abstractNumId w:val="280"/>
  </w:num>
  <w:num w:numId="239">
    <w:abstractNumId w:val="332"/>
  </w:num>
  <w:num w:numId="240">
    <w:abstractNumId w:val="151"/>
  </w:num>
  <w:num w:numId="241">
    <w:abstractNumId w:val="238"/>
  </w:num>
  <w:num w:numId="242">
    <w:abstractNumId w:val="241"/>
  </w:num>
  <w:num w:numId="243">
    <w:abstractNumId w:val="469"/>
  </w:num>
  <w:num w:numId="244">
    <w:abstractNumId w:val="176"/>
  </w:num>
  <w:num w:numId="245">
    <w:abstractNumId w:val="399"/>
  </w:num>
  <w:num w:numId="246">
    <w:abstractNumId w:val="292"/>
  </w:num>
  <w:num w:numId="247">
    <w:abstractNumId w:val="78"/>
  </w:num>
  <w:num w:numId="248">
    <w:abstractNumId w:val="155"/>
  </w:num>
  <w:num w:numId="249">
    <w:abstractNumId w:val="324"/>
  </w:num>
  <w:num w:numId="250">
    <w:abstractNumId w:val="34"/>
  </w:num>
  <w:num w:numId="251">
    <w:abstractNumId w:val="473"/>
  </w:num>
  <w:num w:numId="252">
    <w:abstractNumId w:val="57"/>
  </w:num>
  <w:num w:numId="253">
    <w:abstractNumId w:val="236"/>
  </w:num>
  <w:num w:numId="254">
    <w:abstractNumId w:val="369"/>
  </w:num>
  <w:num w:numId="255">
    <w:abstractNumId w:val="365"/>
  </w:num>
  <w:num w:numId="256">
    <w:abstractNumId w:val="75"/>
  </w:num>
  <w:num w:numId="257">
    <w:abstractNumId w:val="99"/>
    <w:lvlOverride w:ilvl="0"/>
  </w:num>
  <w:num w:numId="258">
    <w:abstractNumId w:val="352"/>
    <w:lvlOverride w:ilvl="0"/>
  </w:num>
  <w:num w:numId="259">
    <w:abstractNumId w:val="120"/>
  </w:num>
  <w:num w:numId="260">
    <w:abstractNumId w:val="508"/>
  </w:num>
  <w:num w:numId="261">
    <w:abstractNumId w:val="140"/>
  </w:num>
  <w:num w:numId="262">
    <w:abstractNumId w:val="380"/>
    <w:lvlOverride w:ilvl="0">
      <w:startOverride w:val="1"/>
    </w:lvlOverride>
  </w:num>
  <w:num w:numId="263">
    <w:abstractNumId w:val="136"/>
    <w:lvlOverride w:ilvl="0"/>
  </w:num>
  <w:num w:numId="264">
    <w:abstractNumId w:val="161"/>
  </w:num>
  <w:num w:numId="265">
    <w:abstractNumId w:val="124"/>
  </w:num>
  <w:num w:numId="266">
    <w:abstractNumId w:val="245"/>
  </w:num>
  <w:num w:numId="267">
    <w:abstractNumId w:val="433"/>
  </w:num>
  <w:num w:numId="268">
    <w:abstractNumId w:val="261"/>
  </w:num>
  <w:num w:numId="269">
    <w:abstractNumId w:val="276"/>
  </w:num>
  <w:num w:numId="270">
    <w:abstractNumId w:val="49"/>
  </w:num>
  <w:num w:numId="271">
    <w:abstractNumId w:val="189"/>
  </w:num>
  <w:num w:numId="272">
    <w:abstractNumId w:val="167"/>
  </w:num>
  <w:num w:numId="273">
    <w:abstractNumId w:val="265"/>
  </w:num>
  <w:num w:numId="274">
    <w:abstractNumId w:val="2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471"/>
  </w:num>
  <w:num w:numId="276">
    <w:abstractNumId w:val="4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1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221"/>
  </w:num>
  <w:num w:numId="279">
    <w:abstractNumId w:val="356"/>
  </w:num>
  <w:num w:numId="280">
    <w:abstractNumId w:val="11"/>
  </w:num>
  <w:num w:numId="281">
    <w:abstractNumId w:val="416"/>
  </w:num>
  <w:num w:numId="282">
    <w:abstractNumId w:val="230"/>
  </w:num>
  <w:num w:numId="283">
    <w:abstractNumId w:val="418"/>
  </w:num>
  <w:num w:numId="284">
    <w:abstractNumId w:val="366"/>
  </w:num>
  <w:num w:numId="285">
    <w:abstractNumId w:val="92"/>
  </w:num>
  <w:num w:numId="286">
    <w:abstractNumId w:val="279"/>
  </w:num>
  <w:num w:numId="287">
    <w:abstractNumId w:val="345"/>
  </w:num>
  <w:num w:numId="288">
    <w:abstractNumId w:val="235"/>
  </w:num>
  <w:num w:numId="289">
    <w:abstractNumId w:val="407"/>
  </w:num>
  <w:num w:numId="290">
    <w:abstractNumId w:val="248"/>
  </w:num>
  <w:num w:numId="291">
    <w:abstractNumId w:val="184"/>
  </w:num>
  <w:num w:numId="292">
    <w:abstractNumId w:val="202"/>
  </w:num>
  <w:num w:numId="293">
    <w:abstractNumId w:val="275"/>
  </w:num>
  <w:num w:numId="294">
    <w:abstractNumId w:val="148"/>
  </w:num>
  <w:num w:numId="295">
    <w:abstractNumId w:val="153"/>
  </w:num>
  <w:num w:numId="296">
    <w:abstractNumId w:val="477"/>
  </w:num>
  <w:num w:numId="297">
    <w:abstractNumId w:val="318"/>
  </w:num>
  <w:num w:numId="298">
    <w:abstractNumId w:val="424"/>
  </w:num>
  <w:num w:numId="299">
    <w:abstractNumId w:val="440"/>
  </w:num>
  <w:num w:numId="300">
    <w:abstractNumId w:val="118"/>
  </w:num>
  <w:num w:numId="301">
    <w:abstractNumId w:val="224"/>
  </w:num>
  <w:num w:numId="302">
    <w:abstractNumId w:val="210"/>
  </w:num>
  <w:num w:numId="303">
    <w:abstractNumId w:val="226"/>
  </w:num>
  <w:num w:numId="304">
    <w:abstractNumId w:val="138"/>
  </w:num>
  <w:num w:numId="305">
    <w:abstractNumId w:val="70"/>
  </w:num>
  <w:num w:numId="306">
    <w:abstractNumId w:val="452"/>
  </w:num>
  <w:num w:numId="307">
    <w:abstractNumId w:val="79"/>
  </w:num>
  <w:num w:numId="308">
    <w:abstractNumId w:val="327"/>
  </w:num>
  <w:num w:numId="309">
    <w:abstractNumId w:val="474"/>
  </w:num>
  <w:num w:numId="310">
    <w:abstractNumId w:val="125"/>
  </w:num>
  <w:num w:numId="311">
    <w:abstractNumId w:val="157"/>
  </w:num>
  <w:num w:numId="312">
    <w:abstractNumId w:val="354"/>
  </w:num>
  <w:num w:numId="313">
    <w:abstractNumId w:val="191"/>
  </w:num>
  <w:num w:numId="314">
    <w:abstractNumId w:val="206"/>
  </w:num>
  <w:num w:numId="315">
    <w:abstractNumId w:val="24"/>
  </w:num>
  <w:num w:numId="316">
    <w:abstractNumId w:val="194"/>
  </w:num>
  <w:num w:numId="3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8">
    <w:abstractNumId w:val="123"/>
  </w:num>
  <w:num w:numId="319">
    <w:abstractNumId w:val="25"/>
  </w:num>
  <w:num w:numId="320">
    <w:abstractNumId w:val="200"/>
  </w:num>
  <w:num w:numId="321">
    <w:abstractNumId w:val="231"/>
  </w:num>
  <w:num w:numId="322">
    <w:abstractNumId w:val="87"/>
  </w:num>
  <w:num w:numId="323">
    <w:abstractNumId w:val="465"/>
  </w:num>
  <w:num w:numId="324">
    <w:abstractNumId w:val="4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5">
    <w:abstractNumId w:val="188"/>
  </w:num>
  <w:num w:numId="326">
    <w:abstractNumId w:val="56"/>
  </w:num>
  <w:num w:numId="327">
    <w:abstractNumId w:val="197"/>
  </w:num>
  <w:num w:numId="328">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329">
    <w:abstractNumId w:val="495"/>
  </w:num>
  <w:num w:numId="330">
    <w:abstractNumId w:val="281"/>
  </w:num>
  <w:num w:numId="331">
    <w:abstractNumId w:val="228"/>
  </w:num>
  <w:num w:numId="332">
    <w:abstractNumId w:val="266"/>
  </w:num>
  <w:num w:numId="333">
    <w:abstractNumId w:val="214"/>
  </w:num>
  <w:num w:numId="334">
    <w:abstractNumId w:val="247"/>
  </w:num>
  <w:num w:numId="335">
    <w:abstractNumId w:val="220"/>
  </w:num>
  <w:num w:numId="336">
    <w:abstractNumId w:val="101"/>
  </w:num>
  <w:num w:numId="337">
    <w:abstractNumId w:val="14"/>
  </w:num>
  <w:num w:numId="338">
    <w:abstractNumId w:val="126"/>
  </w:num>
  <w:num w:numId="339">
    <w:abstractNumId w:val="269"/>
  </w:num>
  <w:num w:numId="340">
    <w:abstractNumId w:val="52"/>
  </w:num>
  <w:num w:numId="341">
    <w:abstractNumId w:val="347"/>
  </w:num>
  <w:num w:numId="342">
    <w:abstractNumId w:val="107"/>
  </w:num>
  <w:num w:numId="343">
    <w:abstractNumId w:val="178"/>
  </w:num>
  <w:num w:numId="344">
    <w:abstractNumId w:val="502"/>
  </w:num>
  <w:num w:numId="345">
    <w:abstractNumId w:val="264"/>
  </w:num>
  <w:num w:numId="346">
    <w:abstractNumId w:val="156"/>
  </w:num>
  <w:num w:numId="347">
    <w:abstractNumId w:val="378"/>
  </w:num>
  <w:num w:numId="348">
    <w:abstractNumId w:val="278"/>
  </w:num>
  <w:num w:numId="349">
    <w:abstractNumId w:val="453"/>
  </w:num>
  <w:num w:numId="350">
    <w:abstractNumId w:val="62"/>
  </w:num>
  <w:num w:numId="351">
    <w:abstractNumId w:val="86"/>
  </w:num>
  <w:num w:numId="352">
    <w:abstractNumId w:val="180"/>
  </w:num>
  <w:num w:numId="353">
    <w:abstractNumId w:val="177"/>
  </w:num>
  <w:num w:numId="354">
    <w:abstractNumId w:val="284"/>
  </w:num>
  <w:num w:numId="355">
    <w:abstractNumId w:val="373"/>
  </w:num>
  <w:num w:numId="356">
    <w:abstractNumId w:val="50"/>
  </w:num>
  <w:num w:numId="357">
    <w:abstractNumId w:val="486"/>
  </w:num>
  <w:num w:numId="358">
    <w:abstractNumId w:val="362"/>
  </w:num>
  <w:num w:numId="359">
    <w:abstractNumId w:val="225"/>
  </w:num>
  <w:num w:numId="360">
    <w:abstractNumId w:val="208"/>
  </w:num>
  <w:num w:numId="361">
    <w:abstractNumId w:val="31"/>
  </w:num>
  <w:num w:numId="362">
    <w:abstractNumId w:val="29"/>
  </w:num>
  <w:num w:numId="363">
    <w:abstractNumId w:val="227"/>
  </w:num>
  <w:num w:numId="364">
    <w:abstractNumId w:val="312"/>
  </w:num>
  <w:num w:numId="365">
    <w:abstractNumId w:val="223"/>
  </w:num>
  <w:num w:numId="366">
    <w:abstractNumId w:val="46"/>
  </w:num>
  <w:num w:numId="367">
    <w:abstractNumId w:val="498"/>
  </w:num>
  <w:num w:numId="368">
    <w:abstractNumId w:val="90"/>
  </w:num>
  <w:num w:numId="369">
    <w:abstractNumId w:val="146"/>
  </w:num>
  <w:num w:numId="370">
    <w:abstractNumId w:val="258"/>
  </w:num>
  <w:num w:numId="371">
    <w:abstractNumId w:val="334"/>
  </w:num>
  <w:num w:numId="372">
    <w:abstractNumId w:val="47"/>
  </w:num>
  <w:num w:numId="373">
    <w:abstractNumId w:val="13"/>
  </w:num>
  <w:num w:numId="374">
    <w:abstractNumId w:val="65"/>
  </w:num>
  <w:num w:numId="375">
    <w:abstractNumId w:val="207"/>
  </w:num>
  <w:num w:numId="376">
    <w:abstractNumId w:val="360"/>
  </w:num>
  <w:num w:numId="377">
    <w:abstractNumId w:val="173"/>
  </w:num>
  <w:num w:numId="378">
    <w:abstractNumId w:val="12"/>
  </w:num>
  <w:num w:numId="379">
    <w:abstractNumId w:val="349"/>
  </w:num>
  <w:num w:numId="380">
    <w:abstractNumId w:val="294"/>
  </w:num>
  <w:num w:numId="381">
    <w:abstractNumId w:val="499"/>
  </w:num>
  <w:num w:numId="382">
    <w:abstractNumId w:val="337"/>
  </w:num>
  <w:num w:numId="383">
    <w:abstractNumId w:val="36"/>
  </w:num>
  <w:num w:numId="384">
    <w:abstractNumId w:val="309"/>
  </w:num>
  <w:num w:numId="385">
    <w:abstractNumId w:val="106"/>
  </w:num>
  <w:num w:numId="386">
    <w:abstractNumId w:val="506"/>
  </w:num>
  <w:num w:numId="387">
    <w:abstractNumId w:val="488"/>
  </w:num>
  <w:num w:numId="388">
    <w:abstractNumId w:val="28"/>
  </w:num>
  <w:num w:numId="389">
    <w:abstractNumId w:val="115"/>
  </w:num>
  <w:num w:numId="390">
    <w:abstractNumId w:val="164"/>
  </w:num>
  <w:num w:numId="391">
    <w:abstractNumId w:val="99"/>
    <w:lvlOverride w:ilvl="0"/>
  </w:num>
  <w:num w:numId="392">
    <w:abstractNumId w:val="352"/>
    <w:lvlOverride w:ilvl="0"/>
  </w:num>
  <w:num w:numId="393">
    <w:abstractNumId w:val="380"/>
    <w:lvlOverride w:ilvl="0">
      <w:startOverride w:val="1"/>
    </w:lvlOverride>
  </w:num>
  <w:num w:numId="394">
    <w:abstractNumId w:val="136"/>
    <w:lvlOverride w:ilvl="0"/>
  </w:num>
  <w:num w:numId="395">
    <w:abstractNumId w:val="2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4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1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9">
    <w:abstractNumId w:val="4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0">
    <w:abstractNumId w:val="359"/>
  </w:num>
  <w:num w:numId="401">
    <w:abstractNumId w:val="326"/>
  </w:num>
  <w:num w:numId="402">
    <w:abstractNumId w:val="455"/>
  </w:num>
  <w:num w:numId="403">
    <w:abstractNumId w:val="243"/>
  </w:num>
  <w:num w:numId="404">
    <w:abstractNumId w:val="421"/>
  </w:num>
  <w:num w:numId="405">
    <w:abstractNumId w:val="21"/>
  </w:num>
  <w:num w:numId="406">
    <w:abstractNumId w:val="491"/>
  </w:num>
  <w:num w:numId="407">
    <w:abstractNumId w:val="497"/>
  </w:num>
  <w:num w:numId="408">
    <w:abstractNumId w:val="181"/>
  </w:num>
  <w:num w:numId="409">
    <w:abstractNumId w:val="38"/>
  </w:num>
  <w:num w:numId="410">
    <w:abstractNumId w:val="229"/>
  </w:num>
  <w:num w:numId="411">
    <w:abstractNumId w:val="272"/>
  </w:num>
  <w:num w:numId="412">
    <w:abstractNumId w:val="489"/>
  </w:num>
  <w:num w:numId="413">
    <w:abstractNumId w:val="330"/>
  </w:num>
  <w:num w:numId="414">
    <w:abstractNumId w:val="500"/>
  </w:num>
  <w:num w:numId="415">
    <w:abstractNumId w:val="308"/>
  </w:num>
  <w:num w:numId="416">
    <w:abstractNumId w:val="411"/>
  </w:num>
  <w:num w:numId="417">
    <w:abstractNumId w:val="203"/>
  </w:num>
  <w:num w:numId="418">
    <w:abstractNumId w:val="17"/>
  </w:num>
  <w:num w:numId="419">
    <w:abstractNumId w:val="105"/>
  </w:num>
  <w:num w:numId="420">
    <w:abstractNumId w:val="48"/>
  </w:num>
  <w:num w:numId="421">
    <w:abstractNumId w:val="289"/>
  </w:num>
  <w:num w:numId="422">
    <w:abstractNumId w:val="379"/>
  </w:num>
  <w:num w:numId="423">
    <w:abstractNumId w:val="58"/>
  </w:num>
  <w:num w:numId="424">
    <w:abstractNumId w:val="446"/>
  </w:num>
  <w:num w:numId="425">
    <w:abstractNumId w:val="169"/>
  </w:num>
  <w:num w:numId="426">
    <w:abstractNumId w:val="361"/>
  </w:num>
  <w:num w:numId="427">
    <w:abstractNumId w:val="321"/>
  </w:num>
  <w:num w:numId="428">
    <w:abstractNumId w:val="283"/>
  </w:num>
  <w:num w:numId="429">
    <w:abstractNumId w:val="77"/>
  </w:num>
  <w:num w:numId="430">
    <w:abstractNumId w:val="461"/>
  </w:num>
  <w:num w:numId="431">
    <w:abstractNumId w:val="192"/>
  </w:num>
  <w:num w:numId="432">
    <w:abstractNumId w:val="443"/>
  </w:num>
  <w:num w:numId="433">
    <w:abstractNumId w:val="398"/>
  </w:num>
  <w:num w:numId="434">
    <w:abstractNumId w:val="250"/>
  </w:num>
  <w:num w:numId="435">
    <w:abstractNumId w:val="363"/>
  </w:num>
  <w:num w:numId="436">
    <w:abstractNumId w:val="205"/>
  </w:num>
  <w:num w:numId="437">
    <w:abstractNumId w:val="83"/>
  </w:num>
  <w:num w:numId="438">
    <w:abstractNumId w:val="66"/>
  </w:num>
  <w:num w:numId="439">
    <w:abstractNumId w:val="51"/>
  </w:num>
  <w:num w:numId="440">
    <w:abstractNumId w:val="171"/>
  </w:num>
  <w:num w:numId="441">
    <w:abstractNumId w:val="158"/>
  </w:num>
  <w:num w:numId="442">
    <w:abstractNumId w:val="476"/>
  </w:num>
  <w:num w:numId="443">
    <w:abstractNumId w:val="441"/>
  </w:num>
  <w:num w:numId="444">
    <w:abstractNumId w:val="135"/>
  </w:num>
  <w:num w:numId="445">
    <w:abstractNumId w:val="348"/>
  </w:num>
  <w:num w:numId="446">
    <w:abstractNumId w:val="44"/>
  </w:num>
  <w:num w:numId="447">
    <w:abstractNumId w:val="382"/>
  </w:num>
  <w:num w:numId="448">
    <w:abstractNumId w:val="319"/>
  </w:num>
  <w:num w:numId="449">
    <w:abstractNumId w:val="296"/>
  </w:num>
  <w:num w:numId="450">
    <w:abstractNumId w:val="457"/>
  </w:num>
  <w:num w:numId="451">
    <w:abstractNumId w:val="16"/>
  </w:num>
  <w:num w:numId="452">
    <w:abstractNumId w:val="494"/>
  </w:num>
  <w:num w:numId="453">
    <w:abstractNumId w:val="475"/>
  </w:num>
  <w:num w:numId="454">
    <w:abstractNumId w:val="427"/>
  </w:num>
  <w:num w:numId="455">
    <w:abstractNumId w:val="159"/>
  </w:num>
  <w:num w:numId="456">
    <w:abstractNumId w:val="297"/>
  </w:num>
  <w:num w:numId="457">
    <w:abstractNumId w:val="35"/>
  </w:num>
  <w:num w:numId="458">
    <w:abstractNumId w:val="472"/>
  </w:num>
  <w:num w:numId="459">
    <w:abstractNumId w:val="113"/>
  </w:num>
  <w:num w:numId="460">
    <w:abstractNumId w:val="470"/>
  </w:num>
  <w:num w:numId="461">
    <w:abstractNumId w:val="351"/>
  </w:num>
  <w:num w:numId="462">
    <w:abstractNumId w:val="390"/>
  </w:num>
  <w:num w:numId="463">
    <w:abstractNumId w:val="165"/>
  </w:num>
  <w:num w:numId="464">
    <w:abstractNumId w:val="63"/>
  </w:num>
  <w:num w:numId="465">
    <w:abstractNumId w:val="196"/>
  </w:num>
  <w:num w:numId="466">
    <w:abstractNumId w:val="81"/>
  </w:num>
  <w:num w:numId="467">
    <w:abstractNumId w:val="414"/>
  </w:num>
  <w:num w:numId="468">
    <w:abstractNumId w:val="425"/>
  </w:num>
  <w:num w:numId="469">
    <w:abstractNumId w:val="129"/>
  </w:num>
  <w:num w:numId="470">
    <w:abstractNumId w:val="139"/>
  </w:num>
  <w:num w:numId="471">
    <w:abstractNumId w:val="55"/>
  </w:num>
  <w:num w:numId="472">
    <w:abstractNumId w:val="53"/>
  </w:num>
  <w:num w:numId="473">
    <w:abstractNumId w:val="314"/>
  </w:num>
  <w:num w:numId="474">
    <w:abstractNumId w:val="76"/>
  </w:num>
  <w:num w:numId="475">
    <w:abstractNumId w:val="504"/>
  </w:num>
  <w:num w:numId="476">
    <w:abstractNumId w:val="141"/>
  </w:num>
  <w:num w:numId="477">
    <w:abstractNumId w:val="154"/>
  </w:num>
  <w:num w:numId="478">
    <w:abstractNumId w:val="174"/>
  </w:num>
  <w:num w:numId="479">
    <w:abstractNumId w:val="456"/>
  </w:num>
  <w:num w:numId="480">
    <w:abstractNumId w:val="74"/>
  </w:num>
  <w:num w:numId="481">
    <w:abstractNumId w:val="104"/>
  </w:num>
  <w:num w:numId="482">
    <w:abstractNumId w:val="355"/>
  </w:num>
  <w:num w:numId="483">
    <w:abstractNumId w:val="387"/>
  </w:num>
  <w:num w:numId="484">
    <w:abstractNumId w:val="409"/>
  </w:num>
  <w:num w:numId="485">
    <w:abstractNumId w:val="428"/>
  </w:num>
  <w:num w:numId="486">
    <w:abstractNumId w:val="391"/>
  </w:num>
  <w:num w:numId="487">
    <w:abstractNumId w:val="288"/>
  </w:num>
  <w:num w:numId="488">
    <w:abstractNumId w:val="234"/>
  </w:num>
  <w:num w:numId="489">
    <w:abstractNumId w:val="341"/>
  </w:num>
  <w:num w:numId="490">
    <w:abstractNumId w:val="268"/>
  </w:num>
  <w:num w:numId="491">
    <w:abstractNumId w:val="376"/>
  </w:num>
  <w:num w:numId="492">
    <w:abstractNumId w:val="485"/>
  </w:num>
  <w:num w:numId="493">
    <w:abstractNumId w:val="357"/>
  </w:num>
  <w:num w:numId="494">
    <w:abstractNumId w:val="426"/>
  </w:num>
  <w:num w:numId="495">
    <w:abstractNumId w:val="447"/>
  </w:num>
  <w:num w:numId="496">
    <w:abstractNumId w:val="458"/>
  </w:num>
  <w:num w:numId="497">
    <w:abstractNumId w:val="216"/>
  </w:num>
  <w:num w:numId="498">
    <w:abstractNumId w:val="37"/>
  </w:num>
  <w:num w:numId="499">
    <w:abstractNumId w:val="85"/>
  </w:num>
  <w:num w:numId="500">
    <w:abstractNumId w:val="179"/>
  </w:num>
  <w:num w:numId="501">
    <w:abstractNumId w:val="487"/>
  </w:num>
  <w:num w:numId="502">
    <w:abstractNumId w:val="143"/>
  </w:num>
  <w:num w:numId="503">
    <w:abstractNumId w:val="300"/>
  </w:num>
  <w:num w:numId="504">
    <w:abstractNumId w:val="54"/>
  </w:num>
  <w:num w:numId="505">
    <w:abstractNumId w:val="262"/>
  </w:num>
  <w:num w:numId="506">
    <w:abstractNumId w:val="198"/>
  </w:num>
  <w:num w:numId="507">
    <w:abstractNumId w:val="442"/>
  </w:num>
  <w:num w:numId="508">
    <w:abstractNumId w:val="454"/>
  </w:num>
  <w:num w:numId="509">
    <w:abstractNumId w:val="435"/>
  </w:num>
  <w:num w:numId="510">
    <w:abstractNumId w:val="193"/>
  </w:num>
  <w:num w:numId="511">
    <w:abstractNumId w:val="142"/>
  </w:num>
  <w:num w:numId="512">
    <w:abstractNumId w:val="397"/>
  </w:num>
  <w:num w:numId="513">
    <w:abstractNumId w:val="219"/>
  </w:num>
  <w:num w:numId="514">
    <w:abstractNumId w:val="93"/>
  </w:num>
  <w:num w:numId="515">
    <w:abstractNumId w:val="342"/>
  </w:num>
  <w:num w:numId="516">
    <w:abstractNumId w:val="377"/>
  </w:num>
  <w:num w:numId="517">
    <w:abstractNumId w:val="98"/>
  </w:num>
  <w:num w:numId="518">
    <w:abstractNumId w:val="209"/>
  </w:num>
  <w:num w:numId="519">
    <w:abstractNumId w:val="305"/>
  </w:num>
  <w:num w:numId="520">
    <w:abstractNumId w:val="358"/>
  </w:num>
  <w:num w:numId="521">
    <w:abstractNumId w:val="68"/>
  </w:num>
  <w:num w:numId="522">
    <w:abstractNumId w:val="213"/>
  </w:num>
  <w:num w:numId="523">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4A84"/>
    <w:rsid w:val="00844A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cdL1">
    <w:name w:val="cdL1"/>
    <w:basedOn w:val="Normal"/>
    <w:pPr>
      <w:widowControl w:val="0"/>
      <w:tabs>
        <w:tab w:val="left" w:pos="510"/>
      </w:tabs>
    </w:pPr>
    <w:rPr>
      <w:snapToGrid/>
      <w:spacing w:val="0"/>
    </w:rPr>
  </w:style>
  <w:style w:type="paragraph" w:styleId="BodyText">
    <w:name w:val="Body Text"/>
    <w:basedOn w:val="Normal"/>
    <w:next w:val="Normal"/>
    <w:semiHidden/>
    <w:pPr>
      <w:overflowPunct/>
      <w:adjustRightInd/>
      <w:snapToGrid/>
      <w:spacing w:after="240" w:line="240" w:lineRule="auto"/>
      <w:jc w:val="left"/>
    </w:pPr>
    <w:rPr>
      <w:rFonts w:eastAsia="PMingLiU"/>
      <w:snapToGrid/>
      <w:spacing w:val="0"/>
      <w:lang w:val="en-GB" w:eastAsia="en-US"/>
    </w:rPr>
  </w:style>
  <w:style w:type="paragraph" w:customStyle="1" w:styleId="ParaNo">
    <w:name w:val="ParaNo."/>
    <w:basedOn w:val="Normal"/>
    <w:pPr>
      <w:numPr>
        <w:numId w:val="88"/>
      </w:numPr>
      <w:tabs>
        <w:tab w:val="left" w:pos="737"/>
      </w:tabs>
      <w:overflowPunct/>
      <w:adjustRightInd/>
      <w:snapToGrid/>
      <w:spacing w:after="240" w:line="240" w:lineRule="auto"/>
      <w:jc w:val="left"/>
    </w:pPr>
    <w:rPr>
      <w:rFonts w:eastAsia="PMingLiU"/>
      <w:snapToGrid/>
      <w:spacing w:val="0"/>
      <w:lang w:val="en-GB" w:eastAsia="en-US"/>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character" w:styleId="CommentReference">
    <w:name w:val="annotation reference"/>
    <w:semiHidden/>
    <w:rPr>
      <w:sz w:val="18"/>
      <w:szCs w:val="18"/>
    </w:rPr>
  </w:style>
  <w:style w:type="paragraph" w:customStyle="1" w:styleId="Num-DocParagraph">
    <w:name w:val="Num-Doc Paragraph"/>
    <w:basedOn w:val="BodyText"/>
    <w:pPr>
      <w:tabs>
        <w:tab w:val="left" w:pos="850"/>
        <w:tab w:val="left" w:pos="1191"/>
        <w:tab w:val="left" w:pos="1531"/>
      </w:tabs>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05\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145</Pages>
  <Words>17599</Words>
  <Characters>100315</Characters>
  <Application>Microsoft Office Word</Application>
  <DocSecurity>4</DocSecurity>
  <Lines>835</Lines>
  <Paragraphs>200</Paragraphs>
  <ScaleCrop>false</ScaleCrop>
  <HeadingPairs>
    <vt:vector size="4" baseType="variant">
      <vt:variant>
        <vt:lpstr>题目</vt:lpstr>
      </vt:variant>
      <vt:variant>
        <vt:i4>1</vt:i4>
      </vt:variant>
      <vt:variant>
        <vt:lpstr>标题</vt:lpstr>
      </vt:variant>
      <vt:variant>
        <vt:i4>100</vt:i4>
      </vt:variant>
    </vt:vector>
  </HeadingPairs>
  <TitlesOfParts>
    <vt:vector size="101" baseType="lpstr">
      <vt:lpstr>经济及社会理事会</vt:lpstr>
      <vt:lpstr>    《经济、社会、文化权利国际公约》执行情况</vt:lpstr>
      <vt:lpstr>        缔约国根据《公约》第十六条和第十七条 提交的初次报告*</vt:lpstr>
      <vt:lpstr>        增  编</vt:lpstr>
      <vt:lpstr>        塞尔维亚和黑山</vt:lpstr>
      <vt:lpstr>        缩 略 语</vt:lpstr>
      <vt:lpstr>    导  言</vt:lpstr>
      <vt:lpstr>    第 一 部 分</vt:lpstr>
      <vt:lpstr>    关于1990至2002年期间南斯拉夫联盟共和国以及 塞尔维亚共和国执行《经济、社会、文化权利 国际公约》情况的初次报告</vt:lpstr>
      <vt:lpstr>        第 一 条</vt:lpstr>
      <vt:lpstr>        第 二 条</vt:lpstr>
      <vt:lpstr>        第 三 条</vt:lpstr>
      <vt:lpstr>        第 四 条</vt:lpstr>
      <vt:lpstr>        第 五 条</vt:lpstr>
      <vt:lpstr>        第 六 条</vt:lpstr>
      <vt:lpstr>        A.  工作自由和条件平等的就业权利</vt:lpstr>
      <vt:lpstr>        B.  两性平等</vt:lpstr>
      <vt:lpstr>        C.  遵守无歧视就业的原则</vt:lpstr>
      <vt:lpstr>        表  1 残疾答卷者的工作状况(百分数)</vt:lpstr>
      <vt:lpstr>        D.  禁止强迫劳动</vt:lpstr>
      <vt:lpstr>        E.  外国人的就业权利</vt:lpstr>
      <vt:lpstr>        第 七 条</vt:lpstr>
      <vt:lpstr>        第 八 条</vt:lpstr>
      <vt:lpstr>        表  2 1993至1997年期间按经济部门开列的塞尔维亚共和国境内工伤调查</vt:lpstr>
      <vt:lpstr>        表  3 1992至1996年期间按经济部门开列的塞尔维亚共和国境内工伤调查</vt:lpstr>
      <vt:lpstr>        表  4 1992至1996年期间按经济部门开列的塞尔维亚共和国境内致命工伤调查</vt:lpstr>
      <vt:lpstr>        </vt:lpstr>
      <vt:lpstr>        第 九 条</vt:lpstr>
      <vt:lpstr>        表 5 抚养儿童的权利</vt:lpstr>
      <vt:lpstr>        表 6 对家庭的经济支持</vt:lpstr>
      <vt:lpstr>        第 十 条</vt:lpstr>
      <vt:lpstr>        第 十一 条</vt:lpstr>
      <vt:lpstr>        A.  2000年10月之前</vt:lpstr>
      <vt:lpstr>        B.  2000年变革之后</vt:lpstr>
      <vt:lpstr>        表  7</vt:lpstr>
      <vt:lpstr>        每个家庭和消费单位的平均收入和支出</vt:lpstr>
      <vt:lpstr>        表  8 家庭致贫因素</vt:lpstr>
      <vt:lpstr>        表  9</vt:lpstr>
      <vt:lpstr>        老年人贫困率</vt:lpstr>
      <vt:lpstr>        表  10</vt:lpstr>
      <vt:lpstr>        贫困的地区差异</vt:lpstr>
      <vt:lpstr>        C.  减 贫 战 略</vt:lpstr>
      <vt:lpstr>        第 十二 条  </vt:lpstr>
      <vt:lpstr>        A.  塞尔维亚共和国保健制度</vt:lpstr>
      <vt:lpstr>        B.  保健支出在总国民收入中的份额</vt:lpstr>
      <vt:lpstr>        C.  改善卫生状况的措施和程序</vt:lpstr>
      <vt:lpstr>        D.  塞尔维亚共和国享受医疗保健的人口所占比例    以及强制性健康保险服务的内容和范围</vt:lpstr>
      <vt:lpstr>        E.  塞尔维亚共和国人口的保健状况</vt:lpstr>
      <vt:lpstr>        F.  死 亡 率</vt:lpstr>
      <vt:lpstr>        G.  保健状况指标</vt:lpstr>
      <vt:lpstr>        表 11</vt:lpstr>
      <vt:lpstr>        塞尔维亚共和国免疫接种覆盖率，1992-2001</vt:lpstr>
      <vt:lpstr>        表 12</vt:lpstr>
      <vt:lpstr>        伏伊伏丁那省免疫接种覆盖率，1992－2001</vt:lpstr>
      <vt:lpstr>        表 13</vt:lpstr>
      <vt:lpstr>        中塞尔维亚免疫接种覆盖率，1992－2001</vt:lpstr>
      <vt:lpstr>        表 14</vt:lpstr>
      <vt:lpstr>        卫生条件达标的家庭饮用水供应 (按居住区类型统计，百分比)</vt:lpstr>
      <vt:lpstr>        表 15</vt:lpstr>
      <vt:lpstr>        中塞尔维亚城市中央供水系统卫生不达标 饮用水所占百分比，1981－2001</vt:lpstr>
      <vt:lpstr>        表 16</vt:lpstr>
      <vt:lpstr>        伏伊伏丁那省城市中央供水系统卫生不达标饮用水 所占百分比，1993－2001</vt:lpstr>
      <vt:lpstr>        表 17</vt:lpstr>
      <vt:lpstr>        卫生条件良好的城乡人口所占百分比</vt:lpstr>
      <vt:lpstr>        表 18</vt:lpstr>
      <vt:lpstr>        塞尔维亚地区堆放废弃物数量</vt:lpstr>
      <vt:lpstr>        H.  塞尔维亚政府和卫生部为改善健康状况和     健康保险制度所采取的措施和开展的活动</vt:lpstr>
      <vt:lpstr>        I.  卫生部门的国际援助与合作</vt:lpstr>
      <vt:lpstr>        第 十三 条</vt:lpstr>
      <vt:lpstr>        A.  人人享有平等接受教育的权利</vt:lpstr>
      <vt:lpstr>        B.  初等教育――人人都可接受免费义务教育</vt:lpstr>
      <vt:lpstr>        C.  中等教育――普遍提供人人都有机会接受教育的权利</vt:lpstr>
      <vt:lpstr>        D.  人人享有接受高等教育的平等机会</vt:lpstr>
      <vt:lpstr>        E.  向没有接受或完成全部初等 教育的人提供基本教育</vt:lpstr>
      <vt:lpstr>        F.  教育制度：教育领域状况统计指标</vt:lpstr>
      <vt:lpstr>        1.  正规教育</vt:lpstr>
      <vt:lpstr>        表19 接受正规初等教育的学生人数 a b 1991/2001年</vt:lpstr>
      <vt:lpstr>        表20 接受正规中等教育的学生人数 a 1991/2001年</vt:lpstr>
      <vt:lpstr>        表21 按性别开列的高等学校学生人数</vt:lpstr>
      <vt:lpstr>        2.  残障学生的教育和培养</vt:lpstr>
      <vt:lpstr>        表22 接受初等教育和中等教育的残障学生人数</vt:lpstr>
      <vt:lpstr>        3.  对少数族裔学生的教育</vt:lpstr>
      <vt:lpstr>        G.  教师在教育系统中的地位</vt:lpstr>
      <vt:lpstr>        第 十四 条</vt:lpstr>
      <vt:lpstr>        免费初等义务教育</vt:lpstr>
      <vt:lpstr>        第 十五 条</vt:lpstr>
      <vt:lpstr>        A.  参与文化生活的权利</vt:lpstr>
      <vt:lpstr>        B.  文化生活和少数族裔语言资料</vt:lpstr>
      <vt:lpstr>        C.  科学研究和创造性活动</vt:lpstr>
      <vt:lpstr>    第 二 部 分</vt:lpstr>
      <vt:lpstr>    黑山共和国关于1990-2002年期间 《经济、社会、文化权利国际公约》 执行情况的报告</vt:lpstr>
      <vt:lpstr>        第 一 条</vt:lpstr>
      <vt:lpstr>        第 二 条</vt:lpstr>
      <vt:lpstr>        第 三 条</vt:lpstr>
      <vt:lpstr>        第 四 条</vt:lpstr>
      <vt:lpstr>        第 五 条</vt:lpstr>
      <vt:lpstr>        第 六 条</vt:lpstr>
      <vt:lpstr>        第 七 条</vt:lpstr>
      <vt:lpstr>        第 八 条</vt:lpstr>
      <vt:lpstr>        第 九 条</vt:lpstr>
      <vt:lpstr>        第 十 条</vt:lpstr>
    </vt:vector>
  </TitlesOfParts>
  <Company>Chinese Unit - GE</Company>
  <LinksUpToDate>false</LinksUpToDate>
  <CharactersWithSpaces>123193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经济及社会理事会</dc:title>
  <dc:subject/>
  <dc:creator>CSD</dc:creator>
  <cp:keywords/>
  <dc:description>经济及社会理事会</dc:description>
  <cp:lastModifiedBy>DUY</cp:lastModifiedBy>
  <cp:revision>2</cp:revision>
  <cp:lastPrinted>2004-04-28T14:03:00Z</cp:lastPrinted>
  <dcterms:created xsi:type="dcterms:W3CDTF">2004-04-28T14:07:00Z</dcterms:created>
  <dcterms:modified xsi:type="dcterms:W3CDTF">2004-04-28T14:07:00Z</dcterms:modified>
  <cp:category>E</cp:category>
</cp:coreProperties>
</file>