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line="280" w:lineRule="exact"/>
        <w:ind w:left="1264" w:right="1264" w:hanging="1264"/>
        <w:jc w:val="both"/>
        <w:rPr>
          <w:rFonts w:hint="eastAsia"/>
        </w:rPr>
      </w:pPr>
      <w:r>
        <w:rPr>
          <w:rFonts w:hint="eastAsia"/>
        </w:rPr>
        <w:t>消除对妇女歧视委员会</w:t>
      </w:r>
    </w:p>
    <w:p w:rsidR="00000000" w:rsidRDefault="00000000">
      <w:pPr>
        <w:pStyle w:val="SingleTxt"/>
        <w:spacing w:after="100" w:line="280" w:lineRule="exact"/>
        <w:ind w:left="0"/>
        <w:rPr>
          <w:rFonts w:ascii="SimHei" w:eastAsia="SimHei" w:hint="eastAsia"/>
          <w:color w:val="FF0000"/>
        </w:rPr>
      </w:pPr>
      <w:r>
        <w:rPr>
          <w:rFonts w:ascii="SimHei" w:eastAsia="SimHei" w:hint="eastAsia"/>
          <w:color w:val="FF0000"/>
        </w:rPr>
        <w:t>会前工作组</w:t>
      </w:r>
    </w:p>
    <w:p w:rsidR="00000000" w:rsidRDefault="00000000">
      <w:pPr>
        <w:pStyle w:val="SingleTxt"/>
        <w:spacing w:after="100" w:line="280" w:lineRule="exact"/>
        <w:ind w:left="0"/>
        <w:rPr>
          <w:rFonts w:hint="eastAsia"/>
        </w:rPr>
      </w:pPr>
      <w:r>
        <w:rPr>
          <w:rFonts w:ascii="SimHei" w:eastAsia="SimHei" w:hint="eastAsia"/>
          <w:color w:val="FF0000"/>
        </w:rPr>
        <w:t>第三十六届会议</w:t>
      </w:r>
    </w:p>
    <w:p w:rsidR="00000000" w:rsidRDefault="00000000">
      <w:pPr>
        <w:pStyle w:val="SingleTxt"/>
        <w:spacing w:after="100" w:line="280" w:lineRule="exact"/>
        <w:ind w:left="0"/>
        <w:rPr>
          <w:rFonts w:hint="eastAsia"/>
        </w:rPr>
      </w:pPr>
      <w:r>
        <w:rPr>
          <w:rFonts w:hint="eastAsia"/>
        </w:rPr>
        <w:t>2006年8月7日至25日</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与审议定期报告有关的议题和问题清单</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摩尔多瓦共和国</w:t>
      </w:r>
    </w:p>
    <w:p w:rsidR="00000000" w:rsidRDefault="00000000">
      <w:pPr>
        <w:pStyle w:val="SingleTxt"/>
        <w:spacing w:after="0" w:line="120" w:lineRule="exact"/>
        <w:rPr>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tab/>
      </w:r>
      <w:r>
        <w:rPr>
          <w:rFonts w:hint="eastAsia"/>
        </w:rPr>
        <w:t>会前工作组审议了摩尔多瓦共和国的第二次和第三次合并定期报告(CEDAW/C/MDA/2-3)。</w:t>
      </w:r>
    </w:p>
    <w:p w:rsidR="00000000" w:rsidRDefault="00000000">
      <w:pPr>
        <w:pStyle w:val="SingleTxt"/>
        <w:rPr>
          <w:rFonts w:ascii="SimHei" w:eastAsia="SimHei" w:hint="eastAsia"/>
          <w:color w:val="FF0000"/>
        </w:rPr>
      </w:pPr>
      <w:r>
        <w:rPr>
          <w:rFonts w:ascii="SimHei" w:eastAsia="SimHei" w:hint="eastAsia"/>
          <w:color w:val="FF0000"/>
        </w:rPr>
        <w:t>概述</w:t>
      </w:r>
    </w:p>
    <w:p w:rsidR="00000000" w:rsidRDefault="00000000">
      <w:pPr>
        <w:pStyle w:val="SingleTxt"/>
        <w:rPr>
          <w:rFonts w:hint="eastAsia"/>
        </w:rPr>
      </w:pPr>
      <w:r>
        <w:rPr>
          <w:rFonts w:hint="eastAsia"/>
        </w:rPr>
        <w:t>1.</w:t>
      </w:r>
      <w:r>
        <w:tab/>
      </w:r>
      <w:r>
        <w:rPr>
          <w:rFonts w:hint="eastAsia"/>
        </w:rPr>
        <w:t>请提供更详细的资料，说明编写摩尔多瓦共和国第二次和第三次合并定期报告的情况。资料应说明哪些政府部门和机构参与这项工作以及参与的性质和程度，包括是否与非政府组织举行过协商，政府是否通过了报告以及是否向议会提交了该报告。</w:t>
      </w:r>
    </w:p>
    <w:p w:rsidR="00000000" w:rsidRDefault="00000000">
      <w:pPr>
        <w:pStyle w:val="SingleTxt"/>
        <w:rPr>
          <w:rFonts w:hint="eastAsia"/>
        </w:rPr>
      </w:pPr>
      <w:r>
        <w:rPr>
          <w:rFonts w:hint="eastAsia"/>
        </w:rPr>
        <w:t>2.</w:t>
      </w:r>
      <w:r>
        <w:tab/>
      </w:r>
      <w:r>
        <w:rPr>
          <w:rFonts w:hint="eastAsia"/>
        </w:rPr>
        <w:t>委员会在2000年关于摩尔多瓦共和国初次报告的结论意见</w:t>
      </w:r>
      <w:r>
        <w:rPr>
          <w:rStyle w:val="FootnoteReference"/>
        </w:rPr>
        <w:footnoteReference w:id="1"/>
      </w:r>
      <w:r>
        <w:t xml:space="preserve"> </w:t>
      </w:r>
      <w:r>
        <w:rPr>
          <w:rFonts w:hint="eastAsia"/>
        </w:rPr>
        <w:t>中呼吁制定综合统一的两性平等政策。请提供资料，说明2003</w:t>
      </w:r>
      <w:r>
        <w:t>-</w:t>
      </w:r>
      <w:r>
        <w:rPr>
          <w:rFonts w:hint="eastAsia"/>
        </w:rPr>
        <w:t>2005年期间促进社会两性平等国家计划的实施和评估情况。</w:t>
      </w:r>
    </w:p>
    <w:p w:rsidR="00000000" w:rsidRDefault="00000000">
      <w:pPr>
        <w:pStyle w:val="SingleTxt"/>
        <w:rPr>
          <w:rFonts w:ascii="SimHei" w:eastAsia="SimHei" w:hint="eastAsia"/>
          <w:color w:val="FF0000"/>
        </w:rPr>
      </w:pPr>
      <w:r>
        <w:rPr>
          <w:rFonts w:ascii="SimHei" w:eastAsia="SimHei" w:hint="eastAsia"/>
          <w:color w:val="FF0000"/>
        </w:rPr>
        <w:t>宪法、立法和体制框架以及《公约》现况</w:t>
      </w:r>
    </w:p>
    <w:p w:rsidR="00000000" w:rsidRDefault="00000000">
      <w:pPr>
        <w:pStyle w:val="SingleTxt"/>
        <w:rPr>
          <w:rFonts w:hint="eastAsia"/>
        </w:rPr>
      </w:pPr>
      <w:r>
        <w:rPr>
          <w:rFonts w:hint="eastAsia"/>
        </w:rPr>
        <w:t>3.</w:t>
      </w:r>
      <w:r>
        <w:rPr>
          <w:rFonts w:hint="eastAsia"/>
        </w:rPr>
        <w:tab/>
        <w:t>委员会在前几次的结论意见中呼吁政府鼓励制定宪法修正案，“把性别平等纳入《宪法》，以充分反映《公约》第一条”，禁止直接和间接的歧视。请提供资料，说明为实施这项建议采取了哪些措施。《公约》在摩尔多瓦共和国的法律地位如何？</w:t>
      </w:r>
    </w:p>
    <w:p w:rsidR="00000000" w:rsidRDefault="00000000">
      <w:pPr>
        <w:pStyle w:val="SingleTxt"/>
        <w:rPr>
          <w:rFonts w:hint="eastAsia"/>
        </w:rPr>
      </w:pPr>
      <w:r>
        <w:rPr>
          <w:rFonts w:hint="eastAsia"/>
        </w:rPr>
        <w:t>4.</w:t>
      </w:r>
      <w:r>
        <w:rPr>
          <w:rFonts w:hint="eastAsia"/>
        </w:rPr>
        <w:tab/>
        <w:t>报告提到关于两性平等的法律正在起草之中(见第21段)。请提供资料说明草案的范围，说明是否根据《公约》第一条列入禁止直接和间接地歧视妇女的条款，以及通过草案的时限。</w:t>
      </w:r>
    </w:p>
    <w:p w:rsidR="00000000" w:rsidRDefault="00000000">
      <w:pPr>
        <w:pStyle w:val="SingleTxt"/>
      </w:pPr>
      <w:r>
        <w:rPr>
          <w:rFonts w:hint="eastAsia"/>
        </w:rPr>
        <w:t>5.</w:t>
      </w:r>
      <w:r>
        <w:rPr>
          <w:rFonts w:hint="eastAsia"/>
        </w:rPr>
        <w:tab/>
        <w:t>报告指出(见第17段)，保护妇女免受歧视的法律机制尚未确定，建立机制的规范和实际方面仍不完全。政府全面制定这种有充分执行手段的法律机制的理由有哪些以及面临哪些障碍。</w:t>
      </w:r>
    </w:p>
    <w:p w:rsidR="00000000" w:rsidRDefault="00000000">
      <w:pPr>
        <w:pStyle w:val="SingleTxt"/>
      </w:pPr>
      <w:r>
        <w:rPr>
          <w:rFonts w:hint="eastAsia"/>
        </w:rPr>
        <w:t>6.</w:t>
      </w:r>
      <w:r>
        <w:rPr>
          <w:rFonts w:hint="eastAsia"/>
        </w:rPr>
        <w:tab/>
        <w:t>请应委员会结论意见</w:t>
      </w:r>
      <w:r>
        <w:rPr>
          <w:rStyle w:val="FootnoteReference"/>
        </w:rPr>
        <w:footnoteReference w:id="2"/>
      </w:r>
      <w:r>
        <w:rPr>
          <w:rFonts w:hint="eastAsia"/>
        </w:rPr>
        <w:t xml:space="preserve"> 的请求，提供资料说明妇女和法庭案件能有哪些补救办法？如果有的话，对面临歧视的妇女提起诉讼的案件是否有任何补救措施。</w:t>
      </w:r>
    </w:p>
    <w:p w:rsidR="00000000" w:rsidRDefault="00000000">
      <w:pPr>
        <w:pStyle w:val="SingleTxt"/>
      </w:pPr>
      <w:r>
        <w:rPr>
          <w:rFonts w:hint="eastAsia"/>
        </w:rPr>
        <w:t>7.</w:t>
      </w:r>
      <w:r>
        <w:rPr>
          <w:rFonts w:hint="eastAsia"/>
        </w:rPr>
        <w:tab/>
        <w:t>报告承认，由于缺乏坚实可行的两性平等问题国家机制，结果给执行性别政策带来负面影响(第99段)。政府采取了哪些措施落实委员会在结论中提出的各项建议？</w:t>
      </w:r>
      <w:r>
        <w:rPr>
          <w:rStyle w:val="FootnoteReference"/>
        </w:rPr>
        <w:footnoteReference w:id="3"/>
      </w:r>
      <w:r>
        <w:rPr>
          <w:rFonts w:hint="eastAsia"/>
        </w:rPr>
        <w:t xml:space="preserve"> 结论意见建议政府评估国家机制的能力，为它提供适当的决策能力以及财力和人力资源。</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pPr>
      <w:r>
        <w:rPr>
          <w:rFonts w:hint="eastAsia"/>
        </w:rPr>
        <w:t>8.</w:t>
      </w:r>
      <w:r>
        <w:rPr>
          <w:rFonts w:hint="eastAsia"/>
        </w:rPr>
        <w:tab/>
        <w:t>报告提到正在起草制止家庭暴力的法律（见第86段），请提供关于法律草案的详细资料，包括其范围以及通过的时限。</w:t>
      </w:r>
    </w:p>
    <w:p w:rsidR="00000000" w:rsidRDefault="00000000">
      <w:pPr>
        <w:pStyle w:val="SingleTxt"/>
        <w:rPr>
          <w:rFonts w:hint="eastAsia"/>
        </w:rPr>
      </w:pPr>
      <w:r>
        <w:rPr>
          <w:rFonts w:hint="eastAsia"/>
        </w:rPr>
        <w:t>9.</w:t>
      </w:r>
      <w:r>
        <w:rPr>
          <w:rFonts w:hint="eastAsia"/>
        </w:rPr>
        <w:tab/>
        <w:t>报告还提供资料，介绍新的《刑法典》(见第28段)，其中提到对配偶犯下严重身心伤害罪行(第151条第2(a)段)最近进一步恶化的情况，对给配偶造成一般性身心伤害者将被剥夺自由(第152条，第2(c)段)。《刑法》还规定，“蓄意造成轻微身体或健康伤害的属于犯罪行为”(第153条)，该条原本在《刑法典》中属于行政侵权。请提供关于这些条款的进一步资料，包括证据要求和惩罚的详细情况。婚内强奸是否属于刑事罪？</w:t>
      </w:r>
    </w:p>
    <w:p w:rsidR="00000000" w:rsidRDefault="00000000">
      <w:pPr>
        <w:pStyle w:val="SingleTxt"/>
        <w:rPr>
          <w:rFonts w:hint="eastAsia"/>
        </w:rPr>
      </w:pPr>
      <w:r>
        <w:rPr>
          <w:rFonts w:hint="eastAsia"/>
        </w:rPr>
        <w:t>10.</w:t>
      </w:r>
      <w:r>
        <w:rPr>
          <w:rFonts w:hint="eastAsia"/>
        </w:rPr>
        <w:tab/>
        <w:t>人权委员会关于对妇女暴力行为及其因果问题特别报告员在报告中对家庭暴力肆虐而且没有充分报告的情况表示关切(E/CN.4/2003/75/Add.1,第2059段)。摩尔多瓦政府在向委员会介绍其初次报告时说，计划对《刑法典》和《刑事诉讼法》进行修订，研究解决家庭暴力受害者获得司法援助的问题。</w:t>
      </w:r>
      <w:r>
        <w:rPr>
          <w:rStyle w:val="FootnoteReference"/>
        </w:rPr>
        <w:footnoteReference w:id="4"/>
      </w:r>
      <w:r>
        <w:rPr>
          <w:rFonts w:hint="eastAsia"/>
        </w:rPr>
        <w:t xml:space="preserve"> 请说明经过修订的《刑法典》和《刑事诉讼法》如何增加妇女获得司法援助的机会以及鼓励家庭暴力受害者报告这种暴力行为。特别是修订案是否列入受害者获得法律援助的问题？</w:t>
      </w:r>
    </w:p>
    <w:p w:rsidR="00000000" w:rsidRDefault="00000000">
      <w:pPr>
        <w:pStyle w:val="SingleTxt"/>
        <w:rPr>
          <w:rFonts w:hint="eastAsia"/>
        </w:rPr>
      </w:pPr>
      <w:r>
        <w:rPr>
          <w:rFonts w:hint="eastAsia"/>
        </w:rPr>
        <w:t>11.</w:t>
      </w:r>
      <w:r>
        <w:rPr>
          <w:rFonts w:hint="eastAsia"/>
        </w:rPr>
        <w:tab/>
        <w:t>请说明为收集、分析和使用按性别和族裔分列的对妇女一切形式的暴力行为的数据和统计数字。</w:t>
      </w:r>
    </w:p>
    <w:p w:rsidR="00000000" w:rsidRDefault="00000000">
      <w:pPr>
        <w:pStyle w:val="SingleTxt"/>
        <w:rPr>
          <w:rFonts w:ascii="SimHei" w:eastAsia="SimHei" w:hint="eastAsia"/>
          <w:color w:val="FF0000"/>
        </w:rPr>
      </w:pPr>
      <w:r>
        <w:rPr>
          <w:rFonts w:ascii="SimHei" w:eastAsia="SimHei" w:hint="eastAsia"/>
          <w:color w:val="FF0000"/>
        </w:rPr>
        <w:t>贩卖妇女和利用妇女卖淫营利</w:t>
      </w:r>
    </w:p>
    <w:p w:rsidR="00000000" w:rsidRDefault="00000000">
      <w:pPr>
        <w:pStyle w:val="SingleTxt"/>
        <w:rPr>
          <w:rFonts w:hint="eastAsia"/>
        </w:rPr>
      </w:pPr>
      <w:r>
        <w:rPr>
          <w:rFonts w:hint="eastAsia"/>
        </w:rPr>
        <w:t>12.</w:t>
      </w:r>
      <w:r>
        <w:rPr>
          <w:rFonts w:hint="eastAsia"/>
        </w:rPr>
        <w:tab/>
        <w:t>报告指出，制止和打击贩运人口的法律草案目前正在最后定稿(见第30段)。请提供详细资料，说明法律草案的进展情况，以及法律的主要内容和范围。</w:t>
      </w:r>
    </w:p>
    <w:p w:rsidR="00000000" w:rsidRDefault="00000000">
      <w:pPr>
        <w:pStyle w:val="SingleTxt"/>
        <w:rPr>
          <w:rFonts w:hint="eastAsia"/>
        </w:rPr>
      </w:pPr>
      <w:r>
        <w:rPr>
          <w:rFonts w:hint="eastAsia"/>
        </w:rPr>
        <w:t>13.</w:t>
      </w:r>
      <w:r>
        <w:rPr>
          <w:rFonts w:hint="eastAsia"/>
        </w:rPr>
        <w:tab/>
        <w:t>报告提到从摩尔多瓦共和国贩运妇女和非法移徙妇女的主要原因（第29段）是妇女经济贫困。政府根据委员会2000年的结论意见采取了哪些预防性措施改善妇女的经济状况？</w:t>
      </w:r>
      <w:r>
        <w:rPr>
          <w:rStyle w:val="FootnoteReference"/>
        </w:rPr>
        <w:footnoteReference w:id="5"/>
      </w:r>
    </w:p>
    <w:p w:rsidR="00000000" w:rsidRDefault="00000000">
      <w:pPr>
        <w:pStyle w:val="SingleTxt"/>
        <w:rPr>
          <w:rFonts w:hint="eastAsia"/>
        </w:rPr>
      </w:pPr>
      <w:r>
        <w:rPr>
          <w:rFonts w:hint="eastAsia"/>
        </w:rPr>
        <w:t>14.</w:t>
      </w:r>
      <w:r>
        <w:rPr>
          <w:rFonts w:hint="eastAsia"/>
        </w:rPr>
        <w:tab/>
        <w:t>请提供资料，包括统计数据，说明妇女和女孩儿，尤其是街头卖淫的情况，说明采取了哪些措施杜绝根源，防止对妇女和儿童的性剥削，提高对卖淫的健康和安全威胁问题的意识，确保保护卖淫者，帮助她们康复并重新融入社会。</w:t>
      </w:r>
    </w:p>
    <w:p w:rsidR="00000000" w:rsidRDefault="00000000">
      <w:pPr>
        <w:pStyle w:val="SingleTxt"/>
        <w:rPr>
          <w:rFonts w:ascii="SimHei" w:eastAsia="SimHei" w:hint="eastAsia"/>
          <w:color w:val="FF0000"/>
        </w:rPr>
      </w:pPr>
      <w:r>
        <w:rPr>
          <w:rFonts w:ascii="SimHei" w:eastAsia="SimHei" w:hint="eastAsia"/>
          <w:color w:val="FF0000"/>
        </w:rPr>
        <w:t>陈规定型观念和教育</w:t>
      </w:r>
    </w:p>
    <w:p w:rsidR="00000000" w:rsidRDefault="00000000">
      <w:pPr>
        <w:pStyle w:val="SingleTxt"/>
        <w:rPr>
          <w:rFonts w:hint="eastAsia"/>
        </w:rPr>
      </w:pPr>
      <w:r>
        <w:rPr>
          <w:rFonts w:hint="eastAsia"/>
        </w:rPr>
        <w:t>15.</w:t>
      </w:r>
      <w:r>
        <w:rPr>
          <w:rFonts w:hint="eastAsia"/>
        </w:rPr>
        <w:tab/>
        <w:t>委员会在以前的结论意见中敦促政府改革教学大纲，修订教科书，解决陈规定型观念的形象问题。</w:t>
      </w:r>
      <w:r>
        <w:rPr>
          <w:rStyle w:val="FootnoteReference"/>
        </w:rPr>
        <w:footnoteReference w:id="6"/>
      </w:r>
      <w:r>
        <w:t xml:space="preserve"> </w:t>
      </w:r>
      <w:r>
        <w:rPr>
          <w:rFonts w:hint="eastAsia"/>
        </w:rPr>
        <w:t>请说明政府为此采取的各项措施。尤其是请说明是否拟定了任何战略，努力消除各级教育制度中性别陈规定型观念，推动女童接受教育。</w:t>
      </w:r>
    </w:p>
    <w:p w:rsidR="00000000" w:rsidRDefault="00000000">
      <w:pPr>
        <w:pStyle w:val="SingleTxt"/>
        <w:rPr>
          <w:rFonts w:ascii="SimHei" w:eastAsia="SimHei" w:hint="eastAsia"/>
          <w:color w:val="FF0000"/>
        </w:rPr>
      </w:pPr>
      <w:r>
        <w:rPr>
          <w:rFonts w:ascii="SimHei" w:eastAsia="SimHei" w:hint="eastAsia"/>
          <w:color w:val="FF0000"/>
        </w:rPr>
        <w:t>参与政治和公共生活以及在国际上的代表权</w:t>
      </w:r>
    </w:p>
    <w:p w:rsidR="00000000" w:rsidRDefault="00000000">
      <w:pPr>
        <w:pStyle w:val="SingleTxt"/>
        <w:rPr>
          <w:rFonts w:hint="eastAsia"/>
        </w:rPr>
      </w:pPr>
      <w:r>
        <w:rPr>
          <w:rFonts w:hint="eastAsia"/>
        </w:rPr>
        <w:t>16.</w:t>
      </w:r>
      <w:r>
        <w:tab/>
      </w:r>
      <w:r>
        <w:rPr>
          <w:rFonts w:hint="eastAsia"/>
        </w:rPr>
        <w:t>在以前的结论意见中，委员会关切地注意到对于妇女和男人在家庭和社会中作用的陈规定型态度和行为方式非常顽固，结果反映在政治决策级别上的妇女参与人数很少，男女之间不能够分担家务和家庭责任。</w:t>
      </w:r>
      <w:r>
        <w:rPr>
          <w:rStyle w:val="FootnoteReference"/>
        </w:rPr>
        <w:footnoteReference w:id="7"/>
      </w:r>
      <w:r>
        <w:rPr>
          <w:rFonts w:hint="eastAsia"/>
        </w:rPr>
        <w:t xml:space="preserve"> 报告强调指出“决策级别上的妇女比例仍然很低”，“政府将建立能够在国家机制和政党内确保执行性别平等政策的机制”(见第95段)。请提供政府所建立机制的详细情况。特别是要说明政府是否根据《公约》第四条第1款和委员会第25项一般性建议采取了任何特别临时措施，增加各领域决策级别上的妇女人数，包括外交部，并提供具体资料，说明为监测进展情况确定的目标、定额和时间表。还请提供资料说明这方面所采取措施的结果。</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17.</w:t>
      </w:r>
      <w:r>
        <w:rPr>
          <w:rFonts w:hint="eastAsia"/>
        </w:rPr>
        <w:tab/>
        <w:t>在最近提出的结论意见中，</w:t>
      </w:r>
      <w:r>
        <w:rPr>
          <w:rStyle w:val="FootnoteReference"/>
        </w:rPr>
        <w:footnoteReference w:id="8"/>
      </w:r>
      <w:r>
        <w:rPr>
          <w:rFonts w:hint="eastAsia"/>
        </w:rPr>
        <w:t xml:space="preserve"> 委员会敦促政府“确保制定禁止在劳动力市场中直接和间接歧视妇女的法律，保证妇女依据《公约》第十一条和摩尔多瓦共和国批准的国际劳工组织（劳工组织）的相关公约享受平等机会。”委员会进一步敦促政府“考虑设立平等机会监察员职位，监测法律的执行情况，同时拥有权力可以受理关于违反《公约》的各项申诉。”请提供资料说明为此建议采取了哪些措施。</w:t>
      </w:r>
    </w:p>
    <w:p w:rsidR="00000000" w:rsidRDefault="00000000">
      <w:pPr>
        <w:pStyle w:val="SingleTxt"/>
        <w:rPr>
          <w:rFonts w:hint="eastAsia"/>
        </w:rPr>
      </w:pPr>
      <w:r>
        <w:rPr>
          <w:rFonts w:hint="eastAsia"/>
        </w:rPr>
        <w:t>18.</w:t>
      </w:r>
      <w:r>
        <w:rPr>
          <w:rFonts w:hint="eastAsia"/>
        </w:rPr>
        <w:tab/>
        <w:t>请提供详细资料，说明为没有养恤金者、例如老年贫穷妇女提供社会援助立法方面的情况。</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19.</w:t>
      </w:r>
      <w:r>
        <w:rPr>
          <w:rFonts w:hint="eastAsia"/>
        </w:rPr>
        <w:tab/>
        <w:t>产妇死亡率居高不下。报告显示农村地区的产妇死亡率最高（见第68段）以及2002年因非法堕胎造成产妇死亡率激增的情况（见第60段和表25）。</w:t>
      </w:r>
      <w:r>
        <w:rPr>
          <w:rFonts w:hint="eastAsia"/>
          <w:spacing w:val="2"/>
        </w:rPr>
        <w:t>请说明政府为解决农村地区产妇死亡以及因非法堕胎造成产妇死亡采取了哪些措施。</w:t>
      </w:r>
    </w:p>
    <w:p w:rsidR="00000000" w:rsidRDefault="00000000">
      <w:pPr>
        <w:pStyle w:val="SingleTxt"/>
        <w:rPr>
          <w:rFonts w:hint="eastAsia"/>
        </w:rPr>
      </w:pPr>
      <w:r>
        <w:rPr>
          <w:rFonts w:hint="eastAsia"/>
        </w:rPr>
        <w:t>20.</w:t>
      </w:r>
      <w:r>
        <w:tab/>
      </w:r>
      <w:r>
        <w:rPr>
          <w:rFonts w:hint="eastAsia"/>
        </w:rPr>
        <w:t>报告指出，“吸烟流行已成为[可避免的]死亡率和早产儿死亡率的主要原因”（见第63段）。年轻女性吸烟者的数字更加惊人，其中81％的人不到20岁。政府是否针对这个年龄组制定了国家战略，努力提高对健康危险的认识？</w:t>
      </w:r>
    </w:p>
    <w:p w:rsidR="00000000" w:rsidRDefault="00000000">
      <w:pPr>
        <w:pStyle w:val="SingleTxt"/>
        <w:rPr>
          <w:rFonts w:hint="eastAsia"/>
        </w:rPr>
      </w:pPr>
      <w:r>
        <w:rPr>
          <w:rFonts w:hint="eastAsia"/>
        </w:rPr>
        <w:t>21.</w:t>
      </w:r>
      <w:r>
        <w:rPr>
          <w:rFonts w:hint="eastAsia"/>
        </w:rPr>
        <w:tab/>
        <w:t>请提供详细资料，说明妇女使用麻醉品和精神药物的情况，以及为解决“摩尔多瓦共和国公共卫生的主要危险”而采取的措施（见第62段）。</w:t>
      </w:r>
    </w:p>
    <w:p w:rsidR="00000000" w:rsidRDefault="00000000">
      <w:pPr>
        <w:pStyle w:val="SingleTxt"/>
        <w:rPr>
          <w:rFonts w:hint="eastAsia"/>
        </w:rPr>
      </w:pPr>
      <w:r>
        <w:rPr>
          <w:rFonts w:hint="eastAsia"/>
        </w:rPr>
        <w:t>22.</w:t>
      </w:r>
      <w:r>
        <w:rPr>
          <w:rFonts w:hint="eastAsia"/>
        </w:rPr>
        <w:tab/>
        <w:t>请提供按性别、少数族裔和年龄分列的有关该国艾滋病毒/艾滋病流行的数据。还请说明政府根据委员会在上一次结论意见中的请求为解决妇女感染艾滋病毒/艾滋病以及其他性传播疾病而采取的措施，</w:t>
      </w:r>
      <w:r>
        <w:rPr>
          <w:rStyle w:val="FootnoteReference"/>
        </w:rPr>
        <w:footnoteReference w:id="9"/>
      </w:r>
      <w:r>
        <w:t xml:space="preserve"> </w:t>
      </w:r>
      <w:r>
        <w:rPr>
          <w:rFonts w:hint="eastAsia"/>
        </w:rPr>
        <w:t>同时说明在预防艾滋病的各项措施中是否考虑到社会性别问题。</w:t>
      </w:r>
    </w:p>
    <w:p w:rsidR="00000000" w:rsidRDefault="00000000">
      <w:pPr>
        <w:pStyle w:val="SingleTxt"/>
        <w:rPr>
          <w:rFonts w:ascii="SimHei" w:eastAsia="SimHei" w:hint="eastAsia"/>
          <w:color w:val="FF0000"/>
        </w:rPr>
      </w:pPr>
      <w:r>
        <w:rPr>
          <w:rFonts w:ascii="SimHei" w:eastAsia="SimHei" w:hint="eastAsia"/>
          <w:color w:val="FF0000"/>
        </w:rPr>
        <w:t>妇女与贫穷</w:t>
      </w:r>
    </w:p>
    <w:p w:rsidR="00000000" w:rsidRDefault="00000000">
      <w:pPr>
        <w:pStyle w:val="SingleTxt"/>
        <w:rPr>
          <w:rFonts w:hint="eastAsia"/>
        </w:rPr>
      </w:pPr>
      <w:r>
        <w:rPr>
          <w:rFonts w:hint="eastAsia"/>
        </w:rPr>
        <w:t>23.</w:t>
      </w:r>
      <w:r>
        <w:tab/>
      </w:r>
      <w:r>
        <w:rPr>
          <w:rFonts w:hint="eastAsia"/>
        </w:rPr>
        <w:t>报告多次提到在向市场经济转变的经济变革中贫穷率上升，生活水平下降的情况。请提供按性别、年龄和族裔分列的最新数据，研究摩尔多瓦城市和农村地区生活在贫困中的人口百分比的趋势，以及生活在贫困中的由女性担任户主的家庭的数量。请说明为消除贫穷做了哪些努力，是否制定了任何旨在消除妇女贫穷，包括老年妇女贫困状况的具体计划。</w:t>
      </w:r>
    </w:p>
    <w:p w:rsidR="00000000" w:rsidRDefault="00000000">
      <w:pPr>
        <w:pStyle w:val="SingleTxt"/>
      </w:pPr>
      <w:r>
        <w:rPr>
          <w:rFonts w:hint="eastAsia"/>
        </w:rPr>
        <w:t>24.</w:t>
      </w:r>
      <w:r>
        <w:tab/>
      </w:r>
      <w:r>
        <w:rPr>
          <w:rFonts w:hint="eastAsia"/>
        </w:rPr>
        <w:t>鉴于国家经济状况严峻，请说明国家发展战略和计划是如何研究实施《公约》以及实现男女平等问题的。</w:t>
      </w:r>
    </w:p>
    <w:p w:rsidR="00000000" w:rsidRDefault="00000000">
      <w:pPr>
        <w:pStyle w:val="SingleTxt"/>
        <w:rPr>
          <w:rFonts w:ascii="SimHei" w:eastAsia="SimHei" w:hint="eastAsia"/>
          <w:color w:val="FF0000"/>
        </w:rPr>
      </w:pPr>
      <w:r>
        <w:rPr>
          <w:rFonts w:ascii="SimHei" w:eastAsia="SimHei" w:hint="eastAsia"/>
          <w:color w:val="FF0000"/>
        </w:rPr>
        <w:t>农村妇女和少数族裔妇女</w:t>
      </w:r>
    </w:p>
    <w:p w:rsidR="00000000" w:rsidRDefault="00000000">
      <w:pPr>
        <w:pStyle w:val="SingleTxt"/>
        <w:rPr>
          <w:rFonts w:hint="eastAsia"/>
        </w:rPr>
      </w:pPr>
      <w:r>
        <w:rPr>
          <w:rFonts w:hint="eastAsia"/>
        </w:rPr>
        <w:t>25.</w:t>
      </w:r>
      <w:r>
        <w:rPr>
          <w:rFonts w:hint="eastAsia"/>
        </w:rPr>
        <w:tab/>
        <w:t>报告承认农村地区妇女的社会经济地位不断恶化，这是另一个值得关切的主要问题（见第98段）。报告还提到农村地区将受益于关于性别平等概念方面的其他训练。在农村妇女中制定和支持基于性别的各项举措是政府的一大优先事项。请提供详细资料，说明实施这两大措施的时限和办法。</w:t>
      </w:r>
    </w:p>
    <w:p w:rsidR="00000000" w:rsidRDefault="00000000">
      <w:pPr>
        <w:pStyle w:val="SingleTxt"/>
        <w:rPr>
          <w:rFonts w:hint="eastAsia"/>
        </w:rPr>
      </w:pPr>
      <w:r>
        <w:rPr>
          <w:rFonts w:hint="eastAsia"/>
        </w:rPr>
        <w:t>26.</w:t>
      </w:r>
      <w:r>
        <w:rPr>
          <w:rFonts w:hint="eastAsia"/>
        </w:rPr>
        <w:tab/>
        <w:t>人权委员会在其结论意见中表示“关切Gagauz和罗姆人的状况，他们仍然倍受歧视，特别是在农村地区”（CCPR/CO/75/MDA,第19段）。报告没有提供关于这个问题的资料。请提供资料和统计数据，说明少数族裔妇女、尤其是罗姆人和Gagauz妇女的状况，特别是她们接受教育、保健，就业以及参与政治和公共生活的情况，包括政府为解决歧视这些妇女的严重问题而采取的措施和努力。</w:t>
      </w:r>
    </w:p>
    <w:p w:rsidR="00000000" w:rsidRDefault="00000000">
      <w:pPr>
        <w:pStyle w:val="SingleTxt"/>
        <w:rPr>
          <w:rFonts w:ascii="SimHei" w:eastAsia="SimHei" w:hint="eastAsia"/>
          <w:color w:val="FF0000"/>
        </w:rPr>
      </w:pPr>
      <w:r>
        <w:rPr>
          <w:rFonts w:ascii="SimHei" w:eastAsia="SimHei" w:hint="eastAsia"/>
          <w:color w:val="FF0000"/>
        </w:rPr>
        <w:t>婚姻和家庭关系</w:t>
      </w:r>
    </w:p>
    <w:p w:rsidR="00000000" w:rsidRDefault="00000000">
      <w:pPr>
        <w:pStyle w:val="SingleTxt"/>
        <w:rPr>
          <w:rFonts w:hint="eastAsia"/>
        </w:rPr>
      </w:pPr>
      <w:r>
        <w:rPr>
          <w:rFonts w:hint="eastAsia"/>
        </w:rPr>
        <w:t>27.</w:t>
      </w:r>
      <w:r>
        <w:rPr>
          <w:rFonts w:hint="eastAsia"/>
        </w:rPr>
        <w:tab/>
        <w:t>委员会在上次的结论意见中对《家庭法》中对男孩子（18岁）和女孩子（16岁）规定了不同的结婚年龄表示关切。</w:t>
      </w:r>
      <w:r>
        <w:rPr>
          <w:rStyle w:val="FootnoteReference"/>
        </w:rPr>
        <w:footnoteReference w:id="10"/>
      </w:r>
      <w:r>
        <w:rPr>
          <w:rFonts w:hint="eastAsia"/>
        </w:rPr>
        <w:t xml:space="preserve"> 儿童权利委员会表达了同样的关切（CRC/C/15/Add.192）。政府是否采取了任何措施把女孩子的最低结婚年龄提高到与男孩子相同的年龄?</w:t>
      </w:r>
    </w:p>
    <w:p w:rsidR="00000000" w:rsidRDefault="00000000">
      <w:pPr>
        <w:pStyle w:val="SingleTxt"/>
        <w:rPr>
          <w:rFonts w:ascii="SimHei" w:eastAsia="SimHei" w:hint="eastAsia"/>
          <w:color w:val="FF0000"/>
        </w:rPr>
      </w:pPr>
      <w:r>
        <w:rPr>
          <w:rFonts w:ascii="SimHei" w:eastAsia="SimHei" w:hint="eastAsia"/>
          <w:color w:val="FF0000"/>
        </w:rPr>
        <w:t>任择议定书</w:t>
      </w:r>
    </w:p>
    <w:p w:rsidR="00000000" w:rsidRDefault="00000000">
      <w:pPr>
        <w:pStyle w:val="SingleTxt"/>
        <w:rPr>
          <w:rFonts w:hint="eastAsia"/>
        </w:rPr>
      </w:pPr>
      <w:r>
        <w:rPr>
          <w:rFonts w:hint="eastAsia"/>
        </w:rPr>
        <w:t>28.</w:t>
      </w:r>
      <w:r>
        <w:rPr>
          <w:rFonts w:hint="eastAsia"/>
        </w:rPr>
        <w:tab/>
        <w:t>政府在初次报告的导言中提到，政府已经启动了加入《消除对妇女一切形式歧视公约任择议定书》的进程。</w:t>
      </w:r>
      <w:r>
        <w:rPr>
          <w:rStyle w:val="FootnoteReference"/>
        </w:rPr>
        <w:footnoteReference w:id="11"/>
      </w:r>
      <w:r>
        <w:rPr>
          <w:rFonts w:hint="eastAsia"/>
        </w:rPr>
        <w:t xml:space="preserve"> 请说明在加入《任择议定书》方面取得的进展。</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NO&gt;&gt;N0625061C&lt;&lt;ODS JOB NO&gt;&gt;</w:t>
      </w:r>
    </w:p>
    <w:p w:rsidR="00000000" w:rsidRDefault="00000000">
      <w:pPr>
        <w:pStyle w:val="CommentText"/>
      </w:pPr>
      <w:r>
        <w:t>&lt;&lt;ODS DOC SYMBOL1&gt;&gt;CEDAW/C/MDA/Q/3&lt;&lt;ODS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06-25061 (C)    030306    060306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见《大会正式记录，第五十五届会议，补编第38号》，(A/55/38)，第二部分，第96段。</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同上，第92段。</w:t>
      </w:r>
    </w:p>
  </w:footnote>
  <w:footnote w:id="3">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同上，第100段。</w:t>
      </w:r>
    </w:p>
  </w:footnote>
  <w:footnote w:id="4">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同上，第80段。</w:t>
      </w:r>
    </w:p>
  </w:footnote>
  <w:footnote w:id="5">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同上，第104段。</w:t>
      </w:r>
    </w:p>
  </w:footnote>
  <w:footnote w:id="6">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同上，第106段。</w:t>
      </w:r>
    </w:p>
  </w:footnote>
  <w:footnote w:id="7">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同上，第97和98段。</w:t>
      </w:r>
    </w:p>
  </w:footnote>
  <w:footnote w:id="8">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同上，第108段。</w:t>
      </w:r>
    </w:p>
  </w:footnote>
  <w:footnote w:id="9">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同上，第110段。</w:t>
      </w:r>
    </w:p>
  </w:footnote>
  <w:footnote w:id="10">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同上，第113和第114段。</w:t>
      </w:r>
    </w:p>
  </w:footnote>
  <w:footnote w:id="1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同上，第82段。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CEDAW/C/MDA/Q/3</w:t>
                      </w:r>
                    </w:p>
                  </w:tc>
                  <w:tc>
                    <w:tcPr>
                      <w:tcW w:w="5048" w:type="dxa"/>
                      <w:vAlign w:val="bottom"/>
                    </w:tcPr>
                    <w:p w:rsidR="00000000" w:rsidRDefault="00000000">
                      <w:pPr>
                        <w:pStyle w:val="Header"/>
                      </w:pPr>
                    </w:p>
                  </w:tc>
                </w:tr>
              </w:tbl>
              <w:p w:rsidR="00000000" w:rsidRDefault="00000000"/>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CEDAW/C/MDA/Q/3</w:t>
                      </w:r>
                    </w:p>
                  </w:tc>
                </w:tr>
              </w:tbl>
              <w:p w:rsidR="00000000" w:rsidRDefault="00000000"/>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/C/MDA/Q/3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22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20:29:11"/>
    <w:docVar w:name="DocCategory" w:val="Doc"/>
    <w:docVar w:name="DocType" w:val="Final"/>
    <w:docVar w:name="JobNo" w:val="0625061C"/>
    <w:docVar w:name="OandT" w:val="Zhang jp"/>
    <w:docVar w:name="Symbol1" w:val="CEDAW/C/MDA/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506</Words>
  <Characters>2886</Characters>
  <Application>Microsoft Office Word</Application>
  <DocSecurity>4</DocSecurity>
  <Lines>24</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3544</CharactersWithSpaces>
  <SharedDoc>false</SharedDoc>
  <HLinks>
    <vt:vector size="6" baseType="variant">
      <vt:variant>
        <vt:i4>4522087</vt:i4>
      </vt:variant>
      <vt:variant>
        <vt:i4>8656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Jiping.Zhang</dc:creator>
  <cp:keywords/>
  <dc:description/>
  <cp:lastModifiedBy>Jinshui.Wang</cp:lastModifiedBy>
  <cp:revision>13</cp:revision>
  <cp:lastPrinted>2006-03-06T09:17:00Z</cp:lastPrinted>
  <dcterms:created xsi:type="dcterms:W3CDTF">2006-03-03T19:29:00Z</dcterms:created>
  <dcterms:modified xsi:type="dcterms:W3CDTF">2006-03-06T09:19:00Z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0625061</vt:lpwstr>
  </property>
  <property fmtid="{D5CDD505-2E9C-101B-9397-08002B2CF9AE}" pid="3" name="Symbol2">
    <vt:lpwstr/>
  </property>
  <property fmtid="{D5CDD505-2E9C-101B-9397-08002B2CF9AE}" pid="4" name="Translator">
    <vt:lpwstr/>
  </property>
  <property fmtid="{D5CDD505-2E9C-101B-9397-08002B2CF9AE}" pid="5" name="Operator">
    <vt:lpwstr>Zhang jp</vt:lpwstr>
  </property>
  <property fmtid="{D5CDD505-2E9C-101B-9397-08002B2CF9AE}" pid="6" name="DraftPages">
    <vt:lpwstr> </vt:lpwstr>
  </property>
  <property fmtid="{D5CDD505-2E9C-101B-9397-08002B2CF9AE}" pid="7" name="Comment">
    <vt:lpwstr/>
  </property>
  <property fmtid="{D5CDD505-2E9C-101B-9397-08002B2CF9AE}" pid="8" name="Symbol1">
    <vt:lpwstr>CEDAW/C/MDA/Q/3</vt:lpwstr>
  </property>
</Properties>
</file>