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A53D817" w14:textId="77777777" w:rsidTr="005E08DF">
        <w:trPr>
          <w:cantSplit/>
          <w:trHeight w:hRule="exact" w:val="851"/>
        </w:trPr>
        <w:tc>
          <w:tcPr>
            <w:tcW w:w="1276" w:type="dxa"/>
            <w:tcBorders>
              <w:bottom w:val="single" w:sz="4" w:space="0" w:color="auto"/>
            </w:tcBorders>
            <w:vAlign w:val="bottom"/>
          </w:tcPr>
          <w:p w14:paraId="6547CDE1" w14:textId="77777777" w:rsidR="00C9007B" w:rsidRDefault="00C9007B" w:rsidP="005E08DF">
            <w:pPr>
              <w:spacing w:after="80"/>
            </w:pPr>
          </w:p>
        </w:tc>
        <w:tc>
          <w:tcPr>
            <w:tcW w:w="2268" w:type="dxa"/>
            <w:tcBorders>
              <w:bottom w:val="single" w:sz="4" w:space="0" w:color="auto"/>
            </w:tcBorders>
            <w:vAlign w:val="bottom"/>
          </w:tcPr>
          <w:p w14:paraId="0EB20B4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668046" w14:textId="77777777" w:rsidR="00C9007B" w:rsidRDefault="00985A50" w:rsidP="00985A50">
            <w:pPr>
              <w:suppressAutoHyphens w:val="0"/>
              <w:spacing w:after="20"/>
              <w:jc w:val="right"/>
            </w:pPr>
            <w:r w:rsidRPr="00985A50">
              <w:rPr>
                <w:sz w:val="40"/>
              </w:rPr>
              <w:t>CRPD</w:t>
            </w:r>
            <w:r>
              <w:t>/C/29/2</w:t>
            </w:r>
          </w:p>
        </w:tc>
      </w:tr>
      <w:tr w:rsidR="00C9007B" w14:paraId="227E1907" w14:textId="77777777" w:rsidTr="005E08DF">
        <w:trPr>
          <w:cantSplit/>
          <w:trHeight w:hRule="exact" w:val="2835"/>
        </w:trPr>
        <w:tc>
          <w:tcPr>
            <w:tcW w:w="1276" w:type="dxa"/>
            <w:tcBorders>
              <w:top w:val="single" w:sz="4" w:space="0" w:color="auto"/>
              <w:bottom w:val="single" w:sz="12" w:space="0" w:color="auto"/>
            </w:tcBorders>
          </w:tcPr>
          <w:p w14:paraId="7D95E250" w14:textId="77777777" w:rsidR="00C9007B" w:rsidRDefault="00C9007B" w:rsidP="005E08DF">
            <w:pPr>
              <w:spacing w:before="120"/>
              <w:jc w:val="center"/>
            </w:pPr>
            <w:r>
              <w:rPr>
                <w:noProof/>
                <w:lang w:val="fr-CH" w:eastAsia="fr-CH"/>
              </w:rPr>
              <w:drawing>
                <wp:inline distT="0" distB="0" distL="0" distR="0" wp14:anchorId="776257EF" wp14:editId="12D467A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180FEB"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827AA21"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838C54B" w14:textId="77777777" w:rsidR="00D478B4" w:rsidRDefault="00D478B4" w:rsidP="00D478B4">
            <w:pPr>
              <w:spacing w:before="240"/>
            </w:pPr>
            <w:r>
              <w:t>Distr.: General</w:t>
            </w:r>
          </w:p>
          <w:p w14:paraId="34F5BF17" w14:textId="4BA62801" w:rsidR="00D478B4" w:rsidRDefault="00C626D2" w:rsidP="00D478B4">
            <w:pPr>
              <w:suppressAutoHyphens w:val="0"/>
            </w:pPr>
            <w:r>
              <w:t>17</w:t>
            </w:r>
            <w:r w:rsidR="00D478B4">
              <w:t xml:space="preserve"> October 2023</w:t>
            </w:r>
          </w:p>
          <w:p w14:paraId="52B09E1C" w14:textId="77777777" w:rsidR="00D478B4" w:rsidRDefault="00D478B4" w:rsidP="00D478B4">
            <w:pPr>
              <w:suppressAutoHyphens w:val="0"/>
            </w:pPr>
          </w:p>
          <w:p w14:paraId="7DBEF9B2" w14:textId="5CAE8052" w:rsidR="00985A50" w:rsidRDefault="00D478B4" w:rsidP="00D478B4">
            <w:pPr>
              <w:suppressAutoHyphens w:val="0"/>
            </w:pPr>
            <w:r>
              <w:t>Original: English</w:t>
            </w:r>
          </w:p>
        </w:tc>
      </w:tr>
    </w:tbl>
    <w:p w14:paraId="0F762487" w14:textId="77777777" w:rsidR="00872C78" w:rsidRPr="00026C34" w:rsidRDefault="00872C78" w:rsidP="00872C78">
      <w:pPr>
        <w:spacing w:before="120"/>
        <w:rPr>
          <w:b/>
          <w:sz w:val="24"/>
          <w:szCs w:val="24"/>
        </w:rPr>
      </w:pPr>
      <w:r w:rsidRPr="00026C34">
        <w:rPr>
          <w:b/>
          <w:sz w:val="24"/>
          <w:szCs w:val="24"/>
        </w:rPr>
        <w:t>Committee on the Rights of Persons with Disabilities</w:t>
      </w:r>
    </w:p>
    <w:p w14:paraId="4263FE53" w14:textId="77777777" w:rsidR="00872C78" w:rsidRPr="001461C4" w:rsidRDefault="00872C78" w:rsidP="00872C78">
      <w:pPr>
        <w:pStyle w:val="HChG"/>
      </w:pPr>
      <w:r w:rsidRPr="001461C4">
        <w:tab/>
      </w:r>
      <w:r w:rsidRPr="001461C4">
        <w:tab/>
        <w:t>Report of the Committee on the Rights of Persons with Disabilities on its twenty-</w:t>
      </w:r>
      <w:r>
        <w:t>ninth</w:t>
      </w:r>
      <w:r w:rsidRPr="001461C4">
        <w:t xml:space="preserve"> session</w:t>
      </w:r>
      <w:r>
        <w:br/>
      </w:r>
      <w:r w:rsidRPr="001461C4">
        <w:t>(</w:t>
      </w:r>
      <w:r>
        <w:t>14 August–8 September 2023</w:t>
      </w:r>
      <w:r w:rsidRPr="001461C4">
        <w:t>)</w:t>
      </w:r>
    </w:p>
    <w:p w14:paraId="1120813C" w14:textId="77777777" w:rsidR="00872C78" w:rsidRPr="001461C4" w:rsidRDefault="00872C78" w:rsidP="00872C78">
      <w:pPr>
        <w:pStyle w:val="HChG"/>
      </w:pPr>
      <w:r w:rsidRPr="001461C4">
        <w:tab/>
        <w:t>I.</w:t>
      </w:r>
      <w:r w:rsidRPr="001461C4">
        <w:tab/>
        <w:t>States parties to the Convention and the Optional Protocol thereto</w:t>
      </w:r>
    </w:p>
    <w:p w14:paraId="270A8E6D" w14:textId="77777777" w:rsidR="00872C78" w:rsidRPr="001461C4" w:rsidRDefault="00872C78" w:rsidP="00872C78">
      <w:pPr>
        <w:pStyle w:val="SingleTxtG"/>
      </w:pPr>
      <w:r w:rsidRPr="001461C4">
        <w:t>1.</w:t>
      </w:r>
      <w:r w:rsidRPr="001461C4">
        <w:tab/>
        <w:t xml:space="preserve">As </w:t>
      </w:r>
      <w:r>
        <w:t>at</w:t>
      </w:r>
      <w:r w:rsidRPr="001461C4">
        <w:t xml:space="preserve"> </w:t>
      </w:r>
      <w:r>
        <w:t>8 September 2023</w:t>
      </w:r>
      <w:r w:rsidRPr="001461C4">
        <w:t xml:space="preserve">, the date on which the </w:t>
      </w:r>
      <w:r w:rsidRPr="00880D48">
        <w:t>twenty-</w:t>
      </w:r>
      <w:r>
        <w:t xml:space="preserve">ninth </w:t>
      </w:r>
      <w:r w:rsidRPr="001461C4">
        <w:t>session closed, there were 18</w:t>
      </w:r>
      <w:r>
        <w:t>7</w:t>
      </w:r>
      <w:r w:rsidRPr="001461C4">
        <w:t xml:space="preserve"> States parties to the Convention on the Rights of Persons with Disabilities and </w:t>
      </w:r>
      <w:r>
        <w:t>105</w:t>
      </w:r>
      <w:r w:rsidRPr="001461C4">
        <w:t xml:space="preserve"> States parties to the Optional Protocol thereto. The lists of States parties to these instruments are available on the website of the Office of Legal Affairs of the Secretariat.</w:t>
      </w:r>
    </w:p>
    <w:p w14:paraId="5B06A4D7" w14:textId="77777777" w:rsidR="00872C78" w:rsidRPr="001461C4" w:rsidRDefault="00872C78" w:rsidP="00872C78">
      <w:pPr>
        <w:pStyle w:val="HChG"/>
      </w:pPr>
      <w:r w:rsidRPr="001461C4">
        <w:tab/>
        <w:t>II.</w:t>
      </w:r>
      <w:r w:rsidRPr="001461C4">
        <w:tab/>
        <w:t>Opening of the twenty-</w:t>
      </w:r>
      <w:r>
        <w:t>ninth</w:t>
      </w:r>
      <w:r w:rsidRPr="001461C4">
        <w:t xml:space="preserve"> session of the Committee</w:t>
      </w:r>
    </w:p>
    <w:p w14:paraId="28EEC39E" w14:textId="2CE9307B" w:rsidR="00872C78" w:rsidRPr="001461C4" w:rsidRDefault="00872C78" w:rsidP="00872C78">
      <w:pPr>
        <w:pStyle w:val="SingleTxtG"/>
        <w:rPr>
          <w:rFonts w:eastAsia="Times New Roman"/>
          <w:color w:val="000000"/>
          <w:u w:color="000000"/>
          <w:bdr w:val="nil"/>
          <w:lang w:eastAsia="en-GB"/>
        </w:rPr>
      </w:pPr>
      <w:r w:rsidRPr="001461C4">
        <w:rPr>
          <w:rFonts w:eastAsia="Times New Roman"/>
          <w:color w:val="000000"/>
          <w:u w:color="000000"/>
          <w:bdr w:val="nil"/>
          <w:lang w:eastAsia="en-GB"/>
        </w:rPr>
        <w:t>2.</w:t>
      </w:r>
      <w:r w:rsidRPr="001461C4">
        <w:rPr>
          <w:rFonts w:eastAsia="Times New Roman"/>
          <w:color w:val="000000"/>
          <w:u w:color="000000"/>
          <w:bdr w:val="nil"/>
          <w:lang w:eastAsia="en-GB"/>
        </w:rPr>
        <w:tab/>
      </w:r>
      <w:r w:rsidRPr="001461C4">
        <w:t>The</w:t>
      </w:r>
      <w:r w:rsidRPr="001461C4">
        <w:rPr>
          <w:rFonts w:eastAsia="Times New Roman"/>
          <w:color w:val="000000"/>
          <w:u w:color="000000"/>
          <w:bdr w:val="nil"/>
          <w:lang w:eastAsia="en-GB"/>
        </w:rPr>
        <w:t xml:space="preserve"> twenty-</w:t>
      </w:r>
      <w:r>
        <w:rPr>
          <w:rFonts w:eastAsia="Times New Roman"/>
          <w:color w:val="000000"/>
          <w:u w:color="000000"/>
          <w:bdr w:val="nil"/>
          <w:lang w:eastAsia="en-GB"/>
        </w:rPr>
        <w:t>ninth</w:t>
      </w:r>
      <w:r w:rsidRPr="001461C4">
        <w:rPr>
          <w:rFonts w:eastAsia="Times New Roman"/>
          <w:color w:val="000000"/>
          <w:u w:color="000000"/>
          <w:bdr w:val="nil"/>
          <w:lang w:eastAsia="en-GB"/>
        </w:rPr>
        <w:t xml:space="preserve"> session opened in a public meeting with welcoming remarks by the </w:t>
      </w:r>
      <w:r w:rsidRPr="002A394D">
        <w:rPr>
          <w:rFonts w:eastAsia="Times New Roman"/>
          <w:bCs/>
          <w:color w:val="000000"/>
          <w:u w:color="000000"/>
          <w:bdr w:val="nil"/>
          <w:lang w:eastAsia="en-GB"/>
        </w:rPr>
        <w:t>Chief of the Women</w:t>
      </w:r>
      <w:r>
        <w:rPr>
          <w:rFonts w:eastAsia="Times New Roman"/>
          <w:bCs/>
          <w:color w:val="000000"/>
          <w:u w:color="000000"/>
          <w:bdr w:val="nil"/>
          <w:lang w:eastAsia="en-GB"/>
        </w:rPr>
        <w:t>’</w:t>
      </w:r>
      <w:r w:rsidRPr="002A394D">
        <w:rPr>
          <w:rFonts w:eastAsia="Times New Roman"/>
          <w:bCs/>
          <w:color w:val="000000"/>
          <w:u w:color="000000"/>
          <w:bdr w:val="nil"/>
          <w:lang w:eastAsia="en-GB"/>
        </w:rPr>
        <w:t>s Human Rights and Gender Section</w:t>
      </w:r>
      <w:r w:rsidRPr="00F15A43">
        <w:rPr>
          <w:rFonts w:eastAsia="Times New Roman"/>
          <w:color w:val="000000"/>
          <w:u w:color="000000"/>
          <w:bdr w:val="nil"/>
          <w:lang w:eastAsia="en-GB"/>
        </w:rPr>
        <w:t>,</w:t>
      </w:r>
      <w:r>
        <w:rPr>
          <w:rFonts w:eastAsia="Times New Roman"/>
          <w:color w:val="000000"/>
          <w:u w:color="000000"/>
          <w:bdr w:val="nil"/>
          <w:lang w:eastAsia="en-GB"/>
        </w:rPr>
        <w:t xml:space="preserve"> </w:t>
      </w:r>
      <w:r w:rsidRPr="002A394D">
        <w:rPr>
          <w:rFonts w:eastAsia="Times New Roman"/>
          <w:color w:val="000000"/>
          <w:u w:color="000000"/>
          <w:bdr w:val="nil"/>
          <w:lang w:eastAsia="en-GB"/>
        </w:rPr>
        <w:t>Rule of Law, Equality and Non</w:t>
      </w:r>
      <w:r w:rsidR="002630C4">
        <w:rPr>
          <w:rFonts w:eastAsia="Times New Roman"/>
          <w:color w:val="000000"/>
          <w:u w:color="000000"/>
          <w:bdr w:val="nil"/>
          <w:lang w:eastAsia="en-GB"/>
        </w:rPr>
        <w:noBreakHyphen/>
      </w:r>
      <w:r>
        <w:rPr>
          <w:rFonts w:eastAsia="Times New Roman"/>
          <w:color w:val="000000"/>
          <w:u w:color="000000"/>
          <w:bdr w:val="nil"/>
          <w:lang w:eastAsia="en-GB"/>
        </w:rPr>
        <w:t>d</w:t>
      </w:r>
      <w:r w:rsidRPr="002A394D">
        <w:rPr>
          <w:rFonts w:eastAsia="Times New Roman"/>
          <w:color w:val="000000"/>
          <w:u w:color="000000"/>
          <w:bdr w:val="nil"/>
          <w:lang w:eastAsia="en-GB"/>
        </w:rPr>
        <w:t>iscrimination Branch</w:t>
      </w:r>
      <w:r>
        <w:rPr>
          <w:rFonts w:eastAsia="Times New Roman"/>
          <w:color w:val="000000"/>
          <w:u w:color="000000"/>
          <w:bdr w:val="nil"/>
          <w:lang w:eastAsia="en-GB"/>
        </w:rPr>
        <w:t xml:space="preserve">, </w:t>
      </w:r>
      <w:r w:rsidRPr="002A394D">
        <w:rPr>
          <w:rFonts w:eastAsia="Times New Roman"/>
          <w:color w:val="000000"/>
          <w:u w:color="000000"/>
          <w:bdr w:val="nil"/>
          <w:lang w:eastAsia="en-GB"/>
        </w:rPr>
        <w:t>Thematic Engagement, Special Procedures and Right to Development Division</w:t>
      </w:r>
      <w:r>
        <w:t>,</w:t>
      </w:r>
      <w:r w:rsidRPr="001461C4">
        <w:rPr>
          <w:rFonts w:eastAsia="Times New Roman"/>
          <w:color w:val="000000"/>
          <w:u w:color="000000"/>
          <w:bdr w:val="nil"/>
          <w:lang w:eastAsia="en-GB"/>
        </w:rPr>
        <w:t xml:space="preserve"> </w:t>
      </w:r>
      <w:r>
        <w:rPr>
          <w:rFonts w:eastAsia="Times New Roman"/>
          <w:color w:val="000000"/>
          <w:u w:color="000000"/>
          <w:bdr w:val="nil"/>
          <w:lang w:eastAsia="en-GB"/>
        </w:rPr>
        <w:t xml:space="preserve">Office </w:t>
      </w:r>
      <w:r w:rsidRPr="001461C4">
        <w:rPr>
          <w:rFonts w:eastAsia="Times New Roman"/>
          <w:color w:val="000000"/>
          <w:u w:color="000000"/>
          <w:bdr w:val="nil"/>
          <w:lang w:eastAsia="en-GB"/>
        </w:rPr>
        <w:t>of the United Nations High Commissioner for Human Rights.</w:t>
      </w:r>
      <w:r w:rsidRPr="001461C4">
        <w:rPr>
          <w:rFonts w:eastAsia="Times New Roman"/>
          <w:color w:val="000000"/>
          <w:spacing w:val="-5"/>
          <w:u w:color="000000"/>
          <w:bdr w:val="nil"/>
          <w:lang w:eastAsia="en-GB"/>
        </w:rPr>
        <w:t xml:space="preserve"> </w:t>
      </w:r>
      <w:r w:rsidRPr="001461C4">
        <w:rPr>
          <w:rFonts w:eastAsia="Times New Roman"/>
          <w:color w:val="000000"/>
          <w:u w:color="000000"/>
          <w:bdr w:val="nil"/>
          <w:lang w:eastAsia="en-GB"/>
        </w:rPr>
        <w:t>The</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welcoming remarks are available on the</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Committee</w:t>
      </w:r>
      <w:r>
        <w:rPr>
          <w:rFonts w:eastAsia="Times New Roman"/>
          <w:color w:val="000000"/>
          <w:u w:color="000000"/>
          <w:bdr w:val="nil"/>
          <w:lang w:eastAsia="en-GB"/>
        </w:rPr>
        <w:t>’</w:t>
      </w:r>
      <w:r w:rsidRPr="001461C4">
        <w:rPr>
          <w:rFonts w:eastAsia="Times New Roman"/>
          <w:color w:val="000000"/>
          <w:u w:color="000000"/>
          <w:bdr w:val="nil"/>
          <w:lang w:eastAsia="en-GB"/>
        </w:rPr>
        <w:t>s website.</w:t>
      </w:r>
    </w:p>
    <w:p w14:paraId="6AD3535F" w14:textId="77777777" w:rsidR="00872C78" w:rsidRPr="001461C4" w:rsidRDefault="00872C78" w:rsidP="00872C78">
      <w:pPr>
        <w:pStyle w:val="SingleTxtG"/>
        <w:rPr>
          <w:rFonts w:eastAsia="Times New Roman"/>
          <w:color w:val="000000"/>
          <w:u w:color="000000"/>
          <w:bdr w:val="nil"/>
          <w:lang w:eastAsia="en-GB"/>
        </w:rPr>
      </w:pPr>
      <w:r w:rsidRPr="001461C4">
        <w:rPr>
          <w:rFonts w:eastAsia="Times New Roman"/>
          <w:color w:val="000000"/>
          <w:u w:color="000000"/>
          <w:bdr w:val="nil"/>
          <w:lang w:eastAsia="en-GB"/>
        </w:rPr>
        <w:t>3.</w:t>
      </w:r>
      <w:r w:rsidRPr="001461C4">
        <w:rPr>
          <w:rFonts w:eastAsia="Times New Roman"/>
          <w:color w:val="000000"/>
          <w:u w:color="000000"/>
          <w:bdr w:val="nil"/>
          <w:lang w:eastAsia="en-GB"/>
        </w:rPr>
        <w:tab/>
        <w:t>The Committee reviewed and adopted the provisional agenda</w:t>
      </w:r>
      <w:r w:rsidRPr="008A30E4">
        <w:rPr>
          <w:rStyle w:val="FootnoteReference"/>
        </w:rPr>
        <w:footnoteReference w:id="1"/>
      </w:r>
      <w:r w:rsidRPr="003B68C1">
        <w:t xml:space="preserve"> </w:t>
      </w:r>
      <w:r w:rsidRPr="001461C4">
        <w:rPr>
          <w:rFonts w:eastAsia="Times New Roman"/>
          <w:color w:val="000000"/>
          <w:u w:color="000000"/>
          <w:bdr w:val="nil"/>
          <w:lang w:eastAsia="en-GB"/>
        </w:rPr>
        <w:t>and programme of work for the twenty-</w:t>
      </w:r>
      <w:r>
        <w:rPr>
          <w:rFonts w:eastAsia="Times New Roman"/>
          <w:color w:val="000000"/>
          <w:u w:color="000000"/>
          <w:bdr w:val="nil"/>
          <w:lang w:eastAsia="en-GB"/>
        </w:rPr>
        <w:t>ninth</w:t>
      </w:r>
      <w:r w:rsidRPr="001461C4">
        <w:rPr>
          <w:rFonts w:eastAsia="Times New Roman"/>
          <w:color w:val="000000"/>
          <w:u w:color="000000"/>
          <w:bdr w:val="nil"/>
          <w:lang w:eastAsia="en-GB"/>
        </w:rPr>
        <w:t xml:space="preserve"> session.</w:t>
      </w:r>
    </w:p>
    <w:p w14:paraId="48324E96" w14:textId="77777777" w:rsidR="00872C78" w:rsidRPr="001461C4" w:rsidRDefault="00872C78" w:rsidP="00872C78">
      <w:pPr>
        <w:pStyle w:val="HChG"/>
      </w:pPr>
      <w:r w:rsidRPr="001461C4">
        <w:tab/>
        <w:t>III.</w:t>
      </w:r>
      <w:r w:rsidRPr="001461C4">
        <w:tab/>
        <w:t>Membership of the Committee</w:t>
      </w:r>
    </w:p>
    <w:p w14:paraId="4CFD99B2" w14:textId="77777777" w:rsidR="00872C78" w:rsidRDefault="00872C78" w:rsidP="00872C78">
      <w:pPr>
        <w:pStyle w:val="SingleTxtG"/>
        <w:rPr>
          <w:rFonts w:eastAsia="Times New Roman"/>
          <w:color w:val="000000"/>
          <w:u w:color="000000"/>
          <w:bdr w:val="nil"/>
          <w:lang w:eastAsia="en-GB"/>
        </w:rPr>
      </w:pPr>
      <w:r>
        <w:rPr>
          <w:rFonts w:eastAsia="Times New Roman"/>
          <w:color w:val="000000"/>
          <w:u w:color="000000"/>
          <w:bdr w:val="nil"/>
          <w:lang w:eastAsia="en-GB"/>
        </w:rPr>
        <w:t>4.</w:t>
      </w:r>
      <w:r>
        <w:rPr>
          <w:rFonts w:eastAsia="Times New Roman"/>
          <w:color w:val="000000"/>
          <w:u w:color="000000"/>
          <w:bdr w:val="nil"/>
          <w:lang w:eastAsia="en-GB"/>
        </w:rPr>
        <w:tab/>
      </w:r>
      <w:r w:rsidRPr="001461C4">
        <w:rPr>
          <w:rFonts w:eastAsia="Times New Roman"/>
          <w:color w:val="000000"/>
          <w:u w:color="000000"/>
          <w:bdr w:val="nil"/>
          <w:lang w:eastAsia="en-GB"/>
        </w:rPr>
        <w:t xml:space="preserve">The list of members of the Committee as </w:t>
      </w:r>
      <w:r>
        <w:rPr>
          <w:rFonts w:eastAsia="Times New Roman"/>
          <w:color w:val="000000"/>
          <w:u w:color="000000"/>
          <w:bdr w:val="nil"/>
          <w:lang w:eastAsia="en-GB"/>
        </w:rPr>
        <w:t>at</w:t>
      </w:r>
      <w:r w:rsidRPr="001461C4">
        <w:rPr>
          <w:rFonts w:eastAsia="Times New Roman"/>
          <w:color w:val="000000"/>
          <w:u w:color="000000"/>
          <w:bdr w:val="nil"/>
          <w:lang w:eastAsia="en-GB"/>
        </w:rPr>
        <w:t xml:space="preserve"> </w:t>
      </w:r>
      <w:r>
        <w:rPr>
          <w:rFonts w:eastAsia="Times New Roman"/>
          <w:color w:val="000000"/>
          <w:u w:color="000000"/>
          <w:bdr w:val="nil"/>
          <w:lang w:eastAsia="en-GB"/>
        </w:rPr>
        <w:t>8 September 2023</w:t>
      </w:r>
      <w:r w:rsidRPr="001461C4">
        <w:rPr>
          <w:rFonts w:eastAsia="Times New Roman"/>
          <w:color w:val="000000"/>
          <w:u w:color="000000"/>
          <w:bdr w:val="nil"/>
          <w:lang w:eastAsia="en-GB"/>
        </w:rPr>
        <w:t>, indicating the duration of their terms of office, is available on the</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Committee</w:t>
      </w:r>
      <w:r>
        <w:rPr>
          <w:rFonts w:eastAsia="Times New Roman"/>
          <w:color w:val="000000"/>
          <w:u w:color="000000"/>
          <w:bdr w:val="nil"/>
          <w:lang w:eastAsia="en-GB"/>
        </w:rPr>
        <w:t>’</w:t>
      </w:r>
      <w:r w:rsidRPr="001461C4">
        <w:rPr>
          <w:rFonts w:eastAsia="Times New Roman"/>
          <w:color w:val="000000"/>
          <w:u w:color="000000"/>
          <w:bdr w:val="nil"/>
          <w:lang w:eastAsia="en-GB"/>
        </w:rPr>
        <w:t>s website.</w:t>
      </w:r>
    </w:p>
    <w:p w14:paraId="37FE2D43" w14:textId="77777777" w:rsidR="00872C78" w:rsidRPr="001461C4" w:rsidRDefault="00872C78" w:rsidP="00872C78">
      <w:pPr>
        <w:pStyle w:val="HChG"/>
      </w:pPr>
      <w:r>
        <w:tab/>
        <w:t>IV.</w:t>
      </w:r>
      <w:r>
        <w:tab/>
      </w:r>
      <w:r w:rsidRPr="00A07AB4">
        <w:rPr>
          <w:lang w:val="en-US"/>
        </w:rPr>
        <w:tab/>
      </w:r>
      <w:r w:rsidRPr="001461C4">
        <w:t>Working methods</w:t>
      </w:r>
    </w:p>
    <w:p w14:paraId="2D1B36E3" w14:textId="77777777" w:rsidR="00872C78" w:rsidRPr="001461C4" w:rsidRDefault="00872C78" w:rsidP="00872C78">
      <w:pPr>
        <w:pStyle w:val="SingleTxtG"/>
      </w:pPr>
      <w:r>
        <w:t>5</w:t>
      </w:r>
      <w:r w:rsidRPr="001461C4">
        <w:t>.</w:t>
      </w:r>
      <w:r w:rsidRPr="001461C4">
        <w:tab/>
      </w:r>
      <w:r w:rsidRPr="001461C4">
        <w:rPr>
          <w:rFonts w:eastAsia="Times New Roman"/>
          <w:color w:val="000000"/>
          <w:u w:color="000000"/>
          <w:bdr w:val="nil"/>
          <w:lang w:eastAsia="en-GB"/>
        </w:rPr>
        <w:t>The</w:t>
      </w:r>
      <w:r w:rsidRPr="001461C4">
        <w:t xml:space="preserve"> Committee discussed various issues related to its working methods and decided to continue updating and streamlining its working methods during the intersessional period.</w:t>
      </w:r>
      <w:r>
        <w:t xml:space="preserve"> It piloted the use of task forces during the dialogues with Germany and Malawi, and implemented its follow-up procedure related to </w:t>
      </w:r>
      <w:r w:rsidRPr="00CE28C5">
        <w:t>reports o</w:t>
      </w:r>
      <w:r w:rsidRPr="00022BC7">
        <w:t>n</w:t>
      </w:r>
      <w:r w:rsidRPr="00CE28C5">
        <w:t xml:space="preserve"> inquiries</w:t>
      </w:r>
      <w:r>
        <w:t xml:space="preserve"> under the Optional Protocol to the Convention.</w:t>
      </w:r>
    </w:p>
    <w:p w14:paraId="08156A40" w14:textId="77777777" w:rsidR="00872C78" w:rsidRPr="001461C4" w:rsidRDefault="00872C78" w:rsidP="00872C78">
      <w:pPr>
        <w:pStyle w:val="HChG"/>
      </w:pPr>
      <w:r w:rsidRPr="001461C4">
        <w:lastRenderedPageBreak/>
        <w:tab/>
        <w:t>V.</w:t>
      </w:r>
      <w:r w:rsidRPr="001461C4">
        <w:tab/>
        <w:t>Activities related to general comments</w:t>
      </w:r>
    </w:p>
    <w:p w14:paraId="3899CD2D" w14:textId="77777777" w:rsidR="00872C78" w:rsidRPr="001461C4" w:rsidRDefault="00872C78" w:rsidP="00872C78">
      <w:pPr>
        <w:pStyle w:val="SingleTxtG"/>
        <w:rPr>
          <w:u w:color="000000"/>
          <w:bdr w:val="nil"/>
        </w:rPr>
      </w:pPr>
      <w:r>
        <w:rPr>
          <w:u w:color="000000"/>
          <w:bdr w:val="nil"/>
        </w:rPr>
        <w:t>6</w:t>
      </w:r>
      <w:r w:rsidRPr="001461C4">
        <w:rPr>
          <w:u w:color="000000"/>
          <w:bdr w:val="nil"/>
        </w:rPr>
        <w:t>.</w:t>
      </w:r>
      <w:r w:rsidRPr="001461C4">
        <w:rPr>
          <w:u w:color="000000"/>
          <w:bdr w:val="nil"/>
        </w:rPr>
        <w:tab/>
        <w:t xml:space="preserve">The Committee </w:t>
      </w:r>
      <w:r>
        <w:rPr>
          <w:u w:color="000000"/>
          <w:bdr w:val="nil"/>
        </w:rPr>
        <w:t>continued, in private, its work related to the draft general comment on article 11 of the Convention.</w:t>
      </w:r>
    </w:p>
    <w:p w14:paraId="7F610C76" w14:textId="77777777" w:rsidR="00872C78" w:rsidRPr="001461C4" w:rsidRDefault="00872C78" w:rsidP="00872C78">
      <w:pPr>
        <w:pStyle w:val="HChG"/>
      </w:pPr>
      <w:r w:rsidRPr="001461C4">
        <w:tab/>
        <w:t>V</w:t>
      </w:r>
      <w:r>
        <w:t>I</w:t>
      </w:r>
      <w:r w:rsidRPr="001461C4">
        <w:t>.</w:t>
      </w:r>
      <w:r w:rsidRPr="001461C4">
        <w:tab/>
        <w:t>Activities related to the Optional Protocol</w:t>
      </w:r>
    </w:p>
    <w:p w14:paraId="49281842" w14:textId="77777777" w:rsidR="00872C78" w:rsidRPr="001461C4" w:rsidRDefault="00872C78" w:rsidP="00872C78">
      <w:pPr>
        <w:pStyle w:val="SingleTxtG"/>
      </w:pPr>
      <w:r>
        <w:t>7.</w:t>
      </w:r>
      <w:r>
        <w:tab/>
      </w:r>
      <w:r w:rsidRPr="001B37FC">
        <w:t xml:space="preserve">The Committee </w:t>
      </w:r>
      <w:r>
        <w:t>examined</w:t>
      </w:r>
      <w:r w:rsidRPr="001B37FC">
        <w:t xml:space="preserve"> five communications submitted for its consideration under the Optional Protocol to the Convention. It found violations of the Convention in three </w:t>
      </w:r>
      <w:r>
        <w:t>of them:</w:t>
      </w:r>
      <w:r w:rsidRPr="001B37FC">
        <w:t xml:space="preserve"> </w:t>
      </w:r>
      <w:r w:rsidRPr="00B151D3">
        <w:rPr>
          <w:i/>
          <w:iCs/>
        </w:rPr>
        <w:t>J.M.V.A. v. Spain</w:t>
      </w:r>
      <w:r w:rsidRPr="00B151D3">
        <w:t>,</w:t>
      </w:r>
      <w:r w:rsidRPr="008A30E4">
        <w:rPr>
          <w:rStyle w:val="FootnoteReference"/>
        </w:rPr>
        <w:footnoteReference w:id="2"/>
      </w:r>
      <w:r w:rsidRPr="00B151D3">
        <w:t xml:space="preserve"> </w:t>
      </w:r>
      <w:r w:rsidRPr="00B151D3">
        <w:rPr>
          <w:i/>
          <w:iCs/>
        </w:rPr>
        <w:t>Sabadie v. France</w:t>
      </w:r>
      <w:r w:rsidRPr="008A30E4">
        <w:rPr>
          <w:rStyle w:val="FootnoteReference"/>
        </w:rPr>
        <w:footnoteReference w:id="3"/>
      </w:r>
      <w:r w:rsidRPr="00B151D3">
        <w:rPr>
          <w:i/>
          <w:iCs/>
        </w:rPr>
        <w:t xml:space="preserve"> </w:t>
      </w:r>
      <w:r w:rsidRPr="00B151D3">
        <w:t xml:space="preserve">and </w:t>
      </w:r>
      <w:r w:rsidRPr="00B151D3">
        <w:rPr>
          <w:i/>
          <w:iCs/>
        </w:rPr>
        <w:t>S.M. v. Denmark</w:t>
      </w:r>
      <w:r w:rsidRPr="007236B7">
        <w:t>.</w:t>
      </w:r>
      <w:r w:rsidRPr="008A30E4">
        <w:rPr>
          <w:rStyle w:val="FootnoteReference"/>
        </w:rPr>
        <w:footnoteReference w:id="4"/>
      </w:r>
      <w:r w:rsidRPr="00B151D3">
        <w:t xml:space="preserve"> It discontinued its </w:t>
      </w:r>
      <w:r w:rsidRPr="00EA53B4">
        <w:t>consideration of the other two communications</w:t>
      </w:r>
      <w:r w:rsidRPr="007236B7">
        <w:t>:</w:t>
      </w:r>
      <w:r w:rsidRPr="00EA53B4">
        <w:t xml:space="preserve"> </w:t>
      </w:r>
      <w:r w:rsidRPr="00EA53B4">
        <w:rPr>
          <w:i/>
          <w:iCs/>
        </w:rPr>
        <w:t>R.K.H.M. v. Canada</w:t>
      </w:r>
      <w:r w:rsidRPr="008A30E4">
        <w:rPr>
          <w:rStyle w:val="FootnoteReference"/>
        </w:rPr>
        <w:footnoteReference w:id="5"/>
      </w:r>
      <w:r w:rsidRPr="00EA53B4">
        <w:t xml:space="preserve"> and </w:t>
      </w:r>
      <w:r w:rsidRPr="00EA53B4">
        <w:rPr>
          <w:i/>
          <w:iCs/>
        </w:rPr>
        <w:t>R.M.H. v. Sweden</w:t>
      </w:r>
      <w:r w:rsidRPr="00076588">
        <w:t>.</w:t>
      </w:r>
      <w:r w:rsidRPr="008A30E4">
        <w:rPr>
          <w:rStyle w:val="FootnoteReference"/>
        </w:rPr>
        <w:footnoteReference w:id="6"/>
      </w:r>
      <w:r w:rsidRPr="001B37FC">
        <w:t xml:space="preserve"> The Views and decisions </w:t>
      </w:r>
      <w:r w:rsidRPr="001461C4">
        <w:t xml:space="preserve">adopted by the Committee regarding the communications </w:t>
      </w:r>
      <w:r w:rsidRPr="001B37FC">
        <w:t>w</w:t>
      </w:r>
      <w:r>
        <w:t>ere</w:t>
      </w:r>
      <w:r w:rsidRPr="001B37FC">
        <w:t xml:space="preserve"> transmitted to the parties as soon as possible</w:t>
      </w:r>
      <w:r>
        <w:t xml:space="preserve"> and</w:t>
      </w:r>
      <w:r w:rsidRPr="001B37FC">
        <w:t xml:space="preserve"> subsequently </w:t>
      </w:r>
      <w:bookmarkStart w:id="0" w:name="_Hlk116475822"/>
      <w:r w:rsidRPr="001461C4">
        <w:t>made available on</w:t>
      </w:r>
      <w:r>
        <w:t xml:space="preserve"> the Official Document System</w:t>
      </w:r>
      <w:r w:rsidRPr="008A30E4">
        <w:rPr>
          <w:rStyle w:val="FootnoteReference"/>
        </w:rPr>
        <w:footnoteReference w:id="7"/>
      </w:r>
      <w:r w:rsidRPr="003B68C1">
        <w:t xml:space="preserve"> </w:t>
      </w:r>
      <w:r>
        <w:t>and</w:t>
      </w:r>
      <w:r w:rsidRPr="001461C4">
        <w:t xml:space="preserve"> the Committee</w:t>
      </w:r>
      <w:r>
        <w:t>’</w:t>
      </w:r>
      <w:r w:rsidRPr="001461C4">
        <w:t>s website.</w:t>
      </w:r>
      <w:r w:rsidRPr="007F6623">
        <w:t xml:space="preserve"> </w:t>
      </w:r>
      <w:r w:rsidRPr="001B37FC">
        <w:t xml:space="preserve">A summary of the Views and decisions </w:t>
      </w:r>
      <w:r>
        <w:t>adopted at the twenty-ninth session</w:t>
      </w:r>
      <w:r w:rsidRPr="001B37FC">
        <w:t xml:space="preserve"> may be found in annex III to the present report.</w:t>
      </w:r>
    </w:p>
    <w:bookmarkEnd w:id="0"/>
    <w:p w14:paraId="22376C87" w14:textId="696FDFC5" w:rsidR="00872C78" w:rsidRPr="001461C4" w:rsidRDefault="00872C78" w:rsidP="00872C78">
      <w:pPr>
        <w:pStyle w:val="SingleTxtG"/>
      </w:pPr>
      <w:r>
        <w:t>8</w:t>
      </w:r>
      <w:r w:rsidRPr="001461C4">
        <w:t>.</w:t>
      </w:r>
      <w:r w:rsidRPr="001461C4">
        <w:tab/>
        <w:t>The Committee considered matters related to inquir</w:t>
      </w:r>
      <w:r>
        <w:t>y proceedings</w:t>
      </w:r>
      <w:r w:rsidRPr="001461C4">
        <w:t xml:space="preserve"> </w:t>
      </w:r>
      <w:r>
        <w:t>pursuant to articles</w:t>
      </w:r>
      <w:r w:rsidR="00F602E7">
        <w:t> </w:t>
      </w:r>
      <w:r>
        <w:t>6 and 7 of</w:t>
      </w:r>
      <w:r w:rsidRPr="001461C4">
        <w:t xml:space="preserve"> the Optional Protocol.</w:t>
      </w:r>
    </w:p>
    <w:p w14:paraId="434B34A2" w14:textId="77777777" w:rsidR="00872C78" w:rsidRPr="001461C4" w:rsidRDefault="00872C78" w:rsidP="00872C78">
      <w:pPr>
        <w:pStyle w:val="HChG"/>
      </w:pPr>
      <w:r w:rsidRPr="001461C4">
        <w:tab/>
        <w:t>VI</w:t>
      </w:r>
      <w:r>
        <w:t>I</w:t>
      </w:r>
      <w:r w:rsidRPr="001461C4">
        <w:t>I.</w:t>
      </w:r>
      <w:r w:rsidRPr="001461C4">
        <w:tab/>
        <w:t>Future sessions</w:t>
      </w:r>
    </w:p>
    <w:p w14:paraId="372F1088" w14:textId="2784F18E" w:rsidR="00872C78" w:rsidRPr="001461C4" w:rsidRDefault="00872C78" w:rsidP="00872C78">
      <w:pPr>
        <w:pStyle w:val="SingleTxtG"/>
      </w:pPr>
      <w:bookmarkStart w:id="1" w:name="_Hlk113219885"/>
      <w:r>
        <w:t>9</w:t>
      </w:r>
      <w:r w:rsidRPr="001461C4">
        <w:t>.</w:t>
      </w:r>
      <w:r w:rsidRPr="001461C4">
        <w:tab/>
        <w:t>The</w:t>
      </w:r>
      <w:r w:rsidRPr="001461C4">
        <w:rPr>
          <w:rFonts w:eastAsia="Times New Roman"/>
          <w:color w:val="000000"/>
          <w:spacing w:val="13"/>
          <w:szCs w:val="22"/>
          <w:u w:color="000000"/>
          <w:bdr w:val="nil"/>
          <w:lang w:eastAsia="en-GB"/>
        </w:rPr>
        <w:t xml:space="preserve"> </w:t>
      </w:r>
      <w:r>
        <w:rPr>
          <w:rFonts w:eastAsia="Times New Roman"/>
          <w:color w:val="000000"/>
          <w:szCs w:val="22"/>
          <w:u w:color="000000"/>
          <w:bdr w:val="nil"/>
          <w:lang w:eastAsia="en-GB"/>
        </w:rPr>
        <w:t xml:space="preserve">thirtieth </w:t>
      </w:r>
      <w:r w:rsidRPr="001461C4">
        <w:rPr>
          <w:rFonts w:eastAsia="Times New Roman"/>
          <w:color w:val="000000"/>
          <w:szCs w:val="22"/>
          <w:u w:color="000000"/>
          <w:bdr w:val="nil"/>
          <w:lang w:eastAsia="en-GB"/>
        </w:rPr>
        <w:t>session</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of</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the</w:t>
      </w:r>
      <w:r w:rsidRPr="001461C4">
        <w:rPr>
          <w:rFonts w:eastAsia="Times New Roman"/>
          <w:color w:val="000000"/>
          <w:spacing w:val="14"/>
          <w:szCs w:val="22"/>
          <w:u w:color="000000"/>
          <w:bdr w:val="nil"/>
          <w:lang w:eastAsia="en-GB"/>
        </w:rPr>
        <w:t xml:space="preserve"> </w:t>
      </w:r>
      <w:r w:rsidRPr="001461C4">
        <w:rPr>
          <w:rFonts w:eastAsia="Times New Roman"/>
          <w:color w:val="000000"/>
          <w:szCs w:val="22"/>
          <w:u w:color="000000"/>
          <w:bdr w:val="nil"/>
          <w:lang w:eastAsia="en-GB"/>
        </w:rPr>
        <w:t>Committee</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is</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provisionally</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scheduled</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to</w:t>
      </w:r>
      <w:r w:rsidRPr="001461C4">
        <w:rPr>
          <w:rFonts w:eastAsia="Times New Roman"/>
          <w:color w:val="000000"/>
          <w:spacing w:val="14"/>
          <w:szCs w:val="22"/>
          <w:u w:color="000000"/>
          <w:bdr w:val="nil"/>
          <w:lang w:eastAsia="en-GB"/>
        </w:rPr>
        <w:t xml:space="preserve"> </w:t>
      </w:r>
      <w:r w:rsidRPr="001461C4">
        <w:rPr>
          <w:rFonts w:eastAsia="Times New Roman"/>
          <w:color w:val="000000"/>
          <w:szCs w:val="22"/>
          <w:u w:color="000000"/>
          <w:bdr w:val="nil"/>
          <w:lang w:eastAsia="en-GB"/>
        </w:rPr>
        <w:t>be</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 xml:space="preserve">held in Geneva from </w:t>
      </w:r>
      <w:r>
        <w:rPr>
          <w:rFonts w:eastAsia="Times New Roman"/>
          <w:color w:val="000000"/>
          <w:szCs w:val="22"/>
          <w:u w:color="000000"/>
          <w:bdr w:val="nil"/>
          <w:lang w:eastAsia="en-GB"/>
        </w:rPr>
        <w:t>4 to 22 March 2024, and</w:t>
      </w:r>
      <w:r w:rsidRPr="001461C4">
        <w:rPr>
          <w:rFonts w:eastAsia="Times New Roman"/>
          <w:color w:val="000000"/>
          <w:szCs w:val="22"/>
          <w:u w:color="000000"/>
          <w:bdr w:val="nil"/>
          <w:lang w:eastAsia="en-GB"/>
        </w:rPr>
        <w:t xml:space="preserve"> will be followed by the </w:t>
      </w:r>
      <w:r>
        <w:rPr>
          <w:rFonts w:eastAsia="Times New Roman"/>
          <w:color w:val="000000"/>
          <w:szCs w:val="22"/>
          <w:u w:color="000000"/>
          <w:bdr w:val="nil"/>
          <w:lang w:eastAsia="en-GB"/>
        </w:rPr>
        <w:t xml:space="preserve">nineteenth </w:t>
      </w:r>
      <w:r w:rsidRPr="001461C4">
        <w:rPr>
          <w:rFonts w:eastAsia="Times New Roman"/>
          <w:color w:val="000000"/>
          <w:szCs w:val="22"/>
          <w:u w:color="000000"/>
          <w:bdr w:val="nil"/>
          <w:lang w:eastAsia="en-GB"/>
        </w:rPr>
        <w:t>meeting of the pre</w:t>
      </w:r>
      <w:r w:rsidR="005E13C0">
        <w:rPr>
          <w:rFonts w:eastAsia="Times New Roman"/>
          <w:color w:val="000000"/>
          <w:szCs w:val="22"/>
          <w:u w:color="000000"/>
          <w:bdr w:val="nil"/>
          <w:lang w:eastAsia="en-GB"/>
        </w:rPr>
        <w:noBreakHyphen/>
      </w:r>
      <w:r w:rsidRPr="001461C4">
        <w:rPr>
          <w:rFonts w:eastAsia="Times New Roman"/>
          <w:color w:val="000000"/>
          <w:szCs w:val="22"/>
          <w:u w:color="000000"/>
          <w:bdr w:val="nil"/>
          <w:lang w:eastAsia="en-GB"/>
        </w:rPr>
        <w:t xml:space="preserve">sessional working group, from </w:t>
      </w:r>
      <w:bookmarkEnd w:id="1"/>
      <w:r>
        <w:rPr>
          <w:rFonts w:eastAsia="Times New Roman"/>
          <w:color w:val="000000"/>
          <w:szCs w:val="22"/>
          <w:u w:color="000000"/>
          <w:bdr w:val="nil"/>
          <w:lang w:eastAsia="en-GB"/>
        </w:rPr>
        <w:t>25 to 28 March 2024</w:t>
      </w:r>
      <w:r w:rsidRPr="001461C4">
        <w:rPr>
          <w:rFonts w:eastAsia="Times New Roman"/>
          <w:color w:val="000000"/>
          <w:szCs w:val="22"/>
          <w:u w:color="000000"/>
          <w:bdr w:val="nil"/>
          <w:lang w:eastAsia="en-GB"/>
        </w:rPr>
        <w:t>.</w:t>
      </w:r>
    </w:p>
    <w:p w14:paraId="2399F78B" w14:textId="77777777" w:rsidR="00872C78" w:rsidRPr="001461C4" w:rsidRDefault="00872C78" w:rsidP="00872C78">
      <w:pPr>
        <w:pStyle w:val="HChG"/>
      </w:pPr>
      <w:r w:rsidRPr="001461C4">
        <w:tab/>
      </w:r>
      <w:r>
        <w:t>IX</w:t>
      </w:r>
      <w:r w:rsidRPr="001461C4">
        <w:t>.</w:t>
      </w:r>
      <w:r w:rsidRPr="001461C4">
        <w:tab/>
        <w:t>Accessibility of the Committee</w:t>
      </w:r>
      <w:r>
        <w:t>’</w:t>
      </w:r>
      <w:r w:rsidRPr="001461C4">
        <w:t>s meetings</w:t>
      </w:r>
    </w:p>
    <w:p w14:paraId="64BA4392" w14:textId="77777777" w:rsidR="00872C78" w:rsidRPr="001461C4" w:rsidRDefault="00872C78" w:rsidP="00872C78">
      <w:pPr>
        <w:pStyle w:val="SingleTxtG"/>
        <w:rPr>
          <w:rFonts w:eastAsia="Times New Roman"/>
          <w:color w:val="000000"/>
          <w:szCs w:val="22"/>
          <w:u w:color="000000"/>
          <w:bdr w:val="nil"/>
          <w:lang w:eastAsia="en-GB"/>
        </w:rPr>
      </w:pPr>
      <w:r w:rsidRPr="001461C4">
        <w:rPr>
          <w:rFonts w:eastAsia="Times New Roman"/>
          <w:color w:val="000000"/>
          <w:u w:color="000000"/>
          <w:bdr w:val="nil"/>
          <w:lang w:eastAsia="en-GB"/>
        </w:rPr>
        <w:t>1</w:t>
      </w:r>
      <w:r>
        <w:rPr>
          <w:rFonts w:eastAsia="Times New Roman"/>
          <w:color w:val="000000"/>
          <w:u w:color="000000"/>
          <w:bdr w:val="nil"/>
          <w:lang w:eastAsia="en-GB"/>
        </w:rPr>
        <w:t>0</w:t>
      </w:r>
      <w:r w:rsidRPr="001461C4">
        <w:rPr>
          <w:rFonts w:eastAsia="Times New Roman"/>
          <w:color w:val="000000"/>
          <w:u w:color="000000"/>
          <w:bdr w:val="nil"/>
          <w:lang w:eastAsia="en-GB"/>
        </w:rPr>
        <w:t>.</w:t>
      </w:r>
      <w:r w:rsidRPr="001461C4">
        <w:rPr>
          <w:rFonts w:eastAsia="Times New Roman"/>
          <w:color w:val="000000"/>
          <w:u w:color="000000"/>
          <w:bdr w:val="nil"/>
          <w:lang w:eastAsia="en-GB"/>
        </w:rPr>
        <w:tab/>
      </w:r>
      <w:r w:rsidRPr="001461C4">
        <w:rPr>
          <w:rFonts w:eastAsia="Times New Roman"/>
          <w:color w:val="000000"/>
          <w:szCs w:val="22"/>
          <w:u w:color="000000"/>
          <w:bdr w:val="nil"/>
          <w:lang w:eastAsia="en-GB"/>
        </w:rPr>
        <w:t>The twenty-</w:t>
      </w:r>
      <w:r>
        <w:rPr>
          <w:rFonts w:eastAsia="Times New Roman"/>
          <w:color w:val="000000"/>
          <w:szCs w:val="22"/>
          <w:u w:color="000000"/>
          <w:bdr w:val="nil"/>
          <w:lang w:eastAsia="en-GB"/>
        </w:rPr>
        <w:t>ninth</w:t>
      </w:r>
      <w:r w:rsidRPr="001461C4">
        <w:rPr>
          <w:rFonts w:eastAsia="Times New Roman"/>
          <w:color w:val="000000"/>
          <w:szCs w:val="22"/>
          <w:u w:color="000000"/>
          <w:bdr w:val="nil"/>
          <w:lang w:eastAsia="en-GB"/>
        </w:rPr>
        <w:t xml:space="preserve"> session of the Committee was held </w:t>
      </w:r>
      <w:r>
        <w:rPr>
          <w:rFonts w:eastAsia="Times New Roman"/>
          <w:color w:val="000000"/>
          <w:szCs w:val="22"/>
          <w:u w:color="000000"/>
          <w:bdr w:val="nil"/>
          <w:lang w:eastAsia="en-GB"/>
        </w:rPr>
        <w:t>in Geneva,</w:t>
      </w:r>
      <w:r w:rsidRPr="001461C4">
        <w:rPr>
          <w:rFonts w:eastAsia="Times New Roman"/>
          <w:color w:val="000000"/>
          <w:szCs w:val="22"/>
          <w:u w:color="000000"/>
          <w:bdr w:val="nil"/>
          <w:lang w:eastAsia="en-GB"/>
        </w:rPr>
        <w:t xml:space="preserve"> with Committee members </w:t>
      </w:r>
      <w:r>
        <w:rPr>
          <w:rFonts w:eastAsia="Times New Roman"/>
          <w:color w:val="000000"/>
          <w:szCs w:val="22"/>
          <w:u w:color="000000"/>
          <w:bdr w:val="nil"/>
          <w:lang w:eastAsia="en-GB"/>
        </w:rPr>
        <w:t>and</w:t>
      </w:r>
      <w:r w:rsidRPr="001461C4">
        <w:rPr>
          <w:rFonts w:eastAsia="Times New Roman"/>
          <w:color w:val="000000"/>
          <w:szCs w:val="22"/>
          <w:u w:color="000000"/>
          <w:bdr w:val="nil"/>
          <w:lang w:eastAsia="en-GB"/>
        </w:rPr>
        <w:t xml:space="preserve"> delegations of States parties</w:t>
      </w:r>
      <w:r>
        <w:rPr>
          <w:rFonts w:eastAsia="Times New Roman"/>
          <w:color w:val="000000"/>
          <w:szCs w:val="22"/>
          <w:u w:color="000000"/>
          <w:bdr w:val="nil"/>
          <w:lang w:eastAsia="en-GB"/>
        </w:rPr>
        <w:t xml:space="preserve"> participating in person</w:t>
      </w:r>
      <w:r w:rsidRPr="001461C4">
        <w:rPr>
          <w:rFonts w:eastAsia="Times New Roman"/>
          <w:color w:val="000000"/>
          <w:szCs w:val="22"/>
          <w:u w:color="000000"/>
          <w:bdr w:val="nil"/>
          <w:lang w:eastAsia="en-GB"/>
        </w:rPr>
        <w:t>. Stakeholders including organizations of persons with disabilities, civil society organizations, national human</w:t>
      </w:r>
      <w:r w:rsidRPr="001461C4">
        <w:rPr>
          <w:rFonts w:eastAsia="Times New Roman"/>
          <w:color w:val="000000"/>
          <w:spacing w:val="51"/>
          <w:szCs w:val="22"/>
          <w:u w:color="000000"/>
          <w:bdr w:val="nil"/>
          <w:lang w:eastAsia="en-GB"/>
        </w:rPr>
        <w:t xml:space="preserve"> </w:t>
      </w:r>
      <w:r w:rsidRPr="001461C4">
        <w:rPr>
          <w:rFonts w:eastAsia="Times New Roman"/>
          <w:color w:val="000000"/>
          <w:szCs w:val="22"/>
          <w:u w:color="000000"/>
          <w:bdr w:val="nil"/>
          <w:lang w:eastAsia="en-GB"/>
        </w:rPr>
        <w:t>rights</w:t>
      </w:r>
      <w:r>
        <w:rPr>
          <w:rFonts w:eastAsia="Times New Roman"/>
          <w:color w:val="000000"/>
          <w:szCs w:val="22"/>
          <w:u w:color="000000"/>
          <w:bdr w:val="nil"/>
          <w:lang w:eastAsia="en-GB"/>
        </w:rPr>
        <w:t xml:space="preserve"> </w:t>
      </w:r>
      <w:r w:rsidRPr="001461C4">
        <w:rPr>
          <w:rFonts w:eastAsia="Times New Roman"/>
          <w:color w:val="000000"/>
          <w:szCs w:val="22"/>
          <w:u w:color="000000"/>
          <w:bdr w:val="nil"/>
          <w:lang w:eastAsia="en-GB"/>
        </w:rPr>
        <w:t>institutions</w:t>
      </w:r>
      <w:r>
        <w:rPr>
          <w:rFonts w:eastAsia="Times New Roman"/>
          <w:color w:val="000000"/>
          <w:szCs w:val="22"/>
          <w:u w:color="000000"/>
          <w:bdr w:val="nil"/>
          <w:lang w:eastAsia="en-GB"/>
        </w:rPr>
        <w:t>,</w:t>
      </w:r>
      <w:r w:rsidRPr="001461C4">
        <w:rPr>
          <w:rFonts w:eastAsia="Times New Roman"/>
          <w:color w:val="000000"/>
          <w:szCs w:val="22"/>
          <w:u w:color="000000"/>
          <w:bdr w:val="nil"/>
          <w:lang w:eastAsia="en-GB"/>
        </w:rPr>
        <w:t xml:space="preserve"> specialized agencies and other United Nations bodies participated in</w:t>
      </w:r>
      <w:r>
        <w:rPr>
          <w:rFonts w:eastAsia="Times New Roman"/>
          <w:color w:val="000000"/>
          <w:szCs w:val="22"/>
          <w:u w:color="000000"/>
          <w:bdr w:val="nil"/>
          <w:lang w:eastAsia="en-GB"/>
        </w:rPr>
        <w:t xml:space="preserve"> person</w:t>
      </w:r>
      <w:r w:rsidRPr="001461C4">
        <w:rPr>
          <w:rFonts w:eastAsia="Times New Roman"/>
          <w:color w:val="000000"/>
          <w:szCs w:val="22"/>
          <w:u w:color="000000"/>
          <w:bdr w:val="nil"/>
          <w:lang w:eastAsia="en-GB"/>
        </w:rPr>
        <w:t xml:space="preserve"> </w:t>
      </w:r>
      <w:r>
        <w:rPr>
          <w:rFonts w:eastAsia="Times New Roman"/>
          <w:color w:val="000000"/>
          <w:szCs w:val="22"/>
          <w:u w:color="000000"/>
          <w:bdr w:val="nil"/>
          <w:lang w:eastAsia="en-GB"/>
        </w:rPr>
        <w:t>or, exceptionally, online.</w:t>
      </w:r>
      <w:r w:rsidRPr="001461C4">
        <w:rPr>
          <w:rFonts w:eastAsia="Times New Roman"/>
          <w:color w:val="000000"/>
          <w:szCs w:val="22"/>
          <w:u w:color="000000"/>
          <w:bdr w:val="nil"/>
          <w:lang w:eastAsia="en-GB"/>
        </w:rPr>
        <w:t xml:space="preserve"> International Sign interpretation, </w:t>
      </w:r>
      <w:r>
        <w:rPr>
          <w:rFonts w:eastAsia="Times New Roman"/>
          <w:color w:val="000000"/>
          <w:szCs w:val="22"/>
          <w:u w:color="000000"/>
          <w:bdr w:val="nil"/>
          <w:lang w:eastAsia="en-GB"/>
        </w:rPr>
        <w:t>n</w:t>
      </w:r>
      <w:r w:rsidRPr="001461C4">
        <w:rPr>
          <w:rFonts w:eastAsia="Times New Roman"/>
          <w:color w:val="000000"/>
          <w:szCs w:val="22"/>
          <w:u w:color="000000"/>
          <w:bdr w:val="nil"/>
          <w:lang w:eastAsia="en-GB"/>
        </w:rPr>
        <w:t xml:space="preserve">ational </w:t>
      </w:r>
      <w:r>
        <w:rPr>
          <w:rFonts w:eastAsia="Times New Roman"/>
          <w:color w:val="000000"/>
          <w:szCs w:val="22"/>
          <w:u w:color="000000"/>
          <w:bdr w:val="nil"/>
          <w:lang w:eastAsia="en-GB"/>
        </w:rPr>
        <w:t>s</w:t>
      </w:r>
      <w:r w:rsidRPr="001461C4">
        <w:rPr>
          <w:rFonts w:eastAsia="Times New Roman"/>
          <w:color w:val="000000"/>
          <w:szCs w:val="22"/>
          <w:u w:color="000000"/>
          <w:bdr w:val="nil"/>
          <w:lang w:eastAsia="en-GB"/>
        </w:rPr>
        <w:t xml:space="preserve">ign </w:t>
      </w:r>
      <w:r>
        <w:rPr>
          <w:rFonts w:eastAsia="Times New Roman"/>
          <w:color w:val="000000"/>
          <w:szCs w:val="22"/>
          <w:u w:color="000000"/>
          <w:bdr w:val="nil"/>
          <w:lang w:eastAsia="en-GB"/>
        </w:rPr>
        <w:t>l</w:t>
      </w:r>
      <w:r w:rsidRPr="001461C4">
        <w:rPr>
          <w:rFonts w:eastAsia="Times New Roman"/>
          <w:color w:val="000000"/>
          <w:szCs w:val="22"/>
          <w:u w:color="000000"/>
          <w:bdr w:val="nil"/>
          <w:lang w:eastAsia="en-GB"/>
        </w:rPr>
        <w:t>anguage interpretation</w:t>
      </w:r>
      <w:r>
        <w:rPr>
          <w:rFonts w:eastAsia="Times New Roman"/>
          <w:color w:val="000000"/>
          <w:szCs w:val="22"/>
          <w:u w:color="000000"/>
          <w:bdr w:val="nil"/>
          <w:lang w:eastAsia="en-GB"/>
        </w:rPr>
        <w:t xml:space="preserve"> (during the dialogue with two States parties) </w:t>
      </w:r>
      <w:r w:rsidRPr="001461C4">
        <w:rPr>
          <w:rFonts w:eastAsia="Times New Roman"/>
          <w:color w:val="000000"/>
          <w:szCs w:val="22"/>
          <w:u w:color="000000"/>
          <w:bdr w:val="nil"/>
          <w:lang w:eastAsia="en-GB"/>
        </w:rPr>
        <w:t xml:space="preserve">and remote captioning were available. Public meetings were webcast. No plain language or Easy Read versions of documents were available during the session. The software </w:t>
      </w:r>
      <w:r>
        <w:rPr>
          <w:rFonts w:eastAsia="Times New Roman"/>
          <w:color w:val="000000"/>
          <w:szCs w:val="22"/>
          <w:u w:color="000000"/>
          <w:bdr w:val="nil"/>
          <w:lang w:eastAsia="en-GB"/>
        </w:rPr>
        <w:t xml:space="preserve">used </w:t>
      </w:r>
      <w:r w:rsidRPr="001461C4">
        <w:rPr>
          <w:rFonts w:eastAsia="Times New Roman"/>
          <w:color w:val="000000"/>
          <w:szCs w:val="22"/>
          <w:u w:color="000000"/>
          <w:bdr w:val="nil"/>
          <w:lang w:eastAsia="en-GB"/>
        </w:rPr>
        <w:t xml:space="preserve">for </w:t>
      </w:r>
      <w:r>
        <w:rPr>
          <w:rFonts w:eastAsia="Times New Roman"/>
          <w:color w:val="000000"/>
          <w:szCs w:val="22"/>
          <w:u w:color="000000"/>
          <w:bdr w:val="nil"/>
          <w:lang w:eastAsia="en-GB"/>
        </w:rPr>
        <w:t xml:space="preserve">the </w:t>
      </w:r>
      <w:r w:rsidRPr="001461C4">
        <w:rPr>
          <w:rFonts w:eastAsia="Times New Roman"/>
          <w:color w:val="000000"/>
          <w:szCs w:val="22"/>
          <w:u w:color="000000"/>
          <w:bdr w:val="nil"/>
          <w:lang w:eastAsia="en-GB"/>
        </w:rPr>
        <w:t xml:space="preserve">registration of participants </w:t>
      </w:r>
      <w:r>
        <w:rPr>
          <w:rFonts w:eastAsia="Times New Roman"/>
          <w:color w:val="000000"/>
          <w:szCs w:val="22"/>
          <w:u w:color="000000"/>
          <w:bdr w:val="nil"/>
          <w:lang w:eastAsia="en-GB"/>
        </w:rPr>
        <w:t>for</w:t>
      </w:r>
      <w:r w:rsidRPr="001461C4">
        <w:rPr>
          <w:rFonts w:eastAsia="Times New Roman"/>
          <w:color w:val="000000"/>
          <w:szCs w:val="22"/>
          <w:u w:color="000000"/>
          <w:bdr w:val="nil"/>
          <w:lang w:eastAsia="en-GB"/>
        </w:rPr>
        <w:t xml:space="preserve"> the meeting</w:t>
      </w:r>
      <w:r>
        <w:rPr>
          <w:rFonts w:eastAsia="Times New Roman"/>
          <w:color w:val="000000"/>
          <w:szCs w:val="22"/>
          <w:u w:color="000000"/>
          <w:bdr w:val="nil"/>
          <w:lang w:eastAsia="en-GB"/>
        </w:rPr>
        <w:t xml:space="preserve"> (Indico) </w:t>
      </w:r>
      <w:r w:rsidRPr="001461C4">
        <w:rPr>
          <w:rFonts w:eastAsia="Times New Roman"/>
          <w:color w:val="000000"/>
          <w:szCs w:val="22"/>
          <w:u w:color="000000"/>
          <w:bdr w:val="nil"/>
          <w:lang w:eastAsia="en-GB"/>
        </w:rPr>
        <w:t>was not</w:t>
      </w:r>
      <w:r>
        <w:rPr>
          <w:rFonts w:eastAsia="Times New Roman"/>
          <w:color w:val="000000"/>
          <w:szCs w:val="22"/>
          <w:u w:color="000000"/>
          <w:bdr w:val="nil"/>
          <w:lang w:eastAsia="en-GB"/>
        </w:rPr>
        <w:t xml:space="preserve"> fully</w:t>
      </w:r>
      <w:r w:rsidRPr="001461C4">
        <w:rPr>
          <w:rFonts w:eastAsia="Times New Roman"/>
          <w:color w:val="000000"/>
          <w:szCs w:val="22"/>
          <w:u w:color="000000"/>
          <w:bdr w:val="nil"/>
          <w:lang w:eastAsia="en-GB"/>
        </w:rPr>
        <w:t xml:space="preserve"> accessible for participants </w:t>
      </w:r>
      <w:r>
        <w:rPr>
          <w:rFonts w:eastAsia="Times New Roman"/>
          <w:color w:val="000000"/>
          <w:szCs w:val="22"/>
          <w:u w:color="000000"/>
          <w:bdr w:val="nil"/>
          <w:lang w:eastAsia="en-GB"/>
        </w:rPr>
        <w:t xml:space="preserve">with </w:t>
      </w:r>
      <w:r w:rsidRPr="001461C4">
        <w:rPr>
          <w:rFonts w:eastAsia="Times New Roman"/>
          <w:color w:val="000000"/>
          <w:szCs w:val="22"/>
          <w:u w:color="000000"/>
          <w:bdr w:val="nil"/>
          <w:lang w:eastAsia="en-GB"/>
        </w:rPr>
        <w:t xml:space="preserve">visual impairments. Current protocols for vehicles entering </w:t>
      </w:r>
      <w:r>
        <w:rPr>
          <w:rFonts w:eastAsia="Times New Roman"/>
          <w:color w:val="000000"/>
          <w:szCs w:val="22"/>
          <w:u w:color="000000"/>
          <w:bdr w:val="nil"/>
          <w:lang w:eastAsia="en-GB"/>
        </w:rPr>
        <w:t xml:space="preserve">the </w:t>
      </w:r>
      <w:r w:rsidRPr="001461C4">
        <w:rPr>
          <w:rFonts w:eastAsia="Times New Roman"/>
          <w:color w:val="000000"/>
          <w:szCs w:val="22"/>
          <w:u w:color="000000"/>
          <w:bdr w:val="nil"/>
          <w:lang w:eastAsia="en-GB"/>
        </w:rPr>
        <w:t xml:space="preserve">Palais des Nations </w:t>
      </w:r>
      <w:r>
        <w:rPr>
          <w:rFonts w:eastAsia="Times New Roman"/>
          <w:color w:val="000000"/>
          <w:szCs w:val="22"/>
          <w:u w:color="000000"/>
          <w:bdr w:val="nil"/>
          <w:lang w:eastAsia="en-GB"/>
        </w:rPr>
        <w:t>continued to</w:t>
      </w:r>
      <w:r w:rsidRPr="001461C4">
        <w:rPr>
          <w:rFonts w:eastAsia="Times New Roman"/>
          <w:color w:val="000000"/>
          <w:szCs w:val="22"/>
          <w:u w:color="000000"/>
          <w:bdr w:val="nil"/>
          <w:lang w:eastAsia="en-GB"/>
        </w:rPr>
        <w:t xml:space="preserve"> pose barriers </w:t>
      </w:r>
      <w:r>
        <w:rPr>
          <w:rFonts w:eastAsia="Times New Roman"/>
          <w:color w:val="000000"/>
          <w:szCs w:val="22"/>
          <w:u w:color="000000"/>
          <w:bdr w:val="nil"/>
          <w:lang w:eastAsia="en-GB"/>
        </w:rPr>
        <w:t>for</w:t>
      </w:r>
      <w:r w:rsidRPr="001461C4">
        <w:rPr>
          <w:rFonts w:eastAsia="Times New Roman"/>
          <w:color w:val="000000"/>
          <w:szCs w:val="22"/>
          <w:u w:color="000000"/>
          <w:bdr w:val="nil"/>
          <w:lang w:eastAsia="en-GB"/>
        </w:rPr>
        <w:t xml:space="preserve"> </w:t>
      </w:r>
      <w:r>
        <w:rPr>
          <w:rFonts w:eastAsia="Times New Roman"/>
          <w:color w:val="000000"/>
          <w:szCs w:val="22"/>
          <w:u w:color="000000"/>
          <w:bdr w:val="nil"/>
          <w:lang w:eastAsia="en-GB"/>
        </w:rPr>
        <w:t>participants</w:t>
      </w:r>
      <w:r w:rsidRPr="001461C4">
        <w:rPr>
          <w:rFonts w:eastAsia="Times New Roman"/>
          <w:color w:val="000000"/>
          <w:szCs w:val="22"/>
          <w:u w:color="000000"/>
          <w:bdr w:val="nil"/>
          <w:lang w:eastAsia="en-GB"/>
        </w:rPr>
        <w:t xml:space="preserve"> with disabilities who require</w:t>
      </w:r>
      <w:r>
        <w:rPr>
          <w:rFonts w:eastAsia="Times New Roman"/>
          <w:color w:val="000000"/>
          <w:szCs w:val="22"/>
          <w:u w:color="000000"/>
          <w:bdr w:val="nil"/>
          <w:lang w:eastAsia="en-GB"/>
        </w:rPr>
        <w:t>d</w:t>
      </w:r>
      <w:r w:rsidRPr="001461C4">
        <w:rPr>
          <w:rFonts w:eastAsia="Times New Roman"/>
          <w:color w:val="000000"/>
          <w:szCs w:val="22"/>
          <w:u w:color="000000"/>
          <w:bdr w:val="nil"/>
          <w:lang w:eastAsia="en-GB"/>
        </w:rPr>
        <w:t xml:space="preserve"> accessible transportation. Reasonable accommodation, including in the organization of travel </w:t>
      </w:r>
      <w:r>
        <w:rPr>
          <w:rFonts w:eastAsia="Times New Roman"/>
          <w:color w:val="000000"/>
          <w:szCs w:val="22"/>
          <w:u w:color="000000"/>
          <w:bdr w:val="nil"/>
          <w:lang w:eastAsia="en-GB"/>
        </w:rPr>
        <w:t>for Committee</w:t>
      </w:r>
      <w:r w:rsidRPr="001461C4">
        <w:rPr>
          <w:rFonts w:eastAsia="Times New Roman"/>
          <w:color w:val="000000"/>
          <w:szCs w:val="22"/>
          <w:u w:color="000000"/>
          <w:bdr w:val="nil"/>
          <w:lang w:eastAsia="en-GB"/>
        </w:rPr>
        <w:t xml:space="preserve"> members with disabilities, </w:t>
      </w:r>
      <w:r>
        <w:rPr>
          <w:rFonts w:eastAsia="Times New Roman"/>
          <w:color w:val="000000"/>
          <w:szCs w:val="22"/>
          <w:u w:color="000000"/>
          <w:bdr w:val="nil"/>
          <w:lang w:eastAsia="en-GB"/>
        </w:rPr>
        <w:t>continued to be</w:t>
      </w:r>
      <w:r w:rsidRPr="001461C4">
        <w:rPr>
          <w:rFonts w:eastAsia="Times New Roman"/>
          <w:color w:val="000000"/>
          <w:szCs w:val="22"/>
          <w:u w:color="000000"/>
          <w:bdr w:val="nil"/>
          <w:lang w:eastAsia="en-GB"/>
        </w:rPr>
        <w:t xml:space="preserve"> developed.</w:t>
      </w:r>
    </w:p>
    <w:p w14:paraId="58BF1B18" w14:textId="77777777" w:rsidR="00872C78" w:rsidRPr="001461C4" w:rsidRDefault="00872C78" w:rsidP="00872C78">
      <w:pPr>
        <w:pStyle w:val="HChG"/>
      </w:pPr>
      <w:r w:rsidRPr="001461C4">
        <w:tab/>
        <w:t>X.</w:t>
      </w:r>
      <w:r w:rsidRPr="001461C4">
        <w:tab/>
        <w:t>Cooperation with relevant bodies</w:t>
      </w:r>
    </w:p>
    <w:p w14:paraId="367F4681" w14:textId="77777777" w:rsidR="00872C78" w:rsidRPr="001461C4" w:rsidRDefault="00872C78" w:rsidP="00872C78">
      <w:pPr>
        <w:pStyle w:val="H1G"/>
      </w:pPr>
      <w:r w:rsidRPr="001461C4">
        <w:tab/>
        <w:t>A.</w:t>
      </w:r>
      <w:r w:rsidRPr="001461C4">
        <w:tab/>
        <w:t>Cooperation with United Nations organs and specialized agencies</w:t>
      </w:r>
    </w:p>
    <w:p w14:paraId="4BC09416" w14:textId="77777777" w:rsidR="00872C78" w:rsidRPr="001461C4" w:rsidRDefault="00872C78" w:rsidP="00872C78">
      <w:pPr>
        <w:pStyle w:val="SingleTxtG"/>
      </w:pPr>
      <w:r w:rsidRPr="001461C4">
        <w:t>1</w:t>
      </w:r>
      <w:r>
        <w:t>1</w:t>
      </w:r>
      <w:r w:rsidRPr="001461C4">
        <w:t>.</w:t>
      </w:r>
      <w:r w:rsidRPr="001461C4">
        <w:tab/>
      </w:r>
      <w:r w:rsidRPr="001461C4">
        <w:rPr>
          <w:rFonts w:eastAsia="Times New Roman"/>
          <w:color w:val="000000"/>
          <w:szCs w:val="22"/>
          <w:u w:color="000000"/>
          <w:bdr w:val="nil"/>
          <w:lang w:eastAsia="en-GB"/>
        </w:rPr>
        <w:t>At</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the</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opening</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meeting</w:t>
      </w:r>
      <w:r w:rsidRPr="001461C4">
        <w:rPr>
          <w:rFonts w:eastAsia="Times New Roman"/>
          <w:color w:val="000000"/>
          <w:spacing w:val="49"/>
          <w:szCs w:val="22"/>
          <w:u w:color="000000"/>
          <w:bdr w:val="nil"/>
          <w:lang w:eastAsia="en-GB"/>
        </w:rPr>
        <w:t xml:space="preserve"> </w:t>
      </w:r>
      <w:r w:rsidRPr="001461C4">
        <w:rPr>
          <w:rFonts w:eastAsia="Times New Roman"/>
          <w:color w:val="000000"/>
          <w:szCs w:val="22"/>
          <w:u w:color="000000"/>
          <w:bdr w:val="nil"/>
          <w:lang w:eastAsia="en-GB"/>
        </w:rPr>
        <w:t>of</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the</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session</w:t>
      </w:r>
      <w:r>
        <w:rPr>
          <w:rFonts w:eastAsia="Times New Roman"/>
          <w:color w:val="000000"/>
          <w:szCs w:val="22"/>
          <w:u w:color="000000"/>
          <w:bdr w:val="nil"/>
          <w:lang w:eastAsia="en-GB"/>
        </w:rPr>
        <w:t>, the Special Rapporteur on the rights of persons with disabilities, the Chair of the Committee on the Rights of the Child and t</w:t>
      </w:r>
      <w:r w:rsidRPr="002A5467">
        <w:rPr>
          <w:rFonts w:eastAsia="Times New Roman"/>
          <w:color w:val="000000"/>
          <w:szCs w:val="22"/>
          <w:u w:color="000000"/>
          <w:bdr w:val="nil"/>
          <w:lang w:eastAsia="en-GB"/>
        </w:rPr>
        <w:t xml:space="preserve">he Chair of the task force </w:t>
      </w:r>
      <w:r w:rsidRPr="000C3622">
        <w:rPr>
          <w:rFonts w:eastAsia="Times New Roman"/>
          <w:color w:val="000000"/>
          <w:szCs w:val="22"/>
          <w:u w:color="000000"/>
          <w:bdr w:val="nil"/>
          <w:lang w:eastAsia="en-GB"/>
        </w:rPr>
        <w:t>on secretariat services,</w:t>
      </w:r>
      <w:r w:rsidRPr="002A5467">
        <w:rPr>
          <w:rFonts w:eastAsia="Times New Roman"/>
          <w:color w:val="000000"/>
          <w:szCs w:val="22"/>
          <w:u w:color="000000"/>
          <w:bdr w:val="nil"/>
          <w:lang w:eastAsia="en-GB"/>
        </w:rPr>
        <w:t xml:space="preserve"> accessibility for persons with disabilities </w:t>
      </w:r>
      <w:r w:rsidRPr="000C3622">
        <w:rPr>
          <w:rFonts w:eastAsia="Times New Roman"/>
          <w:color w:val="000000"/>
          <w:szCs w:val="22"/>
          <w:u w:color="000000"/>
          <w:bdr w:val="nil"/>
          <w:lang w:eastAsia="en-GB"/>
        </w:rPr>
        <w:t xml:space="preserve">and use of information technology </w:t>
      </w:r>
      <w:r w:rsidRPr="002A5467">
        <w:rPr>
          <w:rFonts w:eastAsia="Times New Roman"/>
          <w:color w:val="000000"/>
          <w:szCs w:val="22"/>
          <w:u w:color="000000"/>
          <w:bdr w:val="nil"/>
          <w:lang w:eastAsia="en-GB"/>
        </w:rPr>
        <w:t>of the Human Rights Council</w:t>
      </w:r>
      <w:r>
        <w:rPr>
          <w:rFonts w:eastAsia="Times New Roman"/>
          <w:color w:val="000000"/>
          <w:szCs w:val="22"/>
          <w:u w:color="000000"/>
          <w:bdr w:val="nil"/>
          <w:lang w:eastAsia="en-GB"/>
        </w:rPr>
        <w:t xml:space="preserve"> made statements. The Committee’s working group on women and girls with disabilities met with a representative of the </w:t>
      </w:r>
      <w:r w:rsidRPr="00B6675C">
        <w:rPr>
          <w:rFonts w:eastAsia="Times New Roman"/>
          <w:color w:val="000000"/>
          <w:szCs w:val="22"/>
          <w:u w:color="000000"/>
          <w:bdr w:val="nil"/>
          <w:lang w:eastAsia="en-GB"/>
        </w:rPr>
        <w:t>Technical Secretariat</w:t>
      </w:r>
      <w:r w:rsidRPr="009E7B2A">
        <w:rPr>
          <w:rFonts w:eastAsia="Times New Roman"/>
          <w:b/>
          <w:bCs/>
          <w:color w:val="000000"/>
          <w:szCs w:val="22"/>
          <w:u w:color="000000"/>
          <w:bdr w:val="nil"/>
          <w:lang w:eastAsia="en-GB"/>
        </w:rPr>
        <w:t xml:space="preserve"> </w:t>
      </w:r>
      <w:r>
        <w:rPr>
          <w:rFonts w:eastAsia="Times New Roman"/>
          <w:color w:val="000000"/>
          <w:szCs w:val="22"/>
          <w:u w:color="000000"/>
          <w:bdr w:val="nil"/>
          <w:lang w:eastAsia="en-GB"/>
        </w:rPr>
        <w:t>of the United Nations Partnership on the Rights of Persons with Disabilities</w:t>
      </w:r>
      <w:r w:rsidRPr="00DB059D">
        <w:rPr>
          <w:rFonts w:eastAsia="Times New Roman"/>
          <w:color w:val="000000"/>
          <w:szCs w:val="22"/>
          <w:u w:color="000000"/>
          <w:bdr w:val="nil"/>
          <w:lang w:eastAsia="en-GB"/>
        </w:rPr>
        <w:t xml:space="preserve"> </w:t>
      </w:r>
      <w:r>
        <w:rPr>
          <w:rFonts w:eastAsia="Times New Roman"/>
          <w:color w:val="000000"/>
          <w:szCs w:val="22"/>
          <w:u w:color="000000"/>
          <w:bdr w:val="nil"/>
          <w:lang w:eastAsia="en-GB"/>
        </w:rPr>
        <w:t xml:space="preserve">to discuss using the Partnership’s </w:t>
      </w:r>
      <w:r w:rsidRPr="00DB059D">
        <w:rPr>
          <w:rFonts w:eastAsia="Times New Roman"/>
          <w:color w:val="000000"/>
          <w:szCs w:val="22"/>
          <w:u w:color="000000"/>
          <w:bdr w:val="nil"/>
          <w:lang w:val="en-US" w:eastAsia="en-GB"/>
        </w:rPr>
        <w:t xml:space="preserve">Intersectionality Resource Guide and Toolkit and </w:t>
      </w:r>
      <w:r>
        <w:rPr>
          <w:rFonts w:eastAsia="Times New Roman"/>
          <w:color w:val="000000"/>
          <w:szCs w:val="22"/>
          <w:u w:color="000000"/>
          <w:bdr w:val="nil"/>
          <w:lang w:val="en-US" w:eastAsia="en-GB"/>
        </w:rPr>
        <w:t>its i</w:t>
      </w:r>
      <w:r w:rsidRPr="00DB059D">
        <w:rPr>
          <w:rFonts w:eastAsia="Times New Roman"/>
          <w:color w:val="000000"/>
          <w:szCs w:val="22"/>
          <w:u w:color="000000"/>
          <w:bdr w:val="nil"/>
          <w:lang w:val="en-US" w:eastAsia="en-GB"/>
        </w:rPr>
        <w:t xml:space="preserve">nclusive </w:t>
      </w:r>
      <w:r>
        <w:rPr>
          <w:rFonts w:eastAsia="Times New Roman"/>
          <w:color w:val="000000"/>
          <w:szCs w:val="22"/>
          <w:u w:color="000000"/>
          <w:bdr w:val="nil"/>
          <w:lang w:val="en-US" w:eastAsia="en-GB"/>
        </w:rPr>
        <w:t>g</w:t>
      </w:r>
      <w:r w:rsidRPr="00DB059D">
        <w:rPr>
          <w:rFonts w:eastAsia="Times New Roman"/>
          <w:color w:val="000000"/>
          <w:szCs w:val="22"/>
          <w:u w:color="000000"/>
          <w:bdr w:val="nil"/>
          <w:lang w:val="en-US" w:eastAsia="en-GB"/>
        </w:rPr>
        <w:t xml:space="preserve">ender </w:t>
      </w:r>
      <w:r>
        <w:rPr>
          <w:rFonts w:eastAsia="Times New Roman"/>
          <w:color w:val="000000"/>
          <w:szCs w:val="22"/>
          <w:u w:color="000000"/>
          <w:bdr w:val="nil"/>
          <w:lang w:val="en-US" w:eastAsia="en-GB"/>
        </w:rPr>
        <w:t>t</w:t>
      </w:r>
      <w:r w:rsidRPr="00DB059D">
        <w:rPr>
          <w:rFonts w:eastAsia="Times New Roman"/>
          <w:color w:val="000000"/>
          <w:szCs w:val="22"/>
          <w:u w:color="000000"/>
          <w:bdr w:val="nil"/>
          <w:lang w:val="en-US" w:eastAsia="en-GB"/>
        </w:rPr>
        <w:t xml:space="preserve">ransformative </w:t>
      </w:r>
      <w:r>
        <w:rPr>
          <w:rFonts w:eastAsia="Times New Roman"/>
          <w:color w:val="000000"/>
          <w:szCs w:val="22"/>
          <w:u w:color="000000"/>
          <w:bdr w:val="nil"/>
          <w:lang w:val="en-US" w:eastAsia="en-GB"/>
        </w:rPr>
        <w:t>a</w:t>
      </w:r>
      <w:r w:rsidRPr="00DB059D">
        <w:rPr>
          <w:rFonts w:eastAsia="Times New Roman"/>
          <w:color w:val="000000"/>
          <w:szCs w:val="22"/>
          <w:u w:color="000000"/>
          <w:bdr w:val="nil"/>
          <w:lang w:val="en-US" w:eastAsia="en-GB"/>
        </w:rPr>
        <w:t>pproach.</w:t>
      </w:r>
      <w:r>
        <w:rPr>
          <w:rFonts w:eastAsia="Times New Roman"/>
          <w:color w:val="000000"/>
          <w:szCs w:val="22"/>
          <w:u w:color="000000"/>
          <w:bdr w:val="nil"/>
          <w:lang w:val="en-US" w:eastAsia="en-GB"/>
        </w:rPr>
        <w:t xml:space="preserve"> At a side event, a representative of the World Health Organization addressed the Committee on that Organization’s initiative on health equity for persons with disabilities.</w:t>
      </w:r>
    </w:p>
    <w:p w14:paraId="35FDE5F0" w14:textId="77777777" w:rsidR="00872C78" w:rsidRPr="001461C4" w:rsidRDefault="00872C78" w:rsidP="00872C78">
      <w:pPr>
        <w:pStyle w:val="H1G"/>
      </w:pPr>
      <w:r w:rsidRPr="001461C4">
        <w:tab/>
        <w:t>B.</w:t>
      </w:r>
      <w:r w:rsidRPr="001461C4">
        <w:tab/>
        <w:t>Cooperation with non-governmental organizations and other bodies</w:t>
      </w:r>
    </w:p>
    <w:p w14:paraId="686AE8C6" w14:textId="77777777" w:rsidR="00872C78" w:rsidRDefault="00872C78" w:rsidP="00872C78">
      <w:pPr>
        <w:pStyle w:val="SingleTxtG"/>
      </w:pPr>
      <w:bookmarkStart w:id="2" w:name="_Hlk116468294"/>
      <w:r w:rsidRPr="00E1130E">
        <w:t>1</w:t>
      </w:r>
      <w:r>
        <w:t>2</w:t>
      </w:r>
      <w:r w:rsidRPr="00E1130E">
        <w:t>.</w:t>
      </w:r>
      <w:r w:rsidRPr="00E1130E">
        <w:tab/>
        <w:t xml:space="preserve">At the opening meeting of the session, the Committee was addressed by </w:t>
      </w:r>
      <w:r w:rsidRPr="00E1130E">
        <w:rPr>
          <w:rFonts w:eastAsia="Times New Roman"/>
          <w:color w:val="000000"/>
          <w:szCs w:val="22"/>
          <w:u w:color="000000"/>
          <w:bdr w:val="nil"/>
          <w:lang w:eastAsia="en-GB"/>
        </w:rPr>
        <w:t>representatives</w:t>
      </w:r>
      <w:r w:rsidRPr="00E1130E">
        <w:t xml:space="preserve"> of the </w:t>
      </w:r>
      <w:r w:rsidRPr="005C0FBA">
        <w:t>International Disability Alliance</w:t>
      </w:r>
      <w:r w:rsidRPr="00E1130E">
        <w:t xml:space="preserve">, </w:t>
      </w:r>
      <w:r>
        <w:t>t</w:t>
      </w:r>
      <w:r w:rsidRPr="002A5467">
        <w:t>he Center for the Human Rights of Users and Survivors of Psychiatry</w:t>
      </w:r>
      <w:r>
        <w:t xml:space="preserve"> and the </w:t>
      </w:r>
      <w:r w:rsidRPr="002A5467">
        <w:t xml:space="preserve">Association for Inclusion </w:t>
      </w:r>
      <w:r>
        <w:t>(</w:t>
      </w:r>
      <w:r w:rsidRPr="002A5467">
        <w:t>Japan</w:t>
      </w:r>
      <w:r>
        <w:t xml:space="preserve">). The Global Coalition on Deinstitutionalization and several persons with disabilities made statements during the panel discussion on deinstitutionalization held on 18 August 2023. The Centre for the Human Rights of Users and Survivors of Psychiatry organized a side event on </w:t>
      </w:r>
      <w:r w:rsidRPr="007A00D8">
        <w:t>dismantling the medical model of psychosocial disability</w:t>
      </w:r>
      <w:r>
        <w:t>,</w:t>
      </w:r>
      <w:r w:rsidRPr="007A00D8">
        <w:t xml:space="preserve"> building on the </w:t>
      </w:r>
      <w:r>
        <w:t xml:space="preserve">Committee’s </w:t>
      </w:r>
      <w:r w:rsidRPr="007A00D8">
        <w:t>guidelines</w:t>
      </w:r>
      <w:r w:rsidRPr="00111BF8">
        <w:t xml:space="preserve"> </w:t>
      </w:r>
      <w:r>
        <w:t>on deinstitutionalization</w:t>
      </w:r>
      <w:r w:rsidRPr="00111BF8">
        <w:t>, including in emergencies</w:t>
      </w:r>
      <w:r>
        <w:t>.</w:t>
      </w:r>
      <w:r w:rsidRPr="008A30E4">
        <w:rPr>
          <w:rStyle w:val="FootnoteReference"/>
        </w:rPr>
        <w:footnoteReference w:id="8"/>
      </w:r>
      <w:r>
        <w:t xml:space="preserve"> Validity Foundation</w:t>
      </w:r>
      <w:r w:rsidRPr="007D76CD">
        <w:t xml:space="preserve"> – Mental Disability Advocacy Centre</w:t>
      </w:r>
      <w:r>
        <w:t>, Fight for Right (Ukraine) and Disability Rights International organized a side event on recovery in Ukraine and</w:t>
      </w:r>
      <w:r w:rsidRPr="007A00D8">
        <w:t xml:space="preserve"> humanitarian donors’ obligations to ensure inclusion, not institution</w:t>
      </w:r>
      <w:r>
        <w:t>alization,</w:t>
      </w:r>
      <w:r w:rsidRPr="007A00D8">
        <w:t xml:space="preserve"> for persons with disabilities</w:t>
      </w:r>
      <w:r>
        <w:t>. Fundación Saraki offered Committee members pro bono training in the use of the inclusion dashboard it had developed, which would allow them to manage better the information submitted to the Committee and made available on the Committee’s public website.</w:t>
      </w:r>
    </w:p>
    <w:bookmarkEnd w:id="2"/>
    <w:p w14:paraId="6870E3CC" w14:textId="77777777" w:rsidR="00872C78" w:rsidRPr="001461C4" w:rsidRDefault="00872C78" w:rsidP="00872C78">
      <w:pPr>
        <w:pStyle w:val="SingleTxtG"/>
      </w:pPr>
      <w:r w:rsidRPr="001461C4">
        <w:t>1</w:t>
      </w:r>
      <w:r>
        <w:t>3</w:t>
      </w:r>
      <w:r w:rsidRPr="001461C4">
        <w:t>.</w:t>
      </w:r>
      <w:r w:rsidRPr="001461C4">
        <w:tab/>
      </w:r>
      <w:r>
        <w:t>R</w:t>
      </w:r>
      <w:r w:rsidRPr="001461C4">
        <w:t xml:space="preserve">epresentatives of the </w:t>
      </w:r>
      <w:r>
        <w:t>i</w:t>
      </w:r>
      <w:r w:rsidRPr="001461C4">
        <w:t xml:space="preserve">ndependent </w:t>
      </w:r>
      <w:r>
        <w:t>m</w:t>
      </w:r>
      <w:r w:rsidRPr="001461C4">
        <w:t xml:space="preserve">onitoring </w:t>
      </w:r>
      <w:r>
        <w:t>m</w:t>
      </w:r>
      <w:r w:rsidRPr="001461C4">
        <w:t>echanism</w:t>
      </w:r>
      <w:r>
        <w:t>s</w:t>
      </w:r>
      <w:r w:rsidRPr="001461C4">
        <w:t xml:space="preserve"> of </w:t>
      </w:r>
      <w:r>
        <w:t>Austria</w:t>
      </w:r>
      <w:r w:rsidRPr="001461C4">
        <w:t xml:space="preserve"> </w:t>
      </w:r>
      <w:r>
        <w:t xml:space="preserve">and Germany </w:t>
      </w:r>
      <w:r w:rsidRPr="001461C4">
        <w:t>and the national human rights institution</w:t>
      </w:r>
      <w:r>
        <w:t>s</w:t>
      </w:r>
      <w:r w:rsidRPr="001461C4">
        <w:t xml:space="preserve"> of </w:t>
      </w:r>
      <w:r>
        <w:t xml:space="preserve">Austria, Mauritania and Mongolia </w:t>
      </w:r>
      <w:r w:rsidRPr="001461C4">
        <w:t>participated in the Committee</w:t>
      </w:r>
      <w:r>
        <w:t>’</w:t>
      </w:r>
      <w:r w:rsidRPr="001461C4">
        <w:t xml:space="preserve">s public review of the </w:t>
      </w:r>
      <w:r>
        <w:t xml:space="preserve">reports of their respective countries. </w:t>
      </w:r>
      <w:r w:rsidRPr="001461C4">
        <w:t xml:space="preserve">During the private meetings on country situations, the </w:t>
      </w:r>
      <w:r w:rsidRPr="001461C4">
        <w:rPr>
          <w:rFonts w:eastAsia="Times New Roman"/>
          <w:color w:val="000000"/>
          <w:szCs w:val="22"/>
          <w:u w:color="000000"/>
          <w:bdr w:val="nil"/>
          <w:lang w:eastAsia="en-GB"/>
        </w:rPr>
        <w:t>Committee</w:t>
      </w:r>
      <w:r w:rsidRPr="001461C4">
        <w:t xml:space="preserve"> had the opportunity to gather information </w:t>
      </w:r>
      <w:r>
        <w:t xml:space="preserve">from </w:t>
      </w:r>
      <w:r w:rsidRPr="001461C4">
        <w:t xml:space="preserve">and interact with several organizations of persons with disabilities, civil society organizations and independent monitoring </w:t>
      </w:r>
      <w:r>
        <w:t>mechanisms</w:t>
      </w:r>
      <w:r w:rsidRPr="001461C4">
        <w:t>, including national human rights institutions.</w:t>
      </w:r>
    </w:p>
    <w:p w14:paraId="4DDFEA37" w14:textId="77777777" w:rsidR="00872C78" w:rsidRDefault="00872C78" w:rsidP="00872C78">
      <w:pPr>
        <w:pStyle w:val="SingleTxtG"/>
      </w:pPr>
      <w:r>
        <w:t>14.</w:t>
      </w:r>
      <w:r>
        <w:tab/>
      </w:r>
      <w:r w:rsidRPr="001461C4">
        <w:t xml:space="preserve">At the closing meeting of the session, </w:t>
      </w:r>
      <w:r>
        <w:t>the</w:t>
      </w:r>
      <w:r w:rsidRPr="003A090D">
        <w:t xml:space="preserve"> </w:t>
      </w:r>
      <w:r>
        <w:t xml:space="preserve">disability rights specialist of the Rapporteurship on the Rights of Persons with Disabilities of the Inter-American Commission on Human Rights, the Secretary of the Committee </w:t>
      </w:r>
      <w:r w:rsidRPr="003A090D">
        <w:t>for the Elimination of All Forms of Discrimination against Persons with Disabilities</w:t>
      </w:r>
      <w:r w:rsidRPr="00EE03FE">
        <w:t xml:space="preserve"> </w:t>
      </w:r>
      <w:r>
        <w:t>of the Organization of American States, a representative of</w:t>
      </w:r>
      <w:r w:rsidRPr="001B37FC">
        <w:t xml:space="preserve"> the judicial branch of the Province of Buenos Aires, Argentina</w:t>
      </w:r>
      <w:r>
        <w:t xml:space="preserve">, and a representative of </w:t>
      </w:r>
      <w:r w:rsidRPr="001461C4">
        <w:t xml:space="preserve">the </w:t>
      </w:r>
      <w:r w:rsidRPr="00F1292E">
        <w:t>International Disability Alliance</w:t>
      </w:r>
      <w:r>
        <w:t xml:space="preserve"> </w:t>
      </w:r>
      <w:r w:rsidRPr="001461C4">
        <w:t>addressed the Committee</w:t>
      </w:r>
      <w:r>
        <w:t>.</w:t>
      </w:r>
    </w:p>
    <w:p w14:paraId="22292968" w14:textId="04C3B21A" w:rsidR="00872C78" w:rsidRPr="001461C4" w:rsidRDefault="00872C78" w:rsidP="00872C78">
      <w:pPr>
        <w:pStyle w:val="HChG"/>
      </w:pPr>
      <w:r>
        <w:tab/>
      </w:r>
      <w:r w:rsidRPr="001461C4">
        <w:t>X</w:t>
      </w:r>
      <w:r>
        <w:t>I</w:t>
      </w:r>
      <w:r w:rsidRPr="001461C4">
        <w:t>.</w:t>
      </w:r>
      <w:r w:rsidRPr="001461C4">
        <w:tab/>
        <w:t>Consideration of reports submitted in accordance with article</w:t>
      </w:r>
      <w:r w:rsidR="00C74A8A">
        <w:t> </w:t>
      </w:r>
      <w:r w:rsidRPr="001461C4">
        <w:t>35 of the Convention</w:t>
      </w:r>
    </w:p>
    <w:p w14:paraId="20264410" w14:textId="77777777" w:rsidR="00872C78" w:rsidRPr="00076588" w:rsidRDefault="00872C78" w:rsidP="00872C78">
      <w:pPr>
        <w:pStyle w:val="SingleTxtG"/>
        <w:rPr>
          <w:b/>
        </w:rPr>
      </w:pPr>
      <w:r w:rsidRPr="00E84C2C">
        <w:t>1</w:t>
      </w:r>
      <w:r>
        <w:t>5</w:t>
      </w:r>
      <w:r w:rsidRPr="00E84C2C">
        <w:t>.</w:t>
      </w:r>
      <w:r w:rsidRPr="00E84C2C">
        <w:tab/>
      </w:r>
      <w:r w:rsidRPr="000A7A2A">
        <w:t xml:space="preserve">The Committee held </w:t>
      </w:r>
      <w:r>
        <w:t>eight</w:t>
      </w:r>
      <w:r w:rsidRPr="000A7A2A">
        <w:t xml:space="preserve"> constructive dialogues</w:t>
      </w:r>
      <w:r>
        <w:t>,</w:t>
      </w:r>
      <w:r w:rsidRPr="000A7A2A">
        <w:t xml:space="preserve"> </w:t>
      </w:r>
      <w:r>
        <w:t>all of which were</w:t>
      </w:r>
      <w:r w:rsidRPr="000A7A2A">
        <w:t xml:space="preserve"> held in person</w:t>
      </w:r>
      <w:r w:rsidRPr="00002D80">
        <w:t>.</w:t>
      </w:r>
      <w:r w:rsidRPr="000A7A2A">
        <w:t xml:space="preserve"> The Committee considered the initial reports of </w:t>
      </w:r>
      <w:r>
        <w:t>Andorra, Israel and Mauritania,</w:t>
      </w:r>
      <w:r w:rsidRPr="008A30E4">
        <w:rPr>
          <w:rStyle w:val="FootnoteReference"/>
        </w:rPr>
        <w:footnoteReference w:id="9"/>
      </w:r>
      <w:r w:rsidRPr="003B68C1">
        <w:t xml:space="preserve"> </w:t>
      </w:r>
      <w:r w:rsidRPr="00A10C23">
        <w:t>t</w:t>
      </w:r>
      <w:r>
        <w:t>he c</w:t>
      </w:r>
      <w:r w:rsidRPr="00A10C23">
        <w:t>ombined initial and second periodic reports</w:t>
      </w:r>
      <w:r w:rsidRPr="007F4B81">
        <w:t xml:space="preserve"> </w:t>
      </w:r>
      <w:r>
        <w:t>Malawi</w:t>
      </w:r>
      <w:r w:rsidRPr="008A30E4">
        <w:rPr>
          <w:rStyle w:val="FootnoteReference"/>
        </w:rPr>
        <w:footnoteReference w:id="10"/>
      </w:r>
      <w:r>
        <w:t xml:space="preserve"> and </w:t>
      </w:r>
      <w:r w:rsidRPr="000A7A2A">
        <w:t xml:space="preserve">the combined second and third periodic reports of </w:t>
      </w:r>
      <w:r>
        <w:t>Austria, Germany, Mongolia and Paraguay</w:t>
      </w:r>
      <w:r w:rsidRPr="000A7A2A">
        <w:t>.</w:t>
      </w:r>
      <w:r w:rsidRPr="008A30E4">
        <w:rPr>
          <w:rStyle w:val="FootnoteReference"/>
        </w:rPr>
        <w:footnoteReference w:id="11"/>
      </w:r>
      <w:r w:rsidRPr="003B68C1">
        <w:t xml:space="preserve"> </w:t>
      </w:r>
      <w:bookmarkStart w:id="3" w:name="_Hlk116475971"/>
      <w:r>
        <w:t>It</w:t>
      </w:r>
      <w:r w:rsidRPr="000A7A2A">
        <w:t xml:space="preserve"> adopted concluding observations </w:t>
      </w:r>
      <w:r>
        <w:t>in relation to</w:t>
      </w:r>
      <w:r w:rsidRPr="000A7A2A">
        <w:t xml:space="preserve"> those reports.</w:t>
      </w:r>
      <w:r w:rsidRPr="008A30E4">
        <w:rPr>
          <w:rStyle w:val="FootnoteReference"/>
        </w:rPr>
        <w:footnoteReference w:id="12"/>
      </w:r>
      <w:r w:rsidRPr="003B68C1">
        <w:t xml:space="preserve"> </w:t>
      </w:r>
      <w:bookmarkStart w:id="4" w:name="_Hlk116475963"/>
      <w:r w:rsidRPr="000A7A2A">
        <w:t>A list of States parties whose initial reports are more than five years overdue may be found in annex II to the present report.</w:t>
      </w:r>
      <w:bookmarkEnd w:id="3"/>
      <w:bookmarkEnd w:id="4"/>
    </w:p>
    <w:p w14:paraId="770DE603" w14:textId="77777777" w:rsidR="00872C78" w:rsidRPr="001461C4" w:rsidRDefault="00872C78" w:rsidP="00872C78">
      <w:pPr>
        <w:pStyle w:val="HChG"/>
      </w:pPr>
      <w:r w:rsidRPr="001461C4">
        <w:tab/>
      </w:r>
      <w:r>
        <w:t>X</w:t>
      </w:r>
      <w:r w:rsidRPr="001461C4">
        <w:t>I</w:t>
      </w:r>
      <w:r>
        <w:t>I</w:t>
      </w:r>
      <w:r w:rsidRPr="001461C4">
        <w:t>.</w:t>
      </w:r>
      <w:r w:rsidRPr="001461C4">
        <w:tab/>
        <w:t>Other decisions</w:t>
      </w:r>
    </w:p>
    <w:p w14:paraId="6B3DF6E0" w14:textId="77777777" w:rsidR="00872C78" w:rsidRPr="001461C4" w:rsidRDefault="00872C78" w:rsidP="00872C78">
      <w:pPr>
        <w:pStyle w:val="SingleTxtG"/>
        <w:rPr>
          <w:rFonts w:eastAsia="Times New Roman"/>
          <w:color w:val="000000"/>
          <w:u w:color="000000"/>
          <w:bdr w:val="nil"/>
          <w:lang w:eastAsia="en-GB"/>
        </w:rPr>
      </w:pPr>
      <w:r w:rsidRPr="001461C4">
        <w:rPr>
          <w:rFonts w:eastAsia="Times New Roman"/>
          <w:color w:val="000000"/>
          <w:u w:color="000000"/>
          <w:bdr w:val="nil"/>
          <w:lang w:eastAsia="en-GB"/>
        </w:rPr>
        <w:t>1</w:t>
      </w:r>
      <w:r>
        <w:rPr>
          <w:rFonts w:eastAsia="Times New Roman"/>
          <w:color w:val="000000"/>
          <w:u w:color="000000"/>
          <w:bdr w:val="nil"/>
          <w:lang w:eastAsia="en-GB"/>
        </w:rPr>
        <w:t>6</w:t>
      </w:r>
      <w:r w:rsidRPr="001461C4">
        <w:rPr>
          <w:rFonts w:eastAsia="Times New Roman"/>
          <w:color w:val="000000"/>
          <w:u w:color="000000"/>
          <w:bdr w:val="nil"/>
          <w:lang w:eastAsia="en-GB"/>
        </w:rPr>
        <w:t>.</w:t>
      </w:r>
      <w:r w:rsidRPr="001461C4">
        <w:rPr>
          <w:rFonts w:eastAsia="Times New Roman"/>
          <w:color w:val="000000"/>
          <w:u w:color="000000"/>
          <w:bdr w:val="nil"/>
          <w:lang w:eastAsia="en-GB"/>
        </w:rPr>
        <w:tab/>
        <w:t>The</w:t>
      </w:r>
      <w:r w:rsidRPr="001461C4">
        <w:rPr>
          <w:rFonts w:eastAsia="Times New Roman"/>
          <w:color w:val="000000"/>
          <w:spacing w:val="-1"/>
          <w:u w:color="000000"/>
          <w:bdr w:val="nil"/>
          <w:lang w:eastAsia="en-GB"/>
        </w:rPr>
        <w:t xml:space="preserve"> </w:t>
      </w:r>
      <w:r w:rsidRPr="001461C4">
        <w:t>Committee</w:t>
      </w:r>
      <w:r w:rsidRPr="001461C4">
        <w:rPr>
          <w:rFonts w:eastAsia="Times New Roman"/>
          <w:color w:val="000000"/>
          <w:u w:color="000000"/>
          <w:bdr w:val="nil"/>
          <w:lang w:eastAsia="en-GB"/>
        </w:rPr>
        <w:t xml:space="preserve"> adopted the</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present report</w:t>
      </w:r>
      <w:r w:rsidRPr="001461C4">
        <w:rPr>
          <w:rFonts w:eastAsia="Times New Roman"/>
          <w:color w:val="000000"/>
          <w:spacing w:val="-1"/>
          <w:u w:color="000000"/>
          <w:bdr w:val="nil"/>
          <w:lang w:eastAsia="en-GB"/>
        </w:rPr>
        <w:t xml:space="preserve"> </w:t>
      </w:r>
      <w:r w:rsidRPr="00922B9E">
        <w:rPr>
          <w:rFonts w:eastAsia="Times New Roman"/>
          <w:color w:val="000000"/>
          <w:u w:color="000000"/>
          <w:bdr w:val="nil"/>
          <w:lang w:eastAsia="en-GB"/>
        </w:rPr>
        <w:t>on its twenty-ninth session</w:t>
      </w:r>
      <w:r w:rsidRPr="001461C4">
        <w:rPr>
          <w:rFonts w:eastAsia="Times New Roman"/>
          <w:color w:val="000000"/>
          <w:u w:color="000000"/>
          <w:bdr w:val="nil"/>
          <w:lang w:eastAsia="en-GB"/>
        </w:rPr>
        <w:t>.</w:t>
      </w:r>
    </w:p>
    <w:p w14:paraId="4334DDE5" w14:textId="77777777" w:rsidR="00872C78" w:rsidRDefault="00872C78" w:rsidP="00872C78">
      <w:pPr>
        <w:pStyle w:val="SingleTxtG"/>
        <w:suppressAutoHyphens w:val="0"/>
        <w:spacing w:after="200" w:line="276" w:lineRule="auto"/>
        <w:rPr>
          <w:rFonts w:eastAsia="Times New Roman"/>
          <w:color w:val="000000"/>
          <w:u w:color="000000"/>
          <w:bdr w:val="nil"/>
          <w:lang w:eastAsia="en-GB"/>
        </w:rPr>
      </w:pPr>
      <w:r>
        <w:rPr>
          <w:rFonts w:eastAsia="Times New Roman"/>
          <w:color w:val="000000"/>
          <w:u w:color="000000"/>
          <w:bdr w:val="nil"/>
          <w:lang w:eastAsia="en-GB"/>
        </w:rPr>
        <w:t>17.</w:t>
      </w:r>
      <w:r>
        <w:rPr>
          <w:rFonts w:eastAsia="Times New Roman"/>
          <w:color w:val="000000"/>
          <w:u w:color="000000"/>
          <w:bdr w:val="nil"/>
          <w:lang w:eastAsia="en-GB"/>
        </w:rPr>
        <w:tab/>
      </w:r>
      <w:r w:rsidRPr="00B41541">
        <w:rPr>
          <w:rFonts w:eastAsia="Times New Roman"/>
          <w:color w:val="000000"/>
          <w:u w:color="000000"/>
          <w:bdr w:val="nil"/>
          <w:lang w:eastAsia="en-GB"/>
        </w:rPr>
        <w:t>The full list of the decisions adopted by the Committee is available in annex I to the present</w:t>
      </w:r>
      <w:r w:rsidRPr="00B41541">
        <w:rPr>
          <w:rFonts w:eastAsia="Times New Roman"/>
          <w:color w:val="000000"/>
          <w:spacing w:val="-1"/>
          <w:u w:color="000000"/>
          <w:bdr w:val="nil"/>
          <w:lang w:eastAsia="en-GB"/>
        </w:rPr>
        <w:t xml:space="preserve"> </w:t>
      </w:r>
      <w:r w:rsidRPr="00B41541">
        <w:rPr>
          <w:rFonts w:eastAsia="Times New Roman"/>
          <w:color w:val="000000"/>
          <w:u w:color="000000"/>
          <w:bdr w:val="nil"/>
          <w:lang w:eastAsia="en-GB"/>
        </w:rPr>
        <w:t>report</w:t>
      </w:r>
      <w:r>
        <w:rPr>
          <w:rFonts w:eastAsia="Times New Roman"/>
          <w:color w:val="000000"/>
          <w:u w:color="000000"/>
          <w:bdr w:val="nil"/>
          <w:lang w:eastAsia="en-GB"/>
        </w:rPr>
        <w:t>.</w:t>
      </w:r>
    </w:p>
    <w:p w14:paraId="5E317108" w14:textId="77777777" w:rsidR="00872C78" w:rsidRDefault="00872C78" w:rsidP="00872C78">
      <w:pPr>
        <w:suppressAutoHyphens w:val="0"/>
        <w:spacing w:after="200" w:line="276" w:lineRule="auto"/>
        <w:rPr>
          <w:rFonts w:eastAsia="Times New Roman"/>
          <w:color w:val="000000"/>
          <w:u w:color="000000"/>
          <w:bdr w:val="nil"/>
          <w:lang w:eastAsia="en-GB"/>
        </w:rPr>
        <w:sectPr w:rsidR="00872C78" w:rsidSect="00C57B42">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7" w:h="16840" w:code="9"/>
          <w:pgMar w:top="1417" w:right="1134" w:bottom="1134" w:left="1134" w:header="850" w:footer="567" w:gutter="0"/>
          <w:cols w:space="720"/>
          <w:titlePg/>
          <w:docGrid w:linePitch="272"/>
        </w:sectPr>
      </w:pPr>
    </w:p>
    <w:p w14:paraId="29CA2DC1" w14:textId="24368398" w:rsidR="00872C78" w:rsidRPr="001461C4" w:rsidRDefault="00A938E5" w:rsidP="00872C78">
      <w:pPr>
        <w:pStyle w:val="HChG"/>
      </w:pPr>
      <w:r>
        <w:tab/>
      </w:r>
      <w:r w:rsidR="00872C78" w:rsidRPr="001461C4">
        <w:t>Annex I</w:t>
      </w:r>
    </w:p>
    <w:p w14:paraId="4C4A0387" w14:textId="77777777" w:rsidR="00872C78" w:rsidRPr="0082597B" w:rsidRDefault="00872C78" w:rsidP="00872C78">
      <w:pPr>
        <w:pStyle w:val="HChG"/>
      </w:pPr>
      <w:r w:rsidRPr="001461C4">
        <w:tab/>
      </w:r>
      <w:r w:rsidRPr="001461C4">
        <w:tab/>
      </w:r>
      <w:r w:rsidRPr="0082597B">
        <w:t>Decisions adopted by the Committee at its twenty-</w:t>
      </w:r>
      <w:r>
        <w:t>ninth</w:t>
      </w:r>
      <w:r w:rsidRPr="0082597B">
        <w:t xml:space="preserve"> session</w:t>
      </w:r>
    </w:p>
    <w:p w14:paraId="4E7637A5" w14:textId="77777777" w:rsidR="00872C78" w:rsidRPr="001461C4" w:rsidRDefault="00872C78" w:rsidP="00872C78">
      <w:pPr>
        <w:pStyle w:val="SingleTxtG"/>
      </w:pPr>
      <w:r w:rsidRPr="001461C4">
        <w:t>1.</w:t>
      </w:r>
      <w:r w:rsidRPr="001461C4">
        <w:tab/>
        <w:t xml:space="preserve">The Committee adopted concluding observations in relation to the initial reports of </w:t>
      </w:r>
      <w:r>
        <w:t>Andorra, Israel and Mauritania</w:t>
      </w:r>
      <w:r w:rsidRPr="008A30E4">
        <w:rPr>
          <w:rStyle w:val="FootnoteReference"/>
        </w:rPr>
        <w:footnoteReference w:id="13"/>
      </w:r>
      <w:r w:rsidRPr="00787C44">
        <w:t xml:space="preserve"> </w:t>
      </w:r>
      <w:r>
        <w:t xml:space="preserve">and </w:t>
      </w:r>
      <w:r w:rsidRPr="00B53CB9">
        <w:t>t</w:t>
      </w:r>
      <w:r>
        <w:t>he c</w:t>
      </w:r>
      <w:r w:rsidRPr="00B53CB9">
        <w:t>ombined initial and second periodic reports</w:t>
      </w:r>
      <w:r w:rsidRPr="007F4B81">
        <w:t xml:space="preserve"> </w:t>
      </w:r>
      <w:r>
        <w:t>Malawi.</w:t>
      </w:r>
      <w:r w:rsidRPr="008A30E4">
        <w:rPr>
          <w:rStyle w:val="FootnoteReference"/>
        </w:rPr>
        <w:footnoteReference w:id="14"/>
      </w:r>
      <w:r w:rsidRPr="003B68C1">
        <w:t xml:space="preserve"> </w:t>
      </w:r>
      <w:r w:rsidRPr="001461C4">
        <w:t xml:space="preserve">It also adopted concluding observations in relation to the combined second and third periodic reports of </w:t>
      </w:r>
      <w:r>
        <w:t>Austria, Germany, Mongolia and Paraguay.</w:t>
      </w:r>
      <w:r w:rsidRPr="008A30E4">
        <w:rPr>
          <w:rStyle w:val="FootnoteReference"/>
        </w:rPr>
        <w:footnoteReference w:id="15"/>
      </w:r>
      <w:r w:rsidRPr="003B68C1">
        <w:t xml:space="preserve"> </w:t>
      </w:r>
    </w:p>
    <w:p w14:paraId="28419A79" w14:textId="77777777" w:rsidR="00872C78" w:rsidRPr="001461C4" w:rsidRDefault="00872C78" w:rsidP="00872C78">
      <w:pPr>
        <w:pStyle w:val="SingleTxtG"/>
      </w:pPr>
      <w:r w:rsidRPr="001461C4">
        <w:t>2.</w:t>
      </w:r>
      <w:r w:rsidRPr="001461C4">
        <w:tab/>
        <w:t xml:space="preserve">The Committee considered </w:t>
      </w:r>
      <w:r>
        <w:t>five</w:t>
      </w:r>
      <w:r w:rsidRPr="001461C4">
        <w:t xml:space="preserve"> individual communications submitted for its consideration under the Optional Protocol to the Convention. It found violations of the Convention in </w:t>
      </w:r>
      <w:r>
        <w:t>three</w:t>
      </w:r>
      <w:r w:rsidRPr="001461C4">
        <w:t xml:space="preserve"> of them</w:t>
      </w:r>
      <w:r>
        <w:t xml:space="preserve"> and </w:t>
      </w:r>
      <w:r w:rsidRPr="001461C4">
        <w:t xml:space="preserve">decided to </w:t>
      </w:r>
      <w:r>
        <w:t xml:space="preserve">discontinue its consideration of two of them. </w:t>
      </w:r>
      <w:r w:rsidRPr="001461C4">
        <w:t>A summary of the Views and decisions of the Committee may be found in annex III to the present report. The Views and decisions w</w:t>
      </w:r>
      <w:r>
        <w:t>ere</w:t>
      </w:r>
      <w:r w:rsidRPr="001461C4">
        <w:t xml:space="preserve"> transmitted to the parties as soon as possible and w</w:t>
      </w:r>
      <w:r>
        <w:t>ere</w:t>
      </w:r>
      <w:r w:rsidRPr="001461C4">
        <w:t xml:space="preserve"> subsequently made public.</w:t>
      </w:r>
      <w:r>
        <w:t xml:space="preserve"> </w:t>
      </w:r>
    </w:p>
    <w:p w14:paraId="77CFCC26" w14:textId="77777777" w:rsidR="00872C78" w:rsidRPr="001461C4" w:rsidRDefault="00872C78" w:rsidP="00872C78">
      <w:pPr>
        <w:pStyle w:val="SingleTxtG"/>
      </w:pPr>
      <w:r w:rsidRPr="001461C4">
        <w:t>3.</w:t>
      </w:r>
      <w:r w:rsidRPr="001461C4">
        <w:tab/>
      </w:r>
      <w:bookmarkStart w:id="7" w:name="_Hlk70604741"/>
      <w:r w:rsidRPr="001461C4">
        <w:t>The Committee considered matters related to inquiries pursuant to the Optional Protocol</w:t>
      </w:r>
      <w:bookmarkEnd w:id="7"/>
      <w:r w:rsidRPr="001461C4">
        <w:t>.</w:t>
      </w:r>
    </w:p>
    <w:p w14:paraId="79D7D6D8" w14:textId="77777777" w:rsidR="00872C78" w:rsidRPr="001461C4" w:rsidRDefault="00872C78" w:rsidP="00872C78">
      <w:pPr>
        <w:pStyle w:val="SingleTxtG"/>
      </w:pPr>
      <w:r w:rsidRPr="001461C4">
        <w:t>4.</w:t>
      </w:r>
      <w:r w:rsidRPr="001461C4">
        <w:tab/>
        <w:t xml:space="preserve">The Committee </w:t>
      </w:r>
      <w:r>
        <w:t>held a panel discussion on deinstitutionalization and adopted a statement calling on States parties to develop their deinstitutionalization policies and plans in line with the Committee’s guidelines on deinstitutionalization, including in emergencies</w:t>
      </w:r>
      <w:r w:rsidRPr="00602BFE">
        <w:t>.</w:t>
      </w:r>
      <w:r w:rsidRPr="008A30E4">
        <w:rPr>
          <w:rStyle w:val="FootnoteReference"/>
        </w:rPr>
        <w:footnoteReference w:id="16"/>
      </w:r>
    </w:p>
    <w:p w14:paraId="685A2536" w14:textId="77777777" w:rsidR="00872C78" w:rsidRPr="001461C4" w:rsidRDefault="00872C78" w:rsidP="00872C78">
      <w:pPr>
        <w:pStyle w:val="SingleTxtG"/>
      </w:pPr>
      <w:r>
        <w:t>5</w:t>
      </w:r>
      <w:r w:rsidRPr="001461C4">
        <w:t>.</w:t>
      </w:r>
      <w:r w:rsidRPr="001461C4">
        <w:tab/>
        <w:t xml:space="preserve">The Committee decided that its </w:t>
      </w:r>
      <w:r>
        <w:t>thirtieth</w:t>
      </w:r>
      <w:r w:rsidRPr="001461C4">
        <w:t xml:space="preserve"> session </w:t>
      </w:r>
      <w:r>
        <w:t>would</w:t>
      </w:r>
      <w:r w:rsidRPr="001461C4">
        <w:t xml:space="preserve"> be held in Geneva from </w:t>
      </w:r>
      <w:r>
        <w:t>4 to 22 March 2024 and</w:t>
      </w:r>
      <w:r w:rsidRPr="001461C4">
        <w:t xml:space="preserve"> </w:t>
      </w:r>
      <w:r>
        <w:t>would</w:t>
      </w:r>
      <w:r w:rsidRPr="001461C4">
        <w:t xml:space="preserve"> be followed by the </w:t>
      </w:r>
      <w:r>
        <w:t>nineteenth</w:t>
      </w:r>
      <w:r w:rsidRPr="001461C4">
        <w:t xml:space="preserve"> meeting of the pre-sessional working group, from </w:t>
      </w:r>
      <w:r>
        <w:t>25 to 28 March 2024</w:t>
      </w:r>
      <w:r w:rsidRPr="001461C4">
        <w:t>.</w:t>
      </w:r>
      <w:r w:rsidRPr="001461C4">
        <w:rPr>
          <w:sz w:val="22"/>
          <w:szCs w:val="22"/>
        </w:rPr>
        <w:t xml:space="preserve"> </w:t>
      </w:r>
      <w:r>
        <w:t>The</w:t>
      </w:r>
      <w:r w:rsidRPr="001461C4">
        <w:t xml:space="preserve"> </w:t>
      </w:r>
      <w:r>
        <w:t>Committee</w:t>
      </w:r>
      <w:r w:rsidRPr="001461C4">
        <w:t xml:space="preserve"> adopted </w:t>
      </w:r>
      <w:r>
        <w:t>a</w:t>
      </w:r>
      <w:r w:rsidRPr="001461C4">
        <w:t xml:space="preserve"> provisional programme of work </w:t>
      </w:r>
      <w:r>
        <w:t>for</w:t>
      </w:r>
      <w:r w:rsidRPr="001461C4">
        <w:t xml:space="preserve"> </w:t>
      </w:r>
      <w:r>
        <w:t>its</w:t>
      </w:r>
      <w:r w:rsidRPr="001461C4">
        <w:t xml:space="preserve"> </w:t>
      </w:r>
      <w:r>
        <w:t>thirtieth</w:t>
      </w:r>
      <w:r w:rsidRPr="001461C4">
        <w:t xml:space="preserve"> session.</w:t>
      </w:r>
    </w:p>
    <w:p w14:paraId="6552757C" w14:textId="77777777" w:rsidR="00872C78" w:rsidRPr="001461C4" w:rsidRDefault="00872C78" w:rsidP="00872C78">
      <w:pPr>
        <w:pStyle w:val="SingleTxtG"/>
      </w:pPr>
      <w:r>
        <w:t>6</w:t>
      </w:r>
      <w:r w:rsidRPr="001461C4">
        <w:t>.</w:t>
      </w:r>
      <w:r w:rsidRPr="001461C4">
        <w:tab/>
        <w:t xml:space="preserve">The Committee decided to continue </w:t>
      </w:r>
      <w:r>
        <w:t>piloting its use of task forces for the preparation for and conduct of constructive dialogues with States parties.</w:t>
      </w:r>
    </w:p>
    <w:p w14:paraId="27721354" w14:textId="77777777" w:rsidR="00872C78" w:rsidRPr="001461C4" w:rsidRDefault="00872C78" w:rsidP="00872C78">
      <w:pPr>
        <w:pStyle w:val="SingleTxtG"/>
      </w:pPr>
      <w:r>
        <w:t>7</w:t>
      </w:r>
      <w:r w:rsidRPr="001461C4">
        <w:t>.</w:t>
      </w:r>
      <w:r w:rsidRPr="001461C4">
        <w:tab/>
        <w:t xml:space="preserve">The Committee decided to continue </w:t>
      </w:r>
      <w:r>
        <w:t>engaging</w:t>
      </w:r>
      <w:r w:rsidRPr="001461C4">
        <w:t xml:space="preserve"> with the United Nations Office </w:t>
      </w:r>
      <w:r>
        <w:t>at</w:t>
      </w:r>
      <w:r w:rsidRPr="001461C4">
        <w:t xml:space="preserve"> Geneva and the Office of the </w:t>
      </w:r>
      <w:r>
        <w:t xml:space="preserve">United Nations </w:t>
      </w:r>
      <w:r w:rsidRPr="001461C4">
        <w:t xml:space="preserve">High Commissioner for Human Rights, with </w:t>
      </w:r>
      <w:r>
        <w:t>a view to</w:t>
      </w:r>
      <w:r w:rsidRPr="001461C4">
        <w:t xml:space="preserve"> improving the provision of accessible conference services and reasonable accommodation to members of the Committee and participants with disabilities </w:t>
      </w:r>
      <w:r>
        <w:t>at</w:t>
      </w:r>
      <w:r w:rsidRPr="001461C4">
        <w:t xml:space="preserve"> </w:t>
      </w:r>
      <w:r>
        <w:t>Committee</w:t>
      </w:r>
      <w:r w:rsidRPr="001461C4">
        <w:t xml:space="preserve"> meetings. </w:t>
      </w:r>
    </w:p>
    <w:p w14:paraId="5E5C4BF7" w14:textId="77777777" w:rsidR="00872C78" w:rsidRDefault="00872C78" w:rsidP="00872C78">
      <w:pPr>
        <w:pStyle w:val="SingleTxtG"/>
      </w:pPr>
      <w:r>
        <w:t>8</w:t>
      </w:r>
      <w:r w:rsidRPr="001461C4">
        <w:t>.</w:t>
      </w:r>
      <w:r w:rsidRPr="001461C4">
        <w:tab/>
        <w:t>The Committee decided to</w:t>
      </w:r>
      <w:r>
        <w:t xml:space="preserve"> adopt a statement on the right of persons with disabilities to social protection, including</w:t>
      </w:r>
      <w:r w:rsidRPr="00DA2B18">
        <w:t xml:space="preserve"> in situations of risk and humanitarian emergencies</w:t>
      </w:r>
      <w:r w:rsidRPr="001461C4">
        <w:t xml:space="preserve">. </w:t>
      </w:r>
    </w:p>
    <w:p w14:paraId="15DB2364" w14:textId="77777777" w:rsidR="00872C78" w:rsidRPr="001461C4" w:rsidRDefault="00872C78" w:rsidP="00872C78">
      <w:pPr>
        <w:pStyle w:val="SingleTxtG"/>
      </w:pPr>
      <w:r>
        <w:t>9</w:t>
      </w:r>
      <w:r w:rsidRPr="001461C4">
        <w:t>.</w:t>
      </w:r>
      <w:r w:rsidRPr="001461C4">
        <w:tab/>
        <w:t>The Committee adopted the report on its twenty-</w:t>
      </w:r>
      <w:r>
        <w:t>ninth</w:t>
      </w:r>
      <w:r w:rsidRPr="001461C4">
        <w:t xml:space="preserve"> session</w:t>
      </w:r>
      <w:r>
        <w:t>.</w:t>
      </w:r>
    </w:p>
    <w:p w14:paraId="12E972F2" w14:textId="77777777" w:rsidR="00872C78" w:rsidRPr="001461C4" w:rsidRDefault="00872C78" w:rsidP="00872C78">
      <w:pPr>
        <w:suppressAutoHyphens w:val="0"/>
        <w:spacing w:after="200" w:line="276" w:lineRule="auto"/>
      </w:pPr>
      <w:r w:rsidRPr="001461C4">
        <w:br w:type="page"/>
      </w:r>
    </w:p>
    <w:p w14:paraId="20EB698F" w14:textId="77777777" w:rsidR="00872C78" w:rsidRPr="001461C4" w:rsidRDefault="00872C78" w:rsidP="00872C78">
      <w:pPr>
        <w:pStyle w:val="HChG"/>
        <w:rPr>
          <w:u w:val="single"/>
        </w:rPr>
      </w:pPr>
      <w:r w:rsidRPr="001461C4">
        <w:tab/>
        <w:t>Annex II</w:t>
      </w:r>
    </w:p>
    <w:p w14:paraId="023D5CE8" w14:textId="77777777" w:rsidR="00872C78" w:rsidRPr="001461C4" w:rsidRDefault="00872C78" w:rsidP="00872C78">
      <w:pPr>
        <w:pStyle w:val="HChG"/>
      </w:pPr>
      <w:r w:rsidRPr="001461C4">
        <w:tab/>
      </w:r>
      <w:r w:rsidRPr="001461C4">
        <w:tab/>
        <w:t>States parties whose initial reports are more than five years</w:t>
      </w:r>
      <w:r>
        <w:t xml:space="preserv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872C78" w:rsidRPr="001461C4" w14:paraId="45A9D78D" w14:textId="77777777" w:rsidTr="00112BD9">
        <w:trPr>
          <w:tblHeader/>
        </w:trPr>
        <w:tc>
          <w:tcPr>
            <w:tcW w:w="3684" w:type="dxa"/>
            <w:tcBorders>
              <w:top w:val="single" w:sz="4" w:space="0" w:color="auto"/>
              <w:bottom w:val="single" w:sz="12" w:space="0" w:color="auto"/>
            </w:tcBorders>
            <w:shd w:val="clear" w:color="auto" w:fill="auto"/>
            <w:vAlign w:val="bottom"/>
          </w:tcPr>
          <w:p w14:paraId="0721EE7A" w14:textId="77777777" w:rsidR="00872C78" w:rsidRPr="001461C4" w:rsidRDefault="00872C78" w:rsidP="00112BD9">
            <w:pPr>
              <w:suppressAutoHyphens w:val="0"/>
              <w:spacing w:before="80" w:after="80" w:line="200" w:lineRule="exact"/>
              <w:ind w:right="113"/>
              <w:rPr>
                <w:i/>
                <w:sz w:val="16"/>
              </w:rPr>
            </w:pPr>
            <w:r w:rsidRPr="001461C4">
              <w:rPr>
                <w:i/>
                <w:sz w:val="16"/>
              </w:rPr>
              <w:t>Party</w:t>
            </w:r>
          </w:p>
        </w:tc>
        <w:tc>
          <w:tcPr>
            <w:tcW w:w="3686" w:type="dxa"/>
            <w:tcBorders>
              <w:top w:val="single" w:sz="4" w:space="0" w:color="auto"/>
              <w:bottom w:val="single" w:sz="12" w:space="0" w:color="auto"/>
            </w:tcBorders>
            <w:shd w:val="clear" w:color="auto" w:fill="auto"/>
            <w:vAlign w:val="bottom"/>
          </w:tcPr>
          <w:p w14:paraId="3BC668A8" w14:textId="77777777" w:rsidR="00872C78" w:rsidRPr="001461C4" w:rsidRDefault="00872C78" w:rsidP="00112BD9">
            <w:pPr>
              <w:suppressAutoHyphens w:val="0"/>
              <w:spacing w:before="80" w:after="80" w:line="200" w:lineRule="exact"/>
              <w:ind w:right="113"/>
              <w:rPr>
                <w:i/>
                <w:sz w:val="16"/>
              </w:rPr>
            </w:pPr>
            <w:r w:rsidRPr="001461C4">
              <w:rPr>
                <w:i/>
                <w:sz w:val="16"/>
              </w:rPr>
              <w:t>Due date</w:t>
            </w:r>
          </w:p>
        </w:tc>
      </w:tr>
      <w:tr w:rsidR="00872C78" w:rsidRPr="001461C4" w14:paraId="56B9E3BE" w14:textId="77777777" w:rsidTr="00112BD9">
        <w:tc>
          <w:tcPr>
            <w:tcW w:w="3684" w:type="dxa"/>
            <w:tcBorders>
              <w:top w:val="single" w:sz="12" w:space="0" w:color="auto"/>
            </w:tcBorders>
            <w:shd w:val="clear" w:color="auto" w:fill="auto"/>
          </w:tcPr>
          <w:p w14:paraId="1FBF27AC" w14:textId="77777777" w:rsidR="00872C78" w:rsidRPr="001461C4" w:rsidRDefault="00872C78" w:rsidP="00112BD9">
            <w:pPr>
              <w:suppressAutoHyphens w:val="0"/>
              <w:spacing w:before="40" w:after="120" w:line="220" w:lineRule="exact"/>
              <w:ind w:right="113"/>
            </w:pPr>
            <w:r w:rsidRPr="001461C4">
              <w:t>Guinea</w:t>
            </w:r>
          </w:p>
        </w:tc>
        <w:tc>
          <w:tcPr>
            <w:tcW w:w="3686" w:type="dxa"/>
            <w:tcBorders>
              <w:top w:val="single" w:sz="12" w:space="0" w:color="auto"/>
            </w:tcBorders>
            <w:shd w:val="clear" w:color="auto" w:fill="auto"/>
          </w:tcPr>
          <w:p w14:paraId="0361B719" w14:textId="77777777" w:rsidR="00872C78" w:rsidRPr="001461C4" w:rsidRDefault="00872C78" w:rsidP="00112BD9">
            <w:pPr>
              <w:suppressAutoHyphens w:val="0"/>
              <w:spacing w:before="40" w:after="120" w:line="220" w:lineRule="exact"/>
              <w:ind w:right="113"/>
            </w:pPr>
            <w:r w:rsidRPr="001461C4">
              <w:t>8 March 2010</w:t>
            </w:r>
          </w:p>
        </w:tc>
      </w:tr>
      <w:tr w:rsidR="00872C78" w:rsidRPr="001461C4" w14:paraId="1A368CD5" w14:textId="77777777" w:rsidTr="00112BD9">
        <w:tc>
          <w:tcPr>
            <w:tcW w:w="3684" w:type="dxa"/>
            <w:shd w:val="clear" w:color="auto" w:fill="auto"/>
          </w:tcPr>
          <w:p w14:paraId="3462C990" w14:textId="77777777" w:rsidR="00872C78" w:rsidRPr="001461C4" w:rsidRDefault="00872C78" w:rsidP="00112BD9">
            <w:pPr>
              <w:suppressAutoHyphens w:val="0"/>
              <w:spacing w:before="40" w:after="120" w:line="220" w:lineRule="exact"/>
              <w:ind w:right="113"/>
            </w:pPr>
            <w:r w:rsidRPr="001461C4">
              <w:t>San Marino</w:t>
            </w:r>
          </w:p>
        </w:tc>
        <w:tc>
          <w:tcPr>
            <w:tcW w:w="3686" w:type="dxa"/>
            <w:shd w:val="clear" w:color="auto" w:fill="auto"/>
          </w:tcPr>
          <w:p w14:paraId="4CDB7579" w14:textId="77777777" w:rsidR="00872C78" w:rsidRPr="001461C4" w:rsidRDefault="00872C78" w:rsidP="00112BD9">
            <w:pPr>
              <w:suppressAutoHyphens w:val="0"/>
              <w:spacing w:before="40" w:after="120" w:line="220" w:lineRule="exact"/>
              <w:ind w:right="113"/>
            </w:pPr>
            <w:r w:rsidRPr="001461C4">
              <w:t>22 March 2010</w:t>
            </w:r>
          </w:p>
        </w:tc>
      </w:tr>
      <w:tr w:rsidR="00872C78" w:rsidRPr="001461C4" w14:paraId="18AC16FB" w14:textId="77777777" w:rsidTr="00112BD9">
        <w:tc>
          <w:tcPr>
            <w:tcW w:w="3684" w:type="dxa"/>
            <w:shd w:val="clear" w:color="auto" w:fill="auto"/>
          </w:tcPr>
          <w:p w14:paraId="39C5941B" w14:textId="77777777" w:rsidR="00872C78" w:rsidRPr="001461C4" w:rsidRDefault="00872C78" w:rsidP="00112BD9">
            <w:pPr>
              <w:suppressAutoHyphens w:val="0"/>
              <w:spacing w:before="40" w:after="120" w:line="220" w:lineRule="exact"/>
              <w:ind w:right="113"/>
            </w:pPr>
            <w:r w:rsidRPr="001461C4">
              <w:t>Lesotho</w:t>
            </w:r>
          </w:p>
        </w:tc>
        <w:tc>
          <w:tcPr>
            <w:tcW w:w="3686" w:type="dxa"/>
            <w:shd w:val="clear" w:color="auto" w:fill="auto"/>
          </w:tcPr>
          <w:p w14:paraId="6BCFA9A5" w14:textId="77777777" w:rsidR="00872C78" w:rsidRPr="001461C4" w:rsidRDefault="00872C78" w:rsidP="00112BD9">
            <w:pPr>
              <w:suppressAutoHyphens w:val="0"/>
              <w:spacing w:before="40" w:after="120" w:line="220" w:lineRule="exact"/>
              <w:ind w:right="113"/>
            </w:pPr>
            <w:r w:rsidRPr="001461C4">
              <w:t>2 January 2011</w:t>
            </w:r>
          </w:p>
        </w:tc>
      </w:tr>
      <w:tr w:rsidR="00872C78" w:rsidRPr="001461C4" w14:paraId="266C6D01" w14:textId="77777777" w:rsidTr="00112BD9">
        <w:tc>
          <w:tcPr>
            <w:tcW w:w="3684" w:type="dxa"/>
            <w:shd w:val="clear" w:color="auto" w:fill="auto"/>
          </w:tcPr>
          <w:p w14:paraId="1CFA4E5D" w14:textId="77777777" w:rsidR="00872C78" w:rsidRPr="001461C4" w:rsidRDefault="00872C78" w:rsidP="00112BD9">
            <w:pPr>
              <w:suppressAutoHyphens w:val="0"/>
              <w:spacing w:before="40" w:after="120" w:line="220" w:lineRule="exact"/>
              <w:ind w:right="113"/>
            </w:pPr>
            <w:r w:rsidRPr="001461C4">
              <w:t>Yemen</w:t>
            </w:r>
          </w:p>
        </w:tc>
        <w:tc>
          <w:tcPr>
            <w:tcW w:w="3686" w:type="dxa"/>
            <w:shd w:val="clear" w:color="auto" w:fill="auto"/>
          </w:tcPr>
          <w:p w14:paraId="499CFB95" w14:textId="77777777" w:rsidR="00872C78" w:rsidRPr="001461C4" w:rsidRDefault="00872C78" w:rsidP="00112BD9">
            <w:pPr>
              <w:suppressAutoHyphens w:val="0"/>
              <w:spacing w:before="40" w:after="120" w:line="220" w:lineRule="exact"/>
              <w:ind w:right="113"/>
            </w:pPr>
            <w:r w:rsidRPr="001461C4">
              <w:t>26 April 2011</w:t>
            </w:r>
          </w:p>
        </w:tc>
      </w:tr>
      <w:tr w:rsidR="00872C78" w:rsidRPr="001461C4" w14:paraId="411FD7D6" w14:textId="77777777" w:rsidTr="00112BD9">
        <w:tc>
          <w:tcPr>
            <w:tcW w:w="3684" w:type="dxa"/>
            <w:shd w:val="clear" w:color="auto" w:fill="auto"/>
          </w:tcPr>
          <w:p w14:paraId="289E8C17" w14:textId="77777777" w:rsidR="00872C78" w:rsidRPr="001461C4" w:rsidRDefault="00872C78" w:rsidP="00112BD9">
            <w:pPr>
              <w:suppressAutoHyphens w:val="0"/>
              <w:spacing w:before="40" w:after="120" w:line="220" w:lineRule="exact"/>
              <w:ind w:right="113"/>
            </w:pPr>
            <w:r w:rsidRPr="001461C4">
              <w:t>Syrian Arab Republic</w:t>
            </w:r>
          </w:p>
        </w:tc>
        <w:tc>
          <w:tcPr>
            <w:tcW w:w="3686" w:type="dxa"/>
            <w:shd w:val="clear" w:color="auto" w:fill="auto"/>
          </w:tcPr>
          <w:p w14:paraId="65712831" w14:textId="77777777" w:rsidR="00872C78" w:rsidRPr="001461C4" w:rsidRDefault="00872C78" w:rsidP="00112BD9">
            <w:pPr>
              <w:suppressAutoHyphens w:val="0"/>
              <w:spacing w:before="40" w:after="120" w:line="220" w:lineRule="exact"/>
              <w:ind w:right="113"/>
            </w:pPr>
            <w:r w:rsidRPr="001461C4">
              <w:t>10 August 2011</w:t>
            </w:r>
          </w:p>
        </w:tc>
      </w:tr>
      <w:tr w:rsidR="00872C78" w:rsidRPr="001461C4" w14:paraId="48223D85" w14:textId="77777777" w:rsidTr="00112BD9">
        <w:tc>
          <w:tcPr>
            <w:tcW w:w="3684" w:type="dxa"/>
            <w:shd w:val="clear" w:color="auto" w:fill="auto"/>
          </w:tcPr>
          <w:p w14:paraId="7DA80621" w14:textId="77777777" w:rsidR="00872C78" w:rsidRPr="001461C4" w:rsidRDefault="00872C78" w:rsidP="00112BD9">
            <w:pPr>
              <w:suppressAutoHyphens w:val="0"/>
              <w:spacing w:before="40" w:after="120" w:line="220" w:lineRule="exact"/>
              <w:ind w:right="113"/>
            </w:pPr>
            <w:r w:rsidRPr="001461C4">
              <w:t>United Republic of Tanzania</w:t>
            </w:r>
          </w:p>
        </w:tc>
        <w:tc>
          <w:tcPr>
            <w:tcW w:w="3686" w:type="dxa"/>
            <w:shd w:val="clear" w:color="auto" w:fill="auto"/>
          </w:tcPr>
          <w:p w14:paraId="32001494" w14:textId="77777777" w:rsidR="00872C78" w:rsidRPr="001461C4" w:rsidRDefault="00872C78" w:rsidP="00112BD9">
            <w:pPr>
              <w:suppressAutoHyphens w:val="0"/>
              <w:spacing w:before="40" w:after="120" w:line="220" w:lineRule="exact"/>
              <w:ind w:right="113"/>
            </w:pPr>
            <w:r w:rsidRPr="001461C4">
              <w:t>10 December 2011</w:t>
            </w:r>
          </w:p>
        </w:tc>
      </w:tr>
      <w:tr w:rsidR="00872C78" w:rsidRPr="001461C4" w14:paraId="329FE782" w14:textId="77777777" w:rsidTr="00112BD9">
        <w:tc>
          <w:tcPr>
            <w:tcW w:w="3684" w:type="dxa"/>
            <w:shd w:val="clear" w:color="auto" w:fill="auto"/>
          </w:tcPr>
          <w:p w14:paraId="649EE34B" w14:textId="77777777" w:rsidR="00872C78" w:rsidRPr="001461C4" w:rsidRDefault="00872C78" w:rsidP="00112BD9">
            <w:pPr>
              <w:suppressAutoHyphens w:val="0"/>
              <w:spacing w:before="40" w:after="120" w:line="220" w:lineRule="exact"/>
              <w:ind w:right="113"/>
            </w:pPr>
            <w:r w:rsidRPr="001461C4">
              <w:t>Malaysia</w:t>
            </w:r>
          </w:p>
        </w:tc>
        <w:tc>
          <w:tcPr>
            <w:tcW w:w="3686" w:type="dxa"/>
            <w:shd w:val="clear" w:color="auto" w:fill="auto"/>
          </w:tcPr>
          <w:p w14:paraId="3E829521" w14:textId="77777777" w:rsidR="00872C78" w:rsidRPr="001461C4" w:rsidRDefault="00872C78" w:rsidP="00112BD9">
            <w:pPr>
              <w:suppressAutoHyphens w:val="0"/>
              <w:spacing w:before="40" w:after="120" w:line="220" w:lineRule="exact"/>
              <w:ind w:right="113"/>
            </w:pPr>
            <w:r w:rsidRPr="001461C4">
              <w:t>19 August 2012</w:t>
            </w:r>
          </w:p>
        </w:tc>
      </w:tr>
      <w:tr w:rsidR="00872C78" w:rsidRPr="001461C4" w14:paraId="7CE43D57" w14:textId="77777777" w:rsidTr="00112BD9">
        <w:tc>
          <w:tcPr>
            <w:tcW w:w="3684" w:type="dxa"/>
            <w:shd w:val="clear" w:color="auto" w:fill="auto"/>
          </w:tcPr>
          <w:p w14:paraId="3B813BDF" w14:textId="77777777" w:rsidR="00872C78" w:rsidRPr="001461C4" w:rsidRDefault="00872C78" w:rsidP="00112BD9">
            <w:pPr>
              <w:suppressAutoHyphens w:val="0"/>
              <w:spacing w:before="40" w:after="120" w:line="220" w:lineRule="exact"/>
              <w:ind w:right="113"/>
            </w:pPr>
            <w:r w:rsidRPr="001461C4">
              <w:t>Saint Vincent and the Grenadines</w:t>
            </w:r>
          </w:p>
        </w:tc>
        <w:tc>
          <w:tcPr>
            <w:tcW w:w="3686" w:type="dxa"/>
            <w:shd w:val="clear" w:color="auto" w:fill="auto"/>
          </w:tcPr>
          <w:p w14:paraId="67E2A516" w14:textId="77777777" w:rsidR="00872C78" w:rsidRPr="001461C4" w:rsidRDefault="00872C78" w:rsidP="00112BD9">
            <w:pPr>
              <w:suppressAutoHyphens w:val="0"/>
              <w:spacing w:before="40" w:after="120" w:line="220" w:lineRule="exact"/>
              <w:ind w:right="113"/>
            </w:pPr>
            <w:r w:rsidRPr="001461C4">
              <w:t>29 November 2012</w:t>
            </w:r>
          </w:p>
        </w:tc>
      </w:tr>
      <w:tr w:rsidR="00872C78" w:rsidRPr="001461C4" w14:paraId="65401DFB" w14:textId="77777777" w:rsidTr="00112BD9">
        <w:tc>
          <w:tcPr>
            <w:tcW w:w="3684" w:type="dxa"/>
            <w:shd w:val="clear" w:color="auto" w:fill="auto"/>
          </w:tcPr>
          <w:p w14:paraId="5B123893" w14:textId="77777777" w:rsidR="00872C78" w:rsidRPr="001461C4" w:rsidRDefault="00872C78" w:rsidP="00112BD9">
            <w:pPr>
              <w:suppressAutoHyphens w:val="0"/>
              <w:spacing w:before="40" w:after="120" w:line="220" w:lineRule="exact"/>
              <w:ind w:right="113"/>
            </w:pPr>
            <w:r w:rsidRPr="001461C4">
              <w:t>Belize</w:t>
            </w:r>
          </w:p>
        </w:tc>
        <w:tc>
          <w:tcPr>
            <w:tcW w:w="3686" w:type="dxa"/>
            <w:shd w:val="clear" w:color="auto" w:fill="auto"/>
          </w:tcPr>
          <w:p w14:paraId="651156E9" w14:textId="77777777" w:rsidR="00872C78" w:rsidRPr="001461C4" w:rsidRDefault="00872C78" w:rsidP="00112BD9">
            <w:pPr>
              <w:suppressAutoHyphens w:val="0"/>
              <w:spacing w:before="40" w:after="120" w:line="220" w:lineRule="exact"/>
              <w:ind w:right="113"/>
            </w:pPr>
            <w:r w:rsidRPr="001461C4">
              <w:t>2 July 2013</w:t>
            </w:r>
          </w:p>
        </w:tc>
      </w:tr>
      <w:tr w:rsidR="00872C78" w:rsidRPr="001461C4" w14:paraId="68F9226F" w14:textId="77777777" w:rsidTr="00112BD9">
        <w:tc>
          <w:tcPr>
            <w:tcW w:w="3684" w:type="dxa"/>
            <w:shd w:val="clear" w:color="auto" w:fill="auto"/>
          </w:tcPr>
          <w:p w14:paraId="67CB1141" w14:textId="77777777" w:rsidR="00872C78" w:rsidRPr="001461C4" w:rsidRDefault="00872C78" w:rsidP="00112BD9">
            <w:pPr>
              <w:suppressAutoHyphens w:val="0"/>
              <w:spacing w:before="40" w:after="120" w:line="220" w:lineRule="exact"/>
              <w:ind w:right="113"/>
            </w:pPr>
            <w:r w:rsidRPr="001461C4">
              <w:t>Cabo Verde</w:t>
            </w:r>
          </w:p>
        </w:tc>
        <w:tc>
          <w:tcPr>
            <w:tcW w:w="3686" w:type="dxa"/>
            <w:shd w:val="clear" w:color="auto" w:fill="auto"/>
          </w:tcPr>
          <w:p w14:paraId="7461DA1B" w14:textId="77777777" w:rsidR="00872C78" w:rsidRPr="001461C4" w:rsidRDefault="00872C78" w:rsidP="00112BD9">
            <w:pPr>
              <w:suppressAutoHyphens w:val="0"/>
              <w:spacing w:before="40" w:after="120" w:line="220" w:lineRule="exact"/>
              <w:ind w:right="113"/>
            </w:pPr>
            <w:r w:rsidRPr="001461C4">
              <w:t>10 November 2013</w:t>
            </w:r>
          </w:p>
        </w:tc>
      </w:tr>
      <w:tr w:rsidR="00872C78" w:rsidRPr="001461C4" w14:paraId="0C89E8EF" w14:textId="77777777" w:rsidTr="00112BD9">
        <w:tc>
          <w:tcPr>
            <w:tcW w:w="3684" w:type="dxa"/>
            <w:shd w:val="clear" w:color="auto" w:fill="auto"/>
          </w:tcPr>
          <w:p w14:paraId="38AAFA6E" w14:textId="77777777" w:rsidR="00872C78" w:rsidRPr="001461C4" w:rsidRDefault="00872C78" w:rsidP="00112BD9">
            <w:pPr>
              <w:suppressAutoHyphens w:val="0"/>
              <w:spacing w:before="40" w:after="120" w:line="220" w:lineRule="exact"/>
              <w:ind w:right="113"/>
            </w:pPr>
            <w:r w:rsidRPr="001461C4">
              <w:t>Nauru</w:t>
            </w:r>
          </w:p>
        </w:tc>
        <w:tc>
          <w:tcPr>
            <w:tcW w:w="3686" w:type="dxa"/>
            <w:shd w:val="clear" w:color="auto" w:fill="auto"/>
          </w:tcPr>
          <w:p w14:paraId="12561C57" w14:textId="77777777" w:rsidR="00872C78" w:rsidRPr="001461C4" w:rsidRDefault="00872C78" w:rsidP="00112BD9">
            <w:pPr>
              <w:suppressAutoHyphens w:val="0"/>
              <w:spacing w:before="40" w:after="120" w:line="220" w:lineRule="exact"/>
              <w:ind w:right="113"/>
            </w:pPr>
            <w:r w:rsidRPr="001461C4">
              <w:t>27 July 2014</w:t>
            </w:r>
          </w:p>
        </w:tc>
      </w:tr>
      <w:tr w:rsidR="00872C78" w:rsidRPr="001461C4" w14:paraId="64AD909A" w14:textId="77777777" w:rsidTr="00112BD9">
        <w:tc>
          <w:tcPr>
            <w:tcW w:w="3684" w:type="dxa"/>
            <w:shd w:val="clear" w:color="auto" w:fill="auto"/>
          </w:tcPr>
          <w:p w14:paraId="21B9DC90" w14:textId="77777777" w:rsidR="00872C78" w:rsidRPr="001461C4" w:rsidRDefault="00872C78" w:rsidP="00112BD9">
            <w:pPr>
              <w:suppressAutoHyphens w:val="0"/>
              <w:spacing w:before="40" w:after="120" w:line="220" w:lineRule="exact"/>
              <w:ind w:right="113"/>
            </w:pPr>
            <w:r w:rsidRPr="001461C4">
              <w:t xml:space="preserve">Eswatini </w:t>
            </w:r>
          </w:p>
        </w:tc>
        <w:tc>
          <w:tcPr>
            <w:tcW w:w="3686" w:type="dxa"/>
            <w:shd w:val="clear" w:color="auto" w:fill="auto"/>
          </w:tcPr>
          <w:p w14:paraId="724F3B94" w14:textId="77777777" w:rsidR="00872C78" w:rsidRPr="001461C4" w:rsidRDefault="00872C78" w:rsidP="00112BD9">
            <w:pPr>
              <w:suppressAutoHyphens w:val="0"/>
              <w:spacing w:before="40" w:after="120" w:line="220" w:lineRule="exact"/>
              <w:ind w:right="113"/>
            </w:pPr>
            <w:r w:rsidRPr="001461C4">
              <w:t>24 October 2014</w:t>
            </w:r>
          </w:p>
        </w:tc>
      </w:tr>
      <w:tr w:rsidR="00872C78" w:rsidRPr="001461C4" w14:paraId="2CF82EEC" w14:textId="77777777" w:rsidTr="00112BD9">
        <w:tc>
          <w:tcPr>
            <w:tcW w:w="3684" w:type="dxa"/>
            <w:shd w:val="clear" w:color="auto" w:fill="auto"/>
          </w:tcPr>
          <w:p w14:paraId="71915D40" w14:textId="77777777" w:rsidR="00872C78" w:rsidRPr="001461C4" w:rsidRDefault="00872C78" w:rsidP="00112BD9">
            <w:pPr>
              <w:suppressAutoHyphens w:val="0"/>
              <w:spacing w:before="40" w:after="120" w:line="220" w:lineRule="exact"/>
              <w:ind w:right="113"/>
            </w:pPr>
            <w:r w:rsidRPr="001461C4">
              <w:t>Dominica</w:t>
            </w:r>
          </w:p>
        </w:tc>
        <w:tc>
          <w:tcPr>
            <w:tcW w:w="3686" w:type="dxa"/>
            <w:shd w:val="clear" w:color="auto" w:fill="auto"/>
          </w:tcPr>
          <w:p w14:paraId="70B3635F" w14:textId="77777777" w:rsidR="00872C78" w:rsidRPr="001461C4" w:rsidRDefault="00872C78" w:rsidP="00112BD9">
            <w:pPr>
              <w:suppressAutoHyphens w:val="0"/>
              <w:spacing w:before="40" w:after="120" w:line="220" w:lineRule="exact"/>
              <w:ind w:right="113"/>
            </w:pPr>
            <w:r w:rsidRPr="001461C4">
              <w:t>1 November 2014</w:t>
            </w:r>
          </w:p>
        </w:tc>
      </w:tr>
      <w:tr w:rsidR="00872C78" w:rsidRPr="001461C4" w14:paraId="6E749316" w14:textId="77777777" w:rsidTr="00112BD9">
        <w:tc>
          <w:tcPr>
            <w:tcW w:w="3684" w:type="dxa"/>
            <w:shd w:val="clear" w:color="auto" w:fill="auto"/>
          </w:tcPr>
          <w:p w14:paraId="482CCD81" w14:textId="77777777" w:rsidR="00872C78" w:rsidRPr="001461C4" w:rsidRDefault="00872C78" w:rsidP="00112BD9">
            <w:pPr>
              <w:suppressAutoHyphens w:val="0"/>
              <w:spacing w:before="40" w:after="120" w:line="220" w:lineRule="exact"/>
              <w:ind w:right="113"/>
            </w:pPr>
            <w:r w:rsidRPr="001461C4">
              <w:t>Cambodia</w:t>
            </w:r>
          </w:p>
        </w:tc>
        <w:tc>
          <w:tcPr>
            <w:tcW w:w="3686" w:type="dxa"/>
            <w:shd w:val="clear" w:color="auto" w:fill="auto"/>
          </w:tcPr>
          <w:p w14:paraId="79D4A96C" w14:textId="77777777" w:rsidR="00872C78" w:rsidRPr="001461C4" w:rsidRDefault="00872C78" w:rsidP="00112BD9">
            <w:pPr>
              <w:suppressAutoHyphens w:val="0"/>
              <w:spacing w:before="40" w:after="120" w:line="220" w:lineRule="exact"/>
              <w:ind w:right="113"/>
            </w:pPr>
            <w:r w:rsidRPr="001461C4">
              <w:t>20 January 2015</w:t>
            </w:r>
          </w:p>
        </w:tc>
      </w:tr>
      <w:tr w:rsidR="00872C78" w:rsidRPr="001461C4" w14:paraId="5DA747E6" w14:textId="77777777" w:rsidTr="00112BD9">
        <w:tc>
          <w:tcPr>
            <w:tcW w:w="3684" w:type="dxa"/>
            <w:shd w:val="clear" w:color="auto" w:fill="auto"/>
          </w:tcPr>
          <w:p w14:paraId="093BA0C4" w14:textId="77777777" w:rsidR="00872C78" w:rsidRPr="001461C4" w:rsidRDefault="00872C78" w:rsidP="00112BD9">
            <w:pPr>
              <w:suppressAutoHyphens w:val="0"/>
              <w:spacing w:before="40" w:after="120" w:line="220" w:lineRule="exact"/>
              <w:ind w:right="113"/>
            </w:pPr>
            <w:r w:rsidRPr="001461C4">
              <w:t>Barbados</w:t>
            </w:r>
          </w:p>
        </w:tc>
        <w:tc>
          <w:tcPr>
            <w:tcW w:w="3686" w:type="dxa"/>
            <w:shd w:val="clear" w:color="auto" w:fill="auto"/>
          </w:tcPr>
          <w:p w14:paraId="4F9336B9" w14:textId="77777777" w:rsidR="00872C78" w:rsidRPr="001461C4" w:rsidRDefault="00872C78" w:rsidP="00112BD9">
            <w:pPr>
              <w:suppressAutoHyphens w:val="0"/>
              <w:spacing w:before="40" w:after="120" w:line="220" w:lineRule="exact"/>
              <w:ind w:right="113"/>
            </w:pPr>
            <w:r w:rsidRPr="001461C4">
              <w:t>27 March 2015</w:t>
            </w:r>
          </w:p>
        </w:tc>
      </w:tr>
      <w:tr w:rsidR="00872C78" w:rsidRPr="001461C4" w14:paraId="33921ED4" w14:textId="77777777" w:rsidTr="00112BD9">
        <w:tc>
          <w:tcPr>
            <w:tcW w:w="3684" w:type="dxa"/>
            <w:shd w:val="clear" w:color="auto" w:fill="auto"/>
          </w:tcPr>
          <w:p w14:paraId="757E2395" w14:textId="77777777" w:rsidR="00872C78" w:rsidRPr="001461C4" w:rsidRDefault="00872C78" w:rsidP="00112BD9">
            <w:pPr>
              <w:suppressAutoHyphens w:val="0"/>
              <w:spacing w:before="40" w:after="120" w:line="220" w:lineRule="exact"/>
              <w:ind w:right="113"/>
            </w:pPr>
            <w:r w:rsidRPr="001461C4">
              <w:t>Papua New Guinea</w:t>
            </w:r>
          </w:p>
        </w:tc>
        <w:tc>
          <w:tcPr>
            <w:tcW w:w="3686" w:type="dxa"/>
            <w:shd w:val="clear" w:color="auto" w:fill="auto"/>
          </w:tcPr>
          <w:p w14:paraId="032813F4" w14:textId="77777777" w:rsidR="00872C78" w:rsidRPr="001461C4" w:rsidRDefault="00872C78" w:rsidP="00112BD9">
            <w:pPr>
              <w:suppressAutoHyphens w:val="0"/>
              <w:spacing w:before="40" w:after="120" w:line="220" w:lineRule="exact"/>
              <w:ind w:right="113"/>
            </w:pPr>
            <w:r w:rsidRPr="001461C4">
              <w:t>26 October 2015</w:t>
            </w:r>
          </w:p>
        </w:tc>
      </w:tr>
      <w:tr w:rsidR="00872C78" w:rsidRPr="001461C4" w14:paraId="62009A3A" w14:textId="77777777" w:rsidTr="00112BD9">
        <w:tc>
          <w:tcPr>
            <w:tcW w:w="3684" w:type="dxa"/>
            <w:shd w:val="clear" w:color="auto" w:fill="auto"/>
          </w:tcPr>
          <w:p w14:paraId="07B584C9" w14:textId="77777777" w:rsidR="00872C78" w:rsidRPr="001461C4" w:rsidRDefault="00872C78" w:rsidP="00112BD9">
            <w:pPr>
              <w:suppressAutoHyphens w:val="0"/>
              <w:spacing w:before="40" w:after="120" w:line="220" w:lineRule="exact"/>
              <w:ind w:right="113"/>
            </w:pPr>
            <w:r w:rsidRPr="001461C4">
              <w:t>Côte d</w:t>
            </w:r>
            <w:r>
              <w:t>’</w:t>
            </w:r>
            <w:r w:rsidRPr="001461C4">
              <w:t>Ivoire</w:t>
            </w:r>
          </w:p>
        </w:tc>
        <w:tc>
          <w:tcPr>
            <w:tcW w:w="3686" w:type="dxa"/>
            <w:shd w:val="clear" w:color="auto" w:fill="auto"/>
          </w:tcPr>
          <w:p w14:paraId="59B3CE5D" w14:textId="77777777" w:rsidR="00872C78" w:rsidRPr="001461C4" w:rsidRDefault="00872C78" w:rsidP="00112BD9">
            <w:pPr>
              <w:suppressAutoHyphens w:val="0"/>
              <w:spacing w:before="40" w:after="120" w:line="220" w:lineRule="exact"/>
              <w:ind w:right="113"/>
            </w:pPr>
            <w:r w:rsidRPr="001461C4">
              <w:t>10 February 2016</w:t>
            </w:r>
          </w:p>
        </w:tc>
      </w:tr>
      <w:tr w:rsidR="00872C78" w:rsidRPr="001461C4" w14:paraId="604ECB20" w14:textId="77777777" w:rsidTr="00112BD9">
        <w:tc>
          <w:tcPr>
            <w:tcW w:w="3684" w:type="dxa"/>
            <w:shd w:val="clear" w:color="auto" w:fill="auto"/>
          </w:tcPr>
          <w:p w14:paraId="4C29981C" w14:textId="77777777" w:rsidR="00872C78" w:rsidRPr="001461C4" w:rsidRDefault="00872C78" w:rsidP="00112BD9">
            <w:pPr>
              <w:suppressAutoHyphens w:val="0"/>
              <w:spacing w:before="40" w:after="120" w:line="220" w:lineRule="exact"/>
              <w:ind w:right="113"/>
            </w:pPr>
            <w:r w:rsidRPr="001461C4">
              <w:t>Grenada</w:t>
            </w:r>
          </w:p>
        </w:tc>
        <w:tc>
          <w:tcPr>
            <w:tcW w:w="3686" w:type="dxa"/>
            <w:shd w:val="clear" w:color="auto" w:fill="auto"/>
          </w:tcPr>
          <w:p w14:paraId="72BD395E" w14:textId="77777777" w:rsidR="00872C78" w:rsidRPr="001461C4" w:rsidRDefault="00872C78" w:rsidP="00112BD9">
            <w:pPr>
              <w:suppressAutoHyphens w:val="0"/>
              <w:spacing w:before="40" w:after="120" w:line="220" w:lineRule="exact"/>
              <w:ind w:right="113"/>
            </w:pPr>
            <w:r w:rsidRPr="001461C4">
              <w:t>17 September 2016</w:t>
            </w:r>
          </w:p>
        </w:tc>
      </w:tr>
      <w:tr w:rsidR="00872C78" w:rsidRPr="001461C4" w14:paraId="0FDE93C1" w14:textId="77777777" w:rsidTr="00112BD9">
        <w:tc>
          <w:tcPr>
            <w:tcW w:w="3684" w:type="dxa"/>
            <w:shd w:val="clear" w:color="auto" w:fill="auto"/>
          </w:tcPr>
          <w:p w14:paraId="49D36DC1" w14:textId="77777777" w:rsidR="00872C78" w:rsidRPr="001461C4" w:rsidRDefault="00872C78" w:rsidP="00112BD9">
            <w:pPr>
              <w:suppressAutoHyphens w:val="0"/>
              <w:spacing w:before="40" w:after="120" w:line="220" w:lineRule="exact"/>
              <w:ind w:right="113"/>
            </w:pPr>
            <w:r w:rsidRPr="001461C4">
              <w:t>Congo</w:t>
            </w:r>
          </w:p>
        </w:tc>
        <w:tc>
          <w:tcPr>
            <w:tcW w:w="3686" w:type="dxa"/>
            <w:shd w:val="clear" w:color="auto" w:fill="auto"/>
          </w:tcPr>
          <w:p w14:paraId="4F266ADE" w14:textId="77777777" w:rsidR="00872C78" w:rsidRPr="001461C4" w:rsidRDefault="00872C78" w:rsidP="00112BD9">
            <w:pPr>
              <w:suppressAutoHyphens w:val="0"/>
              <w:spacing w:before="40" w:after="120" w:line="220" w:lineRule="exact"/>
              <w:ind w:right="113"/>
            </w:pPr>
            <w:r w:rsidRPr="001461C4">
              <w:t>2 October 2016</w:t>
            </w:r>
          </w:p>
        </w:tc>
      </w:tr>
      <w:tr w:rsidR="00872C78" w:rsidRPr="001461C4" w14:paraId="0541C393" w14:textId="77777777" w:rsidTr="00112BD9">
        <w:tc>
          <w:tcPr>
            <w:tcW w:w="3684" w:type="dxa"/>
            <w:shd w:val="clear" w:color="auto" w:fill="auto"/>
          </w:tcPr>
          <w:p w14:paraId="68D70311" w14:textId="77777777" w:rsidR="00872C78" w:rsidRPr="001461C4" w:rsidRDefault="00872C78" w:rsidP="00112BD9">
            <w:pPr>
              <w:suppressAutoHyphens w:val="0"/>
              <w:spacing w:before="40" w:after="120" w:line="220" w:lineRule="exact"/>
              <w:ind w:right="113"/>
            </w:pPr>
            <w:r w:rsidRPr="001461C4">
              <w:t>Guyana</w:t>
            </w:r>
          </w:p>
        </w:tc>
        <w:tc>
          <w:tcPr>
            <w:tcW w:w="3686" w:type="dxa"/>
            <w:shd w:val="clear" w:color="auto" w:fill="auto"/>
          </w:tcPr>
          <w:p w14:paraId="1B9D869C" w14:textId="77777777" w:rsidR="00872C78" w:rsidRPr="001461C4" w:rsidRDefault="00872C78" w:rsidP="00112BD9">
            <w:pPr>
              <w:suppressAutoHyphens w:val="0"/>
              <w:spacing w:before="40" w:after="120" w:line="220" w:lineRule="exact"/>
              <w:ind w:right="113"/>
            </w:pPr>
            <w:r w:rsidRPr="001461C4">
              <w:t>10 October 2016</w:t>
            </w:r>
          </w:p>
        </w:tc>
      </w:tr>
      <w:tr w:rsidR="00872C78" w:rsidRPr="001461C4" w14:paraId="5C1FAA32" w14:textId="77777777" w:rsidTr="00112BD9">
        <w:tc>
          <w:tcPr>
            <w:tcW w:w="3684" w:type="dxa"/>
            <w:shd w:val="clear" w:color="auto" w:fill="auto"/>
          </w:tcPr>
          <w:p w14:paraId="46F89B05" w14:textId="77777777" w:rsidR="00872C78" w:rsidRPr="001461C4" w:rsidRDefault="00872C78" w:rsidP="00112BD9">
            <w:pPr>
              <w:suppressAutoHyphens w:val="0"/>
              <w:spacing w:before="40" w:after="120" w:line="220" w:lineRule="exact"/>
              <w:ind w:right="113"/>
            </w:pPr>
            <w:r w:rsidRPr="001461C4">
              <w:t>Guinea-Bissau</w:t>
            </w:r>
          </w:p>
        </w:tc>
        <w:tc>
          <w:tcPr>
            <w:tcW w:w="3686" w:type="dxa"/>
            <w:shd w:val="clear" w:color="auto" w:fill="auto"/>
          </w:tcPr>
          <w:p w14:paraId="4A5FE6A2" w14:textId="77777777" w:rsidR="00872C78" w:rsidRPr="001461C4" w:rsidRDefault="00872C78" w:rsidP="00112BD9">
            <w:pPr>
              <w:suppressAutoHyphens w:val="0"/>
              <w:spacing w:before="40" w:after="120" w:line="220" w:lineRule="exact"/>
              <w:ind w:right="113"/>
            </w:pPr>
            <w:r w:rsidRPr="001461C4">
              <w:t>24 October 2016</w:t>
            </w:r>
          </w:p>
        </w:tc>
      </w:tr>
      <w:tr w:rsidR="00872C78" w:rsidRPr="001461C4" w14:paraId="654620E4" w14:textId="77777777" w:rsidTr="00112BD9">
        <w:trPr>
          <w:trHeight w:val="461"/>
        </w:trPr>
        <w:tc>
          <w:tcPr>
            <w:tcW w:w="3684" w:type="dxa"/>
            <w:shd w:val="clear" w:color="auto" w:fill="auto"/>
          </w:tcPr>
          <w:p w14:paraId="45D115BB" w14:textId="77777777" w:rsidR="00872C78" w:rsidRPr="001461C4" w:rsidRDefault="00872C78" w:rsidP="00112BD9">
            <w:pPr>
              <w:suppressAutoHyphens w:val="0"/>
              <w:spacing w:before="40" w:after="120" w:line="220" w:lineRule="exact"/>
              <w:ind w:right="113"/>
            </w:pPr>
            <w:r>
              <w:t>Madagascar</w:t>
            </w:r>
          </w:p>
        </w:tc>
        <w:tc>
          <w:tcPr>
            <w:tcW w:w="3686" w:type="dxa"/>
            <w:shd w:val="clear" w:color="auto" w:fill="auto"/>
          </w:tcPr>
          <w:p w14:paraId="013B9169" w14:textId="77777777" w:rsidR="00872C78" w:rsidRPr="001461C4" w:rsidRDefault="00872C78" w:rsidP="00112BD9">
            <w:pPr>
              <w:suppressAutoHyphens w:val="0"/>
              <w:spacing w:before="40" w:after="120" w:line="220" w:lineRule="exact"/>
              <w:ind w:right="113"/>
            </w:pPr>
            <w:r>
              <w:t xml:space="preserve">12 July 2017 </w:t>
            </w:r>
          </w:p>
        </w:tc>
      </w:tr>
      <w:tr w:rsidR="00872C78" w:rsidRPr="001461C4" w14:paraId="5FAAAA7A" w14:textId="77777777" w:rsidTr="00112BD9">
        <w:tc>
          <w:tcPr>
            <w:tcW w:w="3684" w:type="dxa"/>
            <w:shd w:val="clear" w:color="auto" w:fill="auto"/>
          </w:tcPr>
          <w:p w14:paraId="4E68AA10" w14:textId="77777777" w:rsidR="00872C78" w:rsidRDefault="00872C78" w:rsidP="00112BD9">
            <w:pPr>
              <w:suppressAutoHyphens w:val="0"/>
              <w:spacing w:before="40" w:after="120" w:line="220" w:lineRule="exact"/>
              <w:ind w:right="113"/>
            </w:pPr>
            <w:r>
              <w:t>Gambia</w:t>
            </w:r>
          </w:p>
        </w:tc>
        <w:tc>
          <w:tcPr>
            <w:tcW w:w="3686" w:type="dxa"/>
            <w:shd w:val="clear" w:color="auto" w:fill="auto"/>
          </w:tcPr>
          <w:p w14:paraId="205107F3" w14:textId="77777777" w:rsidR="00872C78" w:rsidRPr="001461C4" w:rsidRDefault="00872C78" w:rsidP="00112BD9">
            <w:pPr>
              <w:suppressAutoHyphens w:val="0"/>
              <w:spacing w:before="40" w:after="120" w:line="220" w:lineRule="exact"/>
              <w:ind w:right="113"/>
            </w:pPr>
            <w:r>
              <w:t>6 August 2017</w:t>
            </w:r>
          </w:p>
        </w:tc>
      </w:tr>
      <w:tr w:rsidR="00872C78" w:rsidRPr="001461C4" w14:paraId="77478408" w14:textId="77777777" w:rsidTr="00112BD9">
        <w:tc>
          <w:tcPr>
            <w:tcW w:w="3684" w:type="dxa"/>
            <w:shd w:val="clear" w:color="auto" w:fill="auto"/>
          </w:tcPr>
          <w:p w14:paraId="315AE2D0" w14:textId="77777777" w:rsidR="00872C78" w:rsidRDefault="00872C78" w:rsidP="00112BD9">
            <w:pPr>
              <w:suppressAutoHyphens w:val="0"/>
              <w:spacing w:before="40" w:after="120" w:line="220" w:lineRule="exact"/>
              <w:ind w:right="113"/>
            </w:pPr>
            <w:r>
              <w:t>Bahamas</w:t>
            </w:r>
          </w:p>
        </w:tc>
        <w:tc>
          <w:tcPr>
            <w:tcW w:w="3686" w:type="dxa"/>
            <w:shd w:val="clear" w:color="auto" w:fill="auto"/>
          </w:tcPr>
          <w:p w14:paraId="06BC0CE6" w14:textId="77777777" w:rsidR="00872C78" w:rsidRDefault="00872C78" w:rsidP="00112BD9">
            <w:pPr>
              <w:suppressAutoHyphens w:val="0"/>
              <w:spacing w:before="40" w:after="120" w:line="220" w:lineRule="exact"/>
              <w:ind w:right="113"/>
            </w:pPr>
            <w:r>
              <w:t>28 October 2017</w:t>
            </w:r>
          </w:p>
        </w:tc>
      </w:tr>
      <w:tr w:rsidR="00872C78" w:rsidRPr="001461C4" w14:paraId="33C25663" w14:textId="77777777" w:rsidTr="00112BD9">
        <w:tc>
          <w:tcPr>
            <w:tcW w:w="3684" w:type="dxa"/>
            <w:shd w:val="clear" w:color="auto" w:fill="auto"/>
          </w:tcPr>
          <w:p w14:paraId="0DA114C1" w14:textId="77777777" w:rsidR="00872C78" w:rsidRDefault="00872C78" w:rsidP="00112BD9">
            <w:pPr>
              <w:suppressAutoHyphens w:val="0"/>
              <w:spacing w:before="40" w:after="120" w:line="220" w:lineRule="exact"/>
              <w:ind w:right="113"/>
            </w:pPr>
            <w:r>
              <w:t>Democratic Republic of the Congo</w:t>
            </w:r>
          </w:p>
        </w:tc>
        <w:tc>
          <w:tcPr>
            <w:tcW w:w="3686" w:type="dxa"/>
            <w:shd w:val="clear" w:color="auto" w:fill="auto"/>
          </w:tcPr>
          <w:p w14:paraId="77A5EEAD" w14:textId="77777777" w:rsidR="00872C78" w:rsidRDefault="00872C78" w:rsidP="00112BD9">
            <w:pPr>
              <w:suppressAutoHyphens w:val="0"/>
              <w:spacing w:before="40" w:after="120" w:line="220" w:lineRule="exact"/>
              <w:ind w:right="113"/>
            </w:pPr>
            <w:r>
              <w:t>30 October 2017</w:t>
            </w:r>
          </w:p>
        </w:tc>
      </w:tr>
      <w:tr w:rsidR="00872C78" w:rsidRPr="001461C4" w14:paraId="253E345F" w14:textId="77777777" w:rsidTr="00112BD9">
        <w:tc>
          <w:tcPr>
            <w:tcW w:w="3684" w:type="dxa"/>
            <w:shd w:val="clear" w:color="auto" w:fill="auto"/>
          </w:tcPr>
          <w:p w14:paraId="4178F167" w14:textId="77777777" w:rsidR="00872C78" w:rsidRDefault="00872C78" w:rsidP="00112BD9">
            <w:pPr>
              <w:suppressAutoHyphens w:val="0"/>
              <w:spacing w:before="40" w:after="120" w:line="220" w:lineRule="exact"/>
              <w:ind w:right="113"/>
            </w:pPr>
            <w:r>
              <w:t xml:space="preserve">Sao Tome and Principe </w:t>
            </w:r>
          </w:p>
        </w:tc>
        <w:tc>
          <w:tcPr>
            <w:tcW w:w="3686" w:type="dxa"/>
            <w:shd w:val="clear" w:color="auto" w:fill="auto"/>
          </w:tcPr>
          <w:p w14:paraId="57D1C34D" w14:textId="77777777" w:rsidR="00872C78" w:rsidRDefault="00872C78" w:rsidP="00112BD9">
            <w:pPr>
              <w:suppressAutoHyphens w:val="0"/>
              <w:spacing w:before="40" w:after="120" w:line="220" w:lineRule="exact"/>
              <w:ind w:right="113"/>
            </w:pPr>
            <w:r>
              <w:t>5 December 2017</w:t>
            </w:r>
          </w:p>
        </w:tc>
      </w:tr>
      <w:tr w:rsidR="00872C78" w:rsidRPr="001461C4" w14:paraId="4C23F039" w14:textId="77777777" w:rsidTr="00112BD9">
        <w:tc>
          <w:tcPr>
            <w:tcW w:w="3684" w:type="dxa"/>
            <w:shd w:val="clear" w:color="auto" w:fill="auto"/>
          </w:tcPr>
          <w:p w14:paraId="5E6BDA5B" w14:textId="77777777" w:rsidR="00872C78" w:rsidRDefault="00872C78" w:rsidP="00112BD9">
            <w:pPr>
              <w:suppressAutoHyphens w:val="0"/>
              <w:spacing w:before="40" w:after="120" w:line="220" w:lineRule="exact"/>
              <w:ind w:right="113"/>
            </w:pPr>
            <w:r>
              <w:t>Antigua and Barbuda</w:t>
            </w:r>
          </w:p>
        </w:tc>
        <w:tc>
          <w:tcPr>
            <w:tcW w:w="3686" w:type="dxa"/>
            <w:shd w:val="clear" w:color="auto" w:fill="auto"/>
          </w:tcPr>
          <w:p w14:paraId="6AA4B796" w14:textId="77777777" w:rsidR="00872C78" w:rsidRDefault="00872C78" w:rsidP="00112BD9">
            <w:pPr>
              <w:suppressAutoHyphens w:val="0"/>
              <w:spacing w:before="40" w:after="120" w:line="220" w:lineRule="exact"/>
              <w:ind w:right="113"/>
            </w:pPr>
            <w:r>
              <w:t>7 February 2018</w:t>
            </w:r>
          </w:p>
        </w:tc>
      </w:tr>
      <w:tr w:rsidR="00872C78" w:rsidRPr="001461C4" w14:paraId="53C73946" w14:textId="77777777" w:rsidTr="00112BD9">
        <w:tc>
          <w:tcPr>
            <w:tcW w:w="3684" w:type="dxa"/>
            <w:shd w:val="clear" w:color="auto" w:fill="auto"/>
          </w:tcPr>
          <w:p w14:paraId="19C3A8C8" w14:textId="77777777" w:rsidR="00872C78" w:rsidRDefault="00872C78" w:rsidP="00112BD9">
            <w:pPr>
              <w:suppressAutoHyphens w:val="0"/>
              <w:spacing w:before="40" w:after="120" w:line="220" w:lineRule="exact"/>
              <w:ind w:right="113"/>
            </w:pPr>
            <w:r>
              <w:t>Brunei Darussalam</w:t>
            </w:r>
          </w:p>
        </w:tc>
        <w:tc>
          <w:tcPr>
            <w:tcW w:w="3686" w:type="dxa"/>
            <w:shd w:val="clear" w:color="auto" w:fill="auto"/>
          </w:tcPr>
          <w:p w14:paraId="022EAD9E" w14:textId="77777777" w:rsidR="00872C78" w:rsidRDefault="00872C78" w:rsidP="00112BD9">
            <w:pPr>
              <w:suppressAutoHyphens w:val="0"/>
              <w:spacing w:before="40" w:after="120" w:line="220" w:lineRule="exact"/>
              <w:ind w:right="113"/>
            </w:pPr>
            <w:r>
              <w:t>11 May 2018</w:t>
            </w:r>
          </w:p>
        </w:tc>
      </w:tr>
      <w:tr w:rsidR="00872C78" w:rsidRPr="001461C4" w14:paraId="3AF853A7" w14:textId="77777777" w:rsidTr="00112BD9">
        <w:tc>
          <w:tcPr>
            <w:tcW w:w="3684" w:type="dxa"/>
            <w:shd w:val="clear" w:color="auto" w:fill="auto"/>
          </w:tcPr>
          <w:p w14:paraId="1CED1916" w14:textId="77777777" w:rsidR="00872C78" w:rsidRDefault="00872C78" w:rsidP="00112BD9">
            <w:pPr>
              <w:suppressAutoHyphens w:val="0"/>
              <w:spacing w:before="40" w:after="120" w:line="220" w:lineRule="exact"/>
              <w:ind w:right="113"/>
            </w:pPr>
            <w:r>
              <w:t>Comoros</w:t>
            </w:r>
          </w:p>
        </w:tc>
        <w:tc>
          <w:tcPr>
            <w:tcW w:w="3686" w:type="dxa"/>
            <w:shd w:val="clear" w:color="auto" w:fill="auto"/>
          </w:tcPr>
          <w:p w14:paraId="4EE825A0" w14:textId="77777777" w:rsidR="00872C78" w:rsidRDefault="00872C78" w:rsidP="00112BD9">
            <w:pPr>
              <w:suppressAutoHyphens w:val="0"/>
              <w:spacing w:before="40" w:after="120" w:line="220" w:lineRule="exact"/>
              <w:ind w:right="113"/>
            </w:pPr>
            <w:r>
              <w:t>16 July 2018</w:t>
            </w:r>
          </w:p>
        </w:tc>
      </w:tr>
    </w:tbl>
    <w:p w14:paraId="63ADF00D" w14:textId="5A631763" w:rsidR="00872C78" w:rsidRDefault="00872C78" w:rsidP="00872C78">
      <w:pPr>
        <w:suppressAutoHyphens w:val="0"/>
        <w:spacing w:after="200" w:line="276" w:lineRule="auto"/>
        <w:sectPr w:rsidR="00872C78" w:rsidSect="00C57B42">
          <w:headerReference w:type="even" r:id="rId15"/>
          <w:footerReference w:type="even" r:id="rId16"/>
          <w:headerReference w:type="first" r:id="rId17"/>
          <w:footerReference w:type="first" r:id="rId18"/>
          <w:footnotePr>
            <w:numRestart w:val="eachSect"/>
          </w:footnotePr>
          <w:endnotePr>
            <w:numFmt w:val="decimal"/>
          </w:endnotePr>
          <w:pgSz w:w="11907" w:h="16840" w:code="9"/>
          <w:pgMar w:top="1417" w:right="1134" w:bottom="1134" w:left="1134" w:header="850" w:footer="567" w:gutter="0"/>
          <w:cols w:space="720"/>
          <w:titlePg/>
          <w:docGrid w:linePitch="272"/>
        </w:sectPr>
      </w:pPr>
    </w:p>
    <w:p w14:paraId="22DF2061" w14:textId="77777777" w:rsidR="00872C78" w:rsidRPr="001461C4" w:rsidRDefault="00872C78" w:rsidP="00872C78">
      <w:pPr>
        <w:pStyle w:val="HChG"/>
        <w:rPr>
          <w:u w:val="single"/>
        </w:rPr>
      </w:pPr>
      <w:r w:rsidRPr="001461C4">
        <w:t>Annex III</w:t>
      </w:r>
    </w:p>
    <w:p w14:paraId="64E9F42A" w14:textId="77777777" w:rsidR="00872C78" w:rsidRDefault="00872C78" w:rsidP="00872C78">
      <w:pPr>
        <w:pStyle w:val="HChG"/>
      </w:pPr>
      <w:r w:rsidRPr="001461C4">
        <w:tab/>
      </w:r>
      <w:r>
        <w:tab/>
      </w:r>
      <w:r w:rsidRPr="00787AF0">
        <w:t>Summary</w:t>
      </w:r>
      <w:r>
        <w:t xml:space="preserve"> of Views and decisions adopted by the Committee regarding individual communications</w:t>
      </w:r>
    </w:p>
    <w:p w14:paraId="7E48E1AB" w14:textId="77777777" w:rsidR="00872C78" w:rsidRPr="001B37FC" w:rsidRDefault="00872C78" w:rsidP="00872C78">
      <w:pPr>
        <w:pStyle w:val="H23G"/>
        <w:rPr>
          <w:i/>
          <w:iCs/>
        </w:rPr>
      </w:pPr>
      <w:r w:rsidRPr="00A07AB4">
        <w:rPr>
          <w:lang w:val="en-US"/>
        </w:rPr>
        <w:tab/>
      </w:r>
      <w:r w:rsidRPr="00A07AB4">
        <w:rPr>
          <w:lang w:val="en-US"/>
        </w:rPr>
        <w:tab/>
      </w:r>
      <w:r w:rsidRPr="001B37FC">
        <w:rPr>
          <w:i/>
          <w:iCs/>
        </w:rPr>
        <w:t>J.M.V.A. v. Spain</w:t>
      </w:r>
    </w:p>
    <w:p w14:paraId="4D066B56" w14:textId="77777777" w:rsidR="00872C78" w:rsidRPr="001B37FC" w:rsidRDefault="00872C78" w:rsidP="00872C78">
      <w:pPr>
        <w:tabs>
          <w:tab w:val="left" w:pos="1701"/>
          <w:tab w:val="left" w:pos="2268"/>
        </w:tabs>
        <w:spacing w:after="120"/>
        <w:ind w:left="1134" w:right="1134"/>
        <w:jc w:val="both"/>
      </w:pPr>
      <w:r w:rsidRPr="001B37FC">
        <w:t>1.</w:t>
      </w:r>
      <w:r w:rsidRPr="001B37FC">
        <w:tab/>
        <w:t xml:space="preserve">The Committee examined the communication in the case of </w:t>
      </w:r>
      <w:r w:rsidRPr="001B37FC">
        <w:rPr>
          <w:i/>
          <w:iCs/>
        </w:rPr>
        <w:t>J.M.V.A. v. Spain</w:t>
      </w:r>
      <w:r w:rsidRPr="001B37FC">
        <w:t>.</w:t>
      </w:r>
      <w:r w:rsidRPr="008A30E4">
        <w:rPr>
          <w:rStyle w:val="FootnoteReference"/>
        </w:rPr>
        <w:footnoteReference w:id="17"/>
      </w:r>
      <w:r w:rsidRPr="001B37FC">
        <w:t xml:space="preserve"> The author is a national </w:t>
      </w:r>
      <w:r>
        <w:t xml:space="preserve">of Spain </w:t>
      </w:r>
      <w:r w:rsidRPr="001B37FC">
        <w:t>born in 19</w:t>
      </w:r>
      <w:r>
        <w:t>6</w:t>
      </w:r>
      <w:r w:rsidRPr="001B37FC">
        <w:t xml:space="preserve">4. </w:t>
      </w:r>
      <w:r w:rsidRPr="006239EE">
        <w:t>He claim</w:t>
      </w:r>
      <w:r>
        <w:t>ed</w:t>
      </w:r>
      <w:r w:rsidRPr="006239EE">
        <w:t xml:space="preserve"> that the State party </w:t>
      </w:r>
      <w:r>
        <w:t>violated</w:t>
      </w:r>
      <w:r w:rsidRPr="001B37FC">
        <w:t xml:space="preserve"> his rights under article 27 (1) (a), (b), (e), (g), (i) and (k), read alone and in conjunction with article 3 (a)–(e); article 4 (1) (a), (b) and (d)</w:t>
      </w:r>
      <w:r>
        <w:t xml:space="preserve"> and (5)</w:t>
      </w:r>
      <w:r w:rsidRPr="001B37FC">
        <w:t>; article 5 (1)–(3); and article 13 (2) of the Convention</w:t>
      </w:r>
      <w:r w:rsidRPr="00AE5EC7">
        <w:t xml:space="preserve"> </w:t>
      </w:r>
      <w:r>
        <w:t xml:space="preserve">by </w:t>
      </w:r>
      <w:r w:rsidRPr="001B37FC">
        <w:t>fail</w:t>
      </w:r>
      <w:r>
        <w:t>ing</w:t>
      </w:r>
      <w:r w:rsidRPr="001B37FC">
        <w:t xml:space="preserve"> to allow him to continue working under </w:t>
      </w:r>
      <w:r>
        <w:t xml:space="preserve">the status of </w:t>
      </w:r>
      <w:r w:rsidRPr="001B37FC">
        <w:t>modified duty</w:t>
      </w:r>
      <w:r>
        <w:t xml:space="preserve"> after acquiring a disability</w:t>
      </w:r>
      <w:r w:rsidRPr="001B37FC">
        <w:t>.</w:t>
      </w:r>
    </w:p>
    <w:p w14:paraId="0A5092CB" w14:textId="77777777" w:rsidR="00872C78" w:rsidRPr="001B37FC" w:rsidRDefault="00872C78" w:rsidP="00872C78">
      <w:pPr>
        <w:tabs>
          <w:tab w:val="left" w:pos="1701"/>
          <w:tab w:val="left" w:pos="2268"/>
        </w:tabs>
        <w:spacing w:after="120"/>
        <w:ind w:left="1134" w:right="1134"/>
        <w:jc w:val="both"/>
      </w:pPr>
      <w:r>
        <w:t>2.</w:t>
      </w:r>
      <w:r>
        <w:tab/>
      </w:r>
      <w:r w:rsidRPr="001B37FC">
        <w:t xml:space="preserve">The author worked as an officer in the L’Hospitalitet de Llobregat municipal police in Catalonia. In 2008, he acquired a disability </w:t>
      </w:r>
      <w:r>
        <w:t>as a result of</w:t>
      </w:r>
      <w:r w:rsidRPr="001B37FC">
        <w:t xml:space="preserve"> a traffic incident. </w:t>
      </w:r>
      <w:r>
        <w:t>T</w:t>
      </w:r>
      <w:r w:rsidRPr="001B37FC">
        <w:t xml:space="preserve">he Ministry of Labour and Immigration declared that </w:t>
      </w:r>
      <w:r>
        <w:t>his</w:t>
      </w:r>
      <w:r w:rsidRPr="001B37FC">
        <w:t xml:space="preserve"> status was one of “total permanent disability for the performance of his occupation”. The author submitted an administrative application to L’Hospitalet de Llobregat Municipal Council requesting </w:t>
      </w:r>
      <w:r>
        <w:t>that he</w:t>
      </w:r>
      <w:r w:rsidRPr="001B37FC">
        <w:t xml:space="preserve"> be assigned the special administrative status of “modified duty”. However, </w:t>
      </w:r>
      <w:r>
        <w:t>the</w:t>
      </w:r>
      <w:r w:rsidRPr="001B37FC">
        <w:t xml:space="preserve"> Municipal Council rejected his application</w:t>
      </w:r>
      <w:r>
        <w:t xml:space="preserve"> and</w:t>
      </w:r>
      <w:r w:rsidRPr="001B37FC">
        <w:t xml:space="preserve"> </w:t>
      </w:r>
      <w:r>
        <w:t>o</w:t>
      </w:r>
      <w:r w:rsidRPr="001B37FC">
        <w:t>n appeal, Barcelona Administrative Court No. 5 confirmed th</w:t>
      </w:r>
      <w:r>
        <w:t>at</w:t>
      </w:r>
      <w:r w:rsidRPr="001B37FC">
        <w:t xml:space="preserve"> initial decision. The author’s subsequent appeal was denied by the High Court of Justice of Catalonia. The author then filed a petition for </w:t>
      </w:r>
      <w:r w:rsidRPr="001B37FC">
        <w:rPr>
          <w:i/>
          <w:iCs/>
        </w:rPr>
        <w:t>amparo</w:t>
      </w:r>
      <w:r w:rsidRPr="001B37FC">
        <w:t xml:space="preserve"> with the Constitutional Court, which </w:t>
      </w:r>
      <w:r>
        <w:t>was</w:t>
      </w:r>
      <w:r w:rsidRPr="001B37FC">
        <w:t xml:space="preserve"> dismissed on procedural grounds.</w:t>
      </w:r>
    </w:p>
    <w:p w14:paraId="501C3356" w14:textId="77777777" w:rsidR="00872C78" w:rsidRPr="001B37FC" w:rsidRDefault="00872C78" w:rsidP="00872C78">
      <w:pPr>
        <w:tabs>
          <w:tab w:val="left" w:pos="1701"/>
          <w:tab w:val="left" w:pos="2268"/>
        </w:tabs>
        <w:spacing w:after="120"/>
        <w:ind w:left="1134" w:right="1134"/>
        <w:jc w:val="both"/>
        <w:rPr>
          <w:color w:val="000000"/>
        </w:rPr>
      </w:pPr>
      <w:r>
        <w:rPr>
          <w:color w:val="000000"/>
        </w:rPr>
        <w:t>3</w:t>
      </w:r>
      <w:r w:rsidRPr="001B37FC">
        <w:rPr>
          <w:color w:val="000000"/>
        </w:rPr>
        <w:t>.</w:t>
      </w:r>
      <w:r>
        <w:rPr>
          <w:color w:val="000000"/>
        </w:rPr>
        <w:tab/>
      </w:r>
      <w:r w:rsidRPr="001B37FC">
        <w:rPr>
          <w:color w:val="000000"/>
        </w:rPr>
        <w:t>The State party contended that the communication should be found inadmissible for failure to exhaust domestic remedies, or, if the Committee found the communication admissible, that the allegations were without merit.</w:t>
      </w:r>
    </w:p>
    <w:p w14:paraId="64EA4FEB" w14:textId="77777777" w:rsidR="00872C78" w:rsidRPr="001B37FC" w:rsidRDefault="00872C78" w:rsidP="00872C78">
      <w:pPr>
        <w:pStyle w:val="SingleTxtG"/>
      </w:pPr>
      <w:r>
        <w:t>4</w:t>
      </w:r>
      <w:r w:rsidRPr="001B37FC">
        <w:t>.</w:t>
      </w:r>
      <w:r>
        <w:tab/>
      </w:r>
      <w:r w:rsidRPr="001B37FC">
        <w:t>In its considerations, the Committee recalled that article 27 (1) of the Convention require</w:t>
      </w:r>
      <w:r>
        <w:t>s</w:t>
      </w:r>
      <w:r w:rsidRPr="001B37FC">
        <w:t xml:space="preserve"> States parties to recognize the right of persons with disabilities to retain their employment, on an equal basis with others; to take all appropriate steps, including through legislation, to prohibit discrimination on the basis of disability with regard to the continuance of employment; and to ensure that reasonable accommodation </w:t>
      </w:r>
      <w:r>
        <w:t>i</w:t>
      </w:r>
      <w:r w:rsidRPr="001B37FC">
        <w:t xml:space="preserve">s provided to persons who acquire a disability during the course of employment. It also recalled its general comment No. 6 (2018) on equality and non-discrimination, in which it stated that in order to achieve de facto equality in terms of the Convention, States parties must ensure that there was no discrimination on the grounds of disability in connection with work and employment. The Committee further recalled that the process of seeking reasonable accommodation should be cooperative and interactive and aim to strike the best possible balance between the needs of the </w:t>
      </w:r>
      <w:r w:rsidRPr="006741BD">
        <w:t>employee</w:t>
      </w:r>
      <w:r w:rsidRPr="001B37FC">
        <w:t xml:space="preserve"> and </w:t>
      </w:r>
      <w:r>
        <w:t xml:space="preserve">those of </w:t>
      </w:r>
      <w:r w:rsidRPr="001B37FC">
        <w:t>the employer. In determining which reasonable accommodation measures to adopt, the State party must ensure that the public authorities identif</w:t>
      </w:r>
      <w:r>
        <w:t>ied</w:t>
      </w:r>
      <w:r w:rsidRPr="001B37FC">
        <w:t xml:space="preserve"> the effective adjustments that could be made to enable the employee to carry out his or her key duties. The Committee noted that the failure to enact local modified-duty regulations had ruled out the possibility of evaluating the barriers to the author’s retention within the police force</w:t>
      </w:r>
      <w:r>
        <w:t>,</w:t>
      </w:r>
      <w:r w:rsidRPr="001B37FC">
        <w:t xml:space="preserve"> as he had been deprived of his status as a public official upon his mandatory retirement and had no possibility to request reasonable accommodation that would have enabled him to perform modified duty.</w:t>
      </w:r>
    </w:p>
    <w:p w14:paraId="0C08D6DF" w14:textId="77777777" w:rsidR="00872C78" w:rsidRPr="001B37FC" w:rsidRDefault="00872C78" w:rsidP="00872C78">
      <w:pPr>
        <w:pStyle w:val="SingleTxtG"/>
      </w:pPr>
      <w:r>
        <w:t>5</w:t>
      </w:r>
      <w:r w:rsidRPr="001B37FC">
        <w:t>.</w:t>
      </w:r>
      <w:r>
        <w:tab/>
      </w:r>
      <w:r w:rsidRPr="001B37FC">
        <w:t>The Committee therefore concluded that the author’s mandatory retirement constituted a violation of article 27 (1) (a), (b), (e), (g), (i) and (k), read alone and in conjunction with article 3 (a)</w:t>
      </w:r>
      <w:r>
        <w:t>–</w:t>
      </w:r>
      <w:r w:rsidRPr="001B37FC">
        <w:t>(e); article 4 (1) (a), (b), (d) and (5)</w:t>
      </w:r>
      <w:r>
        <w:t>;</w:t>
      </w:r>
      <w:r w:rsidRPr="001B37FC">
        <w:t xml:space="preserve"> and article 5 (1)</w:t>
      </w:r>
      <w:r>
        <w:t>–</w:t>
      </w:r>
      <w:r w:rsidRPr="001B37FC">
        <w:t>(3) of the Convention.</w:t>
      </w:r>
    </w:p>
    <w:p w14:paraId="4A27DD16" w14:textId="77777777" w:rsidR="00872C78" w:rsidRPr="001B37FC" w:rsidRDefault="00872C78" w:rsidP="00872C78">
      <w:pPr>
        <w:pStyle w:val="SingleTxtG"/>
      </w:pPr>
      <w:r>
        <w:t>6</w:t>
      </w:r>
      <w:r w:rsidRPr="001B37FC">
        <w:t>.</w:t>
      </w:r>
      <w:r>
        <w:tab/>
      </w:r>
      <w:r w:rsidRPr="001B37FC">
        <w:t xml:space="preserve">The Committee </w:t>
      </w:r>
      <w:r>
        <w:t>concluded</w:t>
      </w:r>
      <w:r w:rsidRPr="001B37FC">
        <w:t xml:space="preserve"> that the State party was under an obligation to afford the author the right to compensation for any legal costs incurred in filing the communication and to take appropriate measures to ensure that the author was given the opportunity to undergo an assessment of fitness for alternative duties </w:t>
      </w:r>
      <w:r>
        <w:t>to</w:t>
      </w:r>
      <w:r w:rsidRPr="001B37FC">
        <w:t xml:space="preserve"> evaluat</w:t>
      </w:r>
      <w:r>
        <w:t>e</w:t>
      </w:r>
      <w:r w:rsidRPr="001B37FC">
        <w:t xml:space="preserve"> his potential to undertake modified duties or other complementary activities, including any reasonable accommodation that might be required. In general, the State party was under an obligation to take all necessary measures to align the modified-duty regulations of L’Hospitalitet de Llobregat municipal police with the principles enshrined in the Convention and the recommendations contained in the Views to ensure that assignment to modified duty was not restricted to public official</w:t>
      </w:r>
      <w:r>
        <w:t>s only</w:t>
      </w:r>
      <w:r w:rsidRPr="001B37FC">
        <w:t>; and to harmonize the vari</w:t>
      </w:r>
      <w:r>
        <w:t>ous</w:t>
      </w:r>
      <w:r w:rsidRPr="001B37FC">
        <w:t xml:space="preserve"> local and regional regulations governing the assignment of public </w:t>
      </w:r>
      <w:r>
        <w:t>officials</w:t>
      </w:r>
      <w:r w:rsidRPr="001B37FC">
        <w:t xml:space="preserve"> to modified duty in accordance with the principles enshrined in the Convention and the recommendations contained in the Views.</w:t>
      </w:r>
    </w:p>
    <w:p w14:paraId="7659780B" w14:textId="77777777" w:rsidR="00872C78" w:rsidRPr="00E36FBD" w:rsidRDefault="00872C78" w:rsidP="00872C78">
      <w:pPr>
        <w:pStyle w:val="H23G"/>
        <w:rPr>
          <w:i/>
          <w:iCs/>
        </w:rPr>
      </w:pPr>
      <w:r w:rsidRPr="001B37FC">
        <w:tab/>
      </w:r>
      <w:r w:rsidRPr="001B37FC">
        <w:tab/>
      </w:r>
      <w:r w:rsidRPr="00E36FBD">
        <w:rPr>
          <w:i/>
          <w:iCs/>
        </w:rPr>
        <w:t>Sabadie v. France</w:t>
      </w:r>
    </w:p>
    <w:p w14:paraId="615F4324" w14:textId="77777777" w:rsidR="00872C78" w:rsidRDefault="00872C78" w:rsidP="00872C78">
      <w:pPr>
        <w:pStyle w:val="SingleTxtG"/>
      </w:pPr>
      <w:r>
        <w:rPr>
          <w:w w:val="103"/>
        </w:rPr>
        <w:t>7</w:t>
      </w:r>
      <w:r w:rsidRPr="001B37FC">
        <w:rPr>
          <w:w w:val="103"/>
        </w:rPr>
        <w:t>.</w:t>
      </w:r>
      <w:r w:rsidRPr="001B37FC">
        <w:rPr>
          <w:w w:val="103"/>
        </w:rPr>
        <w:tab/>
        <w:t>The Committee examined the communication in the case of</w:t>
      </w:r>
      <w:r w:rsidRPr="001B37FC">
        <w:t xml:space="preserve"> </w:t>
      </w:r>
      <w:bookmarkStart w:id="8" w:name="_Hlk131588140"/>
      <w:r w:rsidRPr="001B37FC">
        <w:rPr>
          <w:i/>
          <w:iCs/>
        </w:rPr>
        <w:t>Sabadie v. France</w:t>
      </w:r>
      <w:r w:rsidRPr="001B37FC">
        <w:t>.</w:t>
      </w:r>
      <w:r w:rsidRPr="008A30E4">
        <w:rPr>
          <w:rStyle w:val="FootnoteReference"/>
        </w:rPr>
        <w:footnoteReference w:id="18"/>
      </w:r>
      <w:r w:rsidRPr="001B37FC">
        <w:t xml:space="preserve"> The author is a national </w:t>
      </w:r>
      <w:r>
        <w:t>of France</w:t>
      </w:r>
      <w:r w:rsidRPr="001B37FC">
        <w:t xml:space="preserve"> born in 194</w:t>
      </w:r>
      <w:r>
        <w:t>8</w:t>
      </w:r>
      <w:r w:rsidRPr="001B37FC">
        <w:t xml:space="preserve">. He claimed that the State party </w:t>
      </w:r>
      <w:r>
        <w:t>violated</w:t>
      </w:r>
      <w:r w:rsidRPr="001B37FC">
        <w:t xml:space="preserve"> his rights under article 1</w:t>
      </w:r>
      <w:r>
        <w:t>3</w:t>
      </w:r>
      <w:r w:rsidRPr="001B37FC">
        <w:t xml:space="preserve"> of the Convention </w:t>
      </w:r>
      <w:r w:rsidRPr="00E91849">
        <w:t>on the grounds of a failure to investigate, which he describes as a denial of justice.</w:t>
      </w:r>
    </w:p>
    <w:p w14:paraId="1E9FB3BE" w14:textId="77777777" w:rsidR="00872C78" w:rsidRPr="001B37FC" w:rsidRDefault="00872C78" w:rsidP="00872C78">
      <w:pPr>
        <w:pStyle w:val="SingleTxtG"/>
      </w:pPr>
      <w:r>
        <w:rPr>
          <w:w w:val="103"/>
        </w:rPr>
        <w:t>8.</w:t>
      </w:r>
      <w:r>
        <w:rPr>
          <w:w w:val="103"/>
        </w:rPr>
        <w:tab/>
        <w:t>The author</w:t>
      </w:r>
      <w:r w:rsidRPr="001B37FC">
        <w:t xml:space="preserve"> was a farmer </w:t>
      </w:r>
      <w:r>
        <w:t>against whom</w:t>
      </w:r>
      <w:r w:rsidRPr="001B37FC">
        <w:t xml:space="preserve"> receivership and liquidation proceedings </w:t>
      </w:r>
      <w:r>
        <w:t xml:space="preserve">were ordered </w:t>
      </w:r>
      <w:r w:rsidRPr="001B37FC">
        <w:t xml:space="preserve">from 1993 </w:t>
      </w:r>
      <w:r>
        <w:t>to</w:t>
      </w:r>
      <w:r w:rsidRPr="001B37FC">
        <w:t xml:space="preserve"> 2015. </w:t>
      </w:r>
      <w:r>
        <w:t>He</w:t>
      </w:r>
      <w:r w:rsidRPr="001B37FC">
        <w:t xml:space="preserve"> claimed that the length of the proc</w:t>
      </w:r>
      <w:r>
        <w:t>e</w:t>
      </w:r>
      <w:r w:rsidRPr="001B37FC">
        <w:t>ed</w:t>
      </w:r>
      <w:r>
        <w:t>ings</w:t>
      </w:r>
      <w:r w:rsidRPr="001B37FC">
        <w:t xml:space="preserve"> affected his health to the point that he developed a disability. In 2004, the author was declared to be 80 per cent “disabled”. According to a certificate issued in 2014, he </w:t>
      </w:r>
      <w:r>
        <w:t>was no longer able to</w:t>
      </w:r>
      <w:r w:rsidRPr="001B37FC">
        <w:t xml:space="preserve"> express himself or walk</w:t>
      </w:r>
      <w:r>
        <w:t>,</w:t>
      </w:r>
      <w:r w:rsidRPr="001B37FC">
        <w:t xml:space="preserve"> following a series of strokes. The author initiated criminal proceedings against the liquidator, but the Public Prosecutor dismissed his complaint as insufficiently defined. The Carcassonne Tribunal de Grande Instance </w:t>
      </w:r>
      <w:r w:rsidRPr="007717C3">
        <w:t xml:space="preserve">(court of major jurisdiction) </w:t>
      </w:r>
      <w:r w:rsidRPr="001B37FC">
        <w:t>then declared the author’s request to appoint an investigating judge inadmissible, a decision upheld by the Investigation Division of the Montpellier Court of Appeal. The latter then ordered the discharge of proceedings. On 26 July 2016, the author went to the Montpellier Court of Appeal to submit his cassation appeal. The registrar registered his appeal and had him sign his notice of appeal, but not the statement of claim. On 29 March 2017, the Court of Cassation declared the author’s cassation appeal inadmissible as the author had failed to sign his statement of claim.</w:t>
      </w:r>
    </w:p>
    <w:p w14:paraId="6FBF3692" w14:textId="77777777" w:rsidR="00872C78" w:rsidRPr="001B37FC" w:rsidRDefault="00872C78" w:rsidP="00872C78">
      <w:pPr>
        <w:pStyle w:val="SingleTxtG"/>
      </w:pPr>
      <w:r>
        <w:t>9</w:t>
      </w:r>
      <w:r w:rsidRPr="001B37FC">
        <w:t>.</w:t>
      </w:r>
      <w:r>
        <w:tab/>
      </w:r>
      <w:r w:rsidRPr="001B37FC">
        <w:t xml:space="preserve">The State party contended that the communication should be found inadmissible for failure to exhaust domestic remedies, as the author had not brought an action for gross negligence or denial of justice provided for under article L.141-1 of the Code of Judicial Organization. </w:t>
      </w:r>
      <w:r>
        <w:t>Failing that</w:t>
      </w:r>
      <w:r w:rsidRPr="001B37FC">
        <w:t>, the State party argued that the allegations were without merit.</w:t>
      </w:r>
    </w:p>
    <w:p w14:paraId="159D61DF" w14:textId="77777777" w:rsidR="00872C78" w:rsidRPr="001B37FC" w:rsidRDefault="00872C78" w:rsidP="00872C78">
      <w:pPr>
        <w:pStyle w:val="SingleTxtG"/>
      </w:pPr>
      <w:r>
        <w:t>10</w:t>
      </w:r>
      <w:r w:rsidRPr="001B37FC">
        <w:t>.</w:t>
      </w:r>
      <w:r>
        <w:tab/>
      </w:r>
      <w:r w:rsidRPr="001B37FC">
        <w:t xml:space="preserve">In its considerations on the admissibility of the communication, the Committee noted the State party’s position that the registrar had not made a mistake under domestic law by not checking the author’s signature on his statement of claim. The Committee did not accept the State party’s argument that the author should have availed himself of the procedure provided for by article L.141-1 of the Code of Judicial Organization. The Committee found that the author had invoked the substance of his claim before the domestic courts. </w:t>
      </w:r>
      <w:r>
        <w:t>Nevertheless, it</w:t>
      </w:r>
      <w:r w:rsidRPr="001B37FC">
        <w:t xml:space="preserve"> considered that the author’s allegations regarding the behaviour of the liquidator, the alleged causal relationship between the liquidation proceedings and his disability, the refusal of the judicial authorities to investigate the matter and the length of compensation proceedings were insufficiently substantiated for the purpose of admissibility.</w:t>
      </w:r>
    </w:p>
    <w:p w14:paraId="51C071F7" w14:textId="77777777" w:rsidR="00872C78" w:rsidRPr="001B37FC" w:rsidRDefault="00872C78" w:rsidP="00872C78">
      <w:pPr>
        <w:pStyle w:val="SingleTxtG"/>
        <w:rPr>
          <w:rFonts w:eastAsia="Calibri"/>
          <w:color w:val="000000"/>
          <w:lang w:eastAsia="en-GB"/>
        </w:rPr>
      </w:pPr>
      <w:r>
        <w:t>11</w:t>
      </w:r>
      <w:r w:rsidRPr="001B37FC">
        <w:t>.</w:t>
      </w:r>
      <w:r>
        <w:tab/>
      </w:r>
      <w:r w:rsidRPr="001B37FC">
        <w:t xml:space="preserve">On the merits, the Committee noted that the European Court of Human Rights has referred to the role of the registrar as an officer of the court and has stated that courts must avoid both excessive formalism that would infringe the fairness of the proceedings and excessive flexibility that would result in the elimination of procedural requirements laid down by law. The Committee considered that, given this role, it would have been reasonable to expect the registrar to remind the author of the formalities to be completed, as she had done for his notice of appeal. In </w:t>
      </w:r>
      <w:r>
        <w:t xml:space="preserve">the </w:t>
      </w:r>
      <w:r w:rsidRPr="001B37FC">
        <w:t>light of the registrar’s knowledge of the author’s disability, the Committee considered that this would have constituted a procedural accommodation to ensure the author’s effective access to justice on an equal basis with others. The Committee found that the failure to provide such accommodation breached the author’s rights under article 13 of the Convention.</w:t>
      </w:r>
    </w:p>
    <w:bookmarkEnd w:id="8"/>
    <w:p w14:paraId="5EE0F548" w14:textId="77777777" w:rsidR="00872C78" w:rsidRPr="001B37FC" w:rsidRDefault="00872C78" w:rsidP="00872C78">
      <w:pPr>
        <w:pStyle w:val="SingleTxtG"/>
      </w:pPr>
      <w:r w:rsidRPr="001B37FC">
        <w:t>1</w:t>
      </w:r>
      <w:r>
        <w:t>2</w:t>
      </w:r>
      <w:r w:rsidRPr="001B37FC">
        <w:t>.</w:t>
      </w:r>
      <w:r>
        <w:tab/>
      </w:r>
      <w:r w:rsidRPr="001B37FC">
        <w:t xml:space="preserve">The Committee </w:t>
      </w:r>
      <w:r>
        <w:t>concluded</w:t>
      </w:r>
      <w:r w:rsidRPr="001B37FC">
        <w:t xml:space="preserve"> </w:t>
      </w:r>
      <w:r>
        <w:t xml:space="preserve">that </w:t>
      </w:r>
      <w:r w:rsidRPr="001B37FC">
        <w:t xml:space="preserve">the State party </w:t>
      </w:r>
      <w:r>
        <w:t>should</w:t>
      </w:r>
      <w:r w:rsidRPr="001B37FC">
        <w:t xml:space="preserve"> provide the author with an effective remedy, including reimbursement of any legal costs incurred by him, together with compensation. It also re</w:t>
      </w:r>
      <w:r>
        <w:t>commended</w:t>
      </w:r>
      <w:r w:rsidRPr="001B37FC">
        <w:t xml:space="preserve"> </w:t>
      </w:r>
      <w:r>
        <w:t xml:space="preserve">that </w:t>
      </w:r>
      <w:r w:rsidRPr="001B37FC">
        <w:t>the State party take measures to prevent similar violations in the future, in particular measures to ensure reasonable accommodation for persons with disabilities in judicial proceedings.</w:t>
      </w:r>
    </w:p>
    <w:p w14:paraId="772EC237" w14:textId="77777777" w:rsidR="00872C78" w:rsidRPr="00E36FBD" w:rsidRDefault="00872C78" w:rsidP="00872C78">
      <w:pPr>
        <w:pStyle w:val="H23G"/>
        <w:rPr>
          <w:i/>
          <w:iCs/>
        </w:rPr>
      </w:pPr>
      <w:r w:rsidRPr="001B37FC">
        <w:rPr>
          <w:lang w:val="en-US"/>
        </w:rPr>
        <w:tab/>
      </w:r>
      <w:r w:rsidRPr="001B37FC">
        <w:rPr>
          <w:lang w:val="en-US"/>
        </w:rPr>
        <w:tab/>
      </w:r>
      <w:r w:rsidRPr="00E36FBD">
        <w:rPr>
          <w:i/>
          <w:iCs/>
        </w:rPr>
        <w:t>S.M. v. Denmark</w:t>
      </w:r>
    </w:p>
    <w:p w14:paraId="57DDA9DF" w14:textId="77777777" w:rsidR="00872C78" w:rsidRPr="001B37FC" w:rsidRDefault="00872C78" w:rsidP="00872C78">
      <w:pPr>
        <w:pStyle w:val="SingleTxtG"/>
      </w:pPr>
      <w:r w:rsidRPr="001B37FC">
        <w:t>1</w:t>
      </w:r>
      <w:r>
        <w:t>3</w:t>
      </w:r>
      <w:r w:rsidRPr="001B37FC">
        <w:t>.</w:t>
      </w:r>
      <w:r w:rsidRPr="001B37FC">
        <w:tab/>
        <w:t xml:space="preserve">The Committee examined the communication in the case of </w:t>
      </w:r>
      <w:r w:rsidRPr="001B37FC">
        <w:rPr>
          <w:i/>
          <w:iCs/>
        </w:rPr>
        <w:t>S.M. v. Denmark</w:t>
      </w:r>
      <w:r w:rsidRPr="001B37FC">
        <w:t>.</w:t>
      </w:r>
      <w:r w:rsidRPr="008A30E4">
        <w:rPr>
          <w:rStyle w:val="FootnoteReference"/>
        </w:rPr>
        <w:footnoteReference w:id="19"/>
      </w:r>
      <w:r w:rsidRPr="001B37FC">
        <w:rPr>
          <w:sz w:val="18"/>
          <w:vertAlign w:val="superscript"/>
        </w:rPr>
        <w:t xml:space="preserve"> </w:t>
      </w:r>
      <w:r w:rsidRPr="001B37FC">
        <w:t xml:space="preserve">The author is a national </w:t>
      </w:r>
      <w:r>
        <w:t xml:space="preserve">of </w:t>
      </w:r>
      <w:r w:rsidRPr="001B37FC">
        <w:t xml:space="preserve">Denmark born in 1974. He claimed that the State party </w:t>
      </w:r>
      <w:r>
        <w:t>violated</w:t>
      </w:r>
      <w:r w:rsidRPr="001B37FC">
        <w:t xml:space="preserve"> his rights under articles 14, 15</w:t>
      </w:r>
      <w:r>
        <w:t xml:space="preserve"> and</w:t>
      </w:r>
      <w:r w:rsidRPr="001B37FC">
        <w:t xml:space="preserve"> 16</w:t>
      </w:r>
      <w:r>
        <w:t>, read</w:t>
      </w:r>
      <w:r w:rsidRPr="001B37FC">
        <w:t xml:space="preserve"> in conjunction with articles 4, 17 and 25 of the Convention by subjecting him to forced psychiatric treatment.</w:t>
      </w:r>
    </w:p>
    <w:p w14:paraId="6DCAAD72" w14:textId="77777777" w:rsidR="00872C78" w:rsidRPr="001B37FC" w:rsidRDefault="00872C78" w:rsidP="00872C78">
      <w:pPr>
        <w:pStyle w:val="SingleTxtG"/>
        <w:rPr>
          <w:bCs/>
        </w:rPr>
      </w:pPr>
      <w:r w:rsidRPr="001B37FC">
        <w:t>1</w:t>
      </w:r>
      <w:r>
        <w:t>4.</w:t>
      </w:r>
      <w:r>
        <w:tab/>
      </w:r>
      <w:r w:rsidRPr="001B37FC">
        <w:t xml:space="preserve">In 2012, the author started sending threatening emails to various doctors and public officials responsible for psychiatric treatment, in connection with his concerns about the treatment of psychiatric patients in Denmark. As a result, the author was charged with various breaches of the Penal Code. A psychiatric examination concluded that the author had been “of unsound mind” when sending the emails. On 30 June 2016, the District Court </w:t>
      </w:r>
      <w:r w:rsidRPr="001B37FC">
        <w:rPr>
          <w:shd w:val="clear" w:color="auto" w:fill="FFFFFF"/>
        </w:rPr>
        <w:t xml:space="preserve">of </w:t>
      </w:r>
      <w:r w:rsidRPr="001B37FC">
        <w:t>Hiller</w:t>
      </w:r>
      <w:r w:rsidRPr="001B37FC">
        <w:rPr>
          <w:shd w:val="clear" w:color="auto" w:fill="FFFFFF"/>
        </w:rPr>
        <w:t xml:space="preserve">ød convicted the author and sentenced him to psychiatric treatment, </w:t>
      </w:r>
      <w:r w:rsidRPr="001B37FC">
        <w:rPr>
          <w:bCs/>
        </w:rPr>
        <w:t xml:space="preserve">without indicating a time limit. On 26 September 2016, the Eastern High Court confirmed the judgment of the District Court. On 16 November 2016, the Board of Appeal to the Supreme Court decided not to grant leave to the author to file an appeal to the Supreme Court. The author underwent forced psychiatric treatment from 2 November 2016 </w:t>
      </w:r>
      <w:r>
        <w:rPr>
          <w:bCs/>
        </w:rPr>
        <w:t>to</w:t>
      </w:r>
      <w:r w:rsidRPr="001B37FC">
        <w:rPr>
          <w:bCs/>
        </w:rPr>
        <w:t xml:space="preserve"> 13 March 2017.</w:t>
      </w:r>
    </w:p>
    <w:p w14:paraId="136CDBAA" w14:textId="77777777" w:rsidR="00872C78" w:rsidRPr="001B37FC" w:rsidRDefault="00872C78" w:rsidP="00872C78">
      <w:pPr>
        <w:pStyle w:val="SingleTxtG"/>
      </w:pPr>
      <w:r>
        <w:t>15.</w:t>
      </w:r>
      <w:r>
        <w:tab/>
      </w:r>
      <w:r w:rsidRPr="001B37FC">
        <w:t>The State party argued that the communication was insufficiently substantiated for the purpose of admissibility, and</w:t>
      </w:r>
      <w:r>
        <w:t xml:space="preserve"> was</w:t>
      </w:r>
      <w:r w:rsidRPr="001B37FC">
        <w:t xml:space="preserve">, </w:t>
      </w:r>
      <w:r>
        <w:t>in any case</w:t>
      </w:r>
      <w:r w:rsidRPr="001B37FC">
        <w:t>, without merit.</w:t>
      </w:r>
    </w:p>
    <w:p w14:paraId="5233B5F0" w14:textId="77777777" w:rsidR="00872C78" w:rsidRPr="001B37FC" w:rsidRDefault="00872C78" w:rsidP="00872C78">
      <w:pPr>
        <w:pStyle w:val="SingleTxtG"/>
        <w:rPr>
          <w:bCs/>
        </w:rPr>
      </w:pPr>
      <w:r>
        <w:rPr>
          <w:bCs/>
        </w:rPr>
        <w:t>16.</w:t>
      </w:r>
      <w:r>
        <w:rPr>
          <w:bCs/>
        </w:rPr>
        <w:tab/>
      </w:r>
      <w:r w:rsidRPr="001B37FC">
        <w:rPr>
          <w:bCs/>
        </w:rPr>
        <w:t xml:space="preserve">In its considerations on the admissibility, the Committee found that the </w:t>
      </w:r>
      <w:r w:rsidRPr="001B37FC">
        <w:t>author’s claims under articles 15 and 16</w:t>
      </w:r>
      <w:r>
        <w:t>,</w:t>
      </w:r>
      <w:r w:rsidRPr="001B37FC">
        <w:t xml:space="preserve"> read in conjunction with article 4 of the Convention</w:t>
      </w:r>
      <w:r>
        <w:t>,</w:t>
      </w:r>
      <w:r w:rsidRPr="001B37FC">
        <w:t xml:space="preserve"> did not contain sufficient elements to enable it to assess to what extent the forced psychiatric treatment of the author breached his rights under th</w:t>
      </w:r>
      <w:r>
        <w:t>o</w:t>
      </w:r>
      <w:r w:rsidRPr="001B37FC">
        <w:t>se articles. The Committee therefore decided not to admit th</w:t>
      </w:r>
      <w:r>
        <w:t>o</w:t>
      </w:r>
      <w:r w:rsidRPr="001B37FC">
        <w:t>se claims, among others.</w:t>
      </w:r>
    </w:p>
    <w:p w14:paraId="24D7A656" w14:textId="77777777" w:rsidR="00872C78" w:rsidRPr="001B37FC" w:rsidRDefault="00872C78" w:rsidP="00872C78">
      <w:pPr>
        <w:pStyle w:val="SingleTxtG"/>
      </w:pPr>
      <w:r>
        <w:rPr>
          <w:bCs/>
        </w:rPr>
        <w:t>17.</w:t>
      </w:r>
      <w:r>
        <w:rPr>
          <w:bCs/>
        </w:rPr>
        <w:tab/>
      </w:r>
      <w:r w:rsidRPr="001B37FC">
        <w:rPr>
          <w:bCs/>
        </w:rPr>
        <w:t xml:space="preserve">On the merits, the Committee reaffirmed that </w:t>
      </w:r>
      <w:bookmarkStart w:id="9" w:name="_Hlk136509484"/>
      <w:r w:rsidRPr="001B37FC">
        <w:t>all persons with disabilities, and especially persons with intellectual and psychosocial disabilities, are entitled to liberty</w:t>
      </w:r>
      <w:r>
        <w:t>,</w:t>
      </w:r>
      <w:r w:rsidRPr="001B37FC">
        <w:t xml:space="preserve"> pursuant to article 14 of the Convention. The Committee recalled that treatment is a social control sanction and should be replaced by formal criminal sanctions for offenders whose involvement in crime has been determined. The Committee also recalled that sentencing a person to treatment is incompatible with article 14 of the Convention. The Committee noted that</w:t>
      </w:r>
      <w:r>
        <w:t>,</w:t>
      </w:r>
      <w:r w:rsidRPr="001B37FC">
        <w:t xml:space="preserve"> whereas the State party argued that the author was entitled to continuous judicial and medical review, the decision not to establish a maximum time </w:t>
      </w:r>
      <w:r>
        <w:t xml:space="preserve">on his treatment </w:t>
      </w:r>
      <w:r w:rsidRPr="001B37FC">
        <w:t>exposed him to the possibility of a much lengthier sanction than would be imposed on an offender not found to be “of unsound mind”. The Committee therefore found that the imposition of forced psychiatric treatment on the author breached his rights under article 14 of the Convention. The Committee recalled that forced treatment by psychiatric and other health and medical professionals is an infringement of the right to personal integrity and found that the forced administration of medication on the author, which caused him pain to the point of rendering him suicidal, was in violation of his rights under article 17 of the Convention, read in conjunction with article 25 of the Convention.</w:t>
      </w:r>
    </w:p>
    <w:p w14:paraId="0014E52C" w14:textId="77777777" w:rsidR="00872C78" w:rsidRPr="001B37FC" w:rsidRDefault="00872C78" w:rsidP="00872C78">
      <w:pPr>
        <w:pStyle w:val="SingleTxtG"/>
        <w:rPr>
          <w:lang w:val="en-US"/>
        </w:rPr>
      </w:pPr>
      <w:r>
        <w:t>18.</w:t>
      </w:r>
      <w:r>
        <w:tab/>
      </w:r>
      <w:r w:rsidRPr="001B37FC">
        <w:t xml:space="preserve">The Committee </w:t>
      </w:r>
      <w:r>
        <w:t>concluded that</w:t>
      </w:r>
      <w:r w:rsidRPr="001B37FC">
        <w:t xml:space="preserve"> the State party </w:t>
      </w:r>
      <w:r>
        <w:t xml:space="preserve">should </w:t>
      </w:r>
      <w:r w:rsidRPr="001B37FC">
        <w:t xml:space="preserve">provide </w:t>
      </w:r>
      <w:r>
        <w:t>the author</w:t>
      </w:r>
      <w:r w:rsidRPr="001B37FC">
        <w:t xml:space="preserve"> with an effective remedy, including reimbursement of any legal costs incurred by him, together with compensation; make a public acknowledgement of the violation of the author’s rights in accordance with </w:t>
      </w:r>
      <w:r>
        <w:t>its</w:t>
      </w:r>
      <w:r w:rsidRPr="001B37FC">
        <w:t xml:space="preserve"> Views and adopt any other appropriate measure of satisfaction; and publish the Views and circulate them widely in accessible formats so that they are available to all sectors of the population. The Committee </w:t>
      </w:r>
      <w:r>
        <w:t>also recommended that</w:t>
      </w:r>
      <w:r w:rsidRPr="001B37FC">
        <w:t xml:space="preserve"> the State party take measures to prevent similar violations in the future and </w:t>
      </w:r>
      <w:r w:rsidRPr="001B37FC">
        <w:rPr>
          <w:spacing w:val="4"/>
        </w:rPr>
        <w:t>ensure effective access to justice for persons with disabilities on an equal basis with others</w:t>
      </w:r>
      <w:r w:rsidRPr="001B37FC">
        <w:t>. Referring to the recommendations contained in its concluding observations</w:t>
      </w:r>
      <w:r w:rsidRPr="008A30E4">
        <w:rPr>
          <w:rStyle w:val="FootnoteReference"/>
        </w:rPr>
        <w:footnoteReference w:id="20"/>
      </w:r>
      <w:r w:rsidRPr="001B37FC">
        <w:t xml:space="preserve"> and its </w:t>
      </w:r>
      <w:r>
        <w:t>g</w:t>
      </w:r>
      <w:r w:rsidRPr="001B37FC">
        <w:t>uidelines on the right to liberty and security of persons with disabilities,</w:t>
      </w:r>
      <w:r w:rsidRPr="008A30E4">
        <w:rPr>
          <w:rStyle w:val="FootnoteReference"/>
        </w:rPr>
        <w:footnoteReference w:id="21"/>
      </w:r>
      <w:r w:rsidRPr="001B37FC">
        <w:t xml:space="preserve"> the Committee requested the State party to adopt a policy to initiate a structural review of the procedures used to sanction persons with disabilities when they commit criminal offences; </w:t>
      </w:r>
      <w:r>
        <w:t xml:space="preserve">to </w:t>
      </w:r>
      <w:r w:rsidRPr="001B37FC">
        <w:t>take</w:t>
      </w:r>
      <w:r w:rsidRPr="001B37FC">
        <w:rPr>
          <w:lang w:val="en-US"/>
        </w:rPr>
        <w:t xml:space="preserve"> </w:t>
      </w:r>
      <w:r w:rsidRPr="001B37FC">
        <w:t xml:space="preserve">all necessary measures, including revision of the Psychiatric Act, to ensure that persons with disabilities enjoy the right to liberty and security of person; and </w:t>
      </w:r>
      <w:r>
        <w:t xml:space="preserve">to </w:t>
      </w:r>
      <w:r w:rsidRPr="001B37FC">
        <w:t>amend laws and regulations in order to abolish the use of physical, chemical and other medical non-consensual measures, with regard to persons with psychosocial disabilities in institutions.</w:t>
      </w:r>
    </w:p>
    <w:p w14:paraId="3CA877BD" w14:textId="77777777" w:rsidR="00872C78" w:rsidRPr="00076588" w:rsidRDefault="00872C78" w:rsidP="00872C78">
      <w:pPr>
        <w:pStyle w:val="H23G"/>
        <w:rPr>
          <w:i/>
          <w:iCs/>
          <w:lang w:val="pt-BR"/>
        </w:rPr>
      </w:pPr>
      <w:r w:rsidRPr="00076588">
        <w:rPr>
          <w:lang w:val="en-US"/>
        </w:rPr>
        <w:tab/>
      </w:r>
      <w:r w:rsidRPr="00076588">
        <w:rPr>
          <w:lang w:val="en-US"/>
        </w:rPr>
        <w:tab/>
      </w:r>
      <w:r w:rsidRPr="00076588">
        <w:rPr>
          <w:i/>
          <w:iCs/>
          <w:lang w:val="pt-BR"/>
        </w:rPr>
        <w:t>R.K.H.M. v. Canada</w:t>
      </w:r>
    </w:p>
    <w:p w14:paraId="260674B1" w14:textId="77777777" w:rsidR="00872C78" w:rsidRPr="001B37FC" w:rsidRDefault="00872C78" w:rsidP="00872C78">
      <w:pPr>
        <w:pStyle w:val="SingleTxtG"/>
        <w:rPr>
          <w:lang w:val="en-US"/>
        </w:rPr>
      </w:pPr>
      <w:r>
        <w:t>19.</w:t>
      </w:r>
      <w:r>
        <w:tab/>
      </w:r>
      <w:r w:rsidRPr="001B37FC">
        <w:t xml:space="preserve">The Committee decided to discontinue its consideration of the communication in the case of </w:t>
      </w:r>
      <w:r w:rsidRPr="001B37FC">
        <w:rPr>
          <w:i/>
          <w:iCs/>
        </w:rPr>
        <w:t>R.K.H.M. v. Canada</w:t>
      </w:r>
      <w:r w:rsidRPr="001B37FC">
        <w:t>.</w:t>
      </w:r>
      <w:r w:rsidRPr="008A30E4">
        <w:rPr>
          <w:rStyle w:val="FootnoteReference"/>
        </w:rPr>
        <w:footnoteReference w:id="22"/>
      </w:r>
      <w:r w:rsidRPr="001B37FC">
        <w:t xml:space="preserve"> The author had been granted permanent residence in the State party and therefore no longer faced a risk of being returned to Sri Lanka. The State party had requested that the Committee discontinue its consideration of the communication, and the author had agreed to th</w:t>
      </w:r>
      <w:r>
        <w:t>at</w:t>
      </w:r>
      <w:r w:rsidRPr="001B37FC">
        <w:t xml:space="preserve"> request.</w:t>
      </w:r>
    </w:p>
    <w:p w14:paraId="60B7620C" w14:textId="77777777" w:rsidR="00872C78" w:rsidRPr="00076588" w:rsidRDefault="00872C78" w:rsidP="00872C78">
      <w:pPr>
        <w:pStyle w:val="H23G"/>
        <w:rPr>
          <w:i/>
          <w:iCs/>
          <w:lang w:val="de-DE"/>
        </w:rPr>
      </w:pPr>
      <w:r w:rsidRPr="00076588">
        <w:tab/>
      </w:r>
      <w:r w:rsidRPr="00076588">
        <w:tab/>
      </w:r>
      <w:r w:rsidRPr="00076588">
        <w:rPr>
          <w:i/>
          <w:iCs/>
          <w:lang w:val="de-DE"/>
        </w:rPr>
        <w:t>R.M.H. v. Sweden</w:t>
      </w:r>
    </w:p>
    <w:p w14:paraId="76394597" w14:textId="77777777" w:rsidR="00872C78" w:rsidRPr="001B37FC" w:rsidRDefault="00872C78" w:rsidP="00872C78">
      <w:pPr>
        <w:pStyle w:val="SingleTxtG"/>
        <w:rPr>
          <w:bCs/>
        </w:rPr>
      </w:pPr>
      <w:r>
        <w:t>20.</w:t>
      </w:r>
      <w:r>
        <w:tab/>
      </w:r>
      <w:r w:rsidRPr="001B37FC">
        <w:t xml:space="preserve">The Committee decided to discontinue its consideration of the communication in the case of </w:t>
      </w:r>
      <w:r w:rsidRPr="001B37FC">
        <w:rPr>
          <w:i/>
          <w:iCs/>
        </w:rPr>
        <w:t>R.M.H. v. Sweden</w:t>
      </w:r>
      <w:r w:rsidRPr="001B37FC">
        <w:t>.</w:t>
      </w:r>
      <w:r w:rsidRPr="008A30E4">
        <w:rPr>
          <w:rStyle w:val="FootnoteReference"/>
        </w:rPr>
        <w:footnoteReference w:id="23"/>
      </w:r>
      <w:r w:rsidRPr="001B37FC">
        <w:t xml:space="preserve"> The author had requested the discontinuance of his case as he had been granted residence in the State party and therefore no longer faced a risk of being returned to Afghanistan.</w:t>
      </w:r>
      <w:bookmarkEnd w:id="9"/>
    </w:p>
    <w:p w14:paraId="0E2FACE4" w14:textId="77777777" w:rsidR="00872C78" w:rsidRDefault="00872C78" w:rsidP="00872C78">
      <w:pPr>
        <w:suppressAutoHyphens w:val="0"/>
        <w:spacing w:after="200" w:line="276" w:lineRule="auto"/>
      </w:pPr>
    </w:p>
    <w:p w14:paraId="56086432" w14:textId="77777777" w:rsidR="00872C78" w:rsidRDefault="00872C78" w:rsidP="00872C78">
      <w:pPr>
        <w:suppressAutoHyphens w:val="0"/>
        <w:spacing w:after="200" w:line="276" w:lineRule="auto"/>
        <w:sectPr w:rsidR="00872C78" w:rsidSect="00C57B42">
          <w:headerReference w:type="even" r:id="rId19"/>
          <w:headerReference w:type="default" r:id="rId20"/>
          <w:footerReference w:type="even" r:id="rId21"/>
          <w:footerReference w:type="default" r:id="rId22"/>
          <w:headerReference w:type="first" r:id="rId23"/>
          <w:footerReference w:type="first" r:id="rId24"/>
          <w:footnotePr>
            <w:numRestart w:val="eachSect"/>
          </w:footnotePr>
          <w:endnotePr>
            <w:numFmt w:val="decimal"/>
          </w:endnotePr>
          <w:pgSz w:w="11907" w:h="16840" w:code="9"/>
          <w:pgMar w:top="1417" w:right="1134" w:bottom="1134" w:left="1134" w:header="850" w:footer="567" w:gutter="0"/>
          <w:cols w:space="720"/>
          <w:titlePg/>
          <w:docGrid w:linePitch="272"/>
        </w:sectPr>
      </w:pPr>
    </w:p>
    <w:p w14:paraId="1AF8A2F0" w14:textId="77777777" w:rsidR="00872C78" w:rsidRDefault="00872C78" w:rsidP="00872C78">
      <w:pPr>
        <w:pStyle w:val="HChG"/>
      </w:pPr>
      <w:r w:rsidRPr="00320B7A">
        <w:t>Annex IV</w:t>
      </w:r>
    </w:p>
    <w:p w14:paraId="4F8FA3AF" w14:textId="77777777" w:rsidR="00872C78" w:rsidRPr="0034427A" w:rsidRDefault="00872C78" w:rsidP="00872C78">
      <w:pPr>
        <w:pStyle w:val="HChG"/>
      </w:pPr>
      <w:r>
        <w:tab/>
      </w:r>
      <w:r>
        <w:tab/>
      </w:r>
      <w:r w:rsidRPr="0034427A">
        <w:t xml:space="preserve">Report on </w:t>
      </w:r>
      <w:r w:rsidRPr="00CB51FF">
        <w:t xml:space="preserve">follow-up to the inquiry </w:t>
      </w:r>
      <w:r w:rsidRPr="00076588">
        <w:t>concern</w:t>
      </w:r>
      <w:r w:rsidRPr="00CB51FF">
        <w:t>ing</w:t>
      </w:r>
      <w:r w:rsidRPr="0034427A">
        <w:t xml:space="preserve"> Hungary</w:t>
      </w:r>
    </w:p>
    <w:p w14:paraId="548749E3" w14:textId="77777777" w:rsidR="00872C78" w:rsidRPr="001B37FC" w:rsidRDefault="00872C78" w:rsidP="00872C78">
      <w:pPr>
        <w:pStyle w:val="HChG"/>
      </w:pPr>
      <w:r w:rsidRPr="0034427A">
        <w:tab/>
        <w:t>I.</w:t>
      </w:r>
      <w:r w:rsidRPr="0034427A">
        <w:tab/>
        <w:t>Introduction</w:t>
      </w:r>
    </w:p>
    <w:p w14:paraId="652A7715" w14:textId="11119C81" w:rsidR="00872C78" w:rsidRPr="001B37FC" w:rsidRDefault="00872C78" w:rsidP="00872C78">
      <w:pPr>
        <w:pStyle w:val="SingleTxtG"/>
      </w:pPr>
      <w:r w:rsidRPr="001B37FC">
        <w:t>1.</w:t>
      </w:r>
      <w:r w:rsidRPr="001B37FC">
        <w:tab/>
      </w:r>
      <w:r>
        <w:t>During</w:t>
      </w:r>
      <w:r w:rsidRPr="001B37FC">
        <w:t xml:space="preserve"> its </w:t>
      </w:r>
      <w:r>
        <w:t>t</w:t>
      </w:r>
      <w:r w:rsidRPr="001B37FC">
        <w:t>wenty-second session (26 August</w:t>
      </w:r>
      <w:r>
        <w:t>–</w:t>
      </w:r>
      <w:r w:rsidRPr="001B37FC">
        <w:t>20 September 2019)</w:t>
      </w:r>
      <w:r>
        <w:t>, t</w:t>
      </w:r>
      <w:r w:rsidRPr="001B37FC">
        <w:t xml:space="preserve">he Committee adopted a report on </w:t>
      </w:r>
      <w:r>
        <w:t>an</w:t>
      </w:r>
      <w:r w:rsidRPr="001B37FC">
        <w:t xml:space="preserve"> </w:t>
      </w:r>
      <w:r>
        <w:t>i</w:t>
      </w:r>
      <w:r w:rsidRPr="001B37FC">
        <w:t xml:space="preserve">nquiry concerning Hungary under </w:t>
      </w:r>
      <w:r>
        <w:t>a</w:t>
      </w:r>
      <w:r w:rsidRPr="001B37FC">
        <w:t>rticle 6 of the Optional Protocol to the Convention</w:t>
      </w:r>
      <w:r>
        <w:t>.</w:t>
      </w:r>
      <w:r w:rsidR="00D13F25">
        <w:rPr>
          <w:rStyle w:val="FootnoteReference"/>
        </w:rPr>
        <w:footnoteReference w:id="24"/>
      </w:r>
      <w:r w:rsidRPr="001B37FC">
        <w:t xml:space="preserve"> I</w:t>
      </w:r>
      <w:r>
        <w:t>n that report, i</w:t>
      </w:r>
      <w:r w:rsidRPr="001B37FC">
        <w:t>t requested the State party to submit a report within one year o</w:t>
      </w:r>
      <w:r>
        <w:t>f</w:t>
      </w:r>
      <w:r w:rsidRPr="001B37FC">
        <w:t xml:space="preserve"> the end of the inquiry proceedings</w:t>
      </w:r>
      <w:r>
        <w:t>,</w:t>
      </w:r>
      <w:r w:rsidRPr="001B37FC">
        <w:t xml:space="preserve"> on the follow-up given to the </w:t>
      </w:r>
      <w:r w:rsidRPr="00E36FBD">
        <w:t>Committee’s</w:t>
      </w:r>
      <w:r w:rsidRPr="001B37FC">
        <w:t xml:space="preserve"> recommendations.</w:t>
      </w:r>
    </w:p>
    <w:p w14:paraId="292756DE" w14:textId="77777777" w:rsidR="00872C78" w:rsidRPr="001B37FC" w:rsidRDefault="00872C78" w:rsidP="00872C78">
      <w:pPr>
        <w:pStyle w:val="SingleTxtG"/>
      </w:pPr>
      <w:r w:rsidRPr="001B37FC">
        <w:t>2.</w:t>
      </w:r>
      <w:r w:rsidRPr="001B37FC">
        <w:tab/>
        <w:t>During its twenty-sixth session (7</w:t>
      </w:r>
      <w:r>
        <w:t>–</w:t>
      </w:r>
      <w:r w:rsidRPr="001B37FC">
        <w:t>25 March 2022), the Committee considered the combined second and third periodic reports of Hungary and adopted concluding observations</w:t>
      </w:r>
      <w:r>
        <w:t xml:space="preserve"> thereon, containing</w:t>
      </w:r>
      <w:r w:rsidRPr="001B37FC">
        <w:t xml:space="preserve"> recommendations.</w:t>
      </w:r>
      <w:r w:rsidRPr="008A30E4">
        <w:rPr>
          <w:rStyle w:val="FootnoteReference"/>
        </w:rPr>
        <w:footnoteReference w:id="25"/>
      </w:r>
    </w:p>
    <w:p w14:paraId="653C4E40" w14:textId="77777777" w:rsidR="00872C78" w:rsidRPr="001B37FC" w:rsidRDefault="00872C78" w:rsidP="00872C78">
      <w:pPr>
        <w:pStyle w:val="SingleTxtG"/>
      </w:pPr>
      <w:r w:rsidRPr="001B37FC">
        <w:t>3.</w:t>
      </w:r>
      <w:r w:rsidRPr="001B37FC">
        <w:tab/>
        <w:t>On 4 November 2022, the Committee</w:t>
      </w:r>
      <w:r>
        <w:t>,</w:t>
      </w:r>
      <w:r w:rsidRPr="001B37FC">
        <w:t xml:space="preserve"> through </w:t>
      </w:r>
      <w:r>
        <w:t>a n</w:t>
      </w:r>
      <w:r w:rsidRPr="001B37FC">
        <w:t>ote verbale</w:t>
      </w:r>
      <w:r>
        <w:t>,</w:t>
      </w:r>
      <w:r w:rsidRPr="001B37FC">
        <w:t xml:space="preserve"> informed the State party </w:t>
      </w:r>
      <w:r>
        <w:t>of</w:t>
      </w:r>
      <w:r w:rsidRPr="001B37FC">
        <w:t xml:space="preserve"> its decision to follow-up on the measures adopted by Hungary in response to the Committee’s report on the inquiry, during the Committee</w:t>
      </w:r>
      <w:r>
        <w:t>’</w:t>
      </w:r>
      <w:r w:rsidRPr="001B37FC">
        <w:t xml:space="preserve">s </w:t>
      </w:r>
      <w:r>
        <w:t>twenty-nin</w:t>
      </w:r>
      <w:r w:rsidRPr="001B37FC">
        <w:t xml:space="preserve">th session, to be held </w:t>
      </w:r>
      <w:r>
        <w:t>from</w:t>
      </w:r>
      <w:r w:rsidRPr="001B37FC">
        <w:t xml:space="preserve"> 14 August to 8 September 2023.</w:t>
      </w:r>
    </w:p>
    <w:p w14:paraId="5592D1A7" w14:textId="77777777" w:rsidR="00872C78" w:rsidRPr="001B37FC" w:rsidRDefault="00872C78" w:rsidP="00872C78">
      <w:pPr>
        <w:pStyle w:val="SingleTxtG"/>
      </w:pPr>
      <w:r w:rsidRPr="001B37FC">
        <w:t>4.</w:t>
      </w:r>
      <w:r w:rsidRPr="001B37FC">
        <w:tab/>
        <w:t xml:space="preserve">On 25 April 2023, the Committee, through </w:t>
      </w:r>
      <w:r>
        <w:t>another n</w:t>
      </w:r>
      <w:r w:rsidRPr="001B37FC">
        <w:t xml:space="preserve">ote </w:t>
      </w:r>
      <w:r>
        <w:t>v</w:t>
      </w:r>
      <w:r w:rsidRPr="001B37FC">
        <w:t xml:space="preserve">erbale, </w:t>
      </w:r>
      <w:r>
        <w:t>extended to</w:t>
      </w:r>
      <w:r w:rsidRPr="001B37FC">
        <w:t xml:space="preserve"> 30 June 2023</w:t>
      </w:r>
      <w:r>
        <w:t xml:space="preserve"> the State party’s deadline </w:t>
      </w:r>
      <w:r w:rsidRPr="001B37FC">
        <w:t xml:space="preserve">to </w:t>
      </w:r>
      <w:r>
        <w:t xml:space="preserve">submit a report </w:t>
      </w:r>
      <w:r w:rsidRPr="001B37FC">
        <w:t xml:space="preserve">on the follow-up given to the </w:t>
      </w:r>
      <w:r w:rsidRPr="00E36FBD">
        <w:t>Committee’s</w:t>
      </w:r>
      <w:r w:rsidRPr="001B37FC">
        <w:t xml:space="preserve"> recommendations</w:t>
      </w:r>
      <w:r w:rsidRPr="001B37FC" w:rsidDel="008C0813">
        <w:t xml:space="preserve"> </w:t>
      </w:r>
      <w:r>
        <w:t>in its</w:t>
      </w:r>
      <w:r w:rsidRPr="001B37FC">
        <w:t xml:space="preserve"> inquiry report</w:t>
      </w:r>
      <w:r>
        <w:t xml:space="preserve">. The Committee also </w:t>
      </w:r>
      <w:r w:rsidRPr="001B37FC">
        <w:t xml:space="preserve">informed </w:t>
      </w:r>
      <w:r>
        <w:t>the State party</w:t>
      </w:r>
      <w:r w:rsidRPr="001B37FC">
        <w:t xml:space="preserve"> </w:t>
      </w:r>
      <w:r>
        <w:t>of</w:t>
      </w:r>
      <w:r w:rsidRPr="001B37FC">
        <w:t xml:space="preserve"> the possibility of participatin</w:t>
      </w:r>
      <w:r>
        <w:t>g</w:t>
      </w:r>
      <w:r w:rsidRPr="001B37FC">
        <w:t xml:space="preserve"> in a follow-up dialogue, to be held </w:t>
      </w:r>
      <w:r>
        <w:t>during its twenty-ninth session</w:t>
      </w:r>
      <w:r w:rsidRPr="001B37FC">
        <w:t>.</w:t>
      </w:r>
    </w:p>
    <w:p w14:paraId="7C81DCCA" w14:textId="79CE9AFD" w:rsidR="00872C78" w:rsidRPr="001B37FC" w:rsidRDefault="00872C78" w:rsidP="00872C78">
      <w:pPr>
        <w:pStyle w:val="SingleTxtG"/>
      </w:pPr>
      <w:r w:rsidRPr="001B37FC">
        <w:t>5.</w:t>
      </w:r>
      <w:r w:rsidRPr="001B37FC">
        <w:tab/>
        <w:t>On 8 August</w:t>
      </w:r>
      <w:r>
        <w:t xml:space="preserve"> 2023</w:t>
      </w:r>
      <w:r w:rsidRPr="001B37FC">
        <w:t>, the State party</w:t>
      </w:r>
      <w:r w:rsidRPr="001D59BE">
        <w:t xml:space="preserve"> </w:t>
      </w:r>
      <w:r w:rsidRPr="001B37FC">
        <w:t xml:space="preserve">transmitted to the Committee, through </w:t>
      </w:r>
      <w:r>
        <w:t>a n</w:t>
      </w:r>
      <w:r w:rsidRPr="001B37FC">
        <w:t>ote verbale</w:t>
      </w:r>
      <w:r>
        <w:t>,</w:t>
      </w:r>
      <w:r w:rsidRPr="001B37FC">
        <w:t xml:space="preserve"> written information on the measures taken by the Government in </w:t>
      </w:r>
      <w:r>
        <w:t xml:space="preserve">follow-up </w:t>
      </w:r>
      <w:r w:rsidRPr="001B37FC">
        <w:t>to the Committee</w:t>
      </w:r>
      <w:r>
        <w:t>’</w:t>
      </w:r>
      <w:r w:rsidRPr="001B37FC">
        <w:t>s</w:t>
      </w:r>
      <w:r>
        <w:t xml:space="preserve"> recommendations in its</w:t>
      </w:r>
      <w:r w:rsidRPr="001B37FC">
        <w:t xml:space="preserve"> inquiry report. It also informed the Committee </w:t>
      </w:r>
      <w:r>
        <w:t>of</w:t>
      </w:r>
      <w:r w:rsidRPr="001B37FC">
        <w:t xml:space="preserve"> its decision to participate in the follow-up dialogue to </w:t>
      </w:r>
      <w:r>
        <w:t>be held</w:t>
      </w:r>
      <w:r w:rsidRPr="001B37FC">
        <w:t xml:space="preserve"> </w:t>
      </w:r>
      <w:r>
        <w:t>during</w:t>
      </w:r>
      <w:r w:rsidRPr="001B37FC">
        <w:t xml:space="preserve"> the Committee’s </w:t>
      </w:r>
      <w:r>
        <w:t>twenty</w:t>
      </w:r>
      <w:r w:rsidR="000D3D22">
        <w:noBreakHyphen/>
      </w:r>
      <w:r>
        <w:t>nin</w:t>
      </w:r>
      <w:r w:rsidRPr="001B37FC">
        <w:t>th session.</w:t>
      </w:r>
    </w:p>
    <w:p w14:paraId="1D002B85" w14:textId="006EAD95" w:rsidR="00872C78" w:rsidRPr="001B37FC" w:rsidRDefault="00872C78" w:rsidP="00872C78">
      <w:pPr>
        <w:pStyle w:val="SingleTxtG"/>
      </w:pPr>
      <w:r w:rsidRPr="001B37FC">
        <w:t>6.</w:t>
      </w:r>
      <w:r w:rsidRPr="001B37FC">
        <w:tab/>
        <w:t>On 21 August 2023, during its 662</w:t>
      </w:r>
      <w:r w:rsidRPr="00076588">
        <w:t>nd</w:t>
      </w:r>
      <w:r w:rsidRPr="001B37FC">
        <w:t xml:space="preserve"> meeting, the Committee held a public follow</w:t>
      </w:r>
      <w:r w:rsidR="0015060D">
        <w:noBreakHyphen/>
      </w:r>
      <w:r w:rsidRPr="001B37FC">
        <w:t xml:space="preserve">up dialogue with </w:t>
      </w:r>
      <w:r>
        <w:t>the</w:t>
      </w:r>
      <w:r w:rsidRPr="001B37FC">
        <w:t xml:space="preserve"> State party</w:t>
      </w:r>
      <w:r>
        <w:t xml:space="preserve">’s delegation, which was headed </w:t>
      </w:r>
      <w:r w:rsidRPr="004A07DE">
        <w:t xml:space="preserve">by </w:t>
      </w:r>
      <w:bookmarkStart w:id="10" w:name="_Hlk143449064"/>
      <w:r w:rsidRPr="00E57065">
        <w:t>Mr. Proh</w:t>
      </w:r>
      <w:r w:rsidRPr="00B55C70">
        <w:t>á</w:t>
      </w:r>
      <w:r w:rsidRPr="00E57065">
        <w:t>s</w:t>
      </w:r>
      <w:r>
        <w:t>z</w:t>
      </w:r>
      <w:r w:rsidRPr="00E57065">
        <w:t>ka, Head of the Disability Department</w:t>
      </w:r>
      <w:r>
        <w:t>,</w:t>
      </w:r>
      <w:r w:rsidRPr="00E57065">
        <w:t xml:space="preserve"> Ministry of </w:t>
      </w:r>
      <w:r>
        <w:t xml:space="preserve">the </w:t>
      </w:r>
      <w:r w:rsidRPr="00E57065">
        <w:t>Interior of Hungar</w:t>
      </w:r>
      <w:r w:rsidRPr="00076588">
        <w:t>y</w:t>
      </w:r>
      <w:bookmarkEnd w:id="10"/>
      <w:r>
        <w:t>, and included members of the Department of European Health, Social Affairs and Education, the Ambassador and Permanent Representative of Hungary to the United Nations Office and other international organizations in Geneva and other members of the Permanent Mission</w:t>
      </w:r>
      <w:r w:rsidRPr="001B37FC">
        <w:t>.</w:t>
      </w:r>
    </w:p>
    <w:p w14:paraId="2A9243CA" w14:textId="77777777" w:rsidR="00872C78" w:rsidRPr="001B37FC" w:rsidRDefault="00872C78" w:rsidP="00872C78">
      <w:pPr>
        <w:pStyle w:val="SingleTxtG"/>
      </w:pPr>
      <w:r w:rsidRPr="001B37FC">
        <w:t>7.</w:t>
      </w:r>
      <w:r w:rsidRPr="001B37FC">
        <w:tab/>
      </w:r>
      <w:r>
        <w:t>On the same day</w:t>
      </w:r>
      <w:r w:rsidRPr="001B37FC">
        <w:t xml:space="preserve">, the Committee also held a private briefing with civil society organizations from Hungary. </w:t>
      </w:r>
      <w:r>
        <w:t>Beforehand, t</w:t>
      </w:r>
      <w:r w:rsidRPr="001B37FC">
        <w:t xml:space="preserve">he Committee had received written information </w:t>
      </w:r>
      <w:r>
        <w:t>submitted</w:t>
      </w:r>
      <w:r w:rsidRPr="001B37FC">
        <w:t xml:space="preserve"> by civil society on the State party</w:t>
      </w:r>
      <w:r>
        <w:t>’s</w:t>
      </w:r>
      <w:r w:rsidRPr="001B37FC">
        <w:t xml:space="preserve"> implementation of the recommendations.</w:t>
      </w:r>
    </w:p>
    <w:p w14:paraId="483F783F" w14:textId="77777777" w:rsidR="00872C78" w:rsidRPr="001B37FC" w:rsidRDefault="00872C78" w:rsidP="00872C78">
      <w:pPr>
        <w:pStyle w:val="HChG"/>
      </w:pPr>
      <w:r>
        <w:tab/>
        <w:t>II.</w:t>
      </w:r>
      <w:r>
        <w:tab/>
      </w:r>
      <w:r w:rsidRPr="001B37FC">
        <w:t>General background</w:t>
      </w:r>
    </w:p>
    <w:p w14:paraId="45F4D6E3" w14:textId="77777777" w:rsidR="00872C78" w:rsidRPr="001B37FC" w:rsidRDefault="00872C78" w:rsidP="00872C78">
      <w:pPr>
        <w:pStyle w:val="H1G"/>
      </w:pPr>
      <w:r>
        <w:tab/>
        <w:t>A.</w:t>
      </w:r>
      <w:r>
        <w:tab/>
      </w:r>
      <w:r w:rsidRPr="001B37FC">
        <w:t>COVID-19 and its impacts on the situation</w:t>
      </w:r>
      <w:r>
        <w:t xml:space="preserve"> of persons with disabilities</w:t>
      </w:r>
    </w:p>
    <w:p w14:paraId="5CE49FAD" w14:textId="07DF9BBB" w:rsidR="00872C78" w:rsidRPr="001B37FC" w:rsidRDefault="00872C78" w:rsidP="00872C78">
      <w:pPr>
        <w:pStyle w:val="SingleTxtG"/>
      </w:pPr>
      <w:r w:rsidRPr="001B37FC">
        <w:t>8.</w:t>
      </w:r>
      <w:r w:rsidRPr="001B37FC">
        <w:tab/>
        <w:t>The Committee notes that</w:t>
      </w:r>
      <w:r>
        <w:t xml:space="preserve"> in the State party,</w:t>
      </w:r>
      <w:r w:rsidRPr="001B37FC">
        <w:t xml:space="preserve"> </w:t>
      </w:r>
      <w:r>
        <w:t xml:space="preserve">during </w:t>
      </w:r>
      <w:r w:rsidRPr="001B37FC">
        <w:t xml:space="preserve">the </w:t>
      </w:r>
      <w:r>
        <w:t>coronavirus disease (</w:t>
      </w:r>
      <w:r w:rsidRPr="001B37FC">
        <w:t>COVID</w:t>
      </w:r>
      <w:r w:rsidR="00E5758C">
        <w:noBreakHyphen/>
      </w:r>
      <w:r w:rsidRPr="001B37FC">
        <w:t>19</w:t>
      </w:r>
      <w:r>
        <w:t>)</w:t>
      </w:r>
      <w:r w:rsidRPr="001B37FC">
        <w:t xml:space="preserve"> pandemic</w:t>
      </w:r>
      <w:r>
        <w:t>,</w:t>
      </w:r>
      <w:r w:rsidRPr="001B37FC">
        <w:t xml:space="preserve"> restrict</w:t>
      </w:r>
      <w:r>
        <w:t>ions</w:t>
      </w:r>
      <w:r w:rsidRPr="001B37FC">
        <w:t xml:space="preserve"> </w:t>
      </w:r>
      <w:r>
        <w:t xml:space="preserve">on the </w:t>
      </w:r>
      <w:r w:rsidRPr="001B37FC">
        <w:t>autonomy and the exercise of legal capacity by persons with disabilities under guardianship</w:t>
      </w:r>
      <w:r>
        <w:t xml:space="preserve"> were increased</w:t>
      </w:r>
      <w:r w:rsidRPr="001B37FC">
        <w:t xml:space="preserve">. Persons with disabilities under guardianship and in institutions lacked information about </w:t>
      </w:r>
      <w:r>
        <w:t xml:space="preserve">increased </w:t>
      </w:r>
      <w:r w:rsidRPr="001B37FC">
        <w:t xml:space="preserve">restrictions </w:t>
      </w:r>
      <w:r>
        <w:t>on</w:t>
      </w:r>
      <w:r w:rsidRPr="001B37FC">
        <w:t xml:space="preserve"> fundamental rights, including </w:t>
      </w:r>
      <w:r>
        <w:t xml:space="preserve">on </w:t>
      </w:r>
      <w:r w:rsidRPr="001B37FC">
        <w:t xml:space="preserve">how to access their right to health, file complaints about </w:t>
      </w:r>
      <w:r>
        <w:t xml:space="preserve">a </w:t>
      </w:r>
      <w:r w:rsidRPr="001B37FC">
        <w:t xml:space="preserve">conflict of interest with guardians or supporters </w:t>
      </w:r>
      <w:r>
        <w:t xml:space="preserve">and </w:t>
      </w:r>
      <w:r w:rsidRPr="001B37FC">
        <w:t xml:space="preserve">request the recognition of their legal capacity. In accordance with government measures </w:t>
      </w:r>
      <w:r>
        <w:t>placing</w:t>
      </w:r>
      <w:r w:rsidRPr="001B37FC">
        <w:t xml:space="preserve"> institutions </w:t>
      </w:r>
      <w:r>
        <w:t xml:space="preserve">on </w:t>
      </w:r>
      <w:r w:rsidRPr="001B37FC">
        <w:t>lockdown in March 2020, pe</w:t>
      </w:r>
      <w:r>
        <w:t>rsons</w:t>
      </w:r>
      <w:r w:rsidRPr="001B37FC">
        <w:t xml:space="preserve"> with disabilities were prohibited from leaving </w:t>
      </w:r>
      <w:r>
        <w:t>institutions</w:t>
      </w:r>
      <w:r w:rsidRPr="001B37FC">
        <w:t xml:space="preserve"> or having visitors. </w:t>
      </w:r>
      <w:r>
        <w:t>Information provided by the State party indicates that the Central Statistical Office reported that a total of 1,544 persons with disabilities died in residential institutions for persons with disabilities between 2020 and 2022. Nevertheless, the Committee noted the general lack of available statistics regarding the number of infections and the causes of death among persons with disabilities in institutions during the pandemic</w:t>
      </w:r>
      <w:r w:rsidR="008D4B1E">
        <w:t>.</w:t>
      </w:r>
    </w:p>
    <w:p w14:paraId="49CE8830" w14:textId="77777777" w:rsidR="00872C78" w:rsidRPr="001B37FC" w:rsidRDefault="00872C78" w:rsidP="00872C78">
      <w:pPr>
        <w:pStyle w:val="H1G"/>
      </w:pPr>
      <w:r>
        <w:tab/>
        <w:t>B.</w:t>
      </w:r>
      <w:r>
        <w:tab/>
      </w:r>
      <w:r w:rsidRPr="001B37FC">
        <w:t>Independent monitoring mechanisms</w:t>
      </w:r>
    </w:p>
    <w:p w14:paraId="134B7933" w14:textId="77777777" w:rsidR="00872C78" w:rsidRPr="001B37FC" w:rsidRDefault="00872C78" w:rsidP="00872C78">
      <w:pPr>
        <w:pStyle w:val="SingleTxtG"/>
      </w:pPr>
      <w:r w:rsidRPr="001B37FC">
        <w:t>9.</w:t>
      </w:r>
      <w:r w:rsidRPr="001B37FC">
        <w:tab/>
        <w:t xml:space="preserve">The State party </w:t>
      </w:r>
      <w:r>
        <w:t>reported</w:t>
      </w:r>
      <w:r w:rsidRPr="001B37FC">
        <w:t xml:space="preserve"> that it </w:t>
      </w:r>
      <w:r>
        <w:t xml:space="preserve">had </w:t>
      </w:r>
      <w:r w:rsidRPr="001B37FC">
        <w:t xml:space="preserve">established </w:t>
      </w:r>
      <w:r>
        <w:t>a disability advisory board within</w:t>
      </w:r>
      <w:r w:rsidRPr="001B37FC">
        <w:t xml:space="preserve"> the </w:t>
      </w:r>
      <w:r>
        <w:t>Office</w:t>
      </w:r>
      <w:r w:rsidRPr="001B37FC">
        <w:t xml:space="preserve"> of the Commissioner of Fundamental Rights</w:t>
      </w:r>
      <w:r>
        <w:t xml:space="preserve"> as the</w:t>
      </w:r>
      <w:r w:rsidRPr="001B37FC">
        <w:t xml:space="preserve"> independent mechanism </w:t>
      </w:r>
      <w:r w:rsidRPr="00784BBD">
        <w:t>required under article 33 (2) of the Convention</w:t>
      </w:r>
      <w:r>
        <w:t>.</w:t>
      </w:r>
      <w:r w:rsidRPr="001B37FC">
        <w:t xml:space="preserve"> </w:t>
      </w:r>
      <w:r>
        <w:t>Together with</w:t>
      </w:r>
      <w:r w:rsidRPr="001B37FC">
        <w:t xml:space="preserve"> the National Council</w:t>
      </w:r>
      <w:r w:rsidRPr="00257A74">
        <w:t xml:space="preserve"> </w:t>
      </w:r>
      <w:r>
        <w:t xml:space="preserve">on </w:t>
      </w:r>
      <w:r w:rsidRPr="001B37FC">
        <w:t xml:space="preserve">Disability, </w:t>
      </w:r>
      <w:r>
        <w:t>the disability advisory board was</w:t>
      </w:r>
      <w:r w:rsidRPr="001B37FC">
        <w:t xml:space="preserve"> responsible for </w:t>
      </w:r>
      <w:r>
        <w:t>commenting on the content of draft legislation, making recommendations for amendments to existing laws and participating in the formulation, implementation and monitoring of the National Disability Programme and its associated action plans</w:t>
      </w:r>
      <w:r w:rsidRPr="001B37FC">
        <w:t>.</w:t>
      </w:r>
    </w:p>
    <w:p w14:paraId="5175523F" w14:textId="77777777" w:rsidR="00872C78" w:rsidRPr="001B37FC" w:rsidRDefault="00872C78" w:rsidP="00872C78">
      <w:pPr>
        <w:pStyle w:val="SingleTxtG"/>
      </w:pPr>
      <w:r w:rsidRPr="001B37FC">
        <w:t>10.</w:t>
      </w:r>
      <w:r w:rsidRPr="001B37FC">
        <w:tab/>
        <w:t xml:space="preserve">Civil society organizations </w:t>
      </w:r>
      <w:r>
        <w:t>reported that the Office</w:t>
      </w:r>
      <w:r w:rsidRPr="001B37FC">
        <w:t xml:space="preserve"> of</w:t>
      </w:r>
      <w:r w:rsidRPr="001B37FC" w:rsidDel="00F81C9D">
        <w:t xml:space="preserve"> </w:t>
      </w:r>
      <w:r w:rsidRPr="001B37FC">
        <w:t xml:space="preserve">the Commissioner for Fundamental Rights </w:t>
      </w:r>
      <w:r>
        <w:t xml:space="preserve">had been downgraded </w:t>
      </w:r>
      <w:r w:rsidRPr="001B37FC">
        <w:t xml:space="preserve">from A status to B status in 2022 and </w:t>
      </w:r>
      <w:r>
        <w:t xml:space="preserve">provided details of </w:t>
      </w:r>
      <w:r w:rsidRPr="001B37FC">
        <w:t>its ineffective functioning.</w:t>
      </w:r>
    </w:p>
    <w:p w14:paraId="1CE127FC" w14:textId="77777777" w:rsidR="00872C78" w:rsidRPr="001B37FC" w:rsidRDefault="00872C78" w:rsidP="00872C78">
      <w:pPr>
        <w:pStyle w:val="HChG"/>
      </w:pPr>
      <w:r>
        <w:tab/>
        <w:t>III.</w:t>
      </w:r>
      <w:r>
        <w:tab/>
      </w:r>
      <w:r w:rsidRPr="001B37FC">
        <w:t xml:space="preserve">Developments in the State party and </w:t>
      </w:r>
      <w:r>
        <w:t xml:space="preserve">the Committee’s </w:t>
      </w:r>
      <w:r w:rsidRPr="001B37FC">
        <w:t>assessment of the State party</w:t>
      </w:r>
      <w:r>
        <w:t>’s</w:t>
      </w:r>
      <w:r w:rsidRPr="001B37FC">
        <w:t xml:space="preserve"> implementation of </w:t>
      </w:r>
      <w:r>
        <w:t>its</w:t>
      </w:r>
      <w:r w:rsidRPr="001B37FC">
        <w:t xml:space="preserve"> recommendations</w:t>
      </w:r>
    </w:p>
    <w:p w14:paraId="04C7B402" w14:textId="77777777" w:rsidR="00872C78" w:rsidRPr="001B37FC" w:rsidRDefault="00872C78" w:rsidP="00872C78">
      <w:pPr>
        <w:pStyle w:val="H1G"/>
      </w:pPr>
      <w:r>
        <w:tab/>
        <w:t>A.</w:t>
      </w:r>
      <w:r>
        <w:tab/>
      </w:r>
      <w:r w:rsidRPr="001B37FC">
        <w:t>General obligations (art. 4 (3))</w:t>
      </w:r>
    </w:p>
    <w:p w14:paraId="7C5172CF" w14:textId="77777777" w:rsidR="00872C78" w:rsidRPr="004B0EF1" w:rsidRDefault="00872C78" w:rsidP="00872C78">
      <w:pPr>
        <w:pStyle w:val="H23G"/>
      </w:pPr>
      <w:r>
        <w:tab/>
        <w:t>1.</w:t>
      </w:r>
      <w:r>
        <w:tab/>
      </w:r>
      <w:r w:rsidRPr="004B0EF1">
        <w:t>Limited participation of persons with disabilities in public decision-making</w:t>
      </w:r>
    </w:p>
    <w:p w14:paraId="5BAE7758" w14:textId="6FD6BE49" w:rsidR="00872C78" w:rsidRPr="001B37FC" w:rsidRDefault="00872C78" w:rsidP="00872C78">
      <w:pPr>
        <w:pStyle w:val="SingleTxtG"/>
      </w:pPr>
      <w:r w:rsidRPr="001B37FC">
        <w:t>11.</w:t>
      </w:r>
      <w:r w:rsidRPr="001B37FC">
        <w:tab/>
      </w:r>
      <w:r>
        <w:t>The Committee takes note of the information provided by the State party on Act No. CXXXI of 2010 on social participation in the legislative process, which provides for public consultations with and the participation of civil society organizations in public decision</w:t>
      </w:r>
      <w:r w:rsidR="00F02AAF">
        <w:noBreakHyphen/>
      </w:r>
      <w:r>
        <w:t>making processes. It also takes note of the information relating to the participation of civil society organizations in the National Council on Disability and the State party’s plans to invite members of that Council to participate in the preparation of the next national disability programme</w:t>
      </w:r>
      <w:r w:rsidRPr="001B37FC">
        <w:t>.</w:t>
      </w:r>
    </w:p>
    <w:p w14:paraId="4F254675" w14:textId="0B6AB5EC" w:rsidR="00872C78" w:rsidRPr="00256217" w:rsidRDefault="00872C78" w:rsidP="00872C78">
      <w:pPr>
        <w:pStyle w:val="SingleTxtG"/>
      </w:pPr>
      <w:r w:rsidRPr="00256217">
        <w:t>12.</w:t>
      </w:r>
      <w:r w:rsidRPr="00256217">
        <w:tab/>
      </w:r>
      <w:r w:rsidRPr="001B37FC">
        <w:t xml:space="preserve">However, the Committee received information about </w:t>
      </w:r>
      <w:r>
        <w:t>the</w:t>
      </w:r>
      <w:r w:rsidRPr="001B37FC">
        <w:t xml:space="preserve"> lack of measures </w:t>
      </w:r>
      <w:r>
        <w:t xml:space="preserve">for close consultation with </w:t>
      </w:r>
      <w:r w:rsidRPr="001B37FC">
        <w:t>persons with disabilities</w:t>
      </w:r>
      <w:r>
        <w:t xml:space="preserve"> and their active involvement </w:t>
      </w:r>
      <w:r w:rsidRPr="00524D52">
        <w:t xml:space="preserve">in </w:t>
      </w:r>
      <w:r w:rsidRPr="00143A8E">
        <w:t>measures to implement the Committee</w:t>
      </w:r>
      <w:r>
        <w:t>’</w:t>
      </w:r>
      <w:r w:rsidRPr="00143A8E">
        <w:t>s recommendations in its inquiry report, including those relat</w:t>
      </w:r>
      <w:r>
        <w:t>ing</w:t>
      </w:r>
      <w:r w:rsidRPr="00143A8E">
        <w:t xml:space="preserve"> to the right of persons with disabilities to equal recognition before the law (para. 110)</w:t>
      </w:r>
      <w:r>
        <w:t>;</w:t>
      </w:r>
      <w:r w:rsidRPr="00143A8E">
        <w:t xml:space="preserve"> the development of independent living schemes that respect the autonomy of persons with disabilities and their right to choose where and with whom they live (para. 1</w:t>
      </w:r>
      <w:r>
        <w:t>1</w:t>
      </w:r>
      <w:r w:rsidRPr="00143A8E">
        <w:t xml:space="preserve">1 (d)); the design and implementation of support for inclusion in the community (para. 112 (d)); the adoption of a comprehensive strategy to ensure employment and income-generation opportunities for persons with disabilities in the open labour market (para. 113 (d)); ending institutionalization </w:t>
      </w:r>
      <w:r>
        <w:t xml:space="preserve">and </w:t>
      </w:r>
      <w:r w:rsidRPr="00143A8E">
        <w:t>adoptin</w:t>
      </w:r>
      <w:r>
        <w:t>g</w:t>
      </w:r>
      <w:r w:rsidRPr="00143A8E">
        <w:t xml:space="preserve"> a national plan for the effective deinstitutionalization of all persons with disabilities in all types of institutions (para. 114</w:t>
      </w:r>
      <w:r>
        <w:t xml:space="preserve"> (b) and (c))</w:t>
      </w:r>
      <w:r w:rsidRPr="00143A8E">
        <w:t xml:space="preserve">; and the design, implementation and monitoring of </w:t>
      </w:r>
      <w:r w:rsidRPr="00D07665">
        <w:t>regular and systematic</w:t>
      </w:r>
      <w:r>
        <w:t xml:space="preserve"> </w:t>
      </w:r>
      <w:r w:rsidRPr="00143A8E">
        <w:t>training activities for all professionals and staff working with persons with disabilities and for family members (para.</w:t>
      </w:r>
      <w:r w:rsidR="00E5758C">
        <w:t> </w:t>
      </w:r>
      <w:r w:rsidRPr="00143A8E">
        <w:t xml:space="preserve">116 </w:t>
      </w:r>
      <w:r>
        <w:t>(c</w:t>
      </w:r>
      <w:r w:rsidRPr="00256217">
        <w:t>)).</w:t>
      </w:r>
    </w:p>
    <w:p w14:paraId="640CC806" w14:textId="77777777" w:rsidR="00872C78" w:rsidRPr="001B37FC" w:rsidRDefault="00872C78" w:rsidP="00872C78">
      <w:pPr>
        <w:pStyle w:val="SingleTxtG"/>
      </w:pPr>
      <w:r w:rsidRPr="001B37FC">
        <w:t>13.</w:t>
      </w:r>
      <w:r w:rsidRPr="001B37FC">
        <w:tab/>
        <w:t xml:space="preserve">The Committee </w:t>
      </w:r>
      <w:r>
        <w:t xml:space="preserve">takes </w:t>
      </w:r>
      <w:r w:rsidRPr="001B37FC">
        <w:t xml:space="preserve">note </w:t>
      </w:r>
      <w:r>
        <w:t xml:space="preserve">of </w:t>
      </w:r>
      <w:r w:rsidRPr="001B37FC">
        <w:t xml:space="preserve">reports </w:t>
      </w:r>
      <w:r>
        <w:t>indicating that</w:t>
      </w:r>
      <w:r w:rsidRPr="001B37FC">
        <w:t xml:space="preserve"> persons with disabilities and their representative organi</w:t>
      </w:r>
      <w:r>
        <w:t>z</w:t>
      </w:r>
      <w:r w:rsidRPr="001B37FC">
        <w:t xml:space="preserve">ations </w:t>
      </w:r>
      <w:r>
        <w:t>have been</w:t>
      </w:r>
      <w:r w:rsidRPr="001B37FC">
        <w:t xml:space="preserve"> excluded from the decision</w:t>
      </w:r>
      <w:r>
        <w:t>-making</w:t>
      </w:r>
      <w:r w:rsidRPr="001B37FC">
        <w:t xml:space="preserve"> and policymaking processes. In particular</w:t>
      </w:r>
      <w:r>
        <w:t>, it</w:t>
      </w:r>
      <w:r w:rsidRPr="001B37FC">
        <w:t xml:space="preserve"> </w:t>
      </w:r>
      <w:r>
        <w:t>is concerned at information indicating that meetings of the</w:t>
      </w:r>
      <w:r w:rsidRPr="001B37FC" w:rsidDel="007A2B97">
        <w:t xml:space="preserve"> </w:t>
      </w:r>
      <w:r w:rsidRPr="00D03725">
        <w:t xml:space="preserve">National Council on </w:t>
      </w:r>
      <w:r w:rsidRPr="00076588">
        <w:t>Disability</w:t>
      </w:r>
      <w:r w:rsidRPr="001B37FC">
        <w:t xml:space="preserve"> </w:t>
      </w:r>
      <w:r>
        <w:t>take place only sporadically and are closed to the public, which prevents accountability of its impact in decision-making processes relating to issues affecting persons with disabilities</w:t>
      </w:r>
      <w:r w:rsidRPr="001B37FC">
        <w:t>.</w:t>
      </w:r>
    </w:p>
    <w:p w14:paraId="59627FFF" w14:textId="77777777" w:rsidR="00872C78" w:rsidRPr="001B37FC" w:rsidRDefault="00872C78" w:rsidP="00872C78">
      <w:pPr>
        <w:pStyle w:val="SingleTxtG"/>
      </w:pPr>
      <w:r w:rsidRPr="001B37FC">
        <w:t>14.</w:t>
      </w:r>
      <w:r w:rsidRPr="001B37FC">
        <w:tab/>
        <w:t xml:space="preserve">The Committee </w:t>
      </w:r>
      <w:r>
        <w:t>therefore</w:t>
      </w:r>
      <w:r w:rsidRPr="001B37FC">
        <w:t xml:space="preserve"> considers that </w:t>
      </w:r>
      <w:r>
        <w:t xml:space="preserve">its </w:t>
      </w:r>
      <w:r w:rsidRPr="001B37FC">
        <w:t xml:space="preserve">recommendations </w:t>
      </w:r>
      <w:r>
        <w:t>concerning</w:t>
      </w:r>
      <w:r w:rsidRPr="001B37FC">
        <w:t xml:space="preserve"> the participation of persons with disabilities have not been </w:t>
      </w:r>
      <w:r>
        <w:t>implemented.</w:t>
      </w:r>
      <w:r w:rsidRPr="001B37FC">
        <w:t xml:space="preserve"> </w:t>
      </w:r>
      <w:r>
        <w:t>This is</w:t>
      </w:r>
      <w:r w:rsidRPr="001B37FC">
        <w:t xml:space="preserve"> particular</w:t>
      </w:r>
      <w:r>
        <w:t>ly so</w:t>
      </w:r>
      <w:r w:rsidRPr="001B37FC">
        <w:t xml:space="preserve"> given the lack of formal legal mechanisms to consult closely </w:t>
      </w:r>
      <w:r>
        <w:t xml:space="preserve">with </w:t>
      </w:r>
      <w:r w:rsidRPr="001B37FC">
        <w:t>persons with disabilities</w:t>
      </w:r>
      <w:r>
        <w:t>,</w:t>
      </w:r>
      <w:r w:rsidRPr="001B37FC">
        <w:t xml:space="preserve"> through their representative organizations</w:t>
      </w:r>
      <w:r>
        <w:t>,</w:t>
      </w:r>
      <w:r w:rsidRPr="001B37FC">
        <w:t xml:space="preserve"> and actively involve </w:t>
      </w:r>
      <w:r>
        <w:t xml:space="preserve">them </w:t>
      </w:r>
      <w:r w:rsidRPr="001B37FC">
        <w:t>in developing and enacting legislation and designing disability-related policies to give effect to the Convention and the Committee’s recommendations</w:t>
      </w:r>
      <w:r>
        <w:t>. It is also</w:t>
      </w:r>
      <w:r w:rsidRPr="001B37FC">
        <w:t xml:space="preserve"> due to the lack of mechanisms </w:t>
      </w:r>
      <w:r>
        <w:t xml:space="preserve">in place </w:t>
      </w:r>
      <w:r w:rsidRPr="001B37FC">
        <w:t xml:space="preserve">to </w:t>
      </w:r>
      <w:r>
        <w:t>protect</w:t>
      </w:r>
      <w:r w:rsidRPr="001B37FC">
        <w:t xml:space="preserve"> </w:t>
      </w:r>
      <w:r>
        <w:t xml:space="preserve">such </w:t>
      </w:r>
      <w:r w:rsidRPr="001B37FC">
        <w:t xml:space="preserve">organizations </w:t>
      </w:r>
      <w:r>
        <w:t xml:space="preserve">from </w:t>
      </w:r>
      <w:r w:rsidRPr="001B37FC">
        <w:t xml:space="preserve">reprisals </w:t>
      </w:r>
      <w:r>
        <w:t xml:space="preserve">and </w:t>
      </w:r>
      <w:r w:rsidRPr="001B37FC">
        <w:t xml:space="preserve">prevent </w:t>
      </w:r>
      <w:r>
        <w:t>any such reprisals</w:t>
      </w:r>
      <w:r w:rsidRPr="001B37FC">
        <w:t xml:space="preserve"> and to ensure </w:t>
      </w:r>
      <w:r>
        <w:t xml:space="preserve">that they have an </w:t>
      </w:r>
      <w:r w:rsidRPr="001B37FC">
        <w:t>independent advocacy role in public decision-making.</w:t>
      </w:r>
    </w:p>
    <w:p w14:paraId="32D5301B" w14:textId="77777777" w:rsidR="00872C78" w:rsidRPr="006741BD" w:rsidRDefault="00872C78" w:rsidP="00872C78">
      <w:pPr>
        <w:pStyle w:val="H23G"/>
      </w:pPr>
      <w:r>
        <w:tab/>
        <w:t>2</w:t>
      </w:r>
      <w:r w:rsidRPr="006741BD">
        <w:t>.</w:t>
      </w:r>
      <w:r w:rsidRPr="006741BD">
        <w:tab/>
        <w:t>Data collection (art. 31)</w:t>
      </w:r>
    </w:p>
    <w:p w14:paraId="37A346D0" w14:textId="77777777" w:rsidR="00872C78" w:rsidRPr="001B37FC" w:rsidRDefault="00872C78" w:rsidP="00872C78">
      <w:pPr>
        <w:pStyle w:val="SingleTxtG"/>
      </w:pPr>
      <w:r w:rsidRPr="001B37FC">
        <w:t>15.</w:t>
      </w:r>
      <w:r w:rsidRPr="001B37FC">
        <w:tab/>
        <w:t xml:space="preserve">The Committee takes note of the information provided by the State party </w:t>
      </w:r>
      <w:r>
        <w:t>on</w:t>
      </w:r>
      <w:r w:rsidRPr="001B37FC">
        <w:t xml:space="preserve"> efforts made by the Hungarian Central Statistics Office to reinforce its data collection system, including by incorporating the Washington Group</w:t>
      </w:r>
      <w:r>
        <w:t xml:space="preserve"> short</w:t>
      </w:r>
      <w:r w:rsidRPr="001B37FC">
        <w:t xml:space="preserve"> set of questions </w:t>
      </w:r>
      <w:r>
        <w:t xml:space="preserve">on functioning </w:t>
      </w:r>
      <w:r w:rsidRPr="001B37FC">
        <w:t>in the 2022 national census to provide data on disability among various social groups (Roma, women, children, pe</w:t>
      </w:r>
      <w:r>
        <w:t>rsons</w:t>
      </w:r>
      <w:r w:rsidRPr="001B37FC">
        <w:t xml:space="preserve"> </w:t>
      </w:r>
      <w:r>
        <w:t xml:space="preserve">living </w:t>
      </w:r>
      <w:r w:rsidRPr="001B37FC">
        <w:t>in institutions). Th</w:t>
      </w:r>
      <w:r>
        <w:t>e</w:t>
      </w:r>
      <w:r w:rsidRPr="001B37FC">
        <w:t xml:space="preserve"> </w:t>
      </w:r>
      <w:r>
        <w:t xml:space="preserve">Statistics </w:t>
      </w:r>
      <w:r w:rsidRPr="001B37FC">
        <w:t>Office also conducted internationally harmonized surveys and collaborate</w:t>
      </w:r>
      <w:r>
        <w:t>d</w:t>
      </w:r>
      <w:r w:rsidRPr="001B37FC">
        <w:t xml:space="preserve"> with international organizations to enhance its measurement tools for assessing impairments. The </w:t>
      </w:r>
      <w:r>
        <w:t>Committee</w:t>
      </w:r>
      <w:r w:rsidRPr="001B37FC">
        <w:t xml:space="preserve"> welcomes the information indicating that the census has shifted towards a social and human rights</w:t>
      </w:r>
      <w:r>
        <w:t>-based</w:t>
      </w:r>
      <w:r w:rsidRPr="001B37FC">
        <w:t xml:space="preserve"> approach</w:t>
      </w:r>
      <w:r>
        <w:t>,</w:t>
      </w:r>
      <w:r w:rsidRPr="001B37FC">
        <w:t xml:space="preserve"> alongside the traditional medical assessment, with data available since 2016. </w:t>
      </w:r>
      <w:r>
        <w:t>Nevertheless</w:t>
      </w:r>
      <w:r w:rsidRPr="001B37FC">
        <w:t xml:space="preserve">, </w:t>
      </w:r>
      <w:r>
        <w:t xml:space="preserve">it </w:t>
      </w:r>
      <w:r w:rsidRPr="001B37FC">
        <w:t xml:space="preserve">notes with concern the current absence of a system for </w:t>
      </w:r>
      <w:r>
        <w:t xml:space="preserve">collecting </w:t>
      </w:r>
      <w:r w:rsidRPr="001B37FC">
        <w:t>consistent and systematic data disaggregated by sex, gender, age, ethnic origin and geographical location of persons with disabilities, including persons with disabilities under guardianship and in institutions.</w:t>
      </w:r>
    </w:p>
    <w:p w14:paraId="0DE06C96" w14:textId="77777777" w:rsidR="00872C78" w:rsidRPr="001B37FC" w:rsidRDefault="00872C78" w:rsidP="00872C78">
      <w:pPr>
        <w:pStyle w:val="H23G"/>
      </w:pPr>
      <w:r>
        <w:tab/>
        <w:t>3.</w:t>
      </w:r>
      <w:r>
        <w:tab/>
      </w:r>
      <w:r>
        <w:tab/>
      </w:r>
      <w:r w:rsidRPr="001B37FC">
        <w:t>Equal recognition before the law (art. 12)</w:t>
      </w:r>
    </w:p>
    <w:p w14:paraId="75B273DB" w14:textId="77777777" w:rsidR="00872C78" w:rsidRPr="00076588" w:rsidRDefault="00872C78" w:rsidP="00872C78">
      <w:pPr>
        <w:pStyle w:val="H23G"/>
      </w:pPr>
      <w:r>
        <w:rPr>
          <w:i/>
          <w:iCs/>
        </w:rPr>
        <w:tab/>
      </w:r>
      <w:r>
        <w:t>(</w:t>
      </w:r>
      <w:r w:rsidRPr="00076588">
        <w:t>a</w:t>
      </w:r>
      <w:r>
        <w:t>)</w:t>
      </w:r>
      <w:r w:rsidRPr="00E301EA">
        <w:rPr>
          <w:i/>
          <w:iCs/>
        </w:rPr>
        <w:tab/>
      </w:r>
      <w:r w:rsidRPr="00076588">
        <w:t>Legal framework and substituted decision-making</w:t>
      </w:r>
    </w:p>
    <w:p w14:paraId="5A138FB1" w14:textId="77777777" w:rsidR="00872C78" w:rsidRPr="001B37FC" w:rsidRDefault="00872C78" w:rsidP="00872C78">
      <w:pPr>
        <w:pStyle w:val="SingleTxtG"/>
      </w:pPr>
      <w:r w:rsidRPr="001B37FC">
        <w:t>16.</w:t>
      </w:r>
      <w:r w:rsidRPr="001B37FC">
        <w:tab/>
        <w:t xml:space="preserve">The State party </w:t>
      </w:r>
      <w:r>
        <w:t>reported</w:t>
      </w:r>
      <w:r w:rsidRPr="001B37FC">
        <w:t xml:space="preserve"> that the Curia</w:t>
      </w:r>
      <w:r w:rsidRPr="00114D9F">
        <w:t>, or Supreme Court,</w:t>
      </w:r>
      <w:r w:rsidRPr="001B37FC">
        <w:t xml:space="preserve"> of Hungary </w:t>
      </w:r>
      <w:r>
        <w:t xml:space="preserve">had </w:t>
      </w:r>
      <w:r w:rsidRPr="001B37FC">
        <w:t>established a working group to scrutinize legal practices concerning guardianship cases, focusing on legal capacity lawsuits, guardianship placements, changes, terminations and reviews.</w:t>
      </w:r>
      <w:r>
        <w:t xml:space="preserve"> </w:t>
      </w:r>
      <w:r w:rsidRPr="001B37FC">
        <w:t>After concluding its operations in May 2023, the group</w:t>
      </w:r>
      <w:r>
        <w:t xml:space="preserve"> had published its evaluation</w:t>
      </w:r>
      <w:r w:rsidRPr="001B37FC">
        <w:t>.</w:t>
      </w:r>
    </w:p>
    <w:p w14:paraId="3B7C7250" w14:textId="77777777" w:rsidR="00872C78" w:rsidRPr="001B37FC" w:rsidRDefault="00872C78" w:rsidP="00872C78">
      <w:pPr>
        <w:pStyle w:val="SingleTxtG"/>
      </w:pPr>
      <w:r w:rsidRPr="001B37FC">
        <w:t>17.</w:t>
      </w:r>
      <w:r w:rsidRPr="001B37FC">
        <w:tab/>
        <w:t xml:space="preserve">During the </w:t>
      </w:r>
      <w:r>
        <w:t>assessment period</w:t>
      </w:r>
      <w:r w:rsidRPr="001B37FC">
        <w:t xml:space="preserve">, the State party </w:t>
      </w:r>
      <w:r>
        <w:t>failed to</w:t>
      </w:r>
      <w:r w:rsidRPr="001B37FC">
        <w:t xml:space="preserve"> align the provisions </w:t>
      </w:r>
      <w:r>
        <w:t xml:space="preserve">of the </w:t>
      </w:r>
      <w:r w:rsidRPr="001B37FC">
        <w:t xml:space="preserve">Civil Code with the </w:t>
      </w:r>
      <w:r>
        <w:t xml:space="preserve">Convention, as recommended by the </w:t>
      </w:r>
      <w:r w:rsidRPr="001B37FC">
        <w:t>Committee.</w:t>
      </w:r>
    </w:p>
    <w:p w14:paraId="303A27F4" w14:textId="77777777" w:rsidR="00872C78" w:rsidRPr="001B37FC" w:rsidRDefault="00872C78" w:rsidP="00872C78">
      <w:pPr>
        <w:pStyle w:val="SingleTxtG"/>
      </w:pPr>
      <w:r w:rsidRPr="001B37FC">
        <w:t>18.</w:t>
      </w:r>
      <w:r w:rsidRPr="001B37FC">
        <w:tab/>
        <w:t xml:space="preserve">The </w:t>
      </w:r>
      <w:r>
        <w:t xml:space="preserve">State party’s </w:t>
      </w:r>
      <w:r w:rsidRPr="001B37FC">
        <w:t>Civil Code</w:t>
      </w:r>
      <w:r>
        <w:t xml:space="preserve">, adopted </w:t>
      </w:r>
      <w:r w:rsidRPr="001B37FC">
        <w:t>in 2013</w:t>
      </w:r>
      <w:r>
        <w:t>,</w:t>
      </w:r>
      <w:r w:rsidRPr="001B37FC">
        <w:t xml:space="preserve"> distinguishe</w:t>
      </w:r>
      <w:r>
        <w:t>s</w:t>
      </w:r>
      <w:r w:rsidRPr="001B37FC">
        <w:t xml:space="preserve"> between the capacity to hold rights and the capacity to act, retaining provisions for full or partial capacity restrictions and guardianship placements.</w:t>
      </w:r>
      <w:r>
        <w:t xml:space="preserve"> </w:t>
      </w:r>
      <w:r w:rsidRPr="001B37FC">
        <w:t>Th</w:t>
      </w:r>
      <w:r>
        <w:t>at</w:t>
      </w:r>
      <w:r w:rsidRPr="001B37FC">
        <w:t xml:space="preserve"> legal framework enable</w:t>
      </w:r>
      <w:r>
        <w:t>s</w:t>
      </w:r>
      <w:r w:rsidRPr="001B37FC">
        <w:t xml:space="preserve"> </w:t>
      </w:r>
      <w:r>
        <w:t xml:space="preserve">the </w:t>
      </w:r>
      <w:r w:rsidRPr="001B37FC">
        <w:t>courts to subject a significant number of people to full or partial guardianship, systematically employing a status and/or impairment-based approach to assess capacity to act. Persons under restricted capacity c</w:t>
      </w:r>
      <w:r>
        <w:t>an</w:t>
      </w:r>
      <w:r w:rsidRPr="001B37FC">
        <w:t xml:space="preserve"> be institutionalized at the request of guardians, often without the person</w:t>
      </w:r>
      <w:r>
        <w:t>’</w:t>
      </w:r>
      <w:r w:rsidRPr="001B37FC">
        <w:t>s consent.</w:t>
      </w:r>
    </w:p>
    <w:p w14:paraId="421B7AA8" w14:textId="77777777" w:rsidR="00872C78" w:rsidRPr="001B37FC" w:rsidRDefault="00872C78" w:rsidP="00872C78">
      <w:pPr>
        <w:pStyle w:val="SingleTxtG"/>
      </w:pPr>
      <w:r w:rsidRPr="001B37FC">
        <w:t>19.</w:t>
      </w:r>
      <w:r w:rsidRPr="001B37FC">
        <w:tab/>
        <w:t xml:space="preserve">The </w:t>
      </w:r>
      <w:r>
        <w:t xml:space="preserve">Committee notes that the </w:t>
      </w:r>
      <w:r w:rsidRPr="001B37FC">
        <w:t>State party</w:t>
      </w:r>
      <w:r>
        <w:t xml:space="preserve"> plans </w:t>
      </w:r>
      <w:r w:rsidRPr="001B37FC">
        <w:t>to revise the Civil Code in 2024.</w:t>
      </w:r>
    </w:p>
    <w:p w14:paraId="333D4FA8" w14:textId="77777777" w:rsidR="00872C78" w:rsidRPr="001B37FC" w:rsidRDefault="00872C78" w:rsidP="00872C78">
      <w:pPr>
        <w:pStyle w:val="SingleTxtG"/>
      </w:pPr>
      <w:r w:rsidRPr="001B37FC">
        <w:t>20.</w:t>
      </w:r>
      <w:r w:rsidRPr="001B37FC">
        <w:tab/>
        <w:t xml:space="preserve">Civil society organizations </w:t>
      </w:r>
      <w:r>
        <w:t>reported</w:t>
      </w:r>
      <w:r w:rsidRPr="001B37FC">
        <w:t xml:space="preserve"> that in 2023</w:t>
      </w:r>
      <w:r>
        <w:t xml:space="preserve">, </w:t>
      </w:r>
      <w:r w:rsidRPr="001B37FC">
        <w:t xml:space="preserve">more than 55,000 persons </w:t>
      </w:r>
      <w:r>
        <w:t>remain</w:t>
      </w:r>
      <w:r w:rsidRPr="001B37FC">
        <w:t xml:space="preserve"> under guardianship.</w:t>
      </w:r>
    </w:p>
    <w:p w14:paraId="5225A497" w14:textId="77777777" w:rsidR="00872C78" w:rsidRDefault="00872C78" w:rsidP="00872C78">
      <w:pPr>
        <w:pStyle w:val="SingleTxtG"/>
      </w:pPr>
      <w:r>
        <w:t>21.</w:t>
      </w:r>
      <w:r>
        <w:tab/>
      </w:r>
      <w:r w:rsidRPr="001B37FC">
        <w:t xml:space="preserve">The Committee notes that the State party’s Civil Code remains unchanged and that </w:t>
      </w:r>
      <w:r>
        <w:t>the</w:t>
      </w:r>
      <w:r w:rsidRPr="001B37FC">
        <w:t xml:space="preserve"> provisions providing for partial guardianship have been reaffirmed on the basis of Constitutional Court case law</w:t>
      </w:r>
      <w:r>
        <w:t>, which</w:t>
      </w:r>
      <w:r w:rsidRPr="001B37FC">
        <w:t xml:space="preserve"> considers the primary purpose of guardianship </w:t>
      </w:r>
      <w:r>
        <w:t>to be</w:t>
      </w:r>
      <w:r w:rsidRPr="001B37FC">
        <w:t xml:space="preserve"> t</w:t>
      </w:r>
      <w:r>
        <w:t>o</w:t>
      </w:r>
      <w:r w:rsidRPr="001B37FC">
        <w:t xml:space="preserve"> protect persons and their assets </w:t>
      </w:r>
      <w:r>
        <w:t>on the basis of</w:t>
      </w:r>
      <w:r w:rsidRPr="001B37FC">
        <w:t xml:space="preserve"> their alleged</w:t>
      </w:r>
      <w:r>
        <w:t xml:space="preserve"> or </w:t>
      </w:r>
      <w:r w:rsidRPr="001B37FC">
        <w:t xml:space="preserve">perceived vulnerability and inability to manage </w:t>
      </w:r>
      <w:r>
        <w:t xml:space="preserve">their </w:t>
      </w:r>
      <w:r w:rsidRPr="001B37FC">
        <w:t>affairs effectively.</w:t>
      </w:r>
    </w:p>
    <w:p w14:paraId="0928166A" w14:textId="77777777" w:rsidR="00872C78" w:rsidRPr="00076588" w:rsidRDefault="00872C78" w:rsidP="00872C78">
      <w:pPr>
        <w:pStyle w:val="H23G"/>
      </w:pPr>
      <w:r w:rsidRPr="00E301EA">
        <w:rPr>
          <w:i/>
          <w:iCs/>
        </w:rPr>
        <w:tab/>
      </w:r>
      <w:r>
        <w:t>(</w:t>
      </w:r>
      <w:r w:rsidRPr="008A1650">
        <w:t>b</w:t>
      </w:r>
      <w:r>
        <w:t>)</w:t>
      </w:r>
      <w:r w:rsidRPr="00076588">
        <w:tab/>
        <w:t xml:space="preserve">Judicial mandatory reviews </w:t>
      </w:r>
    </w:p>
    <w:p w14:paraId="61F0A703" w14:textId="77777777" w:rsidR="00872C78" w:rsidRPr="001B37FC" w:rsidRDefault="00872C78" w:rsidP="00872C78">
      <w:pPr>
        <w:pStyle w:val="SingleTxtG"/>
      </w:pPr>
      <w:r w:rsidRPr="001B37FC">
        <w:t>22.</w:t>
      </w:r>
      <w:r w:rsidRPr="001B37FC">
        <w:tab/>
        <w:t>The Committee notes th</w:t>
      </w:r>
      <w:r>
        <w:t xml:space="preserve">at reviews of </w:t>
      </w:r>
      <w:r w:rsidRPr="001B37FC">
        <w:t>guardianship decision</w:t>
      </w:r>
      <w:r>
        <w:t>s</w:t>
      </w:r>
      <w:r w:rsidRPr="001B37FC">
        <w:t xml:space="preserve"> </w:t>
      </w:r>
      <w:r>
        <w:t>are</w:t>
      </w:r>
      <w:r w:rsidRPr="001B37FC">
        <w:t xml:space="preserve"> mandatory in the State party</w:t>
      </w:r>
      <w:r>
        <w:t>, pursuant to the Civil Code</w:t>
      </w:r>
      <w:r w:rsidRPr="001B37FC">
        <w:t xml:space="preserve">. </w:t>
      </w:r>
      <w:r>
        <w:t>Nevertheless</w:t>
      </w:r>
      <w:r w:rsidRPr="001B37FC">
        <w:t xml:space="preserve">, </w:t>
      </w:r>
      <w:r>
        <w:t>it also notes that</w:t>
      </w:r>
      <w:r w:rsidRPr="001B37FC">
        <w:t xml:space="preserve"> the</w:t>
      </w:r>
      <w:r>
        <w:t xml:space="preserve"> current framework does not provide adequate</w:t>
      </w:r>
      <w:r w:rsidRPr="001B37FC">
        <w:t xml:space="preserve"> redress for persons with disabilities </w:t>
      </w:r>
      <w:r>
        <w:t>owing</w:t>
      </w:r>
      <w:r w:rsidRPr="001B37FC">
        <w:t xml:space="preserve"> to procedural formalities, untimely processes and, ultimately, a low rate of capacity restoration. It </w:t>
      </w:r>
      <w:r>
        <w:t>further</w:t>
      </w:r>
      <w:r w:rsidRPr="001B37FC">
        <w:t xml:space="preserve"> notes the absence of legal consequences for missed review deadlines, which contribute to inadequate compliance, resulting in numerous pe</w:t>
      </w:r>
      <w:r>
        <w:t>rsons</w:t>
      </w:r>
      <w:r w:rsidRPr="001B37FC">
        <w:t xml:space="preserve"> with disabilities remaining under guardianship, impeding access to justice.</w:t>
      </w:r>
    </w:p>
    <w:p w14:paraId="68441B5E" w14:textId="77777777" w:rsidR="00872C78" w:rsidRPr="001B37FC" w:rsidRDefault="00872C78" w:rsidP="00872C78">
      <w:pPr>
        <w:pStyle w:val="SingleTxtG"/>
      </w:pPr>
      <w:r w:rsidRPr="001B37FC">
        <w:t>23.</w:t>
      </w:r>
      <w:r w:rsidRPr="001B37FC">
        <w:tab/>
        <w:t>The Committee notes that the State party lacks a legal support system to enable persons with disabilities to access and participate in legal proceedings relat</w:t>
      </w:r>
      <w:r>
        <w:t>ing</w:t>
      </w:r>
      <w:r w:rsidRPr="001B37FC">
        <w:t xml:space="preserve"> to the review of guardianship decisions. The percentage of judicial decisions concerning mandatory reviews indicates that the majority of judges uph</w:t>
      </w:r>
      <w:r>
        <w:t>o</w:t>
      </w:r>
      <w:r w:rsidRPr="001B37FC">
        <w:t xml:space="preserve">ld decisions of partial or full guardianship, </w:t>
      </w:r>
      <w:r>
        <w:t xml:space="preserve">while </w:t>
      </w:r>
      <w:r w:rsidRPr="001B37FC">
        <w:t xml:space="preserve">judges opt to restore legal capacity in specific areas </w:t>
      </w:r>
      <w:r>
        <w:t>in only about</w:t>
      </w:r>
      <w:r w:rsidRPr="001B37FC">
        <w:t xml:space="preserve"> 3 to 9 per cent</w:t>
      </w:r>
      <w:r>
        <w:t xml:space="preserve"> of cases.</w:t>
      </w:r>
      <w:r w:rsidRPr="001B37FC">
        <w:t xml:space="preserve"> </w:t>
      </w:r>
      <w:r>
        <w:t>Fewer</w:t>
      </w:r>
      <w:r w:rsidRPr="001B37FC">
        <w:t xml:space="preserve"> than 1 </w:t>
      </w:r>
      <w:r>
        <w:t>per cent</w:t>
      </w:r>
      <w:r w:rsidRPr="001B37FC">
        <w:t xml:space="preserve"> of judicial decisions endorse supported decision-making.</w:t>
      </w:r>
    </w:p>
    <w:p w14:paraId="17DAD9F7" w14:textId="77777777" w:rsidR="00872C78" w:rsidRDefault="00872C78" w:rsidP="00872C78">
      <w:pPr>
        <w:pStyle w:val="SingleTxtG"/>
      </w:pPr>
      <w:r>
        <w:t>24.</w:t>
      </w:r>
      <w:r>
        <w:tab/>
      </w:r>
      <w:r w:rsidRPr="001B37FC">
        <w:t xml:space="preserve">The Committee received information </w:t>
      </w:r>
      <w:r>
        <w:t xml:space="preserve">from </w:t>
      </w:r>
      <w:r w:rsidRPr="001B37FC">
        <w:t xml:space="preserve">civil society organizations about </w:t>
      </w:r>
      <w:r>
        <w:t>a</w:t>
      </w:r>
      <w:r w:rsidRPr="001B37FC">
        <w:t xml:space="preserve"> procedure initiated at the National Authority for Data Protection and Freedom of Information between 2019</w:t>
      </w:r>
      <w:r>
        <w:t xml:space="preserve"> and </w:t>
      </w:r>
      <w:r w:rsidRPr="001B37FC">
        <w:t xml:space="preserve">2021 concerning statistics collected by the Central Guardianship Authority. </w:t>
      </w:r>
      <w:r>
        <w:t>Reportedly,</w:t>
      </w:r>
      <w:r w:rsidRPr="001B37FC">
        <w:t xml:space="preserve"> one</w:t>
      </w:r>
      <w:r>
        <w:t xml:space="preserve"> </w:t>
      </w:r>
      <w:r w:rsidRPr="001B37FC">
        <w:t xml:space="preserve">fifth of mandatory reviews were initiated </w:t>
      </w:r>
      <w:r>
        <w:t>after</w:t>
      </w:r>
      <w:r w:rsidRPr="001B37FC">
        <w:t xml:space="preserve"> the statutory deadline or had not </w:t>
      </w:r>
      <w:r>
        <w:t>been initiated</w:t>
      </w:r>
      <w:r w:rsidRPr="001B37FC">
        <w:t xml:space="preserve"> at all. Most mandatory reviews upheld restrictions of legal capacity: </w:t>
      </w:r>
      <w:r>
        <w:t xml:space="preserve">between </w:t>
      </w:r>
      <w:r w:rsidRPr="001B37FC">
        <w:t>80</w:t>
      </w:r>
      <w:r>
        <w:t xml:space="preserve"> and </w:t>
      </w:r>
      <w:r w:rsidRPr="001B37FC">
        <w:t>90</w:t>
      </w:r>
      <w:r>
        <w:t xml:space="preserve"> per cent</w:t>
      </w:r>
      <w:r w:rsidRPr="001B37FC">
        <w:t xml:space="preserve"> of persons with disabilities remained under guardianship</w:t>
      </w:r>
      <w:r>
        <w:t>,</w:t>
      </w:r>
      <w:r w:rsidRPr="001B37FC">
        <w:t xml:space="preserve"> fully restricting their legal capacity</w:t>
      </w:r>
      <w:r>
        <w:t>,</w:t>
      </w:r>
      <w:r w:rsidRPr="001B37FC">
        <w:t xml:space="preserve"> </w:t>
      </w:r>
      <w:r>
        <w:t>having the same effect</w:t>
      </w:r>
      <w:r w:rsidRPr="001B37FC">
        <w:t xml:space="preserve"> </w:t>
      </w:r>
      <w:r>
        <w:t xml:space="preserve">in practice </w:t>
      </w:r>
      <w:r w:rsidRPr="001B37FC">
        <w:t xml:space="preserve">as the former </w:t>
      </w:r>
      <w:r>
        <w:t>“</w:t>
      </w:r>
      <w:r w:rsidRPr="001B37FC">
        <w:t>guardianship excluding legal capacity</w:t>
      </w:r>
      <w:r>
        <w:t>”</w:t>
      </w:r>
      <w:r w:rsidRPr="001B37FC">
        <w:t xml:space="preserve"> regime.</w:t>
      </w:r>
    </w:p>
    <w:p w14:paraId="41E89306" w14:textId="77777777" w:rsidR="00872C78" w:rsidRPr="001B37FC" w:rsidRDefault="00872C78" w:rsidP="00872C78">
      <w:pPr>
        <w:pStyle w:val="SingleTxtG"/>
        <w:rPr>
          <w:b/>
          <w:bCs/>
        </w:rPr>
      </w:pPr>
      <w:r w:rsidRPr="001B37FC">
        <w:t>25.</w:t>
      </w:r>
      <w:r w:rsidRPr="001B37FC">
        <w:tab/>
      </w:r>
      <w:r w:rsidRPr="001B37FC">
        <w:rPr>
          <w:b/>
          <w:bCs/>
        </w:rPr>
        <w:t>The Committee therefore concludes that its recommendations requesting the State party to restore the capacity to act of all persons with disabilities, including those in any form of institutional setting</w:t>
      </w:r>
      <w:r>
        <w:rPr>
          <w:b/>
          <w:bCs/>
        </w:rPr>
        <w:t>,</w:t>
      </w:r>
      <w:r w:rsidRPr="001B37FC">
        <w:rPr>
          <w:b/>
          <w:bCs/>
        </w:rPr>
        <w:t xml:space="preserve"> have not been implemented.</w:t>
      </w:r>
    </w:p>
    <w:p w14:paraId="125D3329" w14:textId="77777777" w:rsidR="00872C78" w:rsidRPr="00076588" w:rsidRDefault="00872C78" w:rsidP="00872C78">
      <w:pPr>
        <w:pStyle w:val="H23G"/>
      </w:pPr>
      <w:r w:rsidRPr="00076588">
        <w:tab/>
      </w:r>
      <w:r>
        <w:t>(</w:t>
      </w:r>
      <w:r w:rsidRPr="008A1650">
        <w:t>c</w:t>
      </w:r>
      <w:r>
        <w:t>)</w:t>
      </w:r>
      <w:r w:rsidRPr="00076588">
        <w:tab/>
        <w:t>Transition from substitute decision-making to supported decision-making</w:t>
      </w:r>
    </w:p>
    <w:p w14:paraId="1C80678A" w14:textId="77777777" w:rsidR="00872C78" w:rsidRPr="001B37FC" w:rsidRDefault="00872C78" w:rsidP="00872C78">
      <w:pPr>
        <w:pStyle w:val="SingleTxtG"/>
      </w:pPr>
      <w:r w:rsidRPr="001B37FC">
        <w:t>26.</w:t>
      </w:r>
      <w:r w:rsidRPr="001B37FC">
        <w:tab/>
        <w:t xml:space="preserve">The Committee takes note of the information </w:t>
      </w:r>
      <w:r>
        <w:t>on</w:t>
      </w:r>
      <w:r w:rsidRPr="001B37FC">
        <w:t xml:space="preserve"> government decision </w:t>
      </w:r>
      <w:r>
        <w:t xml:space="preserve">No. </w:t>
      </w:r>
      <w:r w:rsidRPr="001B37FC">
        <w:t>1295/2019 (V. 27) on the long-term deinstitutionalization</w:t>
      </w:r>
      <w:r>
        <w:t>,</w:t>
      </w:r>
      <w:r w:rsidRPr="001B37FC">
        <w:t xml:space="preserve"> between 2019 and 2036</w:t>
      </w:r>
      <w:r>
        <w:t xml:space="preserve">, </w:t>
      </w:r>
      <w:r w:rsidRPr="001B37FC">
        <w:t>of pe</w:t>
      </w:r>
      <w:r>
        <w:t>rsons</w:t>
      </w:r>
      <w:r w:rsidRPr="001B37FC">
        <w:t xml:space="preserve"> with disabilities</w:t>
      </w:r>
      <w:r>
        <w:t xml:space="preserve"> (the so-called </w:t>
      </w:r>
      <w:r w:rsidRPr="001B37FC">
        <w:t>revised concept</w:t>
      </w:r>
      <w:r>
        <w:t xml:space="preserve">), the </w:t>
      </w:r>
      <w:r w:rsidRPr="001B37FC">
        <w:t>National Disability Program</w:t>
      </w:r>
      <w:r>
        <w:t>me</w:t>
      </w:r>
      <w:r w:rsidRPr="001B37FC">
        <w:t xml:space="preserve"> (2015</w:t>
      </w:r>
      <w:r>
        <w:t>–</w:t>
      </w:r>
      <w:r w:rsidRPr="001B37FC">
        <w:t xml:space="preserve">2025) and </w:t>
      </w:r>
      <w:r>
        <w:t>the</w:t>
      </w:r>
      <w:r w:rsidRPr="001B37FC">
        <w:t xml:space="preserve"> services introduced </w:t>
      </w:r>
      <w:r>
        <w:t>under</w:t>
      </w:r>
      <w:r w:rsidRPr="001B37FC">
        <w:t xml:space="preserve"> Act </w:t>
      </w:r>
      <w:r>
        <w:t xml:space="preserve">No. </w:t>
      </w:r>
      <w:r w:rsidRPr="001B37FC">
        <w:t>CLV</w:t>
      </w:r>
      <w:r>
        <w:t xml:space="preserve"> of </w:t>
      </w:r>
      <w:r w:rsidRPr="001B37FC">
        <w:t>2013. The State party</w:t>
      </w:r>
      <w:r>
        <w:t xml:space="preserve"> </w:t>
      </w:r>
      <w:r w:rsidRPr="001B37FC">
        <w:t>point</w:t>
      </w:r>
      <w:r>
        <w:t>ed</w:t>
      </w:r>
      <w:r w:rsidRPr="001B37FC">
        <w:t xml:space="preserve"> out that th</w:t>
      </w:r>
      <w:r>
        <w:t>o</w:t>
      </w:r>
      <w:r w:rsidRPr="001B37FC">
        <w:t>se instruments aim</w:t>
      </w:r>
      <w:r>
        <w:t>ed</w:t>
      </w:r>
      <w:r w:rsidRPr="001B37FC">
        <w:t xml:space="preserve"> to enable supported decision-making for all persons with disabilities.</w:t>
      </w:r>
    </w:p>
    <w:p w14:paraId="0510E317" w14:textId="77777777" w:rsidR="00872C78" w:rsidRPr="001B37FC" w:rsidRDefault="00872C78" w:rsidP="00872C78">
      <w:pPr>
        <w:pStyle w:val="SingleTxtG"/>
      </w:pPr>
      <w:r w:rsidRPr="001B37FC">
        <w:t>27.</w:t>
      </w:r>
      <w:r w:rsidRPr="001B37FC">
        <w:tab/>
        <w:t>Civil society organi</w:t>
      </w:r>
      <w:r>
        <w:t>z</w:t>
      </w:r>
      <w:r w:rsidRPr="001B37FC">
        <w:t>ations stressed that services for supported decision-making of persons with disabilities are typically provided by their guardians or institution</w:t>
      </w:r>
      <w:r>
        <w:t xml:space="preserve">al </w:t>
      </w:r>
      <w:r w:rsidRPr="001B37FC">
        <w:t>personnel.</w:t>
      </w:r>
    </w:p>
    <w:p w14:paraId="73E4A78B" w14:textId="77777777" w:rsidR="00872C78" w:rsidRPr="001B37FC" w:rsidRDefault="00872C78" w:rsidP="00872C78">
      <w:pPr>
        <w:pStyle w:val="SingleTxtG"/>
      </w:pPr>
      <w:r w:rsidRPr="001B37FC">
        <w:t>28.</w:t>
      </w:r>
      <w:r w:rsidRPr="001B37FC">
        <w:tab/>
        <w:t xml:space="preserve">The Committee notes that substitute decision-making remains the </w:t>
      </w:r>
      <w:r>
        <w:t>core</w:t>
      </w:r>
      <w:r w:rsidRPr="001B37FC">
        <w:t xml:space="preserve"> o</w:t>
      </w:r>
      <w:r>
        <w:t>f</w:t>
      </w:r>
      <w:r w:rsidRPr="001B37FC">
        <w:t xml:space="preserve"> the framework, which</w:t>
      </w:r>
      <w:r>
        <w:t xml:space="preserve">, according to </w:t>
      </w:r>
      <w:r w:rsidRPr="001B37FC">
        <w:t>the State party</w:t>
      </w:r>
      <w:r>
        <w:t>,</w:t>
      </w:r>
      <w:r w:rsidRPr="001B37FC">
        <w:t xml:space="preserve"> fulfil</w:t>
      </w:r>
      <w:r>
        <w:t>s</w:t>
      </w:r>
      <w:r w:rsidRPr="001B37FC">
        <w:t xml:space="preserve"> the </w:t>
      </w:r>
      <w:r>
        <w:t xml:space="preserve">requirement for </w:t>
      </w:r>
      <w:r w:rsidRPr="001B37FC">
        <w:t xml:space="preserve">supported decision-making. The system of substitute decision-making remains deeply entrenched and </w:t>
      </w:r>
      <w:r>
        <w:t>widespread</w:t>
      </w:r>
      <w:r w:rsidRPr="001B37FC" w:rsidDel="007F2DFB">
        <w:t xml:space="preserve"> </w:t>
      </w:r>
      <w:r w:rsidRPr="001B37FC">
        <w:t xml:space="preserve">in the State party, with numerous </w:t>
      </w:r>
      <w:r>
        <w:t>S</w:t>
      </w:r>
      <w:r w:rsidRPr="001B37FC">
        <w:t xml:space="preserve">tate institutions and resources reinforcing institutionalization, thus </w:t>
      </w:r>
      <w:r>
        <w:t>hampering</w:t>
      </w:r>
      <w:r w:rsidRPr="001B37FC" w:rsidDel="003238E6">
        <w:t xml:space="preserve"> </w:t>
      </w:r>
      <w:r w:rsidRPr="001B37FC">
        <w:t>persons with disabilities from making choices based on their own will and preference.</w:t>
      </w:r>
    </w:p>
    <w:p w14:paraId="25FC768F" w14:textId="11836E85" w:rsidR="00872C78" w:rsidRPr="00076588" w:rsidRDefault="00872C78" w:rsidP="00872C78">
      <w:pPr>
        <w:pStyle w:val="SingleTxtG"/>
      </w:pPr>
      <w:r w:rsidRPr="00076588">
        <w:t>29.</w:t>
      </w:r>
      <w:r w:rsidRPr="00076588">
        <w:tab/>
      </w:r>
      <w:r w:rsidRPr="001B37FC">
        <w:t>The Committee is</w:t>
      </w:r>
      <w:r>
        <w:t xml:space="preserve"> </w:t>
      </w:r>
      <w:r w:rsidRPr="001B37FC">
        <w:t xml:space="preserve">concerned that revisions, amendments and changes in legislation, policies and practices that have occurred during the inquiry period, </w:t>
      </w:r>
      <w:r>
        <w:t>including</w:t>
      </w:r>
      <w:r w:rsidRPr="001B37FC">
        <w:t xml:space="preserve"> government decision </w:t>
      </w:r>
      <w:r>
        <w:t xml:space="preserve">No. </w:t>
      </w:r>
      <w:r w:rsidRPr="001B37FC">
        <w:t xml:space="preserve">1295/2019 (V. 27) </w:t>
      </w:r>
      <w:r>
        <w:t xml:space="preserve">and under </w:t>
      </w:r>
      <w:r w:rsidRPr="001B37FC">
        <w:t>t</w:t>
      </w:r>
      <w:r>
        <w:t>h</w:t>
      </w:r>
      <w:r w:rsidRPr="001B37FC">
        <w:t>e National Disability Program</w:t>
      </w:r>
      <w:r>
        <w:t>me</w:t>
      </w:r>
      <w:r w:rsidRPr="001B37FC">
        <w:t xml:space="preserve"> (2015</w:t>
      </w:r>
      <w:r w:rsidR="004C7E53">
        <w:t>–</w:t>
      </w:r>
      <w:r w:rsidRPr="001B37FC">
        <w:t xml:space="preserve">2025) </w:t>
      </w:r>
      <w:r>
        <w:t>are</w:t>
      </w:r>
      <w:r w:rsidRPr="001B37FC">
        <w:t xml:space="preserve"> not </w:t>
      </w:r>
      <w:r>
        <w:t xml:space="preserve">in </w:t>
      </w:r>
      <w:r w:rsidRPr="001B37FC">
        <w:t>lin</w:t>
      </w:r>
      <w:r>
        <w:t>e</w:t>
      </w:r>
      <w:r w:rsidRPr="001B37FC">
        <w:t xml:space="preserve"> with the Committee</w:t>
      </w:r>
      <w:r>
        <w:t>’</w:t>
      </w:r>
      <w:r w:rsidRPr="001B37FC">
        <w:t>s recommendations and have not served as a basis for transitioning to supported decision-making</w:t>
      </w:r>
      <w:r>
        <w:t>, in accordance with the Convention</w:t>
      </w:r>
      <w:r w:rsidRPr="001B37FC">
        <w:t xml:space="preserve">. </w:t>
      </w:r>
      <w:r>
        <w:t xml:space="preserve">The Committee notes that the Guardianship Authority continues to be the main entity responsible for appointing, supervising and training supporters and that persons with disabilities who have </w:t>
      </w:r>
      <w:r w:rsidRPr="00D712F8">
        <w:t>supporters</w:t>
      </w:r>
      <w:r>
        <w:t xml:space="preserve"> lack autonomy in managing their finances and are prevented from signing contracts autonomously. It also notes that in the National Disability Programme, intervention area No. 7 and objective 7.1 refer directly to the Hungarian legislation concerning supported decision-making, which the Committee found to be anchored in substitute decision-making, thus failing to provide persons with disabilities with support </w:t>
      </w:r>
      <w:r w:rsidRPr="001313A9">
        <w:t xml:space="preserve">in the exercise of their legal capacity </w:t>
      </w:r>
      <w:r>
        <w:t>in accordance with the Convention.</w:t>
      </w:r>
      <w:r w:rsidRPr="008A30E4">
        <w:rPr>
          <w:rStyle w:val="FootnoteReference"/>
        </w:rPr>
        <w:footnoteReference w:id="26"/>
      </w:r>
      <w:r>
        <w:t xml:space="preserve"> It further notes that the revised concept provides for supported decision-making only in the context of institutional settings, in particular supported housing. </w:t>
      </w:r>
      <w:r w:rsidRPr="00076588">
        <w:t xml:space="preserve">The Committee is thus concerned that its recommendations </w:t>
      </w:r>
      <w:r>
        <w:t>on</w:t>
      </w:r>
      <w:r w:rsidRPr="00076588">
        <w:t xml:space="preserve"> modifying the State party’s system of supported decision-making</w:t>
      </w:r>
      <w:r w:rsidRPr="008A30E4">
        <w:rPr>
          <w:rStyle w:val="FootnoteReference"/>
        </w:rPr>
        <w:footnoteReference w:id="27"/>
      </w:r>
      <w:r w:rsidRPr="00076588">
        <w:t xml:space="preserve"> have not been implemented.</w:t>
      </w:r>
    </w:p>
    <w:p w14:paraId="615D178D" w14:textId="77777777" w:rsidR="00872C78" w:rsidRPr="001B37FC" w:rsidRDefault="00872C78" w:rsidP="00872C78">
      <w:pPr>
        <w:pStyle w:val="H23G"/>
      </w:pPr>
      <w:r>
        <w:tab/>
        <w:t>4.</w:t>
      </w:r>
      <w:r>
        <w:tab/>
      </w:r>
      <w:r w:rsidRPr="001B37FC">
        <w:t>Living independently and being included in the community (art. 19)</w:t>
      </w:r>
    </w:p>
    <w:p w14:paraId="4B5D60A0" w14:textId="77777777" w:rsidR="00872C78" w:rsidRPr="00076588" w:rsidRDefault="00872C78" w:rsidP="00872C78">
      <w:pPr>
        <w:pStyle w:val="H23G"/>
      </w:pPr>
      <w:r w:rsidRPr="00D8795F">
        <w:tab/>
      </w:r>
      <w:r>
        <w:t>(a)</w:t>
      </w:r>
      <w:r w:rsidRPr="00076588">
        <w:tab/>
        <w:t>Absence of deinstitutionalization for persons with disabilities</w:t>
      </w:r>
    </w:p>
    <w:p w14:paraId="5850C340" w14:textId="77777777" w:rsidR="00872C78" w:rsidRPr="001B37FC" w:rsidRDefault="00872C78" w:rsidP="00872C78">
      <w:pPr>
        <w:pStyle w:val="SingleTxtG"/>
      </w:pPr>
      <w:r w:rsidRPr="001B37FC">
        <w:t>30.</w:t>
      </w:r>
      <w:r w:rsidRPr="001B37FC">
        <w:tab/>
        <w:t xml:space="preserve">The State party apprised the Committee of its </w:t>
      </w:r>
      <w:r>
        <w:t>plans</w:t>
      </w:r>
      <w:r w:rsidRPr="001B37FC">
        <w:t xml:space="preserve"> </w:t>
      </w:r>
      <w:r>
        <w:t>to replace long-term residential facilities for over 50 persons and pointed out that the number of persons with disabilities, including persons with psychosocial disabilities, living in long-term residential institutions</w:t>
      </w:r>
      <w:r w:rsidRPr="00AD61EC">
        <w:t xml:space="preserve"> </w:t>
      </w:r>
      <w:r>
        <w:t>has decreased</w:t>
      </w:r>
      <w:r w:rsidRPr="001B37FC">
        <w:t>.</w:t>
      </w:r>
    </w:p>
    <w:p w14:paraId="2D5F4205" w14:textId="77777777" w:rsidR="00872C78" w:rsidRPr="001B37FC" w:rsidRDefault="00872C78" w:rsidP="00872C78">
      <w:pPr>
        <w:pStyle w:val="SingleTxtG"/>
      </w:pPr>
      <w:r w:rsidRPr="001B37FC">
        <w:t>31.</w:t>
      </w:r>
      <w:r w:rsidRPr="001B37FC">
        <w:tab/>
        <w:t xml:space="preserve">The State party </w:t>
      </w:r>
      <w:r>
        <w:t>indicated that</w:t>
      </w:r>
      <w:r w:rsidRPr="001B37FC">
        <w:t xml:space="preserve"> the </w:t>
      </w:r>
      <w:r>
        <w:t xml:space="preserve">2017 </w:t>
      </w:r>
      <w:r w:rsidRPr="001B37FC">
        <w:t xml:space="preserve">revision of the </w:t>
      </w:r>
      <w:r>
        <w:t xml:space="preserve">2011 </w:t>
      </w:r>
      <w:r w:rsidRPr="001B37FC">
        <w:t>strategy for deinstitutionali</w:t>
      </w:r>
      <w:r>
        <w:t>z</w:t>
      </w:r>
      <w:r w:rsidRPr="001B37FC">
        <w:t>ation</w:t>
      </w:r>
      <w:r>
        <w:t xml:space="preserve"> was</w:t>
      </w:r>
      <w:r w:rsidRPr="001B37FC">
        <w:t xml:space="preserve"> driven by economic and social considerations within the country, accelerating the implementation timeline by five years. It </w:t>
      </w:r>
      <w:r>
        <w:t xml:space="preserve">also indicated </w:t>
      </w:r>
      <w:r w:rsidRPr="001B37FC">
        <w:t xml:space="preserve">that persons participating in the </w:t>
      </w:r>
      <w:r>
        <w:t>replacement</w:t>
      </w:r>
      <w:r w:rsidRPr="001B37FC">
        <w:t xml:space="preserve"> process and receiving supported housing services are consistently consulted on their preferred living arrangements, including location and cohabitation preferences, and are actively engaged in the design of their living conditions. </w:t>
      </w:r>
      <w:r>
        <w:t>It</w:t>
      </w:r>
      <w:r w:rsidRPr="001B37FC">
        <w:t xml:space="preserve"> </w:t>
      </w:r>
      <w:r>
        <w:t xml:space="preserve">further indicated </w:t>
      </w:r>
      <w:r w:rsidRPr="001B37FC">
        <w:t>th</w:t>
      </w:r>
      <w:r>
        <w:t>at</w:t>
      </w:r>
      <w:r w:rsidRPr="001B37FC">
        <w:t xml:space="preserve"> provision of personalized services within the framework of supported housing is underpinned by a comprehensive needs assessment.</w:t>
      </w:r>
    </w:p>
    <w:p w14:paraId="3A749681" w14:textId="77777777" w:rsidR="00872C78" w:rsidRPr="001B37FC" w:rsidRDefault="00872C78" w:rsidP="00872C78">
      <w:pPr>
        <w:pStyle w:val="SingleTxtG"/>
      </w:pPr>
      <w:r w:rsidRPr="001B37FC">
        <w:t>32.</w:t>
      </w:r>
      <w:r w:rsidRPr="001B37FC">
        <w:tab/>
        <w:t xml:space="preserve">According to reports from civil society organizations, human rights violations, serious abuse and ill-treatment of children and adults with disabilities continue </w:t>
      </w:r>
      <w:r>
        <w:t xml:space="preserve">to occur </w:t>
      </w:r>
      <w:r w:rsidRPr="001B37FC">
        <w:t xml:space="preserve">in institutions. </w:t>
      </w:r>
      <w:r>
        <w:t xml:space="preserve">The Committee received information about surveillance in institutions and the curtailing of freedom of choice of persons with disabilities in supported housing, such as the </w:t>
      </w:r>
      <w:r w:rsidRPr="00CC7913">
        <w:t>sheltered housing and independent living centre in Piliscsaba</w:t>
      </w:r>
      <w:r>
        <w:t>.</w:t>
      </w:r>
    </w:p>
    <w:p w14:paraId="25BEA0CA" w14:textId="77777777" w:rsidR="00872C78" w:rsidRPr="001B37FC" w:rsidRDefault="00872C78" w:rsidP="00872C78">
      <w:pPr>
        <w:pStyle w:val="SingleTxtG"/>
      </w:pPr>
      <w:r w:rsidRPr="001B37FC">
        <w:t>33.</w:t>
      </w:r>
      <w:r w:rsidRPr="001B37FC">
        <w:tab/>
      </w:r>
      <w:r>
        <w:t>A</w:t>
      </w:r>
      <w:r w:rsidRPr="001B37FC">
        <w:t xml:space="preserve">pproximately 22,000 persons still </w:t>
      </w:r>
      <w:r>
        <w:t xml:space="preserve">live </w:t>
      </w:r>
      <w:r w:rsidRPr="001B37FC">
        <w:t>in long-term institutional</w:t>
      </w:r>
      <w:r>
        <w:t xml:space="preserve"> settings,</w:t>
      </w:r>
      <w:r w:rsidRPr="001B37FC">
        <w:t xml:space="preserve"> based on </w:t>
      </w:r>
      <w:r>
        <w:t>impairment</w:t>
      </w:r>
      <w:r w:rsidRPr="001B37FC">
        <w:t xml:space="preserve">, </w:t>
      </w:r>
      <w:r>
        <w:t>as well as</w:t>
      </w:r>
      <w:r w:rsidRPr="001B37FC">
        <w:t xml:space="preserve"> an additional 51,000 persons who permanently reside in other types of institutions</w:t>
      </w:r>
      <w:r>
        <w:t xml:space="preserve">, such as </w:t>
      </w:r>
      <w:r w:rsidRPr="001B37FC">
        <w:t xml:space="preserve">care homes for </w:t>
      </w:r>
      <w:r>
        <w:t>o</w:t>
      </w:r>
      <w:r w:rsidRPr="001B37FC">
        <w:t xml:space="preserve">lder persons. </w:t>
      </w:r>
      <w:r>
        <w:t>It remains extremely difficult to monitor conditions in a</w:t>
      </w:r>
      <w:r w:rsidRPr="001B37FC">
        <w:t xml:space="preserve">ll forms of institution and there </w:t>
      </w:r>
      <w:r>
        <w:t>are</w:t>
      </w:r>
      <w:r w:rsidRPr="001B37FC">
        <w:t xml:space="preserve"> no data on the number of institutions th</w:t>
      </w:r>
      <w:r>
        <w:t xml:space="preserve">at have been </w:t>
      </w:r>
      <w:r w:rsidRPr="001B37FC">
        <w:t>closed, replaced or transformed.</w:t>
      </w:r>
    </w:p>
    <w:p w14:paraId="1D2B3BA1" w14:textId="77777777" w:rsidR="00872C78" w:rsidRPr="001B37FC" w:rsidRDefault="00872C78" w:rsidP="00872C78">
      <w:pPr>
        <w:pStyle w:val="SingleTxtG"/>
      </w:pPr>
      <w:r w:rsidRPr="001B37FC">
        <w:t>34.</w:t>
      </w:r>
      <w:r w:rsidRPr="001B37FC">
        <w:tab/>
        <w:t xml:space="preserve">Information available to the Committee indicates large-scale transinstitutionalization </w:t>
      </w:r>
      <w:r>
        <w:t>in</w:t>
      </w:r>
      <w:r w:rsidRPr="001B37FC">
        <w:t xml:space="preserve"> the State party. For instance, the deinstitutionali</w:t>
      </w:r>
      <w:r>
        <w:t>z</w:t>
      </w:r>
      <w:r w:rsidRPr="001B37FC">
        <w:t>ation plan for the House of Providence</w:t>
      </w:r>
      <w:r>
        <w:t>,</w:t>
      </w:r>
      <w:r w:rsidRPr="001B37FC">
        <w:t xml:space="preserve"> formerly Topház Special Home</w:t>
      </w:r>
      <w:r>
        <w:t>,</w:t>
      </w:r>
      <w:r w:rsidRPr="001B37FC">
        <w:t xml:space="preserve"> encompasses the establishment of a care home for 48 people, </w:t>
      </w:r>
      <w:r>
        <w:t xml:space="preserve">a </w:t>
      </w:r>
      <w:r w:rsidRPr="001B37FC">
        <w:t>group home for 10 people, supported housing (</w:t>
      </w:r>
      <w:r>
        <w:t>another</w:t>
      </w:r>
      <w:r w:rsidRPr="001B37FC">
        <w:t xml:space="preserve"> group home) for 24 people, day care service</w:t>
      </w:r>
      <w:r>
        <w:t>s</w:t>
      </w:r>
      <w:r w:rsidRPr="001B37FC">
        <w:t xml:space="preserve"> for 100 people, developmental employment for 31 people</w:t>
      </w:r>
      <w:r>
        <w:t xml:space="preserve"> and</w:t>
      </w:r>
      <w:r w:rsidRPr="001B37FC">
        <w:t xml:space="preserve"> crisis care for 6 people.</w:t>
      </w:r>
    </w:p>
    <w:p w14:paraId="1E9B4597" w14:textId="77777777" w:rsidR="00872C78" w:rsidRPr="001B37FC" w:rsidRDefault="00872C78" w:rsidP="00872C78">
      <w:pPr>
        <w:pStyle w:val="SingleTxtG"/>
      </w:pPr>
      <w:r w:rsidRPr="001B37FC">
        <w:t>35.</w:t>
      </w:r>
      <w:r w:rsidRPr="001B37FC">
        <w:tab/>
        <w:t>The Committee was informed that in large institutions</w:t>
      </w:r>
      <w:r>
        <w:t>,</w:t>
      </w:r>
      <w:r w:rsidRPr="001B37FC">
        <w:t xml:space="preserve"> the widespread presence of bedbugs and other poor sanitary and living conditions</w:t>
      </w:r>
      <w:r w:rsidRPr="00B975D8">
        <w:t xml:space="preserve"> </w:t>
      </w:r>
      <w:r>
        <w:t xml:space="preserve">had not been </w:t>
      </w:r>
      <w:r w:rsidRPr="001B37FC">
        <w:t xml:space="preserve">resolved, </w:t>
      </w:r>
      <w:r>
        <w:t xml:space="preserve">the </w:t>
      </w:r>
      <w:r w:rsidRPr="001B37FC">
        <w:t>lack of privacy</w:t>
      </w:r>
      <w:r>
        <w:t xml:space="preserve"> and the high level of </w:t>
      </w:r>
      <w:r w:rsidRPr="001B37FC">
        <w:t>control and surveillance</w:t>
      </w:r>
      <w:r>
        <w:t xml:space="preserve"> continued</w:t>
      </w:r>
      <w:r w:rsidRPr="001B37FC">
        <w:t xml:space="preserve">, and access for monitoring and visits </w:t>
      </w:r>
      <w:r>
        <w:t>continued to be restricted</w:t>
      </w:r>
      <w:r w:rsidRPr="001B37FC">
        <w:t xml:space="preserve">. </w:t>
      </w:r>
      <w:r>
        <w:t>Apart from the issue of bedbugs,</w:t>
      </w:r>
      <w:r w:rsidRPr="001B37FC">
        <w:t xml:space="preserve"> th</w:t>
      </w:r>
      <w:r>
        <w:t>o</w:t>
      </w:r>
      <w:r w:rsidRPr="001B37FC">
        <w:t>se issues have become integral features of the system of newly established small institutions.</w:t>
      </w:r>
    </w:p>
    <w:p w14:paraId="45C96AE0" w14:textId="77777777" w:rsidR="00872C78" w:rsidRPr="001B37FC" w:rsidRDefault="00872C78" w:rsidP="00872C78">
      <w:pPr>
        <w:pStyle w:val="SingleTxtG"/>
      </w:pPr>
      <w:r w:rsidRPr="001B37FC">
        <w:t>36.</w:t>
      </w:r>
      <w:r w:rsidRPr="001B37FC">
        <w:tab/>
        <w:t xml:space="preserve">The Committee is concerned that during the assessment period, the State party continued to implement measures in the context of </w:t>
      </w:r>
      <w:r>
        <w:t>its replacement</w:t>
      </w:r>
      <w:r w:rsidRPr="001B37FC">
        <w:t xml:space="preserve"> programme that </w:t>
      </w:r>
      <w:r>
        <w:t>are</w:t>
      </w:r>
      <w:r w:rsidRPr="001B37FC">
        <w:t xml:space="preserve"> incompatible with the Convention and that reinforce discrimination </w:t>
      </w:r>
      <w:r>
        <w:t>against</w:t>
      </w:r>
      <w:r w:rsidRPr="001B37FC">
        <w:t xml:space="preserve"> persons with disabilities. In particular, the Committee </w:t>
      </w:r>
      <w:r>
        <w:t>is concerned</w:t>
      </w:r>
      <w:r w:rsidRPr="001B37FC">
        <w:t xml:space="preserve"> that large-scale institutions still exist and that the State party has actively pursued the establishment of small-scale institutions as part of its </w:t>
      </w:r>
      <w:r>
        <w:t>revised concept</w:t>
      </w:r>
      <w:r w:rsidRPr="001B37FC">
        <w:t xml:space="preserve">. Nonetheless, this </w:t>
      </w:r>
      <w:r>
        <w:t>is</w:t>
      </w:r>
      <w:r w:rsidRPr="001B37FC">
        <w:t xml:space="preserve"> contrary to the Convention as explained by the </w:t>
      </w:r>
      <w:r w:rsidRPr="00076588">
        <w:t>Committee in its guidelines on deinstitutionalization, including during emergencies</w:t>
      </w:r>
      <w:r>
        <w:t>,</w:t>
      </w:r>
      <w:r w:rsidRPr="001B37FC">
        <w:t xml:space="preserve"> </w:t>
      </w:r>
      <w:r>
        <w:t>a</w:t>
      </w:r>
      <w:r w:rsidRPr="001B37FC">
        <w:t>dopted in 2022.</w:t>
      </w:r>
      <w:r w:rsidRPr="008A30E4">
        <w:rPr>
          <w:rStyle w:val="FootnoteReference"/>
        </w:rPr>
        <w:footnoteReference w:id="28"/>
      </w:r>
      <w:r w:rsidRPr="001B37FC">
        <w:t xml:space="preserve"> The adverse conditions prevailing in both types of institution for persons with disabilities pose risks to their health, safety and dignity.</w:t>
      </w:r>
    </w:p>
    <w:p w14:paraId="5B15F5FB" w14:textId="77777777" w:rsidR="00872C78" w:rsidRPr="001B37FC" w:rsidRDefault="00872C78" w:rsidP="00872C78">
      <w:pPr>
        <w:pStyle w:val="SingleTxtG"/>
      </w:pPr>
      <w:r w:rsidRPr="001B37FC">
        <w:t>37.</w:t>
      </w:r>
      <w:r w:rsidRPr="001B37FC">
        <w:tab/>
        <w:t xml:space="preserve">Insufficient development of community-based support services, housing, supported decision-making, lack of accessibility and access to justice hampers freedom of choice for persons with disabilities, particularly persons with intellectual and/or psychosocial disabilities. Many persons with disabilities continue to reside in various forms of institution and remain under guardianship, with the decision </w:t>
      </w:r>
      <w:r>
        <w:t>on their</w:t>
      </w:r>
      <w:r w:rsidRPr="001B37FC">
        <w:t xml:space="preserve"> institutionalization being made by substitute decision-makers.</w:t>
      </w:r>
    </w:p>
    <w:p w14:paraId="748A7985" w14:textId="77777777" w:rsidR="00872C78" w:rsidRPr="00076588" w:rsidRDefault="00872C78" w:rsidP="00872C78">
      <w:pPr>
        <w:pStyle w:val="H23G"/>
      </w:pPr>
      <w:r>
        <w:rPr>
          <w:lang w:val="en-US"/>
        </w:rPr>
        <w:tab/>
        <w:t>(b</w:t>
      </w:r>
      <w:r>
        <w:t>)</w:t>
      </w:r>
      <w:r w:rsidRPr="00076588">
        <w:tab/>
        <w:t>Lack of support in the community</w:t>
      </w:r>
    </w:p>
    <w:p w14:paraId="7F64CD43" w14:textId="77777777" w:rsidR="00872C78" w:rsidRPr="001B37FC" w:rsidRDefault="00872C78" w:rsidP="00872C78">
      <w:pPr>
        <w:pStyle w:val="SingleTxtG"/>
      </w:pPr>
      <w:r w:rsidRPr="001B37FC">
        <w:t>38.</w:t>
      </w:r>
      <w:r w:rsidRPr="001B37FC">
        <w:tab/>
        <w:t>The Committee note</w:t>
      </w:r>
      <w:r>
        <w:t>s</w:t>
      </w:r>
      <w:r w:rsidRPr="001B37FC">
        <w:t xml:space="preserve"> the information provided by the State party</w:t>
      </w:r>
      <w:r>
        <w:t xml:space="preserve"> on</w:t>
      </w:r>
      <w:r w:rsidRPr="001B37FC">
        <w:t xml:space="preserve"> the service systems initiated on 1 January 2017 and the framework established in January 2020</w:t>
      </w:r>
      <w:r>
        <w:t xml:space="preserve"> </w:t>
      </w:r>
      <w:r w:rsidRPr="001B37FC">
        <w:t>for delivering differentiated support based on support needs</w:t>
      </w:r>
      <w:r>
        <w:t>, which</w:t>
      </w:r>
      <w:r w:rsidRPr="001B37FC">
        <w:t xml:space="preserve"> should be available for persons with disabilities in their communities. It also </w:t>
      </w:r>
      <w:r>
        <w:t xml:space="preserve">takes </w:t>
      </w:r>
      <w:r w:rsidRPr="001B37FC">
        <w:t>note</w:t>
      </w:r>
      <w:r>
        <w:t xml:space="preserve"> of</w:t>
      </w:r>
      <w:r w:rsidRPr="001B37FC">
        <w:t xml:space="preserve"> the State party’s statement indicating that basic social services are designed to help people in need in their home and living environment</w:t>
      </w:r>
      <w:r>
        <w:t>,</w:t>
      </w:r>
      <w:r w:rsidRPr="001B37FC">
        <w:t xml:space="preserve"> and that th</w:t>
      </w:r>
      <w:r>
        <w:t>o</w:t>
      </w:r>
      <w:r w:rsidRPr="001B37FC">
        <w:t>se services include caretakers, food provision, home support, alarm-based care, community services and day care.</w:t>
      </w:r>
    </w:p>
    <w:p w14:paraId="59237D8C" w14:textId="77777777" w:rsidR="00872C78" w:rsidRPr="00076588" w:rsidRDefault="00872C78" w:rsidP="00872C78">
      <w:pPr>
        <w:pStyle w:val="SingleTxtG"/>
      </w:pPr>
      <w:r w:rsidRPr="00076588">
        <w:t>39.</w:t>
      </w:r>
      <w:r w:rsidRPr="00076588">
        <w:tab/>
      </w:r>
      <w:r w:rsidRPr="001B37FC">
        <w:t xml:space="preserve">The Committee </w:t>
      </w:r>
      <w:r>
        <w:t>notes</w:t>
      </w:r>
      <w:r w:rsidRPr="001B37FC">
        <w:t xml:space="preserve"> with concern the information </w:t>
      </w:r>
      <w:r>
        <w:t xml:space="preserve">provided by the </w:t>
      </w:r>
      <w:r w:rsidRPr="001B37FC">
        <w:t xml:space="preserve">State party indicating that </w:t>
      </w:r>
      <w:r>
        <w:t>i</w:t>
      </w:r>
      <w:r w:rsidRPr="001B37FC">
        <w:t>f th</w:t>
      </w:r>
      <w:r>
        <w:t>o</w:t>
      </w:r>
      <w:r w:rsidRPr="001B37FC">
        <w:t xml:space="preserve">se services are insufficient for a person with disabilities or </w:t>
      </w:r>
      <w:r>
        <w:t xml:space="preserve">a </w:t>
      </w:r>
      <w:r w:rsidRPr="001B37FC">
        <w:t xml:space="preserve">psychiatric patient </w:t>
      </w:r>
      <w:r>
        <w:t>owing</w:t>
      </w:r>
      <w:r w:rsidRPr="001B37FC">
        <w:t xml:space="preserve"> to the</w:t>
      </w:r>
      <w:r>
        <w:t xml:space="preserve"> person’s</w:t>
      </w:r>
      <w:r w:rsidRPr="001B37FC">
        <w:t xml:space="preserve"> age, health or social </w:t>
      </w:r>
      <w:r>
        <w:t>situation</w:t>
      </w:r>
      <w:r w:rsidRPr="001B37FC">
        <w:t>, the</w:t>
      </w:r>
      <w:r>
        <w:t xml:space="preserve"> person</w:t>
      </w:r>
      <w:r w:rsidRPr="001B37FC">
        <w:t xml:space="preserve"> can seek speciali</w:t>
      </w:r>
      <w:r>
        <w:t>z</w:t>
      </w:r>
      <w:r w:rsidRPr="001B37FC">
        <w:t xml:space="preserve">ed care tailored to </w:t>
      </w:r>
      <w:r>
        <w:t>his or her</w:t>
      </w:r>
      <w:r w:rsidRPr="001B37FC">
        <w:t xml:space="preserve"> situation and condition. </w:t>
      </w:r>
      <w:r>
        <w:t>It is p</w:t>
      </w:r>
      <w:r w:rsidRPr="001B37FC">
        <w:t>articularly concerned that</w:t>
      </w:r>
      <w:r>
        <w:t>,</w:t>
      </w:r>
      <w:r w:rsidRPr="001B37FC">
        <w:t xml:space="preserve"> in </w:t>
      </w:r>
      <w:r>
        <w:t xml:space="preserve">the </w:t>
      </w:r>
      <w:r w:rsidRPr="001B37FC">
        <w:t>absence of suitable support services in the community, persons with disabilities are requ</w:t>
      </w:r>
      <w:r>
        <w:t>ired</w:t>
      </w:r>
      <w:r w:rsidRPr="001B37FC">
        <w:t xml:space="preserve"> to rely on institutionalization, which is the main form of specialized care available in the State party. </w:t>
      </w:r>
      <w:r w:rsidRPr="00076588">
        <w:t xml:space="preserve">The Committee regrets </w:t>
      </w:r>
      <w:r>
        <w:t xml:space="preserve">the fact </w:t>
      </w:r>
      <w:r w:rsidRPr="00076588">
        <w:t xml:space="preserve">that sections 69 and 70 of the Social Act on “specialized social care” remain in force and that </w:t>
      </w:r>
      <w:r>
        <w:t xml:space="preserve">the </w:t>
      </w:r>
      <w:r w:rsidRPr="00076588">
        <w:t xml:space="preserve">service systems initiated on </w:t>
      </w:r>
      <w:r>
        <w:t xml:space="preserve">1 </w:t>
      </w:r>
      <w:r w:rsidRPr="00076588">
        <w:t xml:space="preserve">January 2017 and the framework </w:t>
      </w:r>
      <w:r w:rsidRPr="00234689">
        <w:t xml:space="preserve">established on </w:t>
      </w:r>
      <w:r>
        <w:t xml:space="preserve">1 </w:t>
      </w:r>
      <w:r w:rsidRPr="00234689">
        <w:t>January 2020</w:t>
      </w:r>
      <w:r>
        <w:t xml:space="preserve"> </w:t>
      </w:r>
      <w:r w:rsidRPr="00076588">
        <w:t xml:space="preserve">for delivering differentiated support based on support needs still </w:t>
      </w:r>
      <w:r>
        <w:t xml:space="preserve">do </w:t>
      </w:r>
      <w:r w:rsidRPr="00076588">
        <w:t>not comp</w:t>
      </w:r>
      <w:r>
        <w:t>ly</w:t>
      </w:r>
      <w:r w:rsidRPr="00076588">
        <w:t xml:space="preserve"> with</w:t>
      </w:r>
      <w:r>
        <w:t xml:space="preserve"> the provisions of a</w:t>
      </w:r>
      <w:r w:rsidRPr="00076588">
        <w:t>rticle 19 of the Convention</w:t>
      </w:r>
      <w:r>
        <w:t>, given that they</w:t>
      </w:r>
      <w:r w:rsidRPr="00076588">
        <w:t xml:space="preserve"> reinforce discrimination on the basis of disability.</w:t>
      </w:r>
    </w:p>
    <w:p w14:paraId="41944797" w14:textId="77777777" w:rsidR="00872C78" w:rsidRPr="001B37FC" w:rsidRDefault="00872C78" w:rsidP="00872C78">
      <w:pPr>
        <w:pStyle w:val="SingleTxtG"/>
      </w:pPr>
      <w:r w:rsidRPr="001B37FC">
        <w:t>40.</w:t>
      </w:r>
      <w:r w:rsidRPr="001B37FC">
        <w:tab/>
        <w:t xml:space="preserve">The Committee notes with concern that services the State party </w:t>
      </w:r>
      <w:r>
        <w:t xml:space="preserve">describes </w:t>
      </w:r>
      <w:r w:rsidRPr="001B37FC">
        <w:t>as aimed at promoting independent living for persons with disabilities do not constitute support services in the community. Th</w:t>
      </w:r>
      <w:r>
        <w:t>o</w:t>
      </w:r>
      <w:r w:rsidRPr="001B37FC">
        <w:t xml:space="preserve">se services do not encompass the diverse and, in some cases, complex requirements of support of all persons with disabilities, </w:t>
      </w:r>
      <w:r>
        <w:t xml:space="preserve">and they are </w:t>
      </w:r>
      <w:r w:rsidRPr="001B37FC">
        <w:t>no</w:t>
      </w:r>
      <w:r>
        <w:t>t</w:t>
      </w:r>
      <w:r w:rsidRPr="001B37FC">
        <w:t xml:space="preserve"> chosen by the persons with disabilities themselves. The Committee is </w:t>
      </w:r>
      <w:r>
        <w:t>also</w:t>
      </w:r>
      <w:r w:rsidRPr="001B37FC">
        <w:t xml:space="preserve"> concerned that support services for persons with disabilities, including persons with intellectual and/or psychosocial disabilities, are predominantly delivered through entities </w:t>
      </w:r>
      <w:r>
        <w:t>linked</w:t>
      </w:r>
      <w:r w:rsidRPr="001B37FC">
        <w:t xml:space="preserve"> to guardianship, often within institutional or segregated settings. Th</w:t>
      </w:r>
      <w:r>
        <w:t>o</w:t>
      </w:r>
      <w:r w:rsidRPr="001B37FC">
        <w:t>se services consistent</w:t>
      </w:r>
      <w:r>
        <w:t>ly involve</w:t>
      </w:r>
      <w:r w:rsidRPr="001B37FC">
        <w:t xml:space="preserve"> segregation</w:t>
      </w:r>
      <w:r>
        <w:t xml:space="preserve"> and a </w:t>
      </w:r>
      <w:r w:rsidRPr="001B37FC">
        <w:t>lack of individualization (</w:t>
      </w:r>
      <w:r>
        <w:t xml:space="preserve">supporting </w:t>
      </w:r>
      <w:r w:rsidRPr="001B37FC">
        <w:t xml:space="preserve">up to 45 persons at the same time) and </w:t>
      </w:r>
      <w:r>
        <w:t>are of a poor</w:t>
      </w:r>
      <w:r w:rsidRPr="001B37FC">
        <w:t xml:space="preserve"> quality. Alternative sources of information available to the Committee indicate that the State party has not implemented an adequate system of community-based support services, including personal assistance</w:t>
      </w:r>
      <w:r>
        <w:t>,</w:t>
      </w:r>
      <w:r w:rsidRPr="001B37FC">
        <w:t xml:space="preserve"> for pe</w:t>
      </w:r>
      <w:r>
        <w:t>rsons</w:t>
      </w:r>
      <w:r w:rsidRPr="001B37FC">
        <w:t xml:space="preserve"> with disabilities.</w:t>
      </w:r>
    </w:p>
    <w:p w14:paraId="708B3CA0" w14:textId="6F41F613" w:rsidR="00872C78" w:rsidRPr="00076588" w:rsidRDefault="00872C78" w:rsidP="00872C78">
      <w:pPr>
        <w:pStyle w:val="SingleTxtG"/>
      </w:pPr>
      <w:r w:rsidRPr="00076588">
        <w:t>41.</w:t>
      </w:r>
      <w:r w:rsidRPr="00076588">
        <w:tab/>
      </w:r>
      <w:r w:rsidRPr="001B37FC">
        <w:t xml:space="preserve">The Committee notes that the State party continued </w:t>
      </w:r>
      <w:r>
        <w:t xml:space="preserve">to </w:t>
      </w:r>
      <w:r w:rsidRPr="001B37FC">
        <w:t xml:space="preserve">develop </w:t>
      </w:r>
      <w:r>
        <w:t>smaller community</w:t>
      </w:r>
      <w:r w:rsidR="00D8005F">
        <w:noBreakHyphen/>
      </w:r>
      <w:r>
        <w:t xml:space="preserve">based social services </w:t>
      </w:r>
      <w:r w:rsidRPr="001B37FC">
        <w:t>for persons with disabilities in the form of supported</w:t>
      </w:r>
      <w:r>
        <w:t xml:space="preserve"> </w:t>
      </w:r>
      <w:r w:rsidRPr="001B37FC">
        <w:t xml:space="preserve">housing, </w:t>
      </w:r>
      <w:r>
        <w:t>which it considered to constitute</w:t>
      </w:r>
      <w:r w:rsidRPr="001B37FC">
        <w:t xml:space="preserve"> progress </w:t>
      </w:r>
      <w:r>
        <w:t xml:space="preserve">in terms of </w:t>
      </w:r>
      <w:r w:rsidRPr="001B37FC">
        <w:t xml:space="preserve">independent living </w:t>
      </w:r>
      <w:r>
        <w:t>for</w:t>
      </w:r>
      <w:r w:rsidRPr="001B37FC">
        <w:t xml:space="preserve"> persons with disabilities in the community. </w:t>
      </w:r>
      <w:r>
        <w:t>T</w:t>
      </w:r>
      <w:r w:rsidRPr="001B37FC">
        <w:t>he State party’s concept of supported</w:t>
      </w:r>
      <w:r>
        <w:t xml:space="preserve"> </w:t>
      </w:r>
      <w:r w:rsidRPr="001B37FC">
        <w:t xml:space="preserve">housing </w:t>
      </w:r>
      <w:r>
        <w:t>maintains</w:t>
      </w:r>
      <w:r w:rsidRPr="001B37FC">
        <w:t xml:space="preserve"> features of institutionalization, such as </w:t>
      </w:r>
      <w:r>
        <w:t xml:space="preserve">a </w:t>
      </w:r>
      <w:r w:rsidRPr="001B37FC">
        <w:t>lack of choice about where, with whom and how to live, control of services in houses supported by the State party and large institutions, and lack of inclusion of residents in supported</w:t>
      </w:r>
      <w:r>
        <w:t xml:space="preserve"> </w:t>
      </w:r>
      <w:r w:rsidRPr="001B37FC">
        <w:t>housing within their community</w:t>
      </w:r>
      <w:r>
        <w:t>.</w:t>
      </w:r>
      <w:r w:rsidRPr="001B37FC">
        <w:t xml:space="preserve"> </w:t>
      </w:r>
      <w:r>
        <w:t>T</w:t>
      </w:r>
      <w:r w:rsidRPr="00076588">
        <w:t xml:space="preserve">he Committee </w:t>
      </w:r>
      <w:r>
        <w:t xml:space="preserve">therefore </w:t>
      </w:r>
      <w:r w:rsidRPr="00076588">
        <w:t xml:space="preserve">considers </w:t>
      </w:r>
      <w:r>
        <w:t xml:space="preserve">that the State party has not implemented </w:t>
      </w:r>
      <w:r w:rsidRPr="00076588">
        <w:t>its recommendation</w:t>
      </w:r>
      <w:r>
        <w:t>s</w:t>
      </w:r>
      <w:r w:rsidRPr="00076588">
        <w:t xml:space="preserve"> to </w:t>
      </w:r>
      <w:r w:rsidRPr="00365E7B">
        <w:t>end institutionalization, including by halting programmes that develop institutions including supported housing, and provide reparations for persons with disabilities seeking redress for their institutionalization</w:t>
      </w:r>
      <w:r w:rsidRPr="00076588">
        <w:t>.</w:t>
      </w:r>
    </w:p>
    <w:p w14:paraId="28A1BEFC" w14:textId="77777777" w:rsidR="00872C78" w:rsidRPr="001B37FC" w:rsidRDefault="00872C78" w:rsidP="00872C78">
      <w:pPr>
        <w:pStyle w:val="SingleTxtG"/>
      </w:pPr>
      <w:r w:rsidRPr="001B37FC">
        <w:t>42.</w:t>
      </w:r>
      <w:r w:rsidRPr="001B37FC">
        <w:tab/>
        <w:t xml:space="preserve">The Committee </w:t>
      </w:r>
      <w:r>
        <w:t>notes</w:t>
      </w:r>
      <w:r w:rsidRPr="001B37FC">
        <w:t xml:space="preserve"> with concern the absence of a wide range of support available in the community, the lack of opportunities for self-management and making choices, the limited availability </w:t>
      </w:r>
      <w:r>
        <w:t xml:space="preserve">of support </w:t>
      </w:r>
      <w:r w:rsidRPr="001B37FC">
        <w:t>across regions and the insufficient funding</w:t>
      </w:r>
      <w:r>
        <w:t xml:space="preserve"> for such support</w:t>
      </w:r>
      <w:r w:rsidRPr="001B37FC">
        <w:t xml:space="preserve">. </w:t>
      </w:r>
      <w:r>
        <w:t xml:space="preserve">The </w:t>
      </w:r>
      <w:r w:rsidRPr="001B37FC">
        <w:t>309 organi</w:t>
      </w:r>
      <w:r>
        <w:t>z</w:t>
      </w:r>
      <w:r w:rsidRPr="001B37FC">
        <w:t xml:space="preserve">ations </w:t>
      </w:r>
      <w:r>
        <w:t xml:space="preserve">providing </w:t>
      </w:r>
      <w:r w:rsidRPr="001B37FC">
        <w:t>support service</w:t>
      </w:r>
      <w:r>
        <w:t>s</w:t>
      </w:r>
      <w:r w:rsidRPr="001B37FC">
        <w:t xml:space="preserve"> </w:t>
      </w:r>
      <w:r>
        <w:t>mentioned</w:t>
      </w:r>
      <w:r w:rsidRPr="001B37FC">
        <w:t xml:space="preserve"> by the State party do</w:t>
      </w:r>
      <w:r>
        <w:t xml:space="preserve"> </w:t>
      </w:r>
      <w:r w:rsidRPr="001B37FC">
        <w:t>n</w:t>
      </w:r>
      <w:r>
        <w:t>o</w:t>
      </w:r>
      <w:r w:rsidRPr="001B37FC">
        <w:t>t function on the basis of the independent living concept.</w:t>
      </w:r>
    </w:p>
    <w:p w14:paraId="6028A2EF" w14:textId="77777777" w:rsidR="00872C78" w:rsidRPr="00076588" w:rsidRDefault="00872C78" w:rsidP="00872C78">
      <w:pPr>
        <w:pStyle w:val="SingleTxtG"/>
      </w:pPr>
      <w:r w:rsidRPr="00076588">
        <w:t>43.</w:t>
      </w:r>
      <w:r w:rsidRPr="00076588">
        <w:tab/>
      </w:r>
      <w:r w:rsidRPr="001B37FC">
        <w:t xml:space="preserve">The Committee </w:t>
      </w:r>
      <w:r>
        <w:t>notes</w:t>
      </w:r>
      <w:r w:rsidRPr="001B37FC">
        <w:t xml:space="preserve"> that the allocation of financial resources for support services remains ambiguous within the provisions of the Social Act and the reliance on project funds to sustain available support raises concerns regarding their temporary nature. </w:t>
      </w:r>
      <w:r w:rsidRPr="00076588">
        <w:t xml:space="preserve">The Committee therefore considers that its recommendations </w:t>
      </w:r>
      <w:r>
        <w:t>on</w:t>
      </w:r>
      <w:r w:rsidRPr="00076588">
        <w:t xml:space="preserve"> support for living independently and in the community have not been implemented.</w:t>
      </w:r>
    </w:p>
    <w:p w14:paraId="11FF9F6A" w14:textId="77777777" w:rsidR="00872C78" w:rsidRPr="00076588" w:rsidRDefault="00872C78" w:rsidP="00872C78">
      <w:pPr>
        <w:pStyle w:val="H23G"/>
      </w:pPr>
      <w:r w:rsidRPr="00D8795F">
        <w:tab/>
      </w:r>
      <w:r>
        <w:t>(c)</w:t>
      </w:r>
      <w:r w:rsidRPr="00076588">
        <w:tab/>
        <w:t>Lack of progress in fostering inclusion in housing, education</w:t>
      </w:r>
      <w:r>
        <w:t xml:space="preserve"> and</w:t>
      </w:r>
      <w:r w:rsidRPr="00076588">
        <w:t xml:space="preserve"> employment</w:t>
      </w:r>
    </w:p>
    <w:p w14:paraId="16937143" w14:textId="77777777" w:rsidR="00872C78" w:rsidRPr="001B37FC" w:rsidRDefault="00872C78" w:rsidP="00872C78">
      <w:pPr>
        <w:pStyle w:val="SingleTxtG"/>
      </w:pPr>
      <w:r w:rsidRPr="001B37FC">
        <w:t>44.</w:t>
      </w:r>
      <w:r w:rsidRPr="001B37FC">
        <w:tab/>
        <w:t xml:space="preserve">The Committee </w:t>
      </w:r>
      <w:r>
        <w:t xml:space="preserve">takes </w:t>
      </w:r>
      <w:r w:rsidRPr="001B37FC">
        <w:t xml:space="preserve">note </w:t>
      </w:r>
      <w:r>
        <w:t xml:space="preserve">of </w:t>
      </w:r>
      <w:r w:rsidRPr="001B37FC">
        <w:t xml:space="preserve">the information provided by the State party </w:t>
      </w:r>
      <w:r>
        <w:t>on</w:t>
      </w:r>
      <w:r w:rsidRPr="001B37FC">
        <w:t xml:space="preserve"> </w:t>
      </w:r>
      <w:r>
        <w:t xml:space="preserve">the efforts it has </w:t>
      </w:r>
      <w:r w:rsidRPr="001B37FC">
        <w:t xml:space="preserve">made </w:t>
      </w:r>
      <w:r>
        <w:t>to</w:t>
      </w:r>
      <w:r w:rsidRPr="001B37FC">
        <w:t xml:space="preserve"> educat</w:t>
      </w:r>
      <w:r>
        <w:t>e</w:t>
      </w:r>
      <w:r w:rsidRPr="001B37FC">
        <w:t xml:space="preserve"> and </w:t>
      </w:r>
      <w:r>
        <w:t xml:space="preserve">raise </w:t>
      </w:r>
      <w:r w:rsidRPr="001B37FC">
        <w:t xml:space="preserve">awareness in the </w:t>
      </w:r>
      <w:r>
        <w:t xml:space="preserve">context of </w:t>
      </w:r>
      <w:r w:rsidRPr="001B37FC">
        <w:t>health</w:t>
      </w:r>
      <w:r>
        <w:t xml:space="preserve"> </w:t>
      </w:r>
      <w:r w:rsidRPr="001B37FC">
        <w:t>care, education, court</w:t>
      </w:r>
      <w:r>
        <w:t>s</w:t>
      </w:r>
      <w:r w:rsidRPr="001B37FC">
        <w:t xml:space="preserve"> and </w:t>
      </w:r>
      <w:r>
        <w:t xml:space="preserve">the </w:t>
      </w:r>
      <w:r w:rsidRPr="001B37FC">
        <w:t xml:space="preserve">guardianship system </w:t>
      </w:r>
      <w:r>
        <w:t>about</w:t>
      </w:r>
      <w:r w:rsidRPr="001B37FC">
        <w:t xml:space="preserve"> disability rights and inclusion. </w:t>
      </w:r>
      <w:r>
        <w:t>Nevertheless</w:t>
      </w:r>
      <w:r w:rsidRPr="001B37FC">
        <w:t xml:space="preserve">, </w:t>
      </w:r>
      <w:r>
        <w:t>it</w:t>
      </w:r>
      <w:r w:rsidRPr="001B37FC">
        <w:t xml:space="preserve"> notes with concern that access to existing mainstream community services remains difficult and depends predominantly on </w:t>
      </w:r>
      <w:r>
        <w:t xml:space="preserve">the intervention of individual </w:t>
      </w:r>
      <w:r w:rsidRPr="001B37FC">
        <w:t>guardians.</w:t>
      </w:r>
    </w:p>
    <w:p w14:paraId="316CE351" w14:textId="77777777" w:rsidR="00872C78" w:rsidRPr="001B37FC" w:rsidRDefault="00872C78" w:rsidP="00872C78">
      <w:pPr>
        <w:pStyle w:val="SingleTxtG"/>
      </w:pPr>
      <w:r w:rsidRPr="001B37FC">
        <w:t>45.</w:t>
      </w:r>
      <w:r w:rsidRPr="001B37FC">
        <w:tab/>
        <w:t xml:space="preserve">The Committee is concerned that no specific information has been provided on measures taken to provide accessible housing for persons with disabilities, in particular persons with intellectual and/or psychosocial disabilities, enabling them to live independently and ensuring autonomy, freedom of choice and privacy. It also regrets the lack of information </w:t>
      </w:r>
      <w:r>
        <w:t>on</w:t>
      </w:r>
      <w:r w:rsidRPr="001B37FC">
        <w:t xml:space="preserve"> measures to ensure </w:t>
      </w:r>
      <w:r>
        <w:t>that</w:t>
      </w:r>
      <w:r w:rsidRPr="001B37FC">
        <w:t xml:space="preserve"> persons with disabilities, in particular persons participating in sheltered workshops under institutional administration, </w:t>
      </w:r>
      <w:r>
        <w:t>can access</w:t>
      </w:r>
      <w:r w:rsidRPr="001B37FC">
        <w:t xml:space="preserve"> the open labour market.</w:t>
      </w:r>
    </w:p>
    <w:p w14:paraId="39597B4F" w14:textId="77777777" w:rsidR="00872C78" w:rsidRPr="001B37FC" w:rsidRDefault="00872C78" w:rsidP="00872C78">
      <w:pPr>
        <w:pStyle w:val="SingleTxtG"/>
      </w:pPr>
      <w:r w:rsidRPr="001B37FC">
        <w:t>46.</w:t>
      </w:r>
      <w:r w:rsidRPr="001B37FC">
        <w:tab/>
        <w:t xml:space="preserve">The Committee notes the information provided by the State party about Act </w:t>
      </w:r>
      <w:r>
        <w:t xml:space="preserve">No. CXC of </w:t>
      </w:r>
      <w:r w:rsidRPr="001B37FC">
        <w:t xml:space="preserve">2011 </w:t>
      </w:r>
      <w:r>
        <w:t xml:space="preserve">on National </w:t>
      </w:r>
      <w:r w:rsidRPr="001B37FC">
        <w:t>Public Education</w:t>
      </w:r>
      <w:r>
        <w:t>, as</w:t>
      </w:r>
      <w:r w:rsidRPr="001B37FC">
        <w:t xml:space="preserve"> revised in 2020</w:t>
      </w:r>
      <w:r>
        <w:t>,</w:t>
      </w:r>
      <w:r w:rsidRPr="001B37FC">
        <w:t xml:space="preserve"> and </w:t>
      </w:r>
      <w:r>
        <w:t>the</w:t>
      </w:r>
      <w:r w:rsidRPr="001B37FC">
        <w:t xml:space="preserve"> </w:t>
      </w:r>
      <w:r>
        <w:t>g</w:t>
      </w:r>
      <w:r w:rsidRPr="001B37FC">
        <w:t xml:space="preserve">uidelines </w:t>
      </w:r>
      <w:r>
        <w:t>on</w:t>
      </w:r>
      <w:r w:rsidRPr="001B37FC">
        <w:t xml:space="preserve"> education </w:t>
      </w:r>
      <w:r>
        <w:t>for</w:t>
      </w:r>
      <w:r w:rsidRPr="001B37FC">
        <w:t xml:space="preserve"> students with special educational needs, which constitute the State party’s strategy on inclusive education. The Committee is concerned that the State party</w:t>
      </w:r>
      <w:r>
        <w:t>’s</w:t>
      </w:r>
      <w:r w:rsidRPr="001B37FC">
        <w:t xml:space="preserve"> legislation, policies and practices continue to provide frameworks for segregated special education at different level</w:t>
      </w:r>
      <w:r>
        <w:t>s</w:t>
      </w:r>
      <w:r w:rsidRPr="001B37FC">
        <w:t xml:space="preserve">, that the State party has not completed the transition to inclusive education, and that the revised </w:t>
      </w:r>
      <w:r>
        <w:t>legislation</w:t>
      </w:r>
      <w:r w:rsidRPr="001B37FC">
        <w:t xml:space="preserve"> contain</w:t>
      </w:r>
      <w:r>
        <w:t>s</w:t>
      </w:r>
      <w:r w:rsidRPr="001B37FC">
        <w:t xml:space="preserve"> </w:t>
      </w:r>
      <w:r>
        <w:t xml:space="preserve">few </w:t>
      </w:r>
      <w:r w:rsidRPr="001B37FC">
        <w:t xml:space="preserve">provisions on inclusive education, mainly </w:t>
      </w:r>
      <w:r>
        <w:t>providing for</w:t>
      </w:r>
      <w:r w:rsidRPr="001B37FC">
        <w:t xml:space="preserve"> </w:t>
      </w:r>
      <w:r>
        <w:t>segregation,</w:t>
      </w:r>
      <w:r w:rsidRPr="001B37FC">
        <w:t xml:space="preserve"> exclusion and institutionali</w:t>
      </w:r>
      <w:r>
        <w:t>z</w:t>
      </w:r>
      <w:r w:rsidRPr="001B37FC">
        <w:t xml:space="preserve">ation of children with disabilities. Available information before the Committee </w:t>
      </w:r>
      <w:r>
        <w:t>indicated</w:t>
      </w:r>
      <w:r w:rsidRPr="001B37FC">
        <w:t xml:space="preserve"> the challenges restricting </w:t>
      </w:r>
      <w:r>
        <w:t xml:space="preserve">the access </w:t>
      </w:r>
      <w:r w:rsidRPr="001B37FC">
        <w:t xml:space="preserve">of children with disabilities to education, the lack of resources to ensure transportation and the absence of systematic funds and measures to ensure </w:t>
      </w:r>
      <w:r>
        <w:t xml:space="preserve">the </w:t>
      </w:r>
      <w:r w:rsidRPr="001B37FC">
        <w:t xml:space="preserve">accessibility </w:t>
      </w:r>
      <w:r>
        <w:t>of</w:t>
      </w:r>
      <w:r w:rsidRPr="001B37FC">
        <w:t xml:space="preserve"> education.</w:t>
      </w:r>
    </w:p>
    <w:p w14:paraId="38DC5A38" w14:textId="77777777" w:rsidR="00872C78" w:rsidRPr="001B37FC" w:rsidRDefault="00872C78" w:rsidP="00872C78">
      <w:pPr>
        <w:pStyle w:val="SingleTxtG"/>
      </w:pPr>
      <w:r w:rsidRPr="001B37FC">
        <w:t>47.</w:t>
      </w:r>
      <w:r w:rsidRPr="001B37FC">
        <w:tab/>
        <w:t xml:space="preserve">The Committee notes the information about the State party’s financial, human and material resources </w:t>
      </w:r>
      <w:r>
        <w:t>allocated</w:t>
      </w:r>
      <w:r w:rsidRPr="001B37FC">
        <w:t xml:space="preserve"> to services in the community, including </w:t>
      </w:r>
      <w:r>
        <w:t>for various</w:t>
      </w:r>
      <w:r w:rsidRPr="001B37FC">
        <w:t xml:space="preserve"> support services</w:t>
      </w:r>
      <w:r>
        <w:t xml:space="preserve"> and</w:t>
      </w:r>
      <w:r w:rsidRPr="001B37FC">
        <w:t xml:space="preserve"> accessibility, rehabilitation and habilitation</w:t>
      </w:r>
      <w:r>
        <w:t xml:space="preserve"> measures</w:t>
      </w:r>
      <w:r w:rsidRPr="001B37FC">
        <w:t xml:space="preserve">. </w:t>
      </w:r>
      <w:r>
        <w:t>Nevertheless, i</w:t>
      </w:r>
      <w:r w:rsidRPr="001B37FC">
        <w:t xml:space="preserve">t regrets that </w:t>
      </w:r>
      <w:r>
        <w:t>the</w:t>
      </w:r>
      <w:r w:rsidRPr="001B37FC">
        <w:t xml:space="preserve"> research, project initiatives </w:t>
      </w:r>
      <w:r>
        <w:t>and</w:t>
      </w:r>
      <w:r w:rsidRPr="001B37FC">
        <w:t xml:space="preserve"> allowances </w:t>
      </w:r>
      <w:r>
        <w:t xml:space="preserve">described </w:t>
      </w:r>
      <w:r w:rsidRPr="001B37FC">
        <w:t>are one-time or short-term solutions, which are insufficient</w:t>
      </w:r>
      <w:r>
        <w:t xml:space="preserve"> to meet demand </w:t>
      </w:r>
      <w:r w:rsidRPr="001B37FC">
        <w:t xml:space="preserve">and </w:t>
      </w:r>
      <w:r>
        <w:t>will not deliver</w:t>
      </w:r>
      <w:r w:rsidRPr="001B37FC">
        <w:t xml:space="preserve"> long-term results.</w:t>
      </w:r>
    </w:p>
    <w:p w14:paraId="787DEBFC" w14:textId="77777777" w:rsidR="00872C78" w:rsidRPr="00EA5D3C" w:rsidRDefault="00872C78" w:rsidP="00872C78">
      <w:pPr>
        <w:pStyle w:val="SingleTxtG"/>
      </w:pPr>
      <w:r w:rsidRPr="00EA5D3C">
        <w:t>48.</w:t>
      </w:r>
      <w:r w:rsidRPr="00EA5D3C">
        <w:tab/>
      </w:r>
      <w:r w:rsidRPr="001B37FC">
        <w:t>The Committee th</w:t>
      </w:r>
      <w:r>
        <w:t>erefore</w:t>
      </w:r>
      <w:r w:rsidRPr="001B37FC">
        <w:t xml:space="preserve"> considers that </w:t>
      </w:r>
      <w:r w:rsidRPr="00076588">
        <w:t xml:space="preserve">its recommendations relating to fostering </w:t>
      </w:r>
      <w:r>
        <w:t xml:space="preserve">the </w:t>
      </w:r>
      <w:r w:rsidRPr="00076588">
        <w:t>inclusion of persons with disabilities in the community through inclusive</w:t>
      </w:r>
      <w:r>
        <w:t>,</w:t>
      </w:r>
      <w:r w:rsidRPr="00076588">
        <w:t xml:space="preserve"> mainstream services in the community have not been implemented</w:t>
      </w:r>
      <w:r w:rsidRPr="00EA5D3C">
        <w:t>.</w:t>
      </w:r>
    </w:p>
    <w:p w14:paraId="11D313FE" w14:textId="77777777" w:rsidR="00872C78" w:rsidRPr="001B37FC" w:rsidRDefault="00872C78" w:rsidP="00872C78">
      <w:pPr>
        <w:pStyle w:val="H23G"/>
      </w:pPr>
      <w:r>
        <w:tab/>
        <w:t>5.</w:t>
      </w:r>
      <w:r>
        <w:tab/>
      </w:r>
      <w:r w:rsidRPr="001B37FC">
        <w:t>Equality and non-discrimination (art. 5)</w:t>
      </w:r>
    </w:p>
    <w:p w14:paraId="69B2AB0C" w14:textId="77777777" w:rsidR="00872C78" w:rsidRPr="00076588" w:rsidRDefault="00872C78" w:rsidP="00872C78">
      <w:pPr>
        <w:pStyle w:val="H23G"/>
      </w:pPr>
      <w:r w:rsidRPr="00E301EA">
        <w:tab/>
      </w:r>
      <w:r>
        <w:t>(a)</w:t>
      </w:r>
      <w:r w:rsidRPr="00076588">
        <w:tab/>
        <w:t>Children with disabilities</w:t>
      </w:r>
    </w:p>
    <w:p w14:paraId="0658D8E9" w14:textId="77777777" w:rsidR="00872C78" w:rsidRPr="001B37FC" w:rsidRDefault="00872C78" w:rsidP="00872C78">
      <w:pPr>
        <w:pStyle w:val="SingleTxtG"/>
      </w:pPr>
      <w:r w:rsidRPr="001B37FC">
        <w:t>49.</w:t>
      </w:r>
      <w:r w:rsidRPr="001B37FC">
        <w:tab/>
        <w:t xml:space="preserve">The Committee takes note of the information provided by the State party </w:t>
      </w:r>
      <w:r>
        <w:t>o</w:t>
      </w:r>
      <w:r w:rsidRPr="001B37FC">
        <w:t xml:space="preserve">n the intensive awareness-raising campaign and training for foster families, which resulted in a higher percentage of children with disabilities </w:t>
      </w:r>
      <w:r>
        <w:t xml:space="preserve">living </w:t>
      </w:r>
      <w:r w:rsidRPr="001B37FC">
        <w:t xml:space="preserve">in foster families. It welcomes the ongoing increase in allowances for families with children with disabilities and the improvement </w:t>
      </w:r>
      <w:r>
        <w:t>in</w:t>
      </w:r>
      <w:r w:rsidRPr="001B37FC">
        <w:t xml:space="preserve"> their circumstances. </w:t>
      </w:r>
      <w:r>
        <w:t>Nevertheless</w:t>
      </w:r>
      <w:r w:rsidRPr="001B37FC">
        <w:t xml:space="preserve">, </w:t>
      </w:r>
      <w:r>
        <w:t xml:space="preserve">it </w:t>
      </w:r>
      <w:r w:rsidRPr="001B37FC">
        <w:t xml:space="preserve">is concerned that </w:t>
      </w:r>
      <w:r w:rsidRPr="00DB0894">
        <w:t xml:space="preserve">Act </w:t>
      </w:r>
      <w:r>
        <w:t xml:space="preserve">No. </w:t>
      </w:r>
      <w:r w:rsidRPr="00DB0894">
        <w:t xml:space="preserve">XXXI of 1997 on the protection of children and the administration of guardianship </w:t>
      </w:r>
      <w:r>
        <w:t>(</w:t>
      </w:r>
      <w:r w:rsidRPr="001B37FC">
        <w:t>the Child Protection Act</w:t>
      </w:r>
      <w:r>
        <w:t>)</w:t>
      </w:r>
      <w:r w:rsidRPr="001B37FC">
        <w:t xml:space="preserve">, which permits the institutionalization of children with disabilities, remains unchanged. Available </w:t>
      </w:r>
      <w:r>
        <w:t>information</w:t>
      </w:r>
      <w:r w:rsidRPr="001B37FC">
        <w:t xml:space="preserve"> provided to the Committee indicate</w:t>
      </w:r>
      <w:r>
        <w:t>s</w:t>
      </w:r>
      <w:r w:rsidRPr="001B37FC">
        <w:t xml:space="preserve"> that children with disabilities continue to face discrimination, exclusion and institutionali</w:t>
      </w:r>
      <w:r>
        <w:t>z</w:t>
      </w:r>
      <w:r w:rsidRPr="001B37FC">
        <w:t>ation</w:t>
      </w:r>
      <w:r>
        <w:t>, that</w:t>
      </w:r>
      <w:r w:rsidRPr="001B37FC">
        <w:t xml:space="preserve"> measures such as the slight increase in financial support for families with children with disabilities, </w:t>
      </w:r>
      <w:r>
        <w:t xml:space="preserve">the training for </w:t>
      </w:r>
      <w:r w:rsidRPr="001B37FC">
        <w:t xml:space="preserve">foster families </w:t>
      </w:r>
      <w:r>
        <w:t>for</w:t>
      </w:r>
      <w:r w:rsidRPr="001B37FC">
        <w:t xml:space="preserve"> children with disabilities and the awareness-raising initiatives, have </w:t>
      </w:r>
      <w:r>
        <w:t xml:space="preserve">had a </w:t>
      </w:r>
      <w:r w:rsidRPr="001B37FC">
        <w:t xml:space="preserve">limited impact </w:t>
      </w:r>
      <w:r>
        <w:t xml:space="preserve">and have </w:t>
      </w:r>
      <w:r w:rsidRPr="001B37FC">
        <w:t xml:space="preserve">failed to substantively address </w:t>
      </w:r>
      <w:r>
        <w:t xml:space="preserve">the </w:t>
      </w:r>
      <w:r w:rsidRPr="001B37FC">
        <w:t xml:space="preserve">prevailing exclusion of children with disabilities </w:t>
      </w:r>
      <w:r>
        <w:t>from</w:t>
      </w:r>
      <w:r w:rsidRPr="001B37FC">
        <w:t xml:space="preserve"> society.</w:t>
      </w:r>
    </w:p>
    <w:p w14:paraId="19860530" w14:textId="77777777" w:rsidR="00872C78" w:rsidRPr="00076588" w:rsidRDefault="00872C78" w:rsidP="00872C78">
      <w:pPr>
        <w:pStyle w:val="SingleTxtG"/>
      </w:pPr>
      <w:r w:rsidRPr="00076588">
        <w:t>50.</w:t>
      </w:r>
      <w:r w:rsidRPr="00076588">
        <w:tab/>
      </w:r>
      <w:r w:rsidRPr="001B37FC">
        <w:t xml:space="preserve">The Committee expresses </w:t>
      </w:r>
      <w:r>
        <w:t xml:space="preserve">its </w:t>
      </w:r>
      <w:r w:rsidRPr="001B37FC">
        <w:t xml:space="preserve">concern </w:t>
      </w:r>
      <w:r>
        <w:t>about</w:t>
      </w:r>
      <w:r w:rsidRPr="001B37FC">
        <w:t xml:space="preserve"> the limited </w:t>
      </w:r>
      <w:r>
        <w:t xml:space="preserve">progress that has been made </w:t>
      </w:r>
      <w:r w:rsidRPr="001B37FC">
        <w:t xml:space="preserve">in </w:t>
      </w:r>
      <w:r>
        <w:t xml:space="preserve">terms of </w:t>
      </w:r>
      <w:r w:rsidRPr="001B37FC">
        <w:t xml:space="preserve">halting and precluding institutionalization </w:t>
      </w:r>
      <w:r>
        <w:t>for</w:t>
      </w:r>
      <w:r w:rsidRPr="001B37FC">
        <w:t xml:space="preserve"> children with disabilities. </w:t>
      </w:r>
      <w:r w:rsidRPr="00076588">
        <w:t>The Committee therefore considers that its recommendations concerning children with disabilities have not been implemented.</w:t>
      </w:r>
    </w:p>
    <w:p w14:paraId="4581D229" w14:textId="77777777" w:rsidR="00872C78" w:rsidRPr="00076588" w:rsidRDefault="00872C78" w:rsidP="00872C78">
      <w:pPr>
        <w:pStyle w:val="H23G"/>
      </w:pPr>
      <w:r w:rsidRPr="00076588">
        <w:tab/>
      </w:r>
      <w:r>
        <w:t>(b)</w:t>
      </w:r>
      <w:r w:rsidRPr="00076588">
        <w:tab/>
        <w:t>Women with disabilities</w:t>
      </w:r>
    </w:p>
    <w:p w14:paraId="206852ED" w14:textId="77777777" w:rsidR="00872C78" w:rsidRPr="001B37FC" w:rsidRDefault="00872C78" w:rsidP="00872C78">
      <w:pPr>
        <w:pStyle w:val="SingleTxtG"/>
      </w:pPr>
      <w:r w:rsidRPr="001B37FC">
        <w:t>51.</w:t>
      </w:r>
      <w:r w:rsidRPr="001B37FC">
        <w:tab/>
        <w:t xml:space="preserve">The Committee notes with concern the limited information provided by the State party about the situation of women and girls with disabilities and the extent to which its policies and programmes mainstreamed gender equality and promoted </w:t>
      </w:r>
      <w:r>
        <w:t xml:space="preserve">the </w:t>
      </w:r>
      <w:r w:rsidRPr="001B37FC">
        <w:t xml:space="preserve">empowerment of women and girls with disabilities and </w:t>
      </w:r>
      <w:r>
        <w:t xml:space="preserve">their </w:t>
      </w:r>
      <w:r w:rsidRPr="001B37FC">
        <w:t xml:space="preserve">inclusion in the community. It </w:t>
      </w:r>
      <w:r>
        <w:t xml:space="preserve">also </w:t>
      </w:r>
      <w:r w:rsidRPr="001B37FC">
        <w:t xml:space="preserve">notes with concern that information about pregnancies, forced sterilization, abortion and gender-based violence </w:t>
      </w:r>
      <w:r>
        <w:t>against</w:t>
      </w:r>
      <w:r w:rsidRPr="001B37FC">
        <w:t xml:space="preserve"> women </w:t>
      </w:r>
      <w:r>
        <w:t xml:space="preserve">and girls </w:t>
      </w:r>
      <w:r w:rsidRPr="001B37FC">
        <w:t>with disabilities under guardianship and/or in institutions is not available in the State party.</w:t>
      </w:r>
    </w:p>
    <w:p w14:paraId="5D421461" w14:textId="77777777" w:rsidR="00872C78" w:rsidRPr="001B37FC" w:rsidRDefault="00872C78" w:rsidP="00872C78">
      <w:pPr>
        <w:pStyle w:val="SingleTxtG"/>
      </w:pPr>
      <w:r w:rsidRPr="001B37FC">
        <w:t>52.</w:t>
      </w:r>
      <w:r w:rsidRPr="001B37FC">
        <w:tab/>
        <w:t xml:space="preserve">Information </w:t>
      </w:r>
      <w:r>
        <w:t>submitted to</w:t>
      </w:r>
      <w:r w:rsidRPr="001B37FC">
        <w:t xml:space="preserve"> the Committee indicates that women with disabilities in the State party continue to </w:t>
      </w:r>
      <w:r>
        <w:t xml:space="preserve">be subjected to </w:t>
      </w:r>
      <w:r w:rsidRPr="001B37FC">
        <w:t xml:space="preserve">forced contraception, </w:t>
      </w:r>
      <w:r>
        <w:t xml:space="preserve">a </w:t>
      </w:r>
      <w:r w:rsidRPr="001B37FC">
        <w:t xml:space="preserve">lack of privacy and </w:t>
      </w:r>
      <w:r>
        <w:t xml:space="preserve">a lack of </w:t>
      </w:r>
      <w:r w:rsidRPr="001B37FC">
        <w:t>access to reproductive health services in institutions.</w:t>
      </w:r>
    </w:p>
    <w:p w14:paraId="4B14B59D" w14:textId="77777777" w:rsidR="00872C78" w:rsidRPr="001B37FC" w:rsidRDefault="00872C78" w:rsidP="00872C78">
      <w:pPr>
        <w:pStyle w:val="SingleTxtG"/>
      </w:pPr>
      <w:r w:rsidRPr="001B37FC">
        <w:t>53.</w:t>
      </w:r>
      <w:r w:rsidRPr="001B37FC">
        <w:tab/>
        <w:t>The Committee regrets the absence of information about measures taken by the State party to combat intersectional and multiple discrimination against women with disabilities</w:t>
      </w:r>
      <w:r>
        <w:t>,</w:t>
      </w:r>
      <w:r w:rsidRPr="001B37FC">
        <w:t xml:space="preserve"> and the absence of appropriate protection mechanisms</w:t>
      </w:r>
      <w:r>
        <w:t xml:space="preserve"> for them</w:t>
      </w:r>
      <w:r w:rsidRPr="001B37FC">
        <w:t>. I</w:t>
      </w:r>
      <w:r>
        <w:t>n addition, i</w:t>
      </w:r>
      <w:r w:rsidRPr="001B37FC">
        <w:t xml:space="preserve">t </w:t>
      </w:r>
      <w:r>
        <w:t>notes</w:t>
      </w:r>
      <w:r w:rsidRPr="001B37FC">
        <w:t xml:space="preserve"> with concern that women and girls with disabilities, through their representative organizations</w:t>
      </w:r>
      <w:r>
        <w:t>,</w:t>
      </w:r>
      <w:r w:rsidRPr="001B37FC">
        <w:t xml:space="preserve"> were not consulted </w:t>
      </w:r>
      <w:r>
        <w:t>closely</w:t>
      </w:r>
      <w:r w:rsidRPr="001B37FC">
        <w:t xml:space="preserve"> </w:t>
      </w:r>
      <w:r>
        <w:t>or</w:t>
      </w:r>
      <w:r w:rsidRPr="001B37FC">
        <w:t xml:space="preserve"> involved actively in planning, designing and monitoring disability and gender-related legislation, policies and practices</w:t>
      </w:r>
      <w:r>
        <w:t xml:space="preserve"> during the assessment period</w:t>
      </w:r>
      <w:r w:rsidRPr="001B37FC">
        <w:t>.</w:t>
      </w:r>
    </w:p>
    <w:p w14:paraId="748822D8" w14:textId="77777777" w:rsidR="00872C78" w:rsidRPr="001B37FC" w:rsidRDefault="00872C78" w:rsidP="00872C78">
      <w:pPr>
        <w:pStyle w:val="SingleTxtG"/>
      </w:pPr>
      <w:r w:rsidRPr="001B37FC">
        <w:t>54.</w:t>
      </w:r>
      <w:r w:rsidRPr="001B37FC">
        <w:tab/>
        <w:t xml:space="preserve">The Committee regrets that the State party did not take appropriate action, including </w:t>
      </w:r>
      <w:r>
        <w:t xml:space="preserve">putting in place </w:t>
      </w:r>
      <w:r w:rsidRPr="001B37FC">
        <w:t xml:space="preserve">temporary positive </w:t>
      </w:r>
      <w:r>
        <w:t>measures</w:t>
      </w:r>
      <w:r w:rsidRPr="001B37FC">
        <w:t xml:space="preserve"> aim</w:t>
      </w:r>
      <w:r>
        <w:t>ed</w:t>
      </w:r>
      <w:r w:rsidRPr="001B37FC">
        <w:t xml:space="preserve"> </w:t>
      </w:r>
      <w:r>
        <w:t>a</w:t>
      </w:r>
      <w:r w:rsidRPr="001B37FC">
        <w:t>t improv</w:t>
      </w:r>
      <w:r>
        <w:t>ing</w:t>
      </w:r>
      <w:r w:rsidRPr="001B37FC">
        <w:t xml:space="preserve"> access for women with disabilities to different areas of public life, including education and employment</w:t>
      </w:r>
      <w:r>
        <w:t>.</w:t>
      </w:r>
      <w:r w:rsidRPr="001B37FC">
        <w:t xml:space="preserve"> </w:t>
      </w:r>
      <w:r>
        <w:t>I</w:t>
      </w:r>
      <w:r w:rsidRPr="001B37FC">
        <w:t>t th</w:t>
      </w:r>
      <w:r>
        <w:t>erefore</w:t>
      </w:r>
      <w:r w:rsidRPr="001B37FC">
        <w:t xml:space="preserve"> considers that </w:t>
      </w:r>
      <w:r>
        <w:t xml:space="preserve">its </w:t>
      </w:r>
      <w:r w:rsidRPr="00076588">
        <w:t>recommendations concerning the rights of women and girls with disabilities</w:t>
      </w:r>
      <w:r>
        <w:t>,</w:t>
      </w:r>
      <w:r w:rsidRPr="00076588">
        <w:t xml:space="preserve"> particularly in the context of institutionalization</w:t>
      </w:r>
      <w:r>
        <w:t>,</w:t>
      </w:r>
      <w:r w:rsidRPr="00076588">
        <w:t xml:space="preserve"> have not been implemented.</w:t>
      </w:r>
    </w:p>
    <w:p w14:paraId="25ADBE5E" w14:textId="77777777" w:rsidR="00872C78" w:rsidRPr="001B37FC" w:rsidRDefault="00872C78" w:rsidP="00872C78">
      <w:pPr>
        <w:pStyle w:val="HChG"/>
      </w:pPr>
      <w:r>
        <w:tab/>
      </w:r>
      <w:r w:rsidRPr="001B37FC">
        <w:t>IV.</w:t>
      </w:r>
      <w:r>
        <w:tab/>
      </w:r>
      <w:r w:rsidRPr="001E3A59">
        <w:t>Conclusions</w:t>
      </w:r>
    </w:p>
    <w:p w14:paraId="156CE668" w14:textId="77777777" w:rsidR="00872C78" w:rsidRPr="00076588" w:rsidRDefault="00872C78" w:rsidP="00872C78">
      <w:pPr>
        <w:pStyle w:val="SingleTxtG"/>
        <w:rPr>
          <w:b/>
          <w:bCs/>
        </w:rPr>
      </w:pPr>
      <w:r w:rsidRPr="00076588">
        <w:t>55.</w:t>
      </w:r>
      <w:r w:rsidRPr="00076588">
        <w:tab/>
      </w:r>
      <w:r w:rsidRPr="00076588">
        <w:rPr>
          <w:b/>
          <w:bCs/>
        </w:rPr>
        <w:t xml:space="preserve">The Committee considers that </w:t>
      </w:r>
      <w:r w:rsidRPr="00644BE3">
        <w:rPr>
          <w:b/>
          <w:bCs/>
        </w:rPr>
        <w:t xml:space="preserve">no significant progress has </w:t>
      </w:r>
      <w:r w:rsidRPr="00076588">
        <w:rPr>
          <w:b/>
          <w:bCs/>
        </w:rPr>
        <w:t>been made</w:t>
      </w:r>
      <w:r w:rsidRPr="00644BE3">
        <w:rPr>
          <w:b/>
          <w:bCs/>
        </w:rPr>
        <w:t xml:space="preserve"> in the State party concerning the situation of persons with disabilities addressed in the inquiry proceedings</w:t>
      </w:r>
      <w:r w:rsidRPr="00076588">
        <w:rPr>
          <w:b/>
          <w:bCs/>
        </w:rPr>
        <w:t xml:space="preserve">. The Committee also considers that its recommendations issued pursuant to article 6 of the Optional Protocol have not been implemented. It regrets that the State party has failed to take measures to address discriminatory legislation, public policies and practices that continue to constitute </w:t>
      </w:r>
      <w:r w:rsidRPr="00644BE3">
        <w:rPr>
          <w:b/>
          <w:bCs/>
        </w:rPr>
        <w:t>grave and systematic violations of the human rights of persons with disabilities in Hungary</w:t>
      </w:r>
      <w:r w:rsidRPr="00076588">
        <w:rPr>
          <w:b/>
          <w:bCs/>
        </w:rPr>
        <w:t>.</w:t>
      </w:r>
    </w:p>
    <w:p w14:paraId="0DCFD77C" w14:textId="77777777" w:rsidR="00872C78" w:rsidRPr="00076588" w:rsidRDefault="00872C78" w:rsidP="00872C78">
      <w:pPr>
        <w:pStyle w:val="SingleTxtG"/>
        <w:rPr>
          <w:b/>
          <w:bCs/>
        </w:rPr>
      </w:pPr>
      <w:r w:rsidRPr="00076588">
        <w:t>56.</w:t>
      </w:r>
      <w:r w:rsidRPr="00076588">
        <w:tab/>
      </w:r>
      <w:r w:rsidRPr="00076588">
        <w:rPr>
          <w:b/>
          <w:bCs/>
        </w:rPr>
        <w:t>The Committee notes that the measures taken by the State party have failed to eliminate the root causes of the exclusion of and discrimination against persons with disabilities and to operationalize the necessary paradigm shift concerning the rights of persons with disabilities to equal recognition before the law (art. 12) and to live independently and be included in the community (art. 19), in conjunction with the right of all persons with disabilities to equality before and under the law (art. 5).</w:t>
      </w:r>
    </w:p>
    <w:p w14:paraId="798A7042" w14:textId="77777777" w:rsidR="00872C78" w:rsidRPr="00076588" w:rsidRDefault="00872C78" w:rsidP="00872C78">
      <w:pPr>
        <w:pStyle w:val="SingleTxtG"/>
        <w:rPr>
          <w:b/>
          <w:bCs/>
        </w:rPr>
      </w:pPr>
      <w:r w:rsidRPr="00076588">
        <w:t>57.</w:t>
      </w:r>
      <w:r w:rsidRPr="00076588">
        <w:tab/>
      </w:r>
      <w:r w:rsidRPr="00076588">
        <w:rPr>
          <w:b/>
          <w:bCs/>
        </w:rPr>
        <w:t>The State party provided information regarding the increase in funding for allowances, services and disability-related programmes and initiatives, both from domestic public sources and international assistance, including support from the European Union. Reports available to the Committee indicate that</w:t>
      </w:r>
      <w:r>
        <w:rPr>
          <w:b/>
          <w:bCs/>
        </w:rPr>
        <w:t>,</w:t>
      </w:r>
      <w:r w:rsidRPr="00076588">
        <w:rPr>
          <w:b/>
          <w:bCs/>
        </w:rPr>
        <w:t xml:space="preserve"> </w:t>
      </w:r>
      <w:r>
        <w:rPr>
          <w:b/>
          <w:bCs/>
        </w:rPr>
        <w:t>in</w:t>
      </w:r>
      <w:r w:rsidRPr="00076588">
        <w:rPr>
          <w:b/>
          <w:bCs/>
        </w:rPr>
        <w:t xml:space="preserve"> 2023, the State party has 35 ongoing projects which collectively employ more than 67 million euros to establish segregated facilities like group homes, day-care centres and sheltered workshops for persons with disabilities.</w:t>
      </w:r>
    </w:p>
    <w:p w14:paraId="4F01875E" w14:textId="77777777" w:rsidR="00872C78" w:rsidRPr="00076588" w:rsidRDefault="00872C78" w:rsidP="00872C78">
      <w:pPr>
        <w:pStyle w:val="SingleTxtG"/>
        <w:rPr>
          <w:b/>
          <w:bCs/>
        </w:rPr>
      </w:pPr>
      <w:r w:rsidRPr="00076588">
        <w:t>58.</w:t>
      </w:r>
      <w:r w:rsidRPr="00076588">
        <w:tab/>
      </w:r>
      <w:r w:rsidRPr="00076588">
        <w:rPr>
          <w:b/>
          <w:bCs/>
        </w:rPr>
        <w:t xml:space="preserve">The Committee regrets that the State party persists in allocating funds, including European Union support, for disability-related programmes that contravene the Convention and the Committee’s recommendations, perpetuate discrimination and promote </w:t>
      </w:r>
      <w:r>
        <w:rPr>
          <w:b/>
          <w:bCs/>
        </w:rPr>
        <w:t xml:space="preserve">the </w:t>
      </w:r>
      <w:r w:rsidRPr="00076588">
        <w:rPr>
          <w:b/>
          <w:bCs/>
        </w:rPr>
        <w:t>institutionalization and segregation of persons with disabilities.</w:t>
      </w:r>
    </w:p>
    <w:p w14:paraId="08B2F080" w14:textId="77777777" w:rsidR="00872C78" w:rsidRPr="001B37FC" w:rsidRDefault="00872C78" w:rsidP="00872C78">
      <w:pPr>
        <w:pStyle w:val="HChG"/>
      </w:pPr>
      <w:r>
        <w:tab/>
      </w:r>
      <w:r w:rsidRPr="001B37FC">
        <w:t>V.</w:t>
      </w:r>
      <w:r>
        <w:tab/>
      </w:r>
      <w:r w:rsidRPr="001B37FC">
        <w:t>Recommendations and follow-up</w:t>
      </w:r>
    </w:p>
    <w:p w14:paraId="53C11FB0" w14:textId="77777777" w:rsidR="00872C78" w:rsidRPr="001B37FC" w:rsidRDefault="00872C78" w:rsidP="00872C78">
      <w:pPr>
        <w:pStyle w:val="SingleTxtG"/>
      </w:pPr>
      <w:r w:rsidRPr="001B37FC">
        <w:t>59.</w:t>
      </w:r>
      <w:r w:rsidRPr="001B37FC">
        <w:tab/>
      </w:r>
      <w:r w:rsidRPr="00076588">
        <w:rPr>
          <w:b/>
          <w:bCs/>
        </w:rPr>
        <w:t xml:space="preserve">The Committee welcomes the follow-up information provided by the State party on measures taken in response to the Committee’s recommendations </w:t>
      </w:r>
      <w:r>
        <w:rPr>
          <w:b/>
          <w:bCs/>
        </w:rPr>
        <w:t>contained in</w:t>
      </w:r>
      <w:r w:rsidRPr="00076588">
        <w:rPr>
          <w:b/>
          <w:bCs/>
        </w:rPr>
        <w:t xml:space="preserve"> its report </w:t>
      </w:r>
      <w:r>
        <w:rPr>
          <w:b/>
          <w:bCs/>
        </w:rPr>
        <w:t xml:space="preserve">on an </w:t>
      </w:r>
      <w:r w:rsidRPr="00D96F68">
        <w:rPr>
          <w:b/>
          <w:bCs/>
        </w:rPr>
        <w:t>inquiry</w:t>
      </w:r>
      <w:r w:rsidRPr="00026870">
        <w:rPr>
          <w:b/>
          <w:bCs/>
        </w:rPr>
        <w:t xml:space="preserve"> </w:t>
      </w:r>
      <w:r w:rsidRPr="00076588">
        <w:rPr>
          <w:b/>
          <w:bCs/>
        </w:rPr>
        <w:t>concerning Hungary under article 6 of the Optional Protocol to the Convention</w:t>
      </w:r>
      <w:r>
        <w:rPr>
          <w:b/>
          <w:bCs/>
        </w:rPr>
        <w:t>.</w:t>
      </w:r>
      <w:r w:rsidRPr="00076588">
        <w:rPr>
          <w:b/>
          <w:bCs/>
        </w:rPr>
        <w:t xml:space="preserve"> </w:t>
      </w:r>
      <w:r>
        <w:rPr>
          <w:b/>
          <w:bCs/>
        </w:rPr>
        <w:t>I</w:t>
      </w:r>
      <w:r w:rsidRPr="001B37FC">
        <w:rPr>
          <w:b/>
          <w:bCs/>
        </w:rPr>
        <w:t>n relation to paragraphs 110 to 116 of th</w:t>
      </w:r>
      <w:r>
        <w:rPr>
          <w:b/>
          <w:bCs/>
        </w:rPr>
        <w:t>at</w:t>
      </w:r>
      <w:r w:rsidRPr="001B37FC">
        <w:rPr>
          <w:b/>
          <w:bCs/>
        </w:rPr>
        <w:t xml:space="preserve"> report, </w:t>
      </w:r>
      <w:r>
        <w:rPr>
          <w:b/>
          <w:bCs/>
        </w:rPr>
        <w:t xml:space="preserve">it </w:t>
      </w:r>
      <w:r w:rsidRPr="001B37FC">
        <w:rPr>
          <w:b/>
          <w:bCs/>
        </w:rPr>
        <w:t>recommends that the State party provide information on further actions taken:</w:t>
      </w:r>
    </w:p>
    <w:p w14:paraId="32E97DD4" w14:textId="039F8BE6" w:rsidR="00872C78" w:rsidRPr="00076588" w:rsidRDefault="00FE6943" w:rsidP="00FE6943">
      <w:pPr>
        <w:pStyle w:val="SingleTxtG"/>
        <w:rPr>
          <w:b/>
          <w:bCs/>
        </w:rPr>
      </w:pPr>
      <w:r w:rsidRPr="00FE6943">
        <w:tab/>
      </w:r>
      <w:r w:rsidR="00872C78" w:rsidRPr="00FE6943">
        <w:t>(a)</w:t>
      </w:r>
      <w:r w:rsidR="00872C78" w:rsidRPr="00076588">
        <w:rPr>
          <w:b/>
          <w:bCs/>
        </w:rPr>
        <w:tab/>
        <w:t xml:space="preserve">To ensure close consultation </w:t>
      </w:r>
      <w:r w:rsidR="00872C78">
        <w:rPr>
          <w:b/>
          <w:bCs/>
        </w:rPr>
        <w:t xml:space="preserve">with </w:t>
      </w:r>
      <w:r w:rsidR="00872C78" w:rsidRPr="00076588">
        <w:rPr>
          <w:b/>
          <w:bCs/>
        </w:rPr>
        <w:t xml:space="preserve">and </w:t>
      </w:r>
      <w:r w:rsidR="00872C78">
        <w:rPr>
          <w:b/>
          <w:bCs/>
        </w:rPr>
        <w:t xml:space="preserve">the </w:t>
      </w:r>
      <w:r w:rsidR="00872C78" w:rsidRPr="00076588">
        <w:rPr>
          <w:b/>
          <w:bCs/>
        </w:rPr>
        <w:t>active involvement of persons with disabilities, including those in institutions, through their representative organizations</w:t>
      </w:r>
      <w:r w:rsidR="00872C78">
        <w:rPr>
          <w:b/>
          <w:bCs/>
        </w:rPr>
        <w:t>,</w:t>
      </w:r>
      <w:r w:rsidR="00872C78" w:rsidRPr="00076588">
        <w:rPr>
          <w:b/>
          <w:bCs/>
        </w:rPr>
        <w:t xml:space="preserve"> in all public decision-making processes with the aim </w:t>
      </w:r>
      <w:r w:rsidR="00872C78">
        <w:rPr>
          <w:b/>
          <w:bCs/>
        </w:rPr>
        <w:t>of</w:t>
      </w:r>
      <w:r w:rsidR="00872C78" w:rsidRPr="00076588">
        <w:rPr>
          <w:b/>
          <w:bCs/>
        </w:rPr>
        <w:t xml:space="preserve"> implement</w:t>
      </w:r>
      <w:r w:rsidR="00872C78">
        <w:rPr>
          <w:b/>
          <w:bCs/>
        </w:rPr>
        <w:t>ing</w:t>
      </w:r>
      <w:r w:rsidR="00872C78" w:rsidRPr="00076588">
        <w:rPr>
          <w:b/>
          <w:bCs/>
        </w:rPr>
        <w:t xml:space="preserve"> the Convention and the Committee’s recommendations in its inquiry report;</w:t>
      </w:r>
    </w:p>
    <w:p w14:paraId="428CEE28" w14:textId="1AC69CC5" w:rsidR="00872C78" w:rsidRPr="001B37FC" w:rsidRDefault="00FE6943" w:rsidP="00FE6943">
      <w:pPr>
        <w:pStyle w:val="SingleTxtG"/>
      </w:pPr>
      <w:r>
        <w:tab/>
      </w:r>
      <w:r w:rsidR="00872C78" w:rsidRPr="001B37FC">
        <w:t>(b)</w:t>
      </w:r>
      <w:r w:rsidR="00872C78" w:rsidRPr="001B37FC">
        <w:tab/>
      </w:r>
      <w:r w:rsidR="00872C78" w:rsidRPr="00076588">
        <w:rPr>
          <w:b/>
          <w:bCs/>
        </w:rPr>
        <w:t xml:space="preserve">To conduct national </w:t>
      </w:r>
      <w:r w:rsidR="00872C78" w:rsidRPr="00A513C8">
        <w:rPr>
          <w:b/>
          <w:bCs/>
        </w:rPr>
        <w:t>gender- and age-sensitive</w:t>
      </w:r>
      <w:r w:rsidR="00872C78" w:rsidRPr="000E48BA">
        <w:rPr>
          <w:b/>
          <w:bCs/>
        </w:rPr>
        <w:t xml:space="preserve"> </w:t>
      </w:r>
      <w:r w:rsidR="00872C78" w:rsidRPr="00076588">
        <w:rPr>
          <w:b/>
          <w:bCs/>
        </w:rPr>
        <w:t>research on the cumulative impact of guardianship and institutionalization on the lives of persons with disabilities</w:t>
      </w:r>
      <w:r w:rsidR="00872C78">
        <w:rPr>
          <w:b/>
          <w:bCs/>
        </w:rPr>
        <w:t>,</w:t>
      </w:r>
      <w:r w:rsidR="00872C78" w:rsidRPr="00076588">
        <w:rPr>
          <w:b/>
          <w:bCs/>
        </w:rPr>
        <w:t xml:space="preserve"> </w:t>
      </w:r>
      <w:r w:rsidR="00872C78">
        <w:rPr>
          <w:b/>
          <w:bCs/>
        </w:rPr>
        <w:t>employing</w:t>
      </w:r>
      <w:r w:rsidR="00872C78" w:rsidRPr="00076588">
        <w:rPr>
          <w:b/>
          <w:bCs/>
        </w:rPr>
        <w:t xml:space="preserve"> an intersectional approach that takes into account the </w:t>
      </w:r>
      <w:r w:rsidR="00872C78">
        <w:rPr>
          <w:b/>
          <w:bCs/>
        </w:rPr>
        <w:t xml:space="preserve">current </w:t>
      </w:r>
      <w:r w:rsidR="00872C78" w:rsidRPr="00076588">
        <w:rPr>
          <w:b/>
          <w:bCs/>
        </w:rPr>
        <w:t>situation,</w:t>
      </w:r>
      <w:r w:rsidR="00872C78" w:rsidRPr="001B37FC">
        <w:t xml:space="preserve"> </w:t>
      </w:r>
      <w:r w:rsidR="00872C78" w:rsidRPr="00076588">
        <w:rPr>
          <w:b/>
          <w:bCs/>
        </w:rPr>
        <w:t xml:space="preserve">intersectional discrimination </w:t>
      </w:r>
      <w:r w:rsidR="00872C78">
        <w:rPr>
          <w:b/>
          <w:bCs/>
        </w:rPr>
        <w:t xml:space="preserve">implicit in </w:t>
      </w:r>
      <w:r w:rsidR="00872C78" w:rsidRPr="00076588">
        <w:rPr>
          <w:b/>
          <w:bCs/>
        </w:rPr>
        <w:t xml:space="preserve">and </w:t>
      </w:r>
      <w:r w:rsidR="00872C78">
        <w:rPr>
          <w:b/>
          <w:bCs/>
        </w:rPr>
        <w:t xml:space="preserve">the </w:t>
      </w:r>
      <w:r w:rsidR="00872C78" w:rsidRPr="00076588">
        <w:rPr>
          <w:b/>
          <w:bCs/>
        </w:rPr>
        <w:t xml:space="preserve">impact of the State party’s legislation, policies and practices </w:t>
      </w:r>
      <w:r w:rsidR="00872C78">
        <w:rPr>
          <w:b/>
          <w:bCs/>
        </w:rPr>
        <w:t>o</w:t>
      </w:r>
      <w:r w:rsidR="00872C78" w:rsidRPr="00076588">
        <w:rPr>
          <w:b/>
          <w:bCs/>
        </w:rPr>
        <w:t>n the lives of groups exposed to marginalization, including women and girls with disabilities, children with disabilities, older persons with disabilities</w:t>
      </w:r>
      <w:r w:rsidR="00872C78">
        <w:rPr>
          <w:b/>
          <w:bCs/>
        </w:rPr>
        <w:t xml:space="preserve"> and</w:t>
      </w:r>
      <w:r w:rsidR="00872C78" w:rsidRPr="00076588">
        <w:rPr>
          <w:b/>
          <w:bCs/>
        </w:rPr>
        <w:t xml:space="preserve"> persons with disabilities with complex levels of support;</w:t>
      </w:r>
    </w:p>
    <w:p w14:paraId="33993A97" w14:textId="5078FD78" w:rsidR="00872C78" w:rsidRPr="00076588" w:rsidRDefault="00FE6943" w:rsidP="00FE6943">
      <w:pPr>
        <w:pStyle w:val="SingleTxtG"/>
        <w:rPr>
          <w:b/>
          <w:bCs/>
        </w:rPr>
      </w:pPr>
      <w:r w:rsidRPr="00FE6943">
        <w:tab/>
      </w:r>
      <w:r w:rsidR="00872C78" w:rsidRPr="00FE6943">
        <w:t>(c)</w:t>
      </w:r>
      <w:r w:rsidR="00872C78" w:rsidRPr="00076588">
        <w:rPr>
          <w:b/>
          <w:bCs/>
        </w:rPr>
        <w:tab/>
        <w:t xml:space="preserve">To collect data, disaggregated by age, sex, ethnic origin and disability, on children with disabilities in institutions, including those in adult institutions, and </w:t>
      </w:r>
      <w:r w:rsidR="00872C78">
        <w:rPr>
          <w:b/>
          <w:bCs/>
        </w:rPr>
        <w:t>to prioritize the establishment of</w:t>
      </w:r>
      <w:r w:rsidR="00872C78" w:rsidRPr="00076588">
        <w:rPr>
          <w:b/>
          <w:bCs/>
        </w:rPr>
        <w:t xml:space="preserve"> a strategy to ensure their right to family life</w:t>
      </w:r>
      <w:r w:rsidR="00872C78">
        <w:rPr>
          <w:b/>
          <w:bCs/>
        </w:rPr>
        <w:t>,</w:t>
      </w:r>
      <w:r w:rsidR="00872C78" w:rsidRPr="00076588">
        <w:rPr>
          <w:b/>
          <w:bCs/>
        </w:rPr>
        <w:t xml:space="preserve"> </w:t>
      </w:r>
      <w:r w:rsidR="00872C78">
        <w:rPr>
          <w:b/>
          <w:bCs/>
        </w:rPr>
        <w:t xml:space="preserve">to </w:t>
      </w:r>
      <w:r w:rsidR="00872C78" w:rsidRPr="00076588">
        <w:rPr>
          <w:b/>
          <w:bCs/>
        </w:rPr>
        <w:t>seek the technical cooperation of the relevant United Nations agencies in designing th</w:t>
      </w:r>
      <w:r w:rsidR="00872C78">
        <w:rPr>
          <w:b/>
          <w:bCs/>
        </w:rPr>
        <w:t>e</w:t>
      </w:r>
      <w:r w:rsidR="00872C78" w:rsidRPr="00076588">
        <w:rPr>
          <w:b/>
          <w:bCs/>
        </w:rPr>
        <w:t xml:space="preserve"> strategy, which should include timelines, indicators and benchmarks</w:t>
      </w:r>
      <w:r w:rsidR="00872C78">
        <w:rPr>
          <w:b/>
          <w:bCs/>
        </w:rPr>
        <w:t>,</w:t>
      </w:r>
      <w:r w:rsidR="00872C78" w:rsidRPr="00076588">
        <w:rPr>
          <w:b/>
          <w:bCs/>
        </w:rPr>
        <w:t xml:space="preserve"> and </w:t>
      </w:r>
      <w:r w:rsidR="00872C78">
        <w:rPr>
          <w:b/>
          <w:bCs/>
        </w:rPr>
        <w:t xml:space="preserve">to </w:t>
      </w:r>
      <w:r w:rsidR="00872C78" w:rsidRPr="00076588">
        <w:rPr>
          <w:b/>
          <w:bCs/>
        </w:rPr>
        <w:t>fully involve children with disabilities, through their representative organizations, in its design, implementation and monitoring</w:t>
      </w:r>
      <w:r w:rsidR="00872C78">
        <w:rPr>
          <w:b/>
          <w:bCs/>
        </w:rPr>
        <w:t>;</w:t>
      </w:r>
      <w:r w:rsidR="00872C78" w:rsidRPr="00076588">
        <w:rPr>
          <w:b/>
          <w:bCs/>
        </w:rPr>
        <w:t xml:space="preserve"> </w:t>
      </w:r>
    </w:p>
    <w:p w14:paraId="18698654" w14:textId="4CA0BE82" w:rsidR="00872C78" w:rsidRPr="00076588" w:rsidRDefault="00FE6943" w:rsidP="00FE6943">
      <w:pPr>
        <w:pStyle w:val="SingleTxtG"/>
        <w:rPr>
          <w:b/>
          <w:bCs/>
        </w:rPr>
      </w:pPr>
      <w:r w:rsidRPr="00FE6943">
        <w:tab/>
      </w:r>
      <w:r w:rsidR="00872C78" w:rsidRPr="00FE6943">
        <w:t>(d)</w:t>
      </w:r>
      <w:r w:rsidR="00872C78" w:rsidRPr="00FE6943">
        <w:tab/>
      </w:r>
      <w:r w:rsidR="00872C78" w:rsidRPr="00076588">
        <w:rPr>
          <w:b/>
          <w:bCs/>
        </w:rPr>
        <w:t xml:space="preserve">To include a gender perspective in the design, implementation and monitoring of policies regarding persons with disabilities, and </w:t>
      </w:r>
      <w:r w:rsidR="00872C78">
        <w:rPr>
          <w:b/>
          <w:bCs/>
        </w:rPr>
        <w:t xml:space="preserve">to </w:t>
      </w:r>
      <w:r w:rsidR="00872C78" w:rsidRPr="00076588">
        <w:rPr>
          <w:b/>
          <w:bCs/>
        </w:rPr>
        <w:t>ensure that women with disabilities are fully involved in the design, implementation and monitoring of all policies and measures affecting them, including through temporary special measures;</w:t>
      </w:r>
    </w:p>
    <w:p w14:paraId="23530555" w14:textId="20FF913E" w:rsidR="00872C78" w:rsidRPr="00076588" w:rsidRDefault="00FE6943" w:rsidP="00FE6943">
      <w:pPr>
        <w:pStyle w:val="SingleTxtG"/>
        <w:rPr>
          <w:b/>
          <w:bCs/>
        </w:rPr>
      </w:pPr>
      <w:r w:rsidRPr="00FE6943">
        <w:tab/>
      </w:r>
      <w:r w:rsidR="00872C78" w:rsidRPr="00FE6943">
        <w:t>(e)</w:t>
      </w:r>
      <w:r w:rsidR="00872C78" w:rsidRPr="00076588">
        <w:rPr>
          <w:b/>
          <w:bCs/>
        </w:rPr>
        <w:tab/>
        <w:t>To ensure direct and effective access to justice for persons with disabilities, particularly those affected by the restriction of their capacity to act, those subjected to institutionalization or those who are victims of disability-based or other discrimination, through the provision of procedural and age-appropriate accommodation;</w:t>
      </w:r>
    </w:p>
    <w:p w14:paraId="430045ED" w14:textId="0773BA70" w:rsidR="00872C78" w:rsidRPr="00076588" w:rsidRDefault="00FE6943" w:rsidP="00FE6943">
      <w:pPr>
        <w:pStyle w:val="SingleTxtG"/>
        <w:rPr>
          <w:b/>
          <w:bCs/>
        </w:rPr>
      </w:pPr>
      <w:r w:rsidRPr="00FE6943">
        <w:tab/>
      </w:r>
      <w:r w:rsidR="00872C78" w:rsidRPr="00FE6943">
        <w:t>(f)</w:t>
      </w:r>
      <w:r w:rsidR="00872C78" w:rsidRPr="00076588">
        <w:rPr>
          <w:b/>
          <w:bCs/>
        </w:rPr>
        <w:tab/>
        <w:t xml:space="preserve">To establish accessible complaints mechanisms for persons with disabilities concerning social services, and </w:t>
      </w:r>
      <w:r w:rsidR="00872C78">
        <w:rPr>
          <w:b/>
          <w:bCs/>
        </w:rPr>
        <w:t xml:space="preserve">to </w:t>
      </w:r>
      <w:r w:rsidR="00872C78" w:rsidRPr="00076588">
        <w:rPr>
          <w:b/>
          <w:bCs/>
        </w:rPr>
        <w:t>strengthen the advocacy role of the Office of the Commissioner for Fundamental Rights and independent monitoring of facilities and programmes;</w:t>
      </w:r>
    </w:p>
    <w:p w14:paraId="7C8769D7" w14:textId="7DC41607" w:rsidR="00872C78" w:rsidRPr="00076588" w:rsidRDefault="00FE6943" w:rsidP="00FE6943">
      <w:pPr>
        <w:pStyle w:val="SingleTxtG"/>
        <w:rPr>
          <w:b/>
          <w:bCs/>
        </w:rPr>
      </w:pPr>
      <w:r w:rsidRPr="00FE6943">
        <w:tab/>
      </w:r>
      <w:r w:rsidR="00872C78" w:rsidRPr="00FE6943">
        <w:t>(g)</w:t>
      </w:r>
      <w:r w:rsidR="00872C78" w:rsidRPr="00076588">
        <w:rPr>
          <w:b/>
          <w:bCs/>
        </w:rPr>
        <w:tab/>
        <w:t>To abolish the provisions of the Civil Code providing for the full or partial restriction of the capacity to act of persons with disabilities;</w:t>
      </w:r>
    </w:p>
    <w:p w14:paraId="71F447A7" w14:textId="668E0559" w:rsidR="00872C78" w:rsidRPr="00076588" w:rsidRDefault="00FE6943" w:rsidP="00FE6943">
      <w:pPr>
        <w:pStyle w:val="SingleTxtG"/>
        <w:rPr>
          <w:b/>
          <w:bCs/>
        </w:rPr>
      </w:pPr>
      <w:r w:rsidRPr="00FE6943">
        <w:tab/>
      </w:r>
      <w:r w:rsidR="00872C78" w:rsidRPr="00FE6943">
        <w:t>(h)</w:t>
      </w:r>
      <w:r w:rsidR="00872C78" w:rsidRPr="00076588">
        <w:rPr>
          <w:b/>
          <w:bCs/>
        </w:rPr>
        <w:tab/>
        <w:t>To ensure that all persons with disabilities have access to supported</w:t>
      </w:r>
      <w:r w:rsidR="00872C78">
        <w:rPr>
          <w:b/>
          <w:bCs/>
        </w:rPr>
        <w:t xml:space="preserve"> </w:t>
      </w:r>
      <w:r w:rsidR="00872C78" w:rsidRPr="00076588">
        <w:rPr>
          <w:b/>
          <w:bCs/>
        </w:rPr>
        <w:t>decision</w:t>
      </w:r>
      <w:r w:rsidR="00872C78">
        <w:rPr>
          <w:b/>
          <w:bCs/>
        </w:rPr>
        <w:t>-</w:t>
      </w:r>
      <w:r w:rsidR="00872C78" w:rsidRPr="00076588">
        <w:rPr>
          <w:b/>
          <w:bCs/>
        </w:rPr>
        <w:t>making, including a range of formal and informal supported decision-making</w:t>
      </w:r>
      <w:r w:rsidR="00872C78">
        <w:rPr>
          <w:b/>
          <w:bCs/>
        </w:rPr>
        <w:t>,</w:t>
      </w:r>
      <w:r w:rsidR="00872C78" w:rsidRPr="00076588">
        <w:rPr>
          <w:b/>
          <w:bCs/>
        </w:rPr>
        <w:t xml:space="preserve"> and </w:t>
      </w:r>
      <w:r w:rsidR="00872C78">
        <w:rPr>
          <w:b/>
          <w:bCs/>
        </w:rPr>
        <w:t xml:space="preserve">to </w:t>
      </w:r>
      <w:r w:rsidR="00872C78" w:rsidRPr="00076588">
        <w:rPr>
          <w:b/>
          <w:bCs/>
        </w:rPr>
        <w:t xml:space="preserve">remove the procedure of supported decision-making from the remit of the </w:t>
      </w:r>
      <w:r w:rsidR="00872C78">
        <w:rPr>
          <w:b/>
          <w:bCs/>
        </w:rPr>
        <w:t>g</w:t>
      </w:r>
      <w:r w:rsidR="00872C78" w:rsidRPr="00076588">
        <w:rPr>
          <w:b/>
          <w:bCs/>
        </w:rPr>
        <w:t>uardianship authority;</w:t>
      </w:r>
    </w:p>
    <w:p w14:paraId="436DB6E5" w14:textId="71701C71" w:rsidR="00872C78" w:rsidRPr="00076588" w:rsidRDefault="00FE6943" w:rsidP="00FE6943">
      <w:pPr>
        <w:pStyle w:val="SingleTxtG"/>
        <w:rPr>
          <w:b/>
          <w:bCs/>
        </w:rPr>
      </w:pPr>
      <w:r w:rsidRPr="00FE6943">
        <w:tab/>
      </w:r>
      <w:r w:rsidR="00872C78" w:rsidRPr="00FE6943">
        <w:t>(i)</w:t>
      </w:r>
      <w:r w:rsidR="00872C78" w:rsidRPr="00FE6943">
        <w:tab/>
      </w:r>
      <w:r w:rsidR="00872C78" w:rsidRPr="00076588">
        <w:rPr>
          <w:b/>
          <w:bCs/>
        </w:rPr>
        <w:t>To restore the rights of all persons with disabilities to vote and be elected, including by ensuring that all persons with disabilities are registered in electoral registries and fully participate in elections;</w:t>
      </w:r>
    </w:p>
    <w:p w14:paraId="630E5850" w14:textId="75001794" w:rsidR="00872C78" w:rsidRPr="00076588" w:rsidRDefault="00FE6943" w:rsidP="00FE6943">
      <w:pPr>
        <w:pStyle w:val="SingleTxtG"/>
        <w:rPr>
          <w:b/>
          <w:bCs/>
        </w:rPr>
      </w:pPr>
      <w:r w:rsidRPr="00FE6943">
        <w:tab/>
      </w:r>
      <w:r w:rsidR="00872C78" w:rsidRPr="00FE6943">
        <w:t>(j)</w:t>
      </w:r>
      <w:r w:rsidR="00872C78" w:rsidRPr="00076588">
        <w:rPr>
          <w:b/>
          <w:bCs/>
        </w:rPr>
        <w:tab/>
        <w:t xml:space="preserve">To eliminate legal and attitudinal barriers to access to justice, in particular </w:t>
      </w:r>
      <w:r w:rsidR="00872C78">
        <w:rPr>
          <w:b/>
          <w:bCs/>
        </w:rPr>
        <w:t xml:space="preserve">those faced by </w:t>
      </w:r>
      <w:r w:rsidR="00872C78" w:rsidRPr="00076588">
        <w:rPr>
          <w:b/>
          <w:bCs/>
        </w:rPr>
        <w:t xml:space="preserve">persons with disabilities placed under guardianship and still residing in institutions; </w:t>
      </w:r>
    </w:p>
    <w:p w14:paraId="385EEF32" w14:textId="1F9584C6" w:rsidR="00872C78" w:rsidRPr="00076588" w:rsidRDefault="00FE6943" w:rsidP="00FE6943">
      <w:pPr>
        <w:pStyle w:val="SingleTxtG"/>
        <w:rPr>
          <w:b/>
          <w:bCs/>
        </w:rPr>
      </w:pPr>
      <w:r w:rsidRPr="00FE6943">
        <w:tab/>
      </w:r>
      <w:r w:rsidR="00872C78" w:rsidRPr="00FE6943">
        <w:t>(k)</w:t>
      </w:r>
      <w:r w:rsidR="00872C78" w:rsidRPr="00076588">
        <w:rPr>
          <w:b/>
          <w:bCs/>
        </w:rPr>
        <w:tab/>
        <w:t xml:space="preserve">To end institutionalization </w:t>
      </w:r>
      <w:r w:rsidR="00872C78">
        <w:rPr>
          <w:b/>
          <w:bCs/>
        </w:rPr>
        <w:t>for</w:t>
      </w:r>
      <w:r w:rsidR="00872C78" w:rsidRPr="00076588">
        <w:rPr>
          <w:b/>
          <w:bCs/>
        </w:rPr>
        <w:t xml:space="preserve"> all persons with disabilities, particularly by repealing from its legislation all forms of “specialized social care” that still allows for institutionalization on the basis of impairment, by providing for community-based support to live independently and by developing independent living arrangements that comply with the Convention;</w:t>
      </w:r>
    </w:p>
    <w:p w14:paraId="2D0B2DDA" w14:textId="46136B15" w:rsidR="00872C78" w:rsidRPr="00076588" w:rsidRDefault="00FE6943" w:rsidP="00FE6943">
      <w:pPr>
        <w:pStyle w:val="SingleTxtG"/>
        <w:rPr>
          <w:b/>
          <w:bCs/>
        </w:rPr>
      </w:pPr>
      <w:r w:rsidRPr="00FE6943">
        <w:tab/>
      </w:r>
      <w:r w:rsidR="00872C78" w:rsidRPr="00FE6943">
        <w:t>(l)</w:t>
      </w:r>
      <w:r w:rsidR="00872C78" w:rsidRPr="00076588">
        <w:rPr>
          <w:b/>
          <w:bCs/>
        </w:rPr>
        <w:tab/>
        <w:t>To repeal legislation, policies and practices that provide for institutionalization on the basis of age and impairment</w:t>
      </w:r>
      <w:r w:rsidR="00872C78">
        <w:rPr>
          <w:b/>
          <w:bCs/>
        </w:rPr>
        <w:t>, which</w:t>
      </w:r>
      <w:r w:rsidR="00872C78" w:rsidRPr="00076588">
        <w:rPr>
          <w:b/>
          <w:bCs/>
        </w:rPr>
        <w:t xml:space="preserve"> particularly </w:t>
      </w:r>
      <w:r w:rsidR="00872C78" w:rsidRPr="00C84C30">
        <w:rPr>
          <w:b/>
          <w:bCs/>
        </w:rPr>
        <w:t>affect</w:t>
      </w:r>
      <w:r w:rsidR="00872C78" w:rsidRPr="00472DD7">
        <w:rPr>
          <w:b/>
          <w:bCs/>
        </w:rPr>
        <w:t xml:space="preserve"> </w:t>
      </w:r>
      <w:r w:rsidR="00872C78" w:rsidRPr="00076588">
        <w:rPr>
          <w:b/>
          <w:bCs/>
        </w:rPr>
        <w:t xml:space="preserve">children with disabilities and older persons with disabilities, including by amending article 7 (2) of Act </w:t>
      </w:r>
      <w:r w:rsidR="00872C78">
        <w:rPr>
          <w:b/>
          <w:bCs/>
        </w:rPr>
        <w:t xml:space="preserve">No. </w:t>
      </w:r>
      <w:r w:rsidR="00872C78" w:rsidRPr="00076588">
        <w:rPr>
          <w:b/>
          <w:bCs/>
        </w:rPr>
        <w:t xml:space="preserve">XXXI of 1997 on </w:t>
      </w:r>
      <w:r w:rsidR="00872C78">
        <w:rPr>
          <w:b/>
          <w:bCs/>
        </w:rPr>
        <w:t xml:space="preserve">the </w:t>
      </w:r>
      <w:r w:rsidR="00872C78" w:rsidRPr="00472DD7">
        <w:rPr>
          <w:b/>
          <w:bCs/>
        </w:rPr>
        <w:t xml:space="preserve">protection </w:t>
      </w:r>
      <w:r w:rsidR="00872C78">
        <w:rPr>
          <w:b/>
          <w:bCs/>
        </w:rPr>
        <w:t xml:space="preserve">of </w:t>
      </w:r>
      <w:r w:rsidR="00872C78" w:rsidRPr="00472DD7">
        <w:rPr>
          <w:b/>
          <w:bCs/>
        </w:rPr>
        <w:t>child</w:t>
      </w:r>
      <w:r w:rsidR="00872C78">
        <w:rPr>
          <w:b/>
          <w:bCs/>
        </w:rPr>
        <w:t>ren</w:t>
      </w:r>
      <w:r w:rsidR="00872C78" w:rsidRPr="00472DD7">
        <w:rPr>
          <w:b/>
          <w:bCs/>
        </w:rPr>
        <w:t xml:space="preserve"> and </w:t>
      </w:r>
      <w:r w:rsidR="00872C78">
        <w:rPr>
          <w:b/>
          <w:bCs/>
        </w:rPr>
        <w:t xml:space="preserve">the </w:t>
      </w:r>
      <w:r w:rsidR="00872C78" w:rsidRPr="00472DD7">
        <w:rPr>
          <w:b/>
          <w:bCs/>
        </w:rPr>
        <w:t xml:space="preserve">administration </w:t>
      </w:r>
      <w:r w:rsidR="00872C78">
        <w:rPr>
          <w:b/>
          <w:bCs/>
        </w:rPr>
        <w:t xml:space="preserve">of guardianship </w:t>
      </w:r>
      <w:r w:rsidR="00872C78" w:rsidRPr="00076588">
        <w:rPr>
          <w:b/>
          <w:bCs/>
        </w:rPr>
        <w:t>(</w:t>
      </w:r>
      <w:r w:rsidR="00872C78">
        <w:rPr>
          <w:b/>
          <w:bCs/>
        </w:rPr>
        <w:t>the</w:t>
      </w:r>
      <w:r w:rsidR="00872C78" w:rsidRPr="00076588">
        <w:rPr>
          <w:b/>
          <w:bCs/>
        </w:rPr>
        <w:t xml:space="preserve"> Child Protection Act) and ending the practice of </w:t>
      </w:r>
      <w:r w:rsidR="00872C78">
        <w:rPr>
          <w:b/>
          <w:bCs/>
        </w:rPr>
        <w:t>turning</w:t>
      </w:r>
      <w:r w:rsidR="00872C78" w:rsidRPr="00076588">
        <w:rPr>
          <w:b/>
          <w:bCs/>
        </w:rPr>
        <w:t xml:space="preserve"> large-scale institutions into retirement homes and the transinstitutionalization of older persons with disabilities to </w:t>
      </w:r>
      <w:r w:rsidR="00872C78">
        <w:rPr>
          <w:b/>
          <w:bCs/>
        </w:rPr>
        <w:t>such homes</w:t>
      </w:r>
      <w:r w:rsidR="00872C78" w:rsidRPr="00076588">
        <w:rPr>
          <w:b/>
          <w:bCs/>
        </w:rPr>
        <w:t xml:space="preserve">; </w:t>
      </w:r>
    </w:p>
    <w:p w14:paraId="20EAD21F" w14:textId="71FFE595" w:rsidR="00872C78" w:rsidRPr="00076588" w:rsidRDefault="00FE6943" w:rsidP="00FE6943">
      <w:pPr>
        <w:pStyle w:val="SingleTxtG"/>
        <w:rPr>
          <w:b/>
          <w:bCs/>
        </w:rPr>
      </w:pPr>
      <w:r w:rsidRPr="00FE6943">
        <w:tab/>
      </w:r>
      <w:r w:rsidR="00872C78" w:rsidRPr="00FE6943">
        <w:t>(m)</w:t>
      </w:r>
      <w:r w:rsidR="00872C78" w:rsidRPr="00076588">
        <w:rPr>
          <w:b/>
          <w:bCs/>
        </w:rPr>
        <w:tab/>
        <w:t xml:space="preserve">To remove all elements of institutionalization from its programmes to transfer persons with disabilities from large-scale to small-scale institutions (supported housing) and </w:t>
      </w:r>
      <w:r w:rsidR="00872C78">
        <w:rPr>
          <w:b/>
          <w:bCs/>
        </w:rPr>
        <w:t xml:space="preserve">to </w:t>
      </w:r>
      <w:r w:rsidR="00872C78" w:rsidRPr="00076588">
        <w:rPr>
          <w:b/>
          <w:bCs/>
        </w:rPr>
        <w:t>ensure that programmes aimed at deinstitutionalization respect the autonomy, will and preferences of persons with disabilities and their right to choose where and with whom to live</w:t>
      </w:r>
      <w:r w:rsidR="00872C78">
        <w:rPr>
          <w:b/>
          <w:bCs/>
        </w:rPr>
        <w:t>,</w:t>
      </w:r>
      <w:r w:rsidR="00872C78" w:rsidRPr="00076588">
        <w:rPr>
          <w:b/>
          <w:bCs/>
        </w:rPr>
        <w:t xml:space="preserve"> and are in line with the Committee’s general comment No. 5 (2017) on living independently and being included in the community and the Committee’s guidelines on deinstitutionalization</w:t>
      </w:r>
      <w:r w:rsidR="00872C78">
        <w:rPr>
          <w:b/>
          <w:bCs/>
        </w:rPr>
        <w:t>,</w:t>
      </w:r>
      <w:r w:rsidR="00872C78" w:rsidRPr="00076588">
        <w:rPr>
          <w:b/>
          <w:bCs/>
        </w:rPr>
        <w:t xml:space="preserve"> including during emergencies;</w:t>
      </w:r>
      <w:r w:rsidR="00872C78" w:rsidRPr="008A30E4">
        <w:rPr>
          <w:rStyle w:val="FootnoteReference"/>
        </w:rPr>
        <w:footnoteReference w:id="29"/>
      </w:r>
    </w:p>
    <w:p w14:paraId="6B8BC580" w14:textId="011786FC" w:rsidR="00872C78" w:rsidRPr="00076588" w:rsidRDefault="00FE6943" w:rsidP="00FE6943">
      <w:pPr>
        <w:pStyle w:val="SingleTxtG"/>
        <w:rPr>
          <w:b/>
          <w:bCs/>
        </w:rPr>
      </w:pPr>
      <w:r w:rsidRPr="00FE6943">
        <w:tab/>
      </w:r>
      <w:r w:rsidR="00872C78" w:rsidRPr="00FE6943">
        <w:t>(n)</w:t>
      </w:r>
      <w:r w:rsidR="00872C78" w:rsidRPr="00076588">
        <w:rPr>
          <w:b/>
          <w:bCs/>
        </w:rPr>
        <w:tab/>
        <w:t>To prevent any further placement of persons with disabilities in any institutional settings by halting programmes that develop institutions</w:t>
      </w:r>
      <w:r w:rsidR="00872C78">
        <w:rPr>
          <w:b/>
          <w:bCs/>
        </w:rPr>
        <w:t>,</w:t>
      </w:r>
      <w:r w:rsidR="00872C78" w:rsidRPr="00076588">
        <w:rPr>
          <w:b/>
          <w:bCs/>
        </w:rPr>
        <w:t xml:space="preserve"> including supported housing; </w:t>
      </w:r>
    </w:p>
    <w:p w14:paraId="6C24C253" w14:textId="7EA21CC7" w:rsidR="00872C78" w:rsidRPr="00076588" w:rsidRDefault="00FE6943" w:rsidP="00FE6943">
      <w:pPr>
        <w:pStyle w:val="SingleTxtG"/>
        <w:rPr>
          <w:b/>
          <w:bCs/>
        </w:rPr>
      </w:pPr>
      <w:r>
        <w:rPr>
          <w:b/>
          <w:bCs/>
        </w:rPr>
        <w:tab/>
      </w:r>
      <w:r w:rsidR="00872C78" w:rsidRPr="00FE6943">
        <w:t>(o)</w:t>
      </w:r>
      <w:r w:rsidR="00872C78" w:rsidRPr="00076588">
        <w:rPr>
          <w:b/>
          <w:bCs/>
        </w:rPr>
        <w:tab/>
        <w:t xml:space="preserve">To provide remedies and reparations for persons with disabilities seeking redress for their institutionalization that include pecuniary and non-pecuniary reparations and </w:t>
      </w:r>
      <w:r w:rsidR="00872C78">
        <w:rPr>
          <w:b/>
          <w:bCs/>
        </w:rPr>
        <w:t>to</w:t>
      </w:r>
      <w:r w:rsidR="00872C78" w:rsidRPr="00076588">
        <w:rPr>
          <w:b/>
          <w:bCs/>
        </w:rPr>
        <w:t xml:space="preserve"> ensure access to justice for persons with disabilities </w:t>
      </w:r>
      <w:r w:rsidR="00872C78">
        <w:rPr>
          <w:b/>
          <w:bCs/>
        </w:rPr>
        <w:t xml:space="preserve">who are </w:t>
      </w:r>
      <w:r w:rsidR="00872C78" w:rsidRPr="00076588">
        <w:rPr>
          <w:b/>
          <w:bCs/>
        </w:rPr>
        <w:t xml:space="preserve">survivors of deinstitutionalization; </w:t>
      </w:r>
    </w:p>
    <w:p w14:paraId="593FC9AF" w14:textId="2C36F715" w:rsidR="00872C78" w:rsidRPr="00076588" w:rsidRDefault="00FE6943" w:rsidP="00FE6943">
      <w:pPr>
        <w:pStyle w:val="SingleTxtG"/>
        <w:rPr>
          <w:b/>
          <w:bCs/>
        </w:rPr>
      </w:pPr>
      <w:r w:rsidRPr="00FE6943">
        <w:tab/>
      </w:r>
      <w:r w:rsidR="00872C78" w:rsidRPr="00FE6943">
        <w:t>(p)</w:t>
      </w:r>
      <w:r w:rsidR="00872C78" w:rsidRPr="00076588">
        <w:rPr>
          <w:b/>
          <w:bCs/>
        </w:rPr>
        <w:tab/>
        <w:t xml:space="preserve">To eradicate forced contraception and forced abortion </w:t>
      </w:r>
      <w:r w:rsidR="00872C78">
        <w:rPr>
          <w:b/>
          <w:bCs/>
        </w:rPr>
        <w:t>for</w:t>
      </w:r>
      <w:r w:rsidR="00872C78" w:rsidRPr="00076588">
        <w:rPr>
          <w:b/>
          <w:bCs/>
        </w:rPr>
        <w:t xml:space="preserve"> women with disabilities, especially those in institutions, and </w:t>
      </w:r>
      <w:r w:rsidR="00872C78">
        <w:rPr>
          <w:b/>
          <w:bCs/>
        </w:rPr>
        <w:t xml:space="preserve">to </w:t>
      </w:r>
      <w:r w:rsidR="00872C78" w:rsidRPr="00076588">
        <w:rPr>
          <w:b/>
          <w:bCs/>
        </w:rPr>
        <w:t>take measures to ensure that they can fully exercise their right to sexual and reproductive health;</w:t>
      </w:r>
    </w:p>
    <w:p w14:paraId="7F292F30" w14:textId="53B19826" w:rsidR="00872C78" w:rsidRPr="00076588" w:rsidRDefault="00FE6943" w:rsidP="00FE6943">
      <w:pPr>
        <w:pStyle w:val="SingleTxtG"/>
        <w:rPr>
          <w:b/>
          <w:bCs/>
        </w:rPr>
      </w:pPr>
      <w:r w:rsidRPr="00FE6943">
        <w:tab/>
      </w:r>
      <w:r w:rsidR="00872C78" w:rsidRPr="00FE6943">
        <w:t>(q)</w:t>
      </w:r>
      <w:r w:rsidR="00872C78" w:rsidRPr="00FE6943">
        <w:tab/>
      </w:r>
      <w:r w:rsidR="00872C78" w:rsidRPr="00076588">
        <w:rPr>
          <w:b/>
          <w:bCs/>
        </w:rPr>
        <w:t xml:space="preserve">To develop a system of support for </w:t>
      </w:r>
      <w:r w:rsidR="00872C78">
        <w:rPr>
          <w:b/>
          <w:bCs/>
        </w:rPr>
        <w:t xml:space="preserve">living </w:t>
      </w:r>
      <w:r w:rsidR="00872C78" w:rsidRPr="00076588">
        <w:rPr>
          <w:b/>
          <w:bCs/>
        </w:rPr>
        <w:t>independent</w:t>
      </w:r>
      <w:r w:rsidR="00872C78">
        <w:rPr>
          <w:b/>
          <w:bCs/>
        </w:rPr>
        <w:t>ly and being included in the community</w:t>
      </w:r>
      <w:r w:rsidR="00872C78" w:rsidRPr="00076588">
        <w:rPr>
          <w:b/>
          <w:bCs/>
        </w:rPr>
        <w:t xml:space="preserve"> that includes a range of individualized support and personal assistance for persons with disabilities in the community, outside institutional settings, and </w:t>
      </w:r>
      <w:r w:rsidR="00872C78">
        <w:rPr>
          <w:b/>
          <w:bCs/>
        </w:rPr>
        <w:t xml:space="preserve">to </w:t>
      </w:r>
      <w:r w:rsidR="00872C78" w:rsidRPr="00076588">
        <w:rPr>
          <w:b/>
          <w:bCs/>
        </w:rPr>
        <w:t>allocate appropriate human, financial and technical resources to th</w:t>
      </w:r>
      <w:r w:rsidR="00872C78">
        <w:rPr>
          <w:b/>
          <w:bCs/>
        </w:rPr>
        <w:t>at end, by:</w:t>
      </w:r>
      <w:r w:rsidR="00872C78" w:rsidRPr="00076588">
        <w:rPr>
          <w:b/>
          <w:bCs/>
        </w:rPr>
        <w:t xml:space="preserve"> </w:t>
      </w:r>
    </w:p>
    <w:p w14:paraId="6A0444DD" w14:textId="77777777" w:rsidR="00872C78" w:rsidRPr="00076588" w:rsidRDefault="00872C78" w:rsidP="00FE6943">
      <w:pPr>
        <w:pStyle w:val="SingleTxtG"/>
        <w:ind w:left="1701"/>
        <w:rPr>
          <w:b/>
          <w:bCs/>
        </w:rPr>
      </w:pPr>
      <w:r w:rsidRPr="00FE6943">
        <w:t>(i)</w:t>
      </w:r>
      <w:r w:rsidRPr="00FE6943">
        <w:tab/>
      </w:r>
      <w:r w:rsidRPr="00076588">
        <w:rPr>
          <w:b/>
          <w:bCs/>
        </w:rPr>
        <w:t>Allocat</w:t>
      </w:r>
      <w:r>
        <w:rPr>
          <w:b/>
          <w:bCs/>
        </w:rPr>
        <w:t>ing</w:t>
      </w:r>
      <w:r w:rsidRPr="00076588">
        <w:rPr>
          <w:b/>
          <w:bCs/>
        </w:rPr>
        <w:t xml:space="preserve"> sufficient resources to the development of self-managed personal assistance;</w:t>
      </w:r>
    </w:p>
    <w:p w14:paraId="40D2B903" w14:textId="77777777" w:rsidR="00872C78" w:rsidRPr="00076588" w:rsidRDefault="00872C78" w:rsidP="00FE6943">
      <w:pPr>
        <w:pStyle w:val="SingleTxtG"/>
        <w:ind w:left="1701"/>
        <w:rPr>
          <w:b/>
          <w:bCs/>
        </w:rPr>
      </w:pPr>
      <w:r w:rsidRPr="00FE6943">
        <w:t>(ii)</w:t>
      </w:r>
      <w:r w:rsidRPr="00076588">
        <w:rPr>
          <w:b/>
          <w:bCs/>
        </w:rPr>
        <w:tab/>
        <w:t>Ensur</w:t>
      </w:r>
      <w:r>
        <w:rPr>
          <w:b/>
          <w:bCs/>
        </w:rPr>
        <w:t>ing</w:t>
      </w:r>
      <w:r w:rsidRPr="00076588">
        <w:rPr>
          <w:b/>
          <w:bCs/>
        </w:rPr>
        <w:t xml:space="preserve"> appropriate training on individualized support in compliance with the Convention;</w:t>
      </w:r>
    </w:p>
    <w:p w14:paraId="6F10830D" w14:textId="77777777" w:rsidR="00872C78" w:rsidRPr="00076588" w:rsidRDefault="00872C78" w:rsidP="00FE6943">
      <w:pPr>
        <w:pStyle w:val="SingleTxtG"/>
        <w:ind w:left="1701"/>
        <w:rPr>
          <w:b/>
          <w:bCs/>
        </w:rPr>
      </w:pPr>
      <w:r w:rsidRPr="00FE6943">
        <w:t>(iii)</w:t>
      </w:r>
      <w:r w:rsidRPr="00076588">
        <w:rPr>
          <w:b/>
          <w:bCs/>
        </w:rPr>
        <w:tab/>
        <w:t>Reorient</w:t>
      </w:r>
      <w:r>
        <w:rPr>
          <w:b/>
          <w:bCs/>
        </w:rPr>
        <w:t>ing</w:t>
      </w:r>
      <w:r w:rsidRPr="00076588">
        <w:rPr>
          <w:b/>
          <w:bCs/>
        </w:rPr>
        <w:t xml:space="preserve"> the investment of public funds – including </w:t>
      </w:r>
      <w:r>
        <w:rPr>
          <w:b/>
          <w:bCs/>
        </w:rPr>
        <w:t xml:space="preserve">the allocation of </w:t>
      </w:r>
      <w:r w:rsidRPr="00076588">
        <w:rPr>
          <w:b/>
          <w:bCs/>
        </w:rPr>
        <w:t xml:space="preserve">European structural and investment funds – from institutions to support in the community by accelerating the development of a full range of in-home and other community services offering support in daily life, including personal assistance, and other forms of supported decision-making; </w:t>
      </w:r>
    </w:p>
    <w:p w14:paraId="67807731" w14:textId="77777777" w:rsidR="00872C78" w:rsidRPr="00076588" w:rsidRDefault="00872C78" w:rsidP="00FE6943">
      <w:pPr>
        <w:pStyle w:val="SingleTxtG"/>
        <w:ind w:left="1701"/>
        <w:rPr>
          <w:b/>
          <w:bCs/>
        </w:rPr>
      </w:pPr>
      <w:r w:rsidRPr="00FE6943">
        <w:t>(iv)</w:t>
      </w:r>
      <w:r w:rsidRPr="00076588">
        <w:rPr>
          <w:b/>
          <w:bCs/>
        </w:rPr>
        <w:tab/>
        <w:t>Review</w:t>
      </w:r>
      <w:r>
        <w:rPr>
          <w:b/>
          <w:bCs/>
        </w:rPr>
        <w:t>ing</w:t>
      </w:r>
      <w:r w:rsidRPr="00076588">
        <w:rPr>
          <w:b/>
          <w:bCs/>
        </w:rPr>
        <w:t xml:space="preserve"> the system of disability entitlements by ensuring adequate social protection of persons with disabilities and their families</w:t>
      </w:r>
      <w:r>
        <w:rPr>
          <w:b/>
          <w:bCs/>
        </w:rPr>
        <w:t>,</w:t>
      </w:r>
      <w:r w:rsidRPr="00076588">
        <w:rPr>
          <w:b/>
          <w:bCs/>
        </w:rPr>
        <w:t xml:space="preserve"> without discrimination, particularly in relation to the recognition of disability-related expenses, by adapting, expanding and </w:t>
      </w:r>
      <w:r w:rsidRPr="00BF1948">
        <w:rPr>
          <w:b/>
          <w:bCs/>
        </w:rPr>
        <w:t>periodically</w:t>
      </w:r>
      <w:r w:rsidRPr="00627F7E">
        <w:rPr>
          <w:b/>
          <w:bCs/>
        </w:rPr>
        <w:t xml:space="preserve"> </w:t>
      </w:r>
      <w:r w:rsidRPr="00076588">
        <w:rPr>
          <w:b/>
          <w:bCs/>
        </w:rPr>
        <w:t>reviewing the social protection floors for persons with disabilities</w:t>
      </w:r>
      <w:r>
        <w:rPr>
          <w:b/>
          <w:bCs/>
        </w:rPr>
        <w:t>;</w:t>
      </w:r>
      <w:r w:rsidRPr="00076588">
        <w:rPr>
          <w:b/>
          <w:bCs/>
        </w:rPr>
        <w:t xml:space="preserve"> </w:t>
      </w:r>
    </w:p>
    <w:p w14:paraId="46697B2D" w14:textId="7D863ECA" w:rsidR="00872C78" w:rsidRPr="00076588" w:rsidRDefault="00FE6943" w:rsidP="00FE6943">
      <w:pPr>
        <w:pStyle w:val="SingleTxtG"/>
        <w:rPr>
          <w:b/>
          <w:bCs/>
        </w:rPr>
      </w:pPr>
      <w:r w:rsidRPr="00FE6943">
        <w:tab/>
      </w:r>
      <w:r w:rsidR="00872C78" w:rsidRPr="00FE6943">
        <w:t>(r)</w:t>
      </w:r>
      <w:r w:rsidR="00872C78" w:rsidRPr="00076588">
        <w:rPr>
          <w:b/>
          <w:bCs/>
        </w:rPr>
        <w:tab/>
        <w:t>To exclude from the concept of community-based services any form of refurbishment of institutions or group homes or construction of supported housing;</w:t>
      </w:r>
    </w:p>
    <w:p w14:paraId="57A74829" w14:textId="2223CF1C" w:rsidR="00872C78" w:rsidRPr="00076588" w:rsidRDefault="00FE6943" w:rsidP="00FE6943">
      <w:pPr>
        <w:pStyle w:val="SingleTxtG"/>
        <w:rPr>
          <w:b/>
          <w:bCs/>
        </w:rPr>
      </w:pPr>
      <w:r>
        <w:rPr>
          <w:b/>
          <w:bCs/>
        </w:rPr>
        <w:tab/>
      </w:r>
      <w:r w:rsidR="00872C78" w:rsidRPr="00FE6943">
        <w:t>(s)</w:t>
      </w:r>
      <w:r w:rsidR="00872C78" w:rsidRPr="00076588">
        <w:rPr>
          <w:b/>
          <w:bCs/>
        </w:rPr>
        <w:tab/>
        <w:t>To mainstream disability inclusion into general public policies related to education, health, employment and housing and incorporate the concept</w:t>
      </w:r>
      <w:r w:rsidR="00872C78">
        <w:rPr>
          <w:b/>
          <w:bCs/>
        </w:rPr>
        <w:t>s</w:t>
      </w:r>
      <w:r w:rsidR="00872C78" w:rsidRPr="00076588">
        <w:rPr>
          <w:b/>
          <w:bCs/>
        </w:rPr>
        <w:t xml:space="preserve"> of inclusion</w:t>
      </w:r>
      <w:r w:rsidR="00872C78">
        <w:rPr>
          <w:b/>
          <w:bCs/>
        </w:rPr>
        <w:t>,</w:t>
      </w:r>
      <w:r w:rsidR="00872C78" w:rsidRPr="00076588">
        <w:rPr>
          <w:b/>
          <w:bCs/>
        </w:rPr>
        <w:t xml:space="preserve"> inclusive education and reasonable accommodation in relevant legislation concerning education; </w:t>
      </w:r>
    </w:p>
    <w:p w14:paraId="47882C6E" w14:textId="52CD253C" w:rsidR="00872C78" w:rsidRPr="00076588" w:rsidRDefault="00FE6943" w:rsidP="00FE6943">
      <w:pPr>
        <w:pStyle w:val="SingleTxtG"/>
        <w:rPr>
          <w:b/>
          <w:bCs/>
        </w:rPr>
      </w:pPr>
      <w:r w:rsidRPr="00FE6943">
        <w:tab/>
      </w:r>
      <w:r w:rsidR="00872C78" w:rsidRPr="00FE6943">
        <w:t>(t)</w:t>
      </w:r>
      <w:r w:rsidR="00872C78" w:rsidRPr="00076588">
        <w:rPr>
          <w:b/>
          <w:bCs/>
        </w:rPr>
        <w:tab/>
        <w:t xml:space="preserve">To ensure that legislative, strategic and methodological materials pursue the implementation of inclusive education that goes beyond integration and provide adequate training to teachers about quality inclusive education and alternative communication methods; </w:t>
      </w:r>
    </w:p>
    <w:p w14:paraId="4E1D4224" w14:textId="231A5440" w:rsidR="00872C78" w:rsidRPr="00076588" w:rsidRDefault="00FE6943" w:rsidP="00FE6943">
      <w:pPr>
        <w:pStyle w:val="SingleTxtG"/>
        <w:rPr>
          <w:b/>
          <w:bCs/>
        </w:rPr>
      </w:pPr>
      <w:r w:rsidRPr="00FE6943">
        <w:tab/>
      </w:r>
      <w:r w:rsidR="00872C78" w:rsidRPr="00FE6943">
        <w:t>(u)</w:t>
      </w:r>
      <w:r w:rsidR="00872C78" w:rsidRPr="00076588">
        <w:rPr>
          <w:b/>
          <w:bCs/>
        </w:rPr>
        <w:tab/>
        <w:t xml:space="preserve">To ensure that children requiring high levels of support have access to quality inclusive education, without discrimination; </w:t>
      </w:r>
    </w:p>
    <w:p w14:paraId="537F322C" w14:textId="08EE5200" w:rsidR="00872C78" w:rsidRPr="00076588" w:rsidRDefault="00FE6943" w:rsidP="00FE6943">
      <w:pPr>
        <w:pStyle w:val="SingleTxtG"/>
        <w:rPr>
          <w:b/>
          <w:bCs/>
        </w:rPr>
      </w:pPr>
      <w:r>
        <w:tab/>
      </w:r>
      <w:r w:rsidR="00872C78" w:rsidRPr="00FE6943">
        <w:t>(v)</w:t>
      </w:r>
      <w:r w:rsidR="00872C78" w:rsidRPr="00FE6943">
        <w:tab/>
      </w:r>
      <w:r w:rsidR="00872C78" w:rsidRPr="00076588">
        <w:rPr>
          <w:b/>
          <w:bCs/>
        </w:rPr>
        <w:t>To ensure that support measures at mainstream schools are provided in an individuali</w:t>
      </w:r>
      <w:r w:rsidR="00872C78">
        <w:rPr>
          <w:b/>
          <w:bCs/>
        </w:rPr>
        <w:t>z</w:t>
      </w:r>
      <w:r w:rsidR="00872C78" w:rsidRPr="00076588">
        <w:rPr>
          <w:b/>
          <w:bCs/>
        </w:rPr>
        <w:t>ed, flexible manner in accordance with the children</w:t>
      </w:r>
      <w:r w:rsidR="00872C78">
        <w:rPr>
          <w:b/>
          <w:bCs/>
        </w:rPr>
        <w:t>’</w:t>
      </w:r>
      <w:r w:rsidR="00872C78" w:rsidRPr="00076588">
        <w:rPr>
          <w:b/>
          <w:bCs/>
        </w:rPr>
        <w:t>s right to reasonable accommodation and by using the maximum of available resources</w:t>
      </w:r>
      <w:r w:rsidR="00872C78">
        <w:rPr>
          <w:b/>
          <w:bCs/>
        </w:rPr>
        <w:t>;</w:t>
      </w:r>
      <w:r w:rsidR="00872C78" w:rsidRPr="00076588">
        <w:rPr>
          <w:b/>
          <w:bCs/>
        </w:rPr>
        <w:t xml:space="preserve"> </w:t>
      </w:r>
    </w:p>
    <w:p w14:paraId="51B4ACAE" w14:textId="39CC7310" w:rsidR="00872C78" w:rsidRPr="00076588" w:rsidRDefault="00FE6943" w:rsidP="00FE6943">
      <w:pPr>
        <w:pStyle w:val="SingleTxtG"/>
        <w:rPr>
          <w:b/>
          <w:bCs/>
        </w:rPr>
      </w:pPr>
      <w:r>
        <w:tab/>
      </w:r>
      <w:r w:rsidR="00872C78" w:rsidRPr="00FE6943">
        <w:t>(w)</w:t>
      </w:r>
      <w:r w:rsidR="00872C78" w:rsidRPr="00076588">
        <w:rPr>
          <w:b/>
          <w:bCs/>
        </w:rPr>
        <w:tab/>
        <w:t>To establish effective and prompt complaint mechanisms providing real redress in cases of violations of the requirements of inclusive education, with particular regard to the provision of reasonable accommodation and educational segregation, including forced home-schooling, on the ground of disability</w:t>
      </w:r>
      <w:r w:rsidR="00872C78">
        <w:rPr>
          <w:b/>
          <w:bCs/>
        </w:rPr>
        <w:t>;</w:t>
      </w:r>
    </w:p>
    <w:p w14:paraId="1B51823A" w14:textId="7366F4F7" w:rsidR="00872C78" w:rsidRPr="00076588" w:rsidRDefault="00FE6943" w:rsidP="00FE6943">
      <w:pPr>
        <w:pStyle w:val="SingleTxtG"/>
        <w:rPr>
          <w:b/>
          <w:bCs/>
        </w:rPr>
      </w:pPr>
      <w:r w:rsidRPr="00FE6943">
        <w:tab/>
      </w:r>
      <w:r w:rsidR="00872C78" w:rsidRPr="00FE6943">
        <w:t>(x)</w:t>
      </w:r>
      <w:r w:rsidR="00872C78" w:rsidRPr="00076588">
        <w:rPr>
          <w:b/>
          <w:bCs/>
        </w:rPr>
        <w:tab/>
        <w:t xml:space="preserve">To adopt a comprehensive strategy to ensure employment and income-generation opportunities for persons with disabilities in the open labour market, without discrimination, and </w:t>
      </w:r>
      <w:r w:rsidR="00872C78">
        <w:rPr>
          <w:b/>
          <w:bCs/>
        </w:rPr>
        <w:t xml:space="preserve">to </w:t>
      </w:r>
      <w:r w:rsidR="00872C78" w:rsidRPr="00076588">
        <w:rPr>
          <w:b/>
          <w:bCs/>
        </w:rPr>
        <w:t>move away from sheltered employment;</w:t>
      </w:r>
    </w:p>
    <w:p w14:paraId="20FDBDF1" w14:textId="4FD0A4DC" w:rsidR="00872C78" w:rsidRPr="00076588" w:rsidRDefault="00FE6943" w:rsidP="00FE6943">
      <w:pPr>
        <w:pStyle w:val="SingleTxtG"/>
        <w:rPr>
          <w:b/>
          <w:bCs/>
        </w:rPr>
      </w:pPr>
      <w:r w:rsidRPr="00FE6943">
        <w:tab/>
      </w:r>
      <w:r w:rsidR="00872C78" w:rsidRPr="00FE6943">
        <w:t>(y)</w:t>
      </w:r>
      <w:r w:rsidR="00872C78" w:rsidRPr="00076588">
        <w:rPr>
          <w:b/>
          <w:bCs/>
        </w:rPr>
        <w:tab/>
        <w:t xml:space="preserve">To ensure that reasonable accommodation is provided to persons with disabilities in employment and in all other areas of life and </w:t>
      </w:r>
      <w:r w:rsidR="00872C78">
        <w:rPr>
          <w:b/>
          <w:bCs/>
        </w:rPr>
        <w:t xml:space="preserve">to </w:t>
      </w:r>
      <w:r w:rsidR="00872C78" w:rsidRPr="00076588">
        <w:rPr>
          <w:b/>
          <w:bCs/>
        </w:rPr>
        <w:t xml:space="preserve">incorporate the denial of reasonable accommodation as a form of discrimination in </w:t>
      </w:r>
      <w:r w:rsidR="00872C78" w:rsidRPr="00357327">
        <w:rPr>
          <w:b/>
          <w:bCs/>
        </w:rPr>
        <w:t xml:space="preserve">Act </w:t>
      </w:r>
      <w:r w:rsidR="00872C78">
        <w:rPr>
          <w:b/>
          <w:bCs/>
        </w:rPr>
        <w:t xml:space="preserve">No. </w:t>
      </w:r>
      <w:r w:rsidR="00872C78" w:rsidRPr="00357327">
        <w:rPr>
          <w:b/>
          <w:bCs/>
        </w:rPr>
        <w:t xml:space="preserve">CXXV of 2003 on equal treatment and promotion of equal opportunities </w:t>
      </w:r>
      <w:r w:rsidR="00872C78">
        <w:rPr>
          <w:b/>
          <w:bCs/>
        </w:rPr>
        <w:t>(</w:t>
      </w:r>
      <w:r w:rsidR="00872C78" w:rsidRPr="00076588">
        <w:rPr>
          <w:b/>
          <w:bCs/>
        </w:rPr>
        <w:t>the Equal Treatment</w:t>
      </w:r>
      <w:r w:rsidR="00872C78">
        <w:rPr>
          <w:b/>
          <w:bCs/>
        </w:rPr>
        <w:t xml:space="preserve"> Act)</w:t>
      </w:r>
      <w:r w:rsidR="00872C78" w:rsidRPr="00076588">
        <w:rPr>
          <w:b/>
          <w:bCs/>
        </w:rPr>
        <w:t xml:space="preserve">; </w:t>
      </w:r>
    </w:p>
    <w:p w14:paraId="416C9C58" w14:textId="1AE16DD6" w:rsidR="00872C78" w:rsidRPr="00076588" w:rsidRDefault="00FE6943" w:rsidP="00FE6943">
      <w:pPr>
        <w:pStyle w:val="SingleTxtG"/>
        <w:rPr>
          <w:b/>
          <w:bCs/>
        </w:rPr>
      </w:pPr>
      <w:r w:rsidRPr="00FE6943">
        <w:tab/>
      </w:r>
      <w:r w:rsidR="00872C78" w:rsidRPr="00FE6943">
        <w:t>(z)</w:t>
      </w:r>
      <w:r w:rsidR="00872C78" w:rsidRPr="00076588">
        <w:rPr>
          <w:b/>
          <w:bCs/>
        </w:rPr>
        <w:tab/>
        <w:t xml:space="preserve">To ensure </w:t>
      </w:r>
      <w:r w:rsidR="00872C78">
        <w:rPr>
          <w:b/>
          <w:bCs/>
        </w:rPr>
        <w:t xml:space="preserve">the </w:t>
      </w:r>
      <w:r w:rsidR="00872C78" w:rsidRPr="00076588">
        <w:rPr>
          <w:b/>
          <w:bCs/>
        </w:rPr>
        <w:t>functional and budgetary independence of the National Council on Disability</w:t>
      </w:r>
      <w:r w:rsidR="00872C78">
        <w:rPr>
          <w:b/>
          <w:bCs/>
        </w:rPr>
        <w:t>,</w:t>
      </w:r>
      <w:r w:rsidR="00872C78" w:rsidRPr="00076588">
        <w:rPr>
          <w:b/>
          <w:bCs/>
        </w:rPr>
        <w:t xml:space="preserve"> in particular that it meets regularly, that it includes accountability mechanisms, that it provides information and methodologies on accessible formats and that its proposals are given due weight in the planning and developing of </w:t>
      </w:r>
      <w:r w:rsidR="009216D5" w:rsidRPr="00076588">
        <w:rPr>
          <w:b/>
          <w:bCs/>
        </w:rPr>
        <w:t>public</w:t>
      </w:r>
      <w:r w:rsidR="00872C78" w:rsidRPr="00076588">
        <w:rPr>
          <w:b/>
          <w:bCs/>
        </w:rPr>
        <w:t xml:space="preserve"> policies and measures to implement the Convention and the Committee’s recommendations;</w:t>
      </w:r>
    </w:p>
    <w:p w14:paraId="7EB6B4FB" w14:textId="59B3A4C0" w:rsidR="00872C78" w:rsidRPr="00076588" w:rsidRDefault="00FE6943" w:rsidP="00FE6943">
      <w:pPr>
        <w:pStyle w:val="SingleTxtG"/>
        <w:rPr>
          <w:b/>
          <w:bCs/>
        </w:rPr>
      </w:pPr>
      <w:r w:rsidRPr="00FE6943">
        <w:tab/>
      </w:r>
      <w:r w:rsidR="00872C78" w:rsidRPr="00FE6943">
        <w:t>(aa)</w:t>
      </w:r>
      <w:r w:rsidR="00872C78" w:rsidRPr="00FE6943">
        <w:tab/>
      </w:r>
      <w:r w:rsidR="00872C78" w:rsidRPr="00076588">
        <w:rPr>
          <w:b/>
          <w:bCs/>
        </w:rPr>
        <w:t xml:space="preserve">To ensure the independence of the Office of the Commissioner for Fundamental Rights in line with the principles relating to the status of national institutions for </w:t>
      </w:r>
      <w:r w:rsidR="00872C78">
        <w:rPr>
          <w:b/>
          <w:bCs/>
        </w:rPr>
        <w:t xml:space="preserve">the promotion and </w:t>
      </w:r>
      <w:r w:rsidR="00872C78" w:rsidRPr="00076588">
        <w:rPr>
          <w:b/>
          <w:bCs/>
        </w:rPr>
        <w:t>protection of human rights (the Paris Principles) and that it fulfils its mandate being guided by the Convention, the Committee’s views on individual communications, its general comments and guidelines</w:t>
      </w:r>
      <w:r w:rsidR="00872C78">
        <w:rPr>
          <w:b/>
          <w:bCs/>
        </w:rPr>
        <w:t>, and to</w:t>
      </w:r>
      <w:r w:rsidR="00872C78" w:rsidRPr="00076588">
        <w:rPr>
          <w:b/>
          <w:bCs/>
        </w:rPr>
        <w:t xml:space="preserve"> </w:t>
      </w:r>
      <w:r w:rsidR="00872C78">
        <w:rPr>
          <w:b/>
          <w:bCs/>
        </w:rPr>
        <w:t>t</w:t>
      </w:r>
      <w:r w:rsidR="00872C78" w:rsidRPr="00076588">
        <w:rPr>
          <w:b/>
          <w:bCs/>
        </w:rPr>
        <w:t xml:space="preserve">ake measures to ensure the close consultation </w:t>
      </w:r>
      <w:r w:rsidR="00872C78">
        <w:rPr>
          <w:b/>
          <w:bCs/>
        </w:rPr>
        <w:t xml:space="preserve">with </w:t>
      </w:r>
      <w:r w:rsidR="00872C78" w:rsidRPr="00076588">
        <w:rPr>
          <w:b/>
          <w:bCs/>
        </w:rPr>
        <w:t xml:space="preserve">and active involvement </w:t>
      </w:r>
      <w:r w:rsidR="00872C78">
        <w:rPr>
          <w:b/>
          <w:bCs/>
        </w:rPr>
        <w:t xml:space="preserve">of </w:t>
      </w:r>
      <w:r w:rsidR="00872C78" w:rsidRPr="00076588">
        <w:rPr>
          <w:b/>
          <w:bCs/>
        </w:rPr>
        <w:t xml:space="preserve">persons with disabilities and their representative organizations </w:t>
      </w:r>
      <w:r w:rsidR="00872C78" w:rsidRPr="005963B3">
        <w:rPr>
          <w:b/>
          <w:bCs/>
        </w:rPr>
        <w:t>in the work of the Office of the Commissioner for Human Rights and its disability advisory board</w:t>
      </w:r>
      <w:r w:rsidR="00872C78" w:rsidRPr="00CA3BC5">
        <w:rPr>
          <w:b/>
          <w:bCs/>
        </w:rPr>
        <w:t xml:space="preserve"> </w:t>
      </w:r>
      <w:r w:rsidR="00872C78" w:rsidRPr="00076588">
        <w:rPr>
          <w:b/>
          <w:bCs/>
        </w:rPr>
        <w:t>and that their opinions and proposals are genuinely considered and provided due weight.</w:t>
      </w:r>
    </w:p>
    <w:p w14:paraId="4249F94B" w14:textId="77777777" w:rsidR="00872C78" w:rsidRPr="000D32E4" w:rsidRDefault="00872C78" w:rsidP="00872C78">
      <w:pPr>
        <w:pStyle w:val="SingleTxtG"/>
        <w:rPr>
          <w:b/>
          <w:bCs/>
        </w:rPr>
      </w:pPr>
      <w:r w:rsidRPr="00D15DF2">
        <w:t>60.</w:t>
      </w:r>
      <w:r w:rsidRPr="00D15DF2">
        <w:tab/>
      </w:r>
      <w:r w:rsidRPr="000D32E4">
        <w:rPr>
          <w:b/>
          <w:bCs/>
        </w:rPr>
        <w:t>The Committee, having considered the information presented to it by the State party and civil society organizations at the meetings on the follow-up held on 21 August 2023 and the State party’s written replies following the interactive dialogue, decides:</w:t>
      </w:r>
    </w:p>
    <w:p w14:paraId="2AED92AE" w14:textId="79078378" w:rsidR="00872C78" w:rsidRPr="000D32E4" w:rsidRDefault="002D0D4A" w:rsidP="002D0D4A">
      <w:pPr>
        <w:pStyle w:val="SingleTxtG"/>
        <w:rPr>
          <w:b/>
          <w:bCs/>
        </w:rPr>
      </w:pPr>
      <w:r w:rsidRPr="000D32E4">
        <w:tab/>
      </w:r>
      <w:r w:rsidR="00872C78" w:rsidRPr="000D32E4">
        <w:t>(a)</w:t>
      </w:r>
      <w:r w:rsidR="00872C78" w:rsidRPr="000D32E4">
        <w:tab/>
      </w:r>
      <w:r w:rsidR="00872C78" w:rsidRPr="000D32E4">
        <w:rPr>
          <w:b/>
          <w:bCs/>
        </w:rPr>
        <w:t>To continue the follow-up proceedings pursuant to article 7 of the Optional Protocol to the Convention on the Rights of Persons with Disabilities, in relation to the implementation of the recommendations issued by the Committee in its report on an inquiry concerning Hungary under article 6 of the Optional Protocol to the Convention;</w:t>
      </w:r>
      <w:r w:rsidR="00872C78" w:rsidRPr="000D32E4">
        <w:rPr>
          <w:rStyle w:val="FootnoteReference"/>
        </w:rPr>
        <w:footnoteReference w:id="30"/>
      </w:r>
    </w:p>
    <w:p w14:paraId="7720EE48" w14:textId="304B95DF" w:rsidR="00872C78" w:rsidRPr="000D32E4" w:rsidRDefault="002D0D4A" w:rsidP="002D0D4A">
      <w:pPr>
        <w:pStyle w:val="SingleTxtG"/>
        <w:rPr>
          <w:b/>
          <w:bCs/>
        </w:rPr>
      </w:pPr>
      <w:r w:rsidRPr="000D32E4">
        <w:tab/>
      </w:r>
      <w:r w:rsidR="00872C78" w:rsidRPr="000D32E4">
        <w:t>(b)</w:t>
      </w:r>
      <w:r w:rsidR="00872C78" w:rsidRPr="000D32E4">
        <w:rPr>
          <w:b/>
          <w:bCs/>
        </w:rPr>
        <w:tab/>
        <w:t xml:space="preserve">To request the State party to submit a report by 10 September 2024 and to include therein information on the implementation of the recommendations made in the above-mentioned inquiry report and those reiterated in the present follow-up report. </w:t>
      </w:r>
    </w:p>
    <w:p w14:paraId="45622E87" w14:textId="77777777" w:rsidR="00872C78" w:rsidRPr="00CE138E" w:rsidRDefault="00872C78" w:rsidP="00872C78">
      <w:pPr>
        <w:spacing w:before="240"/>
        <w:ind w:left="1134" w:right="1134"/>
        <w:jc w:val="center"/>
        <w:rPr>
          <w:u w:val="single"/>
        </w:rPr>
      </w:pPr>
      <w:r>
        <w:rPr>
          <w:u w:val="single"/>
        </w:rPr>
        <w:tab/>
      </w:r>
      <w:r>
        <w:rPr>
          <w:u w:val="single"/>
        </w:rPr>
        <w:tab/>
      </w:r>
      <w:r>
        <w:rPr>
          <w:u w:val="single"/>
        </w:rPr>
        <w:tab/>
      </w:r>
      <w:r>
        <w:rPr>
          <w:u w:val="single"/>
        </w:rPr>
        <w:tab/>
      </w:r>
    </w:p>
    <w:sectPr w:rsidR="00872C78" w:rsidRPr="00CE138E" w:rsidSect="009C7535">
      <w:headerReference w:type="even" r:id="rId25"/>
      <w:headerReference w:type="default" r:id="rId26"/>
      <w:footerReference w:type="even" r:id="rId27"/>
      <w:footerReference w:type="default" r:id="rId28"/>
      <w:headerReference w:type="first" r:id="rId29"/>
      <w:footerReference w:type="first" r:id="rId30"/>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84C7A" w14:textId="77777777" w:rsidR="00D06507" w:rsidRPr="00317DC1" w:rsidRDefault="00D06507" w:rsidP="00317DC1">
      <w:pPr>
        <w:pStyle w:val="Footer"/>
      </w:pPr>
    </w:p>
  </w:endnote>
  <w:endnote w:type="continuationSeparator" w:id="0">
    <w:p w14:paraId="4CA5270B" w14:textId="77777777" w:rsidR="00D06507" w:rsidRPr="00317DC1" w:rsidRDefault="00D0650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7A4F1" w14:textId="5803F0DD" w:rsidR="00872C78" w:rsidRDefault="00872C78" w:rsidP="00022738">
    <w:pPr>
      <w:pStyle w:val="Footer"/>
      <w:tabs>
        <w:tab w:val="right" w:pos="9638"/>
      </w:tabs>
    </w:pP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2</w:t>
    </w:r>
    <w:r w:rsidRPr="007F0928">
      <w:rPr>
        <w:b/>
        <w:bCs/>
        <w:sz w:val="18"/>
      </w:rPr>
      <w:fldChar w:fldCharType="end"/>
    </w:r>
    <w:r>
      <w:tab/>
      <w:t>GE.23-18617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0014F" w14:textId="2A3C401A" w:rsidR="00872C78" w:rsidRDefault="00872C78" w:rsidP="00022738">
    <w:pPr>
      <w:pStyle w:val="Footer"/>
      <w:tabs>
        <w:tab w:val="right" w:pos="9638"/>
      </w:tabs>
      <w:jc w:val="right"/>
    </w:pPr>
    <w:r>
      <w:t>GE.23-18617</w:t>
    </w:r>
    <w:r>
      <w:rPr>
        <w:b/>
        <w:bCs/>
        <w:sz w:val="18"/>
      </w:rPr>
      <w:tab/>
    </w: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2</w:t>
    </w:r>
    <w:r w:rsidRPr="007F09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64B64" w14:textId="77777777" w:rsidR="00872C78" w:rsidRDefault="00872C78" w:rsidP="00872C78">
    <w:pPr>
      <w:pStyle w:val="Footer"/>
      <w:rPr>
        <w:sz w:val="20"/>
      </w:rPr>
    </w:pPr>
    <w:r w:rsidRPr="0027112F">
      <w:rPr>
        <w:noProof/>
        <w:lang w:val="en-US"/>
      </w:rPr>
      <w:drawing>
        <wp:anchor distT="0" distB="0" distL="114300" distR="114300" simplePos="0" relativeHeight="251662336" behindDoc="0" locked="1" layoutInCell="1" allowOverlap="1" wp14:anchorId="450B2E0D" wp14:editId="58F284A9">
          <wp:simplePos x="0" y="0"/>
          <wp:positionH relativeFrom="column">
            <wp:posOffset>4558030</wp:posOffset>
          </wp:positionH>
          <wp:positionV relativeFrom="page">
            <wp:posOffset>10128250</wp:posOffset>
          </wp:positionV>
          <wp:extent cx="932400" cy="230400"/>
          <wp:effectExtent l="0" t="0" r="1270" b="0"/>
          <wp:wrapNone/>
          <wp:docPr id="6" name="Picture 6"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D734A2" w14:textId="2CE196A9" w:rsidR="00872C78" w:rsidRPr="008374E6" w:rsidRDefault="00872C78" w:rsidP="00872C78">
    <w:pPr>
      <w:pStyle w:val="Footer"/>
      <w:tabs>
        <w:tab w:val="right" w:pos="7370"/>
      </w:tabs>
      <w:rPr>
        <w:sz w:val="20"/>
      </w:rPr>
    </w:pPr>
    <w:r>
      <w:rPr>
        <w:sz w:val="20"/>
      </w:rPr>
      <w:t>GE.23-18617  (E)</w:t>
    </w:r>
    <w:r>
      <w:rPr>
        <w:noProof/>
        <w:sz w:val="20"/>
      </w:rPr>
      <w:drawing>
        <wp:anchor distT="0" distB="0" distL="114300" distR="114300" simplePos="0" relativeHeight="251663360" behindDoc="0" locked="0" layoutInCell="1" allowOverlap="1" wp14:anchorId="6AD81C5C" wp14:editId="7FC4F4DF">
          <wp:simplePos x="0" y="0"/>
          <wp:positionH relativeFrom="margin">
            <wp:posOffset>5583555</wp:posOffset>
          </wp:positionH>
          <wp:positionV relativeFrom="margin">
            <wp:posOffset>8981440</wp:posOffset>
          </wp:positionV>
          <wp:extent cx="561975" cy="561975"/>
          <wp:effectExtent l="0" t="0" r="9525"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478B4">
      <w:rPr>
        <w:sz w:val="20"/>
      </w:rPr>
      <w:t xml:space="preserve">    171023     </w:t>
    </w:r>
    <w:r w:rsidR="00B75C70">
      <w:rPr>
        <w:sz w:val="20"/>
      </w:rPr>
      <w:t>17</w:t>
    </w:r>
    <w:r w:rsidR="00D478B4">
      <w:rPr>
        <w:sz w:val="20"/>
      </w:rPr>
      <w:t>1023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E6846" w14:textId="64D97F6C" w:rsidR="00872C78" w:rsidRDefault="00872C78" w:rsidP="00022738">
    <w:pPr>
      <w:pStyle w:val="Footer"/>
      <w:tabs>
        <w:tab w:val="right" w:pos="9638"/>
      </w:tabs>
    </w:pP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2</w:t>
    </w:r>
    <w:r w:rsidRPr="007F0928">
      <w:rPr>
        <w:b/>
        <w:bCs/>
        <w:sz w:val="18"/>
      </w:rPr>
      <w:fldChar w:fldCharType="end"/>
    </w:r>
    <w:r>
      <w:tab/>
      <w:t>GE.23-18617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83CB2" w14:textId="77777777" w:rsidR="00872C78" w:rsidRDefault="00872C78" w:rsidP="00872C78">
    <w:pPr>
      <w:pStyle w:val="Footer"/>
      <w:tabs>
        <w:tab w:val="right" w:pos="9638"/>
      </w:tabs>
      <w:jc w:val="right"/>
    </w:pPr>
    <w:r>
      <w:t>GE.23-18617</w:t>
    </w:r>
    <w:r>
      <w:rPr>
        <w:b/>
        <w:bCs/>
        <w:sz w:val="18"/>
      </w:rPr>
      <w:tab/>
    </w: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3</w:t>
    </w:r>
    <w:r w:rsidRPr="007F0928">
      <w:rPr>
        <w:b/>
        <w:bCs/>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16781" w14:textId="1555EEE1" w:rsidR="00872C78" w:rsidRDefault="00872C78" w:rsidP="00022738">
    <w:pPr>
      <w:pStyle w:val="Footer"/>
      <w:tabs>
        <w:tab w:val="right" w:pos="9638"/>
      </w:tabs>
    </w:pP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2</w:t>
    </w:r>
    <w:r w:rsidRPr="007F0928">
      <w:rPr>
        <w:b/>
        <w:bCs/>
        <w:sz w:val="18"/>
      </w:rPr>
      <w:fldChar w:fldCharType="end"/>
    </w:r>
    <w:r>
      <w:tab/>
      <w:t>GE.23-18617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F32D2" w14:textId="1CB9FBBE" w:rsidR="00872C78" w:rsidRDefault="00872C78" w:rsidP="00022738">
    <w:pPr>
      <w:pStyle w:val="Footer"/>
      <w:tabs>
        <w:tab w:val="right" w:pos="9638"/>
      </w:tabs>
      <w:jc w:val="right"/>
    </w:pPr>
    <w:r>
      <w:t>GE.23-18617</w:t>
    </w:r>
    <w:r>
      <w:rPr>
        <w:b/>
        <w:bCs/>
        <w:sz w:val="18"/>
      </w:rPr>
      <w:tab/>
    </w: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2</w:t>
    </w:r>
    <w:r w:rsidRPr="007F0928">
      <w:rPr>
        <w:b/>
        <w:bCs/>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C08A0" w14:textId="77777777" w:rsidR="00872C78" w:rsidRDefault="00872C78" w:rsidP="00872C78">
    <w:pPr>
      <w:pStyle w:val="Footer"/>
      <w:tabs>
        <w:tab w:val="right" w:pos="9638"/>
      </w:tabs>
      <w:jc w:val="right"/>
    </w:pPr>
    <w:r>
      <w:t>GE.23-18617</w:t>
    </w:r>
    <w:r>
      <w:rPr>
        <w:b/>
        <w:bCs/>
        <w:sz w:val="18"/>
      </w:rPr>
      <w:tab/>
    </w: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5</w:t>
    </w:r>
    <w:r w:rsidRPr="007F0928">
      <w:rPr>
        <w:b/>
        <w:bCs/>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C5B35" w14:textId="4BFCF8F7" w:rsidR="00A26388" w:rsidRDefault="00985A50" w:rsidP="00872C78">
    <w:pPr>
      <w:pStyle w:val="Footer"/>
      <w:tabs>
        <w:tab w:val="right" w:pos="9638"/>
      </w:tabs>
    </w:pPr>
    <w:r w:rsidRPr="00985A50">
      <w:rPr>
        <w:b/>
        <w:bCs/>
        <w:sz w:val="18"/>
      </w:rPr>
      <w:fldChar w:fldCharType="begin"/>
    </w:r>
    <w:r w:rsidRPr="00985A50">
      <w:rPr>
        <w:b/>
        <w:bCs/>
        <w:sz w:val="18"/>
      </w:rPr>
      <w:instrText xml:space="preserve"> PAGE  \* MERGEFORMAT </w:instrText>
    </w:r>
    <w:r w:rsidRPr="00985A50">
      <w:rPr>
        <w:b/>
        <w:bCs/>
        <w:sz w:val="18"/>
      </w:rPr>
      <w:fldChar w:fldCharType="separate"/>
    </w:r>
    <w:r w:rsidRPr="00985A50">
      <w:rPr>
        <w:b/>
        <w:bCs/>
        <w:noProof/>
        <w:sz w:val="18"/>
      </w:rPr>
      <w:t>2</w:t>
    </w:r>
    <w:r w:rsidRPr="00985A50">
      <w:rPr>
        <w:b/>
        <w:bCs/>
        <w:sz w:val="18"/>
      </w:rPr>
      <w:fldChar w:fldCharType="end"/>
    </w:r>
    <w:r>
      <w:tab/>
      <w:t>GE.23-18617</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980FB" w14:textId="77777777" w:rsidR="00985A50" w:rsidRDefault="00985A50" w:rsidP="00985A50">
    <w:pPr>
      <w:pStyle w:val="Footer"/>
      <w:tabs>
        <w:tab w:val="right" w:pos="9638"/>
      </w:tabs>
    </w:pPr>
    <w:r>
      <w:t>GE.23-18617</w:t>
    </w:r>
    <w:r>
      <w:tab/>
    </w:r>
    <w:r w:rsidRPr="00985A50">
      <w:rPr>
        <w:b/>
        <w:bCs/>
        <w:sz w:val="18"/>
      </w:rPr>
      <w:fldChar w:fldCharType="begin"/>
    </w:r>
    <w:r w:rsidRPr="00985A50">
      <w:rPr>
        <w:b/>
        <w:bCs/>
        <w:sz w:val="18"/>
      </w:rPr>
      <w:instrText xml:space="preserve"> PAGE  \* MERGEFORMAT </w:instrText>
    </w:r>
    <w:r w:rsidRPr="00985A50">
      <w:rPr>
        <w:b/>
        <w:bCs/>
        <w:sz w:val="18"/>
      </w:rPr>
      <w:fldChar w:fldCharType="separate"/>
    </w:r>
    <w:r w:rsidRPr="00985A50">
      <w:rPr>
        <w:b/>
        <w:bCs/>
        <w:noProof/>
        <w:sz w:val="18"/>
      </w:rPr>
      <w:t>3</w:t>
    </w:r>
    <w:r w:rsidRPr="00985A50">
      <w:rPr>
        <w:b/>
        <w:bCs/>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05DCE" w14:textId="77777777" w:rsidR="00872C78" w:rsidRDefault="00872C78" w:rsidP="00872C78">
    <w:pPr>
      <w:pStyle w:val="Footer"/>
      <w:tabs>
        <w:tab w:val="right" w:pos="9638"/>
      </w:tabs>
      <w:jc w:val="right"/>
    </w:pPr>
    <w:r>
      <w:t>GE.23-18617</w:t>
    </w:r>
    <w:r>
      <w:rPr>
        <w:b/>
        <w:bCs/>
        <w:sz w:val="18"/>
      </w:rPr>
      <w:tab/>
    </w: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9</w:t>
    </w:r>
    <w:r w:rsidRPr="007F0928">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93695" w14:textId="77777777" w:rsidR="00D06507" w:rsidRPr="00317DC1" w:rsidRDefault="00D06507" w:rsidP="00317DC1">
      <w:pPr>
        <w:tabs>
          <w:tab w:val="right" w:pos="2155"/>
        </w:tabs>
        <w:spacing w:after="80" w:line="240" w:lineRule="auto"/>
        <w:ind w:left="680"/>
      </w:pPr>
      <w:r>
        <w:rPr>
          <w:u w:val="single"/>
        </w:rPr>
        <w:tab/>
      </w:r>
    </w:p>
  </w:footnote>
  <w:footnote w:type="continuationSeparator" w:id="0">
    <w:p w14:paraId="76026BF7" w14:textId="77777777" w:rsidR="00D06507" w:rsidRPr="00317DC1" w:rsidRDefault="00D06507" w:rsidP="00317DC1">
      <w:pPr>
        <w:tabs>
          <w:tab w:val="right" w:pos="2155"/>
        </w:tabs>
        <w:spacing w:after="80" w:line="240" w:lineRule="auto"/>
        <w:ind w:left="680"/>
      </w:pPr>
      <w:r>
        <w:rPr>
          <w:u w:val="single"/>
        </w:rPr>
        <w:tab/>
      </w:r>
    </w:p>
  </w:footnote>
  <w:footnote w:id="1">
    <w:p w14:paraId="24AD6F01" w14:textId="233226B8" w:rsidR="00872C78" w:rsidRDefault="00872C78" w:rsidP="00872C78">
      <w:pPr>
        <w:pStyle w:val="FootnoteText"/>
      </w:pPr>
      <w:r>
        <w:tab/>
      </w:r>
      <w:r w:rsidRPr="008A30E4">
        <w:rPr>
          <w:rStyle w:val="FootnoteReference"/>
        </w:rPr>
        <w:footnoteRef/>
      </w:r>
      <w:r w:rsidRPr="003B68C1">
        <w:tab/>
      </w:r>
      <w:hyperlink r:id="rId1" w:history="1">
        <w:r w:rsidRPr="00824B60">
          <w:rPr>
            <w:rStyle w:val="Hyperlink"/>
          </w:rPr>
          <w:t>CRPD/C/29/1</w:t>
        </w:r>
      </w:hyperlink>
      <w:r>
        <w:t>.</w:t>
      </w:r>
    </w:p>
  </w:footnote>
  <w:footnote w:id="2">
    <w:p w14:paraId="2C883708" w14:textId="1B16CE1D" w:rsidR="00872C78" w:rsidRPr="00656CD9" w:rsidRDefault="00872C78" w:rsidP="00872C78">
      <w:pPr>
        <w:pStyle w:val="FootnoteText"/>
      </w:pPr>
      <w:r>
        <w:tab/>
      </w:r>
      <w:r w:rsidRPr="008A30E4">
        <w:rPr>
          <w:rStyle w:val="FootnoteReference"/>
        </w:rPr>
        <w:footnoteRef/>
      </w:r>
      <w:r>
        <w:tab/>
      </w:r>
      <w:hyperlink r:id="rId2" w:history="1">
        <w:r w:rsidRPr="00824B60">
          <w:rPr>
            <w:rStyle w:val="Hyperlink"/>
          </w:rPr>
          <w:t>CRPD/C/29/D/47/2018</w:t>
        </w:r>
      </w:hyperlink>
      <w:r w:rsidRPr="00656CD9">
        <w:t>.</w:t>
      </w:r>
    </w:p>
  </w:footnote>
  <w:footnote w:id="3">
    <w:p w14:paraId="00B3F431" w14:textId="2130BCAA" w:rsidR="00872C78" w:rsidRPr="00656CD9" w:rsidRDefault="00872C78" w:rsidP="00872C78">
      <w:pPr>
        <w:pStyle w:val="FootnoteText"/>
      </w:pPr>
      <w:r>
        <w:tab/>
      </w:r>
      <w:r w:rsidRPr="008A30E4">
        <w:rPr>
          <w:rStyle w:val="FootnoteReference"/>
        </w:rPr>
        <w:footnoteRef/>
      </w:r>
      <w:r>
        <w:tab/>
      </w:r>
      <w:hyperlink r:id="rId3" w:history="1">
        <w:r w:rsidRPr="00824B60">
          <w:rPr>
            <w:rStyle w:val="Hyperlink"/>
          </w:rPr>
          <w:t>CRPD/C/29/D/52/2018</w:t>
        </w:r>
      </w:hyperlink>
      <w:r>
        <w:t>.</w:t>
      </w:r>
    </w:p>
  </w:footnote>
  <w:footnote w:id="4">
    <w:p w14:paraId="12ABBDD1" w14:textId="0591D3F3" w:rsidR="00872C78" w:rsidRPr="00656CD9" w:rsidRDefault="00872C78" w:rsidP="00872C78">
      <w:pPr>
        <w:pStyle w:val="FootnoteText"/>
      </w:pPr>
      <w:r>
        <w:tab/>
      </w:r>
      <w:r w:rsidRPr="008A30E4">
        <w:rPr>
          <w:rStyle w:val="FootnoteReference"/>
        </w:rPr>
        <w:footnoteRef/>
      </w:r>
      <w:r>
        <w:tab/>
      </w:r>
      <w:hyperlink r:id="rId4" w:history="1">
        <w:r w:rsidRPr="00824B60">
          <w:rPr>
            <w:rStyle w:val="Hyperlink"/>
          </w:rPr>
          <w:t>CRPD/C/29/D/61/2019</w:t>
        </w:r>
      </w:hyperlink>
      <w:r w:rsidRPr="00656CD9">
        <w:t>.</w:t>
      </w:r>
    </w:p>
  </w:footnote>
  <w:footnote w:id="5">
    <w:p w14:paraId="619DAF60" w14:textId="3C1DF5BA" w:rsidR="00872C78" w:rsidRPr="00656CD9" w:rsidRDefault="00872C78" w:rsidP="00872C78">
      <w:pPr>
        <w:pStyle w:val="FootnoteText"/>
      </w:pPr>
      <w:r>
        <w:tab/>
      </w:r>
      <w:r w:rsidRPr="008A30E4">
        <w:rPr>
          <w:rStyle w:val="FootnoteReference"/>
        </w:rPr>
        <w:footnoteRef/>
      </w:r>
      <w:r>
        <w:tab/>
      </w:r>
      <w:hyperlink r:id="rId5" w:history="1">
        <w:r w:rsidRPr="00824B60">
          <w:rPr>
            <w:rStyle w:val="Hyperlink"/>
          </w:rPr>
          <w:t>CRPD/C/29/D/57/2019</w:t>
        </w:r>
      </w:hyperlink>
      <w:r>
        <w:t>.</w:t>
      </w:r>
    </w:p>
  </w:footnote>
  <w:footnote w:id="6">
    <w:p w14:paraId="795DE0E8" w14:textId="0C5EEF42" w:rsidR="00872C78" w:rsidRPr="00656CD9" w:rsidRDefault="00872C78" w:rsidP="00872C78">
      <w:pPr>
        <w:pStyle w:val="FootnoteText"/>
      </w:pPr>
      <w:r>
        <w:tab/>
      </w:r>
      <w:r w:rsidRPr="008A30E4">
        <w:rPr>
          <w:rStyle w:val="FootnoteReference"/>
        </w:rPr>
        <w:footnoteRef/>
      </w:r>
      <w:r>
        <w:tab/>
      </w:r>
      <w:hyperlink r:id="rId6" w:history="1">
        <w:r w:rsidRPr="00824B60">
          <w:rPr>
            <w:rStyle w:val="Hyperlink"/>
          </w:rPr>
          <w:t>CRPD/C/29/D/86/2021</w:t>
        </w:r>
      </w:hyperlink>
      <w:r>
        <w:t>.</w:t>
      </w:r>
    </w:p>
  </w:footnote>
  <w:footnote w:id="7">
    <w:p w14:paraId="218A2383" w14:textId="77777777" w:rsidR="00872C78" w:rsidRPr="00A07AB4" w:rsidRDefault="00872C78" w:rsidP="00872C78">
      <w:pPr>
        <w:pStyle w:val="FootnoteText"/>
        <w:rPr>
          <w:lang w:val="en-US"/>
        </w:rPr>
      </w:pPr>
      <w:r>
        <w:tab/>
      </w:r>
      <w:r w:rsidRPr="008A30E4">
        <w:rPr>
          <w:rStyle w:val="FootnoteReference"/>
        </w:rPr>
        <w:footnoteRef/>
      </w:r>
      <w:r w:rsidRPr="003B68C1">
        <w:tab/>
      </w:r>
      <w:r>
        <w:t xml:space="preserve">See </w:t>
      </w:r>
      <w:r w:rsidRPr="00002D80">
        <w:t>https://documents.un.org/</w:t>
      </w:r>
      <w:r>
        <w:t>.</w:t>
      </w:r>
    </w:p>
  </w:footnote>
  <w:footnote w:id="8">
    <w:p w14:paraId="4B811C8D" w14:textId="6CD3BC4D" w:rsidR="00872C78" w:rsidRPr="00076588" w:rsidRDefault="00872C78" w:rsidP="00872C78">
      <w:pPr>
        <w:pStyle w:val="FootnoteText"/>
        <w:widowControl w:val="0"/>
        <w:rPr>
          <w:lang w:val="en-US"/>
        </w:rPr>
      </w:pPr>
      <w:r>
        <w:tab/>
      </w:r>
      <w:r w:rsidRPr="008A30E4">
        <w:rPr>
          <w:rStyle w:val="FootnoteReference"/>
        </w:rPr>
        <w:footnoteRef/>
      </w:r>
      <w:r>
        <w:tab/>
      </w:r>
      <w:hyperlink r:id="rId7" w:history="1">
        <w:r w:rsidRPr="00824B60">
          <w:rPr>
            <w:rStyle w:val="Hyperlink"/>
          </w:rPr>
          <w:t>CRPD/C/5</w:t>
        </w:r>
      </w:hyperlink>
      <w:r>
        <w:t xml:space="preserve">. </w:t>
      </w:r>
    </w:p>
  </w:footnote>
  <w:footnote w:id="9">
    <w:p w14:paraId="33311D66" w14:textId="3CEEF338" w:rsidR="00872C78" w:rsidRPr="003E1BAE" w:rsidRDefault="00872C78" w:rsidP="00872C78">
      <w:pPr>
        <w:pStyle w:val="FootnoteText"/>
      </w:pPr>
      <w:r w:rsidRPr="00D0399E">
        <w:tab/>
      </w:r>
      <w:r w:rsidRPr="008A30E4">
        <w:rPr>
          <w:rStyle w:val="FootnoteReference"/>
        </w:rPr>
        <w:footnoteRef/>
      </w:r>
      <w:r w:rsidRPr="003B68C1">
        <w:tab/>
      </w:r>
      <w:hyperlink r:id="rId8" w:history="1">
        <w:r w:rsidRPr="00824B60">
          <w:rPr>
            <w:rStyle w:val="Hyperlink"/>
          </w:rPr>
          <w:t>CRPD/C/AND/1</w:t>
        </w:r>
      </w:hyperlink>
      <w:r w:rsidRPr="00D30BB0">
        <w:t xml:space="preserve">, </w:t>
      </w:r>
      <w:hyperlink r:id="rId9" w:history="1">
        <w:r w:rsidRPr="00824B60">
          <w:rPr>
            <w:rStyle w:val="Hyperlink"/>
          </w:rPr>
          <w:t>CRPD/C/ISR/1</w:t>
        </w:r>
      </w:hyperlink>
      <w:r>
        <w:rPr>
          <w:rStyle w:val="Hyperlink"/>
        </w:rPr>
        <w:t xml:space="preserve"> </w:t>
      </w:r>
      <w:r w:rsidRPr="00076588">
        <w:rPr>
          <w:rStyle w:val="Hyperlink"/>
          <w:color w:val="auto"/>
        </w:rPr>
        <w:t>and</w:t>
      </w:r>
      <w:r>
        <w:rPr>
          <w:rStyle w:val="Hyperlink"/>
        </w:rPr>
        <w:t xml:space="preserve"> </w:t>
      </w:r>
      <w:hyperlink r:id="rId10" w:history="1">
        <w:r w:rsidRPr="00824B60">
          <w:rPr>
            <w:rStyle w:val="Hyperlink"/>
          </w:rPr>
          <w:t>CRPD/C/MRT/1</w:t>
        </w:r>
      </w:hyperlink>
      <w:r w:rsidRPr="003E1BAE">
        <w:rPr>
          <w:rStyle w:val="Hyperlink"/>
          <w:color w:val="auto"/>
        </w:rPr>
        <w:t>.</w:t>
      </w:r>
    </w:p>
  </w:footnote>
  <w:footnote w:id="10">
    <w:p w14:paraId="7E41932A" w14:textId="3ABA82D7" w:rsidR="00872C78" w:rsidRPr="00076588" w:rsidRDefault="00872C78" w:rsidP="00872C78">
      <w:pPr>
        <w:pStyle w:val="FootnoteText"/>
        <w:widowControl w:val="0"/>
        <w:rPr>
          <w:lang w:val="en-US"/>
        </w:rPr>
      </w:pPr>
      <w:r>
        <w:tab/>
      </w:r>
      <w:r w:rsidRPr="008A30E4">
        <w:rPr>
          <w:rStyle w:val="FootnoteReference"/>
        </w:rPr>
        <w:footnoteRef/>
      </w:r>
      <w:r>
        <w:tab/>
      </w:r>
      <w:hyperlink r:id="rId11" w:history="1">
        <w:r w:rsidRPr="00824B60">
          <w:rPr>
            <w:rStyle w:val="Hyperlink"/>
          </w:rPr>
          <w:t>CRPD/C/MWI/1-2</w:t>
        </w:r>
      </w:hyperlink>
      <w:r w:rsidRPr="00076588">
        <w:rPr>
          <w:rStyle w:val="Hyperlink"/>
          <w:color w:val="auto"/>
        </w:rPr>
        <w:t>.</w:t>
      </w:r>
    </w:p>
  </w:footnote>
  <w:footnote w:id="11">
    <w:p w14:paraId="34B7AC8B" w14:textId="305CD02C" w:rsidR="00872C78" w:rsidRDefault="00872C78" w:rsidP="00872C78">
      <w:pPr>
        <w:pStyle w:val="FootnoteText"/>
      </w:pPr>
      <w:r>
        <w:tab/>
      </w:r>
      <w:r w:rsidRPr="008A30E4">
        <w:rPr>
          <w:rStyle w:val="FootnoteReference"/>
        </w:rPr>
        <w:footnoteRef/>
      </w:r>
      <w:r w:rsidRPr="003B68C1">
        <w:tab/>
      </w:r>
      <w:hyperlink r:id="rId12" w:history="1">
        <w:r w:rsidRPr="00824B60">
          <w:rPr>
            <w:rStyle w:val="Hyperlink"/>
          </w:rPr>
          <w:t>CRPD/C/AUT/2-3</w:t>
        </w:r>
      </w:hyperlink>
      <w:r w:rsidRPr="00D30BB0">
        <w:t xml:space="preserve">, </w:t>
      </w:r>
      <w:hyperlink r:id="rId13" w:history="1">
        <w:r w:rsidRPr="00824B60">
          <w:rPr>
            <w:rStyle w:val="Hyperlink"/>
          </w:rPr>
          <w:t>CRPD/C/DEU/2-3</w:t>
        </w:r>
      </w:hyperlink>
      <w:r w:rsidRPr="00076588">
        <w:rPr>
          <w:rStyle w:val="Hyperlink"/>
          <w:color w:val="auto"/>
        </w:rPr>
        <w:t xml:space="preserve">, </w:t>
      </w:r>
      <w:hyperlink r:id="rId14" w:history="1">
        <w:r w:rsidRPr="00824B60">
          <w:rPr>
            <w:rStyle w:val="Hyperlink"/>
          </w:rPr>
          <w:t>CRPD/C/MNG/2-3</w:t>
        </w:r>
      </w:hyperlink>
      <w:r w:rsidRPr="00D30BB0">
        <w:t xml:space="preserve"> and </w:t>
      </w:r>
      <w:hyperlink r:id="rId15" w:history="1">
        <w:r w:rsidRPr="00824B60">
          <w:rPr>
            <w:rStyle w:val="Hyperlink"/>
          </w:rPr>
          <w:t>CRPD/C/PRY/2-3</w:t>
        </w:r>
      </w:hyperlink>
      <w:r>
        <w:t>.</w:t>
      </w:r>
    </w:p>
  </w:footnote>
  <w:footnote w:id="12">
    <w:p w14:paraId="056314C2" w14:textId="337D79CD" w:rsidR="00872C78" w:rsidRPr="00D30BB0" w:rsidRDefault="00872C78" w:rsidP="00872C78">
      <w:pPr>
        <w:pStyle w:val="FootnoteText"/>
      </w:pPr>
      <w:r w:rsidRPr="00D30BB0">
        <w:tab/>
      </w:r>
      <w:r w:rsidRPr="008A30E4">
        <w:rPr>
          <w:rStyle w:val="FootnoteReference"/>
        </w:rPr>
        <w:footnoteRef/>
      </w:r>
      <w:r w:rsidRPr="003B68C1">
        <w:tab/>
      </w:r>
      <w:hyperlink r:id="rId16" w:history="1">
        <w:r w:rsidRPr="00824B60">
          <w:rPr>
            <w:rStyle w:val="Hyperlink"/>
          </w:rPr>
          <w:t>CRPD/C/AND/CO/1</w:t>
        </w:r>
      </w:hyperlink>
      <w:r w:rsidRPr="00D30BB0">
        <w:t xml:space="preserve">, </w:t>
      </w:r>
      <w:hyperlink r:id="rId17" w:history="1">
        <w:r w:rsidRPr="00824B60">
          <w:rPr>
            <w:rStyle w:val="Hyperlink"/>
          </w:rPr>
          <w:t>CRPD/C/AUT/CO/2-3</w:t>
        </w:r>
      </w:hyperlink>
      <w:r w:rsidRPr="00D30BB0">
        <w:t xml:space="preserve">, </w:t>
      </w:r>
      <w:hyperlink r:id="rId18" w:history="1">
        <w:r w:rsidRPr="00824B60">
          <w:rPr>
            <w:rStyle w:val="Hyperlink"/>
          </w:rPr>
          <w:t>CRPD/C/DEU/CO/2-3</w:t>
        </w:r>
      </w:hyperlink>
      <w:r>
        <w:rPr>
          <w:rStyle w:val="Hyperlink"/>
        </w:rPr>
        <w:t xml:space="preserve">, </w:t>
      </w:r>
      <w:hyperlink r:id="rId19" w:history="1">
        <w:r w:rsidRPr="00824B60">
          <w:rPr>
            <w:rStyle w:val="Hyperlink"/>
          </w:rPr>
          <w:t>CRPD/C/ISR/CO/1</w:t>
        </w:r>
      </w:hyperlink>
      <w:r w:rsidRPr="00D30BB0">
        <w:t xml:space="preserve">, </w:t>
      </w:r>
      <w:hyperlink r:id="rId20" w:history="1">
        <w:r w:rsidRPr="00824B60">
          <w:rPr>
            <w:rStyle w:val="Hyperlink"/>
          </w:rPr>
          <w:t>CRPD/C/MWI/CO/1-2</w:t>
        </w:r>
      </w:hyperlink>
      <w:r w:rsidRPr="00880D48">
        <w:t xml:space="preserve">, </w:t>
      </w:r>
      <w:hyperlink r:id="rId21" w:history="1">
        <w:r w:rsidRPr="00824B60">
          <w:rPr>
            <w:rStyle w:val="Hyperlink"/>
          </w:rPr>
          <w:t>CRPD/C/MRT/CO/1</w:t>
        </w:r>
      </w:hyperlink>
      <w:r>
        <w:t xml:space="preserve">, </w:t>
      </w:r>
      <w:hyperlink r:id="rId22" w:history="1">
        <w:r w:rsidRPr="00824B60">
          <w:rPr>
            <w:rStyle w:val="Hyperlink"/>
          </w:rPr>
          <w:t>CRPD/C/MNG/CO/2-3</w:t>
        </w:r>
      </w:hyperlink>
      <w:r>
        <w:rPr>
          <w:rStyle w:val="Hyperlink"/>
        </w:rPr>
        <w:t xml:space="preserve"> </w:t>
      </w:r>
      <w:r>
        <w:t xml:space="preserve">and </w:t>
      </w:r>
      <w:hyperlink r:id="rId23" w:history="1">
        <w:r w:rsidRPr="00824B60">
          <w:rPr>
            <w:rStyle w:val="Hyperlink"/>
          </w:rPr>
          <w:t>CRPD/C/PRY/CO/2-3</w:t>
        </w:r>
      </w:hyperlink>
      <w:r w:rsidRPr="002C18F8">
        <w:t>.</w:t>
      </w:r>
    </w:p>
  </w:footnote>
  <w:footnote w:id="13">
    <w:p w14:paraId="45201C29" w14:textId="5C64CC7C" w:rsidR="00872C78" w:rsidRPr="00D30BB0" w:rsidRDefault="00872C78" w:rsidP="00872C78">
      <w:pPr>
        <w:pStyle w:val="FootnoteText"/>
      </w:pPr>
      <w:r w:rsidRPr="00D30BB0">
        <w:tab/>
      </w:r>
      <w:r w:rsidRPr="008A30E4">
        <w:rPr>
          <w:rStyle w:val="FootnoteReference"/>
        </w:rPr>
        <w:footnoteRef/>
      </w:r>
      <w:r w:rsidRPr="003B68C1">
        <w:tab/>
      </w:r>
      <w:hyperlink r:id="rId24" w:history="1">
        <w:r w:rsidRPr="00824B60">
          <w:rPr>
            <w:rStyle w:val="Hyperlink"/>
          </w:rPr>
          <w:t>CRPD/C/AND/CO/1</w:t>
        </w:r>
      </w:hyperlink>
      <w:r>
        <w:t xml:space="preserve">, </w:t>
      </w:r>
      <w:hyperlink r:id="rId25" w:history="1">
        <w:r w:rsidRPr="00824B60">
          <w:rPr>
            <w:rStyle w:val="Hyperlink"/>
          </w:rPr>
          <w:t>CRPD/C/ISR/CO/1</w:t>
        </w:r>
      </w:hyperlink>
      <w:r>
        <w:rPr>
          <w:rStyle w:val="Hyperlink"/>
        </w:rPr>
        <w:t xml:space="preserve"> </w:t>
      </w:r>
      <w:r>
        <w:t>and</w:t>
      </w:r>
      <w:r w:rsidRPr="00D30BB0">
        <w:t xml:space="preserve"> </w:t>
      </w:r>
      <w:hyperlink r:id="rId26" w:history="1">
        <w:r w:rsidRPr="00824B60">
          <w:rPr>
            <w:rStyle w:val="Hyperlink"/>
          </w:rPr>
          <w:t>CRPD/C/MRT/CO/1</w:t>
        </w:r>
      </w:hyperlink>
      <w:r w:rsidRPr="00087031">
        <w:t>.</w:t>
      </w:r>
    </w:p>
  </w:footnote>
  <w:footnote w:id="14">
    <w:p w14:paraId="7BE527E2" w14:textId="60C8BA27" w:rsidR="00872C78" w:rsidRPr="00076588" w:rsidRDefault="00872C78" w:rsidP="00872C78">
      <w:pPr>
        <w:pStyle w:val="FootnoteText"/>
        <w:widowControl w:val="0"/>
        <w:rPr>
          <w:lang w:val="en-US"/>
        </w:rPr>
      </w:pPr>
      <w:r>
        <w:tab/>
      </w:r>
      <w:r w:rsidRPr="008A30E4">
        <w:rPr>
          <w:rStyle w:val="FootnoteReference"/>
        </w:rPr>
        <w:footnoteRef/>
      </w:r>
      <w:r>
        <w:tab/>
      </w:r>
      <w:hyperlink r:id="rId27" w:history="1">
        <w:r w:rsidRPr="00824B60">
          <w:rPr>
            <w:rStyle w:val="Hyperlink"/>
          </w:rPr>
          <w:t>CRPD/C/MWI/CO/1-2</w:t>
        </w:r>
      </w:hyperlink>
      <w:r w:rsidRPr="00076588">
        <w:rPr>
          <w:rStyle w:val="Hyperlink"/>
          <w:color w:val="auto"/>
        </w:rPr>
        <w:t>.</w:t>
      </w:r>
    </w:p>
  </w:footnote>
  <w:footnote w:id="15">
    <w:p w14:paraId="213804E3" w14:textId="18CCEC15" w:rsidR="00872C78" w:rsidRPr="00D30BB0" w:rsidRDefault="00872C78" w:rsidP="00872C78">
      <w:pPr>
        <w:pStyle w:val="FootnoteText"/>
      </w:pPr>
      <w:r w:rsidRPr="00D30BB0">
        <w:tab/>
      </w:r>
      <w:r w:rsidRPr="008A30E4">
        <w:rPr>
          <w:rStyle w:val="FootnoteReference"/>
        </w:rPr>
        <w:footnoteRef/>
      </w:r>
      <w:r w:rsidRPr="003B68C1">
        <w:tab/>
      </w:r>
      <w:hyperlink r:id="rId28" w:history="1">
        <w:r w:rsidRPr="00824B60">
          <w:rPr>
            <w:rStyle w:val="Hyperlink"/>
          </w:rPr>
          <w:t>CRPD/C/AUT/CO/2-3</w:t>
        </w:r>
      </w:hyperlink>
      <w:r>
        <w:t xml:space="preserve">, </w:t>
      </w:r>
      <w:hyperlink r:id="rId29" w:history="1">
        <w:r w:rsidRPr="00824B60">
          <w:rPr>
            <w:rStyle w:val="Hyperlink"/>
          </w:rPr>
          <w:t>CRPD/C/DEU/CO/2-3</w:t>
        </w:r>
      </w:hyperlink>
      <w:r w:rsidRPr="00076588">
        <w:rPr>
          <w:rStyle w:val="Hyperlink"/>
          <w:color w:val="auto"/>
        </w:rPr>
        <w:t>,</w:t>
      </w:r>
      <w:r>
        <w:rPr>
          <w:rStyle w:val="Hyperlink"/>
        </w:rPr>
        <w:t xml:space="preserve"> </w:t>
      </w:r>
      <w:hyperlink r:id="rId30" w:history="1">
        <w:r w:rsidRPr="00824B60">
          <w:rPr>
            <w:rStyle w:val="Hyperlink"/>
          </w:rPr>
          <w:t>CRPD/C/MNG/CO/2-3</w:t>
        </w:r>
      </w:hyperlink>
      <w:r>
        <w:t xml:space="preserve"> and</w:t>
      </w:r>
      <w:r w:rsidRPr="00880D48">
        <w:t xml:space="preserve"> </w:t>
      </w:r>
      <w:hyperlink r:id="rId31" w:history="1">
        <w:r w:rsidRPr="00824B60">
          <w:rPr>
            <w:rStyle w:val="Hyperlink"/>
          </w:rPr>
          <w:t>CRPD/C/PRY/CO/2-3</w:t>
        </w:r>
      </w:hyperlink>
      <w:r w:rsidRPr="00924826">
        <w:t>.</w:t>
      </w:r>
    </w:p>
  </w:footnote>
  <w:footnote w:id="16">
    <w:p w14:paraId="7D202EA2" w14:textId="5EC73950" w:rsidR="00872C78" w:rsidRPr="00076588" w:rsidRDefault="00872C78" w:rsidP="00872C78">
      <w:pPr>
        <w:pStyle w:val="FootnoteText"/>
        <w:widowControl w:val="0"/>
        <w:rPr>
          <w:lang w:val="en-US"/>
        </w:rPr>
      </w:pPr>
      <w:r>
        <w:tab/>
      </w:r>
      <w:r w:rsidRPr="008A30E4">
        <w:rPr>
          <w:rStyle w:val="FootnoteReference"/>
        </w:rPr>
        <w:footnoteRef/>
      </w:r>
      <w:r>
        <w:tab/>
      </w:r>
      <w:hyperlink r:id="rId32" w:history="1">
        <w:r w:rsidRPr="00824B60">
          <w:rPr>
            <w:rStyle w:val="Hyperlink"/>
          </w:rPr>
          <w:t>CRPD/C/5</w:t>
        </w:r>
      </w:hyperlink>
      <w:r>
        <w:t>.</w:t>
      </w:r>
    </w:p>
  </w:footnote>
  <w:footnote w:id="17">
    <w:p w14:paraId="56AA0991" w14:textId="67ECC2DD" w:rsidR="00872C78" w:rsidRPr="00656CD9" w:rsidRDefault="00872C78" w:rsidP="00872C78">
      <w:pPr>
        <w:pStyle w:val="FootnoteText"/>
      </w:pPr>
      <w:r>
        <w:tab/>
      </w:r>
      <w:r w:rsidRPr="008A30E4">
        <w:rPr>
          <w:rStyle w:val="FootnoteReference"/>
        </w:rPr>
        <w:footnoteRef/>
      </w:r>
      <w:r>
        <w:tab/>
      </w:r>
      <w:hyperlink r:id="rId33" w:history="1">
        <w:r w:rsidRPr="00824B60">
          <w:rPr>
            <w:rStyle w:val="Hyperlink"/>
          </w:rPr>
          <w:t>CRPD/C/29/D/47/2018</w:t>
        </w:r>
      </w:hyperlink>
      <w:r w:rsidRPr="00656CD9">
        <w:t>.</w:t>
      </w:r>
    </w:p>
  </w:footnote>
  <w:footnote w:id="18">
    <w:p w14:paraId="543DDE4F" w14:textId="17E3297A" w:rsidR="00872C78" w:rsidRPr="00076588" w:rsidRDefault="00872C78" w:rsidP="00872C78">
      <w:pPr>
        <w:pStyle w:val="FootnoteText"/>
        <w:widowControl w:val="0"/>
        <w:rPr>
          <w:lang w:val="en-US"/>
        </w:rPr>
      </w:pPr>
      <w:r>
        <w:tab/>
      </w:r>
      <w:r w:rsidRPr="008A30E4">
        <w:rPr>
          <w:rStyle w:val="FootnoteReference"/>
        </w:rPr>
        <w:footnoteRef/>
      </w:r>
      <w:r>
        <w:tab/>
      </w:r>
      <w:hyperlink r:id="rId34" w:history="1">
        <w:r w:rsidRPr="00824B60">
          <w:rPr>
            <w:rStyle w:val="Hyperlink"/>
          </w:rPr>
          <w:t>CRPD/C/29/D/52/2018</w:t>
        </w:r>
      </w:hyperlink>
      <w:r>
        <w:t>.</w:t>
      </w:r>
    </w:p>
  </w:footnote>
  <w:footnote w:id="19">
    <w:p w14:paraId="64866659" w14:textId="0062B1B4" w:rsidR="00872C78" w:rsidRPr="003266E7" w:rsidRDefault="00872C78" w:rsidP="00872C78">
      <w:pPr>
        <w:pStyle w:val="FootnoteText"/>
        <w:rPr>
          <w:lang w:val="en-US"/>
        </w:rPr>
      </w:pPr>
      <w:r>
        <w:tab/>
      </w:r>
      <w:r w:rsidRPr="008A30E4">
        <w:rPr>
          <w:rStyle w:val="FootnoteReference"/>
        </w:rPr>
        <w:footnoteRef/>
      </w:r>
      <w:r w:rsidRPr="003B68C1">
        <w:tab/>
      </w:r>
      <w:hyperlink r:id="rId35" w:history="1">
        <w:r w:rsidRPr="00824B60">
          <w:rPr>
            <w:rStyle w:val="Hyperlink"/>
          </w:rPr>
          <w:t>CRPD/C/29/D/61/2019</w:t>
        </w:r>
      </w:hyperlink>
      <w:r>
        <w:t>.</w:t>
      </w:r>
    </w:p>
  </w:footnote>
  <w:footnote w:id="20">
    <w:p w14:paraId="13114285" w14:textId="3AA5954F" w:rsidR="00872C78" w:rsidRPr="00076588" w:rsidRDefault="00872C78" w:rsidP="00872C78">
      <w:pPr>
        <w:pStyle w:val="FootnoteText"/>
        <w:widowControl w:val="0"/>
        <w:rPr>
          <w:lang w:val="en-US"/>
        </w:rPr>
      </w:pPr>
      <w:r>
        <w:tab/>
      </w:r>
      <w:r w:rsidRPr="008A30E4">
        <w:rPr>
          <w:rStyle w:val="FootnoteReference"/>
        </w:rPr>
        <w:footnoteRef/>
      </w:r>
      <w:r>
        <w:tab/>
      </w:r>
      <w:hyperlink r:id="rId36" w:history="1">
        <w:r w:rsidRPr="00824B60">
          <w:rPr>
            <w:rStyle w:val="Hyperlink"/>
          </w:rPr>
          <w:t>CRPD/C/DNK/CO/1</w:t>
        </w:r>
      </w:hyperlink>
      <w:r w:rsidRPr="008F6963">
        <w:t>, paras</w:t>
      </w:r>
      <w:r>
        <w:t>.</w:t>
      </w:r>
      <w:r w:rsidRPr="008F6963">
        <w:t xml:space="preserve"> 35, 37 and 39</w:t>
      </w:r>
      <w:r>
        <w:t>.</w:t>
      </w:r>
    </w:p>
  </w:footnote>
  <w:footnote w:id="21">
    <w:p w14:paraId="1831A828" w14:textId="70A46B1B" w:rsidR="00872C78" w:rsidRPr="00076588" w:rsidRDefault="00872C78" w:rsidP="00872C78">
      <w:pPr>
        <w:pStyle w:val="FootnoteText"/>
        <w:widowControl w:val="0"/>
        <w:rPr>
          <w:lang w:val="en-US"/>
        </w:rPr>
      </w:pPr>
      <w:r>
        <w:tab/>
      </w:r>
      <w:r w:rsidRPr="008A30E4">
        <w:rPr>
          <w:rStyle w:val="FootnoteReference"/>
        </w:rPr>
        <w:footnoteRef/>
      </w:r>
      <w:r w:rsidRPr="00076588">
        <w:rPr>
          <w:lang w:val="en-US"/>
        </w:rPr>
        <w:tab/>
      </w:r>
      <w:hyperlink r:id="rId37" w:history="1">
        <w:r w:rsidRPr="00824B60">
          <w:rPr>
            <w:rStyle w:val="Hyperlink"/>
            <w:lang w:val="en-US"/>
          </w:rPr>
          <w:t>A/72/55</w:t>
        </w:r>
      </w:hyperlink>
      <w:r>
        <w:rPr>
          <w:lang w:val="en-US"/>
        </w:rPr>
        <w:t>, annex</w:t>
      </w:r>
      <w:r w:rsidRPr="00076588">
        <w:rPr>
          <w:lang w:val="en-US"/>
        </w:rPr>
        <w:t>.</w:t>
      </w:r>
    </w:p>
  </w:footnote>
  <w:footnote w:id="22">
    <w:p w14:paraId="440CD714" w14:textId="1DDE572A" w:rsidR="00872C78" w:rsidRPr="00076588" w:rsidRDefault="00872C78" w:rsidP="00872C78">
      <w:pPr>
        <w:pStyle w:val="FootnoteText"/>
        <w:rPr>
          <w:lang w:val="en-US"/>
        </w:rPr>
      </w:pPr>
      <w:r w:rsidRPr="00076588">
        <w:rPr>
          <w:lang w:val="en-US"/>
        </w:rPr>
        <w:tab/>
      </w:r>
      <w:r w:rsidRPr="008A30E4">
        <w:rPr>
          <w:rStyle w:val="FootnoteReference"/>
        </w:rPr>
        <w:footnoteRef/>
      </w:r>
      <w:r w:rsidRPr="00076588">
        <w:rPr>
          <w:lang w:val="en-US"/>
        </w:rPr>
        <w:tab/>
      </w:r>
      <w:hyperlink r:id="rId38" w:history="1">
        <w:r w:rsidRPr="00824B60">
          <w:rPr>
            <w:rStyle w:val="Hyperlink"/>
            <w:lang w:val="en-US"/>
          </w:rPr>
          <w:t>CRPD/C/29/D/57/2019</w:t>
        </w:r>
      </w:hyperlink>
      <w:r w:rsidRPr="00076588">
        <w:rPr>
          <w:lang w:val="en-US"/>
        </w:rPr>
        <w:t>.</w:t>
      </w:r>
    </w:p>
  </w:footnote>
  <w:footnote w:id="23">
    <w:p w14:paraId="3BA3FE38" w14:textId="63A284E1" w:rsidR="00872C78" w:rsidRPr="00076588" w:rsidRDefault="00872C78" w:rsidP="00872C78">
      <w:pPr>
        <w:pStyle w:val="FootnoteText"/>
        <w:rPr>
          <w:lang w:val="en-US"/>
        </w:rPr>
      </w:pPr>
      <w:r w:rsidRPr="00076588">
        <w:rPr>
          <w:lang w:val="en-US"/>
        </w:rPr>
        <w:tab/>
      </w:r>
      <w:r w:rsidRPr="008A30E4">
        <w:rPr>
          <w:rStyle w:val="FootnoteReference"/>
        </w:rPr>
        <w:footnoteRef/>
      </w:r>
      <w:r w:rsidRPr="00076588">
        <w:rPr>
          <w:lang w:val="en-US"/>
        </w:rPr>
        <w:tab/>
      </w:r>
      <w:hyperlink r:id="rId39" w:history="1">
        <w:r w:rsidRPr="00824B60">
          <w:rPr>
            <w:rStyle w:val="Hyperlink"/>
            <w:lang w:val="en-US"/>
          </w:rPr>
          <w:t>CRPD/C/29/D/86/2021</w:t>
        </w:r>
      </w:hyperlink>
      <w:r w:rsidRPr="00076588">
        <w:rPr>
          <w:lang w:val="en-US"/>
        </w:rPr>
        <w:t>.</w:t>
      </w:r>
    </w:p>
  </w:footnote>
  <w:footnote w:id="24">
    <w:p w14:paraId="6BADC199" w14:textId="777D0772" w:rsidR="00D13F25" w:rsidRPr="00D13F25" w:rsidRDefault="00D13F25">
      <w:pPr>
        <w:pStyle w:val="FootnoteText"/>
        <w:rPr>
          <w:lang w:val="fr-CH"/>
        </w:rPr>
      </w:pPr>
      <w:r>
        <w:tab/>
      </w:r>
      <w:r>
        <w:rPr>
          <w:rStyle w:val="FootnoteReference"/>
        </w:rPr>
        <w:footnoteRef/>
      </w:r>
      <w:r>
        <w:tab/>
      </w:r>
      <w:hyperlink r:id="rId40" w:history="1">
        <w:r w:rsidRPr="00824B60">
          <w:rPr>
            <w:rStyle w:val="Hyperlink"/>
            <w:lang w:val="en-US"/>
          </w:rPr>
          <w:t>CRPD/C/HUN/IR/1</w:t>
        </w:r>
      </w:hyperlink>
      <w:r w:rsidRPr="00076588">
        <w:rPr>
          <w:lang w:val="en-US"/>
        </w:rPr>
        <w:t xml:space="preserve"> and </w:t>
      </w:r>
      <w:hyperlink r:id="rId41" w:history="1">
        <w:r w:rsidRPr="00824B60">
          <w:rPr>
            <w:rStyle w:val="Hyperlink"/>
            <w:lang w:val="en-US"/>
          </w:rPr>
          <w:t>CRPD/C/HUN/IR/1/Corr.1</w:t>
        </w:r>
      </w:hyperlink>
      <w:r w:rsidRPr="00076588">
        <w:rPr>
          <w:lang w:val="en-US"/>
        </w:rPr>
        <w:t>.</w:t>
      </w:r>
    </w:p>
  </w:footnote>
  <w:footnote w:id="25">
    <w:p w14:paraId="030DFC51" w14:textId="62D05AE4" w:rsidR="00872C78" w:rsidRPr="007E034D" w:rsidRDefault="00872C78" w:rsidP="00872C78">
      <w:pPr>
        <w:pStyle w:val="FootnoteText"/>
        <w:widowControl w:val="0"/>
        <w:tabs>
          <w:tab w:val="clear" w:pos="1021"/>
          <w:tab w:val="right" w:pos="1020"/>
        </w:tabs>
        <w:rPr>
          <w:lang w:val="en-US"/>
        </w:rPr>
      </w:pPr>
      <w:r>
        <w:tab/>
      </w:r>
      <w:r w:rsidRPr="008A30E4">
        <w:rPr>
          <w:rStyle w:val="FootnoteReference"/>
        </w:rPr>
        <w:footnoteRef/>
      </w:r>
      <w:r>
        <w:tab/>
      </w:r>
      <w:hyperlink r:id="rId42" w:history="1">
        <w:r w:rsidRPr="00824B60">
          <w:rPr>
            <w:rStyle w:val="Hyperlink"/>
          </w:rPr>
          <w:t>CRPD/C/HUN/CO/2-3</w:t>
        </w:r>
      </w:hyperlink>
      <w:r>
        <w:t>.</w:t>
      </w:r>
    </w:p>
  </w:footnote>
  <w:footnote w:id="26">
    <w:p w14:paraId="4A956380" w14:textId="6357291D" w:rsidR="00872C78" w:rsidRPr="00076588" w:rsidRDefault="00872C78" w:rsidP="00872C78">
      <w:pPr>
        <w:pStyle w:val="FootnoteText"/>
        <w:widowControl w:val="0"/>
        <w:tabs>
          <w:tab w:val="clear" w:pos="1021"/>
          <w:tab w:val="right" w:pos="1020"/>
        </w:tabs>
        <w:rPr>
          <w:lang w:val="en-US"/>
        </w:rPr>
      </w:pPr>
      <w:r w:rsidRPr="00076588">
        <w:rPr>
          <w:lang w:val="es-ES"/>
        </w:rPr>
        <w:tab/>
      </w:r>
      <w:r w:rsidRPr="008A30E4">
        <w:rPr>
          <w:rStyle w:val="FootnoteReference"/>
        </w:rPr>
        <w:footnoteRef/>
      </w:r>
      <w:r w:rsidRPr="00076588">
        <w:rPr>
          <w:lang w:val="es-ES"/>
        </w:rPr>
        <w:tab/>
      </w:r>
      <w:hyperlink r:id="rId43" w:history="1">
        <w:r w:rsidRPr="00824B60">
          <w:rPr>
            <w:rStyle w:val="Hyperlink"/>
            <w:lang w:val="es-ES"/>
          </w:rPr>
          <w:t>CRPD/C/HUN/IR/1</w:t>
        </w:r>
      </w:hyperlink>
      <w:r w:rsidRPr="00076588">
        <w:rPr>
          <w:lang w:val="es-ES"/>
        </w:rPr>
        <w:t xml:space="preserve">, para. </w:t>
      </w:r>
      <w:r w:rsidRPr="00076588">
        <w:rPr>
          <w:lang w:val="en-US"/>
        </w:rPr>
        <w:t>98 (g)</w:t>
      </w:r>
      <w:r w:rsidRPr="00175377">
        <w:rPr>
          <w:lang w:val="en-US"/>
        </w:rPr>
        <w:t xml:space="preserve"> </w:t>
      </w:r>
      <w:r w:rsidRPr="00036A37">
        <w:rPr>
          <w:lang w:val="en-US"/>
        </w:rPr>
        <w:t xml:space="preserve">and </w:t>
      </w:r>
      <w:hyperlink r:id="rId44" w:history="1">
        <w:r w:rsidRPr="00824B60">
          <w:rPr>
            <w:rStyle w:val="Hyperlink"/>
            <w:lang w:val="en-US"/>
          </w:rPr>
          <w:t>CRPD/C/HUN/IR/1/Corr.1</w:t>
        </w:r>
      </w:hyperlink>
      <w:r w:rsidRPr="00076588">
        <w:rPr>
          <w:lang w:val="en-US"/>
        </w:rPr>
        <w:t>.</w:t>
      </w:r>
    </w:p>
  </w:footnote>
  <w:footnote w:id="27">
    <w:p w14:paraId="6017088E" w14:textId="77777777" w:rsidR="00872C78" w:rsidRPr="00076588" w:rsidRDefault="00872C78" w:rsidP="00872C78">
      <w:pPr>
        <w:pStyle w:val="FootnoteText"/>
        <w:widowControl w:val="0"/>
        <w:tabs>
          <w:tab w:val="clear" w:pos="1021"/>
          <w:tab w:val="right" w:pos="1020"/>
        </w:tabs>
        <w:rPr>
          <w:lang w:val="es-ES"/>
        </w:rPr>
      </w:pPr>
      <w:r w:rsidRPr="00076588">
        <w:rPr>
          <w:lang w:val="en-US"/>
        </w:rPr>
        <w:tab/>
      </w:r>
      <w:r w:rsidRPr="008A30E4">
        <w:rPr>
          <w:rStyle w:val="FootnoteReference"/>
        </w:rPr>
        <w:footnoteRef/>
      </w:r>
      <w:r w:rsidRPr="00076588">
        <w:rPr>
          <w:lang w:val="es-ES"/>
        </w:rPr>
        <w:tab/>
      </w:r>
      <w:r>
        <w:rPr>
          <w:lang w:val="es-ES"/>
        </w:rPr>
        <w:t>Ibid.</w:t>
      </w:r>
      <w:r w:rsidRPr="00A24584">
        <w:rPr>
          <w:lang w:val="es-ES"/>
        </w:rPr>
        <w:t xml:space="preserve">, para. </w:t>
      </w:r>
      <w:r w:rsidRPr="00076588">
        <w:rPr>
          <w:lang w:val="es-ES"/>
        </w:rPr>
        <w:t>110 (c).</w:t>
      </w:r>
    </w:p>
  </w:footnote>
  <w:footnote w:id="28">
    <w:p w14:paraId="6EB0255F" w14:textId="4666C5CE" w:rsidR="00872C78" w:rsidRPr="00076588" w:rsidRDefault="00872C78" w:rsidP="00872C78">
      <w:pPr>
        <w:pStyle w:val="FootnoteText"/>
        <w:widowControl w:val="0"/>
        <w:tabs>
          <w:tab w:val="clear" w:pos="1021"/>
          <w:tab w:val="right" w:pos="1020"/>
        </w:tabs>
        <w:rPr>
          <w:lang w:val="es-ES"/>
        </w:rPr>
      </w:pPr>
      <w:r w:rsidRPr="00076588">
        <w:rPr>
          <w:lang w:val="es-ES"/>
        </w:rPr>
        <w:tab/>
      </w:r>
      <w:r w:rsidRPr="008A30E4">
        <w:rPr>
          <w:rStyle w:val="FootnoteReference"/>
        </w:rPr>
        <w:footnoteRef/>
      </w:r>
      <w:r w:rsidRPr="00076588">
        <w:rPr>
          <w:lang w:val="es-ES"/>
        </w:rPr>
        <w:tab/>
      </w:r>
      <w:hyperlink r:id="rId45" w:history="1">
        <w:r w:rsidRPr="00824B60">
          <w:rPr>
            <w:rStyle w:val="Hyperlink"/>
            <w:lang w:val="es-ES"/>
          </w:rPr>
          <w:t>CRPD/C/5</w:t>
        </w:r>
      </w:hyperlink>
      <w:r w:rsidRPr="00076588">
        <w:rPr>
          <w:lang w:val="es-ES"/>
        </w:rPr>
        <w:t>.</w:t>
      </w:r>
    </w:p>
  </w:footnote>
  <w:footnote w:id="29">
    <w:p w14:paraId="76969C07" w14:textId="77777777" w:rsidR="00872C78" w:rsidRPr="00076588" w:rsidRDefault="00872C78" w:rsidP="00872C78">
      <w:pPr>
        <w:pStyle w:val="FootnoteText"/>
        <w:widowControl w:val="0"/>
        <w:tabs>
          <w:tab w:val="clear" w:pos="1021"/>
          <w:tab w:val="right" w:pos="1020"/>
        </w:tabs>
        <w:rPr>
          <w:lang w:val="es-ES"/>
        </w:rPr>
      </w:pPr>
      <w:r w:rsidRPr="00076588">
        <w:rPr>
          <w:lang w:val="es-ES"/>
        </w:rPr>
        <w:tab/>
      </w:r>
      <w:r w:rsidRPr="008A30E4">
        <w:rPr>
          <w:rStyle w:val="FootnoteReference"/>
        </w:rPr>
        <w:footnoteRef/>
      </w:r>
      <w:r w:rsidRPr="00076588">
        <w:rPr>
          <w:lang w:val="es-ES"/>
        </w:rPr>
        <w:tab/>
      </w:r>
      <w:r>
        <w:rPr>
          <w:lang w:val="es-ES"/>
        </w:rPr>
        <w:t>Ibid</w:t>
      </w:r>
      <w:r w:rsidRPr="00076588">
        <w:rPr>
          <w:lang w:val="es-ES"/>
        </w:rPr>
        <w:t xml:space="preserve">. </w:t>
      </w:r>
    </w:p>
  </w:footnote>
  <w:footnote w:id="30">
    <w:p w14:paraId="0AECB5C0" w14:textId="027EF68A" w:rsidR="00872C78" w:rsidRPr="00076588" w:rsidRDefault="00872C78" w:rsidP="00872C78">
      <w:pPr>
        <w:pStyle w:val="FootnoteText"/>
        <w:widowControl w:val="0"/>
        <w:tabs>
          <w:tab w:val="clear" w:pos="1021"/>
          <w:tab w:val="right" w:pos="1020"/>
        </w:tabs>
        <w:rPr>
          <w:lang w:val="es-ES"/>
        </w:rPr>
      </w:pPr>
      <w:r w:rsidRPr="00076588">
        <w:rPr>
          <w:lang w:val="es-ES"/>
        </w:rPr>
        <w:tab/>
      </w:r>
      <w:r w:rsidRPr="008A30E4">
        <w:rPr>
          <w:rStyle w:val="FootnoteReference"/>
        </w:rPr>
        <w:footnoteRef/>
      </w:r>
      <w:r w:rsidRPr="00076588">
        <w:rPr>
          <w:lang w:val="es-ES"/>
        </w:rPr>
        <w:tab/>
      </w:r>
      <w:hyperlink r:id="rId46" w:history="1">
        <w:r w:rsidRPr="00824B60">
          <w:rPr>
            <w:rStyle w:val="Hyperlink"/>
            <w:lang w:val="es-ES"/>
          </w:rPr>
          <w:t>CRPD/C/HUN/IR/1</w:t>
        </w:r>
      </w:hyperlink>
      <w:r w:rsidRPr="00175377">
        <w:rPr>
          <w:lang w:val="en-US"/>
        </w:rPr>
        <w:t xml:space="preserve"> </w:t>
      </w:r>
      <w:r w:rsidRPr="00036A37">
        <w:rPr>
          <w:lang w:val="en-US"/>
        </w:rPr>
        <w:t xml:space="preserve">and </w:t>
      </w:r>
      <w:hyperlink r:id="rId47" w:history="1">
        <w:r w:rsidRPr="00824B60">
          <w:rPr>
            <w:rStyle w:val="Hyperlink"/>
            <w:lang w:val="en-US"/>
          </w:rPr>
          <w:t>CRPD/C/HUN/IR/1/Corr.1</w:t>
        </w:r>
      </w:hyperlink>
      <w:r w:rsidRPr="00076588">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54E4F" w14:textId="77777777" w:rsidR="00872C78" w:rsidRDefault="00872C78">
    <w:pPr>
      <w:pStyle w:val="Header"/>
    </w:pPr>
    <w:bookmarkStart w:id="5" w:name="_Hlk145423377"/>
    <w:bookmarkStart w:id="6" w:name="_Hlk145423378"/>
    <w:r>
      <w:t>CRPD/C/29/2</w:t>
    </w:r>
    <w:bookmarkEnd w:id="5"/>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8F11D" w14:textId="77777777" w:rsidR="00872C78" w:rsidRDefault="00872C78" w:rsidP="00C57B42">
    <w:pPr>
      <w:pStyle w:val="Header"/>
      <w:jc w:val="right"/>
    </w:pPr>
    <w:r>
      <w:t>CRPD/C/29/2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FE4B9" w14:textId="665A4EC8" w:rsidR="00872C78" w:rsidRPr="00872C78" w:rsidRDefault="00872C78" w:rsidP="00872C78">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DEF03" w14:textId="77777777" w:rsidR="00872C78" w:rsidRDefault="00872C78">
    <w:pPr>
      <w:pStyle w:val="Header"/>
    </w:pPr>
    <w:r>
      <w:t>CRPD/C/29/2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DF236" w14:textId="77777777" w:rsidR="00716DB1" w:rsidRDefault="00716DB1" w:rsidP="00716DB1">
    <w:pPr>
      <w:pStyle w:val="Header"/>
      <w:jc w:val="right"/>
    </w:pPr>
    <w:r>
      <w:t>CRPD/C/29/2</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0A2EB" w14:textId="77777777" w:rsidR="00872C78" w:rsidRDefault="00872C78">
    <w:pPr>
      <w:pStyle w:val="Header"/>
    </w:pPr>
    <w:r>
      <w:t>CRPD/C/29/2</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2767D" w14:textId="77777777" w:rsidR="00872C78" w:rsidRDefault="00872C78" w:rsidP="00C57B42">
    <w:pPr>
      <w:pStyle w:val="Header"/>
      <w:jc w:val="right"/>
    </w:pPr>
    <w:r>
      <w:t>CRPD/C/29/2</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6F7FF" w14:textId="77777777" w:rsidR="008B7E26" w:rsidRDefault="008B7E26" w:rsidP="008B7E26">
    <w:pPr>
      <w:pStyle w:val="Header"/>
      <w:jc w:val="right"/>
    </w:pPr>
    <w:r>
      <w:t>CRPD/C/29/2</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899FA" w14:textId="77777777" w:rsidR="00985A50" w:rsidRDefault="00985A50" w:rsidP="00985A50">
    <w:pPr>
      <w:pStyle w:val="Header"/>
    </w:pPr>
    <w:r>
      <w:t>CRPD/C/29/2</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9D168" w14:textId="77777777" w:rsidR="00985A50" w:rsidRDefault="00985A50" w:rsidP="00985A50">
    <w:pPr>
      <w:pStyle w:val="Header"/>
      <w:jc w:val="right"/>
    </w:pPr>
    <w:r>
      <w:t>CRPD/C/29/2</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CF7B0" w14:textId="77777777" w:rsidR="008B7E26" w:rsidRDefault="008B7E26" w:rsidP="008B7E26">
    <w:pPr>
      <w:pStyle w:val="Header"/>
      <w:jc w:val="right"/>
    </w:pPr>
    <w:r>
      <w:t>CRPD/C/29/2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D420C5"/>
    <w:multiLevelType w:val="hybridMultilevel"/>
    <w:tmpl w:val="8A88FF00"/>
    <w:lvl w:ilvl="0" w:tplc="A0B2794A">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6FF0A3B"/>
    <w:multiLevelType w:val="hybridMultilevel"/>
    <w:tmpl w:val="78F25CF2"/>
    <w:lvl w:ilvl="0" w:tplc="35A21826">
      <w:start w:val="1"/>
      <w:numFmt w:val="decimal"/>
      <w:lvlText w:val="%1."/>
      <w:lvlJc w:val="left"/>
      <w:pPr>
        <w:ind w:left="1494" w:hanging="360"/>
      </w:pPr>
      <w:rPr>
        <w:rFonts w:hint="default"/>
        <w:b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29132A"/>
    <w:multiLevelType w:val="hybridMultilevel"/>
    <w:tmpl w:val="AA287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D433EBE"/>
    <w:multiLevelType w:val="hybridMultilevel"/>
    <w:tmpl w:val="4002F3EA"/>
    <w:lvl w:ilvl="0" w:tplc="BF88358A">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FD40C9"/>
    <w:multiLevelType w:val="hybridMultilevel"/>
    <w:tmpl w:val="8B968640"/>
    <w:lvl w:ilvl="0" w:tplc="407E8216">
      <w:start w:val="1"/>
      <w:numFmt w:val="lowerLetter"/>
      <w:lvlText w:val="(%1)"/>
      <w:lvlJc w:val="left"/>
      <w:pPr>
        <w:ind w:left="1436" w:hanging="65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4069C5"/>
    <w:multiLevelType w:val="hybridMultilevel"/>
    <w:tmpl w:val="4B9E7A70"/>
    <w:lvl w:ilvl="0" w:tplc="157EE45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A57504E"/>
    <w:multiLevelType w:val="hybridMultilevel"/>
    <w:tmpl w:val="CD12E352"/>
    <w:lvl w:ilvl="0" w:tplc="7EA6094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1B7EE8"/>
    <w:multiLevelType w:val="hybridMultilevel"/>
    <w:tmpl w:val="B5922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E77B97"/>
    <w:multiLevelType w:val="hybridMultilevel"/>
    <w:tmpl w:val="4E209ABA"/>
    <w:lvl w:ilvl="0" w:tplc="4184E212">
      <w:start w:val="1"/>
      <w:numFmt w:val="lowerLetter"/>
      <w:lvlText w:val="(%1)"/>
      <w:lvlJc w:val="right"/>
      <w:pPr>
        <w:ind w:left="2250" w:hanging="360"/>
      </w:pPr>
      <w:rPr>
        <w:rFonts w:hint="default"/>
        <w:b w:val="0"/>
        <w:bCs w:val="0"/>
      </w:rPr>
    </w:lvl>
    <w:lvl w:ilvl="1" w:tplc="08090019" w:tentative="1">
      <w:start w:val="1"/>
      <w:numFmt w:val="lowerLetter"/>
      <w:lvlText w:val="%2."/>
      <w:lvlJc w:val="left"/>
      <w:pPr>
        <w:ind w:left="2970" w:hanging="360"/>
      </w:pPr>
    </w:lvl>
    <w:lvl w:ilvl="2" w:tplc="0809001B" w:tentative="1">
      <w:start w:val="1"/>
      <w:numFmt w:val="lowerRoman"/>
      <w:lvlText w:val="%3."/>
      <w:lvlJc w:val="right"/>
      <w:pPr>
        <w:ind w:left="3690" w:hanging="180"/>
      </w:pPr>
    </w:lvl>
    <w:lvl w:ilvl="3" w:tplc="0809000F" w:tentative="1">
      <w:start w:val="1"/>
      <w:numFmt w:val="decimal"/>
      <w:lvlText w:val="%4."/>
      <w:lvlJc w:val="left"/>
      <w:pPr>
        <w:ind w:left="4410" w:hanging="360"/>
      </w:pPr>
    </w:lvl>
    <w:lvl w:ilvl="4" w:tplc="08090019" w:tentative="1">
      <w:start w:val="1"/>
      <w:numFmt w:val="lowerLetter"/>
      <w:lvlText w:val="%5."/>
      <w:lvlJc w:val="left"/>
      <w:pPr>
        <w:ind w:left="5130" w:hanging="360"/>
      </w:pPr>
    </w:lvl>
    <w:lvl w:ilvl="5" w:tplc="0809001B" w:tentative="1">
      <w:start w:val="1"/>
      <w:numFmt w:val="lowerRoman"/>
      <w:lvlText w:val="%6."/>
      <w:lvlJc w:val="right"/>
      <w:pPr>
        <w:ind w:left="5850" w:hanging="180"/>
      </w:pPr>
    </w:lvl>
    <w:lvl w:ilvl="6" w:tplc="0809000F" w:tentative="1">
      <w:start w:val="1"/>
      <w:numFmt w:val="decimal"/>
      <w:lvlText w:val="%7."/>
      <w:lvlJc w:val="left"/>
      <w:pPr>
        <w:ind w:left="6570" w:hanging="360"/>
      </w:pPr>
    </w:lvl>
    <w:lvl w:ilvl="7" w:tplc="08090019" w:tentative="1">
      <w:start w:val="1"/>
      <w:numFmt w:val="lowerLetter"/>
      <w:lvlText w:val="%8."/>
      <w:lvlJc w:val="left"/>
      <w:pPr>
        <w:ind w:left="7290" w:hanging="360"/>
      </w:pPr>
    </w:lvl>
    <w:lvl w:ilvl="8" w:tplc="0809001B" w:tentative="1">
      <w:start w:val="1"/>
      <w:numFmt w:val="lowerRoman"/>
      <w:lvlText w:val="%9."/>
      <w:lvlJc w:val="right"/>
      <w:pPr>
        <w:ind w:left="8010" w:hanging="18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3A571A0"/>
    <w:multiLevelType w:val="hybridMultilevel"/>
    <w:tmpl w:val="8FECCF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B07B90"/>
    <w:multiLevelType w:val="hybridMultilevel"/>
    <w:tmpl w:val="8FAAE570"/>
    <w:lvl w:ilvl="0" w:tplc="9CF4DA4E">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0A36589"/>
    <w:multiLevelType w:val="hybridMultilevel"/>
    <w:tmpl w:val="21620A4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C7627C"/>
    <w:multiLevelType w:val="hybridMultilevel"/>
    <w:tmpl w:val="67C68D9C"/>
    <w:lvl w:ilvl="0" w:tplc="05E683DE">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C0520BB"/>
    <w:multiLevelType w:val="hybridMultilevel"/>
    <w:tmpl w:val="0E7895D8"/>
    <w:lvl w:ilvl="0" w:tplc="60F297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2884850">
    <w:abstractNumId w:val="8"/>
  </w:num>
  <w:num w:numId="2" w16cid:durableId="1519152687">
    <w:abstractNumId w:val="6"/>
  </w:num>
  <w:num w:numId="3" w16cid:durableId="1011689487">
    <w:abstractNumId w:val="0"/>
  </w:num>
  <w:num w:numId="4" w16cid:durableId="30619979">
    <w:abstractNumId w:val="13"/>
  </w:num>
  <w:num w:numId="5" w16cid:durableId="767434424">
    <w:abstractNumId w:val="14"/>
  </w:num>
  <w:num w:numId="6" w16cid:durableId="1103650054">
    <w:abstractNumId w:val="19"/>
  </w:num>
  <w:num w:numId="7" w16cid:durableId="1162234605">
    <w:abstractNumId w:val="4"/>
  </w:num>
  <w:num w:numId="8" w16cid:durableId="1133248893">
    <w:abstractNumId w:val="2"/>
  </w:num>
  <w:num w:numId="9" w16cid:durableId="1197155066">
    <w:abstractNumId w:val="10"/>
  </w:num>
  <w:num w:numId="10" w16cid:durableId="357239959">
    <w:abstractNumId w:val="17"/>
  </w:num>
  <w:num w:numId="11" w16cid:durableId="1070687028">
    <w:abstractNumId w:val="15"/>
  </w:num>
  <w:num w:numId="12" w16cid:durableId="540359222">
    <w:abstractNumId w:val="1"/>
  </w:num>
  <w:num w:numId="13" w16cid:durableId="1536768677">
    <w:abstractNumId w:val="9"/>
  </w:num>
  <w:num w:numId="14" w16cid:durableId="510413091">
    <w:abstractNumId w:val="3"/>
  </w:num>
  <w:num w:numId="15" w16cid:durableId="324823979">
    <w:abstractNumId w:val="16"/>
  </w:num>
  <w:num w:numId="16" w16cid:durableId="994719676">
    <w:abstractNumId w:val="5"/>
  </w:num>
  <w:num w:numId="17" w16cid:durableId="1659457573">
    <w:abstractNumId w:val="7"/>
  </w:num>
  <w:num w:numId="18" w16cid:durableId="1500536803">
    <w:abstractNumId w:val="20"/>
  </w:num>
  <w:num w:numId="19" w16cid:durableId="1365710653">
    <w:abstractNumId w:val="11"/>
  </w:num>
  <w:num w:numId="20" w16cid:durableId="1042487399">
    <w:abstractNumId w:val="18"/>
  </w:num>
  <w:num w:numId="21" w16cid:durableId="15725398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numRestart w:val="eachSect"/>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507"/>
    <w:rsid w:val="00001F82"/>
    <w:rsid w:val="00046E92"/>
    <w:rsid w:val="000C291C"/>
    <w:rsid w:val="000D32E4"/>
    <w:rsid w:val="000D3D22"/>
    <w:rsid w:val="0015060D"/>
    <w:rsid w:val="00247E2C"/>
    <w:rsid w:val="002630C4"/>
    <w:rsid w:val="002A2E63"/>
    <w:rsid w:val="002D0D4A"/>
    <w:rsid w:val="002D6C53"/>
    <w:rsid w:val="002F238A"/>
    <w:rsid w:val="002F5595"/>
    <w:rsid w:val="00317DC1"/>
    <w:rsid w:val="00334F6A"/>
    <w:rsid w:val="00342AC8"/>
    <w:rsid w:val="003B4550"/>
    <w:rsid w:val="00461253"/>
    <w:rsid w:val="004A1DC4"/>
    <w:rsid w:val="004C7E53"/>
    <w:rsid w:val="00502AC4"/>
    <w:rsid w:val="005042C2"/>
    <w:rsid w:val="005E08DF"/>
    <w:rsid w:val="005E13C0"/>
    <w:rsid w:val="00671529"/>
    <w:rsid w:val="006B6980"/>
    <w:rsid w:val="006E4390"/>
    <w:rsid w:val="00716DB1"/>
    <w:rsid w:val="007268F9"/>
    <w:rsid w:val="007C52B0"/>
    <w:rsid w:val="00816928"/>
    <w:rsid w:val="00824B60"/>
    <w:rsid w:val="008478AF"/>
    <w:rsid w:val="0086105F"/>
    <w:rsid w:val="00872C78"/>
    <w:rsid w:val="008A30E4"/>
    <w:rsid w:val="008B7E26"/>
    <w:rsid w:val="008D4B1E"/>
    <w:rsid w:val="009216D5"/>
    <w:rsid w:val="009411B4"/>
    <w:rsid w:val="00985A50"/>
    <w:rsid w:val="009C7535"/>
    <w:rsid w:val="009D0139"/>
    <w:rsid w:val="009F5CDC"/>
    <w:rsid w:val="00A26388"/>
    <w:rsid w:val="00A775CF"/>
    <w:rsid w:val="00A938E5"/>
    <w:rsid w:val="00B06045"/>
    <w:rsid w:val="00B26558"/>
    <w:rsid w:val="00B275CB"/>
    <w:rsid w:val="00B75C70"/>
    <w:rsid w:val="00BE04BA"/>
    <w:rsid w:val="00C35A27"/>
    <w:rsid w:val="00C626D2"/>
    <w:rsid w:val="00C74A8A"/>
    <w:rsid w:val="00C9007B"/>
    <w:rsid w:val="00CC3AB5"/>
    <w:rsid w:val="00D06507"/>
    <w:rsid w:val="00D13F25"/>
    <w:rsid w:val="00D478B4"/>
    <w:rsid w:val="00D8005F"/>
    <w:rsid w:val="00E02C2B"/>
    <w:rsid w:val="00E17AEF"/>
    <w:rsid w:val="00E5758C"/>
    <w:rsid w:val="00ED6C48"/>
    <w:rsid w:val="00F02AAF"/>
    <w:rsid w:val="00F077C4"/>
    <w:rsid w:val="00F602E7"/>
    <w:rsid w:val="00F65F5D"/>
    <w:rsid w:val="00F86A3A"/>
    <w:rsid w:val="00FE6943"/>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59315"/>
  <w15:docId w15:val="{ABE0E821-3FCD-4AAB-83F3-0A43FBB8B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rsid w:val="00872C78"/>
    <w:rPr>
      <w:color w:val="0000FF"/>
      <w:u w:val="none"/>
    </w:rPr>
  </w:style>
  <w:style w:type="character" w:styleId="FollowedHyperlink">
    <w:name w:val="FollowedHyperlink"/>
    <w:basedOn w:val="DefaultParagraphFont"/>
    <w:uiPriority w:val="99"/>
    <w:semiHidden/>
    <w:unhideWhenUsed/>
    <w:rsid w:val="00872C78"/>
    <w:rPr>
      <w:color w:val="0000FF"/>
      <w:u w:val="single"/>
    </w:rPr>
  </w:style>
  <w:style w:type="paragraph" w:styleId="Revision">
    <w:name w:val="Revision"/>
    <w:hidden/>
    <w:uiPriority w:val="99"/>
    <w:semiHidden/>
    <w:rsid w:val="00872C78"/>
    <w:pPr>
      <w:spacing w:after="0" w:line="240" w:lineRule="auto"/>
    </w:pPr>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824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oter" Target="footer9.xml"/><Relationship Id="rId30" Type="http://schemas.openxmlformats.org/officeDocument/2006/relationships/footer" Target="footer1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AND/1" TargetMode="External"/><Relationship Id="rId13" Type="http://schemas.openxmlformats.org/officeDocument/2006/relationships/hyperlink" Target="http://undocs.org/en/CRPD/C/DEU/2-3" TargetMode="External"/><Relationship Id="rId18" Type="http://schemas.openxmlformats.org/officeDocument/2006/relationships/hyperlink" Target="http://undocs.org/en/CRPD/C/DEU/CO/2-3" TargetMode="External"/><Relationship Id="rId26" Type="http://schemas.openxmlformats.org/officeDocument/2006/relationships/hyperlink" Target="http://undocs.org/en/CRPD/C/MRT/CO/1" TargetMode="External"/><Relationship Id="rId39" Type="http://schemas.openxmlformats.org/officeDocument/2006/relationships/hyperlink" Target="http://undocs.org/en/CRPD/C/29/D/86/2021" TargetMode="External"/><Relationship Id="rId3" Type="http://schemas.openxmlformats.org/officeDocument/2006/relationships/hyperlink" Target="http://undocs.org/en/CRPD/C/29/D/52/2018" TargetMode="External"/><Relationship Id="rId21" Type="http://schemas.openxmlformats.org/officeDocument/2006/relationships/hyperlink" Target="http://undocs.org/en/CRPD/C/MRT/CO/1" TargetMode="External"/><Relationship Id="rId34" Type="http://schemas.openxmlformats.org/officeDocument/2006/relationships/hyperlink" Target="http://undocs.org/en/CRPD/C/29/D/52/2018" TargetMode="External"/><Relationship Id="rId42" Type="http://schemas.openxmlformats.org/officeDocument/2006/relationships/hyperlink" Target="http://undocs.org/en/CRPD/C/HUN/CO/2-3" TargetMode="External"/><Relationship Id="rId47" Type="http://schemas.openxmlformats.org/officeDocument/2006/relationships/hyperlink" Target="http://undocs.org/en/CRPD/C/HUN/IR/1/Corr.1" TargetMode="External"/><Relationship Id="rId7" Type="http://schemas.openxmlformats.org/officeDocument/2006/relationships/hyperlink" Target="http://undocs.org/en/CRPD/C/5" TargetMode="External"/><Relationship Id="rId12" Type="http://schemas.openxmlformats.org/officeDocument/2006/relationships/hyperlink" Target="http://undocs.org/en/CRPD/C/AUT/2-3" TargetMode="External"/><Relationship Id="rId17" Type="http://schemas.openxmlformats.org/officeDocument/2006/relationships/hyperlink" Target="http://undocs.org/en/CRPD/C/AUT/CO/2-3" TargetMode="External"/><Relationship Id="rId25" Type="http://schemas.openxmlformats.org/officeDocument/2006/relationships/hyperlink" Target="http://undocs.org/en/CRPD/C/ISR/CO/1" TargetMode="External"/><Relationship Id="rId33" Type="http://schemas.openxmlformats.org/officeDocument/2006/relationships/hyperlink" Target="http://undocs.org/en/CRPD/C/29/D/47/2018" TargetMode="External"/><Relationship Id="rId38" Type="http://schemas.openxmlformats.org/officeDocument/2006/relationships/hyperlink" Target="http://undocs.org/en/CRPD/C/29/D/57/2019" TargetMode="External"/><Relationship Id="rId46" Type="http://schemas.openxmlformats.org/officeDocument/2006/relationships/hyperlink" Target="http://undocs.org/en/CRPD/C/HUN/IR/1" TargetMode="External"/><Relationship Id="rId2" Type="http://schemas.openxmlformats.org/officeDocument/2006/relationships/hyperlink" Target="http://undocs.org/en/CRPD/C/29/D/47/2018" TargetMode="External"/><Relationship Id="rId16" Type="http://schemas.openxmlformats.org/officeDocument/2006/relationships/hyperlink" Target="http://undocs.org/en/CRPD/C/AND/CO/1" TargetMode="External"/><Relationship Id="rId20" Type="http://schemas.openxmlformats.org/officeDocument/2006/relationships/hyperlink" Target="http://undocs.org/en/CRPD/C/MWI/CO/1-2" TargetMode="External"/><Relationship Id="rId29" Type="http://schemas.openxmlformats.org/officeDocument/2006/relationships/hyperlink" Target="http://undocs.org/en/CRPD/C/DEU/CO/2-3" TargetMode="External"/><Relationship Id="rId41" Type="http://schemas.openxmlformats.org/officeDocument/2006/relationships/hyperlink" Target="http://undocs.org/en/CRPD/C/HUN/IR/1/Corr.1" TargetMode="External"/><Relationship Id="rId1" Type="http://schemas.openxmlformats.org/officeDocument/2006/relationships/hyperlink" Target="http://undocs.org/en/CRPD/C/29/1" TargetMode="External"/><Relationship Id="rId6" Type="http://schemas.openxmlformats.org/officeDocument/2006/relationships/hyperlink" Target="http://undocs.org/en/CRPD/C/29/D/86/2021" TargetMode="External"/><Relationship Id="rId11" Type="http://schemas.openxmlformats.org/officeDocument/2006/relationships/hyperlink" Target="http://undocs.org/en/CRPD/C/MWI/1-2" TargetMode="External"/><Relationship Id="rId24" Type="http://schemas.openxmlformats.org/officeDocument/2006/relationships/hyperlink" Target="http://undocs.org/en/CRPD/C/AND/CO/1" TargetMode="External"/><Relationship Id="rId32" Type="http://schemas.openxmlformats.org/officeDocument/2006/relationships/hyperlink" Target="http://undocs.org/en/CRPD/C/5" TargetMode="External"/><Relationship Id="rId37" Type="http://schemas.openxmlformats.org/officeDocument/2006/relationships/hyperlink" Target="http://undocs.org/en/A/72/55" TargetMode="External"/><Relationship Id="rId40" Type="http://schemas.openxmlformats.org/officeDocument/2006/relationships/hyperlink" Target="http://undocs.org/en/CRPD/C/HUN/IR/1" TargetMode="External"/><Relationship Id="rId45" Type="http://schemas.openxmlformats.org/officeDocument/2006/relationships/hyperlink" Target="http://undocs.org/en/CRPD/C/5" TargetMode="External"/><Relationship Id="rId5" Type="http://schemas.openxmlformats.org/officeDocument/2006/relationships/hyperlink" Target="http://undocs.org/en/CRPD/C/29/D/57/2019" TargetMode="External"/><Relationship Id="rId15" Type="http://schemas.openxmlformats.org/officeDocument/2006/relationships/hyperlink" Target="http://undocs.org/en/CRPD/C/PRY/2-3" TargetMode="External"/><Relationship Id="rId23" Type="http://schemas.openxmlformats.org/officeDocument/2006/relationships/hyperlink" Target="http://undocs.org/en/CRPD/C/PRY/CO/2-3" TargetMode="External"/><Relationship Id="rId28" Type="http://schemas.openxmlformats.org/officeDocument/2006/relationships/hyperlink" Target="http://undocs.org/en/CRPD/C/AUT/CO/2-3" TargetMode="External"/><Relationship Id="rId36" Type="http://schemas.openxmlformats.org/officeDocument/2006/relationships/hyperlink" Target="http://undocs.org/en/CRPD/C/DNK/CO/1" TargetMode="External"/><Relationship Id="rId10" Type="http://schemas.openxmlformats.org/officeDocument/2006/relationships/hyperlink" Target="http://undocs.org/en/CRPD/C/MRT/1" TargetMode="External"/><Relationship Id="rId19" Type="http://schemas.openxmlformats.org/officeDocument/2006/relationships/hyperlink" Target="http://undocs.org/en/CRPD/C/ISR/CO/1" TargetMode="External"/><Relationship Id="rId31" Type="http://schemas.openxmlformats.org/officeDocument/2006/relationships/hyperlink" Target="http://undocs.org/en/CRPD/C/PRY/CO/2-3" TargetMode="External"/><Relationship Id="rId44" Type="http://schemas.openxmlformats.org/officeDocument/2006/relationships/hyperlink" Target="http://undocs.org/en/CRPD/C/HUN/IR/1/Corr.1" TargetMode="External"/><Relationship Id="rId4" Type="http://schemas.openxmlformats.org/officeDocument/2006/relationships/hyperlink" Target="http://undocs.org/en/CRPD/C/29/D/61/2019" TargetMode="External"/><Relationship Id="rId9" Type="http://schemas.openxmlformats.org/officeDocument/2006/relationships/hyperlink" Target="http://undocs.org/en/CRPD/C/ISR/1" TargetMode="External"/><Relationship Id="rId14" Type="http://schemas.openxmlformats.org/officeDocument/2006/relationships/hyperlink" Target="http://undocs.org/en/CRPD/C/MNG/2-3" TargetMode="External"/><Relationship Id="rId22" Type="http://schemas.openxmlformats.org/officeDocument/2006/relationships/hyperlink" Target="http://undocs.org/en/CRPD/C/MNG/CO/2-3" TargetMode="External"/><Relationship Id="rId27" Type="http://schemas.openxmlformats.org/officeDocument/2006/relationships/hyperlink" Target="http://undocs.org/en/CRPD/C/MWI/CO/1-2" TargetMode="External"/><Relationship Id="rId30" Type="http://schemas.openxmlformats.org/officeDocument/2006/relationships/hyperlink" Target="http://undocs.org/en/CRPD/C/MNG/CO/2-3" TargetMode="External"/><Relationship Id="rId35" Type="http://schemas.openxmlformats.org/officeDocument/2006/relationships/hyperlink" Target="http://undocs.org/en/CRPD/C/29/D/61/2019" TargetMode="External"/><Relationship Id="rId43" Type="http://schemas.openxmlformats.org/officeDocument/2006/relationships/hyperlink" Target="http://undocs.org/en/CRPD/C/HUN/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21</Pages>
  <Words>10086</Words>
  <Characters>58232</Characters>
  <Application>Microsoft Office Word</Application>
  <DocSecurity>0</DocSecurity>
  <Lines>931</Lines>
  <Paragraphs>254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CRPD/C/29/2</dc:title>
  <dc:subject>2318617</dc:subject>
  <dc:creator>cg</dc:creator>
  <cp:keywords/>
  <dc:description/>
  <cp:lastModifiedBy>Maria Rosario Corazon Gatmaytan</cp:lastModifiedBy>
  <cp:revision>2</cp:revision>
  <dcterms:created xsi:type="dcterms:W3CDTF">2023-10-17T07:10:00Z</dcterms:created>
  <dcterms:modified xsi:type="dcterms:W3CDTF">2023-10-17T07:10:00Z</dcterms:modified>
</cp:coreProperties>
</file>